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91D7AE" w14:textId="77777777" w:rsidR="000B4E2C" w:rsidRPr="000B4E2C" w:rsidRDefault="002F0133" w:rsidP="008A7464">
      <w:pPr>
        <w:rPr>
          <w:b/>
          <w:sz w:val="28"/>
          <w:szCs w:val="28"/>
        </w:rPr>
      </w:pPr>
      <w:commentRangeStart w:id="0"/>
      <w:commentRangeStart w:id="1"/>
      <w:commentRangeStart w:id="2"/>
      <w:r w:rsidRPr="000B4E2C">
        <w:rPr>
          <w:b/>
          <w:sz w:val="28"/>
          <w:szCs w:val="28"/>
        </w:rPr>
        <w:t xml:space="preserve">The ARCHITECT and Alinity urine NGAL assays, urine NephroCheck test, and urine and plasma </w:t>
      </w:r>
      <w:r w:rsidR="009D7F5A" w:rsidRPr="000B4E2C">
        <w:rPr>
          <w:b/>
          <w:sz w:val="28"/>
          <w:szCs w:val="28"/>
        </w:rPr>
        <w:t>BioPorto</w:t>
      </w:r>
      <w:r w:rsidRPr="000B4E2C">
        <w:rPr>
          <w:b/>
          <w:sz w:val="28"/>
          <w:szCs w:val="28"/>
        </w:rPr>
        <w:t xml:space="preserve"> NGAL tests to help assess the risk of acute kidney injury for people who are being considered for admission to critical care</w:t>
      </w:r>
      <w:commentRangeEnd w:id="0"/>
      <w:r w:rsidR="001F4F29" w:rsidRPr="000B4E2C">
        <w:rPr>
          <w:rStyle w:val="CommentReference"/>
        </w:rPr>
        <w:commentReference w:id="0"/>
      </w:r>
      <w:commentRangeEnd w:id="1"/>
      <w:r w:rsidR="001F4F29" w:rsidRPr="000B4E2C">
        <w:rPr>
          <w:rStyle w:val="CommentReference"/>
        </w:rPr>
        <w:commentReference w:id="1"/>
      </w:r>
      <w:commentRangeEnd w:id="2"/>
      <w:r w:rsidR="001F4F29" w:rsidRPr="000B4E2C">
        <w:rPr>
          <w:rStyle w:val="CommentReference"/>
        </w:rPr>
        <w:commentReference w:id="2"/>
      </w:r>
    </w:p>
    <w:p w14:paraId="51F3BD01" w14:textId="77777777" w:rsidR="000B4E2C" w:rsidRPr="000B4E2C" w:rsidRDefault="002F0133" w:rsidP="001F4F29">
      <w:pPr>
        <w:rPr>
          <w:sz w:val="22"/>
          <w:vertAlign w:val="superscript"/>
        </w:rPr>
      </w:pPr>
      <w:r w:rsidRPr="000B4E2C">
        <w:rPr>
          <w:sz w:val="22"/>
        </w:rPr>
        <w:t>Miriam Brazzelli</w:t>
      </w:r>
      <w:r w:rsidR="001F4F29" w:rsidRPr="000B4E2C">
        <w:rPr>
          <w:sz w:val="22"/>
        </w:rPr>
        <w:t>,</w:t>
      </w:r>
      <w:r w:rsidRPr="000B4E2C">
        <w:rPr>
          <w:sz w:val="22"/>
          <w:vertAlign w:val="superscript"/>
        </w:rPr>
        <w:t>1</w:t>
      </w:r>
      <w:r w:rsidR="001F4F29" w:rsidRPr="000B4E2C">
        <w:rPr>
          <w:sz w:val="22"/>
          <w:vertAlign w:val="superscript"/>
        </w:rPr>
        <w:t xml:space="preserve">* </w:t>
      </w:r>
      <w:r w:rsidRPr="000B4E2C">
        <w:rPr>
          <w:sz w:val="22"/>
          <w:lang w:val="fr-FR"/>
        </w:rPr>
        <w:t>Lorna Aucott</w:t>
      </w:r>
      <w:r w:rsidR="001F4F29" w:rsidRPr="000B4E2C">
        <w:rPr>
          <w:sz w:val="22"/>
          <w:lang w:val="fr-FR"/>
        </w:rPr>
        <w:t>,</w:t>
      </w:r>
      <w:r w:rsidRPr="000B4E2C">
        <w:rPr>
          <w:sz w:val="22"/>
          <w:vertAlign w:val="superscript"/>
          <w:lang w:val="fr-FR"/>
        </w:rPr>
        <w:t>1</w:t>
      </w:r>
      <w:r w:rsidR="001F4F29" w:rsidRPr="000B4E2C">
        <w:rPr>
          <w:sz w:val="22"/>
          <w:vertAlign w:val="superscript"/>
          <w:lang w:val="fr-FR"/>
        </w:rPr>
        <w:t xml:space="preserve"> </w:t>
      </w:r>
      <w:r w:rsidRPr="000B4E2C">
        <w:rPr>
          <w:sz w:val="22"/>
          <w:lang w:val="fr-FR"/>
        </w:rPr>
        <w:t>Magaly Aceves</w:t>
      </w:r>
      <w:r w:rsidR="00171E92" w:rsidRPr="000B4E2C">
        <w:rPr>
          <w:sz w:val="22"/>
          <w:lang w:val="fr-FR"/>
        </w:rPr>
        <w:t>-</w:t>
      </w:r>
      <w:r w:rsidRPr="000B4E2C">
        <w:rPr>
          <w:sz w:val="22"/>
          <w:lang w:val="fr-FR"/>
        </w:rPr>
        <w:t>Martins</w:t>
      </w:r>
      <w:r w:rsidR="001F4F29" w:rsidRPr="000B4E2C">
        <w:rPr>
          <w:sz w:val="22"/>
          <w:lang w:val="fr-FR"/>
        </w:rPr>
        <w:t>,</w:t>
      </w:r>
      <w:r w:rsidRPr="000B4E2C">
        <w:rPr>
          <w:sz w:val="22"/>
          <w:vertAlign w:val="superscript"/>
          <w:lang w:val="fr-FR"/>
        </w:rPr>
        <w:t>1</w:t>
      </w:r>
      <w:r w:rsidR="001F4F29" w:rsidRPr="000B4E2C">
        <w:rPr>
          <w:sz w:val="22"/>
          <w:vertAlign w:val="superscript"/>
          <w:lang w:val="fr-FR"/>
        </w:rPr>
        <w:t xml:space="preserve"> </w:t>
      </w:r>
      <w:r w:rsidRPr="000B4E2C">
        <w:rPr>
          <w:sz w:val="22"/>
          <w:lang w:val="fr-FR"/>
        </w:rPr>
        <w:t>Clare Robertson</w:t>
      </w:r>
      <w:r w:rsidR="001F4F29" w:rsidRPr="000B4E2C">
        <w:rPr>
          <w:sz w:val="22"/>
          <w:lang w:val="fr-FR"/>
        </w:rPr>
        <w:t>,</w:t>
      </w:r>
      <w:r w:rsidRPr="000B4E2C">
        <w:rPr>
          <w:sz w:val="22"/>
          <w:vertAlign w:val="superscript"/>
          <w:lang w:val="fr-FR"/>
        </w:rPr>
        <w:t>1</w:t>
      </w:r>
      <w:r w:rsidR="001F4F29" w:rsidRPr="000B4E2C">
        <w:rPr>
          <w:sz w:val="22"/>
          <w:lang w:val="fr-FR"/>
        </w:rPr>
        <w:t xml:space="preserve"> </w:t>
      </w:r>
      <w:r w:rsidRPr="000B4E2C">
        <w:rPr>
          <w:sz w:val="22"/>
          <w:lang w:val="fr-FR"/>
        </w:rPr>
        <w:t>Elisabet Jacobsen</w:t>
      </w:r>
      <w:r w:rsidR="001F4F29" w:rsidRPr="000B4E2C">
        <w:rPr>
          <w:sz w:val="22"/>
          <w:lang w:val="fr-FR"/>
        </w:rPr>
        <w:t>,</w:t>
      </w:r>
      <w:r w:rsidRPr="000B4E2C">
        <w:rPr>
          <w:sz w:val="22"/>
          <w:vertAlign w:val="superscript"/>
          <w:lang w:val="fr-FR"/>
        </w:rPr>
        <w:t>2</w:t>
      </w:r>
      <w:r w:rsidR="001F4F29" w:rsidRPr="000B4E2C">
        <w:rPr>
          <w:sz w:val="22"/>
          <w:lang w:val="fr-FR"/>
        </w:rPr>
        <w:t xml:space="preserve"> </w:t>
      </w:r>
      <w:r w:rsidRPr="000B4E2C">
        <w:rPr>
          <w:sz w:val="22"/>
          <w:lang w:val="fr-FR"/>
        </w:rPr>
        <w:t>Mari Imamura</w:t>
      </w:r>
      <w:r w:rsidR="001F4F29" w:rsidRPr="000B4E2C">
        <w:rPr>
          <w:sz w:val="22"/>
          <w:lang w:val="fr-FR"/>
        </w:rPr>
        <w:t>,</w:t>
      </w:r>
      <w:r w:rsidRPr="000B4E2C">
        <w:rPr>
          <w:sz w:val="22"/>
          <w:vertAlign w:val="superscript"/>
          <w:lang w:val="fr-FR"/>
        </w:rPr>
        <w:t>1</w:t>
      </w:r>
      <w:r w:rsidR="001F4F29" w:rsidRPr="000B4E2C">
        <w:rPr>
          <w:sz w:val="22"/>
          <w:vertAlign w:val="superscript"/>
          <w:lang w:val="fr-FR"/>
        </w:rPr>
        <w:t xml:space="preserve"> </w:t>
      </w:r>
      <w:r w:rsidRPr="000B4E2C">
        <w:rPr>
          <w:sz w:val="22"/>
          <w:lang w:val="fr-FR"/>
        </w:rPr>
        <w:t>Amudha Poobalan</w:t>
      </w:r>
      <w:r w:rsidR="001F4F29" w:rsidRPr="000B4E2C">
        <w:rPr>
          <w:sz w:val="22"/>
          <w:lang w:val="fr-FR"/>
        </w:rPr>
        <w:t>,</w:t>
      </w:r>
      <w:r w:rsidRPr="000B4E2C">
        <w:rPr>
          <w:sz w:val="22"/>
          <w:vertAlign w:val="superscript"/>
          <w:lang w:val="fr-FR"/>
        </w:rPr>
        <w:t>3</w:t>
      </w:r>
      <w:r w:rsidR="001F4F29" w:rsidRPr="000B4E2C">
        <w:rPr>
          <w:sz w:val="22"/>
          <w:lang w:val="fr-FR"/>
        </w:rPr>
        <w:t xml:space="preserve"> </w:t>
      </w:r>
      <w:r w:rsidRPr="000B4E2C">
        <w:rPr>
          <w:sz w:val="22"/>
          <w:lang w:val="fr-FR"/>
        </w:rPr>
        <w:t>Paul Manson</w:t>
      </w:r>
      <w:r w:rsidR="001F4F29" w:rsidRPr="000B4E2C">
        <w:rPr>
          <w:sz w:val="22"/>
          <w:lang w:val="fr-FR"/>
        </w:rPr>
        <w:t>,</w:t>
      </w:r>
      <w:r w:rsidRPr="000B4E2C">
        <w:rPr>
          <w:sz w:val="22"/>
          <w:vertAlign w:val="superscript"/>
          <w:lang w:val="fr-FR"/>
        </w:rPr>
        <w:t>1</w:t>
      </w:r>
      <w:r w:rsidR="001F4F29" w:rsidRPr="000B4E2C">
        <w:rPr>
          <w:sz w:val="22"/>
          <w:vertAlign w:val="superscript"/>
          <w:lang w:val="fr-FR"/>
        </w:rPr>
        <w:t xml:space="preserve"> </w:t>
      </w:r>
      <w:r w:rsidRPr="000B4E2C">
        <w:rPr>
          <w:sz w:val="22"/>
          <w:lang w:val="fr-FR"/>
        </w:rPr>
        <w:t>Graham Scotland</w:t>
      </w:r>
      <w:r w:rsidR="001F4F29" w:rsidRPr="000B4E2C">
        <w:rPr>
          <w:sz w:val="22"/>
          <w:lang w:val="fr-FR"/>
        </w:rPr>
        <w:t>,</w:t>
      </w:r>
      <w:r w:rsidRPr="000B4E2C">
        <w:rPr>
          <w:sz w:val="22"/>
          <w:vertAlign w:val="superscript"/>
          <w:lang w:val="fr-FR"/>
        </w:rPr>
        <w:t>1,2</w:t>
      </w:r>
      <w:r w:rsidR="001F4F29" w:rsidRPr="000B4E2C">
        <w:rPr>
          <w:sz w:val="22"/>
          <w:vertAlign w:val="superscript"/>
          <w:lang w:val="fr-FR"/>
        </w:rPr>
        <w:t xml:space="preserve"> </w:t>
      </w:r>
      <w:r w:rsidRPr="000B4E2C">
        <w:rPr>
          <w:sz w:val="22"/>
        </w:rPr>
        <w:t>Callum Kaye</w:t>
      </w:r>
      <w:r w:rsidR="001F4F29" w:rsidRPr="000B4E2C">
        <w:rPr>
          <w:sz w:val="22"/>
        </w:rPr>
        <w:t>,</w:t>
      </w:r>
      <w:r w:rsidRPr="000B4E2C">
        <w:rPr>
          <w:sz w:val="22"/>
          <w:vertAlign w:val="superscript"/>
        </w:rPr>
        <w:t>4</w:t>
      </w:r>
      <w:r w:rsidR="001F4F29" w:rsidRPr="000B4E2C">
        <w:rPr>
          <w:sz w:val="22"/>
          <w:vertAlign w:val="superscript"/>
        </w:rPr>
        <w:t xml:space="preserve"> </w:t>
      </w:r>
      <w:r w:rsidRPr="000B4E2C">
        <w:rPr>
          <w:sz w:val="22"/>
        </w:rPr>
        <w:t>Simon Sawhney</w:t>
      </w:r>
      <w:r w:rsidR="001F4F29" w:rsidRPr="000B4E2C">
        <w:rPr>
          <w:sz w:val="22"/>
        </w:rPr>
        <w:t>,</w:t>
      </w:r>
      <w:r w:rsidRPr="000B4E2C">
        <w:rPr>
          <w:sz w:val="22"/>
          <w:vertAlign w:val="superscript"/>
        </w:rPr>
        <w:t>5</w:t>
      </w:r>
      <w:r w:rsidR="001F4F29" w:rsidRPr="000B4E2C">
        <w:rPr>
          <w:sz w:val="22"/>
        </w:rPr>
        <w:t xml:space="preserve"> and </w:t>
      </w:r>
      <w:r w:rsidRPr="000B4E2C">
        <w:rPr>
          <w:sz w:val="22"/>
        </w:rPr>
        <w:t>Dwayne Boyers</w:t>
      </w:r>
      <w:r w:rsidRPr="000B4E2C">
        <w:rPr>
          <w:sz w:val="22"/>
          <w:vertAlign w:val="superscript"/>
        </w:rPr>
        <w:t>2</w:t>
      </w:r>
    </w:p>
    <w:p w14:paraId="151CFA2A" w14:textId="080C10F8" w:rsidR="002F0133" w:rsidRPr="000B4E2C" w:rsidRDefault="002F0133" w:rsidP="008A7464">
      <w:pPr>
        <w:pStyle w:val="FootnoteText"/>
        <w:tabs>
          <w:tab w:val="left" w:pos="2127"/>
        </w:tabs>
        <w:spacing w:line="360" w:lineRule="auto"/>
        <w:jc w:val="both"/>
        <w:rPr>
          <w:sz w:val="22"/>
          <w:szCs w:val="22"/>
        </w:rPr>
      </w:pPr>
      <w:r w:rsidRPr="000B4E2C">
        <w:rPr>
          <w:sz w:val="22"/>
          <w:szCs w:val="22"/>
        </w:rPr>
        <w:t>1 Health Services Research Unit, University of Aberdeen, UK</w:t>
      </w:r>
    </w:p>
    <w:p w14:paraId="13B5D5C2" w14:textId="46D635A7" w:rsidR="002F0133" w:rsidRPr="000B4E2C" w:rsidRDefault="002F0133" w:rsidP="008A7464">
      <w:pPr>
        <w:tabs>
          <w:tab w:val="left" w:pos="2127"/>
        </w:tabs>
        <w:rPr>
          <w:color w:val="FF0000"/>
          <w:sz w:val="22"/>
          <w:lang w:val="en-GB"/>
        </w:rPr>
      </w:pPr>
      <w:r w:rsidRPr="000B4E2C">
        <w:rPr>
          <w:sz w:val="22"/>
        </w:rPr>
        <w:t>2 Health Economics Research Unit, University of Aberdeen, UK</w:t>
      </w:r>
    </w:p>
    <w:p w14:paraId="41D6254E" w14:textId="51F363E9" w:rsidR="002F0133" w:rsidRPr="000B4E2C" w:rsidRDefault="002F0133" w:rsidP="008A7464">
      <w:pPr>
        <w:rPr>
          <w:bCs/>
          <w:iCs/>
          <w:color w:val="31849B"/>
          <w:sz w:val="22"/>
          <w:lang w:eastAsia="en-GB"/>
        </w:rPr>
      </w:pPr>
      <w:r w:rsidRPr="000B4E2C">
        <w:rPr>
          <w:sz w:val="22"/>
        </w:rPr>
        <w:t xml:space="preserve">3 </w:t>
      </w:r>
      <w:r w:rsidRPr="000B4E2C">
        <w:rPr>
          <w:bCs/>
          <w:iCs/>
          <w:sz w:val="22"/>
          <w:lang w:eastAsia="en-GB"/>
        </w:rPr>
        <w:t>Institute of Applied Health Sciences, University of Aberdeen, UK</w:t>
      </w:r>
    </w:p>
    <w:p w14:paraId="4F61F328" w14:textId="5316B75E" w:rsidR="002F0133" w:rsidRPr="000B4E2C" w:rsidRDefault="002F0133" w:rsidP="001F4F29">
      <w:pPr>
        <w:autoSpaceDE w:val="0"/>
        <w:autoSpaceDN w:val="0"/>
        <w:adjustRightInd w:val="0"/>
        <w:rPr>
          <w:sz w:val="22"/>
        </w:rPr>
      </w:pPr>
      <w:r w:rsidRPr="000B4E2C">
        <w:rPr>
          <w:sz w:val="22"/>
        </w:rPr>
        <w:t xml:space="preserve">4 </w:t>
      </w:r>
      <w:r w:rsidRPr="000B4E2C">
        <w:rPr>
          <w:rFonts w:eastAsiaTheme="minorHAnsi"/>
          <w:sz w:val="22"/>
          <w:lang w:val="en-GB"/>
        </w:rPr>
        <w:t>Consultant in Anaesthetics and Intensive Care Medicine</w:t>
      </w:r>
      <w:r w:rsidRPr="000B4E2C">
        <w:rPr>
          <w:rFonts w:eastAsiaTheme="minorHAnsi"/>
          <w:sz w:val="22"/>
        </w:rPr>
        <w:t xml:space="preserve">, </w:t>
      </w:r>
      <w:r w:rsidRPr="000B4E2C">
        <w:rPr>
          <w:sz w:val="22"/>
        </w:rPr>
        <w:t>NHS</w:t>
      </w:r>
      <w:r w:rsidR="000B4E2C" w:rsidRPr="000B4E2C">
        <w:rPr>
          <w:sz w:val="22"/>
        </w:rPr>
        <w:t xml:space="preserve"> </w:t>
      </w:r>
      <w:r w:rsidRPr="000B4E2C">
        <w:rPr>
          <w:sz w:val="22"/>
        </w:rPr>
        <w:t>Grampian, Aberdeen Royal Infirmary, Aberdeen, UK</w:t>
      </w:r>
    </w:p>
    <w:p w14:paraId="2BE3D3FC" w14:textId="77777777" w:rsidR="000B4E2C" w:rsidRPr="000B4E2C" w:rsidRDefault="002F0133" w:rsidP="001F4F29">
      <w:pPr>
        <w:autoSpaceDE w:val="0"/>
        <w:autoSpaceDN w:val="0"/>
        <w:adjustRightInd w:val="0"/>
        <w:rPr>
          <w:sz w:val="22"/>
        </w:rPr>
      </w:pPr>
      <w:r w:rsidRPr="000B4E2C">
        <w:rPr>
          <w:sz w:val="22"/>
        </w:rPr>
        <w:t xml:space="preserve">5 </w:t>
      </w:r>
      <w:r w:rsidRPr="000B4E2C">
        <w:rPr>
          <w:rFonts w:eastAsiaTheme="minorHAnsi"/>
          <w:sz w:val="22"/>
        </w:rPr>
        <w:t xml:space="preserve">Clinical Lecturer in Nephrology, </w:t>
      </w:r>
      <w:r w:rsidRPr="000B4E2C">
        <w:rPr>
          <w:sz w:val="22"/>
        </w:rPr>
        <w:t>University of Aberdeen, UK</w:t>
      </w:r>
    </w:p>
    <w:p w14:paraId="13C80EE9" w14:textId="77777777" w:rsidR="000B4E2C" w:rsidRPr="000B4E2C" w:rsidRDefault="001F4F29" w:rsidP="001F4F29">
      <w:pPr>
        <w:rPr>
          <w:b/>
          <w:sz w:val="22"/>
        </w:rPr>
      </w:pPr>
      <w:r w:rsidRPr="000B4E2C">
        <w:rPr>
          <w:b/>
          <w:sz w:val="22"/>
        </w:rPr>
        <w:t>*</w:t>
      </w:r>
      <w:r w:rsidR="002F0133" w:rsidRPr="000B4E2C">
        <w:rPr>
          <w:b/>
          <w:sz w:val="22"/>
        </w:rPr>
        <w:t>Correspond</w:t>
      </w:r>
      <w:r w:rsidRPr="000B4E2C">
        <w:rPr>
          <w:b/>
          <w:sz w:val="22"/>
        </w:rPr>
        <w:t>ing author</w:t>
      </w:r>
    </w:p>
    <w:p w14:paraId="39323B53" w14:textId="77777777" w:rsidR="000B4E2C" w:rsidRPr="000B4E2C" w:rsidRDefault="003B49F2" w:rsidP="003B49F2">
      <w:pPr>
        <w:rPr>
          <w:lang w:val="en-GB" w:eastAsia="en-GB"/>
        </w:rPr>
      </w:pPr>
      <w:r w:rsidRPr="000B4E2C">
        <w:rPr>
          <w:b/>
        </w:rPr>
        <w:t xml:space="preserve">Declared competing interests of the authors: </w:t>
      </w:r>
      <w:commentRangeStart w:id="3"/>
      <w:r w:rsidRPr="000B4E2C">
        <w:rPr>
          <w:lang w:val="en-GB" w:eastAsia="en-GB"/>
        </w:rPr>
        <w:t>Lorna Aucott</w:t>
      </w:r>
      <w:r w:rsidRPr="000B4E2C">
        <w:rPr>
          <w:bCs/>
        </w:rPr>
        <w:t xml:space="preserve"> is a member of the PHR funding committee.</w:t>
      </w:r>
      <w:commentRangeEnd w:id="3"/>
      <w:r w:rsidRPr="000B4E2C">
        <w:rPr>
          <w:rStyle w:val="CommentReference"/>
        </w:rPr>
        <w:commentReference w:id="3"/>
      </w:r>
    </w:p>
    <w:p w14:paraId="5DFF94D9" w14:textId="7CF0B3E4" w:rsidR="000B4E2C" w:rsidRPr="000B4E2C" w:rsidRDefault="002F0133" w:rsidP="008A7464">
      <w:pPr>
        <w:pStyle w:val="Heading1"/>
      </w:pPr>
      <w:r w:rsidRPr="000B4E2C">
        <w:t>Abstract</w:t>
      </w:r>
    </w:p>
    <w:p w14:paraId="3343E778" w14:textId="77777777" w:rsidR="000B4E2C" w:rsidRPr="000B4E2C" w:rsidRDefault="003B49F2" w:rsidP="003B49F2">
      <w:pPr>
        <w:rPr>
          <w:b/>
          <w:sz w:val="28"/>
          <w:szCs w:val="28"/>
        </w:rPr>
      </w:pPr>
      <w:r w:rsidRPr="000B4E2C">
        <w:rPr>
          <w:b/>
          <w:sz w:val="28"/>
          <w:szCs w:val="28"/>
        </w:rPr>
        <w:t>The ARCHITECT and Alinity urine NGAL assays, urine NephroCheck test, and urine and plasma BioPorto NGAL tests to help assess the risk of acute kidney injury for people who are being considered for admission to critical care</w:t>
      </w:r>
    </w:p>
    <w:p w14:paraId="42A50130" w14:textId="77777777" w:rsidR="000B4E2C" w:rsidRPr="000B4E2C" w:rsidRDefault="003B49F2" w:rsidP="003B49F2">
      <w:pPr>
        <w:rPr>
          <w:sz w:val="22"/>
          <w:vertAlign w:val="superscript"/>
        </w:rPr>
      </w:pPr>
      <w:r w:rsidRPr="000B4E2C">
        <w:rPr>
          <w:sz w:val="22"/>
        </w:rPr>
        <w:t>Miriam Brazzelli,</w:t>
      </w:r>
      <w:r w:rsidRPr="000B4E2C">
        <w:rPr>
          <w:sz w:val="22"/>
          <w:vertAlign w:val="superscript"/>
        </w:rPr>
        <w:t xml:space="preserve">1* </w:t>
      </w:r>
      <w:r w:rsidRPr="000B4E2C">
        <w:rPr>
          <w:sz w:val="22"/>
          <w:lang w:val="fr-FR"/>
        </w:rPr>
        <w:t>Lorna Aucott,</w:t>
      </w:r>
      <w:r w:rsidRPr="000B4E2C">
        <w:rPr>
          <w:sz w:val="22"/>
          <w:vertAlign w:val="superscript"/>
          <w:lang w:val="fr-FR"/>
        </w:rPr>
        <w:t xml:space="preserve">1 </w:t>
      </w:r>
      <w:r w:rsidRPr="000B4E2C">
        <w:rPr>
          <w:sz w:val="22"/>
          <w:lang w:val="fr-FR"/>
        </w:rPr>
        <w:t>Magaly Aceves-Martins,</w:t>
      </w:r>
      <w:r w:rsidRPr="000B4E2C">
        <w:rPr>
          <w:sz w:val="22"/>
          <w:vertAlign w:val="superscript"/>
          <w:lang w:val="fr-FR"/>
        </w:rPr>
        <w:t xml:space="preserve">1 </w:t>
      </w:r>
      <w:r w:rsidRPr="000B4E2C">
        <w:rPr>
          <w:sz w:val="22"/>
          <w:lang w:val="fr-FR"/>
        </w:rPr>
        <w:t>Clare Robertson,</w:t>
      </w:r>
      <w:r w:rsidRPr="000B4E2C">
        <w:rPr>
          <w:sz w:val="22"/>
          <w:vertAlign w:val="superscript"/>
          <w:lang w:val="fr-FR"/>
        </w:rPr>
        <w:t>1</w:t>
      </w:r>
      <w:r w:rsidRPr="000B4E2C">
        <w:rPr>
          <w:sz w:val="22"/>
          <w:lang w:val="fr-FR"/>
        </w:rPr>
        <w:t xml:space="preserve"> Elisabet Jacobsen,</w:t>
      </w:r>
      <w:r w:rsidRPr="000B4E2C">
        <w:rPr>
          <w:sz w:val="22"/>
          <w:vertAlign w:val="superscript"/>
          <w:lang w:val="fr-FR"/>
        </w:rPr>
        <w:t>2</w:t>
      </w:r>
      <w:r w:rsidRPr="000B4E2C">
        <w:rPr>
          <w:sz w:val="22"/>
          <w:lang w:val="fr-FR"/>
        </w:rPr>
        <w:t xml:space="preserve"> Mari Imamura,</w:t>
      </w:r>
      <w:r w:rsidRPr="000B4E2C">
        <w:rPr>
          <w:sz w:val="22"/>
          <w:vertAlign w:val="superscript"/>
          <w:lang w:val="fr-FR"/>
        </w:rPr>
        <w:t xml:space="preserve">1 </w:t>
      </w:r>
      <w:r w:rsidRPr="000B4E2C">
        <w:rPr>
          <w:sz w:val="22"/>
          <w:lang w:val="fr-FR"/>
        </w:rPr>
        <w:t>Amudha Poobalan,</w:t>
      </w:r>
      <w:r w:rsidRPr="000B4E2C">
        <w:rPr>
          <w:sz w:val="22"/>
          <w:vertAlign w:val="superscript"/>
          <w:lang w:val="fr-FR"/>
        </w:rPr>
        <w:t>3</w:t>
      </w:r>
      <w:r w:rsidRPr="000B4E2C">
        <w:rPr>
          <w:sz w:val="22"/>
          <w:lang w:val="fr-FR"/>
        </w:rPr>
        <w:t xml:space="preserve"> Paul Manson,</w:t>
      </w:r>
      <w:r w:rsidRPr="000B4E2C">
        <w:rPr>
          <w:sz w:val="22"/>
          <w:vertAlign w:val="superscript"/>
          <w:lang w:val="fr-FR"/>
        </w:rPr>
        <w:t xml:space="preserve">1 </w:t>
      </w:r>
      <w:r w:rsidRPr="000B4E2C">
        <w:rPr>
          <w:sz w:val="22"/>
          <w:lang w:val="fr-FR"/>
        </w:rPr>
        <w:t>Graham Scotland,</w:t>
      </w:r>
      <w:r w:rsidRPr="000B4E2C">
        <w:rPr>
          <w:sz w:val="22"/>
          <w:vertAlign w:val="superscript"/>
          <w:lang w:val="fr-FR"/>
        </w:rPr>
        <w:t xml:space="preserve">1,2 </w:t>
      </w:r>
      <w:r w:rsidRPr="000B4E2C">
        <w:rPr>
          <w:sz w:val="22"/>
        </w:rPr>
        <w:t>Callum Kaye,</w:t>
      </w:r>
      <w:r w:rsidRPr="000B4E2C">
        <w:rPr>
          <w:sz w:val="22"/>
          <w:vertAlign w:val="superscript"/>
        </w:rPr>
        <w:t xml:space="preserve">4 </w:t>
      </w:r>
      <w:r w:rsidRPr="000B4E2C">
        <w:rPr>
          <w:sz w:val="22"/>
        </w:rPr>
        <w:t>Simon Sawhney,</w:t>
      </w:r>
      <w:r w:rsidRPr="000B4E2C">
        <w:rPr>
          <w:sz w:val="22"/>
          <w:vertAlign w:val="superscript"/>
        </w:rPr>
        <w:t>5</w:t>
      </w:r>
      <w:r w:rsidRPr="000B4E2C">
        <w:rPr>
          <w:sz w:val="22"/>
        </w:rPr>
        <w:t xml:space="preserve"> and Dwayne Boyers</w:t>
      </w:r>
      <w:r w:rsidRPr="000B4E2C">
        <w:rPr>
          <w:sz w:val="22"/>
          <w:vertAlign w:val="superscript"/>
        </w:rPr>
        <w:t>2</w:t>
      </w:r>
    </w:p>
    <w:p w14:paraId="0F2F2C84" w14:textId="4F13B8CA" w:rsidR="003B49F2" w:rsidRPr="000B4E2C" w:rsidRDefault="003B49F2" w:rsidP="003B49F2">
      <w:pPr>
        <w:pStyle w:val="FootnoteText"/>
        <w:tabs>
          <w:tab w:val="left" w:pos="2127"/>
        </w:tabs>
        <w:spacing w:line="360" w:lineRule="auto"/>
        <w:jc w:val="both"/>
        <w:rPr>
          <w:sz w:val="22"/>
          <w:szCs w:val="22"/>
        </w:rPr>
      </w:pPr>
      <w:r w:rsidRPr="000B4E2C">
        <w:rPr>
          <w:sz w:val="22"/>
          <w:szCs w:val="22"/>
        </w:rPr>
        <w:t>1 Health Services Research Unit, University of Aberdeen, UK</w:t>
      </w:r>
    </w:p>
    <w:p w14:paraId="1FCB79FB" w14:textId="77777777" w:rsidR="003B49F2" w:rsidRPr="000B4E2C" w:rsidRDefault="003B49F2" w:rsidP="003B49F2">
      <w:pPr>
        <w:tabs>
          <w:tab w:val="left" w:pos="2127"/>
        </w:tabs>
        <w:rPr>
          <w:color w:val="FF0000"/>
          <w:sz w:val="22"/>
          <w:lang w:val="en-GB"/>
        </w:rPr>
      </w:pPr>
      <w:r w:rsidRPr="000B4E2C">
        <w:rPr>
          <w:sz w:val="22"/>
        </w:rPr>
        <w:t>2 Health Economics Research Unit, University of Aberdeen, UK</w:t>
      </w:r>
    </w:p>
    <w:p w14:paraId="5C13443C" w14:textId="77777777" w:rsidR="003B49F2" w:rsidRPr="000B4E2C" w:rsidRDefault="003B49F2" w:rsidP="003B49F2">
      <w:pPr>
        <w:rPr>
          <w:bCs/>
          <w:iCs/>
          <w:color w:val="31849B"/>
          <w:sz w:val="22"/>
          <w:lang w:eastAsia="en-GB"/>
        </w:rPr>
      </w:pPr>
      <w:r w:rsidRPr="000B4E2C">
        <w:rPr>
          <w:sz w:val="22"/>
        </w:rPr>
        <w:t xml:space="preserve">3 </w:t>
      </w:r>
      <w:r w:rsidRPr="000B4E2C">
        <w:rPr>
          <w:bCs/>
          <w:iCs/>
          <w:sz w:val="22"/>
          <w:lang w:eastAsia="en-GB"/>
        </w:rPr>
        <w:t>Institute of Applied Health Sciences, University of Aberdeen, UK</w:t>
      </w:r>
    </w:p>
    <w:p w14:paraId="6A2D9885" w14:textId="4ABE9FDA" w:rsidR="003B49F2" w:rsidRPr="000B4E2C" w:rsidRDefault="003B49F2" w:rsidP="003B49F2">
      <w:pPr>
        <w:autoSpaceDE w:val="0"/>
        <w:autoSpaceDN w:val="0"/>
        <w:adjustRightInd w:val="0"/>
        <w:rPr>
          <w:sz w:val="22"/>
        </w:rPr>
      </w:pPr>
      <w:r w:rsidRPr="000B4E2C">
        <w:rPr>
          <w:sz w:val="22"/>
        </w:rPr>
        <w:t xml:space="preserve">4 </w:t>
      </w:r>
      <w:r w:rsidRPr="000B4E2C">
        <w:rPr>
          <w:rFonts w:eastAsiaTheme="minorHAnsi"/>
          <w:sz w:val="22"/>
          <w:lang w:val="en-GB"/>
        </w:rPr>
        <w:t>Consultant in Anaesthetics and Intensive Care Medicine</w:t>
      </w:r>
      <w:r w:rsidRPr="000B4E2C">
        <w:rPr>
          <w:rFonts w:eastAsiaTheme="minorHAnsi"/>
          <w:sz w:val="22"/>
        </w:rPr>
        <w:t xml:space="preserve">, </w:t>
      </w:r>
      <w:r w:rsidRPr="000B4E2C">
        <w:rPr>
          <w:sz w:val="22"/>
        </w:rPr>
        <w:t>NHS</w:t>
      </w:r>
      <w:r w:rsidR="000B4E2C" w:rsidRPr="000B4E2C">
        <w:rPr>
          <w:sz w:val="22"/>
        </w:rPr>
        <w:t xml:space="preserve"> </w:t>
      </w:r>
      <w:r w:rsidRPr="000B4E2C">
        <w:rPr>
          <w:sz w:val="22"/>
        </w:rPr>
        <w:t>Grampian, Aberdeen Royal Infirmary, Aberdeen, UK</w:t>
      </w:r>
    </w:p>
    <w:p w14:paraId="4EFBC116" w14:textId="77777777" w:rsidR="000B4E2C" w:rsidRPr="000B4E2C" w:rsidRDefault="003B49F2" w:rsidP="003B49F2">
      <w:pPr>
        <w:autoSpaceDE w:val="0"/>
        <w:autoSpaceDN w:val="0"/>
        <w:adjustRightInd w:val="0"/>
        <w:rPr>
          <w:sz w:val="22"/>
        </w:rPr>
      </w:pPr>
      <w:r w:rsidRPr="000B4E2C">
        <w:rPr>
          <w:sz w:val="22"/>
        </w:rPr>
        <w:t xml:space="preserve">5 </w:t>
      </w:r>
      <w:r w:rsidRPr="000B4E2C">
        <w:rPr>
          <w:rFonts w:eastAsiaTheme="minorHAnsi"/>
          <w:sz w:val="22"/>
        </w:rPr>
        <w:t xml:space="preserve">Clinical Lecturer in Nephrology, </w:t>
      </w:r>
      <w:r w:rsidRPr="000B4E2C">
        <w:rPr>
          <w:sz w:val="22"/>
        </w:rPr>
        <w:t>University of Aberdeen, UK</w:t>
      </w:r>
    </w:p>
    <w:p w14:paraId="35A9F74F" w14:textId="77777777" w:rsidR="000B4E2C" w:rsidRPr="000B4E2C" w:rsidRDefault="003B49F2" w:rsidP="003B49F2">
      <w:pPr>
        <w:rPr>
          <w:b/>
          <w:sz w:val="22"/>
        </w:rPr>
      </w:pPr>
      <w:r w:rsidRPr="000B4E2C">
        <w:rPr>
          <w:b/>
          <w:sz w:val="22"/>
        </w:rPr>
        <w:t xml:space="preserve">*Corresponding author </w:t>
      </w:r>
      <w:r w:rsidRPr="000B4E2C">
        <w:rPr>
          <w:bCs/>
          <w:sz w:val="22"/>
        </w:rPr>
        <w:t>m.brazzelli@abdn.ac.uk</w:t>
      </w:r>
    </w:p>
    <w:p w14:paraId="1BFC7BEF" w14:textId="2B2B42AF" w:rsidR="00B50117" w:rsidRPr="000B4E2C" w:rsidRDefault="00B50117" w:rsidP="00B50117">
      <w:pPr>
        <w:rPr>
          <w:b/>
          <w:szCs w:val="24"/>
        </w:rPr>
      </w:pPr>
      <w:r w:rsidRPr="000B4E2C">
        <w:rPr>
          <w:b/>
          <w:szCs w:val="24"/>
        </w:rPr>
        <w:t>Background</w:t>
      </w:r>
    </w:p>
    <w:p w14:paraId="0532515C" w14:textId="77777777" w:rsidR="000B4E2C" w:rsidRPr="000B4E2C" w:rsidRDefault="00061219" w:rsidP="00061219">
      <w:r w:rsidRPr="000B4E2C">
        <w:t xml:space="preserve">Acute kidney injury (AKI) is a serious complication that occurs in the context of an acute critical illness or during a postoperative period. Earlier detection of AKI may facilitate strategies to preserve renal function, prevent further </w:t>
      </w:r>
      <w:r w:rsidR="006338B4" w:rsidRPr="000B4E2C">
        <w:t xml:space="preserve">disease </w:t>
      </w:r>
      <w:r w:rsidRPr="000B4E2C">
        <w:t>progression, and reduce mortality. AKI diagnosis relies on a rise in serum creatinine levels and/or a fall in urine output; however, creatinine is an imperfect marker of kidney function. There is interest in the performance of n</w:t>
      </w:r>
      <w:r w:rsidR="007836C4" w:rsidRPr="000B4E2C">
        <w:t xml:space="preserve">ovel </w:t>
      </w:r>
      <w:r w:rsidRPr="000B4E2C">
        <w:t xml:space="preserve">biomarkers used in conjunction with existing clinical assessment, such as </w:t>
      </w:r>
      <w:r w:rsidRPr="000B4E2C">
        <w:rPr>
          <w:lang w:val="en-GB"/>
        </w:rPr>
        <w:t>NephroCheck, ARCHITECT urine NGAL, and urine and plasma BioPorto NGAL immunoassays</w:t>
      </w:r>
      <w:r w:rsidRPr="000B4E2C">
        <w:t>. If reliable, these biomarkers may enable earl</w:t>
      </w:r>
      <w:r w:rsidR="007836C4" w:rsidRPr="000B4E2C">
        <w:t xml:space="preserve">ier identification of AKI and </w:t>
      </w:r>
      <w:r w:rsidRPr="000B4E2C">
        <w:t>enhance management of those with a modifiable disease course.</w:t>
      </w:r>
    </w:p>
    <w:p w14:paraId="6044E534" w14:textId="54817354" w:rsidR="00B50117" w:rsidRPr="000B4E2C" w:rsidRDefault="00B50117" w:rsidP="00B50117">
      <w:pPr>
        <w:rPr>
          <w:b/>
          <w:szCs w:val="24"/>
        </w:rPr>
      </w:pPr>
      <w:r w:rsidRPr="000B4E2C">
        <w:rPr>
          <w:b/>
          <w:szCs w:val="24"/>
        </w:rPr>
        <w:t>Objectives</w:t>
      </w:r>
    </w:p>
    <w:p w14:paraId="0A76BA63" w14:textId="77777777" w:rsidR="000B4E2C" w:rsidRPr="000B4E2C" w:rsidRDefault="00B50117" w:rsidP="00B50117">
      <w:r w:rsidRPr="000B4E2C">
        <w:t xml:space="preserve">To evaluate the role of biomarkers </w:t>
      </w:r>
      <w:r w:rsidRPr="000B4E2C">
        <w:rPr>
          <w:lang w:val="en-GB"/>
        </w:rPr>
        <w:t>for assessing AKI in critically ill patients who are considered for admissi</w:t>
      </w:r>
      <w:r w:rsidR="007836C4" w:rsidRPr="000B4E2C">
        <w:rPr>
          <w:lang w:val="en-GB"/>
        </w:rPr>
        <w:t>on to critical care</w:t>
      </w:r>
      <w:r w:rsidRPr="000B4E2C">
        <w:rPr>
          <w:lang w:val="en-GB"/>
        </w:rPr>
        <w:t>.</w:t>
      </w:r>
    </w:p>
    <w:p w14:paraId="0D9A2E08" w14:textId="7667E2DA" w:rsidR="00B50117" w:rsidRPr="000B4E2C" w:rsidRDefault="00B50117" w:rsidP="00B50117">
      <w:pPr>
        <w:rPr>
          <w:b/>
          <w:szCs w:val="24"/>
        </w:rPr>
      </w:pPr>
      <w:r w:rsidRPr="000B4E2C">
        <w:rPr>
          <w:b/>
          <w:szCs w:val="24"/>
          <w:highlight w:val="magenta"/>
        </w:rPr>
        <w:t>Data</w:t>
      </w:r>
      <w:r w:rsidRPr="000B4E2C">
        <w:rPr>
          <w:b/>
          <w:szCs w:val="24"/>
        </w:rPr>
        <w:t xml:space="preserve"> sources</w:t>
      </w:r>
    </w:p>
    <w:p w14:paraId="2F7D0A09" w14:textId="77777777" w:rsidR="000B4E2C" w:rsidRPr="000B4E2C" w:rsidRDefault="00B50117" w:rsidP="00B50117">
      <w:pPr>
        <w:rPr>
          <w:szCs w:val="24"/>
        </w:rPr>
      </w:pPr>
      <w:r w:rsidRPr="000B4E2C">
        <w:rPr>
          <w:szCs w:val="24"/>
        </w:rPr>
        <w:t>We searched major electronic databases, conference abstra</w:t>
      </w:r>
      <w:r w:rsidR="007836C4" w:rsidRPr="000B4E2C">
        <w:rPr>
          <w:szCs w:val="24"/>
        </w:rPr>
        <w:t xml:space="preserve">cts and ongoing studies up to </w:t>
      </w:r>
      <w:r w:rsidRPr="000B4E2C">
        <w:rPr>
          <w:szCs w:val="24"/>
        </w:rPr>
        <w:t>June 2019.</w:t>
      </w:r>
    </w:p>
    <w:p w14:paraId="0B235E69" w14:textId="07D91EBE" w:rsidR="00B50117" w:rsidRPr="000B4E2C" w:rsidRDefault="00B50117" w:rsidP="00B50117">
      <w:pPr>
        <w:rPr>
          <w:b/>
          <w:szCs w:val="24"/>
        </w:rPr>
      </w:pPr>
      <w:r w:rsidRPr="000B4E2C">
        <w:rPr>
          <w:b/>
          <w:szCs w:val="24"/>
        </w:rPr>
        <w:t>Methods</w:t>
      </w:r>
    </w:p>
    <w:p w14:paraId="161BD5BB" w14:textId="77777777" w:rsidR="000B4E2C" w:rsidRPr="000B4E2C" w:rsidRDefault="00061219" w:rsidP="00061219">
      <w:pPr>
        <w:rPr>
          <w:szCs w:val="24"/>
        </w:rPr>
      </w:pPr>
      <w:r w:rsidRPr="000B4E2C">
        <w:rPr>
          <w:szCs w:val="24"/>
        </w:rPr>
        <w:t xml:space="preserve">Systematic review and meta-analysis to evaluate the performance of biomarkers for detection of AKI and prediction of relevant clinical outcomes. Random effects models were adopted to combine evidence. A decision tree was developed to evaluate costs and QALYs accrued </w:t>
      </w:r>
      <w:r w:rsidRPr="000B4E2C">
        <w:rPr>
          <w:szCs w:val="24"/>
          <w:highlight w:val="magenta"/>
        </w:rPr>
        <w:t>due to</w:t>
      </w:r>
      <w:r w:rsidRPr="000B4E2C">
        <w:rPr>
          <w:szCs w:val="24"/>
        </w:rPr>
        <w:t xml:space="preserve"> changes in short-term outcomes </w:t>
      </w:r>
      <w:r w:rsidR="006944C2" w:rsidRPr="000B4E2C">
        <w:rPr>
          <w:szCs w:val="24"/>
        </w:rPr>
        <w:t xml:space="preserve">(up to 90 days) </w:t>
      </w:r>
      <w:r w:rsidRPr="000B4E2C">
        <w:rPr>
          <w:szCs w:val="24"/>
        </w:rPr>
        <w:t>and a Markov model used to extrapolate results over a lifetime horizon.</w:t>
      </w:r>
    </w:p>
    <w:p w14:paraId="028C45A4" w14:textId="6AF6B8C9" w:rsidR="00B50117" w:rsidRPr="000B4E2C" w:rsidRDefault="00B50117" w:rsidP="00B50117">
      <w:pPr>
        <w:rPr>
          <w:b/>
          <w:szCs w:val="24"/>
        </w:rPr>
      </w:pPr>
      <w:r w:rsidRPr="000B4E2C">
        <w:rPr>
          <w:b/>
          <w:szCs w:val="24"/>
        </w:rPr>
        <w:t>Results</w:t>
      </w:r>
    </w:p>
    <w:p w14:paraId="5AE2D880" w14:textId="77777777" w:rsidR="000B4E2C" w:rsidRPr="000B4E2C" w:rsidRDefault="006944C2" w:rsidP="00061219">
      <w:pPr>
        <w:rPr>
          <w:szCs w:val="24"/>
        </w:rPr>
      </w:pPr>
      <w:r w:rsidRPr="000B4E2C">
        <w:rPr>
          <w:szCs w:val="24"/>
        </w:rPr>
        <w:lastRenderedPageBreak/>
        <w:t xml:space="preserve">A total of </w:t>
      </w:r>
      <w:r w:rsidR="00061219" w:rsidRPr="000B4E2C">
        <w:rPr>
          <w:szCs w:val="24"/>
        </w:rPr>
        <w:t>56 studies</w:t>
      </w:r>
      <w:r w:rsidRPr="000B4E2C">
        <w:rPr>
          <w:szCs w:val="24"/>
        </w:rPr>
        <w:t xml:space="preserve"> (17967 participants)</w:t>
      </w:r>
      <w:r w:rsidR="00061219" w:rsidRPr="000B4E2C">
        <w:rPr>
          <w:szCs w:val="24"/>
        </w:rPr>
        <w:t xml:space="preserve">, mainly prospective cohorts, </w:t>
      </w:r>
      <w:r w:rsidRPr="000B4E2C">
        <w:rPr>
          <w:szCs w:val="24"/>
        </w:rPr>
        <w:t>were selected for inclusion</w:t>
      </w:r>
      <w:r w:rsidR="007836C4" w:rsidRPr="000B4E2C">
        <w:rPr>
          <w:szCs w:val="24"/>
        </w:rPr>
        <w:t>. There were no</w:t>
      </w:r>
      <w:r w:rsidR="00061219" w:rsidRPr="000B4E2C">
        <w:rPr>
          <w:szCs w:val="24"/>
        </w:rPr>
        <w:t xml:space="preserve"> studies addressing the clinical impact of the use of biomarkers over patient outc</w:t>
      </w:r>
      <w:r w:rsidR="007836C4" w:rsidRPr="000B4E2C">
        <w:rPr>
          <w:szCs w:val="24"/>
        </w:rPr>
        <w:t>omes compared with standard care</w:t>
      </w:r>
      <w:r w:rsidR="00061219" w:rsidRPr="000B4E2C">
        <w:rPr>
          <w:szCs w:val="24"/>
        </w:rPr>
        <w:t xml:space="preserve">. The main sources of bias across studies were a lack of information on blinding and the optimal threshold for NGAL. </w:t>
      </w:r>
      <w:r w:rsidRPr="000B4E2C">
        <w:rPr>
          <w:szCs w:val="24"/>
        </w:rPr>
        <w:t>F</w:t>
      </w:r>
      <w:r w:rsidR="00061219" w:rsidRPr="000B4E2C">
        <w:rPr>
          <w:szCs w:val="24"/>
        </w:rPr>
        <w:t>or prediction studies</w:t>
      </w:r>
      <w:r w:rsidRPr="000B4E2C">
        <w:rPr>
          <w:szCs w:val="24"/>
        </w:rPr>
        <w:t>,</w:t>
      </w:r>
      <w:r w:rsidR="00061219" w:rsidRPr="000B4E2C">
        <w:rPr>
          <w:szCs w:val="24"/>
        </w:rPr>
        <w:t xml:space="preserve"> the reporting of statistical details was limited.</w:t>
      </w:r>
    </w:p>
    <w:p w14:paraId="3669054B" w14:textId="77777777" w:rsidR="000B4E2C" w:rsidRPr="000B4E2C" w:rsidRDefault="00061219" w:rsidP="00061219">
      <w:pPr>
        <w:rPr>
          <w:szCs w:val="24"/>
        </w:rPr>
      </w:pPr>
      <w:r w:rsidRPr="000B4E2C">
        <w:rPr>
          <w:szCs w:val="24"/>
        </w:rPr>
        <w:t xml:space="preserve">While </w:t>
      </w:r>
      <w:r w:rsidR="006944C2" w:rsidRPr="000B4E2C">
        <w:rPr>
          <w:szCs w:val="24"/>
        </w:rPr>
        <w:t>the</w:t>
      </w:r>
      <w:r w:rsidRPr="000B4E2C">
        <w:rPr>
          <w:szCs w:val="24"/>
        </w:rPr>
        <w:t xml:space="preserve"> meta-analyses </w:t>
      </w:r>
      <w:r w:rsidR="006944C2" w:rsidRPr="000B4E2C">
        <w:rPr>
          <w:szCs w:val="24"/>
        </w:rPr>
        <w:t xml:space="preserve">results </w:t>
      </w:r>
      <w:r w:rsidRPr="000B4E2C">
        <w:rPr>
          <w:szCs w:val="24"/>
        </w:rPr>
        <w:t>show</w:t>
      </w:r>
      <w:r w:rsidR="006944C2" w:rsidRPr="000B4E2C">
        <w:rPr>
          <w:szCs w:val="24"/>
        </w:rPr>
        <w:t>ed</w:t>
      </w:r>
      <w:r w:rsidRPr="000B4E2C">
        <w:rPr>
          <w:szCs w:val="24"/>
        </w:rPr>
        <w:t xml:space="preserve"> the potential ability of the</w:t>
      </w:r>
      <w:r w:rsidR="00E554D9" w:rsidRPr="000B4E2C">
        <w:rPr>
          <w:szCs w:val="24"/>
        </w:rPr>
        <w:t>se</w:t>
      </w:r>
      <w:r w:rsidRPr="000B4E2C">
        <w:rPr>
          <w:szCs w:val="24"/>
        </w:rPr>
        <w:t xml:space="preserve"> biomarkers to detect and predict AKI, there were limited </w:t>
      </w:r>
      <w:r w:rsidRPr="000B4E2C">
        <w:rPr>
          <w:szCs w:val="24"/>
          <w:highlight w:val="magenta"/>
        </w:rPr>
        <w:t>data</w:t>
      </w:r>
      <w:r w:rsidRPr="000B4E2C">
        <w:rPr>
          <w:szCs w:val="24"/>
        </w:rPr>
        <w:t xml:space="preserve"> to establish any causal link with hard clinical outcomes</w:t>
      </w:r>
      <w:r w:rsidR="006944C2" w:rsidRPr="000B4E2C">
        <w:rPr>
          <w:szCs w:val="24"/>
        </w:rPr>
        <w:t xml:space="preserve"> and considerable </w:t>
      </w:r>
      <w:r w:rsidR="00B572CD" w:rsidRPr="000B4E2C">
        <w:rPr>
          <w:szCs w:val="24"/>
        </w:rPr>
        <w:t>clinical differences</w:t>
      </w:r>
      <w:r w:rsidR="006944C2" w:rsidRPr="000B4E2C">
        <w:rPr>
          <w:szCs w:val="24"/>
        </w:rPr>
        <w:t xml:space="preserve"> across studies</w:t>
      </w:r>
      <w:r w:rsidRPr="000B4E2C">
        <w:rPr>
          <w:szCs w:val="24"/>
        </w:rPr>
        <w:t>.</w:t>
      </w:r>
    </w:p>
    <w:p w14:paraId="00CDF7C6" w14:textId="39A32E5B" w:rsidR="000B4E2C" w:rsidRPr="000B4E2C" w:rsidRDefault="00D22DC8" w:rsidP="00061219">
      <w:pPr>
        <w:rPr>
          <w:szCs w:val="24"/>
        </w:rPr>
      </w:pPr>
      <w:r w:rsidRPr="000B4E2C">
        <w:rPr>
          <w:szCs w:val="24"/>
        </w:rPr>
        <w:t xml:space="preserve">Cost-effectiveness results were highly uncertain, largely speculative and should be interpreted with caution </w:t>
      </w:r>
      <w:r w:rsidR="000B4E2C" w:rsidRPr="000B4E2C">
        <w:rPr>
          <w:color w:val="00B0F0"/>
          <w:szCs w:val="24"/>
        </w:rPr>
        <w:t>in the light of</w:t>
      </w:r>
      <w:r w:rsidRPr="000B4E2C">
        <w:rPr>
          <w:szCs w:val="24"/>
        </w:rPr>
        <w:t xml:space="preserve"> the limited evidence base. </w:t>
      </w:r>
      <w:r w:rsidR="00A417B8" w:rsidRPr="000B4E2C">
        <w:rPr>
          <w:szCs w:val="24"/>
        </w:rPr>
        <w:t>To illustrate the current uncertainty, f</w:t>
      </w:r>
      <w:r w:rsidRPr="000B4E2C">
        <w:rPr>
          <w:szCs w:val="24"/>
        </w:rPr>
        <w:t>ifteen scenario analyses were undertaken. Incremental QALYs were very low across all scenarios, ranging from positive to negative increments.</w:t>
      </w:r>
      <w:r w:rsidR="000B4E2C" w:rsidRPr="000B4E2C">
        <w:rPr>
          <w:szCs w:val="24"/>
        </w:rPr>
        <w:t xml:space="preserve"> </w:t>
      </w:r>
      <w:r w:rsidRPr="000B4E2C">
        <w:rPr>
          <w:szCs w:val="24"/>
        </w:rPr>
        <w:t xml:space="preserve">Incremental costs were also small in general, with some scenarios generating cost savings with tests dominant over standard care (cost savings with QALY gains). However, other scenarios generated results where the candidate tests were more costly with fewer QALYs, and were thus dominated by standard care. Therefore, it was not possible to determine a plausible base case ICER for the tests </w:t>
      </w:r>
      <w:r w:rsidRPr="000B4E2C">
        <w:rPr>
          <w:szCs w:val="24"/>
          <w:highlight w:val="magenta"/>
        </w:rPr>
        <w:t>compared to</w:t>
      </w:r>
      <w:r w:rsidRPr="000B4E2C">
        <w:rPr>
          <w:szCs w:val="24"/>
        </w:rPr>
        <w:t xml:space="preserve"> standard care.</w:t>
      </w:r>
    </w:p>
    <w:p w14:paraId="474A3EB4" w14:textId="75FCDD98" w:rsidR="00B50117" w:rsidRPr="000B4E2C" w:rsidRDefault="00B50117" w:rsidP="00B50117">
      <w:pPr>
        <w:rPr>
          <w:b/>
          <w:szCs w:val="24"/>
        </w:rPr>
      </w:pPr>
      <w:r w:rsidRPr="000B4E2C">
        <w:rPr>
          <w:b/>
          <w:szCs w:val="24"/>
        </w:rPr>
        <w:t>Limitations</w:t>
      </w:r>
    </w:p>
    <w:p w14:paraId="3DDAD763" w14:textId="77777777" w:rsidR="000B4E2C" w:rsidRPr="000B4E2C" w:rsidRDefault="008E673A" w:rsidP="00B50117">
      <w:pPr>
        <w:rPr>
          <w:szCs w:val="24"/>
        </w:rPr>
      </w:pPr>
      <w:r w:rsidRPr="000B4E2C">
        <w:rPr>
          <w:szCs w:val="24"/>
        </w:rPr>
        <w:t xml:space="preserve">Clinical </w:t>
      </w:r>
      <w:r w:rsidR="007B735E" w:rsidRPr="000B4E2C">
        <w:rPr>
          <w:szCs w:val="24"/>
        </w:rPr>
        <w:t>and cost-</w:t>
      </w:r>
      <w:r w:rsidRPr="000B4E2C">
        <w:rPr>
          <w:szCs w:val="24"/>
        </w:rPr>
        <w:t>effective</w:t>
      </w:r>
      <w:r w:rsidR="00DF5680" w:rsidRPr="000B4E2C">
        <w:rPr>
          <w:szCs w:val="24"/>
        </w:rPr>
        <w:t xml:space="preserve">ness results were hampered by the considerable heterogeneity across identified studies. </w:t>
      </w:r>
      <w:r w:rsidR="007B735E" w:rsidRPr="000B4E2C">
        <w:rPr>
          <w:szCs w:val="24"/>
        </w:rPr>
        <w:t xml:space="preserve">Economic model </w:t>
      </w:r>
      <w:r w:rsidR="00024FA4" w:rsidRPr="000B4E2C">
        <w:rPr>
          <w:szCs w:val="24"/>
        </w:rPr>
        <w:t>predictions</w:t>
      </w:r>
      <w:r w:rsidR="007B735E" w:rsidRPr="000B4E2C">
        <w:rPr>
          <w:szCs w:val="24"/>
        </w:rPr>
        <w:t xml:space="preserve"> </w:t>
      </w:r>
      <w:r w:rsidR="00B50117" w:rsidRPr="000B4E2C">
        <w:rPr>
          <w:szCs w:val="24"/>
        </w:rPr>
        <w:t xml:space="preserve">should </w:t>
      </w:r>
      <w:r w:rsidRPr="000B4E2C">
        <w:rPr>
          <w:szCs w:val="24"/>
        </w:rPr>
        <w:t xml:space="preserve">also </w:t>
      </w:r>
      <w:r w:rsidR="00B50117" w:rsidRPr="000B4E2C">
        <w:rPr>
          <w:szCs w:val="24"/>
        </w:rPr>
        <w:t xml:space="preserve">be interpreted </w:t>
      </w:r>
      <w:r w:rsidR="00024FA4" w:rsidRPr="000B4E2C">
        <w:rPr>
          <w:szCs w:val="24"/>
        </w:rPr>
        <w:t>cautiously</w:t>
      </w:r>
      <w:r w:rsidRPr="000B4E2C">
        <w:rPr>
          <w:szCs w:val="24"/>
        </w:rPr>
        <w:t xml:space="preserve"> </w:t>
      </w:r>
      <w:r w:rsidR="00DF5680" w:rsidRPr="000B4E2C">
        <w:rPr>
          <w:szCs w:val="24"/>
          <w:highlight w:val="magenta"/>
        </w:rPr>
        <w:t>due to</w:t>
      </w:r>
      <w:r w:rsidR="00DF5680" w:rsidRPr="000B4E2C">
        <w:rPr>
          <w:szCs w:val="24"/>
        </w:rPr>
        <w:t xml:space="preserve"> </w:t>
      </w:r>
      <w:r w:rsidR="00FB6AC2" w:rsidRPr="000B4E2C">
        <w:rPr>
          <w:szCs w:val="24"/>
        </w:rPr>
        <w:t>the unknown impact of NGAL</w:t>
      </w:r>
      <w:r w:rsidR="00523940" w:rsidRPr="000B4E2C">
        <w:rPr>
          <w:szCs w:val="24"/>
        </w:rPr>
        <w:t>-</w:t>
      </w:r>
      <w:r w:rsidR="00FB6AC2" w:rsidRPr="000B4E2C">
        <w:rPr>
          <w:szCs w:val="24"/>
        </w:rPr>
        <w:t>guided treatment</w:t>
      </w:r>
      <w:r w:rsidR="00B50117" w:rsidRPr="000B4E2C">
        <w:rPr>
          <w:szCs w:val="24"/>
        </w:rPr>
        <w:t xml:space="preserve">, and uncertain causal links between changes in AKI status </w:t>
      </w:r>
      <w:r w:rsidR="007836C4" w:rsidRPr="000B4E2C">
        <w:rPr>
          <w:szCs w:val="24"/>
        </w:rPr>
        <w:t>and changes in health outcomes</w:t>
      </w:r>
      <w:r w:rsidR="00DF5680" w:rsidRPr="000B4E2C">
        <w:rPr>
          <w:szCs w:val="24"/>
        </w:rPr>
        <w:t>.</w:t>
      </w:r>
    </w:p>
    <w:p w14:paraId="50386695" w14:textId="78A71B9A" w:rsidR="00B50117" w:rsidRPr="000B4E2C" w:rsidRDefault="00B50117" w:rsidP="00B50117">
      <w:pPr>
        <w:rPr>
          <w:b/>
          <w:szCs w:val="24"/>
        </w:rPr>
      </w:pPr>
      <w:r w:rsidRPr="000B4E2C">
        <w:rPr>
          <w:b/>
          <w:szCs w:val="24"/>
        </w:rPr>
        <w:t>Conclusions</w:t>
      </w:r>
    </w:p>
    <w:p w14:paraId="1849AEF6" w14:textId="77777777" w:rsidR="000B4E2C" w:rsidRPr="000B4E2C" w:rsidRDefault="00FB6AC2" w:rsidP="00B50117">
      <w:pPr>
        <w:rPr>
          <w:szCs w:val="24"/>
        </w:rPr>
      </w:pPr>
      <w:r w:rsidRPr="000B4E2C">
        <w:rPr>
          <w:szCs w:val="24"/>
        </w:rPr>
        <w:t xml:space="preserve">Current evidence </w:t>
      </w:r>
      <w:r w:rsidR="00B50117" w:rsidRPr="000B4E2C">
        <w:rPr>
          <w:szCs w:val="24"/>
        </w:rPr>
        <w:t>is insufficient to make a full appraisal of the role and economic value of these biomarkers and determine whether they provide cost-effective improvements in clinical outcomes of AKI patients.</w:t>
      </w:r>
    </w:p>
    <w:p w14:paraId="311D2A49" w14:textId="0F85BA53" w:rsidR="00B50117" w:rsidRPr="000B4E2C" w:rsidRDefault="00B50117" w:rsidP="00B50117">
      <w:pPr>
        <w:rPr>
          <w:b/>
          <w:szCs w:val="24"/>
        </w:rPr>
      </w:pPr>
      <w:r w:rsidRPr="000B4E2C">
        <w:rPr>
          <w:b/>
          <w:szCs w:val="24"/>
        </w:rPr>
        <w:t>Future work</w:t>
      </w:r>
    </w:p>
    <w:p w14:paraId="24703504" w14:textId="77777777" w:rsidR="000B4E2C" w:rsidRPr="000B4E2C" w:rsidRDefault="00B50117" w:rsidP="00B50117">
      <w:pPr>
        <w:rPr>
          <w:lang w:val="en-GB" w:eastAsia="en-GB"/>
        </w:rPr>
      </w:pPr>
      <w:r w:rsidRPr="000B4E2C">
        <w:rPr>
          <w:lang w:val="en-GB" w:eastAsia="en-GB"/>
        </w:rPr>
        <w:t xml:space="preserve">Future studies should </w:t>
      </w:r>
      <w:r w:rsidR="007836C4" w:rsidRPr="000B4E2C">
        <w:rPr>
          <w:lang w:val="en-GB" w:eastAsia="en-GB"/>
        </w:rPr>
        <w:t xml:space="preserve">evaluate the targeted </w:t>
      </w:r>
      <w:r w:rsidRPr="000B4E2C">
        <w:rPr>
          <w:lang w:val="en-GB" w:eastAsia="en-GB"/>
        </w:rPr>
        <w:t xml:space="preserve">use of biomarkers </w:t>
      </w:r>
      <w:r w:rsidR="007836C4" w:rsidRPr="000B4E2C">
        <w:rPr>
          <w:lang w:val="en-GB" w:eastAsia="en-GB"/>
        </w:rPr>
        <w:t xml:space="preserve">within specific patient </w:t>
      </w:r>
      <w:r w:rsidRPr="000B4E2C">
        <w:rPr>
          <w:lang w:val="en-GB" w:eastAsia="en-GB"/>
        </w:rPr>
        <w:t>populations and the clinical impact of their routine use on patient outcomes and management.</w:t>
      </w:r>
    </w:p>
    <w:p w14:paraId="6B4A7E4C" w14:textId="77777777" w:rsidR="000B4E2C" w:rsidRPr="000B4E2C" w:rsidRDefault="006338B4" w:rsidP="006338B4">
      <w:pPr>
        <w:rPr>
          <w:lang w:eastAsia="en-GB"/>
        </w:rPr>
      </w:pPr>
      <w:r w:rsidRPr="000B4E2C">
        <w:rPr>
          <w:b/>
          <w:lang w:eastAsia="en-GB"/>
        </w:rPr>
        <w:t>Funding and registration:</w:t>
      </w:r>
      <w:r w:rsidRPr="000B4E2C">
        <w:rPr>
          <w:lang w:eastAsia="en-GB"/>
        </w:rPr>
        <w:t xml:space="preserve"> This study </w:t>
      </w:r>
      <w:r w:rsidRPr="000B4E2C">
        <w:t>was commissioned by the</w:t>
      </w:r>
      <w:r w:rsidR="00FA619F" w:rsidRPr="000B4E2C">
        <w:t xml:space="preserve"> </w:t>
      </w:r>
      <w:r w:rsidRPr="000B4E2C">
        <w:t>NIHR Systematic Reviews Programme</w:t>
      </w:r>
      <w:r w:rsidR="00FA619F" w:rsidRPr="000B4E2C">
        <w:t xml:space="preserve"> </w:t>
      </w:r>
      <w:r w:rsidRPr="000B4E2C">
        <w:t xml:space="preserve">as project number 12/88/97 and </w:t>
      </w:r>
      <w:r w:rsidRPr="000B4E2C">
        <w:rPr>
          <w:lang w:eastAsia="en-GB"/>
        </w:rPr>
        <w:t>registered as PROSPERO CRD42019147039.</w:t>
      </w:r>
    </w:p>
    <w:p w14:paraId="659C945B" w14:textId="7FAEADB2" w:rsidR="00EB7CBD" w:rsidRPr="000B4E2C" w:rsidRDefault="00EB7CBD" w:rsidP="00EB7CBD">
      <w:pPr>
        <w:rPr>
          <w:lang w:val="en-GB" w:eastAsia="en-GB"/>
        </w:rPr>
      </w:pPr>
      <w:r w:rsidRPr="000B4E2C">
        <w:rPr>
          <w:lang w:val="en-GB" w:eastAsia="en-GB"/>
        </w:rPr>
        <w:t>Contents</w:t>
      </w:r>
    </w:p>
    <w:p w14:paraId="217BA3C3" w14:textId="33613B93" w:rsidR="00EB7CBD" w:rsidRPr="000B4E2C" w:rsidRDefault="00EB7CBD" w:rsidP="00EB7CBD">
      <w:pPr>
        <w:rPr>
          <w:i/>
          <w:color w:val="FF0000"/>
          <w:lang w:val="en-GB" w:eastAsia="en-GB"/>
        </w:rPr>
      </w:pPr>
      <w:r w:rsidRPr="000B4E2C">
        <w:rPr>
          <w:i/>
          <w:color w:val="FF0000"/>
          <w:lang w:val="en-GB" w:eastAsia="en-GB"/>
        </w:rPr>
        <w:t>&lt;&lt;Typesetter insert Contents list &gt;&gt;</w:t>
      </w:r>
    </w:p>
    <w:p w14:paraId="5362CDBA" w14:textId="77777777" w:rsidR="00EB7CBD" w:rsidRPr="000B4E2C" w:rsidRDefault="00EB7CBD" w:rsidP="00EB7CBD">
      <w:pPr>
        <w:rPr>
          <w:lang w:val="en-GB" w:eastAsia="en-GB"/>
        </w:rPr>
      </w:pPr>
      <w:r w:rsidRPr="000B4E2C">
        <w:rPr>
          <w:lang w:val="en-GB" w:eastAsia="en-GB"/>
        </w:rPr>
        <w:t>List of tables</w:t>
      </w:r>
    </w:p>
    <w:p w14:paraId="343752DD" w14:textId="6183353A" w:rsidR="00EB7CBD" w:rsidRPr="000B4E2C" w:rsidRDefault="00EB7CBD" w:rsidP="00EB7CBD">
      <w:pPr>
        <w:rPr>
          <w:i/>
          <w:color w:val="FF0000"/>
          <w:lang w:val="en-GB" w:eastAsia="en-GB"/>
        </w:rPr>
      </w:pPr>
      <w:r w:rsidRPr="000B4E2C">
        <w:rPr>
          <w:i/>
          <w:color w:val="FF0000"/>
          <w:lang w:val="en-GB" w:eastAsia="en-GB"/>
        </w:rPr>
        <w:t>&lt;&lt;Typesetter insert List of tables&gt;&gt;</w:t>
      </w:r>
    </w:p>
    <w:p w14:paraId="046188CE" w14:textId="77777777" w:rsidR="00EB7CBD" w:rsidRPr="000B4E2C" w:rsidRDefault="00EB7CBD" w:rsidP="00EB7CBD">
      <w:pPr>
        <w:rPr>
          <w:lang w:val="en-GB" w:eastAsia="en-GB"/>
        </w:rPr>
      </w:pPr>
      <w:r w:rsidRPr="000B4E2C">
        <w:rPr>
          <w:lang w:val="en-GB" w:eastAsia="en-GB"/>
        </w:rPr>
        <w:t>List of figures</w:t>
      </w:r>
    </w:p>
    <w:p w14:paraId="019DEC22" w14:textId="5CB583BC" w:rsidR="00EB7CBD" w:rsidRPr="000B4E2C" w:rsidRDefault="00EB7CBD" w:rsidP="00EB7CBD">
      <w:pPr>
        <w:rPr>
          <w:i/>
          <w:color w:val="FF0000"/>
          <w:lang w:val="en-GB" w:eastAsia="en-GB"/>
        </w:rPr>
      </w:pPr>
      <w:r w:rsidRPr="000B4E2C">
        <w:rPr>
          <w:i/>
          <w:color w:val="FF0000"/>
          <w:lang w:val="en-GB" w:eastAsia="en-GB"/>
        </w:rPr>
        <w:t>&lt;&lt;Typesetter insert List of figures&gt;&gt;</w:t>
      </w:r>
    </w:p>
    <w:p w14:paraId="3A8BB7B3" w14:textId="77777777" w:rsidR="00EB7CBD" w:rsidRPr="000B4E2C" w:rsidRDefault="00EB7CBD" w:rsidP="00EB7CBD">
      <w:pPr>
        <w:rPr>
          <w:i/>
          <w:color w:val="FF0000"/>
          <w:lang w:val="en-GB" w:eastAsia="en-GB"/>
        </w:rPr>
      </w:pPr>
    </w:p>
    <w:p w14:paraId="5C5AC9C2" w14:textId="70B54381" w:rsidR="00A6229F" w:rsidRPr="000B4E2C" w:rsidRDefault="00A6229F" w:rsidP="00A6229F">
      <w:pPr>
        <w:outlineLvl w:val="0"/>
        <w:rPr>
          <w:i/>
          <w:szCs w:val="24"/>
          <w:lang w:eastAsia="en-GB"/>
        </w:rPr>
      </w:pPr>
      <w:r w:rsidRPr="000B4E2C">
        <w:rPr>
          <w:b/>
          <w:sz w:val="28"/>
          <w:lang w:eastAsia="en-GB"/>
        </w:rPr>
        <w:t>List of abbreviations</w:t>
      </w:r>
    </w:p>
    <w:p w14:paraId="5B2E854F" w14:textId="77777777" w:rsidR="00AF049A" w:rsidRPr="000B4E2C" w:rsidRDefault="00AF049A" w:rsidP="00A6229F">
      <w:pPr>
        <w:tabs>
          <w:tab w:val="left" w:pos="1765"/>
        </w:tabs>
        <w:ind w:left="113"/>
        <w:rPr>
          <w:lang w:eastAsia="en-GB"/>
        </w:rPr>
      </w:pPr>
      <w:r w:rsidRPr="000B4E2C">
        <w:rPr>
          <w:lang w:eastAsia="en-GB"/>
        </w:rPr>
        <w:t>ACEi</w:t>
      </w:r>
      <w:r w:rsidRPr="000B4E2C">
        <w:rPr>
          <w:lang w:eastAsia="en-GB"/>
        </w:rPr>
        <w:tab/>
        <w:t>Angiotensin-converting enzyme inhibitors</w:t>
      </w:r>
    </w:p>
    <w:p w14:paraId="22BD0031" w14:textId="77777777" w:rsidR="00AF049A" w:rsidRPr="000B4E2C" w:rsidRDefault="00AF049A" w:rsidP="00A6229F">
      <w:pPr>
        <w:tabs>
          <w:tab w:val="left" w:pos="1765"/>
        </w:tabs>
        <w:ind w:left="113"/>
        <w:rPr>
          <w:lang w:eastAsia="en-GB"/>
        </w:rPr>
      </w:pPr>
      <w:r w:rsidRPr="000B4E2C">
        <w:rPr>
          <w:lang w:eastAsia="en-GB"/>
        </w:rPr>
        <w:t>AKI</w:t>
      </w:r>
      <w:r w:rsidRPr="000B4E2C">
        <w:rPr>
          <w:lang w:eastAsia="en-GB"/>
        </w:rPr>
        <w:tab/>
        <w:t>Acute kidney injury</w:t>
      </w:r>
    </w:p>
    <w:p w14:paraId="47BD1F22" w14:textId="77777777" w:rsidR="00AF049A" w:rsidRPr="000B4E2C" w:rsidRDefault="00AF049A" w:rsidP="00A6229F">
      <w:pPr>
        <w:tabs>
          <w:tab w:val="left" w:pos="1765"/>
        </w:tabs>
        <w:ind w:left="113"/>
        <w:rPr>
          <w:lang w:eastAsia="en-GB"/>
        </w:rPr>
      </w:pPr>
      <w:r w:rsidRPr="000B4E2C">
        <w:rPr>
          <w:lang w:eastAsia="en-GB"/>
        </w:rPr>
        <w:t>AKIN</w:t>
      </w:r>
      <w:r w:rsidRPr="000B4E2C">
        <w:rPr>
          <w:lang w:eastAsia="en-GB"/>
        </w:rPr>
        <w:tab/>
        <w:t>Acute Kidney Injury Network</w:t>
      </w:r>
    </w:p>
    <w:p w14:paraId="3D603232" w14:textId="77777777" w:rsidR="00AF049A" w:rsidRPr="000B4E2C" w:rsidRDefault="00AF049A" w:rsidP="00A6229F">
      <w:pPr>
        <w:tabs>
          <w:tab w:val="left" w:pos="1765"/>
        </w:tabs>
        <w:ind w:left="113"/>
        <w:rPr>
          <w:lang w:eastAsia="en-GB"/>
        </w:rPr>
      </w:pPr>
      <w:r w:rsidRPr="000B4E2C">
        <w:rPr>
          <w:lang w:eastAsia="en-GB"/>
        </w:rPr>
        <w:t>APACHE III</w:t>
      </w:r>
      <w:r w:rsidRPr="000B4E2C">
        <w:rPr>
          <w:lang w:eastAsia="en-GB"/>
        </w:rPr>
        <w:tab/>
        <w:t>Acute physiology and chronic health evaluation III</w:t>
      </w:r>
    </w:p>
    <w:p w14:paraId="2E726FA6" w14:textId="77777777" w:rsidR="00AF049A" w:rsidRPr="000B4E2C" w:rsidRDefault="00AF049A" w:rsidP="00A6229F">
      <w:pPr>
        <w:tabs>
          <w:tab w:val="left" w:pos="1765"/>
        </w:tabs>
        <w:ind w:left="113"/>
        <w:rPr>
          <w:lang w:eastAsia="en-GB"/>
        </w:rPr>
      </w:pPr>
      <w:r w:rsidRPr="000B4E2C">
        <w:rPr>
          <w:lang w:eastAsia="en-GB"/>
        </w:rPr>
        <w:t>ARBs</w:t>
      </w:r>
      <w:r w:rsidRPr="000B4E2C">
        <w:rPr>
          <w:lang w:eastAsia="en-GB"/>
        </w:rPr>
        <w:tab/>
        <w:t>Angiotensin receptor blockers</w:t>
      </w:r>
    </w:p>
    <w:p w14:paraId="7731F1B8" w14:textId="77777777" w:rsidR="00AF049A" w:rsidRPr="000B4E2C" w:rsidRDefault="00AF049A" w:rsidP="00A6229F">
      <w:pPr>
        <w:tabs>
          <w:tab w:val="left" w:pos="1765"/>
        </w:tabs>
        <w:ind w:left="113"/>
        <w:rPr>
          <w:lang w:eastAsia="en-GB"/>
        </w:rPr>
      </w:pPr>
      <w:r w:rsidRPr="000B4E2C">
        <w:rPr>
          <w:lang w:eastAsia="en-GB"/>
        </w:rPr>
        <w:t>AUC</w:t>
      </w:r>
      <w:r w:rsidRPr="000B4E2C">
        <w:rPr>
          <w:lang w:eastAsia="en-GB"/>
        </w:rPr>
        <w:tab/>
        <w:t>Area under the curve</w:t>
      </w:r>
    </w:p>
    <w:p w14:paraId="52130572" w14:textId="77777777" w:rsidR="00AF049A" w:rsidRPr="000B4E2C" w:rsidRDefault="00AF049A" w:rsidP="00A6229F">
      <w:pPr>
        <w:tabs>
          <w:tab w:val="left" w:pos="1765"/>
        </w:tabs>
        <w:ind w:left="113"/>
        <w:rPr>
          <w:lang w:eastAsia="en-GB"/>
        </w:rPr>
      </w:pPr>
      <w:r w:rsidRPr="000B4E2C">
        <w:rPr>
          <w:lang w:eastAsia="en-GB"/>
        </w:rPr>
        <w:t>AUC-ROC</w:t>
      </w:r>
      <w:r w:rsidRPr="000B4E2C">
        <w:rPr>
          <w:lang w:eastAsia="en-GB"/>
        </w:rPr>
        <w:tab/>
        <w:t>Area under the receiver operating characteristics</w:t>
      </w:r>
    </w:p>
    <w:p w14:paraId="3EC4CBF1" w14:textId="77777777" w:rsidR="00AF049A" w:rsidRPr="000B4E2C" w:rsidRDefault="00AF049A" w:rsidP="00A6229F">
      <w:pPr>
        <w:tabs>
          <w:tab w:val="left" w:pos="1765"/>
        </w:tabs>
        <w:ind w:left="113"/>
        <w:rPr>
          <w:i/>
          <w:color w:val="00B0F0"/>
          <w:lang w:eastAsia="en-GB"/>
        </w:rPr>
      </w:pPr>
      <w:r w:rsidRPr="000B4E2C">
        <w:rPr>
          <w:lang w:eastAsia="en-GB"/>
        </w:rPr>
        <w:t>BNF</w:t>
      </w:r>
      <w:r w:rsidRPr="000B4E2C">
        <w:rPr>
          <w:lang w:eastAsia="en-GB"/>
        </w:rPr>
        <w:tab/>
      </w:r>
      <w:r w:rsidRPr="000B4E2C">
        <w:rPr>
          <w:i/>
          <w:color w:val="00B0F0"/>
          <w:lang w:eastAsia="en-GB"/>
        </w:rPr>
        <w:t>British National Formulary</w:t>
      </w:r>
    </w:p>
    <w:p w14:paraId="1ED0BB1D" w14:textId="77777777" w:rsidR="00AF049A" w:rsidRPr="000B4E2C" w:rsidRDefault="00AF049A" w:rsidP="00A6229F">
      <w:pPr>
        <w:tabs>
          <w:tab w:val="left" w:pos="1765"/>
        </w:tabs>
        <w:ind w:left="113"/>
        <w:rPr>
          <w:lang w:eastAsia="en-GB"/>
        </w:rPr>
      </w:pPr>
      <w:r w:rsidRPr="000B4E2C">
        <w:rPr>
          <w:lang w:eastAsia="en-GB"/>
        </w:rPr>
        <w:t>CCT</w:t>
      </w:r>
      <w:r w:rsidRPr="000B4E2C">
        <w:rPr>
          <w:lang w:eastAsia="en-GB"/>
        </w:rPr>
        <w:tab/>
        <w:t>Controlled clinical trial</w:t>
      </w:r>
    </w:p>
    <w:p w14:paraId="48A703DA" w14:textId="77777777" w:rsidR="00AF049A" w:rsidRPr="000B4E2C" w:rsidRDefault="00AF049A" w:rsidP="00A6229F">
      <w:pPr>
        <w:tabs>
          <w:tab w:val="left" w:pos="1765"/>
        </w:tabs>
        <w:ind w:left="113"/>
        <w:rPr>
          <w:lang w:eastAsia="en-GB"/>
        </w:rPr>
      </w:pPr>
      <w:r w:rsidRPr="000B4E2C">
        <w:rPr>
          <w:lang w:eastAsia="en-GB"/>
        </w:rPr>
        <w:t>CCU</w:t>
      </w:r>
      <w:r w:rsidRPr="000B4E2C">
        <w:rPr>
          <w:lang w:eastAsia="en-GB"/>
        </w:rPr>
        <w:tab/>
        <w:t>Critical care unit</w:t>
      </w:r>
    </w:p>
    <w:p w14:paraId="4A4BA480" w14:textId="77777777" w:rsidR="00AF049A" w:rsidRPr="000B4E2C" w:rsidRDefault="00AF049A" w:rsidP="00A6229F">
      <w:pPr>
        <w:tabs>
          <w:tab w:val="left" w:pos="1765"/>
        </w:tabs>
        <w:ind w:left="113"/>
        <w:rPr>
          <w:lang w:eastAsia="en-GB"/>
        </w:rPr>
      </w:pPr>
      <w:r w:rsidRPr="000B4E2C">
        <w:rPr>
          <w:lang w:eastAsia="en-GB"/>
        </w:rPr>
        <w:t>CHF</w:t>
      </w:r>
      <w:r w:rsidRPr="000B4E2C">
        <w:rPr>
          <w:lang w:eastAsia="en-GB"/>
        </w:rPr>
        <w:tab/>
        <w:t>Congestive heart failure</w:t>
      </w:r>
    </w:p>
    <w:p w14:paraId="52F2A854" w14:textId="77777777" w:rsidR="00AF049A" w:rsidRPr="000B4E2C" w:rsidRDefault="00AF049A" w:rsidP="00A6229F">
      <w:pPr>
        <w:tabs>
          <w:tab w:val="left" w:pos="1765"/>
        </w:tabs>
        <w:ind w:left="113"/>
        <w:rPr>
          <w:lang w:eastAsia="en-GB"/>
        </w:rPr>
      </w:pPr>
      <w:r w:rsidRPr="000B4E2C">
        <w:rPr>
          <w:lang w:eastAsia="en-GB"/>
        </w:rPr>
        <w:t>CI</w:t>
      </w:r>
      <w:r w:rsidRPr="000B4E2C">
        <w:rPr>
          <w:lang w:eastAsia="en-GB"/>
        </w:rPr>
        <w:tab/>
        <w:t>Confidence interval</w:t>
      </w:r>
    </w:p>
    <w:p w14:paraId="42307296" w14:textId="77777777" w:rsidR="00AF049A" w:rsidRPr="000B4E2C" w:rsidRDefault="00AF049A" w:rsidP="00A6229F">
      <w:pPr>
        <w:tabs>
          <w:tab w:val="left" w:pos="1765"/>
        </w:tabs>
        <w:ind w:left="113"/>
        <w:rPr>
          <w:lang w:eastAsia="en-GB"/>
        </w:rPr>
      </w:pPr>
      <w:r w:rsidRPr="000B4E2C">
        <w:rPr>
          <w:lang w:eastAsia="en-GB"/>
        </w:rPr>
        <w:t>CKD</w:t>
      </w:r>
      <w:r w:rsidRPr="000B4E2C">
        <w:rPr>
          <w:lang w:eastAsia="en-GB"/>
        </w:rPr>
        <w:tab/>
        <w:t>Chronic kidney disease</w:t>
      </w:r>
    </w:p>
    <w:p w14:paraId="57A8B6B0" w14:textId="77777777" w:rsidR="00AF049A" w:rsidRPr="000B4E2C" w:rsidRDefault="00AF049A" w:rsidP="00A6229F">
      <w:pPr>
        <w:tabs>
          <w:tab w:val="left" w:pos="1765"/>
        </w:tabs>
        <w:ind w:left="113"/>
        <w:rPr>
          <w:lang w:eastAsia="en-GB"/>
        </w:rPr>
      </w:pPr>
      <w:r w:rsidRPr="000B4E2C">
        <w:rPr>
          <w:lang w:eastAsia="en-GB"/>
        </w:rPr>
        <w:t>CPB</w:t>
      </w:r>
      <w:r w:rsidRPr="000B4E2C">
        <w:rPr>
          <w:lang w:eastAsia="en-GB"/>
        </w:rPr>
        <w:tab/>
        <w:t>Cardiopulmonary bypass</w:t>
      </w:r>
    </w:p>
    <w:p w14:paraId="7E7561BD" w14:textId="77777777" w:rsidR="00AF049A" w:rsidRPr="000B4E2C" w:rsidRDefault="00AF049A" w:rsidP="00A6229F">
      <w:pPr>
        <w:tabs>
          <w:tab w:val="left" w:pos="1765"/>
        </w:tabs>
        <w:ind w:left="113"/>
        <w:rPr>
          <w:lang w:eastAsia="en-GB"/>
        </w:rPr>
      </w:pPr>
      <w:r w:rsidRPr="000B4E2C">
        <w:rPr>
          <w:lang w:eastAsia="en-GB"/>
        </w:rPr>
        <w:t>CVI</w:t>
      </w:r>
      <w:r w:rsidRPr="000B4E2C">
        <w:rPr>
          <w:lang w:eastAsia="en-GB"/>
        </w:rPr>
        <w:tab/>
        <w:t>Cumulative vasopressor index</w:t>
      </w:r>
    </w:p>
    <w:p w14:paraId="78338DC3" w14:textId="77777777" w:rsidR="00AF049A" w:rsidRPr="000B4E2C" w:rsidRDefault="00AF049A" w:rsidP="00A6229F">
      <w:pPr>
        <w:tabs>
          <w:tab w:val="left" w:pos="1765"/>
        </w:tabs>
        <w:ind w:left="113"/>
        <w:rPr>
          <w:lang w:eastAsia="en-GB"/>
        </w:rPr>
      </w:pPr>
      <w:r w:rsidRPr="000B4E2C">
        <w:rPr>
          <w:lang w:eastAsia="en-GB"/>
        </w:rPr>
        <w:t>CysC</w:t>
      </w:r>
      <w:r w:rsidRPr="000B4E2C">
        <w:rPr>
          <w:lang w:eastAsia="en-GB"/>
        </w:rPr>
        <w:tab/>
        <w:t>Cystatin C</w:t>
      </w:r>
    </w:p>
    <w:p w14:paraId="6CD266A7" w14:textId="77777777" w:rsidR="00AF049A" w:rsidRPr="000B4E2C" w:rsidRDefault="00AF049A" w:rsidP="00A6229F">
      <w:pPr>
        <w:tabs>
          <w:tab w:val="left" w:pos="1765"/>
        </w:tabs>
        <w:ind w:left="113"/>
        <w:rPr>
          <w:lang w:eastAsia="en-GB"/>
        </w:rPr>
      </w:pPr>
      <w:r w:rsidRPr="000B4E2C">
        <w:rPr>
          <w:lang w:eastAsia="en-GB"/>
        </w:rPr>
        <w:t>DAM</w:t>
      </w:r>
      <w:r w:rsidRPr="000B4E2C">
        <w:rPr>
          <w:lang w:eastAsia="en-GB"/>
        </w:rPr>
        <w:tab/>
        <w:t>Decision-analytic modelling</w:t>
      </w:r>
    </w:p>
    <w:p w14:paraId="5EB8F566" w14:textId="77777777" w:rsidR="00AF049A" w:rsidRPr="000B4E2C" w:rsidRDefault="00AF049A" w:rsidP="00A6229F">
      <w:pPr>
        <w:tabs>
          <w:tab w:val="left" w:pos="1765"/>
        </w:tabs>
        <w:ind w:left="113"/>
        <w:rPr>
          <w:lang w:eastAsia="en-GB"/>
        </w:rPr>
      </w:pPr>
      <w:r w:rsidRPr="000B4E2C">
        <w:rPr>
          <w:lang w:eastAsia="en-GB"/>
        </w:rPr>
        <w:t>DAP</w:t>
      </w:r>
      <w:r w:rsidRPr="000B4E2C">
        <w:rPr>
          <w:lang w:eastAsia="en-GB"/>
        </w:rPr>
        <w:tab/>
        <w:t>Diagnostic assessment programme</w:t>
      </w:r>
    </w:p>
    <w:p w14:paraId="78AB3712" w14:textId="77777777" w:rsidR="00AF049A" w:rsidRPr="000B4E2C" w:rsidRDefault="00AF049A" w:rsidP="00A6229F">
      <w:pPr>
        <w:tabs>
          <w:tab w:val="left" w:pos="1765"/>
        </w:tabs>
        <w:ind w:left="113"/>
        <w:rPr>
          <w:lang w:eastAsia="en-GB"/>
        </w:rPr>
      </w:pPr>
      <w:r w:rsidRPr="000B4E2C">
        <w:rPr>
          <w:lang w:eastAsia="en-GB"/>
        </w:rPr>
        <w:t>DM</w:t>
      </w:r>
      <w:r w:rsidRPr="000B4E2C">
        <w:rPr>
          <w:lang w:eastAsia="en-GB"/>
        </w:rPr>
        <w:tab/>
        <w:t>Diabetes mellitus</w:t>
      </w:r>
    </w:p>
    <w:p w14:paraId="5B6CB8C1" w14:textId="77777777" w:rsidR="00AF049A" w:rsidRPr="000B4E2C" w:rsidRDefault="00AF049A" w:rsidP="00A6229F">
      <w:pPr>
        <w:tabs>
          <w:tab w:val="left" w:pos="1765"/>
        </w:tabs>
        <w:ind w:left="113"/>
        <w:rPr>
          <w:lang w:eastAsia="en-GB"/>
        </w:rPr>
      </w:pPr>
      <w:r w:rsidRPr="000B4E2C">
        <w:rPr>
          <w:lang w:eastAsia="en-GB"/>
        </w:rPr>
        <w:t>EAG</w:t>
      </w:r>
      <w:r w:rsidRPr="000B4E2C">
        <w:rPr>
          <w:lang w:eastAsia="en-GB"/>
        </w:rPr>
        <w:tab/>
        <w:t>External assessment group</w:t>
      </w:r>
    </w:p>
    <w:p w14:paraId="74F8B0D5" w14:textId="77777777" w:rsidR="00AF049A" w:rsidRPr="000B4E2C" w:rsidRDefault="00AF049A" w:rsidP="00A6229F">
      <w:pPr>
        <w:tabs>
          <w:tab w:val="left" w:pos="1765"/>
        </w:tabs>
        <w:ind w:left="113"/>
        <w:rPr>
          <w:lang w:eastAsia="en-GB"/>
        </w:rPr>
      </w:pPr>
      <w:r w:rsidRPr="000B4E2C">
        <w:rPr>
          <w:lang w:eastAsia="en-GB"/>
        </w:rPr>
        <w:t>ED</w:t>
      </w:r>
      <w:r w:rsidRPr="000B4E2C">
        <w:rPr>
          <w:lang w:eastAsia="en-GB"/>
        </w:rPr>
        <w:tab/>
        <w:t>Emergency department</w:t>
      </w:r>
    </w:p>
    <w:p w14:paraId="03A4CABA" w14:textId="77777777" w:rsidR="00AF049A" w:rsidRPr="000B4E2C" w:rsidRDefault="00AF049A" w:rsidP="00A6229F">
      <w:pPr>
        <w:tabs>
          <w:tab w:val="left" w:pos="1765"/>
        </w:tabs>
        <w:ind w:left="113"/>
        <w:rPr>
          <w:lang w:eastAsia="en-GB"/>
        </w:rPr>
      </w:pPr>
      <w:r w:rsidRPr="000B4E2C">
        <w:rPr>
          <w:lang w:eastAsia="en-GB"/>
        </w:rPr>
        <w:t>eGFR</w:t>
      </w:r>
      <w:r w:rsidRPr="000B4E2C">
        <w:rPr>
          <w:lang w:eastAsia="en-GB"/>
        </w:rPr>
        <w:tab/>
        <w:t>Estimated glomerular filtration rate</w:t>
      </w:r>
    </w:p>
    <w:p w14:paraId="6401F20C" w14:textId="484E0733" w:rsidR="00AF049A" w:rsidRPr="000B4E2C" w:rsidRDefault="00AF049A" w:rsidP="00A6229F">
      <w:pPr>
        <w:tabs>
          <w:tab w:val="left" w:pos="1765"/>
        </w:tabs>
        <w:ind w:left="113"/>
        <w:rPr>
          <w:lang w:eastAsia="en-GB"/>
        </w:rPr>
      </w:pPr>
      <w:r w:rsidRPr="000B4E2C">
        <w:rPr>
          <w:lang w:eastAsia="en-GB"/>
        </w:rPr>
        <w:lastRenderedPageBreak/>
        <w:t>E</w:t>
      </w:r>
      <w:r w:rsidR="000B4E2C" w:rsidRPr="000B4E2C">
        <w:rPr>
          <w:color w:val="00B0F0"/>
          <w:lang w:eastAsia="en-GB"/>
        </w:rPr>
        <w:t>Q</w:t>
      </w:r>
      <w:r w:rsidR="000B4E2C" w:rsidRPr="000B4E2C">
        <w:rPr>
          <w:color w:val="00B0F0"/>
          <w:lang w:eastAsia="en-GB"/>
        </w:rPr>
        <w:t>-</w:t>
      </w:r>
      <w:r w:rsidR="000B4E2C" w:rsidRPr="000B4E2C">
        <w:rPr>
          <w:color w:val="00B0F0"/>
          <w:lang w:eastAsia="en-GB"/>
        </w:rPr>
        <w:t>5D</w:t>
      </w:r>
      <w:r w:rsidR="000B4E2C" w:rsidRPr="000B4E2C">
        <w:rPr>
          <w:color w:val="00B0F0"/>
          <w:lang w:eastAsia="en-GB"/>
        </w:rPr>
        <w:t>-</w:t>
      </w:r>
      <w:r w:rsidR="000B4E2C" w:rsidRPr="000B4E2C">
        <w:rPr>
          <w:color w:val="00B0F0"/>
          <w:lang w:eastAsia="en-GB"/>
        </w:rPr>
        <w:t>3</w:t>
      </w:r>
      <w:r w:rsidRPr="000B4E2C">
        <w:rPr>
          <w:lang w:eastAsia="en-GB"/>
        </w:rPr>
        <w:t>L</w:t>
      </w:r>
      <w:r w:rsidRPr="000B4E2C">
        <w:rPr>
          <w:lang w:eastAsia="en-GB"/>
        </w:rPr>
        <w:tab/>
        <w:t>3-level E</w:t>
      </w:r>
      <w:r w:rsidR="000B4E2C" w:rsidRPr="000B4E2C">
        <w:rPr>
          <w:color w:val="00B0F0"/>
          <w:lang w:eastAsia="en-GB"/>
        </w:rPr>
        <w:t>Q</w:t>
      </w:r>
      <w:r w:rsidR="000B4E2C" w:rsidRPr="000B4E2C">
        <w:rPr>
          <w:color w:val="00B0F0"/>
          <w:lang w:eastAsia="en-GB"/>
        </w:rPr>
        <w:t>-</w:t>
      </w:r>
      <w:r w:rsidR="000B4E2C" w:rsidRPr="000B4E2C">
        <w:rPr>
          <w:color w:val="00B0F0"/>
          <w:lang w:eastAsia="en-GB"/>
        </w:rPr>
        <w:t>5</w:t>
      </w:r>
      <w:r w:rsidRPr="000B4E2C">
        <w:rPr>
          <w:lang w:eastAsia="en-GB"/>
        </w:rPr>
        <w:t>D</w:t>
      </w:r>
    </w:p>
    <w:p w14:paraId="39AFA434" w14:textId="2D2C7621" w:rsidR="00AF049A" w:rsidRPr="000B4E2C" w:rsidRDefault="00AF049A" w:rsidP="00A6229F">
      <w:pPr>
        <w:tabs>
          <w:tab w:val="left" w:pos="1765"/>
        </w:tabs>
        <w:ind w:left="113"/>
        <w:rPr>
          <w:lang w:eastAsia="en-GB"/>
        </w:rPr>
      </w:pPr>
      <w:r w:rsidRPr="000B4E2C">
        <w:rPr>
          <w:lang w:eastAsia="en-GB"/>
        </w:rPr>
        <w:t>E</w:t>
      </w:r>
      <w:r w:rsidR="000B4E2C" w:rsidRPr="000B4E2C">
        <w:rPr>
          <w:color w:val="00B0F0"/>
          <w:lang w:eastAsia="en-GB"/>
        </w:rPr>
        <w:t>Q</w:t>
      </w:r>
      <w:r w:rsidR="000B4E2C" w:rsidRPr="000B4E2C">
        <w:rPr>
          <w:color w:val="00B0F0"/>
          <w:lang w:eastAsia="en-GB"/>
        </w:rPr>
        <w:t>-</w:t>
      </w:r>
      <w:r w:rsidR="000B4E2C" w:rsidRPr="000B4E2C">
        <w:rPr>
          <w:color w:val="00B0F0"/>
          <w:lang w:eastAsia="en-GB"/>
        </w:rPr>
        <w:t>5D</w:t>
      </w:r>
      <w:r w:rsidR="000B4E2C" w:rsidRPr="000B4E2C">
        <w:rPr>
          <w:color w:val="00B0F0"/>
          <w:lang w:eastAsia="en-GB"/>
        </w:rPr>
        <w:t>-</w:t>
      </w:r>
      <w:r w:rsidR="000B4E2C" w:rsidRPr="000B4E2C">
        <w:rPr>
          <w:color w:val="00B0F0"/>
          <w:lang w:eastAsia="en-GB"/>
        </w:rPr>
        <w:t>5</w:t>
      </w:r>
      <w:r w:rsidRPr="000B4E2C">
        <w:rPr>
          <w:lang w:eastAsia="en-GB"/>
        </w:rPr>
        <w:t>L</w:t>
      </w:r>
      <w:r w:rsidRPr="000B4E2C">
        <w:rPr>
          <w:lang w:eastAsia="en-GB"/>
        </w:rPr>
        <w:tab/>
        <w:t>5-level E</w:t>
      </w:r>
      <w:r w:rsidR="000B4E2C" w:rsidRPr="000B4E2C">
        <w:rPr>
          <w:color w:val="00B0F0"/>
          <w:lang w:eastAsia="en-GB"/>
        </w:rPr>
        <w:t>Q</w:t>
      </w:r>
      <w:r w:rsidR="000B4E2C" w:rsidRPr="000B4E2C">
        <w:rPr>
          <w:color w:val="00B0F0"/>
          <w:lang w:eastAsia="en-GB"/>
        </w:rPr>
        <w:t>-</w:t>
      </w:r>
      <w:r w:rsidR="000B4E2C" w:rsidRPr="000B4E2C">
        <w:rPr>
          <w:color w:val="00B0F0"/>
          <w:lang w:eastAsia="en-GB"/>
        </w:rPr>
        <w:t>5</w:t>
      </w:r>
      <w:r w:rsidRPr="000B4E2C">
        <w:rPr>
          <w:lang w:eastAsia="en-GB"/>
        </w:rPr>
        <w:t>D</w:t>
      </w:r>
    </w:p>
    <w:p w14:paraId="223B43AC" w14:textId="77777777" w:rsidR="00AF049A" w:rsidRPr="000B4E2C" w:rsidRDefault="00AF049A" w:rsidP="00A6229F">
      <w:pPr>
        <w:tabs>
          <w:tab w:val="left" w:pos="1765"/>
        </w:tabs>
        <w:ind w:left="113"/>
        <w:rPr>
          <w:lang w:eastAsia="en-GB"/>
        </w:rPr>
      </w:pPr>
      <w:r w:rsidRPr="000B4E2C">
        <w:rPr>
          <w:lang w:eastAsia="en-GB"/>
        </w:rPr>
        <w:t>ESRD</w:t>
      </w:r>
      <w:r w:rsidRPr="000B4E2C">
        <w:rPr>
          <w:lang w:eastAsia="en-GB"/>
        </w:rPr>
        <w:tab/>
        <w:t>End-stage renal disease</w:t>
      </w:r>
    </w:p>
    <w:p w14:paraId="569FDCB9" w14:textId="77777777" w:rsidR="00AF049A" w:rsidRPr="000B4E2C" w:rsidRDefault="00AF049A" w:rsidP="00A6229F">
      <w:pPr>
        <w:tabs>
          <w:tab w:val="left" w:pos="1765"/>
        </w:tabs>
        <w:ind w:left="113"/>
        <w:rPr>
          <w:lang w:eastAsia="en-GB"/>
        </w:rPr>
      </w:pPr>
      <w:r w:rsidRPr="000B4E2C">
        <w:rPr>
          <w:lang w:eastAsia="en-GB"/>
        </w:rPr>
        <w:t>FN</w:t>
      </w:r>
      <w:r w:rsidRPr="000B4E2C">
        <w:rPr>
          <w:lang w:eastAsia="en-GB"/>
        </w:rPr>
        <w:tab/>
        <w:t>False negative</w:t>
      </w:r>
    </w:p>
    <w:p w14:paraId="4DE38ABC" w14:textId="77777777" w:rsidR="00AF049A" w:rsidRPr="000B4E2C" w:rsidRDefault="00AF049A" w:rsidP="00A6229F">
      <w:pPr>
        <w:tabs>
          <w:tab w:val="left" w:pos="1765"/>
        </w:tabs>
        <w:ind w:left="113"/>
        <w:rPr>
          <w:lang w:eastAsia="en-GB"/>
        </w:rPr>
      </w:pPr>
      <w:r w:rsidRPr="000B4E2C">
        <w:rPr>
          <w:lang w:eastAsia="en-GB"/>
        </w:rPr>
        <w:t>FP</w:t>
      </w:r>
      <w:r w:rsidRPr="000B4E2C">
        <w:rPr>
          <w:lang w:eastAsia="en-GB"/>
        </w:rPr>
        <w:tab/>
        <w:t>False positive</w:t>
      </w:r>
    </w:p>
    <w:p w14:paraId="2D4E2CDC" w14:textId="77777777" w:rsidR="00AF049A" w:rsidRPr="000B4E2C" w:rsidRDefault="00AF049A" w:rsidP="00A6229F">
      <w:pPr>
        <w:tabs>
          <w:tab w:val="left" w:pos="1765"/>
        </w:tabs>
        <w:ind w:left="113"/>
        <w:rPr>
          <w:lang w:eastAsia="en-GB"/>
        </w:rPr>
      </w:pPr>
      <w:r w:rsidRPr="000B4E2C">
        <w:rPr>
          <w:lang w:eastAsia="en-GB"/>
        </w:rPr>
        <w:t>FP</w:t>
      </w:r>
      <w:r w:rsidRPr="000B4E2C">
        <w:rPr>
          <w:lang w:eastAsia="en-GB"/>
        </w:rPr>
        <w:tab/>
        <w:t>False positive</w:t>
      </w:r>
    </w:p>
    <w:p w14:paraId="2B1BB03E" w14:textId="77777777" w:rsidR="00AF049A" w:rsidRPr="000B4E2C" w:rsidRDefault="00AF049A" w:rsidP="00A6229F">
      <w:pPr>
        <w:tabs>
          <w:tab w:val="left" w:pos="1765"/>
        </w:tabs>
        <w:ind w:left="113"/>
        <w:rPr>
          <w:lang w:eastAsia="en-GB"/>
        </w:rPr>
      </w:pPr>
      <w:r w:rsidRPr="000B4E2C">
        <w:rPr>
          <w:lang w:eastAsia="en-GB"/>
        </w:rPr>
        <w:t>HD</w:t>
      </w:r>
      <w:r w:rsidRPr="000B4E2C">
        <w:rPr>
          <w:lang w:eastAsia="en-GB"/>
        </w:rPr>
        <w:tab/>
        <w:t>Haemodialysis</w:t>
      </w:r>
    </w:p>
    <w:p w14:paraId="6044F677" w14:textId="77777777" w:rsidR="00AF049A" w:rsidRPr="000B4E2C" w:rsidRDefault="00AF049A" w:rsidP="00A6229F">
      <w:pPr>
        <w:tabs>
          <w:tab w:val="left" w:pos="1765"/>
        </w:tabs>
        <w:ind w:left="113"/>
        <w:rPr>
          <w:lang w:eastAsia="en-GB"/>
        </w:rPr>
      </w:pPr>
      <w:r w:rsidRPr="000B4E2C">
        <w:rPr>
          <w:lang w:eastAsia="en-GB"/>
        </w:rPr>
        <w:t>HR</w:t>
      </w:r>
      <w:r w:rsidRPr="000B4E2C">
        <w:rPr>
          <w:lang w:eastAsia="en-GB"/>
        </w:rPr>
        <w:tab/>
        <w:t>Hazard ratio</w:t>
      </w:r>
    </w:p>
    <w:p w14:paraId="50B0190F" w14:textId="77777777" w:rsidR="00AF049A" w:rsidRPr="000B4E2C" w:rsidRDefault="00AF049A" w:rsidP="00A6229F">
      <w:pPr>
        <w:tabs>
          <w:tab w:val="left" w:pos="1765"/>
        </w:tabs>
        <w:ind w:left="113"/>
        <w:rPr>
          <w:lang w:eastAsia="en-GB"/>
        </w:rPr>
      </w:pPr>
      <w:r w:rsidRPr="000B4E2C">
        <w:rPr>
          <w:lang w:eastAsia="en-GB"/>
        </w:rPr>
        <w:t>HRQOL</w:t>
      </w:r>
      <w:r w:rsidRPr="000B4E2C">
        <w:rPr>
          <w:lang w:eastAsia="en-GB"/>
        </w:rPr>
        <w:tab/>
        <w:t>Health-related quality of life</w:t>
      </w:r>
    </w:p>
    <w:p w14:paraId="0EBE2886" w14:textId="77777777" w:rsidR="00AF049A" w:rsidRPr="000B4E2C" w:rsidRDefault="00AF049A" w:rsidP="00A6229F">
      <w:pPr>
        <w:tabs>
          <w:tab w:val="left" w:pos="1765"/>
        </w:tabs>
        <w:ind w:left="113"/>
        <w:rPr>
          <w:lang w:eastAsia="en-GB"/>
        </w:rPr>
      </w:pPr>
      <w:r w:rsidRPr="000B4E2C">
        <w:rPr>
          <w:lang w:eastAsia="en-GB"/>
        </w:rPr>
        <w:t>HRS</w:t>
      </w:r>
      <w:r w:rsidRPr="000B4E2C">
        <w:rPr>
          <w:lang w:eastAsia="en-GB"/>
        </w:rPr>
        <w:tab/>
        <w:t>Hepatorenal syndrome</w:t>
      </w:r>
    </w:p>
    <w:p w14:paraId="30254884" w14:textId="77777777" w:rsidR="00AF049A" w:rsidRPr="000B4E2C" w:rsidRDefault="00AF049A" w:rsidP="00A6229F">
      <w:pPr>
        <w:tabs>
          <w:tab w:val="left" w:pos="1765"/>
        </w:tabs>
        <w:ind w:left="113"/>
        <w:rPr>
          <w:lang w:eastAsia="en-GB"/>
        </w:rPr>
      </w:pPr>
      <w:r w:rsidRPr="000B4E2C">
        <w:rPr>
          <w:lang w:eastAsia="en-GB"/>
        </w:rPr>
        <w:t>HSROC</w:t>
      </w:r>
      <w:r w:rsidRPr="000B4E2C">
        <w:rPr>
          <w:lang w:eastAsia="en-GB"/>
        </w:rPr>
        <w:tab/>
        <w:t>Hierarchical summary receiver operating curve</w:t>
      </w:r>
    </w:p>
    <w:p w14:paraId="215BAD66" w14:textId="77777777" w:rsidR="00AF049A" w:rsidRPr="000B4E2C" w:rsidRDefault="00AF049A" w:rsidP="00A6229F">
      <w:pPr>
        <w:tabs>
          <w:tab w:val="left" w:pos="1765"/>
        </w:tabs>
        <w:ind w:left="113"/>
        <w:rPr>
          <w:lang w:eastAsia="en-GB"/>
        </w:rPr>
      </w:pPr>
      <w:r w:rsidRPr="000B4E2C">
        <w:rPr>
          <w:lang w:eastAsia="en-GB"/>
        </w:rPr>
        <w:t>HT</w:t>
      </w:r>
      <w:r w:rsidRPr="000B4E2C">
        <w:rPr>
          <w:lang w:eastAsia="en-GB"/>
        </w:rPr>
        <w:tab/>
        <w:t>Hypertension</w:t>
      </w:r>
    </w:p>
    <w:p w14:paraId="5517D36E" w14:textId="162D92DD" w:rsidR="00AF049A" w:rsidRPr="000B4E2C" w:rsidRDefault="00AF049A" w:rsidP="00A6229F">
      <w:pPr>
        <w:tabs>
          <w:tab w:val="left" w:pos="1765"/>
        </w:tabs>
        <w:ind w:left="113"/>
        <w:rPr>
          <w:lang w:eastAsia="en-GB"/>
        </w:rPr>
      </w:pPr>
      <w:r w:rsidRPr="000B4E2C">
        <w:rPr>
          <w:lang w:eastAsia="en-GB"/>
        </w:rPr>
        <w:t>ICER</w:t>
      </w:r>
      <w:r w:rsidRPr="000B4E2C">
        <w:rPr>
          <w:lang w:eastAsia="en-GB"/>
        </w:rPr>
        <w:tab/>
        <w:t xml:space="preserve">Incremental </w:t>
      </w:r>
      <w:r w:rsidR="000B4E2C" w:rsidRPr="000B4E2C">
        <w:rPr>
          <w:color w:val="00B0F0"/>
          <w:lang w:eastAsia="en-GB"/>
        </w:rPr>
        <w:t>cost-effectiveness</w:t>
      </w:r>
      <w:r w:rsidR="000B4E2C" w:rsidRPr="000B4E2C">
        <w:rPr>
          <w:color w:val="00B0F0"/>
          <w:lang w:eastAsia="en-GB"/>
        </w:rPr>
        <w:t xml:space="preserve"> ratio</w:t>
      </w:r>
    </w:p>
    <w:p w14:paraId="0E1717B4" w14:textId="77777777" w:rsidR="00AF049A" w:rsidRPr="000B4E2C" w:rsidRDefault="00AF049A" w:rsidP="00A6229F">
      <w:pPr>
        <w:tabs>
          <w:tab w:val="left" w:pos="1765"/>
        </w:tabs>
        <w:ind w:left="113"/>
        <w:rPr>
          <w:lang w:eastAsia="en-GB"/>
        </w:rPr>
      </w:pPr>
      <w:r w:rsidRPr="000B4E2C">
        <w:rPr>
          <w:lang w:eastAsia="en-GB"/>
        </w:rPr>
        <w:t>ICU</w:t>
      </w:r>
      <w:r w:rsidRPr="000B4E2C">
        <w:rPr>
          <w:lang w:eastAsia="en-GB"/>
        </w:rPr>
        <w:tab/>
        <w:t>Intensive care unit</w:t>
      </w:r>
    </w:p>
    <w:p w14:paraId="26F507B8" w14:textId="77777777" w:rsidR="00AF049A" w:rsidRPr="000B4E2C" w:rsidRDefault="00AF049A" w:rsidP="00A6229F">
      <w:pPr>
        <w:tabs>
          <w:tab w:val="left" w:pos="1765"/>
        </w:tabs>
        <w:ind w:left="113"/>
        <w:rPr>
          <w:lang w:eastAsia="en-GB"/>
        </w:rPr>
      </w:pPr>
      <w:r w:rsidRPr="000B4E2C">
        <w:rPr>
          <w:lang w:eastAsia="en-GB"/>
        </w:rPr>
        <w:t>IDI</w:t>
      </w:r>
      <w:r w:rsidRPr="000B4E2C">
        <w:rPr>
          <w:lang w:eastAsia="en-GB"/>
        </w:rPr>
        <w:tab/>
        <w:t>Integrated discrimination improvement</w:t>
      </w:r>
    </w:p>
    <w:p w14:paraId="2135E195" w14:textId="43299EE9" w:rsidR="00AF049A" w:rsidRPr="000B4E2C" w:rsidRDefault="00AF049A" w:rsidP="00A6229F">
      <w:pPr>
        <w:tabs>
          <w:tab w:val="left" w:pos="1765"/>
        </w:tabs>
        <w:ind w:left="113"/>
        <w:rPr>
          <w:lang w:eastAsia="en-GB"/>
        </w:rPr>
      </w:pPr>
      <w:r w:rsidRPr="000B4E2C">
        <w:rPr>
          <w:lang w:eastAsia="en-GB"/>
        </w:rPr>
        <w:t>IGFB</w:t>
      </w:r>
      <w:r w:rsidR="000B4E2C" w:rsidRPr="000B4E2C">
        <w:rPr>
          <w:color w:val="00B0F0"/>
          <w:lang w:eastAsia="en-GB"/>
        </w:rPr>
        <w:t>P</w:t>
      </w:r>
      <w:r w:rsidR="000B4E2C" w:rsidRPr="000B4E2C">
        <w:rPr>
          <w:color w:val="00B0F0"/>
          <w:lang w:eastAsia="en-GB"/>
        </w:rPr>
        <w:t>-</w:t>
      </w:r>
      <w:r w:rsidR="000B4E2C" w:rsidRPr="000B4E2C">
        <w:rPr>
          <w:color w:val="00B0F0"/>
          <w:lang w:eastAsia="en-GB"/>
        </w:rPr>
        <w:t>7</w:t>
      </w:r>
      <w:r w:rsidRPr="000B4E2C">
        <w:rPr>
          <w:lang w:eastAsia="en-GB"/>
        </w:rPr>
        <w:tab/>
        <w:t>Insulin-like growth factor-binding protein</w:t>
      </w:r>
    </w:p>
    <w:p w14:paraId="2B1BCC66" w14:textId="2265252C" w:rsidR="00AF049A" w:rsidRPr="000B4E2C" w:rsidRDefault="00AF049A" w:rsidP="00A6229F">
      <w:pPr>
        <w:tabs>
          <w:tab w:val="left" w:pos="1765"/>
        </w:tabs>
        <w:ind w:left="113"/>
        <w:rPr>
          <w:lang w:eastAsia="en-GB"/>
        </w:rPr>
      </w:pPr>
      <w:r w:rsidRPr="000B4E2C">
        <w:rPr>
          <w:lang w:eastAsia="en-GB"/>
        </w:rPr>
        <w:t>INR</w:t>
      </w:r>
      <w:r w:rsidRPr="000B4E2C">
        <w:rPr>
          <w:lang w:eastAsia="en-GB"/>
        </w:rPr>
        <w:tab/>
        <w:t xml:space="preserve">International </w:t>
      </w:r>
      <w:r w:rsidR="000B4E2C" w:rsidRPr="000B4E2C">
        <w:rPr>
          <w:color w:val="00B0F0"/>
          <w:lang w:eastAsia="en-GB"/>
        </w:rPr>
        <w:t>normalised</w:t>
      </w:r>
      <w:r w:rsidRPr="000B4E2C">
        <w:rPr>
          <w:lang w:eastAsia="en-GB"/>
        </w:rPr>
        <w:t xml:space="preserve"> ratio</w:t>
      </w:r>
    </w:p>
    <w:p w14:paraId="647D3287" w14:textId="77777777" w:rsidR="00AF049A" w:rsidRPr="000B4E2C" w:rsidRDefault="00AF049A" w:rsidP="00A6229F">
      <w:pPr>
        <w:tabs>
          <w:tab w:val="left" w:pos="1765"/>
        </w:tabs>
        <w:ind w:left="113"/>
        <w:rPr>
          <w:lang w:eastAsia="en-GB"/>
        </w:rPr>
      </w:pPr>
      <w:r w:rsidRPr="000B4E2C">
        <w:rPr>
          <w:lang w:eastAsia="en-GB"/>
        </w:rPr>
        <w:t>ITU</w:t>
      </w:r>
      <w:r w:rsidRPr="000B4E2C">
        <w:rPr>
          <w:lang w:eastAsia="en-GB"/>
        </w:rPr>
        <w:tab/>
        <w:t>Intensive treatment unit</w:t>
      </w:r>
    </w:p>
    <w:p w14:paraId="32085E34" w14:textId="77777777" w:rsidR="00AF049A" w:rsidRPr="000B4E2C" w:rsidRDefault="00AF049A" w:rsidP="00A6229F">
      <w:pPr>
        <w:tabs>
          <w:tab w:val="left" w:pos="1765"/>
        </w:tabs>
        <w:ind w:left="113"/>
        <w:rPr>
          <w:lang w:eastAsia="en-GB"/>
        </w:rPr>
      </w:pPr>
      <w:r w:rsidRPr="000B4E2C">
        <w:rPr>
          <w:lang w:eastAsia="en-GB"/>
        </w:rPr>
        <w:t>KDIGO</w:t>
      </w:r>
      <w:r w:rsidRPr="000B4E2C">
        <w:rPr>
          <w:lang w:eastAsia="en-GB"/>
        </w:rPr>
        <w:tab/>
        <w:t>Kidney Disease: Improving Global Outcome</w:t>
      </w:r>
    </w:p>
    <w:p w14:paraId="0612BFB8" w14:textId="77777777" w:rsidR="00AF049A" w:rsidRPr="000B4E2C" w:rsidRDefault="00AF049A" w:rsidP="00A6229F">
      <w:pPr>
        <w:tabs>
          <w:tab w:val="left" w:pos="1765"/>
        </w:tabs>
        <w:ind w:left="113"/>
        <w:rPr>
          <w:lang w:eastAsia="en-GB"/>
        </w:rPr>
      </w:pPr>
      <w:r w:rsidRPr="000B4E2C">
        <w:rPr>
          <w:lang w:eastAsia="en-GB"/>
        </w:rPr>
        <w:t>LIMS</w:t>
      </w:r>
      <w:r w:rsidRPr="000B4E2C">
        <w:rPr>
          <w:lang w:eastAsia="en-GB"/>
        </w:rPr>
        <w:tab/>
        <w:t>Laboratory Information Management Systems</w:t>
      </w:r>
    </w:p>
    <w:p w14:paraId="1851AC9E" w14:textId="77777777" w:rsidR="00AF049A" w:rsidRPr="000B4E2C" w:rsidRDefault="00AF049A" w:rsidP="00A6229F">
      <w:pPr>
        <w:tabs>
          <w:tab w:val="left" w:pos="1765"/>
        </w:tabs>
        <w:ind w:left="113"/>
        <w:rPr>
          <w:lang w:eastAsia="en-GB"/>
        </w:rPr>
      </w:pPr>
      <w:r w:rsidRPr="000B4E2C">
        <w:rPr>
          <w:lang w:eastAsia="en-GB"/>
        </w:rPr>
        <w:t>LOS</w:t>
      </w:r>
      <w:r w:rsidRPr="000B4E2C">
        <w:rPr>
          <w:lang w:eastAsia="en-GB"/>
        </w:rPr>
        <w:tab/>
        <w:t>Length of stay</w:t>
      </w:r>
    </w:p>
    <w:p w14:paraId="1057FAC6" w14:textId="77777777" w:rsidR="00AF049A" w:rsidRPr="000B4E2C" w:rsidRDefault="00AF049A" w:rsidP="00A6229F">
      <w:pPr>
        <w:tabs>
          <w:tab w:val="left" w:pos="1765"/>
        </w:tabs>
        <w:ind w:left="113"/>
        <w:rPr>
          <w:lang w:eastAsia="en-GB"/>
        </w:rPr>
      </w:pPr>
      <w:r w:rsidRPr="000B4E2C">
        <w:rPr>
          <w:lang w:eastAsia="en-GB"/>
        </w:rPr>
        <w:t>MELD</w:t>
      </w:r>
      <w:r w:rsidRPr="000B4E2C">
        <w:rPr>
          <w:lang w:eastAsia="en-GB"/>
        </w:rPr>
        <w:tab/>
        <w:t>Model for end stage liver disease</w:t>
      </w:r>
    </w:p>
    <w:p w14:paraId="1A3C3B73" w14:textId="77777777" w:rsidR="00AF049A" w:rsidRPr="000B4E2C" w:rsidRDefault="00AF049A" w:rsidP="00A6229F">
      <w:pPr>
        <w:tabs>
          <w:tab w:val="left" w:pos="1765"/>
        </w:tabs>
        <w:ind w:left="113"/>
        <w:rPr>
          <w:lang w:eastAsia="en-GB"/>
        </w:rPr>
      </w:pPr>
      <w:r w:rsidRPr="000B4E2C">
        <w:rPr>
          <w:lang w:eastAsia="en-GB"/>
        </w:rPr>
        <w:t>NA</w:t>
      </w:r>
      <w:r w:rsidRPr="000B4E2C">
        <w:rPr>
          <w:lang w:eastAsia="en-GB"/>
        </w:rPr>
        <w:tab/>
        <w:t>Not applicable</w:t>
      </w:r>
    </w:p>
    <w:p w14:paraId="13C16320" w14:textId="77777777" w:rsidR="00AF049A" w:rsidRPr="000B4E2C" w:rsidRDefault="00AF049A" w:rsidP="00A6229F">
      <w:pPr>
        <w:tabs>
          <w:tab w:val="left" w:pos="1765"/>
        </w:tabs>
        <w:ind w:left="113"/>
        <w:rPr>
          <w:lang w:eastAsia="en-GB"/>
        </w:rPr>
      </w:pPr>
      <w:r w:rsidRPr="000B4E2C">
        <w:rPr>
          <w:lang w:eastAsia="en-GB"/>
        </w:rPr>
        <w:t>NEWS</w:t>
      </w:r>
      <w:r w:rsidRPr="000B4E2C">
        <w:rPr>
          <w:lang w:eastAsia="en-GB"/>
        </w:rPr>
        <w:tab/>
        <w:t>National Early Warning Score</w:t>
      </w:r>
    </w:p>
    <w:p w14:paraId="7D048CE0" w14:textId="77777777" w:rsidR="00AF049A" w:rsidRPr="000B4E2C" w:rsidRDefault="00AF049A" w:rsidP="00A6229F">
      <w:pPr>
        <w:tabs>
          <w:tab w:val="left" w:pos="1765"/>
        </w:tabs>
        <w:ind w:left="113"/>
        <w:rPr>
          <w:lang w:eastAsia="en-GB"/>
        </w:rPr>
      </w:pPr>
      <w:r w:rsidRPr="000B4E2C">
        <w:rPr>
          <w:lang w:eastAsia="en-GB"/>
        </w:rPr>
        <w:t>NGAL</w:t>
      </w:r>
      <w:r w:rsidRPr="000B4E2C">
        <w:rPr>
          <w:lang w:eastAsia="en-GB"/>
        </w:rPr>
        <w:tab/>
        <w:t>Neutrophil gelatinase-associated lipocalin</w:t>
      </w:r>
    </w:p>
    <w:p w14:paraId="329D6DCE" w14:textId="77777777" w:rsidR="00AF049A" w:rsidRPr="000B4E2C" w:rsidRDefault="00AF049A" w:rsidP="00A6229F">
      <w:pPr>
        <w:tabs>
          <w:tab w:val="left" w:pos="1765"/>
        </w:tabs>
        <w:ind w:left="113"/>
        <w:rPr>
          <w:lang w:eastAsia="en-GB"/>
        </w:rPr>
      </w:pPr>
      <w:r w:rsidRPr="000B4E2C">
        <w:rPr>
          <w:lang w:eastAsia="en-GB"/>
        </w:rPr>
        <w:t>NHS</w:t>
      </w:r>
      <w:r w:rsidRPr="000B4E2C">
        <w:rPr>
          <w:lang w:eastAsia="en-GB"/>
        </w:rPr>
        <w:tab/>
        <w:t>National health service</w:t>
      </w:r>
    </w:p>
    <w:p w14:paraId="5C8A3833" w14:textId="77777777" w:rsidR="00AF049A" w:rsidRPr="000B4E2C" w:rsidRDefault="00AF049A" w:rsidP="00A6229F">
      <w:pPr>
        <w:tabs>
          <w:tab w:val="left" w:pos="1765"/>
        </w:tabs>
        <w:ind w:left="113"/>
        <w:rPr>
          <w:lang w:eastAsia="en-GB"/>
        </w:rPr>
      </w:pPr>
      <w:r w:rsidRPr="000B4E2C">
        <w:rPr>
          <w:lang w:eastAsia="en-GB"/>
        </w:rPr>
        <w:t>NICE</w:t>
      </w:r>
      <w:r w:rsidRPr="000B4E2C">
        <w:rPr>
          <w:lang w:eastAsia="en-GB"/>
        </w:rPr>
        <w:tab/>
        <w:t>National Institute for Health and Care Excellence</w:t>
      </w:r>
    </w:p>
    <w:p w14:paraId="3D9AD77E" w14:textId="77777777" w:rsidR="00AF049A" w:rsidRPr="000B4E2C" w:rsidRDefault="00AF049A" w:rsidP="00A6229F">
      <w:pPr>
        <w:tabs>
          <w:tab w:val="left" w:pos="1765"/>
        </w:tabs>
        <w:ind w:left="113"/>
        <w:rPr>
          <w:lang w:eastAsia="en-GB"/>
        </w:rPr>
      </w:pPr>
      <w:r w:rsidRPr="000B4E2C">
        <w:rPr>
          <w:lang w:eastAsia="en-GB"/>
        </w:rPr>
        <w:t>NR</w:t>
      </w:r>
      <w:r w:rsidRPr="000B4E2C">
        <w:rPr>
          <w:lang w:eastAsia="en-GB"/>
        </w:rPr>
        <w:tab/>
        <w:t>Not reported</w:t>
      </w:r>
    </w:p>
    <w:p w14:paraId="7849C3E1" w14:textId="77777777" w:rsidR="00AF049A" w:rsidRPr="000B4E2C" w:rsidRDefault="00AF049A" w:rsidP="00A6229F">
      <w:pPr>
        <w:tabs>
          <w:tab w:val="left" w:pos="1765"/>
        </w:tabs>
        <w:ind w:left="113"/>
        <w:rPr>
          <w:lang w:eastAsia="en-GB"/>
        </w:rPr>
      </w:pPr>
      <w:r w:rsidRPr="000B4E2C">
        <w:rPr>
          <w:lang w:eastAsia="en-GB"/>
        </w:rPr>
        <w:t>NRI</w:t>
      </w:r>
      <w:r w:rsidRPr="000B4E2C">
        <w:rPr>
          <w:lang w:eastAsia="en-GB"/>
        </w:rPr>
        <w:tab/>
        <w:t>Net reclassification improvement</w:t>
      </w:r>
    </w:p>
    <w:p w14:paraId="40EC770A" w14:textId="77777777" w:rsidR="00AF049A" w:rsidRPr="000B4E2C" w:rsidRDefault="00AF049A" w:rsidP="00A6229F">
      <w:pPr>
        <w:tabs>
          <w:tab w:val="left" w:pos="1765"/>
        </w:tabs>
        <w:ind w:left="113"/>
        <w:rPr>
          <w:lang w:eastAsia="en-GB"/>
        </w:rPr>
      </w:pPr>
      <w:r w:rsidRPr="000B4E2C">
        <w:rPr>
          <w:lang w:eastAsia="en-GB"/>
        </w:rPr>
        <w:t>OR</w:t>
      </w:r>
      <w:r w:rsidRPr="000B4E2C">
        <w:rPr>
          <w:lang w:eastAsia="en-GB"/>
        </w:rPr>
        <w:tab/>
        <w:t>Odds ratio</w:t>
      </w:r>
    </w:p>
    <w:p w14:paraId="4A9F8E7A" w14:textId="77777777" w:rsidR="00AF049A" w:rsidRPr="000B4E2C" w:rsidRDefault="00AF049A" w:rsidP="00A6229F">
      <w:pPr>
        <w:tabs>
          <w:tab w:val="left" w:pos="1765"/>
        </w:tabs>
        <w:ind w:left="113"/>
        <w:rPr>
          <w:lang w:eastAsia="en-GB"/>
        </w:rPr>
      </w:pPr>
      <w:r w:rsidRPr="000B4E2C">
        <w:rPr>
          <w:i/>
          <w:color w:val="00B0F0"/>
          <w:lang w:eastAsia="en-GB"/>
        </w:rPr>
        <w:t>p</w:t>
      </w:r>
      <w:r w:rsidRPr="000B4E2C">
        <w:rPr>
          <w:lang w:eastAsia="en-GB"/>
        </w:rPr>
        <w:t>.a.</w:t>
      </w:r>
      <w:r w:rsidRPr="000B4E2C">
        <w:rPr>
          <w:lang w:eastAsia="en-GB"/>
        </w:rPr>
        <w:tab/>
        <w:t>Per annum</w:t>
      </w:r>
    </w:p>
    <w:p w14:paraId="6629C1F9" w14:textId="77777777" w:rsidR="00AF049A" w:rsidRPr="000B4E2C" w:rsidRDefault="00AF049A" w:rsidP="00A6229F">
      <w:pPr>
        <w:tabs>
          <w:tab w:val="left" w:pos="1765"/>
        </w:tabs>
        <w:ind w:left="113"/>
        <w:rPr>
          <w:lang w:eastAsia="en-GB"/>
        </w:rPr>
      </w:pPr>
      <w:r w:rsidRPr="000B4E2C">
        <w:rPr>
          <w:lang w:eastAsia="en-GB"/>
        </w:rPr>
        <w:t>PD</w:t>
      </w:r>
      <w:r w:rsidRPr="000B4E2C">
        <w:rPr>
          <w:lang w:eastAsia="en-GB"/>
        </w:rPr>
        <w:tab/>
        <w:t>Periotoneal dialysis</w:t>
      </w:r>
    </w:p>
    <w:p w14:paraId="6B035D9F" w14:textId="77777777" w:rsidR="00AF049A" w:rsidRPr="000B4E2C" w:rsidRDefault="00AF049A" w:rsidP="00A6229F">
      <w:pPr>
        <w:tabs>
          <w:tab w:val="left" w:pos="1765"/>
        </w:tabs>
        <w:ind w:left="113"/>
        <w:rPr>
          <w:lang w:eastAsia="en-GB"/>
        </w:rPr>
      </w:pPr>
      <w:r w:rsidRPr="000B4E2C">
        <w:rPr>
          <w:lang w:eastAsia="en-GB"/>
        </w:rPr>
        <w:t>PICU</w:t>
      </w:r>
      <w:r w:rsidRPr="000B4E2C">
        <w:rPr>
          <w:lang w:eastAsia="en-GB"/>
        </w:rPr>
        <w:tab/>
        <w:t>Paediatric intensive care unit</w:t>
      </w:r>
    </w:p>
    <w:p w14:paraId="7B2B99BD" w14:textId="77777777" w:rsidR="00AF049A" w:rsidRPr="000B4E2C" w:rsidRDefault="00AF049A" w:rsidP="00A6229F">
      <w:pPr>
        <w:tabs>
          <w:tab w:val="left" w:pos="1765"/>
        </w:tabs>
        <w:ind w:left="113"/>
        <w:rPr>
          <w:lang w:eastAsia="en-GB"/>
        </w:rPr>
      </w:pPr>
      <w:r w:rsidRPr="000B4E2C">
        <w:rPr>
          <w:lang w:eastAsia="en-GB"/>
        </w:rPr>
        <w:t>pNGAL</w:t>
      </w:r>
      <w:r w:rsidRPr="000B4E2C">
        <w:rPr>
          <w:lang w:eastAsia="en-GB"/>
        </w:rPr>
        <w:tab/>
        <w:t>Plasma neutrophil gelatinase-associated lipocalin</w:t>
      </w:r>
    </w:p>
    <w:p w14:paraId="52B5E6F6" w14:textId="77777777" w:rsidR="00AF049A" w:rsidRPr="000B4E2C" w:rsidRDefault="00AF049A" w:rsidP="00A6229F">
      <w:pPr>
        <w:tabs>
          <w:tab w:val="left" w:pos="1765"/>
        </w:tabs>
        <w:ind w:left="113"/>
        <w:rPr>
          <w:lang w:eastAsia="en-GB"/>
        </w:rPr>
      </w:pPr>
      <w:r w:rsidRPr="000B4E2C">
        <w:rPr>
          <w:lang w:eastAsia="en-GB"/>
        </w:rPr>
        <w:t>PRISMA</w:t>
      </w:r>
      <w:r w:rsidRPr="000B4E2C">
        <w:rPr>
          <w:lang w:eastAsia="en-GB"/>
        </w:rPr>
        <w:tab/>
        <w:t>Preferred reporting items for systematic reviews and meta-analyses</w:t>
      </w:r>
    </w:p>
    <w:p w14:paraId="276A5C96" w14:textId="77777777" w:rsidR="00AF049A" w:rsidRPr="000B4E2C" w:rsidRDefault="00AF049A" w:rsidP="00A6229F">
      <w:pPr>
        <w:tabs>
          <w:tab w:val="left" w:pos="1765"/>
        </w:tabs>
        <w:ind w:left="113"/>
        <w:rPr>
          <w:lang w:eastAsia="en-GB"/>
        </w:rPr>
      </w:pPr>
      <w:r w:rsidRPr="000B4E2C">
        <w:rPr>
          <w:lang w:eastAsia="en-GB"/>
        </w:rPr>
        <w:t>PROBAST</w:t>
      </w:r>
      <w:r w:rsidRPr="000B4E2C">
        <w:rPr>
          <w:lang w:eastAsia="en-GB"/>
        </w:rPr>
        <w:tab/>
        <w:t>Prediction model Risk Of Bias ASsessment Tool</w:t>
      </w:r>
    </w:p>
    <w:p w14:paraId="366EAB94" w14:textId="77777777" w:rsidR="00AF049A" w:rsidRPr="000B4E2C" w:rsidRDefault="00AF049A" w:rsidP="00A6229F">
      <w:pPr>
        <w:tabs>
          <w:tab w:val="left" w:pos="1765"/>
        </w:tabs>
        <w:ind w:left="113"/>
        <w:rPr>
          <w:lang w:eastAsia="en-GB"/>
        </w:rPr>
      </w:pPr>
      <w:r w:rsidRPr="000B4E2C">
        <w:rPr>
          <w:lang w:eastAsia="en-GB"/>
        </w:rPr>
        <w:t>PSA</w:t>
      </w:r>
      <w:r w:rsidRPr="000B4E2C">
        <w:rPr>
          <w:lang w:eastAsia="en-GB"/>
        </w:rPr>
        <w:tab/>
        <w:t>Probabilistic sensitivity analysis</w:t>
      </w:r>
    </w:p>
    <w:p w14:paraId="4EB91260" w14:textId="77777777" w:rsidR="00AF049A" w:rsidRPr="000B4E2C" w:rsidRDefault="00AF049A" w:rsidP="00A6229F">
      <w:pPr>
        <w:tabs>
          <w:tab w:val="left" w:pos="1765"/>
        </w:tabs>
        <w:ind w:left="113"/>
        <w:rPr>
          <w:lang w:eastAsia="en-GB"/>
        </w:rPr>
      </w:pPr>
      <w:r w:rsidRPr="000B4E2C">
        <w:rPr>
          <w:lang w:eastAsia="en-GB"/>
        </w:rPr>
        <w:t>PSS</w:t>
      </w:r>
      <w:r w:rsidRPr="000B4E2C">
        <w:rPr>
          <w:lang w:eastAsia="en-GB"/>
        </w:rPr>
        <w:tab/>
        <w:t>Personal social services</w:t>
      </w:r>
    </w:p>
    <w:p w14:paraId="2D02BCE6" w14:textId="77777777" w:rsidR="00AF049A" w:rsidRPr="000B4E2C" w:rsidRDefault="00AF049A" w:rsidP="00A6229F">
      <w:pPr>
        <w:tabs>
          <w:tab w:val="left" w:pos="1765"/>
        </w:tabs>
        <w:ind w:left="113"/>
        <w:rPr>
          <w:lang w:eastAsia="en-GB"/>
        </w:rPr>
      </w:pPr>
      <w:r w:rsidRPr="000B4E2C">
        <w:rPr>
          <w:lang w:eastAsia="en-GB"/>
        </w:rPr>
        <w:t>PSSRU</w:t>
      </w:r>
      <w:r w:rsidRPr="000B4E2C">
        <w:rPr>
          <w:lang w:eastAsia="en-GB"/>
        </w:rPr>
        <w:tab/>
        <w:t>Personal social services research unit</w:t>
      </w:r>
    </w:p>
    <w:p w14:paraId="5D159D18" w14:textId="4BF17F20" w:rsidR="00AF049A" w:rsidRPr="000B4E2C" w:rsidRDefault="00AF049A" w:rsidP="00A6229F">
      <w:pPr>
        <w:tabs>
          <w:tab w:val="left" w:pos="1765"/>
        </w:tabs>
        <w:ind w:left="113"/>
        <w:rPr>
          <w:lang w:eastAsia="en-GB"/>
        </w:rPr>
      </w:pPr>
      <w:r w:rsidRPr="000B4E2C">
        <w:rPr>
          <w:lang w:eastAsia="en-GB"/>
        </w:rPr>
        <w:t>QALY</w:t>
      </w:r>
      <w:r w:rsidRPr="000B4E2C">
        <w:rPr>
          <w:lang w:eastAsia="en-GB"/>
        </w:rPr>
        <w:tab/>
      </w:r>
      <w:r w:rsidR="000B4E2C" w:rsidRPr="000B4E2C">
        <w:rPr>
          <w:color w:val="00B0F0"/>
          <w:lang w:eastAsia="en-GB"/>
        </w:rPr>
        <w:t>Quality-adjusted</w:t>
      </w:r>
      <w:r w:rsidRPr="000B4E2C">
        <w:rPr>
          <w:lang w:eastAsia="en-GB"/>
        </w:rPr>
        <w:t xml:space="preserve"> </w:t>
      </w:r>
      <w:r w:rsidR="000B4E2C" w:rsidRPr="000B4E2C">
        <w:rPr>
          <w:color w:val="00B0F0"/>
          <w:lang w:eastAsia="en-GB"/>
        </w:rPr>
        <w:t>life-year</w:t>
      </w:r>
    </w:p>
    <w:p w14:paraId="21387DE2" w14:textId="33FAC5FA" w:rsidR="00AF049A" w:rsidRPr="000B4E2C" w:rsidRDefault="00AF049A" w:rsidP="00A6229F">
      <w:pPr>
        <w:tabs>
          <w:tab w:val="left" w:pos="1765"/>
        </w:tabs>
        <w:ind w:left="113"/>
        <w:rPr>
          <w:lang w:eastAsia="en-GB"/>
        </w:rPr>
      </w:pPr>
      <w:r w:rsidRPr="000B4E2C">
        <w:rPr>
          <w:lang w:eastAsia="en-GB"/>
        </w:rPr>
        <w:t>QUADA</w:t>
      </w:r>
      <w:r w:rsidR="000B4E2C" w:rsidRPr="000B4E2C">
        <w:rPr>
          <w:color w:val="00B0F0"/>
          <w:lang w:eastAsia="en-GB"/>
        </w:rPr>
        <w:t>S</w:t>
      </w:r>
      <w:r w:rsidR="000B4E2C" w:rsidRPr="000B4E2C">
        <w:rPr>
          <w:color w:val="00B0F0"/>
          <w:lang w:eastAsia="en-GB"/>
        </w:rPr>
        <w:t>-</w:t>
      </w:r>
      <w:r w:rsidR="000B4E2C" w:rsidRPr="000B4E2C">
        <w:rPr>
          <w:color w:val="00B0F0"/>
          <w:lang w:eastAsia="en-GB"/>
        </w:rPr>
        <w:t>2</w:t>
      </w:r>
      <w:r w:rsidRPr="000B4E2C">
        <w:rPr>
          <w:lang w:eastAsia="en-GB"/>
        </w:rPr>
        <w:tab/>
        <w:t>Quality Assessment of Diagnostic Accuracy Studies, version 2</w:t>
      </w:r>
    </w:p>
    <w:p w14:paraId="0F420A9E" w14:textId="77777777" w:rsidR="00AF049A" w:rsidRPr="000B4E2C" w:rsidRDefault="00AF049A" w:rsidP="00A6229F">
      <w:pPr>
        <w:tabs>
          <w:tab w:val="left" w:pos="1765"/>
        </w:tabs>
        <w:ind w:left="113"/>
        <w:rPr>
          <w:lang w:eastAsia="en-GB"/>
        </w:rPr>
      </w:pPr>
      <w:r w:rsidRPr="000B4E2C">
        <w:rPr>
          <w:lang w:eastAsia="en-GB"/>
        </w:rPr>
        <w:t>RACHS</w:t>
      </w:r>
      <w:r w:rsidRPr="000B4E2C">
        <w:rPr>
          <w:lang w:eastAsia="en-GB"/>
        </w:rPr>
        <w:tab/>
        <w:t>Risk adjustment for congenital heart surgery</w:t>
      </w:r>
    </w:p>
    <w:p w14:paraId="739DF5C2" w14:textId="77777777" w:rsidR="00AF049A" w:rsidRPr="000B4E2C" w:rsidRDefault="00AF049A" w:rsidP="00A6229F">
      <w:pPr>
        <w:tabs>
          <w:tab w:val="left" w:pos="1765"/>
        </w:tabs>
        <w:ind w:left="113"/>
        <w:rPr>
          <w:lang w:eastAsia="en-GB"/>
        </w:rPr>
      </w:pPr>
      <w:r w:rsidRPr="000B4E2C">
        <w:rPr>
          <w:lang w:eastAsia="en-GB"/>
        </w:rPr>
        <w:t>RCT</w:t>
      </w:r>
      <w:r w:rsidRPr="000B4E2C">
        <w:rPr>
          <w:lang w:eastAsia="en-GB"/>
        </w:rPr>
        <w:tab/>
        <w:t>Randomised controlled trial</w:t>
      </w:r>
    </w:p>
    <w:p w14:paraId="0DEA13AF" w14:textId="77777777" w:rsidR="00AF049A" w:rsidRPr="000B4E2C" w:rsidRDefault="00AF049A" w:rsidP="00A6229F">
      <w:pPr>
        <w:tabs>
          <w:tab w:val="left" w:pos="1765"/>
        </w:tabs>
        <w:ind w:left="113"/>
        <w:rPr>
          <w:lang w:eastAsia="en-GB"/>
        </w:rPr>
      </w:pPr>
      <w:r w:rsidRPr="000B4E2C">
        <w:rPr>
          <w:lang w:eastAsia="en-GB"/>
        </w:rPr>
        <w:t>RIFLE</w:t>
      </w:r>
      <w:r w:rsidRPr="000B4E2C">
        <w:rPr>
          <w:lang w:eastAsia="en-GB"/>
        </w:rPr>
        <w:tab/>
        <w:t>Risk, Failure, Loss of kidney function, End-stage disease</w:t>
      </w:r>
    </w:p>
    <w:p w14:paraId="6801CBF5" w14:textId="77777777" w:rsidR="00AF049A" w:rsidRPr="000B4E2C" w:rsidRDefault="00AF049A" w:rsidP="00A6229F">
      <w:pPr>
        <w:tabs>
          <w:tab w:val="left" w:pos="1765"/>
        </w:tabs>
        <w:ind w:left="113"/>
        <w:rPr>
          <w:lang w:eastAsia="en-GB"/>
        </w:rPr>
      </w:pPr>
      <w:r w:rsidRPr="000B4E2C">
        <w:rPr>
          <w:lang w:eastAsia="en-GB"/>
        </w:rPr>
        <w:t>ROC</w:t>
      </w:r>
      <w:r w:rsidRPr="000B4E2C">
        <w:rPr>
          <w:lang w:eastAsia="en-GB"/>
        </w:rPr>
        <w:tab/>
        <w:t>Receiver operating characteristics</w:t>
      </w:r>
    </w:p>
    <w:p w14:paraId="27FA565D" w14:textId="77777777" w:rsidR="00AF049A" w:rsidRPr="000B4E2C" w:rsidRDefault="00AF049A" w:rsidP="00A6229F">
      <w:pPr>
        <w:tabs>
          <w:tab w:val="left" w:pos="1765"/>
        </w:tabs>
        <w:ind w:left="113"/>
        <w:rPr>
          <w:lang w:eastAsia="en-GB"/>
        </w:rPr>
      </w:pPr>
      <w:r w:rsidRPr="000B4E2C">
        <w:rPr>
          <w:lang w:eastAsia="en-GB"/>
        </w:rPr>
        <w:t>ROSC</w:t>
      </w:r>
      <w:r w:rsidRPr="000B4E2C">
        <w:rPr>
          <w:lang w:eastAsia="en-GB"/>
        </w:rPr>
        <w:tab/>
        <w:t>Return of spontaneous circulation</w:t>
      </w:r>
    </w:p>
    <w:p w14:paraId="49CFF7E4" w14:textId="77777777" w:rsidR="00AF049A" w:rsidRPr="000B4E2C" w:rsidRDefault="00AF049A" w:rsidP="00A6229F">
      <w:pPr>
        <w:tabs>
          <w:tab w:val="left" w:pos="1765"/>
        </w:tabs>
        <w:ind w:left="113"/>
        <w:rPr>
          <w:lang w:eastAsia="en-GB"/>
        </w:rPr>
      </w:pPr>
      <w:r w:rsidRPr="000B4E2C">
        <w:rPr>
          <w:lang w:eastAsia="en-GB"/>
        </w:rPr>
        <w:t>RR</w:t>
      </w:r>
      <w:r w:rsidRPr="000B4E2C">
        <w:rPr>
          <w:lang w:eastAsia="en-GB"/>
        </w:rPr>
        <w:tab/>
        <w:t>Relative risk</w:t>
      </w:r>
    </w:p>
    <w:p w14:paraId="4A65B1F4" w14:textId="77777777" w:rsidR="00AF049A" w:rsidRPr="000B4E2C" w:rsidRDefault="00AF049A" w:rsidP="00A6229F">
      <w:pPr>
        <w:tabs>
          <w:tab w:val="left" w:pos="1765"/>
        </w:tabs>
        <w:ind w:left="113"/>
        <w:rPr>
          <w:lang w:eastAsia="en-GB"/>
        </w:rPr>
      </w:pPr>
      <w:r w:rsidRPr="000B4E2C">
        <w:rPr>
          <w:lang w:eastAsia="en-GB"/>
        </w:rPr>
        <w:t>RRT</w:t>
      </w:r>
      <w:r w:rsidRPr="000B4E2C">
        <w:rPr>
          <w:lang w:eastAsia="en-GB"/>
        </w:rPr>
        <w:tab/>
        <w:t>Renal replacement therapy</w:t>
      </w:r>
    </w:p>
    <w:p w14:paraId="3A68CC76" w14:textId="77777777" w:rsidR="00AF049A" w:rsidRPr="000B4E2C" w:rsidRDefault="00AF049A" w:rsidP="00A6229F">
      <w:pPr>
        <w:tabs>
          <w:tab w:val="left" w:pos="1765"/>
        </w:tabs>
        <w:ind w:left="113"/>
        <w:rPr>
          <w:lang w:eastAsia="en-GB"/>
        </w:rPr>
      </w:pPr>
      <w:r w:rsidRPr="000B4E2C">
        <w:rPr>
          <w:lang w:eastAsia="en-GB"/>
        </w:rPr>
        <w:t>SAPS III</w:t>
      </w:r>
      <w:r w:rsidRPr="000B4E2C">
        <w:rPr>
          <w:lang w:eastAsia="en-GB"/>
        </w:rPr>
        <w:tab/>
        <w:t>Simplified acute physiology score III</w:t>
      </w:r>
    </w:p>
    <w:p w14:paraId="61789724" w14:textId="77777777" w:rsidR="00AF049A" w:rsidRPr="000B4E2C" w:rsidRDefault="00AF049A" w:rsidP="00A6229F">
      <w:pPr>
        <w:tabs>
          <w:tab w:val="left" w:pos="1765"/>
        </w:tabs>
        <w:ind w:left="113"/>
        <w:rPr>
          <w:lang w:eastAsia="en-GB"/>
        </w:rPr>
      </w:pPr>
      <w:r w:rsidRPr="000B4E2C">
        <w:rPr>
          <w:lang w:eastAsia="en-GB"/>
        </w:rPr>
        <w:t>sCr</w:t>
      </w:r>
      <w:r w:rsidRPr="000B4E2C">
        <w:rPr>
          <w:lang w:eastAsia="en-GB"/>
        </w:rPr>
        <w:tab/>
        <w:t>Serum creatinine</w:t>
      </w:r>
    </w:p>
    <w:p w14:paraId="6A4B3CD5" w14:textId="77777777" w:rsidR="00AF049A" w:rsidRPr="000B4E2C" w:rsidRDefault="00AF049A" w:rsidP="00A6229F">
      <w:pPr>
        <w:tabs>
          <w:tab w:val="left" w:pos="1765"/>
        </w:tabs>
        <w:ind w:left="113"/>
        <w:rPr>
          <w:lang w:eastAsia="en-GB"/>
        </w:rPr>
      </w:pPr>
      <w:r w:rsidRPr="000B4E2C">
        <w:rPr>
          <w:lang w:eastAsia="en-GB"/>
        </w:rPr>
        <w:t>SEM</w:t>
      </w:r>
      <w:r w:rsidRPr="000B4E2C">
        <w:rPr>
          <w:lang w:eastAsia="en-GB"/>
        </w:rPr>
        <w:tab/>
        <w:t>Standard error of the mean</w:t>
      </w:r>
    </w:p>
    <w:p w14:paraId="6369A1C6" w14:textId="77777777" w:rsidR="00AF049A" w:rsidRPr="000B4E2C" w:rsidRDefault="00AF049A" w:rsidP="00A6229F">
      <w:pPr>
        <w:tabs>
          <w:tab w:val="left" w:pos="1765"/>
        </w:tabs>
        <w:ind w:left="113"/>
        <w:rPr>
          <w:lang w:eastAsia="en-GB"/>
        </w:rPr>
      </w:pPr>
      <w:r w:rsidRPr="000B4E2C">
        <w:rPr>
          <w:lang w:eastAsia="en-GB"/>
        </w:rPr>
        <w:t>SHARP</w:t>
      </w:r>
      <w:r w:rsidRPr="000B4E2C">
        <w:rPr>
          <w:lang w:eastAsia="en-GB"/>
        </w:rPr>
        <w:tab/>
        <w:t>Study of Heart and Renal Protection</w:t>
      </w:r>
    </w:p>
    <w:p w14:paraId="6670266F" w14:textId="77777777" w:rsidR="00AF049A" w:rsidRPr="000B4E2C" w:rsidRDefault="00AF049A" w:rsidP="00A6229F">
      <w:pPr>
        <w:tabs>
          <w:tab w:val="left" w:pos="1765"/>
        </w:tabs>
        <w:ind w:left="113"/>
        <w:rPr>
          <w:lang w:eastAsia="en-GB"/>
        </w:rPr>
      </w:pPr>
      <w:r w:rsidRPr="000B4E2C">
        <w:rPr>
          <w:lang w:eastAsia="en-GB"/>
        </w:rPr>
        <w:t>SOFA</w:t>
      </w:r>
      <w:r w:rsidRPr="000B4E2C">
        <w:rPr>
          <w:lang w:eastAsia="en-GB"/>
        </w:rPr>
        <w:tab/>
        <w:t>Sequential organ failure assessment</w:t>
      </w:r>
    </w:p>
    <w:p w14:paraId="777F53AD" w14:textId="5721FC7C" w:rsidR="00AF049A" w:rsidRPr="000B4E2C" w:rsidRDefault="00AF049A" w:rsidP="00A6229F">
      <w:pPr>
        <w:tabs>
          <w:tab w:val="left" w:pos="1765"/>
        </w:tabs>
        <w:ind w:left="113"/>
        <w:rPr>
          <w:lang w:eastAsia="en-GB"/>
        </w:rPr>
      </w:pPr>
      <w:r w:rsidRPr="000B4E2C">
        <w:rPr>
          <w:lang w:eastAsia="en-GB"/>
        </w:rPr>
        <w:t>TIM</w:t>
      </w:r>
      <w:r w:rsidR="000B4E2C" w:rsidRPr="000B4E2C">
        <w:rPr>
          <w:color w:val="00B0F0"/>
          <w:lang w:eastAsia="en-GB"/>
        </w:rPr>
        <w:t>P</w:t>
      </w:r>
      <w:r w:rsidR="000B4E2C" w:rsidRPr="000B4E2C">
        <w:rPr>
          <w:color w:val="00B0F0"/>
          <w:lang w:eastAsia="en-GB"/>
        </w:rPr>
        <w:t>-</w:t>
      </w:r>
      <w:r w:rsidR="000B4E2C" w:rsidRPr="000B4E2C">
        <w:rPr>
          <w:color w:val="00B0F0"/>
          <w:lang w:eastAsia="en-GB"/>
        </w:rPr>
        <w:t>2</w:t>
      </w:r>
      <w:r w:rsidRPr="000B4E2C">
        <w:rPr>
          <w:lang w:eastAsia="en-GB"/>
        </w:rPr>
        <w:tab/>
        <w:t>Tissue inhibitor of metalloproteinas</w:t>
      </w:r>
      <w:r w:rsidR="000B4E2C" w:rsidRPr="000B4E2C">
        <w:rPr>
          <w:color w:val="00B0F0"/>
          <w:lang w:eastAsia="en-GB"/>
        </w:rPr>
        <w:t>e</w:t>
      </w:r>
      <w:r w:rsidR="000B4E2C" w:rsidRPr="000B4E2C">
        <w:rPr>
          <w:color w:val="00B0F0"/>
          <w:lang w:eastAsia="en-GB"/>
        </w:rPr>
        <w:t>-</w:t>
      </w:r>
      <w:r w:rsidR="000B4E2C" w:rsidRPr="000B4E2C">
        <w:rPr>
          <w:color w:val="00B0F0"/>
          <w:lang w:eastAsia="en-GB"/>
        </w:rPr>
        <w:t>2</w:t>
      </w:r>
    </w:p>
    <w:p w14:paraId="6ABA0E81" w14:textId="77777777" w:rsidR="00AF049A" w:rsidRPr="000B4E2C" w:rsidRDefault="00AF049A" w:rsidP="00A6229F">
      <w:pPr>
        <w:tabs>
          <w:tab w:val="left" w:pos="1765"/>
        </w:tabs>
        <w:ind w:left="113"/>
        <w:rPr>
          <w:lang w:eastAsia="en-GB"/>
        </w:rPr>
      </w:pPr>
      <w:r w:rsidRPr="000B4E2C">
        <w:rPr>
          <w:lang w:eastAsia="en-GB"/>
        </w:rPr>
        <w:t>TP</w:t>
      </w:r>
      <w:r w:rsidRPr="000B4E2C">
        <w:rPr>
          <w:lang w:eastAsia="en-GB"/>
        </w:rPr>
        <w:tab/>
        <w:t>True positive</w:t>
      </w:r>
    </w:p>
    <w:p w14:paraId="7ECB5209" w14:textId="77777777" w:rsidR="00AF049A" w:rsidRPr="000B4E2C" w:rsidRDefault="00AF049A" w:rsidP="00A6229F">
      <w:pPr>
        <w:tabs>
          <w:tab w:val="left" w:pos="1765"/>
        </w:tabs>
        <w:ind w:left="113"/>
        <w:rPr>
          <w:lang w:eastAsia="en-GB"/>
        </w:rPr>
      </w:pPr>
      <w:r w:rsidRPr="000B4E2C">
        <w:rPr>
          <w:lang w:eastAsia="en-GB"/>
        </w:rPr>
        <w:t>uL-FABP</w:t>
      </w:r>
      <w:r w:rsidRPr="000B4E2C">
        <w:rPr>
          <w:lang w:eastAsia="en-GB"/>
        </w:rPr>
        <w:tab/>
        <w:t>Urinary liver-type fatty acid-binding protein</w:t>
      </w:r>
    </w:p>
    <w:p w14:paraId="5917280B" w14:textId="77777777" w:rsidR="00AF049A" w:rsidRPr="000B4E2C" w:rsidRDefault="00AF049A" w:rsidP="00A6229F">
      <w:pPr>
        <w:tabs>
          <w:tab w:val="left" w:pos="1765"/>
        </w:tabs>
        <w:ind w:left="113"/>
        <w:rPr>
          <w:lang w:eastAsia="en-GB"/>
        </w:rPr>
      </w:pPr>
      <w:r w:rsidRPr="000B4E2C">
        <w:rPr>
          <w:lang w:eastAsia="en-GB"/>
        </w:rPr>
        <w:t>uNGAL</w:t>
      </w:r>
      <w:r w:rsidRPr="000B4E2C">
        <w:rPr>
          <w:lang w:eastAsia="en-GB"/>
        </w:rPr>
        <w:tab/>
        <w:t>Urine neutrophil gelatinase-associated lipocalin</w:t>
      </w:r>
    </w:p>
    <w:p w14:paraId="686802BD" w14:textId="77777777" w:rsidR="00AF049A" w:rsidRPr="000B4E2C" w:rsidRDefault="00AF049A" w:rsidP="00A6229F">
      <w:pPr>
        <w:tabs>
          <w:tab w:val="left" w:pos="1765"/>
        </w:tabs>
        <w:ind w:left="113"/>
        <w:rPr>
          <w:lang w:eastAsia="en-GB"/>
        </w:rPr>
      </w:pPr>
      <w:r w:rsidRPr="000B4E2C">
        <w:rPr>
          <w:lang w:eastAsia="en-GB"/>
        </w:rPr>
        <w:lastRenderedPageBreak/>
        <w:t>UTI</w:t>
      </w:r>
      <w:r w:rsidRPr="000B4E2C">
        <w:rPr>
          <w:lang w:eastAsia="en-GB"/>
        </w:rPr>
        <w:tab/>
        <w:t>Urinary tract infection</w:t>
      </w:r>
    </w:p>
    <w:p w14:paraId="4D0C870A" w14:textId="77777777" w:rsidR="000B4E2C" w:rsidRPr="000B4E2C" w:rsidRDefault="00AF049A" w:rsidP="00A6229F">
      <w:pPr>
        <w:tabs>
          <w:tab w:val="left" w:pos="1765"/>
        </w:tabs>
        <w:ind w:left="113"/>
        <w:rPr>
          <w:lang w:eastAsia="en-GB"/>
        </w:rPr>
      </w:pPr>
      <w:r w:rsidRPr="000B4E2C">
        <w:rPr>
          <w:lang w:eastAsia="en-GB"/>
        </w:rPr>
        <w:t>WTP</w:t>
      </w:r>
      <w:r w:rsidRPr="000B4E2C">
        <w:rPr>
          <w:lang w:eastAsia="en-GB"/>
        </w:rPr>
        <w:tab/>
        <w:t>Willingness to pay</w:t>
      </w:r>
    </w:p>
    <w:p w14:paraId="0631FCF9" w14:textId="77777777" w:rsidR="000B4E2C" w:rsidRPr="000B4E2C" w:rsidRDefault="002F0133" w:rsidP="008A7464">
      <w:pPr>
        <w:pStyle w:val="Heading1"/>
      </w:pPr>
      <w:bookmarkStart w:id="4" w:name="_Toc386459558"/>
      <w:r w:rsidRPr="000B4E2C">
        <w:t>Plain English summary</w:t>
      </w:r>
    </w:p>
    <w:p w14:paraId="2F74E861" w14:textId="77777777" w:rsidR="000B4E2C" w:rsidRPr="000B4E2C" w:rsidRDefault="00720610" w:rsidP="00720610">
      <w:pPr>
        <w:rPr>
          <w:szCs w:val="24"/>
        </w:rPr>
      </w:pPr>
      <w:r w:rsidRPr="000B4E2C">
        <w:rPr>
          <w:szCs w:val="24"/>
        </w:rPr>
        <w:t xml:space="preserve">Among people who are very ill or have received surgery, the kidneys may suddenly stop to work properly. This is known as acute kidney injury (AKI). AKI can progress to serious kidney problems and can be fatal. </w:t>
      </w:r>
      <w:r w:rsidR="007B43B0" w:rsidRPr="000B4E2C">
        <w:rPr>
          <w:szCs w:val="24"/>
        </w:rPr>
        <w:t>Currently</w:t>
      </w:r>
      <w:r w:rsidRPr="000B4E2C">
        <w:rPr>
          <w:szCs w:val="24"/>
        </w:rPr>
        <w:t xml:space="preserve">, </w:t>
      </w:r>
      <w:r w:rsidR="0071011B" w:rsidRPr="000B4E2C">
        <w:rPr>
          <w:szCs w:val="24"/>
        </w:rPr>
        <w:t>t</w:t>
      </w:r>
      <w:r w:rsidR="007528C5" w:rsidRPr="000B4E2C">
        <w:rPr>
          <w:szCs w:val="24"/>
        </w:rPr>
        <w:t xml:space="preserve">o decide whether AKI is present, doctors use </w:t>
      </w:r>
      <w:r w:rsidRPr="000B4E2C">
        <w:rPr>
          <w:szCs w:val="24"/>
        </w:rPr>
        <w:t xml:space="preserve">the level of creatinine (a waste product filtered by the kidneys) in the blood or urine. However, creatinine levels are not a precise indicator and they can take hours or days to rise – this may </w:t>
      </w:r>
      <w:r w:rsidRPr="000B4E2C">
        <w:rPr>
          <w:szCs w:val="24"/>
          <w:highlight w:val="magenta"/>
        </w:rPr>
        <w:t>lead</w:t>
      </w:r>
      <w:r w:rsidRPr="000B4E2C">
        <w:rPr>
          <w:szCs w:val="24"/>
        </w:rPr>
        <w:t xml:space="preserve"> to delays in AKI recognition. Novel biomarkers may help </w:t>
      </w:r>
      <w:r w:rsidR="007528C5" w:rsidRPr="000B4E2C">
        <w:rPr>
          <w:szCs w:val="24"/>
        </w:rPr>
        <w:t>doctors</w:t>
      </w:r>
      <w:r w:rsidRPr="000B4E2C">
        <w:rPr>
          <w:szCs w:val="24"/>
        </w:rPr>
        <w:t xml:space="preserve"> recognise the presence of AKI earlier and treat patients promptly. This work evaluates </w:t>
      </w:r>
      <w:r w:rsidR="007528C5" w:rsidRPr="000B4E2C">
        <w:rPr>
          <w:szCs w:val="24"/>
        </w:rPr>
        <w:t xml:space="preserve">current </w:t>
      </w:r>
      <w:r w:rsidRPr="000B4E2C">
        <w:rPr>
          <w:szCs w:val="24"/>
        </w:rPr>
        <w:t>evidence</w:t>
      </w:r>
      <w:r w:rsidR="007528C5" w:rsidRPr="000B4E2C">
        <w:rPr>
          <w:szCs w:val="24"/>
        </w:rPr>
        <w:t xml:space="preserve"> on the use of </w:t>
      </w:r>
      <w:r w:rsidRPr="000B4E2C">
        <w:rPr>
          <w:szCs w:val="24"/>
        </w:rPr>
        <w:t>biomarker</w:t>
      </w:r>
      <w:r w:rsidR="007528C5" w:rsidRPr="000B4E2C">
        <w:rPr>
          <w:szCs w:val="24"/>
        </w:rPr>
        <w:t>s for AKI</w:t>
      </w:r>
      <w:r w:rsidRPr="000B4E2C">
        <w:rPr>
          <w:szCs w:val="24"/>
        </w:rPr>
        <w:t>with respect to clinical usefulness and cost</w:t>
      </w:r>
      <w:r w:rsidR="007528C5" w:rsidRPr="000B4E2C">
        <w:rPr>
          <w:szCs w:val="24"/>
        </w:rPr>
        <w:t>s</w:t>
      </w:r>
      <w:r w:rsidRPr="000B4E2C">
        <w:rPr>
          <w:szCs w:val="24"/>
        </w:rPr>
        <w:t>.</w:t>
      </w:r>
    </w:p>
    <w:p w14:paraId="2CE405AA" w14:textId="77777777" w:rsidR="000B4E2C" w:rsidRPr="000B4E2C" w:rsidRDefault="00720610" w:rsidP="00720610">
      <w:pPr>
        <w:rPr>
          <w:szCs w:val="24"/>
        </w:rPr>
      </w:pPr>
      <w:r w:rsidRPr="000B4E2C">
        <w:rPr>
          <w:szCs w:val="24"/>
        </w:rPr>
        <w:t>We reviewed the current evidence on the use of biomarkers for assessing the risk of AKI in people who are very ill and assessed whether they are of good value for the NHS. We assessed the ARCHITECT urine NGAL, urine and plasma BioPorto NGAL and urine NephroCheck biomarkers.</w:t>
      </w:r>
    </w:p>
    <w:p w14:paraId="7A4E90EC" w14:textId="77777777" w:rsidR="000B4E2C" w:rsidRPr="000B4E2C" w:rsidRDefault="00720610" w:rsidP="00720610">
      <w:pPr>
        <w:rPr>
          <w:szCs w:val="24"/>
          <w:lang w:eastAsia="en-GB"/>
        </w:rPr>
      </w:pPr>
      <w:r w:rsidRPr="000B4E2C">
        <w:rPr>
          <w:szCs w:val="24"/>
        </w:rPr>
        <w:t>We checked studies published up to June 2019 and found 56 relevant studies (</w:t>
      </w:r>
      <w:r w:rsidRPr="000B4E2C">
        <w:rPr>
          <w:szCs w:val="24"/>
          <w:lang w:eastAsia="en-GB"/>
        </w:rPr>
        <w:t>17,967 patients). Most studies were conducted outside the UK and investigated people already admitted to critical care. We combined the results of the studies and found that NephroCheck and NGAL biomarkers might potentially be useful in identifying AKI or pre-empting AKI in some circumstances. However, studies differed in patient characteristics, clinical setting, and the way biomarkers were used. This could explain why the number of people correctly identified and missed by the biomarkers varied across studies. Hence, we do not completely trust our pooled results.</w:t>
      </w:r>
    </w:p>
    <w:p w14:paraId="21E01E51" w14:textId="77777777" w:rsidR="000B4E2C" w:rsidRPr="000B4E2C" w:rsidRDefault="007528C5" w:rsidP="00720610">
      <w:pPr>
        <w:rPr>
          <w:szCs w:val="24"/>
          <w:lang w:eastAsia="en-GB"/>
        </w:rPr>
      </w:pPr>
      <w:r w:rsidRPr="000B4E2C">
        <w:rPr>
          <w:szCs w:val="24"/>
          <w:lang w:eastAsia="en-GB"/>
        </w:rPr>
        <w:t>W</w:t>
      </w:r>
      <w:r w:rsidR="00720610" w:rsidRPr="000B4E2C">
        <w:rPr>
          <w:szCs w:val="24"/>
          <w:lang w:eastAsia="en-GB"/>
        </w:rPr>
        <w:t>e found</w:t>
      </w:r>
      <w:r w:rsidRPr="000B4E2C">
        <w:rPr>
          <w:szCs w:val="24"/>
          <w:lang w:eastAsia="en-GB"/>
        </w:rPr>
        <w:t xml:space="preserve"> also</w:t>
      </w:r>
      <w:r w:rsidR="00720610" w:rsidRPr="000B4E2C">
        <w:rPr>
          <w:szCs w:val="24"/>
          <w:lang w:eastAsia="en-GB"/>
        </w:rPr>
        <w:t xml:space="preserve"> that AKI is associated with substantial cost</w:t>
      </w:r>
      <w:r w:rsidRPr="000B4E2C">
        <w:rPr>
          <w:szCs w:val="24"/>
          <w:lang w:eastAsia="en-GB"/>
        </w:rPr>
        <w:t>s for the NHS</w:t>
      </w:r>
      <w:r w:rsidR="00720610" w:rsidRPr="000B4E2C">
        <w:rPr>
          <w:szCs w:val="24"/>
          <w:lang w:eastAsia="en-GB"/>
        </w:rPr>
        <w:t>, but there was insufficient good quality evidence to decide which biomarker (if any) offered the best value for money.</w:t>
      </w:r>
    </w:p>
    <w:bookmarkEnd w:id="4"/>
    <w:p w14:paraId="5F992C18" w14:textId="77777777" w:rsidR="000B4E2C" w:rsidRPr="000B4E2C" w:rsidRDefault="00600F37" w:rsidP="00600F37">
      <w:pPr>
        <w:pStyle w:val="Heading1"/>
      </w:pPr>
      <w:r w:rsidRPr="000B4E2C">
        <w:t>Scientific summary</w:t>
      </w:r>
    </w:p>
    <w:p w14:paraId="7F863CA6" w14:textId="331C4BEA" w:rsidR="00600F37" w:rsidRPr="000B4E2C" w:rsidRDefault="00600F37" w:rsidP="00600F37">
      <w:pPr>
        <w:rPr>
          <w:b/>
        </w:rPr>
      </w:pPr>
      <w:r w:rsidRPr="000B4E2C">
        <w:rPr>
          <w:b/>
        </w:rPr>
        <w:t>Background</w:t>
      </w:r>
    </w:p>
    <w:p w14:paraId="5B2305F9" w14:textId="77777777" w:rsidR="000B4E2C" w:rsidRPr="000B4E2C" w:rsidRDefault="00BE6AF1" w:rsidP="00BE6AF1">
      <w:r w:rsidRPr="000B4E2C">
        <w:t>Acute kidney injury (AKI) is a common and serious complication that typically occurs in the context of an acute critical illness or during a postoperative period. It is associated with prolonged hospital stay, increased morbidity and increased mortality. Earlier detection of kidney injury may facilitate the adoption of strategies to preserve renal function and prevent further progression of kidney disease.</w:t>
      </w:r>
    </w:p>
    <w:p w14:paraId="12AF04EE" w14:textId="77777777" w:rsidR="000B4E2C" w:rsidRPr="000B4E2C" w:rsidRDefault="00BE6AF1" w:rsidP="00BE6AF1">
      <w:r w:rsidRPr="000B4E2C">
        <w:t xml:space="preserve">Currently, AKI diagnosis relies on a rise in serum creatinine levels and/or a fall in urine output. Despite its widespread use in the monitoring of kidney health and disease, creatinine is an imperfect marker of kidney function because its level in the blood is not solely </w:t>
      </w:r>
      <w:r w:rsidRPr="000B4E2C">
        <w:rPr>
          <w:highlight w:val="magenta"/>
        </w:rPr>
        <w:t>dependent</w:t>
      </w:r>
      <w:r w:rsidRPr="000B4E2C">
        <w:t xml:space="preserve"> on kidney function, and changes in creatinine lag behind reductions in kidney function. The limitations have led to the search for novel biomarkers which may detect kidney </w:t>
      </w:r>
      <w:r w:rsidR="006E1EE5" w:rsidRPr="000B4E2C">
        <w:t xml:space="preserve">stress or </w:t>
      </w:r>
      <w:r w:rsidRPr="000B4E2C">
        <w:t>damage earlier and more reliably.</w:t>
      </w:r>
    </w:p>
    <w:p w14:paraId="09F3F313" w14:textId="5C3A33A3" w:rsidR="000B4E2C" w:rsidRPr="000B4E2C" w:rsidRDefault="00BE6AF1" w:rsidP="00BE6AF1">
      <w:r w:rsidRPr="000B4E2C">
        <w:t xml:space="preserve">Biomarker tests for AKI include NGAL (neutrophil gelatinase-associated lipocalin), which can be measured </w:t>
      </w:r>
      <w:r w:rsidR="006E1EE5" w:rsidRPr="000B4E2C">
        <w:t xml:space="preserve">in </w:t>
      </w:r>
      <w:r w:rsidRPr="000B4E2C">
        <w:t>urine or blood. NGAL is released from neutrophils and is induced by inflammation, indicating tubular injury. Another recent biomarker for AKI is NephroCheck, which tests for the presence of tissue inhibitor of metalloproteinas</w:t>
      </w:r>
      <w:r w:rsidR="000B4E2C" w:rsidRPr="000B4E2C">
        <w:rPr>
          <w:color w:val="00B0F0"/>
        </w:rPr>
        <w:t>e</w:t>
      </w:r>
      <w:r w:rsidR="000B4E2C" w:rsidRPr="000B4E2C">
        <w:rPr>
          <w:color w:val="00B0F0"/>
        </w:rPr>
        <w:t>-</w:t>
      </w:r>
      <w:r w:rsidR="000B4E2C" w:rsidRPr="000B4E2C">
        <w:rPr>
          <w:color w:val="00B0F0"/>
        </w:rPr>
        <w:t>2</w:t>
      </w:r>
      <w:r w:rsidRPr="000B4E2C">
        <w:t xml:space="preserve"> (TIM</w:t>
      </w:r>
      <w:r w:rsidR="000B4E2C" w:rsidRPr="000B4E2C">
        <w:rPr>
          <w:color w:val="00B0F0"/>
        </w:rPr>
        <w:t>P</w:t>
      </w:r>
      <w:r w:rsidR="000B4E2C" w:rsidRPr="000B4E2C">
        <w:rPr>
          <w:color w:val="00B0F0"/>
        </w:rPr>
        <w:t>-</w:t>
      </w:r>
      <w:r w:rsidR="000B4E2C" w:rsidRPr="000B4E2C">
        <w:rPr>
          <w:color w:val="00B0F0"/>
        </w:rPr>
        <w:t>2</w:t>
      </w:r>
      <w:r w:rsidRPr="000B4E2C">
        <w:t>) and insulin-like growth factor-binding protein 7 (IGFB</w:t>
      </w:r>
      <w:r w:rsidR="000B4E2C" w:rsidRPr="000B4E2C">
        <w:rPr>
          <w:color w:val="00B0F0"/>
        </w:rPr>
        <w:t>P</w:t>
      </w:r>
      <w:r w:rsidR="000B4E2C" w:rsidRPr="000B4E2C">
        <w:rPr>
          <w:color w:val="00B0F0"/>
        </w:rPr>
        <w:t>-</w:t>
      </w:r>
      <w:r w:rsidR="000B4E2C" w:rsidRPr="000B4E2C">
        <w:rPr>
          <w:color w:val="00B0F0"/>
        </w:rPr>
        <w:t>7</w:t>
      </w:r>
      <w:r w:rsidRPr="000B4E2C">
        <w:t>) in the urine. Both TIM</w:t>
      </w:r>
      <w:r w:rsidR="000B4E2C" w:rsidRPr="000B4E2C">
        <w:rPr>
          <w:color w:val="00B0F0"/>
        </w:rPr>
        <w:t>P</w:t>
      </w:r>
      <w:r w:rsidR="000B4E2C" w:rsidRPr="000B4E2C">
        <w:rPr>
          <w:color w:val="00B0F0"/>
        </w:rPr>
        <w:t>-</w:t>
      </w:r>
      <w:r w:rsidR="000B4E2C" w:rsidRPr="000B4E2C">
        <w:rPr>
          <w:color w:val="00B0F0"/>
        </w:rPr>
        <w:t>2</w:t>
      </w:r>
      <w:r w:rsidRPr="000B4E2C">
        <w:t xml:space="preserve"> and IGFBP7 are cell-cycle arrest proteins and used as markers of cellular stress in the early phase of tubular cell injury. Both NephroCheck and NGAL immonoassays are intended to be used in conjunction with existing clinical care. This assessment focuses specifically on the ARCHITECT and Alinity urine NGAL assays (Abbott), the BioPorto urine and plasma NGAL tests (BioPorto Diagnostics), and the NephroCheck test (Astute Medical).</w:t>
      </w:r>
    </w:p>
    <w:p w14:paraId="77011BD4" w14:textId="55990AE2" w:rsidR="000B4E2C" w:rsidRPr="000B4E2C" w:rsidRDefault="00BE6AF1" w:rsidP="00BE6AF1">
      <w:r w:rsidRPr="000B4E2C">
        <w:t>If these biomarkers</w:t>
      </w:r>
      <w:r w:rsidR="000B4E2C" w:rsidRPr="000B4E2C">
        <w:t xml:space="preserve"> </w:t>
      </w:r>
      <w:r w:rsidR="006E1EE5" w:rsidRPr="000B4E2C">
        <w:t xml:space="preserve">allow early identification of </w:t>
      </w:r>
      <w:r w:rsidRPr="000B4E2C">
        <w:t>patients at risk of AKI, they could potential</w:t>
      </w:r>
      <w:r w:rsidR="006E1EE5" w:rsidRPr="000B4E2C">
        <w:t>ly</w:t>
      </w:r>
      <w:r w:rsidRPr="000B4E2C">
        <w:t xml:space="preserve"> enhance current AKI management by enabling timely measures to prevent progression of kidney injury, and by informing decisions about the </w:t>
      </w:r>
      <w:r w:rsidR="000B4E2C" w:rsidRPr="000B4E2C">
        <w:rPr>
          <w:color w:val="00B0F0"/>
        </w:rPr>
        <w:t>‘</w:t>
      </w:r>
      <w:r w:rsidR="0072128A" w:rsidRPr="000B4E2C">
        <w:t>step down</w:t>
      </w:r>
      <w:r w:rsidR="000B4E2C" w:rsidRPr="000B4E2C">
        <w:rPr>
          <w:color w:val="00B0F0"/>
        </w:rPr>
        <w:t>’</w:t>
      </w:r>
      <w:r w:rsidRPr="000B4E2C">
        <w:t xml:space="preserve"> of low risk patients to a lower level of hospital care, reducing the use of hospital resources.</w:t>
      </w:r>
    </w:p>
    <w:p w14:paraId="6731A43D" w14:textId="6EC0D6E6" w:rsidR="00600F37" w:rsidRPr="000B4E2C" w:rsidRDefault="00600F37" w:rsidP="00600F37">
      <w:pPr>
        <w:rPr>
          <w:b/>
        </w:rPr>
      </w:pPr>
      <w:r w:rsidRPr="000B4E2C">
        <w:rPr>
          <w:b/>
        </w:rPr>
        <w:t>Objectives</w:t>
      </w:r>
    </w:p>
    <w:p w14:paraId="050DBDF9" w14:textId="77777777" w:rsidR="000B4E2C" w:rsidRPr="000B4E2C" w:rsidRDefault="00600F37" w:rsidP="00600F37">
      <w:r w:rsidRPr="000B4E2C">
        <w:t xml:space="preserve">The aim of this project was to summarise the current evidence on the clinical and cost-effectiveness of the NephroCheck test, the ARCHITECT and Alinity Urine NGAL assays, the </w:t>
      </w:r>
      <w:r w:rsidR="009D7F5A" w:rsidRPr="000B4E2C">
        <w:t>BioPorto</w:t>
      </w:r>
      <w:r w:rsidRPr="000B4E2C">
        <w:t xml:space="preserve"> urine and plasma NGAL tests to assess the risk of AKI in critically ill, hospitali</w:t>
      </w:r>
      <w:r w:rsidR="00523940" w:rsidRPr="000B4E2C">
        <w:t>s</w:t>
      </w:r>
      <w:r w:rsidRPr="000B4E2C">
        <w:t>ed, patients (adults and children) who are considered for admission to critical care.</w:t>
      </w:r>
    </w:p>
    <w:p w14:paraId="37302F67" w14:textId="009591F9" w:rsidR="000B4E2C" w:rsidRPr="000B4E2C" w:rsidRDefault="00600F37" w:rsidP="00600F37">
      <w:pPr>
        <w:rPr>
          <w:b/>
        </w:rPr>
      </w:pPr>
      <w:r w:rsidRPr="000B4E2C">
        <w:rPr>
          <w:b/>
        </w:rPr>
        <w:t>Methods</w:t>
      </w:r>
    </w:p>
    <w:p w14:paraId="30B26F79" w14:textId="3BA4AA90" w:rsidR="00600F37" w:rsidRPr="000B4E2C" w:rsidRDefault="00600F37" w:rsidP="00600F37">
      <w:pPr>
        <w:rPr>
          <w:rFonts w:eastAsia="Calibri"/>
          <w:b/>
          <w:i/>
          <w:szCs w:val="24"/>
        </w:rPr>
      </w:pPr>
      <w:r w:rsidRPr="000B4E2C">
        <w:rPr>
          <w:rFonts w:eastAsia="Calibri"/>
          <w:b/>
          <w:i/>
          <w:szCs w:val="24"/>
        </w:rPr>
        <w:t>Assessment of clinical effectiveness</w:t>
      </w:r>
    </w:p>
    <w:p w14:paraId="0A61F001" w14:textId="77777777" w:rsidR="000B4E2C" w:rsidRPr="000B4E2C" w:rsidRDefault="00600F37" w:rsidP="00600F37">
      <w:pPr>
        <w:rPr>
          <w:rFonts w:eastAsia="Calibri"/>
          <w:szCs w:val="24"/>
        </w:rPr>
      </w:pPr>
      <w:r w:rsidRPr="000B4E2C">
        <w:rPr>
          <w:rFonts w:eastAsia="Calibri"/>
          <w:szCs w:val="24"/>
        </w:rPr>
        <w:t>Comprehensive electronic searches were undertaken to identify relevant reports of published studies up to June 2019.</w:t>
      </w:r>
    </w:p>
    <w:p w14:paraId="59BC2A74" w14:textId="77777777" w:rsidR="000B4E2C" w:rsidRPr="000B4E2C" w:rsidRDefault="00600F37" w:rsidP="00600F37">
      <w:pPr>
        <w:rPr>
          <w:rFonts w:eastAsia="Calibri"/>
          <w:szCs w:val="24"/>
        </w:rPr>
      </w:pPr>
      <w:r w:rsidRPr="000B4E2C">
        <w:rPr>
          <w:rFonts w:eastAsia="Calibri"/>
          <w:szCs w:val="24"/>
        </w:rPr>
        <w:lastRenderedPageBreak/>
        <w:t xml:space="preserve">The population of interest was critically ill people at risk of developing AKI who are considered for admission to critical care. Studies were eligible for inclusion only if they enrolled at least 100 participants at risk of AKI. The biomarkers under investigation were the NephoCheck test (Astute Medical), the ARCHITECT and Alinity Urine NGAL assays (Abbott), the urine and plasma </w:t>
      </w:r>
      <w:r w:rsidR="009D7F5A" w:rsidRPr="000B4E2C">
        <w:rPr>
          <w:rFonts w:eastAsia="Calibri"/>
          <w:szCs w:val="24"/>
        </w:rPr>
        <w:t>BioPorto</w:t>
      </w:r>
      <w:r w:rsidRPr="000B4E2C">
        <w:rPr>
          <w:rFonts w:eastAsia="Calibri"/>
          <w:szCs w:val="24"/>
        </w:rPr>
        <w:t xml:space="preserve"> tests (</w:t>
      </w:r>
      <w:r w:rsidR="009D7F5A" w:rsidRPr="000B4E2C">
        <w:rPr>
          <w:rFonts w:eastAsia="Calibri"/>
          <w:szCs w:val="24"/>
        </w:rPr>
        <w:t>BioPorto</w:t>
      </w:r>
      <w:r w:rsidRPr="000B4E2C">
        <w:rPr>
          <w:rFonts w:eastAsia="Calibri"/>
          <w:szCs w:val="24"/>
        </w:rPr>
        <w:t xml:space="preserve"> Diagnostics), used in conjunction with existing care. At present, there is no universally accepted reference standard for diagnosing AKI. The relevant comparator for this assessment was existing clinical criteria for monitoring serum creatinine and urine output in conjunction with clinical judgement, and in line with current clinical classification systems</w:t>
      </w:r>
      <w:r w:rsidRPr="000B4E2C">
        <w:t xml:space="preserve"> </w:t>
      </w:r>
      <w:r w:rsidRPr="000B4E2C">
        <w:rPr>
          <w:rFonts w:eastAsia="Calibri"/>
          <w:szCs w:val="24"/>
        </w:rPr>
        <w:t>(RIFLE, paediatric-modified RIFLE, AKIN and KDIGO) (see NICE Clinical Guidance 169 on the prevention, detection and management of AKI).</w:t>
      </w:r>
    </w:p>
    <w:p w14:paraId="278C5969" w14:textId="77777777" w:rsidR="000B4E2C" w:rsidRPr="000B4E2C" w:rsidRDefault="00600F37" w:rsidP="00600F37">
      <w:pPr>
        <w:rPr>
          <w:rFonts w:eastAsia="Calibri"/>
          <w:szCs w:val="24"/>
        </w:rPr>
      </w:pPr>
      <w:r w:rsidRPr="000B4E2C">
        <w:rPr>
          <w:rFonts w:eastAsia="Calibri"/>
          <w:szCs w:val="24"/>
        </w:rPr>
        <w:t>The outcomes of interest were: detection of AKI, prediction of AKI, prediction of mortality, prediction of the need for long-term renal replacement therapy (RRT) and prediction of developing chronic kidney disease (CKD) over 90 days post-AKI.</w:t>
      </w:r>
    </w:p>
    <w:p w14:paraId="40720712" w14:textId="6DF12D30" w:rsidR="000B4E2C" w:rsidRPr="000B4E2C" w:rsidRDefault="00600F37" w:rsidP="00600F37">
      <w:pPr>
        <w:rPr>
          <w:rFonts w:eastAsia="Calibri"/>
          <w:szCs w:val="24"/>
        </w:rPr>
      </w:pPr>
      <w:r w:rsidRPr="000B4E2C">
        <w:rPr>
          <w:rFonts w:eastAsia="Calibri"/>
          <w:szCs w:val="24"/>
        </w:rPr>
        <w:t>The quality of included studies was assessed using the QUADA</w:t>
      </w:r>
      <w:r w:rsidR="000B4E2C" w:rsidRPr="000B4E2C">
        <w:rPr>
          <w:rFonts w:eastAsia="Calibri"/>
          <w:color w:val="00B0F0"/>
          <w:szCs w:val="24"/>
        </w:rPr>
        <w:t>S</w:t>
      </w:r>
      <w:r w:rsidR="000B4E2C" w:rsidRPr="000B4E2C">
        <w:rPr>
          <w:rFonts w:eastAsia="Calibri"/>
          <w:color w:val="00B0F0"/>
          <w:szCs w:val="24"/>
        </w:rPr>
        <w:t>-</w:t>
      </w:r>
      <w:r w:rsidR="000B4E2C" w:rsidRPr="000B4E2C">
        <w:rPr>
          <w:rFonts w:eastAsia="Calibri"/>
          <w:color w:val="00B0F0"/>
          <w:szCs w:val="24"/>
        </w:rPr>
        <w:t>2</w:t>
      </w:r>
      <w:r w:rsidRPr="000B4E2C">
        <w:rPr>
          <w:rFonts w:eastAsia="Calibri"/>
          <w:szCs w:val="24"/>
        </w:rPr>
        <w:t xml:space="preserve"> and PROBAST tools.</w:t>
      </w:r>
    </w:p>
    <w:p w14:paraId="09E2A45E" w14:textId="4E4ECF42" w:rsidR="00600F37" w:rsidRPr="000B4E2C" w:rsidRDefault="00600F37" w:rsidP="00600F37">
      <w:pPr>
        <w:rPr>
          <w:rFonts w:eastAsia="Calibri"/>
          <w:b/>
          <w:i/>
          <w:szCs w:val="24"/>
        </w:rPr>
      </w:pPr>
      <w:r w:rsidRPr="000B4E2C">
        <w:rPr>
          <w:rFonts w:eastAsia="Calibri"/>
          <w:b/>
          <w:i/>
          <w:szCs w:val="24"/>
        </w:rPr>
        <w:t>Assessment of cost-effectiveness</w:t>
      </w:r>
    </w:p>
    <w:p w14:paraId="3EB4C780" w14:textId="77777777" w:rsidR="000B4E2C" w:rsidRPr="000B4E2C" w:rsidRDefault="006E1EE5" w:rsidP="00600F37">
      <w:pPr>
        <w:rPr>
          <w:lang w:eastAsia="en-GB"/>
        </w:rPr>
      </w:pPr>
      <w:r w:rsidRPr="000B4E2C">
        <w:t xml:space="preserve">A decision tree, using a linked evidence approach based on observational </w:t>
      </w:r>
      <w:r w:rsidRPr="000B4E2C">
        <w:rPr>
          <w:highlight w:val="magenta"/>
        </w:rPr>
        <w:t>data</w:t>
      </w:r>
      <w:r w:rsidRPr="000B4E2C">
        <w:t xml:space="preserve">, was used to model the impact of test accuracy </w:t>
      </w:r>
      <w:r w:rsidR="009055D4" w:rsidRPr="000B4E2C">
        <w:t>on AKI status and associated 90-</w:t>
      </w:r>
      <w:r w:rsidRPr="000B4E2C">
        <w:t>day costs and outcomes, including</w:t>
      </w:r>
      <w:r w:rsidR="00600F37" w:rsidRPr="000B4E2C">
        <w:rPr>
          <w:lang w:eastAsia="en-GB"/>
        </w:rPr>
        <w:t xml:space="preserve"> need for ICU care, length of hospital stay, 90-day mortality or development of CKD</w:t>
      </w:r>
      <w:r w:rsidRPr="000B4E2C">
        <w:rPr>
          <w:lang w:eastAsia="en-GB"/>
        </w:rPr>
        <w:t>.</w:t>
      </w:r>
      <w:r w:rsidR="00600F37" w:rsidRPr="000B4E2C">
        <w:rPr>
          <w:lang w:eastAsia="en-GB"/>
        </w:rPr>
        <w:t xml:space="preserve"> These </w:t>
      </w:r>
      <w:r w:rsidRPr="000B4E2C">
        <w:rPr>
          <w:lang w:eastAsia="en-GB"/>
        </w:rPr>
        <w:t xml:space="preserve">observational </w:t>
      </w:r>
      <w:r w:rsidR="00600F37" w:rsidRPr="000B4E2C">
        <w:rPr>
          <w:lang w:eastAsia="en-GB"/>
        </w:rPr>
        <w:t>associations necessitate causal assumptions, but while a causal link between AKI and poor outcomes is plausible, the extent of this relationship is uncertain and controversial. These hypothesised links are tested extensively in sensitivity analysis.</w:t>
      </w:r>
    </w:p>
    <w:p w14:paraId="607D9CA8" w14:textId="2E727E94" w:rsidR="000B4E2C" w:rsidRPr="000B4E2C" w:rsidRDefault="00600F37" w:rsidP="00600F37">
      <w:r w:rsidRPr="000B4E2C">
        <w:t>The surviving proportion from each decision tree pathway at 90 days enter</w:t>
      </w:r>
      <w:r w:rsidR="00523940" w:rsidRPr="000B4E2C">
        <w:t>ed</w:t>
      </w:r>
      <w:r w:rsidRPr="000B4E2C">
        <w:t xml:space="preserve"> a </w:t>
      </w:r>
      <w:r w:rsidR="00774FBB" w:rsidRPr="000B4E2C">
        <w:t xml:space="preserve">Markov cohort </w:t>
      </w:r>
      <w:r w:rsidRPr="000B4E2C">
        <w:t>model (starting age</w:t>
      </w:r>
      <w:r w:rsidR="000B4E2C" w:rsidRPr="000B4E2C">
        <w:rPr>
          <w:color w:val="00B0F0"/>
        </w:rPr>
        <w:t> = </w:t>
      </w:r>
      <w:r w:rsidRPr="000B4E2C">
        <w:t xml:space="preserve">63) with six mutually exclusive health states (out-patient </w:t>
      </w:r>
      <w:r w:rsidRPr="000B4E2C">
        <w:rPr>
          <w:highlight w:val="magenta"/>
        </w:rPr>
        <w:t>follow up</w:t>
      </w:r>
      <w:r w:rsidRPr="000B4E2C">
        <w:t>, CKD stages 1</w:t>
      </w:r>
      <w:r w:rsidR="000B4E2C" w:rsidRPr="000B4E2C">
        <w:rPr>
          <w:color w:val="00B0F0"/>
        </w:rPr>
        <w:t>–</w:t>
      </w:r>
      <w:r w:rsidR="000B4E2C" w:rsidRPr="000B4E2C">
        <w:rPr>
          <w:color w:val="00B0F0"/>
        </w:rPr>
        <w:t>4</w:t>
      </w:r>
      <w:r w:rsidRPr="000B4E2C">
        <w:t xml:space="preserve">, end stage renal disease </w:t>
      </w:r>
      <w:r w:rsidR="00523940" w:rsidRPr="000B4E2C">
        <w:t>[</w:t>
      </w:r>
      <w:r w:rsidRPr="000B4E2C">
        <w:t>ESRD</w:t>
      </w:r>
      <w:r w:rsidR="00523940" w:rsidRPr="000B4E2C">
        <w:t>]</w:t>
      </w:r>
      <w:r w:rsidRPr="000B4E2C">
        <w:t xml:space="preserve"> without dialysis, ESRD with dialysis, transplantation and death).</w:t>
      </w:r>
      <w:r w:rsidR="000B4E2C" w:rsidRPr="000B4E2C">
        <w:t xml:space="preserve"> </w:t>
      </w:r>
      <w:r w:rsidRPr="000B4E2C">
        <w:t xml:space="preserve">The cohort can enter the Markov model in the outpatient or CKD states with the starting proportions </w:t>
      </w:r>
      <w:r w:rsidRPr="000B4E2C">
        <w:rPr>
          <w:highlight w:val="magenta"/>
        </w:rPr>
        <w:t>dependent</w:t>
      </w:r>
      <w:r w:rsidRPr="000B4E2C">
        <w:t xml:space="preserve"> on the experience of AKI up to 90 days.</w:t>
      </w:r>
    </w:p>
    <w:p w14:paraId="04DDEAF0" w14:textId="77777777" w:rsidR="000B4E2C" w:rsidRPr="000B4E2C" w:rsidRDefault="00600F37" w:rsidP="00600F37">
      <w:r w:rsidRPr="000B4E2C">
        <w:t xml:space="preserve">NHS perspective costs (2018 </w:t>
      </w:r>
      <w:r w:rsidR="00774FBB" w:rsidRPr="000B4E2C">
        <w:t xml:space="preserve">GBP </w:t>
      </w:r>
      <w:r w:rsidRPr="000B4E2C">
        <w:t xml:space="preserve">values) in the first 90 days included </w:t>
      </w:r>
      <w:r w:rsidR="006D288B" w:rsidRPr="000B4E2C">
        <w:t>costs of</w:t>
      </w:r>
      <w:r w:rsidRPr="000B4E2C">
        <w:t xml:space="preserve"> diagnostic biomarker</w:t>
      </w:r>
      <w:r w:rsidR="006D288B" w:rsidRPr="000B4E2C">
        <w:t>s</w:t>
      </w:r>
      <w:r w:rsidRPr="000B4E2C">
        <w:t>, three days of a KDIGO care bundle for test</w:t>
      </w:r>
      <w:r w:rsidR="00523940" w:rsidRPr="000B4E2C">
        <w:t>-</w:t>
      </w:r>
      <w:r w:rsidRPr="000B4E2C">
        <w:t xml:space="preserve">positive patients, </w:t>
      </w:r>
      <w:r w:rsidR="005B04C0" w:rsidRPr="000B4E2C">
        <w:t xml:space="preserve">and </w:t>
      </w:r>
      <w:r w:rsidRPr="000B4E2C">
        <w:t xml:space="preserve">hospital </w:t>
      </w:r>
      <w:r w:rsidR="006D288B" w:rsidRPr="000B4E2C">
        <w:t xml:space="preserve">costs </w:t>
      </w:r>
      <w:r w:rsidRPr="000B4E2C">
        <w:t xml:space="preserve">including days in ICU, on ward and need for acute RRT. </w:t>
      </w:r>
      <w:r w:rsidR="005B04C0" w:rsidRPr="000B4E2C">
        <w:t xml:space="preserve">Markov health state costs included </w:t>
      </w:r>
      <w:r w:rsidRPr="000B4E2C">
        <w:t>post-discharge</w:t>
      </w:r>
      <w:r w:rsidR="005B04C0" w:rsidRPr="000B4E2C">
        <w:t xml:space="preserve"> </w:t>
      </w:r>
      <w:r w:rsidR="005B04C0" w:rsidRPr="000B4E2C">
        <w:rPr>
          <w:highlight w:val="magenta"/>
        </w:rPr>
        <w:t>follow up</w:t>
      </w:r>
      <w:r w:rsidR="005B04C0" w:rsidRPr="000B4E2C">
        <w:t xml:space="preserve"> and </w:t>
      </w:r>
      <w:r w:rsidRPr="000B4E2C">
        <w:t>costs of CKD, ESRD</w:t>
      </w:r>
      <w:r w:rsidR="005B04C0" w:rsidRPr="000B4E2C">
        <w:t xml:space="preserve">, </w:t>
      </w:r>
      <w:r w:rsidRPr="000B4E2C">
        <w:t xml:space="preserve">long-term dialysis, transplantation, </w:t>
      </w:r>
      <w:r w:rsidR="007B735E" w:rsidRPr="000B4E2C">
        <w:t xml:space="preserve">immunosuppression </w:t>
      </w:r>
      <w:r w:rsidRPr="000B4E2C">
        <w:t>and post-transplant follow-up.</w:t>
      </w:r>
    </w:p>
    <w:p w14:paraId="751FAFA1" w14:textId="2DD450EA" w:rsidR="000B4E2C" w:rsidRPr="000B4E2C" w:rsidRDefault="00600F37" w:rsidP="00600F37">
      <w:r w:rsidRPr="000B4E2C">
        <w:t>Health state utility values</w:t>
      </w:r>
      <w:r w:rsidR="005B04C0" w:rsidRPr="000B4E2C">
        <w:t xml:space="preserve"> (HSUVs) were</w:t>
      </w:r>
      <w:r w:rsidRPr="000B4E2C">
        <w:t xml:space="preserve"> </w:t>
      </w:r>
      <w:r w:rsidR="005B04C0" w:rsidRPr="000B4E2C">
        <w:t>sourced</w:t>
      </w:r>
      <w:r w:rsidRPr="000B4E2C">
        <w:t xml:space="preserve"> from the literature</w:t>
      </w:r>
      <w:r w:rsidR="005B04C0" w:rsidRPr="000B4E2C">
        <w:t xml:space="preserve"> based on E</w:t>
      </w:r>
      <w:r w:rsidR="000B4E2C" w:rsidRPr="000B4E2C">
        <w:rPr>
          <w:color w:val="00B0F0"/>
        </w:rPr>
        <w:t>Q</w:t>
      </w:r>
      <w:r w:rsidR="000B4E2C" w:rsidRPr="000B4E2C">
        <w:rPr>
          <w:color w:val="00B0F0"/>
        </w:rPr>
        <w:t>-</w:t>
      </w:r>
      <w:r w:rsidR="000B4E2C" w:rsidRPr="000B4E2C">
        <w:rPr>
          <w:color w:val="00B0F0"/>
        </w:rPr>
        <w:t>5</w:t>
      </w:r>
      <w:r w:rsidR="005B04C0" w:rsidRPr="000B4E2C">
        <w:t>D where possible, and</w:t>
      </w:r>
      <w:r w:rsidRPr="000B4E2C">
        <w:t xml:space="preserve"> were combined with mortality estimates for each health state to calculate QALYs. </w:t>
      </w:r>
      <w:r w:rsidR="005B04C0" w:rsidRPr="000B4E2C">
        <w:t>U</w:t>
      </w:r>
      <w:r w:rsidRPr="000B4E2C">
        <w:t>tilities were applied</w:t>
      </w:r>
      <w:r w:rsidR="000B4E2C" w:rsidRPr="000B4E2C">
        <w:t xml:space="preserve"> </w:t>
      </w:r>
      <w:r w:rsidR="005B04C0" w:rsidRPr="000B4E2C">
        <w:t xml:space="preserve">separately for the duration of stay in </w:t>
      </w:r>
      <w:r w:rsidRPr="000B4E2C">
        <w:t>ICU, hospital ward, or discharged</w:t>
      </w:r>
      <w:r w:rsidR="005B04C0" w:rsidRPr="000B4E2C">
        <w:t xml:space="preserve"> up to day 90 with an additional utility decrement for acute RRT and to each Markov health state</w:t>
      </w:r>
      <w:r w:rsidRPr="000B4E2C">
        <w:t xml:space="preserve">. It was assumed that </w:t>
      </w:r>
      <w:r w:rsidR="005B04C0" w:rsidRPr="000B4E2C">
        <w:t xml:space="preserve">following transplant </w:t>
      </w:r>
      <w:r w:rsidRPr="000B4E2C">
        <w:t>recovery utility reverted back to the outpatient post-discharge state. All utilities were adjusted for UK age- and sex-specific general population norms.</w:t>
      </w:r>
    </w:p>
    <w:p w14:paraId="66BF104D" w14:textId="77777777" w:rsidR="000B4E2C" w:rsidRPr="000B4E2C" w:rsidRDefault="00600F37" w:rsidP="00600F37">
      <w:r w:rsidRPr="000B4E2C">
        <w:t xml:space="preserve">The model captured the cumulative cost and QALY implications of transitions through the health states in annual cycles over a life-time horizon from </w:t>
      </w:r>
      <w:r w:rsidRPr="000B4E2C">
        <w:rPr>
          <w:highlight w:val="magenta"/>
        </w:rPr>
        <w:t>an N</w:t>
      </w:r>
      <w:r w:rsidRPr="000B4E2C">
        <w:t>HS perspective. All future costs and QALYs were discounted at 3.5% per annum. All analyses were reported probabilistically.</w:t>
      </w:r>
    </w:p>
    <w:p w14:paraId="52344B2D" w14:textId="5BA1BC3B" w:rsidR="000B4E2C" w:rsidRPr="000B4E2C" w:rsidRDefault="00600F37" w:rsidP="00600F37">
      <w:pPr>
        <w:rPr>
          <w:b/>
        </w:rPr>
      </w:pPr>
      <w:r w:rsidRPr="000B4E2C">
        <w:rPr>
          <w:b/>
        </w:rPr>
        <w:t>Results</w:t>
      </w:r>
    </w:p>
    <w:p w14:paraId="77D007E5" w14:textId="77777777" w:rsidR="000B4E2C" w:rsidRPr="000B4E2C" w:rsidRDefault="00600F37" w:rsidP="00600F37">
      <w:pPr>
        <w:rPr>
          <w:b/>
        </w:rPr>
      </w:pPr>
      <w:r w:rsidRPr="000B4E2C">
        <w:rPr>
          <w:rFonts w:eastAsia="Calibri"/>
          <w:b/>
          <w:i/>
          <w:szCs w:val="24"/>
        </w:rPr>
        <w:t>Assessment of clinical effectiveness</w:t>
      </w:r>
    </w:p>
    <w:p w14:paraId="41DD2710" w14:textId="316EA3B0" w:rsidR="000B4E2C" w:rsidRPr="000B4E2C" w:rsidRDefault="00BE6AF1" w:rsidP="00BE6AF1">
      <w:pPr>
        <w:rPr>
          <w:lang w:eastAsia="en-GB"/>
        </w:rPr>
      </w:pPr>
      <w:r w:rsidRPr="000B4E2C">
        <w:rPr>
          <w:szCs w:val="24"/>
          <w:lang w:eastAsia="en-GB"/>
        </w:rPr>
        <w:t>A total of 56 studies</w:t>
      </w:r>
      <w:r w:rsidR="005B04C0" w:rsidRPr="000B4E2C">
        <w:rPr>
          <w:szCs w:val="24"/>
          <w:lang w:eastAsia="en-GB"/>
        </w:rPr>
        <w:t>,</w:t>
      </w:r>
      <w:r w:rsidRPr="000B4E2C">
        <w:rPr>
          <w:szCs w:val="24"/>
          <w:lang w:eastAsia="en-GB"/>
        </w:rPr>
        <w:t xml:space="preserve"> </w:t>
      </w:r>
      <w:r w:rsidR="005B04C0" w:rsidRPr="000B4E2C">
        <w:rPr>
          <w:szCs w:val="24"/>
          <w:lang w:eastAsia="en-GB"/>
        </w:rPr>
        <w:t xml:space="preserve">mainly prospective cohort studies, </w:t>
      </w:r>
      <w:r w:rsidRPr="000B4E2C">
        <w:rPr>
          <w:szCs w:val="24"/>
          <w:lang w:eastAsia="en-GB"/>
        </w:rPr>
        <w:t xml:space="preserve">were included in the systematic review of clinical effectiveness. </w:t>
      </w:r>
      <w:r w:rsidRPr="000B4E2C">
        <w:rPr>
          <w:szCs w:val="24"/>
        </w:rPr>
        <w:t>No studies addressing the impact of routine</w:t>
      </w:r>
      <w:r w:rsidR="000B4E2C" w:rsidRPr="000B4E2C">
        <w:rPr>
          <w:szCs w:val="24"/>
        </w:rPr>
        <w:t xml:space="preserve"> </w:t>
      </w:r>
      <w:r w:rsidR="008C02FE" w:rsidRPr="000B4E2C">
        <w:rPr>
          <w:szCs w:val="24"/>
        </w:rPr>
        <w:t xml:space="preserve">use of biomarkers </w:t>
      </w:r>
      <w:r w:rsidRPr="000B4E2C">
        <w:rPr>
          <w:szCs w:val="24"/>
        </w:rPr>
        <w:t xml:space="preserve">on clinical outcomes were identified. </w:t>
      </w:r>
      <w:r w:rsidR="008C02FE" w:rsidRPr="000B4E2C">
        <w:rPr>
          <w:lang w:eastAsia="en-GB"/>
        </w:rPr>
        <w:t xml:space="preserve">Forty-six studies </w:t>
      </w:r>
      <w:r w:rsidRPr="000B4E2C">
        <w:rPr>
          <w:lang w:eastAsia="en-GB"/>
        </w:rPr>
        <w:t xml:space="preserve">enrolled only adults, 8 only children and 2 both adults and children. The total number of participants was 17,967 of which 16,247 were adults (average age range from 49 to 77 years) and 1720 were children (average age range from 1 day to 5 years). </w:t>
      </w:r>
      <w:r w:rsidR="009C0428" w:rsidRPr="000B4E2C">
        <w:rPr>
          <w:lang w:eastAsia="en-GB"/>
        </w:rPr>
        <w:t>T</w:t>
      </w:r>
      <w:r w:rsidRPr="000B4E2C">
        <w:rPr>
          <w:lang w:eastAsia="en-GB"/>
        </w:rPr>
        <w:t xml:space="preserve">he </w:t>
      </w:r>
      <w:r w:rsidR="009C0428" w:rsidRPr="000B4E2C">
        <w:rPr>
          <w:lang w:eastAsia="en-GB"/>
        </w:rPr>
        <w:t>46 studies on adult</w:t>
      </w:r>
      <w:r w:rsidR="008C02FE" w:rsidRPr="000B4E2C">
        <w:rPr>
          <w:lang w:eastAsia="en-GB"/>
        </w:rPr>
        <w:t>s</w:t>
      </w:r>
      <w:r w:rsidR="009C0428" w:rsidRPr="000B4E2C">
        <w:rPr>
          <w:lang w:eastAsia="en-GB"/>
        </w:rPr>
        <w:t xml:space="preserve"> </w:t>
      </w:r>
      <w:r w:rsidRPr="000B4E2C">
        <w:rPr>
          <w:lang w:eastAsia="en-GB"/>
        </w:rPr>
        <w:t>assessed patients after cardiac surgery (</w:t>
      </w:r>
      <w:r w:rsidRPr="000B4E2C">
        <w:rPr>
          <w:i/>
          <w:color w:val="00B0F0"/>
          <w:lang w:eastAsia="en-GB"/>
        </w:rPr>
        <w:t>n</w:t>
      </w:r>
      <w:r w:rsidR="000B4E2C" w:rsidRPr="000B4E2C">
        <w:rPr>
          <w:color w:val="00B0F0"/>
          <w:lang w:eastAsia="en-GB"/>
        </w:rPr>
        <w:t> = </w:t>
      </w:r>
      <w:r w:rsidRPr="000B4E2C">
        <w:rPr>
          <w:lang w:eastAsia="en-GB"/>
        </w:rPr>
        <w:t>12), non-surgical cardiac care (</w:t>
      </w:r>
      <w:r w:rsidRPr="000B4E2C">
        <w:rPr>
          <w:i/>
          <w:color w:val="00B0F0"/>
          <w:lang w:eastAsia="en-GB"/>
        </w:rPr>
        <w:t>n</w:t>
      </w:r>
      <w:r w:rsidR="000B4E2C" w:rsidRPr="000B4E2C">
        <w:rPr>
          <w:color w:val="00B0F0"/>
          <w:lang w:eastAsia="en-GB"/>
        </w:rPr>
        <w:t> = </w:t>
      </w:r>
      <w:r w:rsidRPr="000B4E2C">
        <w:rPr>
          <w:lang w:eastAsia="en-GB"/>
        </w:rPr>
        <w:t>4), major abdominal surgery (</w:t>
      </w:r>
      <w:r w:rsidRPr="000B4E2C">
        <w:rPr>
          <w:i/>
          <w:color w:val="00B0F0"/>
          <w:lang w:eastAsia="en-GB"/>
        </w:rPr>
        <w:t>n</w:t>
      </w:r>
      <w:r w:rsidR="000B4E2C" w:rsidRPr="000B4E2C">
        <w:rPr>
          <w:color w:val="00B0F0"/>
          <w:lang w:eastAsia="en-GB"/>
        </w:rPr>
        <w:t> = </w:t>
      </w:r>
      <w:r w:rsidRPr="000B4E2C">
        <w:rPr>
          <w:lang w:eastAsia="en-GB"/>
        </w:rPr>
        <w:t>1), hepatobiliary surgery (</w:t>
      </w:r>
      <w:r w:rsidRPr="000B4E2C">
        <w:rPr>
          <w:i/>
          <w:color w:val="00B0F0"/>
          <w:lang w:eastAsia="en-GB"/>
        </w:rPr>
        <w:t>n</w:t>
      </w:r>
      <w:r w:rsidR="000B4E2C" w:rsidRPr="000B4E2C">
        <w:rPr>
          <w:color w:val="00B0F0"/>
          <w:lang w:eastAsia="en-GB"/>
        </w:rPr>
        <w:t> = </w:t>
      </w:r>
      <w:r w:rsidRPr="000B4E2C">
        <w:rPr>
          <w:lang w:eastAsia="en-GB"/>
        </w:rPr>
        <w:t>1),</w:t>
      </w:r>
      <w:r w:rsidRPr="000B4E2C">
        <w:rPr>
          <w:rFonts w:asciiTheme="majorHAnsi" w:hAnsiTheme="majorHAnsi" w:cstheme="majorHAnsi"/>
          <w:lang w:eastAsia="en-GB"/>
        </w:rPr>
        <w:t xml:space="preserve"> </w:t>
      </w:r>
      <w:r w:rsidRPr="000B4E2C">
        <w:rPr>
          <w:lang w:eastAsia="en-GB"/>
        </w:rPr>
        <w:t>patients admitted to ICUs (</w:t>
      </w:r>
      <w:r w:rsidRPr="000B4E2C">
        <w:rPr>
          <w:i/>
          <w:color w:val="00B0F0"/>
          <w:lang w:eastAsia="en-GB"/>
        </w:rPr>
        <w:t>n</w:t>
      </w:r>
      <w:r w:rsidR="000B4E2C" w:rsidRPr="000B4E2C">
        <w:rPr>
          <w:color w:val="00B0F0"/>
          <w:lang w:eastAsia="en-GB"/>
        </w:rPr>
        <w:t> = </w:t>
      </w:r>
      <w:r w:rsidRPr="000B4E2C">
        <w:rPr>
          <w:lang w:eastAsia="en-GB"/>
        </w:rPr>
        <w:t xml:space="preserve">16), </w:t>
      </w:r>
      <w:r w:rsidR="009C0428" w:rsidRPr="000B4E2C">
        <w:rPr>
          <w:lang w:eastAsia="en-GB"/>
        </w:rPr>
        <w:t xml:space="preserve">patients with </w:t>
      </w:r>
      <w:r w:rsidRPr="000B4E2C">
        <w:rPr>
          <w:lang w:eastAsia="en-GB"/>
        </w:rPr>
        <w:t>liver disease (</w:t>
      </w:r>
      <w:r w:rsidR="009C0428" w:rsidRPr="000B4E2C">
        <w:rPr>
          <w:i/>
          <w:color w:val="00B0F0"/>
          <w:lang w:eastAsia="en-GB"/>
        </w:rPr>
        <w:t>n</w:t>
      </w:r>
      <w:r w:rsidR="000B4E2C" w:rsidRPr="000B4E2C">
        <w:rPr>
          <w:color w:val="00B0F0"/>
          <w:lang w:eastAsia="en-GB"/>
        </w:rPr>
        <w:t> = </w:t>
      </w:r>
      <w:r w:rsidR="009C0428" w:rsidRPr="000B4E2C">
        <w:rPr>
          <w:lang w:eastAsia="en-GB"/>
        </w:rPr>
        <w:t>5,</w:t>
      </w:r>
      <w:r w:rsidRPr="000B4E2C">
        <w:rPr>
          <w:lang w:eastAsia="en-GB"/>
        </w:rPr>
        <w:t xml:space="preserve"> mainly cirrhosis), sepsis (</w:t>
      </w:r>
      <w:r w:rsidRPr="000B4E2C">
        <w:rPr>
          <w:i/>
          <w:color w:val="00B0F0"/>
          <w:lang w:eastAsia="en-GB"/>
        </w:rPr>
        <w:t>n</w:t>
      </w:r>
      <w:r w:rsidR="000B4E2C" w:rsidRPr="000B4E2C">
        <w:rPr>
          <w:color w:val="00B0F0"/>
          <w:lang w:eastAsia="en-GB"/>
        </w:rPr>
        <w:t> = </w:t>
      </w:r>
      <w:r w:rsidRPr="000B4E2C">
        <w:rPr>
          <w:lang w:eastAsia="en-GB"/>
        </w:rPr>
        <w:t>2), CKD (</w:t>
      </w:r>
      <w:r w:rsidRPr="000B4E2C">
        <w:rPr>
          <w:i/>
          <w:color w:val="00B0F0"/>
          <w:lang w:eastAsia="en-GB"/>
        </w:rPr>
        <w:t>n</w:t>
      </w:r>
      <w:r w:rsidR="000B4E2C" w:rsidRPr="000B4E2C">
        <w:rPr>
          <w:color w:val="00B0F0"/>
          <w:lang w:eastAsia="en-GB"/>
        </w:rPr>
        <w:t> = </w:t>
      </w:r>
      <w:r w:rsidRPr="000B4E2C">
        <w:rPr>
          <w:lang w:eastAsia="en-GB"/>
        </w:rPr>
        <w:t>2) and patients presenting to the emergency department (</w:t>
      </w:r>
      <w:r w:rsidRPr="000B4E2C">
        <w:rPr>
          <w:i/>
          <w:color w:val="00B0F0"/>
          <w:lang w:eastAsia="en-GB"/>
        </w:rPr>
        <w:t>n</w:t>
      </w:r>
      <w:r w:rsidR="000B4E2C" w:rsidRPr="000B4E2C">
        <w:rPr>
          <w:color w:val="00B0F0"/>
          <w:lang w:eastAsia="en-GB"/>
        </w:rPr>
        <w:t> = </w:t>
      </w:r>
      <w:r w:rsidRPr="000B4E2C">
        <w:rPr>
          <w:lang w:eastAsia="en-GB"/>
        </w:rPr>
        <w:t>3). Of the eight studies on children, 6</w:t>
      </w:r>
      <w:r w:rsidR="009C0428" w:rsidRPr="000B4E2C">
        <w:rPr>
          <w:lang w:eastAsia="en-GB"/>
        </w:rPr>
        <w:t xml:space="preserve"> </w:t>
      </w:r>
      <w:r w:rsidRPr="000B4E2C">
        <w:rPr>
          <w:lang w:eastAsia="en-GB"/>
        </w:rPr>
        <w:t>assessed children (including neonates) undergoing cardiac surgery and 2 children admitted to a paediatric ICU or neonatal ICU. The two studies that assessed both adults and children included patients undergoing cardiac surgery.</w:t>
      </w:r>
    </w:p>
    <w:p w14:paraId="497DEE92" w14:textId="77777777" w:rsidR="000B4E2C" w:rsidRPr="000B4E2C" w:rsidRDefault="00600F37" w:rsidP="00600F37">
      <w:pPr>
        <w:rPr>
          <w:lang w:eastAsia="en-GB"/>
        </w:rPr>
      </w:pPr>
      <w:r w:rsidRPr="000B4E2C">
        <w:rPr>
          <w:lang w:eastAsia="en-GB"/>
        </w:rPr>
        <w:t>For statistical and cost-effectiveness analyses the participants were grouped in</w:t>
      </w:r>
      <w:r w:rsidR="00523940" w:rsidRPr="000B4E2C">
        <w:rPr>
          <w:lang w:eastAsia="en-GB"/>
        </w:rPr>
        <w:t>to</w:t>
      </w:r>
      <w:r w:rsidRPr="000B4E2C">
        <w:rPr>
          <w:lang w:eastAsia="en-GB"/>
        </w:rPr>
        <w:t xml:space="preserve"> three categories according to clinical setting: patients undergoing cardiac surgery</w:t>
      </w:r>
      <w:r w:rsidR="008C02FE" w:rsidRPr="000B4E2C">
        <w:rPr>
          <w:lang w:eastAsia="en-GB"/>
        </w:rPr>
        <w:t xml:space="preserve"> or</w:t>
      </w:r>
      <w:r w:rsidRPr="000B4E2C">
        <w:rPr>
          <w:lang w:eastAsia="en-GB"/>
        </w:rPr>
        <w:t xml:space="preserve"> major non-cardiac surgery, and patients admitted to critical care (mixed patient population).</w:t>
      </w:r>
    </w:p>
    <w:p w14:paraId="5E374B50" w14:textId="77777777" w:rsidR="000B4E2C" w:rsidRPr="000B4E2C" w:rsidRDefault="00600F37" w:rsidP="00600F37">
      <w:pPr>
        <w:rPr>
          <w:lang w:eastAsia="en-GB"/>
        </w:rPr>
      </w:pPr>
      <w:r w:rsidRPr="000B4E2C">
        <w:rPr>
          <w:lang w:eastAsia="en-GB"/>
        </w:rPr>
        <w:t xml:space="preserve">NGAL was studied </w:t>
      </w:r>
      <w:r w:rsidR="008C02FE" w:rsidRPr="000B4E2C">
        <w:rPr>
          <w:lang w:eastAsia="en-GB"/>
        </w:rPr>
        <w:t xml:space="preserve">in </w:t>
      </w:r>
      <w:r w:rsidRPr="000B4E2C">
        <w:rPr>
          <w:lang w:eastAsia="en-GB"/>
        </w:rPr>
        <w:t xml:space="preserve">41/56 studies; 37 used urine NGAL assays and 4 plasma NGAL assays). NephroCheck was assessed in 8 studies. Seven studies provided </w:t>
      </w:r>
      <w:r w:rsidRPr="000B4E2C">
        <w:rPr>
          <w:highlight w:val="magenta"/>
          <w:lang w:eastAsia="en-GB"/>
        </w:rPr>
        <w:t>data</w:t>
      </w:r>
      <w:r w:rsidRPr="000B4E2C">
        <w:rPr>
          <w:lang w:eastAsia="en-GB"/>
        </w:rPr>
        <w:t xml:space="preserve"> on more than one assay (6 studies on urine NGAL and plasma NGAL assays and 1 study on NephroCheck, urine NGAL and plasma NGAL assays). Among the NGAL studies, 24 used the urine NGAL ARCHITECT platform (Abbott) and 20 used the urine NGAL </w:t>
      </w:r>
      <w:r w:rsidR="009D7F5A" w:rsidRPr="000B4E2C">
        <w:rPr>
          <w:lang w:eastAsia="en-GB"/>
        </w:rPr>
        <w:t>BioPorto</w:t>
      </w:r>
      <w:r w:rsidRPr="000B4E2C">
        <w:rPr>
          <w:lang w:eastAsia="en-GB"/>
        </w:rPr>
        <w:t xml:space="preserve"> </w:t>
      </w:r>
      <w:r w:rsidRPr="000B4E2C">
        <w:rPr>
          <w:lang w:eastAsia="en-GB"/>
        </w:rPr>
        <w:lastRenderedPageBreak/>
        <w:t xml:space="preserve">Diagnostics assay. All 11 plasma NGAL studies used the </w:t>
      </w:r>
      <w:r w:rsidR="009D7F5A" w:rsidRPr="000B4E2C">
        <w:rPr>
          <w:lang w:eastAsia="en-GB"/>
        </w:rPr>
        <w:t>BioPorto</w:t>
      </w:r>
      <w:r w:rsidRPr="000B4E2C">
        <w:rPr>
          <w:lang w:eastAsia="en-GB"/>
        </w:rPr>
        <w:t xml:space="preserve"> Diagnostics assay. No studies used the NGAL Alinity platform (Abbott).</w:t>
      </w:r>
    </w:p>
    <w:p w14:paraId="655FFDF7" w14:textId="77777777" w:rsidR="000B4E2C" w:rsidRPr="000B4E2C" w:rsidRDefault="008C02FE" w:rsidP="009C0428">
      <w:pPr>
        <w:rPr>
          <w:szCs w:val="24"/>
        </w:rPr>
      </w:pPr>
      <w:r w:rsidRPr="000B4E2C">
        <w:rPr>
          <w:szCs w:val="24"/>
          <w:lang w:eastAsia="en-GB"/>
        </w:rPr>
        <w:t>The included studies were considered applicable to the remit of this assessment.</w:t>
      </w:r>
      <w:r w:rsidR="009C0428" w:rsidRPr="000B4E2C">
        <w:rPr>
          <w:szCs w:val="24"/>
        </w:rPr>
        <w:t xml:space="preserve">The main source of bias across diagnostic studies was the lack of information on blinding and of a common threshold for NGAL. </w:t>
      </w:r>
      <w:r w:rsidRPr="000B4E2C">
        <w:rPr>
          <w:szCs w:val="24"/>
        </w:rPr>
        <w:t>T</w:t>
      </w:r>
      <w:r w:rsidR="009C0428" w:rsidRPr="000B4E2C">
        <w:rPr>
          <w:szCs w:val="24"/>
        </w:rPr>
        <w:t xml:space="preserve">he statistical prediction models differed between </w:t>
      </w:r>
      <w:r w:rsidRPr="000B4E2C">
        <w:rPr>
          <w:szCs w:val="24"/>
        </w:rPr>
        <w:t xml:space="preserve">prediction </w:t>
      </w:r>
      <w:r w:rsidR="009C0428" w:rsidRPr="000B4E2C">
        <w:rPr>
          <w:szCs w:val="24"/>
        </w:rPr>
        <w:t>studies and often were not sufficiently detailed.</w:t>
      </w:r>
    </w:p>
    <w:p w14:paraId="1F313E50" w14:textId="20FC6E97" w:rsidR="000B4E2C" w:rsidRPr="000B4E2C" w:rsidRDefault="008C02FE" w:rsidP="007D5F15">
      <w:pPr>
        <w:rPr>
          <w:lang w:val="en-GB" w:eastAsia="en-GB"/>
        </w:rPr>
      </w:pPr>
      <w:r w:rsidRPr="000B4E2C">
        <w:rPr>
          <w:lang w:val="en-GB" w:eastAsia="en-GB"/>
        </w:rPr>
        <w:t>T</w:t>
      </w:r>
      <w:r w:rsidR="00600F37" w:rsidRPr="000B4E2C">
        <w:rPr>
          <w:lang w:val="en-GB" w:eastAsia="en-GB"/>
        </w:rPr>
        <w:t xml:space="preserve">he results of the meta-analyses of sensitivity and specificity estimates suggest that the biomarkers under investigation </w:t>
      </w:r>
      <w:r w:rsidR="00600F37" w:rsidRPr="000B4E2C">
        <w:t xml:space="preserve">may potentially have a role in the detection of AKI in patients </w:t>
      </w:r>
      <w:r w:rsidR="009C0428" w:rsidRPr="000B4E2C">
        <w:t xml:space="preserve">already </w:t>
      </w:r>
      <w:r w:rsidR="00600F37" w:rsidRPr="000B4E2C">
        <w:t xml:space="preserve">admitted to critical care. </w:t>
      </w:r>
      <w:r w:rsidRPr="000B4E2C">
        <w:rPr>
          <w:lang w:val="en-GB" w:eastAsia="en-GB"/>
        </w:rPr>
        <w:t>Few</w:t>
      </w:r>
      <w:r w:rsidR="00600F37" w:rsidRPr="000B4E2C">
        <w:rPr>
          <w:lang w:val="en-GB" w:eastAsia="en-GB"/>
        </w:rPr>
        <w:t xml:space="preserve"> studies assess</w:t>
      </w:r>
      <w:r w:rsidRPr="000B4E2C">
        <w:rPr>
          <w:lang w:val="en-GB" w:eastAsia="en-GB"/>
        </w:rPr>
        <w:t>ed</w:t>
      </w:r>
      <w:r w:rsidR="00600F37" w:rsidRPr="000B4E2C">
        <w:rPr>
          <w:lang w:val="en-GB" w:eastAsia="en-GB"/>
        </w:rPr>
        <w:t xml:space="preserve"> patients after cardiac surgery or major non-cardiac surgery. The Nephro</w:t>
      </w:r>
      <w:r w:rsidR="00523940" w:rsidRPr="000B4E2C">
        <w:rPr>
          <w:lang w:val="en-GB" w:eastAsia="en-GB"/>
        </w:rPr>
        <w:t>C</w:t>
      </w:r>
      <w:r w:rsidR="009C0428" w:rsidRPr="000B4E2C">
        <w:rPr>
          <w:lang w:val="en-GB" w:eastAsia="en-GB"/>
        </w:rPr>
        <w:t>heck test at a common threshold of 0.3 ng/mL</w:t>
      </w:r>
      <w:r w:rsidR="009C0428" w:rsidRPr="000B4E2C">
        <w:rPr>
          <w:vertAlign w:val="superscript"/>
          <w:lang w:val="en-GB" w:eastAsia="en-GB"/>
        </w:rPr>
        <w:t>2</w:t>
      </w:r>
      <w:r w:rsidR="009C0428" w:rsidRPr="000B4E2C">
        <w:rPr>
          <w:lang w:val="en-GB" w:eastAsia="en-GB"/>
        </w:rPr>
        <w:t xml:space="preserve">/1000 </w:t>
      </w:r>
      <w:r w:rsidR="00600F37" w:rsidRPr="000B4E2C">
        <w:rPr>
          <w:lang w:val="en-GB" w:eastAsia="en-GB"/>
        </w:rPr>
        <w:t>had the higher pooled sensitivity (0.83) but the worst pooled specificity (0.51)</w:t>
      </w:r>
      <w:r w:rsidR="00523940" w:rsidRPr="000B4E2C">
        <w:rPr>
          <w:lang w:val="en-GB" w:eastAsia="en-GB"/>
        </w:rPr>
        <w:t>,</w:t>
      </w:r>
      <w:r w:rsidR="00600F37" w:rsidRPr="000B4E2C">
        <w:rPr>
          <w:lang w:val="en-GB" w:eastAsia="en-GB"/>
        </w:rPr>
        <w:t xml:space="preserve"> while the uNGAL ARCHITECT and the </w:t>
      </w:r>
      <w:r w:rsidR="009D7F5A" w:rsidRPr="000B4E2C">
        <w:rPr>
          <w:lang w:val="en-GB" w:eastAsia="en-GB"/>
        </w:rPr>
        <w:t>BioPorto</w:t>
      </w:r>
      <w:r w:rsidR="00600F37" w:rsidRPr="000B4E2C">
        <w:rPr>
          <w:lang w:val="en-GB" w:eastAsia="en-GB"/>
        </w:rPr>
        <w:t xml:space="preserve"> uNGAL tests had slightly lower pooled sensitivity estimates (0.70 and 0.72, respectively) but better pooled specificity estimates (0.72 and 0.87 respectively). The urine NGAL </w:t>
      </w:r>
      <w:r w:rsidR="009D7F5A" w:rsidRPr="000B4E2C">
        <w:rPr>
          <w:lang w:val="en-GB" w:eastAsia="en-GB"/>
        </w:rPr>
        <w:t>BioPorto</w:t>
      </w:r>
      <w:r w:rsidR="00600F37" w:rsidRPr="000B4E2C">
        <w:rPr>
          <w:lang w:val="en-GB" w:eastAsia="en-GB"/>
        </w:rPr>
        <w:t xml:space="preserve"> pooled sensitivity was similar to that of plasma NGAL </w:t>
      </w:r>
      <w:r w:rsidR="009D7F5A" w:rsidRPr="000B4E2C">
        <w:rPr>
          <w:lang w:val="en-GB" w:eastAsia="en-GB"/>
        </w:rPr>
        <w:t>BioPorto</w:t>
      </w:r>
      <w:r w:rsidR="00600F37" w:rsidRPr="000B4E2C">
        <w:rPr>
          <w:lang w:val="en-GB" w:eastAsia="en-GB"/>
        </w:rPr>
        <w:t xml:space="preserve"> (0.72 versus 0.76)</w:t>
      </w:r>
      <w:r w:rsidR="00523940" w:rsidRPr="000B4E2C">
        <w:rPr>
          <w:lang w:val="en-GB" w:eastAsia="en-GB"/>
        </w:rPr>
        <w:t>,</w:t>
      </w:r>
      <w:r w:rsidR="00600F37" w:rsidRPr="000B4E2C">
        <w:rPr>
          <w:lang w:val="en-GB" w:eastAsia="en-GB"/>
        </w:rPr>
        <w:t xml:space="preserve"> </w:t>
      </w:r>
      <w:r w:rsidR="000B4E2C" w:rsidRPr="000B4E2C">
        <w:rPr>
          <w:color w:val="00B0F0"/>
          <w:lang w:val="en-GB" w:eastAsia="en-GB"/>
        </w:rPr>
        <w:t>while</w:t>
      </w:r>
      <w:r w:rsidR="00600F37" w:rsidRPr="000B4E2C">
        <w:rPr>
          <w:lang w:val="en-GB" w:eastAsia="en-GB"/>
        </w:rPr>
        <w:t xml:space="preserve"> the pooled specificity was better for urine NGAL </w:t>
      </w:r>
      <w:r w:rsidR="009D7F5A" w:rsidRPr="000B4E2C">
        <w:rPr>
          <w:lang w:val="en-GB" w:eastAsia="en-GB"/>
        </w:rPr>
        <w:t>BioPorto</w:t>
      </w:r>
      <w:r w:rsidR="00600F37" w:rsidRPr="000B4E2C">
        <w:rPr>
          <w:lang w:val="en-GB" w:eastAsia="en-GB"/>
        </w:rPr>
        <w:t xml:space="preserve"> (0.87 versus 0.67). </w:t>
      </w:r>
      <w:r w:rsidR="009C0428" w:rsidRPr="000B4E2C">
        <w:rPr>
          <w:lang w:val="en-GB" w:eastAsia="en-GB"/>
        </w:rPr>
        <w:t xml:space="preserve">NGAL thresholds varied across studies. </w:t>
      </w:r>
      <w:r w:rsidR="00600F37" w:rsidRPr="000B4E2C">
        <w:rPr>
          <w:lang w:val="en-GB" w:eastAsia="en-GB"/>
        </w:rPr>
        <w:t>The biomarkers had a similar performance across all clinical settings</w:t>
      </w:r>
      <w:r w:rsidRPr="000B4E2C">
        <w:rPr>
          <w:lang w:val="en-GB" w:eastAsia="en-GB"/>
        </w:rPr>
        <w:t>.</w:t>
      </w:r>
    </w:p>
    <w:p w14:paraId="3A0A8263" w14:textId="77777777" w:rsidR="000B4E2C" w:rsidRPr="000B4E2C" w:rsidRDefault="009C0428" w:rsidP="009C0428">
      <w:pPr>
        <w:rPr>
          <w:szCs w:val="24"/>
        </w:rPr>
      </w:pPr>
      <w:r w:rsidRPr="000B4E2C">
        <w:rPr>
          <w:szCs w:val="24"/>
        </w:rPr>
        <w:t xml:space="preserve">While </w:t>
      </w:r>
      <w:r w:rsidR="00285B72" w:rsidRPr="000B4E2C">
        <w:rPr>
          <w:szCs w:val="24"/>
        </w:rPr>
        <w:t xml:space="preserve">our findings show </w:t>
      </w:r>
      <w:r w:rsidRPr="000B4E2C">
        <w:rPr>
          <w:szCs w:val="24"/>
        </w:rPr>
        <w:t xml:space="preserve">some diagnostic usefulness of the use of the biomarkers, </w:t>
      </w:r>
      <w:r w:rsidR="00285B72" w:rsidRPr="000B4E2C">
        <w:rPr>
          <w:szCs w:val="24"/>
        </w:rPr>
        <w:t>this should</w:t>
      </w:r>
      <w:r w:rsidRPr="000B4E2C">
        <w:rPr>
          <w:szCs w:val="24"/>
        </w:rPr>
        <w:t xml:space="preserve"> be tempered by the considerable heterogeneity observed across studies.</w:t>
      </w:r>
    </w:p>
    <w:p w14:paraId="63AA8748" w14:textId="77777777" w:rsidR="000B4E2C" w:rsidRPr="000B4E2C" w:rsidRDefault="00600F37" w:rsidP="00600F37">
      <w:pPr>
        <w:rPr>
          <w:lang w:val="en-GB" w:eastAsia="en-GB"/>
        </w:rPr>
      </w:pPr>
      <w:r w:rsidRPr="000B4E2C">
        <w:rPr>
          <w:lang w:val="en-GB" w:eastAsia="en-GB"/>
        </w:rPr>
        <w:t>Moreover, for studies with low number of AKI events the relationship between sensitivity and specificity estimates appeared to be quite different from that of studies for which prevalence was higher.</w:t>
      </w:r>
    </w:p>
    <w:p w14:paraId="558732ED" w14:textId="77777777" w:rsidR="000B4E2C" w:rsidRPr="000B4E2C" w:rsidRDefault="00285B72" w:rsidP="00600F37">
      <w:pPr>
        <w:rPr>
          <w:lang w:val="en-GB" w:eastAsia="en-GB"/>
        </w:rPr>
      </w:pPr>
      <w:r w:rsidRPr="000B4E2C">
        <w:rPr>
          <w:lang w:val="en-GB" w:eastAsia="en-GB"/>
        </w:rPr>
        <w:t>T</w:t>
      </w:r>
      <w:r w:rsidR="00600F37" w:rsidRPr="000B4E2C">
        <w:rPr>
          <w:lang w:val="en-GB" w:eastAsia="en-GB"/>
        </w:rPr>
        <w:t>here was an indication that the addition of biomarkers to existing clinical models might improve the prediction of relevant clinical outcomes</w:t>
      </w:r>
      <w:r w:rsidRPr="000B4E2C">
        <w:rPr>
          <w:lang w:val="en-GB" w:eastAsia="en-GB"/>
        </w:rPr>
        <w:t>; however, few studies were available foreach biomarker in each clinical setting and</w:t>
      </w:r>
      <w:r w:rsidR="00600F37" w:rsidRPr="000B4E2C">
        <w:rPr>
          <w:lang w:val="en-GB" w:eastAsia="en-GB"/>
        </w:rPr>
        <w:t xml:space="preserve"> studies varied substantially in terms </w:t>
      </w:r>
      <w:r w:rsidRPr="000B4E2C">
        <w:rPr>
          <w:lang w:val="en-GB" w:eastAsia="en-GB"/>
        </w:rPr>
        <w:t xml:space="preserve">of </w:t>
      </w:r>
      <w:r w:rsidR="00600F37" w:rsidRPr="000B4E2C">
        <w:rPr>
          <w:lang w:val="en-GB" w:eastAsia="en-GB"/>
        </w:rPr>
        <w:t>study characteristics and statistical methods used to assess prediction hindering any reliable conclusion.</w:t>
      </w:r>
    </w:p>
    <w:p w14:paraId="71B4706C" w14:textId="77777777" w:rsidR="000B4E2C" w:rsidRPr="000B4E2C" w:rsidRDefault="00600F37" w:rsidP="00600F37">
      <w:pPr>
        <w:rPr>
          <w:lang w:val="en-GB" w:eastAsia="en-GB"/>
        </w:rPr>
      </w:pPr>
      <w:r w:rsidRPr="000B4E2C">
        <w:rPr>
          <w:lang w:val="en-GB" w:eastAsia="en-GB"/>
        </w:rPr>
        <w:t>In general, studies varied considerably in terms of clinical setting, NGAL threshold levels, time of sample collection, definition of AKI, time of AKI diagnosis, number of AKI events, assay platforms. Therefore, we have limited confidence in the validity and reliability of our findings.</w:t>
      </w:r>
    </w:p>
    <w:p w14:paraId="5B6785B2" w14:textId="3EB99C78" w:rsidR="00600F37" w:rsidRPr="000B4E2C" w:rsidRDefault="00600F37" w:rsidP="00600F37">
      <w:pPr>
        <w:rPr>
          <w:b/>
        </w:rPr>
      </w:pPr>
      <w:r w:rsidRPr="000B4E2C">
        <w:rPr>
          <w:b/>
        </w:rPr>
        <w:t>Results of the cost-effectiveness model (including sensitivity analyses)</w:t>
      </w:r>
    </w:p>
    <w:p w14:paraId="547E3AEB" w14:textId="77777777" w:rsidR="000B4E2C" w:rsidRPr="000B4E2C" w:rsidRDefault="00600F37" w:rsidP="00600F37">
      <w:r w:rsidRPr="000B4E2C">
        <w:t xml:space="preserve">Published </w:t>
      </w:r>
      <w:r w:rsidRPr="000B4E2C">
        <w:rPr>
          <w:highlight w:val="magenta"/>
        </w:rPr>
        <w:t>data</w:t>
      </w:r>
      <w:r w:rsidRPr="000B4E2C">
        <w:t xml:space="preserve"> show that NephroCheck</w:t>
      </w:r>
      <w:r w:rsidR="00523940" w:rsidRPr="000B4E2C">
        <w:t>-</w:t>
      </w:r>
      <w:r w:rsidRPr="000B4E2C">
        <w:t xml:space="preserve">guided implementation of a KDIGO care bundle </w:t>
      </w:r>
      <w:r w:rsidR="007B735E" w:rsidRPr="000B4E2C">
        <w:t>may</w:t>
      </w:r>
      <w:r w:rsidRPr="000B4E2C">
        <w:t xml:space="preserve"> avert AKI. However, no such </w:t>
      </w:r>
      <w:r w:rsidRPr="000B4E2C">
        <w:rPr>
          <w:highlight w:val="magenta"/>
        </w:rPr>
        <w:t>data</w:t>
      </w:r>
      <w:r w:rsidRPr="000B4E2C">
        <w:t xml:space="preserve"> exist for the NGAL tests. Therefore, two base case analyses were considered. Base case 1 can be considered an optimistic scenario for the NGAL biomarkers assuming that all NGAL tests are equally effective as NephroCheck in terms of the potential to avert AKI. Base case 2 can be considered a more conservative analysis. It assumes, in the absence of evidence to suggest otherwise, that only NephroCheck can avert AKI, but that all tests have the potential to reduce AKI severity if it occurs.</w:t>
      </w:r>
    </w:p>
    <w:p w14:paraId="6FCD1472" w14:textId="77777777" w:rsidR="000B4E2C" w:rsidRPr="000B4E2C" w:rsidRDefault="00523940" w:rsidP="00600F37">
      <w:pPr>
        <w:rPr>
          <w:lang w:eastAsia="en-GB"/>
        </w:rPr>
      </w:pPr>
      <w:r w:rsidRPr="000B4E2C">
        <w:t>Fifteen</w:t>
      </w:r>
      <w:r w:rsidR="00600F37" w:rsidRPr="000B4E2C">
        <w:t xml:space="preserve"> scenario analyses were conducted for each potential base case, ranging from </w:t>
      </w:r>
      <w:r w:rsidR="00600F37" w:rsidRPr="000B4E2C">
        <w:rPr>
          <w:lang w:eastAsia="en-GB"/>
        </w:rPr>
        <w:t>a set of optimistic assumptions where biomarker-guided care bundles led to substantial improvements in health outcomes (need for ICU, hospital length of stay, CKD, mortality) to a set of more conservative assumptions where changing of AKI status had no effect on health outcomes.</w:t>
      </w:r>
    </w:p>
    <w:p w14:paraId="05835066" w14:textId="2A45AB52" w:rsidR="000B4E2C" w:rsidRPr="000B4E2C" w:rsidRDefault="00600F37" w:rsidP="00600F37">
      <w:pPr>
        <w:rPr>
          <w:szCs w:val="24"/>
        </w:rPr>
      </w:pPr>
      <w:bookmarkStart w:id="5" w:name="_Hlk23319887"/>
      <w:r w:rsidRPr="000B4E2C">
        <w:t xml:space="preserve">ICERs were highly uncertain, and subject to wide variation depending on the set of scenarios chosen. </w:t>
      </w:r>
      <w:r w:rsidRPr="000B4E2C">
        <w:rPr>
          <w:szCs w:val="24"/>
        </w:rPr>
        <w:t xml:space="preserve">The probability of cost-effectiveness at an ICER </w:t>
      </w:r>
      <w:r w:rsidR="000B4E2C" w:rsidRPr="000B4E2C">
        <w:rPr>
          <w:color w:val="00B0F0"/>
          <w:szCs w:val="24"/>
        </w:rPr>
        <w:t>&lt;</w:t>
      </w:r>
      <w:r w:rsidR="000B4E2C" w:rsidRPr="000B4E2C">
        <w:rPr>
          <w:color w:val="00B0F0"/>
          <w:szCs w:val="24"/>
        </w:rPr>
        <w:t> </w:t>
      </w:r>
      <w:r w:rsidRPr="000B4E2C">
        <w:rPr>
          <w:szCs w:val="24"/>
        </w:rPr>
        <w:t>£20,000 per QALY gained for scenarios where all NGAL biomarkers were assumed equally effective as NephroCheck in preventing AKI ranged from 0% to 15% (NephroCheck); 0</w:t>
      </w:r>
      <w:r w:rsidR="000B4E2C" w:rsidRPr="000B4E2C">
        <w:rPr>
          <w:color w:val="00B0F0"/>
          <w:szCs w:val="24"/>
        </w:rPr>
        <w:t>–</w:t>
      </w:r>
      <w:r w:rsidR="000B4E2C" w:rsidRPr="000B4E2C">
        <w:rPr>
          <w:color w:val="00B0F0"/>
          <w:szCs w:val="24"/>
        </w:rPr>
        <w:t>5</w:t>
      </w:r>
      <w:r w:rsidRPr="000B4E2C">
        <w:rPr>
          <w:szCs w:val="24"/>
        </w:rPr>
        <w:t>5% (</w:t>
      </w:r>
      <w:r w:rsidR="009D7F5A" w:rsidRPr="000B4E2C">
        <w:rPr>
          <w:szCs w:val="24"/>
        </w:rPr>
        <w:t>BioPorto</w:t>
      </w:r>
      <w:r w:rsidRPr="000B4E2C">
        <w:rPr>
          <w:szCs w:val="24"/>
        </w:rPr>
        <w:t xml:space="preserve"> urine NGAL); 0</w:t>
      </w:r>
      <w:r w:rsidR="000B4E2C" w:rsidRPr="000B4E2C">
        <w:rPr>
          <w:color w:val="00B0F0"/>
          <w:szCs w:val="24"/>
        </w:rPr>
        <w:t>–</w:t>
      </w:r>
      <w:r w:rsidR="000B4E2C" w:rsidRPr="000B4E2C">
        <w:rPr>
          <w:color w:val="00B0F0"/>
          <w:szCs w:val="24"/>
        </w:rPr>
        <w:t>2</w:t>
      </w:r>
      <w:r w:rsidRPr="000B4E2C">
        <w:rPr>
          <w:szCs w:val="24"/>
        </w:rPr>
        <w:t>% (ARCHITECT urine NGAL) and 0</w:t>
      </w:r>
      <w:r w:rsidR="000B4E2C" w:rsidRPr="000B4E2C">
        <w:rPr>
          <w:color w:val="00B0F0"/>
          <w:szCs w:val="24"/>
        </w:rPr>
        <w:t>–</w:t>
      </w:r>
      <w:r w:rsidR="000B4E2C" w:rsidRPr="000B4E2C">
        <w:rPr>
          <w:color w:val="00B0F0"/>
          <w:szCs w:val="24"/>
        </w:rPr>
        <w:t>4</w:t>
      </w:r>
      <w:r w:rsidRPr="000B4E2C">
        <w:rPr>
          <w:szCs w:val="24"/>
        </w:rPr>
        <w:t>8% (</w:t>
      </w:r>
      <w:r w:rsidR="009D7F5A" w:rsidRPr="000B4E2C">
        <w:rPr>
          <w:szCs w:val="24"/>
        </w:rPr>
        <w:t>BioPorto</w:t>
      </w:r>
      <w:r w:rsidRPr="000B4E2C">
        <w:rPr>
          <w:szCs w:val="24"/>
        </w:rPr>
        <w:t xml:space="preserve"> plasma NGAL). </w:t>
      </w:r>
      <w:r w:rsidR="009D7F5A" w:rsidRPr="000B4E2C">
        <w:rPr>
          <w:szCs w:val="24"/>
        </w:rPr>
        <w:t>BioPorto</w:t>
      </w:r>
      <w:r w:rsidRPr="000B4E2C">
        <w:rPr>
          <w:szCs w:val="24"/>
        </w:rPr>
        <w:t xml:space="preserve"> urine NGAL was usually the test associated with the greatest probability of cost-effectiveness, albeit highly uncertain, when </w:t>
      </w:r>
      <w:r w:rsidRPr="000B4E2C">
        <w:rPr>
          <w:szCs w:val="24"/>
          <w:highlight w:val="magenta"/>
        </w:rPr>
        <w:t>compared to</w:t>
      </w:r>
      <w:r w:rsidRPr="000B4E2C">
        <w:rPr>
          <w:szCs w:val="24"/>
        </w:rPr>
        <w:t xml:space="preserve"> standard care only. This was because the </w:t>
      </w:r>
      <w:r w:rsidR="009D7F5A" w:rsidRPr="000B4E2C">
        <w:rPr>
          <w:szCs w:val="24"/>
        </w:rPr>
        <w:t>BioPorto</w:t>
      </w:r>
      <w:r w:rsidRPr="000B4E2C">
        <w:rPr>
          <w:szCs w:val="24"/>
        </w:rPr>
        <w:t xml:space="preserve"> urine NGAL biomarker was estimated to have slightly better diagnostic test accuracy </w:t>
      </w:r>
      <w:r w:rsidRPr="000B4E2C">
        <w:rPr>
          <w:szCs w:val="24"/>
          <w:highlight w:val="magenta"/>
        </w:rPr>
        <w:t>data</w:t>
      </w:r>
      <w:r w:rsidRPr="000B4E2C">
        <w:rPr>
          <w:szCs w:val="24"/>
        </w:rPr>
        <w:t xml:space="preserve"> from the meta-analysis and incurred slightly lower test costs compared with the comparators. However, there was substantial uncertainty in diagnostic accuracy information, driven by substantial study heterogeneity. The cost-effectiveness results should therefore be interpreted cautiously.</w:t>
      </w:r>
    </w:p>
    <w:p w14:paraId="0F845B36" w14:textId="0ABE3155" w:rsidR="000B4E2C" w:rsidRPr="000B4E2C" w:rsidRDefault="00600F37" w:rsidP="00600F37">
      <w:pPr>
        <w:rPr>
          <w:szCs w:val="24"/>
        </w:rPr>
      </w:pPr>
      <w:r w:rsidRPr="000B4E2C">
        <w:rPr>
          <w:szCs w:val="24"/>
        </w:rPr>
        <w:t xml:space="preserve">When it was assumed that NGAL biomarkers could not avert AKI, but could only reduce its severity, the cost-effectiveness case for NephroCheck improved substantially, </w:t>
      </w:r>
      <w:r w:rsidR="000B4E2C" w:rsidRPr="000B4E2C">
        <w:rPr>
          <w:color w:val="00B0F0"/>
          <w:szCs w:val="24"/>
        </w:rPr>
        <w:t>while</w:t>
      </w:r>
      <w:r w:rsidRPr="000B4E2C">
        <w:rPr>
          <w:szCs w:val="24"/>
        </w:rPr>
        <w:t xml:space="preserve"> remaining highly uncertain with a probability of cost-effectiveness ranging from 0% to 99% across the explored scenarios.</w:t>
      </w:r>
      <w:bookmarkEnd w:id="5"/>
    </w:p>
    <w:p w14:paraId="3CC68EFC" w14:textId="10A7C6DA" w:rsidR="00600F37" w:rsidRPr="000B4E2C" w:rsidRDefault="00600F37" w:rsidP="00600F37">
      <w:pPr>
        <w:rPr>
          <w:b/>
        </w:rPr>
      </w:pPr>
      <w:r w:rsidRPr="000B4E2C">
        <w:rPr>
          <w:b/>
        </w:rPr>
        <w:t>Discussion</w:t>
      </w:r>
    </w:p>
    <w:p w14:paraId="28683EDA" w14:textId="77777777" w:rsidR="00600F37" w:rsidRPr="000B4E2C" w:rsidRDefault="00600F37" w:rsidP="00600F37">
      <w:pPr>
        <w:rPr>
          <w:b/>
          <w:i/>
        </w:rPr>
      </w:pPr>
      <w:r w:rsidRPr="000B4E2C">
        <w:rPr>
          <w:b/>
          <w:i/>
        </w:rPr>
        <w:t>Strengths, limitations of the analyses and uncertainties</w:t>
      </w:r>
    </w:p>
    <w:p w14:paraId="52FFFAB5" w14:textId="77777777" w:rsidR="000B4E2C" w:rsidRPr="000B4E2C" w:rsidRDefault="00600F37" w:rsidP="00600F37">
      <w:pPr>
        <w:rPr>
          <w:lang w:val="en-GB" w:eastAsia="en-GB"/>
        </w:rPr>
      </w:pPr>
      <w:r w:rsidRPr="000B4E2C">
        <w:rPr>
          <w:lang w:val="en-GB" w:eastAsia="en-GB"/>
        </w:rPr>
        <w:t>The methods used to conduct this assessment were detailed, thorough and in line with cu</w:t>
      </w:r>
      <w:r w:rsidR="00C81F74" w:rsidRPr="000B4E2C">
        <w:rPr>
          <w:lang w:val="en-GB" w:eastAsia="en-GB"/>
        </w:rPr>
        <w:t>rrent methodological standards.</w:t>
      </w:r>
    </w:p>
    <w:p w14:paraId="7F90838E" w14:textId="63ABDB11" w:rsidR="00600F37" w:rsidRPr="000B4E2C" w:rsidRDefault="00600F37" w:rsidP="00600F37">
      <w:pPr>
        <w:rPr>
          <w:color w:val="000000" w:themeColor="text1"/>
          <w:lang w:val="en-GB" w:eastAsia="en-GB"/>
        </w:rPr>
      </w:pPr>
      <w:r w:rsidRPr="000B4E2C">
        <w:rPr>
          <w:color w:val="000000" w:themeColor="text1"/>
          <w:lang w:val="en-GB" w:eastAsia="en-GB"/>
        </w:rPr>
        <w:t>The main limitations of the clinical effectiveness assessment are summarised below</w:t>
      </w:r>
      <w:r w:rsidR="003C263D" w:rsidRPr="000B4E2C">
        <w:rPr>
          <w:color w:val="000000" w:themeColor="text1"/>
          <w:lang w:val="en-GB" w:eastAsia="en-GB"/>
        </w:rPr>
        <w:t>:</w:t>
      </w:r>
    </w:p>
    <w:p w14:paraId="6613CEFA" w14:textId="4D025699" w:rsidR="00600F37" w:rsidRPr="000B4E2C" w:rsidRDefault="00600F37" w:rsidP="00600F37">
      <w:pPr>
        <w:pStyle w:val="ListParagraph"/>
        <w:numPr>
          <w:ilvl w:val="0"/>
          <w:numId w:val="48"/>
        </w:numPr>
        <w:rPr>
          <w:color w:val="000000" w:themeColor="text1"/>
          <w:lang w:val="en-GB" w:eastAsia="en-GB"/>
        </w:rPr>
      </w:pPr>
      <w:r w:rsidRPr="000B4E2C">
        <w:rPr>
          <w:color w:val="000000" w:themeColor="text1"/>
          <w:lang w:val="en-GB" w:eastAsia="en-GB"/>
        </w:rPr>
        <w:t>Considerable clinical and statistical heterogeneity in the diagnostic and prediction analyses;</w:t>
      </w:r>
    </w:p>
    <w:p w14:paraId="20F83858" w14:textId="77777777" w:rsidR="00600F37" w:rsidRPr="000B4E2C" w:rsidRDefault="00600F37" w:rsidP="00600F37">
      <w:pPr>
        <w:pStyle w:val="ListParagraph"/>
        <w:numPr>
          <w:ilvl w:val="0"/>
          <w:numId w:val="48"/>
        </w:numPr>
        <w:rPr>
          <w:color w:val="000000" w:themeColor="text1"/>
          <w:lang w:val="en-GB" w:eastAsia="en-GB"/>
        </w:rPr>
      </w:pPr>
      <w:r w:rsidRPr="000B4E2C">
        <w:rPr>
          <w:color w:val="000000" w:themeColor="text1"/>
          <w:lang w:val="en-GB" w:eastAsia="en-GB"/>
        </w:rPr>
        <w:t>Use of an imperfect reference standard for detection of AKI (clinical assessment based on serum creatinine and urine output);</w:t>
      </w:r>
    </w:p>
    <w:p w14:paraId="6D96548B" w14:textId="77777777" w:rsidR="00600F37" w:rsidRPr="000B4E2C" w:rsidRDefault="00600F37" w:rsidP="00600F37">
      <w:pPr>
        <w:pStyle w:val="ListParagraph"/>
        <w:numPr>
          <w:ilvl w:val="0"/>
          <w:numId w:val="48"/>
        </w:numPr>
        <w:rPr>
          <w:color w:val="000000" w:themeColor="text1"/>
          <w:lang w:val="en-GB" w:eastAsia="en-GB"/>
        </w:rPr>
      </w:pPr>
      <w:r w:rsidRPr="000B4E2C">
        <w:rPr>
          <w:color w:val="000000" w:themeColor="text1"/>
          <w:lang w:val="en-GB" w:eastAsia="en-GB"/>
        </w:rPr>
        <w:lastRenderedPageBreak/>
        <w:t>Variation in the use of the NGAL assays and lack of a common threshold for identification of AKI;</w:t>
      </w:r>
    </w:p>
    <w:p w14:paraId="321BAD78" w14:textId="77777777" w:rsidR="000B4E2C" w:rsidRPr="000B4E2C" w:rsidRDefault="00600F37" w:rsidP="00600F37">
      <w:pPr>
        <w:pStyle w:val="ListParagraph"/>
        <w:numPr>
          <w:ilvl w:val="0"/>
          <w:numId w:val="48"/>
        </w:numPr>
        <w:rPr>
          <w:color w:val="000000" w:themeColor="text1"/>
          <w:lang w:val="en-GB" w:eastAsia="en-GB"/>
        </w:rPr>
      </w:pPr>
      <w:r w:rsidRPr="000B4E2C">
        <w:rPr>
          <w:color w:val="000000" w:themeColor="text1"/>
          <w:lang w:val="en-GB" w:eastAsia="en-GB"/>
        </w:rPr>
        <w:t>Uncertainty regarding the best tim</w:t>
      </w:r>
      <w:r w:rsidR="009D7F5A" w:rsidRPr="000B4E2C">
        <w:rPr>
          <w:color w:val="000000" w:themeColor="text1"/>
          <w:lang w:val="en-GB" w:eastAsia="en-GB"/>
        </w:rPr>
        <w:t>ing of</w:t>
      </w:r>
      <w:r w:rsidRPr="000B4E2C">
        <w:rPr>
          <w:color w:val="000000" w:themeColor="text1"/>
          <w:lang w:val="en-GB" w:eastAsia="en-GB"/>
        </w:rPr>
        <w:t xml:space="preserve"> biomarker measurements;</w:t>
      </w:r>
    </w:p>
    <w:p w14:paraId="2CDEF4D5" w14:textId="0EAD86DE" w:rsidR="00600F37" w:rsidRPr="000B4E2C" w:rsidRDefault="00600F37" w:rsidP="00600F37">
      <w:pPr>
        <w:pStyle w:val="ListParagraph"/>
        <w:numPr>
          <w:ilvl w:val="0"/>
          <w:numId w:val="48"/>
        </w:numPr>
        <w:rPr>
          <w:color w:val="000000" w:themeColor="text1"/>
          <w:lang w:val="en-GB" w:eastAsia="en-GB"/>
        </w:rPr>
      </w:pPr>
      <w:r w:rsidRPr="000B4E2C">
        <w:rPr>
          <w:color w:val="000000" w:themeColor="text1"/>
          <w:lang w:val="en-GB" w:eastAsia="en-GB"/>
        </w:rPr>
        <w:t>Variation in AKI prevalence across studies with very low number of AKI events in some studies;</w:t>
      </w:r>
    </w:p>
    <w:p w14:paraId="179350B5" w14:textId="77777777" w:rsidR="000B4E2C" w:rsidRPr="000B4E2C" w:rsidRDefault="00600F37" w:rsidP="00600F37">
      <w:pPr>
        <w:pStyle w:val="ListParagraph"/>
        <w:numPr>
          <w:ilvl w:val="0"/>
          <w:numId w:val="48"/>
        </w:numPr>
        <w:rPr>
          <w:color w:val="000000" w:themeColor="text1"/>
          <w:lang w:val="en-GB" w:eastAsia="en-GB"/>
        </w:rPr>
      </w:pPr>
      <w:r w:rsidRPr="000B4E2C">
        <w:rPr>
          <w:color w:val="000000" w:themeColor="text1"/>
          <w:lang w:val="en-GB" w:eastAsia="en-GB"/>
        </w:rPr>
        <w:t xml:space="preserve">Lack of </w:t>
      </w:r>
      <w:r w:rsidRPr="000B4E2C">
        <w:rPr>
          <w:color w:val="000000" w:themeColor="text1"/>
          <w:highlight w:val="magenta"/>
          <w:lang w:val="en-GB" w:eastAsia="en-GB"/>
        </w:rPr>
        <w:t>data</w:t>
      </w:r>
      <w:r w:rsidRPr="000B4E2C">
        <w:rPr>
          <w:color w:val="000000" w:themeColor="text1"/>
          <w:lang w:val="en-GB" w:eastAsia="en-GB"/>
        </w:rPr>
        <w:t xml:space="preserve"> on the impact of the routine use of the biomarkers on health outcomes over current clinical assessment.</w:t>
      </w:r>
    </w:p>
    <w:p w14:paraId="591FE302" w14:textId="77777777" w:rsidR="000B4E2C" w:rsidRPr="000B4E2C" w:rsidRDefault="00C81F74" w:rsidP="00C81F74">
      <w:pPr>
        <w:rPr>
          <w:lang w:val="en-GB" w:eastAsia="en-GB"/>
        </w:rPr>
      </w:pPr>
      <w:r w:rsidRPr="000B4E2C">
        <w:rPr>
          <w:color w:val="000000" w:themeColor="text1"/>
          <w:lang w:val="en-GB" w:eastAsia="en-GB"/>
        </w:rPr>
        <w:t xml:space="preserve">The majority of the included studies were conducted outside the UK and assessed hospitalised patients admitted to critical care, with large variation in delivery of critical and intensive care across the world. There is great uncertainty on </w:t>
      </w:r>
      <w:r w:rsidRPr="000B4E2C">
        <w:rPr>
          <w:lang w:val="en-GB" w:eastAsia="en-GB"/>
        </w:rPr>
        <w:t xml:space="preserve">how well findings of studies that are predominantly </w:t>
      </w:r>
      <w:r w:rsidR="009055D4" w:rsidRPr="000B4E2C">
        <w:rPr>
          <w:lang w:val="en-GB" w:eastAsia="en-GB"/>
        </w:rPr>
        <w:t xml:space="preserve">non-UK, </w:t>
      </w:r>
      <w:r w:rsidRPr="000B4E2C">
        <w:rPr>
          <w:lang w:val="en-GB" w:eastAsia="en-GB"/>
        </w:rPr>
        <w:t>based in intensive care, and heterogenous, could be applied to a UK clinical scenario of people at risk of AKI who do not currently receive critical care.</w:t>
      </w:r>
    </w:p>
    <w:p w14:paraId="065320DC" w14:textId="098BF418" w:rsidR="000B4E2C" w:rsidRPr="000B4E2C" w:rsidRDefault="00600F37" w:rsidP="00600F37">
      <w:pPr>
        <w:rPr>
          <w:color w:val="000000" w:themeColor="text1"/>
          <w:lang w:val="en-GB" w:eastAsia="en-GB"/>
        </w:rPr>
      </w:pPr>
      <w:r w:rsidRPr="000B4E2C">
        <w:rPr>
          <w:color w:val="000000" w:themeColor="text1"/>
          <w:lang w:val="en-GB" w:eastAsia="en-GB"/>
        </w:rPr>
        <w:t>With regard to the economic modelling, we identified three key areas of uncertainty, which mirror those identified for the clinical effectiveness assessment and limit the robustness of the cost-effectiveness results:</w:t>
      </w:r>
    </w:p>
    <w:p w14:paraId="775E20B5" w14:textId="77777777" w:rsidR="000B4E2C" w:rsidRPr="000B4E2C" w:rsidRDefault="00600F37" w:rsidP="00600F37">
      <w:pPr>
        <w:pStyle w:val="ListParagraph"/>
        <w:numPr>
          <w:ilvl w:val="0"/>
          <w:numId w:val="47"/>
        </w:numPr>
        <w:rPr>
          <w:color w:val="000000" w:themeColor="text1"/>
          <w:lang w:val="en-GB" w:eastAsia="en-GB"/>
        </w:rPr>
      </w:pPr>
      <w:r w:rsidRPr="000B4E2C">
        <w:rPr>
          <w:color w:val="000000" w:themeColor="text1"/>
          <w:lang w:val="en-GB" w:eastAsia="en-GB"/>
        </w:rPr>
        <w:t>Lack of direct evidence on the impact of the use of the biomarkers on health outcomes;</w:t>
      </w:r>
    </w:p>
    <w:p w14:paraId="1A177276" w14:textId="3E20475A" w:rsidR="00600F37" w:rsidRPr="000B4E2C" w:rsidRDefault="00600F37" w:rsidP="00600F37">
      <w:pPr>
        <w:pStyle w:val="ListParagraph"/>
        <w:numPr>
          <w:ilvl w:val="0"/>
          <w:numId w:val="47"/>
        </w:numPr>
        <w:rPr>
          <w:color w:val="000000" w:themeColor="text1"/>
          <w:lang w:val="en-GB" w:eastAsia="en-GB"/>
        </w:rPr>
      </w:pPr>
      <w:r w:rsidRPr="000B4E2C">
        <w:rPr>
          <w:color w:val="000000" w:themeColor="text1"/>
          <w:lang w:val="en-GB" w:eastAsia="en-GB"/>
        </w:rPr>
        <w:t xml:space="preserve">Heterogeneity in the diagnostic accuracy </w:t>
      </w:r>
      <w:r w:rsidRPr="000B4E2C">
        <w:rPr>
          <w:color w:val="000000" w:themeColor="text1"/>
          <w:highlight w:val="magenta"/>
          <w:lang w:val="en-GB" w:eastAsia="en-GB"/>
        </w:rPr>
        <w:t>data</w:t>
      </w:r>
      <w:r w:rsidRPr="000B4E2C">
        <w:rPr>
          <w:color w:val="000000" w:themeColor="text1"/>
          <w:lang w:val="en-GB" w:eastAsia="en-GB"/>
        </w:rPr>
        <w:t xml:space="preserve"> (including uncertainty in the prevalence of AKI in a broad, poorly defined population);</w:t>
      </w:r>
    </w:p>
    <w:p w14:paraId="43224160" w14:textId="77777777" w:rsidR="000B4E2C" w:rsidRPr="000B4E2C" w:rsidRDefault="00600F37" w:rsidP="00600F37">
      <w:pPr>
        <w:pStyle w:val="ListParagraph"/>
        <w:numPr>
          <w:ilvl w:val="0"/>
          <w:numId w:val="47"/>
        </w:numPr>
        <w:rPr>
          <w:color w:val="000000" w:themeColor="text1"/>
          <w:lang w:val="en-GB" w:eastAsia="en-GB"/>
        </w:rPr>
      </w:pPr>
      <w:r w:rsidRPr="000B4E2C">
        <w:rPr>
          <w:color w:val="000000" w:themeColor="text1"/>
          <w:lang w:val="en-GB" w:eastAsia="en-GB"/>
        </w:rPr>
        <w:t xml:space="preserve">Uncertainty around the impact of </w:t>
      </w:r>
      <w:r w:rsidRPr="000B4E2C">
        <w:rPr>
          <w:color w:val="000000" w:themeColor="text1"/>
          <w:highlight w:val="magenta"/>
          <w:lang w:val="en-GB" w:eastAsia="en-GB"/>
        </w:rPr>
        <w:t>an N</w:t>
      </w:r>
      <w:r w:rsidRPr="000B4E2C">
        <w:rPr>
          <w:color w:val="000000" w:themeColor="text1"/>
          <w:lang w:val="en-GB" w:eastAsia="en-GB"/>
        </w:rPr>
        <w:t>GAL-guided implementation of a KDIGO care bundle on the frequency and severity of AKI.</w:t>
      </w:r>
    </w:p>
    <w:p w14:paraId="7DB77492" w14:textId="798F73D6" w:rsidR="000B4E2C" w:rsidRPr="000B4E2C" w:rsidRDefault="00600F37" w:rsidP="00600F37">
      <w:pPr>
        <w:rPr>
          <w:lang w:val="en-GB" w:eastAsia="en-GB"/>
        </w:rPr>
      </w:pPr>
      <w:r w:rsidRPr="000B4E2C">
        <w:rPr>
          <w:color w:val="000000" w:themeColor="text1"/>
          <w:lang w:val="en-GB" w:eastAsia="en-GB"/>
        </w:rPr>
        <w:t xml:space="preserve">Given these uncertainties, </w:t>
      </w:r>
      <w:r w:rsidRPr="000B4E2C">
        <w:rPr>
          <w:lang w:val="en-GB" w:eastAsia="en-GB"/>
        </w:rPr>
        <w:t xml:space="preserve">the results of the cost-effectiveness modelling were largely speculative and should be interpreted with caution. </w:t>
      </w:r>
      <w:r w:rsidR="000B4E2C" w:rsidRPr="000B4E2C">
        <w:rPr>
          <w:color w:val="00B0F0"/>
          <w:lang w:val="en-GB" w:eastAsia="en-GB"/>
        </w:rPr>
        <w:t>While</w:t>
      </w:r>
      <w:r w:rsidRPr="000B4E2C">
        <w:rPr>
          <w:lang w:val="en-GB" w:eastAsia="en-GB"/>
        </w:rPr>
        <w:t xml:space="preserve"> we conducted extensive probabilistic analyses for all scenario analyses, these may still not capture the full magnitude of uncertainty faced in the implementation of these biomarkers in clinical </w:t>
      </w:r>
      <w:r w:rsidRPr="000B4E2C">
        <w:rPr>
          <w:highlight w:val="magenta"/>
          <w:lang w:val="en-GB" w:eastAsia="en-GB"/>
        </w:rPr>
        <w:t>practice</w:t>
      </w:r>
      <w:r w:rsidRPr="000B4E2C">
        <w:rPr>
          <w:lang w:val="en-GB" w:eastAsia="en-GB"/>
        </w:rPr>
        <w:t>.</w:t>
      </w:r>
    </w:p>
    <w:p w14:paraId="41293A40" w14:textId="77777777" w:rsidR="000B4E2C" w:rsidRPr="000B4E2C" w:rsidRDefault="00600F37" w:rsidP="00600F37">
      <w:pPr>
        <w:rPr>
          <w:b/>
          <w:i/>
          <w:color w:val="00B0F0"/>
        </w:rPr>
      </w:pPr>
      <w:r w:rsidRPr="000B4E2C">
        <w:rPr>
          <w:b/>
          <w:i/>
        </w:rPr>
        <w:t>Generalisability of the findings</w:t>
      </w:r>
    </w:p>
    <w:p w14:paraId="56D00218" w14:textId="65AC741A" w:rsidR="000B4E2C" w:rsidRPr="000B4E2C" w:rsidRDefault="000B4E2C" w:rsidP="00600F37">
      <w:r w:rsidRPr="000B4E2C">
        <w:rPr>
          <w:b/>
          <w:i/>
          <w:color w:val="00B0F0"/>
        </w:rPr>
        <w:t>Owing to</w:t>
      </w:r>
      <w:r w:rsidR="00600F37" w:rsidRPr="000B4E2C">
        <w:t xml:space="preserve"> the limitations listed above</w:t>
      </w:r>
      <w:r w:rsidR="003C263D" w:rsidRPr="000B4E2C">
        <w:t>,</w:t>
      </w:r>
      <w:r w:rsidR="00600F37" w:rsidRPr="000B4E2C">
        <w:t xml:space="preserve"> it is unclear how the findings of this assessment can be generalised to current UK </w:t>
      </w:r>
      <w:r w:rsidR="00600F37" w:rsidRPr="000B4E2C">
        <w:rPr>
          <w:highlight w:val="magenta"/>
        </w:rPr>
        <w:t>practice</w:t>
      </w:r>
      <w:r w:rsidR="00600F37" w:rsidRPr="000B4E2C">
        <w:t>.</w:t>
      </w:r>
    </w:p>
    <w:p w14:paraId="35679EC7" w14:textId="02000BC4" w:rsidR="00600F37" w:rsidRPr="000B4E2C" w:rsidRDefault="00600F37" w:rsidP="00600F37">
      <w:pPr>
        <w:rPr>
          <w:b/>
        </w:rPr>
      </w:pPr>
      <w:r w:rsidRPr="000B4E2C">
        <w:rPr>
          <w:b/>
        </w:rPr>
        <w:t>Conclusions</w:t>
      </w:r>
    </w:p>
    <w:p w14:paraId="19DBF23D" w14:textId="585D55E3" w:rsidR="000B4E2C" w:rsidRPr="000B4E2C" w:rsidRDefault="00C81F74" w:rsidP="00C81F74">
      <w:pPr>
        <w:pStyle w:val="CommentText"/>
        <w:spacing w:line="360" w:lineRule="auto"/>
        <w:rPr>
          <w:sz w:val="24"/>
          <w:szCs w:val="24"/>
        </w:rPr>
      </w:pPr>
      <w:r w:rsidRPr="000B4E2C">
        <w:rPr>
          <w:sz w:val="24"/>
          <w:szCs w:val="24"/>
        </w:rPr>
        <w:t xml:space="preserve">Future studies should evaluate the targeted use of the biomarkers within specific clinical populations and circumstances were there is potential for benefit with a plausible and feasible intervention. They should focus on the assessment of the impact of routine biomarker use on a reduction in mortality, major clinical adverse events, modification of clinical care, and resource </w:t>
      </w:r>
      <w:r w:rsidR="000B4E2C" w:rsidRPr="000B4E2C">
        <w:rPr>
          <w:color w:val="00B0F0"/>
          <w:sz w:val="24"/>
          <w:szCs w:val="24"/>
        </w:rPr>
        <w:t>utilisation</w:t>
      </w:r>
      <w:r w:rsidRPr="000B4E2C">
        <w:rPr>
          <w:sz w:val="24"/>
          <w:szCs w:val="24"/>
        </w:rPr>
        <w:t>.</w:t>
      </w:r>
    </w:p>
    <w:p w14:paraId="6FD1BF6F" w14:textId="77777777" w:rsidR="000B4E2C" w:rsidRPr="000B4E2C" w:rsidRDefault="00600F37" w:rsidP="00600F37">
      <w:pPr>
        <w:rPr>
          <w:lang w:val="en-GB" w:eastAsia="en-GB"/>
        </w:rPr>
      </w:pPr>
      <w:r w:rsidRPr="000B4E2C">
        <w:rPr>
          <w:lang w:val="en-GB" w:eastAsia="en-GB"/>
        </w:rPr>
        <w:t>There is also a need to harmonise the methods and platforms for collection, handling and storage of urine and plasma biomarker samples as well as reporting of biomarkers concentrations (units of measurement).</w:t>
      </w:r>
    </w:p>
    <w:p w14:paraId="7ABB177B" w14:textId="25E8D21F" w:rsidR="00600F37" w:rsidRPr="000B4E2C" w:rsidRDefault="00600F37" w:rsidP="00600F37">
      <w:pPr>
        <w:rPr>
          <w:b/>
          <w:lang w:eastAsia="en-GB"/>
        </w:rPr>
      </w:pPr>
      <w:r w:rsidRPr="000B4E2C">
        <w:rPr>
          <w:b/>
          <w:lang w:eastAsia="en-GB"/>
        </w:rPr>
        <w:t>Study registration</w:t>
      </w:r>
    </w:p>
    <w:p w14:paraId="7DEE4877" w14:textId="77777777" w:rsidR="000B4E2C" w:rsidRPr="000B4E2C" w:rsidRDefault="00600F37" w:rsidP="00600F37">
      <w:pPr>
        <w:rPr>
          <w:lang w:eastAsia="en-GB"/>
        </w:rPr>
      </w:pPr>
      <w:r w:rsidRPr="000B4E2C">
        <w:rPr>
          <w:lang w:eastAsia="en-GB"/>
        </w:rPr>
        <w:t>This study is registered as PROSPERO CRD42019147039</w:t>
      </w:r>
    </w:p>
    <w:p w14:paraId="373815CF" w14:textId="5CA9ECCC" w:rsidR="00600F37" w:rsidRPr="000B4E2C" w:rsidRDefault="00600F37" w:rsidP="00600F37">
      <w:pPr>
        <w:rPr>
          <w:b/>
          <w:lang w:eastAsia="en-GB"/>
        </w:rPr>
      </w:pPr>
      <w:r w:rsidRPr="000B4E2C">
        <w:rPr>
          <w:b/>
          <w:lang w:eastAsia="en-GB"/>
        </w:rPr>
        <w:t>Funding</w:t>
      </w:r>
    </w:p>
    <w:p w14:paraId="09FCD638" w14:textId="77777777" w:rsidR="000B4E2C" w:rsidRPr="000B4E2C" w:rsidRDefault="00600F37" w:rsidP="00600F37">
      <w:r w:rsidRPr="000B4E2C">
        <w:t>This report was commissioned by the</w:t>
      </w:r>
      <w:r w:rsidR="00340650" w:rsidRPr="000B4E2C">
        <w:t xml:space="preserve"> </w:t>
      </w:r>
      <w:r w:rsidRPr="000B4E2C">
        <w:t>NIHR Systematic Reviews Programme</w:t>
      </w:r>
      <w:r w:rsidR="000B4E2C" w:rsidRPr="000B4E2C">
        <w:t xml:space="preserve"> </w:t>
      </w:r>
      <w:r w:rsidRPr="000B4E2C">
        <w:t>as project number 12/88/97.</w:t>
      </w:r>
    </w:p>
    <w:p w14:paraId="14B82E8D" w14:textId="77777777" w:rsidR="000B4E2C" w:rsidRPr="000B4E2C" w:rsidRDefault="002F0133" w:rsidP="008A7464">
      <w:pPr>
        <w:pStyle w:val="Heading1"/>
      </w:pPr>
      <w:bookmarkStart w:id="6" w:name="_Toc386102059"/>
      <w:bookmarkStart w:id="7" w:name="_Toc386459559"/>
      <w:r w:rsidRPr="000B4E2C">
        <w:t>1</w:t>
      </w:r>
      <w:bookmarkEnd w:id="6"/>
      <w:bookmarkEnd w:id="7"/>
      <w:r w:rsidRPr="000B4E2C">
        <w:tab/>
        <w:t>Objectives</w:t>
      </w:r>
    </w:p>
    <w:p w14:paraId="0C95A58A" w14:textId="77777777" w:rsidR="000B4E2C" w:rsidRPr="000B4E2C" w:rsidRDefault="002F0133" w:rsidP="008A7464">
      <w:pPr>
        <w:rPr>
          <w:lang w:val="en-GB" w:eastAsia="en-GB"/>
        </w:rPr>
      </w:pPr>
      <w:r w:rsidRPr="000B4E2C">
        <w:rPr>
          <w:lang w:val="en-GB"/>
        </w:rPr>
        <w:t xml:space="preserve">The overall objective of this assessment was to summarise the current evidence on the clinical and cost-effectiveness of using NephroCheck test, ARCHITECT and Alinity urine NGAL, and urine and plasma </w:t>
      </w:r>
      <w:r w:rsidR="009D7F5A" w:rsidRPr="000B4E2C">
        <w:rPr>
          <w:lang w:val="en-GB"/>
        </w:rPr>
        <w:t>BioPorto</w:t>
      </w:r>
      <w:r w:rsidRPr="000B4E2C">
        <w:rPr>
          <w:lang w:val="en-GB"/>
        </w:rPr>
        <w:t xml:space="preserve"> NGAL immunoassays to help assess the risk of AKI in critically ill hospitalised patients who are considered for admission to critical care. AKI is still a challenging clinical problem for hospitalised patients especially for those in need of critical care. Earlier detection of kidney injury may facilitate the adoption of strategies to preserve renal function and prevent further progression of kidney disease.</w:t>
      </w:r>
    </w:p>
    <w:p w14:paraId="4AE3776D" w14:textId="78DE8B5F" w:rsidR="002F0133" w:rsidRPr="000B4E2C" w:rsidRDefault="002F0133" w:rsidP="008A7464">
      <w:pPr>
        <w:rPr>
          <w:lang w:val="en-GB"/>
        </w:rPr>
      </w:pPr>
      <w:r w:rsidRPr="000B4E2C">
        <w:rPr>
          <w:lang w:val="en-GB"/>
        </w:rPr>
        <w:t>There are several components to this assessment that fall within the scope of the following research questions:</w:t>
      </w:r>
    </w:p>
    <w:p w14:paraId="13697EE5" w14:textId="3D4BCACE" w:rsidR="002F0133" w:rsidRPr="000B4E2C" w:rsidRDefault="002F0133" w:rsidP="002F0133">
      <w:pPr>
        <w:pStyle w:val="ListParagraph"/>
        <w:numPr>
          <w:ilvl w:val="0"/>
          <w:numId w:val="16"/>
        </w:numPr>
        <w:rPr>
          <w:lang w:val="en-GB"/>
        </w:rPr>
      </w:pPr>
      <w:r w:rsidRPr="000B4E2C">
        <w:rPr>
          <w:lang w:val="en-GB"/>
        </w:rPr>
        <w:t xml:space="preserve">Do novel biomarkers (NephroCheck test, ARCHITECT and Alinity Urine NGAL assays, urine and plasma </w:t>
      </w:r>
      <w:r w:rsidR="009D7F5A" w:rsidRPr="000B4E2C">
        <w:rPr>
          <w:lang w:val="en-GB"/>
        </w:rPr>
        <w:t>BioPorto</w:t>
      </w:r>
      <w:r w:rsidRPr="000B4E2C">
        <w:rPr>
          <w:lang w:val="en-GB"/>
        </w:rPr>
        <w:t xml:space="preserve"> NGAL tests) accurately detect emerging AKI in critically ill people who are considered for critical care? (re</w:t>
      </w:r>
    </w:p>
    <w:p w14:paraId="66ABD740" w14:textId="77777777" w:rsidR="000B4E2C" w:rsidRPr="000B4E2C" w:rsidRDefault="002F0133" w:rsidP="002F0133">
      <w:pPr>
        <w:pStyle w:val="ListParagraph"/>
        <w:numPr>
          <w:ilvl w:val="0"/>
          <w:numId w:val="16"/>
        </w:numPr>
        <w:rPr>
          <w:lang w:val="en-GB"/>
        </w:rPr>
      </w:pPr>
      <w:r w:rsidRPr="000B4E2C">
        <w:rPr>
          <w:lang w:val="en-GB"/>
        </w:rPr>
        <w:t xml:space="preserve">Do the novel biomarkers (NephroCheck test, ARCHITECT and Alinity Urine NGAL assays, urine and plasma </w:t>
      </w:r>
      <w:r w:rsidR="009D7F5A" w:rsidRPr="000B4E2C">
        <w:rPr>
          <w:lang w:val="en-GB"/>
        </w:rPr>
        <w:t>BioPorto</w:t>
      </w:r>
      <w:r w:rsidRPr="000B4E2C">
        <w:rPr>
          <w:lang w:val="en-GB"/>
        </w:rPr>
        <w:t xml:space="preserve"> NGAL tests) predict the development of future events (e.g., AKI, mortality, need for long-term renal replacement therapy) in critically ill people at risk of developing AKI who are considered for admission to critical care?</w:t>
      </w:r>
    </w:p>
    <w:p w14:paraId="2AEBFCCC" w14:textId="2679ACF4" w:rsidR="000B4E2C" w:rsidRPr="000B4E2C" w:rsidRDefault="002F0133" w:rsidP="002F0133">
      <w:pPr>
        <w:pStyle w:val="ListParagraph"/>
        <w:numPr>
          <w:ilvl w:val="0"/>
          <w:numId w:val="16"/>
        </w:numPr>
        <w:rPr>
          <w:lang w:val="en-GB"/>
        </w:rPr>
      </w:pPr>
      <w:r w:rsidRPr="000B4E2C">
        <w:rPr>
          <w:lang w:val="en-GB"/>
        </w:rPr>
        <w:t xml:space="preserve">Does the use of novel biomarkers (NephroCheck test, ARCHITECT and Alinity Urine NGAL assays, urine and plasma </w:t>
      </w:r>
      <w:r w:rsidR="009D7F5A" w:rsidRPr="000B4E2C">
        <w:rPr>
          <w:lang w:val="en-GB"/>
        </w:rPr>
        <w:t>BioPorto</w:t>
      </w:r>
      <w:r w:rsidRPr="000B4E2C">
        <w:rPr>
          <w:lang w:val="en-GB"/>
        </w:rPr>
        <w:t xml:space="preserve"> NGAL tests) </w:t>
      </w:r>
      <w:r w:rsidRPr="000B4E2C">
        <w:rPr>
          <w:highlight w:val="magenta"/>
          <w:lang w:val="en-GB"/>
        </w:rPr>
        <w:t>lead</w:t>
      </w:r>
      <w:r w:rsidRPr="000B4E2C">
        <w:rPr>
          <w:lang w:val="en-GB"/>
        </w:rPr>
        <w:t xml:space="preserve"> to improvements in clinical outcomes of critically ill </w:t>
      </w:r>
      <w:r w:rsidRPr="000B4E2C">
        <w:rPr>
          <w:lang w:val="en-GB"/>
        </w:rPr>
        <w:lastRenderedPageBreak/>
        <w:t>people who are considered for admission to critical care? (i.e., reduction in events rates – such as mortality and long-term renal replacement therapy</w:t>
      </w:r>
      <w:r w:rsidR="000B4E2C" w:rsidRPr="000B4E2C">
        <w:rPr>
          <w:color w:val="00B0F0"/>
          <w:lang w:val="en-GB"/>
        </w:rPr>
        <w:t xml:space="preserve"> – </w:t>
      </w:r>
      <w:r w:rsidRPr="000B4E2C">
        <w:rPr>
          <w:lang w:val="en-GB"/>
        </w:rPr>
        <w:t>among patients whose management is guided by the novel biomarkers)</w:t>
      </w:r>
    </w:p>
    <w:p w14:paraId="582BC51E" w14:textId="3D81B697" w:rsidR="000B4E2C" w:rsidRPr="000B4E2C" w:rsidRDefault="002F0133" w:rsidP="002F0133">
      <w:pPr>
        <w:pStyle w:val="ListParagraph"/>
        <w:numPr>
          <w:ilvl w:val="0"/>
          <w:numId w:val="16"/>
        </w:numPr>
        <w:rPr>
          <w:lang w:val="en-GB"/>
        </w:rPr>
      </w:pPr>
      <w:r w:rsidRPr="000B4E2C">
        <w:rPr>
          <w:lang w:val="en-GB"/>
        </w:rPr>
        <w:t xml:space="preserve">Does routine use of novel biomarkers (NephroCheck test, ARCHITECT and Alinity Urine NGAL assays, urine and plasma </w:t>
      </w:r>
      <w:r w:rsidR="009D7F5A" w:rsidRPr="000B4E2C">
        <w:rPr>
          <w:lang w:val="en-GB"/>
        </w:rPr>
        <w:t>BioPorto</w:t>
      </w:r>
      <w:r w:rsidRPr="000B4E2C">
        <w:rPr>
          <w:lang w:val="en-GB"/>
        </w:rPr>
        <w:t xml:space="preserve"> NGAL tests) affect costs to the NHS, length or quality of life (i.e.</w:t>
      </w:r>
      <w:r w:rsidR="00881500" w:rsidRPr="000B4E2C">
        <w:rPr>
          <w:lang w:val="en-GB"/>
        </w:rPr>
        <w:t>,</w:t>
      </w:r>
      <w:r w:rsidRPr="000B4E2C">
        <w:rPr>
          <w:lang w:val="en-GB"/>
        </w:rPr>
        <w:t xml:space="preserve"> </w:t>
      </w:r>
      <w:r w:rsidR="000B4E2C" w:rsidRPr="000B4E2C">
        <w:rPr>
          <w:color w:val="00B0F0"/>
          <w:lang w:val="en-GB"/>
        </w:rPr>
        <w:t>Quality-adjusted</w:t>
      </w:r>
      <w:r w:rsidRPr="000B4E2C">
        <w:rPr>
          <w:lang w:val="en-GB"/>
        </w:rPr>
        <w:t xml:space="preserve"> </w:t>
      </w:r>
      <w:r w:rsidR="000B4E2C" w:rsidRPr="000B4E2C">
        <w:rPr>
          <w:color w:val="00B0F0"/>
          <w:lang w:val="en-GB"/>
        </w:rPr>
        <w:t>Life-year</w:t>
      </w:r>
      <w:r w:rsidRPr="000B4E2C">
        <w:rPr>
          <w:lang w:val="en-GB"/>
        </w:rPr>
        <w:t>s, QALYs), or cost-effectiveness measured as incremental cost per QALY gained for critically ill people who are considered for admission to critical care?</w:t>
      </w:r>
    </w:p>
    <w:p w14:paraId="7ABCEFDE" w14:textId="3A4DDD33" w:rsidR="002F0133" w:rsidRPr="000B4E2C" w:rsidRDefault="002F0133" w:rsidP="008A7464">
      <w:pPr>
        <w:ind w:left="360"/>
        <w:rPr>
          <w:lang w:val="en-GB"/>
        </w:rPr>
      </w:pPr>
      <w:r w:rsidRPr="000B4E2C">
        <w:rPr>
          <w:lang w:val="en-GB"/>
        </w:rPr>
        <w:t>In brief, the main objectives of this assessment are the following:</w:t>
      </w:r>
    </w:p>
    <w:p w14:paraId="3D4B1827" w14:textId="66F99191" w:rsidR="002F0133" w:rsidRPr="000B4E2C" w:rsidRDefault="002F0133" w:rsidP="002F0133">
      <w:pPr>
        <w:pStyle w:val="ListParagraph"/>
        <w:numPr>
          <w:ilvl w:val="0"/>
          <w:numId w:val="13"/>
        </w:numPr>
        <w:rPr>
          <w:lang w:val="en-GB"/>
        </w:rPr>
      </w:pPr>
      <w:r w:rsidRPr="000B4E2C">
        <w:rPr>
          <w:lang w:val="en-GB"/>
        </w:rPr>
        <w:t xml:space="preserve">To determine the diagnostic accuracy, prognostic accuracy and clinical impact of the use of novel biomarkers (NephroCheck test, ARCHITECT and Alinity Urine NGAL assays, urine and plasma </w:t>
      </w:r>
      <w:r w:rsidR="009D7F5A" w:rsidRPr="000B4E2C">
        <w:rPr>
          <w:lang w:val="en-GB"/>
        </w:rPr>
        <w:t>BioPorto</w:t>
      </w:r>
      <w:r w:rsidRPr="000B4E2C">
        <w:rPr>
          <w:lang w:val="en-GB"/>
        </w:rPr>
        <w:t xml:space="preserve"> NGAL tests) for the assessment of acute kidney injury in critically ill patients (adults and children) who are being assessed for admission to critical care.</w:t>
      </w:r>
    </w:p>
    <w:p w14:paraId="621C7ACA" w14:textId="77777777" w:rsidR="000B4E2C" w:rsidRPr="000B4E2C" w:rsidRDefault="002F0133" w:rsidP="002F0133">
      <w:pPr>
        <w:pStyle w:val="ListParagraph"/>
        <w:numPr>
          <w:ilvl w:val="0"/>
          <w:numId w:val="13"/>
        </w:numPr>
        <w:rPr>
          <w:lang w:val="en-GB"/>
        </w:rPr>
      </w:pPr>
      <w:r w:rsidRPr="000B4E2C">
        <w:rPr>
          <w:lang w:val="en-GB"/>
        </w:rPr>
        <w:t xml:space="preserve">To develop an economic model to assess the cost-effectiveness of the use of novel biomarkers (NephroCheck test, ARCHITECT and Alinity Urine NGAL assays, urine and plasma </w:t>
      </w:r>
      <w:r w:rsidR="009D7F5A" w:rsidRPr="000B4E2C">
        <w:rPr>
          <w:lang w:val="en-GB"/>
        </w:rPr>
        <w:t>BioPorto</w:t>
      </w:r>
      <w:r w:rsidRPr="000B4E2C">
        <w:rPr>
          <w:lang w:val="en-GB"/>
        </w:rPr>
        <w:t xml:space="preserve"> NGAL tests) for the assessment of acute kidney injury in critically ill patients (adults and children) who are considered for admission to critical care.</w:t>
      </w:r>
    </w:p>
    <w:p w14:paraId="78CC7B14" w14:textId="77777777" w:rsidR="000B4E2C" w:rsidRPr="000B4E2C" w:rsidRDefault="002F0133" w:rsidP="008A7464">
      <w:pPr>
        <w:pStyle w:val="Heading1"/>
      </w:pPr>
      <w:r w:rsidRPr="000B4E2C">
        <w:t>2</w:t>
      </w:r>
      <w:r w:rsidRPr="000B4E2C">
        <w:tab/>
        <w:t>Background and definition of the decision problem</w:t>
      </w:r>
    </w:p>
    <w:p w14:paraId="7D0C3C0B" w14:textId="799F8C0B" w:rsidR="002F0133" w:rsidRPr="000B4E2C" w:rsidRDefault="002F0133" w:rsidP="008A7464">
      <w:pPr>
        <w:pStyle w:val="Heading2"/>
      </w:pPr>
      <w:r w:rsidRPr="000B4E2C">
        <w:t>Health problem</w:t>
      </w:r>
    </w:p>
    <w:p w14:paraId="61722261" w14:textId="77777777" w:rsidR="000B4E2C" w:rsidRPr="000B4E2C" w:rsidRDefault="002F0133" w:rsidP="008A7464">
      <w:pPr>
        <w:rPr>
          <w:lang w:val="en-GB"/>
        </w:rPr>
      </w:pPr>
      <w:r w:rsidRPr="000B4E2C">
        <w:rPr>
          <w:lang w:val="en-GB"/>
        </w:rPr>
        <w:t>Acute kidney injury (AKI) is a common and serious complication that typically occurs in the context of an acute critical illness or during a postoperative period. It is associated with prolonged hospital stay, severe morbidity and increased mortality</w:t>
      </w:r>
      <w:r w:rsidR="00723580" w:rsidRPr="000B4E2C">
        <w:rPr>
          <w:lang w:val="en-GB"/>
        </w:rPr>
        <w:t>.</w:t>
      </w:r>
      <w:r w:rsidR="005B5026" w:rsidRPr="000B4E2C">
        <w:rPr>
          <w:noProof/>
          <w:vertAlign w:val="superscript"/>
          <w:lang w:val="en-GB"/>
        </w:rPr>
        <w:t>1, 2</w:t>
      </w:r>
      <w:r w:rsidR="00723580" w:rsidRPr="000B4E2C">
        <w:rPr>
          <w:lang w:val="en-GB"/>
        </w:rPr>
        <w:t xml:space="preserve"> </w:t>
      </w:r>
      <w:r w:rsidRPr="000B4E2C">
        <w:rPr>
          <w:lang w:val="en-GB"/>
        </w:rPr>
        <w:t>Delayed identification of AKI contributes to worse outcomes</w:t>
      </w:r>
      <w:r w:rsidR="00723580" w:rsidRPr="000B4E2C">
        <w:rPr>
          <w:lang w:val="en-GB"/>
        </w:rPr>
        <w:t>.</w:t>
      </w:r>
      <w:r w:rsidR="005B5026" w:rsidRPr="000B4E2C">
        <w:rPr>
          <w:noProof/>
          <w:vertAlign w:val="superscript"/>
          <w:lang w:val="en-GB"/>
        </w:rPr>
        <w:t>3</w:t>
      </w:r>
    </w:p>
    <w:p w14:paraId="28239D2C" w14:textId="77777777" w:rsidR="000B4E2C" w:rsidRPr="000B4E2C" w:rsidRDefault="002F0133" w:rsidP="008A7464">
      <w:pPr>
        <w:rPr>
          <w:lang w:val="en-GB"/>
        </w:rPr>
      </w:pPr>
      <w:r w:rsidRPr="000B4E2C">
        <w:rPr>
          <w:lang w:val="en-GB"/>
        </w:rPr>
        <w:t xml:space="preserve">To pre-empt or avoid lasting consequences of AKI, early detection may be beneficial. Traditionally, AKI diagnosis relies on a rise in serum creatinine levels and/or a fall in urine output. Despite its widespread use in the monitoring of kidney health and disease, creatinine is an imperfect marker of kidney function because its level in the blood is not solely </w:t>
      </w:r>
      <w:r w:rsidRPr="000B4E2C">
        <w:rPr>
          <w:highlight w:val="magenta"/>
          <w:lang w:val="en-GB"/>
        </w:rPr>
        <w:t>dependent</w:t>
      </w:r>
      <w:r w:rsidRPr="000B4E2C">
        <w:rPr>
          <w:lang w:val="en-GB"/>
        </w:rPr>
        <w:t xml:space="preserve"> on kidney function, and changes in creatinine lag behind when kidney function reduces in AKI</w:t>
      </w:r>
      <w:r w:rsidR="00723580" w:rsidRPr="000B4E2C">
        <w:rPr>
          <w:lang w:val="en-GB"/>
        </w:rPr>
        <w:t>.</w:t>
      </w:r>
      <w:r w:rsidR="005B5026" w:rsidRPr="000B4E2C">
        <w:rPr>
          <w:noProof/>
          <w:vertAlign w:val="superscript"/>
          <w:lang w:val="en-GB"/>
        </w:rPr>
        <w:t>4</w:t>
      </w:r>
      <w:r w:rsidRPr="000B4E2C">
        <w:rPr>
          <w:lang w:val="en-GB"/>
        </w:rPr>
        <w:t xml:space="preserve"> </w:t>
      </w:r>
      <w:r w:rsidRPr="000B4E2C">
        <w:t>When kidney function suddenly falls, even if a reduction in renal excretion occurs instantly, it can take hours or sometimes days for the level to creatinine to rise in the blood sufficiently for AKI to be diagnosed according to current international definitions. Moreover, in response to stress or even kidney damage, the kidneys have reserve capacity and can compensate so that kidney function is maintained. For this reason, in some clinical settings significant kidney damage can occur without AKI being apparent from changes in blood creatinine. In other settings, such as during a temporary reduction in blood flow to kidneys, rises in creatinine and a reduction in urine can occur, even when no significant damage has occurred. These limitations related to the use of creatinine assessment have led to the search for novel biomarkers that may detect kidney damage or kidney stress earlier and more reliably.</w:t>
      </w:r>
    </w:p>
    <w:p w14:paraId="440497CB" w14:textId="77777777" w:rsidR="000B4E2C" w:rsidRPr="000B4E2C" w:rsidRDefault="002F0133" w:rsidP="008A7464">
      <w:pPr>
        <w:rPr>
          <w:lang w:val="en-GB"/>
        </w:rPr>
      </w:pPr>
      <w:r w:rsidRPr="000B4E2C">
        <w:rPr>
          <w:lang w:val="en-GB"/>
        </w:rPr>
        <w:t>Biomarker tests for AKI include the NGAL test (neutrophil gelatinase-associated lipocalin), which can be measured using a sample of urine or blood</w:t>
      </w:r>
      <w:r w:rsidR="00723580" w:rsidRPr="000B4E2C">
        <w:rPr>
          <w:lang w:val="en-GB"/>
        </w:rPr>
        <w:t>.</w:t>
      </w:r>
      <w:r w:rsidR="005B5026" w:rsidRPr="000B4E2C">
        <w:rPr>
          <w:noProof/>
          <w:vertAlign w:val="superscript"/>
          <w:lang w:val="en-GB"/>
        </w:rPr>
        <w:t>5</w:t>
      </w:r>
      <w:r w:rsidR="00723580" w:rsidRPr="000B4E2C">
        <w:rPr>
          <w:lang w:val="en-GB"/>
        </w:rPr>
        <w:t xml:space="preserve"> </w:t>
      </w:r>
      <w:r w:rsidRPr="000B4E2C">
        <w:rPr>
          <w:lang w:val="en-GB"/>
        </w:rPr>
        <w:t>NGAL is released from neutrophils and is induced by inflammation, indicating tubular injury</w:t>
      </w:r>
      <w:r w:rsidR="00723580" w:rsidRPr="000B4E2C">
        <w:rPr>
          <w:lang w:val="en-GB"/>
        </w:rPr>
        <w:t>.</w:t>
      </w:r>
      <w:r w:rsidR="005B5026" w:rsidRPr="000B4E2C">
        <w:rPr>
          <w:noProof/>
          <w:vertAlign w:val="superscript"/>
          <w:lang w:val="en-GB"/>
        </w:rPr>
        <w:t>4</w:t>
      </w:r>
      <w:r w:rsidRPr="000B4E2C">
        <w:rPr>
          <w:lang w:val="en-GB"/>
        </w:rPr>
        <w:t xml:space="preserve"> One limitation of NGAL is that it is produced throughout the body making it difficult to distinguish systemic inflammation from localised renal inflammation</w:t>
      </w:r>
      <w:r w:rsidR="00723580" w:rsidRPr="000B4E2C">
        <w:rPr>
          <w:lang w:val="en-GB"/>
        </w:rPr>
        <w:t>.</w:t>
      </w:r>
      <w:r w:rsidR="005B5026" w:rsidRPr="000B4E2C">
        <w:rPr>
          <w:noProof/>
          <w:vertAlign w:val="superscript"/>
          <w:lang w:val="en-GB"/>
        </w:rPr>
        <w:t>4</w:t>
      </w:r>
      <w:r w:rsidR="00723580" w:rsidRPr="000B4E2C">
        <w:rPr>
          <w:lang w:val="en-GB"/>
        </w:rPr>
        <w:t xml:space="preserve"> </w:t>
      </w:r>
      <w:r w:rsidRPr="000B4E2C">
        <w:rPr>
          <w:lang w:val="en-GB"/>
        </w:rPr>
        <w:t xml:space="preserve">Novel NGAL tests include the ARCHITECT and Alinity Urine NGAL assays (Abbott), the </w:t>
      </w:r>
      <w:r w:rsidR="009D7F5A" w:rsidRPr="000B4E2C">
        <w:rPr>
          <w:lang w:val="en-GB"/>
        </w:rPr>
        <w:t>BioPorto</w:t>
      </w:r>
      <w:r w:rsidRPr="000B4E2C">
        <w:rPr>
          <w:lang w:val="en-GB"/>
        </w:rPr>
        <w:t xml:space="preserve"> NGAL plasma test (</w:t>
      </w:r>
      <w:r w:rsidR="009D7F5A" w:rsidRPr="000B4E2C">
        <w:rPr>
          <w:lang w:val="en-GB"/>
        </w:rPr>
        <w:t>BioPorto</w:t>
      </w:r>
      <w:r w:rsidRPr="000B4E2C">
        <w:rPr>
          <w:lang w:val="en-GB"/>
        </w:rPr>
        <w:t xml:space="preserve"> Diagnostics) and the </w:t>
      </w:r>
      <w:r w:rsidR="009D7F5A" w:rsidRPr="000B4E2C">
        <w:rPr>
          <w:lang w:val="en-GB"/>
        </w:rPr>
        <w:t>BioPorto</w:t>
      </w:r>
      <w:r w:rsidRPr="000B4E2C">
        <w:rPr>
          <w:lang w:val="en-GB"/>
        </w:rPr>
        <w:t xml:space="preserve"> NGAL urine test (</w:t>
      </w:r>
      <w:r w:rsidR="009D7F5A" w:rsidRPr="000B4E2C">
        <w:rPr>
          <w:lang w:val="en-GB"/>
        </w:rPr>
        <w:t>BioPorto</w:t>
      </w:r>
      <w:r w:rsidRPr="000B4E2C">
        <w:rPr>
          <w:lang w:val="en-GB"/>
        </w:rPr>
        <w:t xml:space="preserve"> Diagnostics).</w:t>
      </w:r>
    </w:p>
    <w:p w14:paraId="59267810" w14:textId="5544933A" w:rsidR="000B4E2C" w:rsidRPr="000B4E2C" w:rsidRDefault="002F0133" w:rsidP="008A7464">
      <w:pPr>
        <w:rPr>
          <w:lang w:val="en-GB"/>
        </w:rPr>
      </w:pPr>
      <w:r w:rsidRPr="000B4E2C">
        <w:rPr>
          <w:lang w:val="en-GB"/>
        </w:rPr>
        <w:t>Another biomarker for AKI is the NephroCheck test (Astute Medical), a combination of two urinary biomarkers, the tissue inhibitor of metalloproteinas</w:t>
      </w:r>
      <w:r w:rsidR="000B4E2C" w:rsidRPr="000B4E2C">
        <w:rPr>
          <w:color w:val="00B0F0"/>
          <w:lang w:val="en-GB"/>
        </w:rPr>
        <w:t>e</w:t>
      </w:r>
      <w:r w:rsidR="000B4E2C" w:rsidRPr="000B4E2C">
        <w:rPr>
          <w:color w:val="00B0F0"/>
          <w:lang w:val="en-GB"/>
        </w:rPr>
        <w:t>-</w:t>
      </w:r>
      <w:r w:rsidR="000B4E2C" w:rsidRPr="000B4E2C">
        <w:rPr>
          <w:color w:val="00B0F0"/>
          <w:lang w:val="en-GB"/>
        </w:rPr>
        <w:t>2</w:t>
      </w:r>
      <w:r w:rsidRPr="000B4E2C">
        <w:rPr>
          <w:lang w:val="en-GB"/>
        </w:rPr>
        <w:t xml:space="preserve"> (TIM</w:t>
      </w:r>
      <w:r w:rsidR="000B4E2C" w:rsidRPr="000B4E2C">
        <w:rPr>
          <w:color w:val="00B0F0"/>
          <w:lang w:val="en-GB"/>
        </w:rPr>
        <w:t>P</w:t>
      </w:r>
      <w:r w:rsidR="000B4E2C" w:rsidRPr="000B4E2C">
        <w:rPr>
          <w:color w:val="00B0F0"/>
          <w:lang w:val="en-GB"/>
        </w:rPr>
        <w:t>-</w:t>
      </w:r>
      <w:r w:rsidR="000B4E2C" w:rsidRPr="000B4E2C">
        <w:rPr>
          <w:color w:val="00B0F0"/>
          <w:lang w:val="en-GB"/>
        </w:rPr>
        <w:t>2</w:t>
      </w:r>
      <w:r w:rsidRPr="000B4E2C">
        <w:rPr>
          <w:lang w:val="en-GB"/>
        </w:rPr>
        <w:t>) and the insulin-like growth factor-binding protein 7 (IGFB</w:t>
      </w:r>
      <w:r w:rsidR="000B4E2C" w:rsidRPr="000B4E2C">
        <w:rPr>
          <w:color w:val="00B0F0"/>
          <w:lang w:val="en-GB"/>
        </w:rPr>
        <w:t>P</w:t>
      </w:r>
      <w:r w:rsidR="000B4E2C" w:rsidRPr="000B4E2C">
        <w:rPr>
          <w:color w:val="00B0F0"/>
          <w:lang w:val="en-GB"/>
        </w:rPr>
        <w:t>-</w:t>
      </w:r>
      <w:r w:rsidR="000B4E2C" w:rsidRPr="000B4E2C">
        <w:rPr>
          <w:color w:val="00B0F0"/>
          <w:lang w:val="en-GB"/>
        </w:rPr>
        <w:t>7</w:t>
      </w:r>
      <w:r w:rsidRPr="000B4E2C">
        <w:rPr>
          <w:lang w:val="en-GB"/>
        </w:rPr>
        <w:t>).</w:t>
      </w:r>
      <w:r w:rsidR="000B4E2C" w:rsidRPr="000B4E2C">
        <w:rPr>
          <w:lang w:val="en-GB"/>
        </w:rPr>
        <w:t xml:space="preserve"> </w:t>
      </w:r>
      <w:r w:rsidRPr="000B4E2C">
        <w:rPr>
          <w:lang w:val="en-GB"/>
        </w:rPr>
        <w:t>Both TIM</w:t>
      </w:r>
      <w:r w:rsidR="000B4E2C" w:rsidRPr="000B4E2C">
        <w:rPr>
          <w:color w:val="00B0F0"/>
          <w:lang w:val="en-GB"/>
        </w:rPr>
        <w:t>P</w:t>
      </w:r>
      <w:r w:rsidR="000B4E2C" w:rsidRPr="000B4E2C">
        <w:rPr>
          <w:color w:val="00B0F0"/>
          <w:lang w:val="en-GB"/>
        </w:rPr>
        <w:t>-</w:t>
      </w:r>
      <w:r w:rsidR="000B4E2C" w:rsidRPr="000B4E2C">
        <w:rPr>
          <w:color w:val="00B0F0"/>
          <w:lang w:val="en-GB"/>
        </w:rPr>
        <w:t>2</w:t>
      </w:r>
      <w:r w:rsidRPr="000B4E2C">
        <w:rPr>
          <w:lang w:val="en-GB"/>
        </w:rPr>
        <w:t xml:space="preserve"> and IGFBP7 are cell-cycle arrest proteins that are released into urine as markers of cellular stress in the early phase of tubular cell injury </w:t>
      </w:r>
      <w:r w:rsidRPr="000B4E2C">
        <w:rPr>
          <w:highlight w:val="magenta"/>
          <w:lang w:val="en-GB"/>
        </w:rPr>
        <w:t>due to</w:t>
      </w:r>
      <w:r w:rsidRPr="000B4E2C">
        <w:rPr>
          <w:lang w:val="en-GB"/>
        </w:rPr>
        <w:t xml:space="preserve"> a variety of insults (e.g., toxins, drugs, oxidative stress and inflammation), which </w:t>
      </w:r>
      <w:r w:rsidRPr="000B4E2C">
        <w:rPr>
          <w:highlight w:val="magenta"/>
          <w:lang w:val="en-GB"/>
        </w:rPr>
        <w:t>lead</w:t>
      </w:r>
      <w:r w:rsidRPr="000B4E2C">
        <w:rPr>
          <w:lang w:val="en-GB"/>
        </w:rPr>
        <w:t xml:space="preserve"> to AKI</w:t>
      </w:r>
      <w:r w:rsidR="005B5026" w:rsidRPr="000B4E2C">
        <w:rPr>
          <w:noProof/>
          <w:vertAlign w:val="superscript"/>
          <w:lang w:val="en-GB"/>
        </w:rPr>
        <w:t>6</w:t>
      </w:r>
      <w:r w:rsidRPr="000B4E2C">
        <w:rPr>
          <w:lang w:val="en-GB"/>
        </w:rPr>
        <w:t>. The US Food and Drug Administration has approved these combined biomarkers to assess the risk of AKI in critically ill patients</w:t>
      </w:r>
      <w:r w:rsidR="00723580" w:rsidRPr="000B4E2C">
        <w:rPr>
          <w:lang w:val="en-GB"/>
        </w:rPr>
        <w:t>.</w:t>
      </w:r>
      <w:r w:rsidR="005B5026" w:rsidRPr="000B4E2C">
        <w:rPr>
          <w:noProof/>
          <w:vertAlign w:val="superscript"/>
          <w:lang w:val="en-GB"/>
        </w:rPr>
        <w:t>4</w:t>
      </w:r>
    </w:p>
    <w:p w14:paraId="201DFB9E" w14:textId="2EA935FD" w:rsidR="000B4E2C" w:rsidRPr="000B4E2C" w:rsidRDefault="002F0133" w:rsidP="008A7464">
      <w:pPr>
        <w:rPr>
          <w:lang w:val="en-GB" w:eastAsia="en-GB"/>
        </w:rPr>
      </w:pPr>
      <w:r w:rsidRPr="000B4E2C">
        <w:rPr>
          <w:lang w:val="en-GB"/>
        </w:rPr>
        <w:t>These novel biomarkers have been developed to detect early damage or stress in the kidneys. If reliable use of these biomarkers can be demonstrated, they may enable earlier identification of AKI, and, therefore, early management of those with a modifiable disease course</w:t>
      </w:r>
      <w:r w:rsidR="000B4E2C" w:rsidRPr="000B4E2C">
        <w:rPr>
          <w:color w:val="00B0F0"/>
          <w:lang w:val="en-GB"/>
        </w:rPr>
        <w:t xml:space="preserve"> – </w:t>
      </w:r>
      <w:r w:rsidRPr="000B4E2C">
        <w:rPr>
          <w:lang w:val="en-GB"/>
        </w:rPr>
        <w:t>with potential for downstream benefits in patients</w:t>
      </w:r>
      <w:r w:rsidR="0072128A" w:rsidRPr="000B4E2C">
        <w:rPr>
          <w:color w:val="00B0F0"/>
          <w:lang w:val="en-GB"/>
        </w:rPr>
        <w:t>$$SingleQuoteE$</w:t>
      </w:r>
      <w:r w:rsidR="000B4E2C" w:rsidRPr="000B4E2C">
        <w:rPr>
          <w:color w:val="00B0F0"/>
          <w:lang w:val="en-GB"/>
        </w:rPr>
        <w:t>$</w:t>
      </w:r>
      <w:r w:rsidRPr="000B4E2C">
        <w:rPr>
          <w:lang w:val="en-GB"/>
        </w:rPr>
        <w:t xml:space="preserve">clinical outcomes. </w:t>
      </w:r>
      <w:r w:rsidRPr="000B4E2C">
        <w:rPr>
          <w:lang w:val="en-GB" w:eastAsia="en-GB"/>
        </w:rPr>
        <w:t>If demonstrated</w:t>
      </w:r>
      <w:r w:rsidR="00E81191" w:rsidRPr="000B4E2C">
        <w:rPr>
          <w:lang w:val="en-GB" w:eastAsia="en-GB"/>
        </w:rPr>
        <w:t>,</w:t>
      </w:r>
      <w:r w:rsidRPr="000B4E2C">
        <w:rPr>
          <w:lang w:val="en-GB" w:eastAsia="en-GB"/>
        </w:rPr>
        <w:t xml:space="preserve"> the ability of these novel biomarkers for early detection of AKI could have the potential to improve current AKI management by enabling timely measures that could prevent progression to more severe kidney injury as well as by informing decisions about the </w:t>
      </w:r>
      <w:r w:rsidR="000B4E2C" w:rsidRPr="000B4E2C">
        <w:rPr>
          <w:color w:val="00B0F0"/>
          <w:lang w:val="en-GB" w:eastAsia="en-GB"/>
        </w:rPr>
        <w:t>‘</w:t>
      </w:r>
      <w:r w:rsidR="0072128A" w:rsidRPr="000B4E2C">
        <w:rPr>
          <w:lang w:val="en-GB" w:eastAsia="en-GB"/>
        </w:rPr>
        <w:t>step down</w:t>
      </w:r>
      <w:r w:rsidR="000B4E2C" w:rsidRPr="000B4E2C">
        <w:rPr>
          <w:color w:val="00B0F0"/>
          <w:lang w:val="en-GB" w:eastAsia="en-GB"/>
        </w:rPr>
        <w:t>’</w:t>
      </w:r>
      <w:r w:rsidRPr="000B4E2C">
        <w:rPr>
          <w:lang w:val="en-GB" w:eastAsia="en-GB"/>
        </w:rPr>
        <w:t xml:space="preserve"> of low risk patients to a lower level of hospital care, reducing the use of hospital resources.</w:t>
      </w:r>
    </w:p>
    <w:p w14:paraId="0174DCE4" w14:textId="77777777" w:rsidR="000B4E2C" w:rsidRPr="000B4E2C" w:rsidRDefault="002F0133" w:rsidP="008A7464">
      <w:pPr>
        <w:rPr>
          <w:lang w:val="en-GB"/>
        </w:rPr>
      </w:pPr>
      <w:r w:rsidRPr="000B4E2C">
        <w:rPr>
          <w:lang w:val="en-GB"/>
        </w:rPr>
        <w:t xml:space="preserve">The purpose of this assessment is to review the current evidence on the diagnostic accuracy, prognostic accuracy, impact on clinical outcomes and cost-effectiveness of novel biomarkers (NephroCheck test, ARCHITECT and Alinity Urine NGAL assays, </w:t>
      </w:r>
      <w:r w:rsidR="009D7F5A" w:rsidRPr="000B4E2C">
        <w:rPr>
          <w:lang w:val="en-GB"/>
        </w:rPr>
        <w:t>BioPorto</w:t>
      </w:r>
      <w:r w:rsidRPr="000B4E2C">
        <w:rPr>
          <w:lang w:val="en-GB"/>
        </w:rPr>
        <w:t xml:space="preserve"> NGAL plasma test and </w:t>
      </w:r>
      <w:r w:rsidR="009D7F5A" w:rsidRPr="000B4E2C">
        <w:rPr>
          <w:lang w:val="en-GB"/>
        </w:rPr>
        <w:t>BioPorto</w:t>
      </w:r>
      <w:r w:rsidRPr="000B4E2C">
        <w:rPr>
          <w:lang w:val="en-GB"/>
        </w:rPr>
        <w:t xml:space="preserve"> NGAL urine test) for the assessment of AKI in critically ill patients who are considered for critical care admission.</w:t>
      </w:r>
    </w:p>
    <w:p w14:paraId="4FA8C598" w14:textId="394AB0FE" w:rsidR="002F0133" w:rsidRPr="000B4E2C" w:rsidRDefault="002F0133" w:rsidP="008A7464">
      <w:pPr>
        <w:pStyle w:val="Heading3"/>
      </w:pPr>
      <w:r w:rsidRPr="000B4E2C">
        <w:lastRenderedPageBreak/>
        <w:t>Aetiology, pathology and prognosis</w:t>
      </w:r>
    </w:p>
    <w:p w14:paraId="7C6B8499" w14:textId="77777777" w:rsidR="000B4E2C" w:rsidRPr="000B4E2C" w:rsidRDefault="002F0133" w:rsidP="008A7464">
      <w:pPr>
        <w:rPr>
          <w:rFonts w:eastAsia="Calibri"/>
          <w:lang w:val="en-GB"/>
        </w:rPr>
      </w:pPr>
      <w:r w:rsidRPr="000B4E2C">
        <w:rPr>
          <w:rFonts w:eastAsia="Calibri"/>
          <w:lang w:val="en-GB"/>
        </w:rPr>
        <w:t xml:space="preserve">AKI ranges from minor loss of kidney function to complete kidney failure. In current </w:t>
      </w:r>
      <w:r w:rsidRPr="000B4E2C">
        <w:rPr>
          <w:rFonts w:eastAsia="Calibri"/>
          <w:highlight w:val="magenta"/>
          <w:lang w:val="en-GB"/>
        </w:rPr>
        <w:t>practice</w:t>
      </w:r>
      <w:r w:rsidRPr="000B4E2C">
        <w:rPr>
          <w:rFonts w:eastAsia="Calibri"/>
          <w:lang w:val="en-GB"/>
        </w:rPr>
        <w:t>, reduced kidney function is identified by elevated serum creatinine levels and/or reduced urine output.</w:t>
      </w:r>
    </w:p>
    <w:p w14:paraId="5595D82F" w14:textId="77777777" w:rsidR="000B4E2C" w:rsidRPr="000B4E2C" w:rsidRDefault="002F0133" w:rsidP="008A7464">
      <w:pPr>
        <w:rPr>
          <w:rFonts w:eastAsia="Calibri"/>
          <w:lang w:val="en-GB"/>
        </w:rPr>
      </w:pPr>
      <w:r w:rsidRPr="000B4E2C">
        <w:rPr>
          <w:rFonts w:eastAsia="Calibri"/>
          <w:lang w:val="en-GB"/>
        </w:rPr>
        <w:t>There are many causes of acute kidney injury</w:t>
      </w:r>
      <w:r w:rsidR="005B5026" w:rsidRPr="000B4E2C">
        <w:rPr>
          <w:rFonts w:eastAsia="Calibri"/>
          <w:noProof/>
          <w:vertAlign w:val="superscript"/>
          <w:lang w:val="en-GB"/>
        </w:rPr>
        <w:t>7</w:t>
      </w:r>
      <w:r w:rsidRPr="000B4E2C">
        <w:rPr>
          <w:rFonts w:eastAsia="Calibri"/>
          <w:lang w:val="en-GB"/>
        </w:rPr>
        <w:t>, including:</w:t>
      </w:r>
    </w:p>
    <w:p w14:paraId="32677FB8" w14:textId="43CAC935" w:rsidR="000B4E2C" w:rsidRPr="000B4E2C" w:rsidRDefault="002F0133" w:rsidP="008A7464">
      <w:pPr>
        <w:rPr>
          <w:rFonts w:eastAsia="Calibri"/>
          <w:lang w:val="en-GB"/>
        </w:rPr>
      </w:pPr>
      <w:r w:rsidRPr="000B4E2C">
        <w:rPr>
          <w:rFonts w:eastAsia="Calibri"/>
          <w:b/>
          <w:bCs/>
          <w:lang w:val="en-GB"/>
        </w:rPr>
        <w:t xml:space="preserve">Pre-renal: </w:t>
      </w:r>
      <w:r w:rsidRPr="000B4E2C">
        <w:rPr>
          <w:rFonts w:eastAsia="Calibri"/>
          <w:lang w:val="en-GB"/>
        </w:rPr>
        <w:t>Reduced oxygen delivery to the kidneys, caused by:</w:t>
      </w:r>
    </w:p>
    <w:p w14:paraId="34D8AA46" w14:textId="77777777" w:rsidR="000B4E2C" w:rsidRPr="000B4E2C" w:rsidRDefault="002F0133" w:rsidP="002F0133">
      <w:pPr>
        <w:pStyle w:val="ListParagraph"/>
        <w:numPr>
          <w:ilvl w:val="0"/>
          <w:numId w:val="17"/>
        </w:numPr>
        <w:rPr>
          <w:rFonts w:eastAsia="Calibri"/>
          <w:lang w:val="en-GB"/>
        </w:rPr>
      </w:pPr>
      <w:r w:rsidRPr="000B4E2C">
        <w:rPr>
          <w:rFonts w:eastAsia="Calibri"/>
          <w:lang w:val="en-GB"/>
        </w:rPr>
        <w:t>low blood volume (after bleeding, excessive vomiting or diarrhoea and severe dehydration),</w:t>
      </w:r>
    </w:p>
    <w:p w14:paraId="32FB9F29" w14:textId="77777777" w:rsidR="000B4E2C" w:rsidRPr="000B4E2C" w:rsidRDefault="002F0133" w:rsidP="002F0133">
      <w:pPr>
        <w:pStyle w:val="ListParagraph"/>
        <w:numPr>
          <w:ilvl w:val="0"/>
          <w:numId w:val="17"/>
        </w:numPr>
        <w:rPr>
          <w:rFonts w:eastAsia="Calibri"/>
          <w:lang w:val="en-GB"/>
        </w:rPr>
      </w:pPr>
      <w:r w:rsidRPr="000B4E2C">
        <w:rPr>
          <w:rFonts w:eastAsia="Calibri"/>
          <w:lang w:val="en-GB"/>
        </w:rPr>
        <w:t>reduced blood flow from the heart (potentially caused by sepsis or heart/liver failure)</w:t>
      </w:r>
    </w:p>
    <w:p w14:paraId="30B30F97" w14:textId="77777777" w:rsidR="000B4E2C" w:rsidRPr="000B4E2C" w:rsidRDefault="002F0133" w:rsidP="002F0133">
      <w:pPr>
        <w:pStyle w:val="ListParagraph"/>
        <w:numPr>
          <w:ilvl w:val="0"/>
          <w:numId w:val="17"/>
        </w:numPr>
        <w:rPr>
          <w:rFonts w:eastAsia="Calibri"/>
          <w:lang w:val="en-GB"/>
        </w:rPr>
      </w:pPr>
      <w:r w:rsidRPr="000B4E2C">
        <w:rPr>
          <w:rFonts w:eastAsia="Calibri"/>
          <w:lang w:val="en-GB"/>
        </w:rPr>
        <w:t>damage to blood vessels which can be caused by inflammation or blockages within the kidneys</w:t>
      </w:r>
    </w:p>
    <w:p w14:paraId="62B353E8" w14:textId="77777777" w:rsidR="000B4E2C" w:rsidRPr="000B4E2C" w:rsidRDefault="002F0133" w:rsidP="002F0133">
      <w:pPr>
        <w:pStyle w:val="ListParagraph"/>
        <w:numPr>
          <w:ilvl w:val="0"/>
          <w:numId w:val="17"/>
        </w:numPr>
        <w:rPr>
          <w:rFonts w:eastAsia="Calibri"/>
          <w:lang w:val="en-GB"/>
        </w:rPr>
      </w:pPr>
      <w:r w:rsidRPr="000B4E2C">
        <w:rPr>
          <w:rFonts w:eastAsia="Calibri"/>
          <w:lang w:val="en-GB"/>
        </w:rPr>
        <w:t>medications that affect blood flow to the kidneys</w:t>
      </w:r>
    </w:p>
    <w:p w14:paraId="613A9603" w14:textId="77777777" w:rsidR="000B4E2C" w:rsidRPr="000B4E2C" w:rsidRDefault="002F0133" w:rsidP="008A7464">
      <w:pPr>
        <w:rPr>
          <w:rFonts w:eastAsia="Calibri"/>
          <w:lang w:val="en-GB"/>
        </w:rPr>
      </w:pPr>
      <w:r w:rsidRPr="000B4E2C">
        <w:rPr>
          <w:rFonts w:eastAsia="Calibri"/>
          <w:b/>
          <w:bCs/>
          <w:lang w:val="en-GB"/>
        </w:rPr>
        <w:t xml:space="preserve">Intrinsic/Renal: </w:t>
      </w:r>
      <w:r w:rsidRPr="000B4E2C">
        <w:rPr>
          <w:rFonts w:eastAsia="Calibri"/>
          <w:lang w:val="en-GB"/>
        </w:rPr>
        <w:t>Damage to the kidney potentially caused by drugs, infections or contrast agents</w:t>
      </w:r>
    </w:p>
    <w:p w14:paraId="6D0D3B79" w14:textId="77777777" w:rsidR="000B4E2C" w:rsidRPr="000B4E2C" w:rsidRDefault="002F0133" w:rsidP="008A7464">
      <w:pPr>
        <w:rPr>
          <w:rFonts w:eastAsia="Calibri"/>
          <w:lang w:val="en-GB"/>
        </w:rPr>
      </w:pPr>
      <w:r w:rsidRPr="000B4E2C">
        <w:rPr>
          <w:rFonts w:eastAsia="Calibri"/>
          <w:b/>
          <w:bCs/>
          <w:lang w:val="en-GB"/>
        </w:rPr>
        <w:t xml:space="preserve">Post-renal: </w:t>
      </w:r>
      <w:r w:rsidRPr="000B4E2C">
        <w:rPr>
          <w:rFonts w:eastAsia="Calibri"/>
          <w:lang w:val="en-GB"/>
        </w:rPr>
        <w:t>A blockage preventing drainage from the kidneys (potentially caused by an enlarged prostate, a tumour in the pelvis or kidney stones).</w:t>
      </w:r>
    </w:p>
    <w:p w14:paraId="1578039C" w14:textId="1F99DF03" w:rsidR="002F0133" w:rsidRPr="000B4E2C" w:rsidRDefault="002F0133" w:rsidP="008A7464">
      <w:pPr>
        <w:pStyle w:val="Heading3"/>
      </w:pPr>
      <w:r w:rsidRPr="000B4E2C">
        <w:rPr>
          <w:highlight w:val="magenta"/>
        </w:rPr>
        <w:t>Incidence</w:t>
      </w:r>
      <w:r w:rsidRPr="000B4E2C">
        <w:t xml:space="preserve"> and</w:t>
      </w:r>
      <w:r w:rsidR="000B4E2C" w:rsidRPr="000B4E2C">
        <w:rPr>
          <w:color w:val="00B0F0"/>
        </w:rPr>
        <w:t>/</w:t>
      </w:r>
      <w:r w:rsidRPr="000B4E2C">
        <w:t>or prevalence</w:t>
      </w:r>
    </w:p>
    <w:p w14:paraId="78C618A9" w14:textId="77777777" w:rsidR="000B4E2C" w:rsidRPr="000B4E2C" w:rsidRDefault="002F0133" w:rsidP="008A7464">
      <w:pPr>
        <w:rPr>
          <w:lang w:val="en-GB"/>
        </w:rPr>
      </w:pPr>
      <w:r w:rsidRPr="000B4E2C">
        <w:rPr>
          <w:lang w:val="en-GB"/>
        </w:rPr>
        <w:t>Major surgery is a significant risk factor for the development of acute kidney injury</w:t>
      </w:r>
      <w:r w:rsidR="005B5026" w:rsidRPr="000B4E2C">
        <w:rPr>
          <w:noProof/>
          <w:vertAlign w:val="superscript"/>
          <w:lang w:val="en-GB"/>
        </w:rPr>
        <w:t>4</w:t>
      </w:r>
      <w:r w:rsidRPr="000B4E2C">
        <w:rPr>
          <w:lang w:val="en-GB"/>
        </w:rPr>
        <w:t xml:space="preserve">. In general, </w:t>
      </w:r>
      <w:r w:rsidRPr="000B4E2C">
        <w:rPr>
          <w:highlight w:val="magenta"/>
          <w:lang w:val="en-GB"/>
        </w:rPr>
        <w:t>incidence</w:t>
      </w:r>
      <w:r w:rsidRPr="000B4E2C">
        <w:rPr>
          <w:lang w:val="en-GB"/>
        </w:rPr>
        <w:t xml:space="preserve"> of post-operative AKI depends on the type surgery. Rates of AKI after cardiac surgery have been reported to range from 8% to 40% according to the patient populations</w:t>
      </w:r>
      <w:r w:rsidR="005B5026" w:rsidRPr="000B4E2C">
        <w:rPr>
          <w:noProof/>
          <w:vertAlign w:val="superscript"/>
          <w:lang w:val="en-GB"/>
        </w:rPr>
        <w:t>4</w:t>
      </w:r>
      <w:r w:rsidRPr="000B4E2C">
        <w:rPr>
          <w:lang w:val="en-GB"/>
        </w:rPr>
        <w:t xml:space="preserve">. Recent meta-analyses have reported a pooled </w:t>
      </w:r>
      <w:r w:rsidRPr="000B4E2C">
        <w:rPr>
          <w:highlight w:val="magenta"/>
          <w:lang w:val="en-GB"/>
        </w:rPr>
        <w:t>incidence</w:t>
      </w:r>
      <w:r w:rsidRPr="000B4E2C">
        <w:rPr>
          <w:lang w:val="en-GB"/>
        </w:rPr>
        <w:t xml:space="preserve"> of AKI in patients admitted to intensive care after abdominal surgery of 13.4% (95% CI 10.9% to 16.4%)</w:t>
      </w:r>
      <w:r w:rsidR="005B5026" w:rsidRPr="000B4E2C">
        <w:rPr>
          <w:noProof/>
          <w:vertAlign w:val="superscript"/>
          <w:lang w:val="en-GB"/>
        </w:rPr>
        <w:t>8</w:t>
      </w:r>
      <w:r w:rsidRPr="000B4E2C">
        <w:rPr>
          <w:lang w:val="en-GB"/>
        </w:rPr>
        <w:t xml:space="preserve"> and after major trauma of 24% (95% CI 20% to 29%)</w:t>
      </w:r>
      <w:r w:rsidR="005B5026" w:rsidRPr="000B4E2C">
        <w:rPr>
          <w:noProof/>
          <w:vertAlign w:val="superscript"/>
          <w:lang w:val="en-GB"/>
        </w:rPr>
        <w:t>7</w:t>
      </w:r>
      <w:r w:rsidRPr="000B4E2C">
        <w:rPr>
          <w:lang w:val="en-GB"/>
        </w:rPr>
        <w:t xml:space="preserve"> and 21% (95% CI 16.5% to 24.9%)</w:t>
      </w:r>
      <w:r w:rsidR="00723580" w:rsidRPr="000B4E2C">
        <w:rPr>
          <w:lang w:val="en-GB"/>
        </w:rPr>
        <w:t>.</w:t>
      </w:r>
      <w:r w:rsidR="005B5026" w:rsidRPr="000B4E2C">
        <w:rPr>
          <w:noProof/>
          <w:vertAlign w:val="superscript"/>
          <w:lang w:val="en-GB"/>
        </w:rPr>
        <w:t>9</w:t>
      </w:r>
    </w:p>
    <w:p w14:paraId="24DC1029" w14:textId="77777777" w:rsidR="000B4E2C" w:rsidRPr="000B4E2C" w:rsidRDefault="002F0133" w:rsidP="008A7464">
      <w:pPr>
        <w:rPr>
          <w:lang w:val="en-GB"/>
        </w:rPr>
      </w:pPr>
      <w:r w:rsidRPr="000B4E2C">
        <w:rPr>
          <w:lang w:val="en-GB"/>
        </w:rPr>
        <w:t xml:space="preserve">The </w:t>
      </w:r>
      <w:r w:rsidRPr="000B4E2C">
        <w:rPr>
          <w:highlight w:val="magenta"/>
          <w:lang w:val="en-GB"/>
        </w:rPr>
        <w:t>incidence</w:t>
      </w:r>
      <w:r w:rsidRPr="000B4E2C">
        <w:rPr>
          <w:lang w:val="en-GB"/>
        </w:rPr>
        <w:t xml:space="preserve"> of AKI for all major, non-cardiac surgery patients and trauma patients can be as high as 50% (e.g., liver transplant patients). In a retrospective cohort of over 27,000 patients the </w:t>
      </w:r>
      <w:r w:rsidRPr="000B4E2C">
        <w:rPr>
          <w:highlight w:val="magenta"/>
          <w:lang w:val="en-GB"/>
        </w:rPr>
        <w:t>incidence</w:t>
      </w:r>
      <w:r w:rsidRPr="000B4E2C">
        <w:rPr>
          <w:lang w:val="en-GB"/>
        </w:rPr>
        <w:t xml:space="preserve"> of AKI defined according to the RIFLE criteria was 37%</w:t>
      </w:r>
      <w:r w:rsidR="00723580" w:rsidRPr="000B4E2C">
        <w:rPr>
          <w:lang w:val="en-GB"/>
        </w:rPr>
        <w:t>.</w:t>
      </w:r>
      <w:r w:rsidR="005B5026" w:rsidRPr="000B4E2C">
        <w:rPr>
          <w:noProof/>
          <w:vertAlign w:val="superscript"/>
          <w:lang w:val="en-GB"/>
        </w:rPr>
        <w:t>10, 11</w:t>
      </w:r>
    </w:p>
    <w:p w14:paraId="73B123FB" w14:textId="62AD13C3" w:rsidR="002F0133" w:rsidRPr="000B4E2C" w:rsidRDefault="002F0133" w:rsidP="008A7464">
      <w:pPr>
        <w:pStyle w:val="Heading3"/>
      </w:pPr>
      <w:r w:rsidRPr="000B4E2C">
        <w:t>Impact of health problem</w:t>
      </w:r>
    </w:p>
    <w:p w14:paraId="173723B1" w14:textId="77777777" w:rsidR="000B4E2C" w:rsidRPr="000B4E2C" w:rsidRDefault="002F0133" w:rsidP="008A7464">
      <w:pPr>
        <w:rPr>
          <w:lang w:val="en-GB"/>
        </w:rPr>
      </w:pPr>
      <w:r w:rsidRPr="000B4E2C">
        <w:rPr>
          <w:lang w:val="en-GB"/>
        </w:rPr>
        <w:t>People with AKI have a higher mortality and longer hospital stay</w:t>
      </w:r>
      <w:r w:rsidR="00723580" w:rsidRPr="000B4E2C">
        <w:rPr>
          <w:lang w:val="en-GB"/>
        </w:rPr>
        <w:t>.</w:t>
      </w:r>
      <w:r w:rsidR="005B5026" w:rsidRPr="000B4E2C">
        <w:rPr>
          <w:noProof/>
          <w:vertAlign w:val="superscript"/>
          <w:lang w:val="en-GB"/>
        </w:rPr>
        <w:t>1, 2</w:t>
      </w:r>
      <w:r w:rsidRPr="000B4E2C">
        <w:rPr>
          <w:lang w:val="en-GB"/>
        </w:rPr>
        <w:t xml:space="preserve"> In addition, acute kidney injury is associated with a higher risk of developing chronic kidney disease (CKD) and need for long term dialysis. The risk of CKD increases with severity of acute kidney injury. More severe acute kidney injury has also been associated with increased mortality, length of hospital stay and use of intensive care services, in addition to a reduced chance of renal recovery</w:t>
      </w:r>
      <w:r w:rsidR="00723580" w:rsidRPr="000B4E2C">
        <w:rPr>
          <w:lang w:val="en-GB"/>
        </w:rPr>
        <w:t>.</w:t>
      </w:r>
      <w:r w:rsidR="005B5026" w:rsidRPr="000B4E2C">
        <w:rPr>
          <w:noProof/>
          <w:vertAlign w:val="superscript"/>
          <w:lang w:val="en-GB"/>
        </w:rPr>
        <w:t>1, 2</w:t>
      </w:r>
      <w:r w:rsidR="00723580" w:rsidRPr="000B4E2C">
        <w:rPr>
          <w:lang w:val="en-GB"/>
        </w:rPr>
        <w:t xml:space="preserve"> </w:t>
      </w:r>
      <w:r w:rsidRPr="000B4E2C">
        <w:rPr>
          <w:lang w:val="en-GB"/>
        </w:rPr>
        <w:t>People with more severe acute kidney injury (and a greater loss of renal function) are more likely to need temporary renal replacement therapy.</w:t>
      </w:r>
    </w:p>
    <w:p w14:paraId="170017C1" w14:textId="2964B316" w:rsidR="002F0133" w:rsidRPr="000B4E2C" w:rsidRDefault="002F0133" w:rsidP="008A7464">
      <w:pPr>
        <w:pStyle w:val="Heading3"/>
      </w:pPr>
      <w:r w:rsidRPr="000B4E2C">
        <w:t>Measurement of disease</w:t>
      </w:r>
    </w:p>
    <w:p w14:paraId="5A9C8A73" w14:textId="3071A9D3" w:rsidR="000B4E2C" w:rsidRPr="000B4E2C" w:rsidRDefault="002F0133" w:rsidP="008A7464">
      <w:pPr>
        <w:rPr>
          <w:lang w:val="en-GB"/>
        </w:rPr>
      </w:pPr>
      <w:r w:rsidRPr="000B4E2C">
        <w:rPr>
          <w:lang w:val="en-GB"/>
        </w:rPr>
        <w:t>Several tools are available for determining the stage of AKI. The NICE Clinical Knowledge Summary</w:t>
      </w:r>
      <w:r w:rsidR="005B5026" w:rsidRPr="000B4E2C">
        <w:rPr>
          <w:noProof/>
          <w:vertAlign w:val="superscript"/>
          <w:lang w:val="en-GB"/>
        </w:rPr>
        <w:t>12</w:t>
      </w:r>
      <w:r w:rsidRPr="000B4E2C">
        <w:rPr>
          <w:lang w:val="en-GB"/>
        </w:rPr>
        <w:t xml:space="preserve"> on acute kidney injury outlines a summarised staging system for acute kidney injury in adults based on the RIFLE (Risk, Failure, Loss of kidney function, End-stage disease)</w:t>
      </w:r>
      <w:r w:rsidR="00723580" w:rsidRPr="000B4E2C">
        <w:rPr>
          <w:lang w:val="en-GB"/>
        </w:rPr>
        <w:t>,</w:t>
      </w:r>
      <w:r w:rsidR="005B5026" w:rsidRPr="000B4E2C">
        <w:rPr>
          <w:noProof/>
          <w:vertAlign w:val="superscript"/>
          <w:lang w:val="en-GB"/>
        </w:rPr>
        <w:t>13</w:t>
      </w:r>
      <w:r w:rsidRPr="000B4E2C">
        <w:rPr>
          <w:lang w:val="en-GB"/>
        </w:rPr>
        <w:t xml:space="preserve"> AKIN (Acute Kidney Injury Network)</w:t>
      </w:r>
      <w:r w:rsidR="005B5026" w:rsidRPr="000B4E2C">
        <w:rPr>
          <w:noProof/>
          <w:vertAlign w:val="superscript"/>
          <w:lang w:val="en-GB"/>
        </w:rPr>
        <w:t>14</w:t>
      </w:r>
      <w:r w:rsidRPr="000B4E2C">
        <w:rPr>
          <w:lang w:val="en-GB"/>
        </w:rPr>
        <w:t xml:space="preserve"> and KDIGO (Kidney Disease: Improving Global Outcome)</w:t>
      </w:r>
      <w:r w:rsidR="005B5026" w:rsidRPr="000B4E2C">
        <w:rPr>
          <w:noProof/>
          <w:vertAlign w:val="superscript"/>
          <w:lang w:val="en-GB"/>
        </w:rPr>
        <w:t>15</w:t>
      </w:r>
      <w:r w:rsidRPr="000B4E2C">
        <w:rPr>
          <w:lang w:val="en-GB"/>
        </w:rPr>
        <w:t xml:space="preserve"> systems (see </w:t>
      </w:r>
      <w:r w:rsidR="000B4E2C" w:rsidRPr="000B4E2C">
        <w:rPr>
          <w:i/>
          <w:color w:val="FF0000"/>
          <w:lang w:val="en-GB"/>
        </w:rPr>
        <w:t>T</w:t>
      </w:r>
      <w:r w:rsidR="000B4E2C" w:rsidRPr="000B4E2C">
        <w:rPr>
          <w:i/>
          <w:color w:val="FF0000"/>
          <w:lang w:val="en-GB"/>
        </w:rPr>
        <w:t>able</w:t>
      </w:r>
      <w:r w:rsidR="000B4E2C" w:rsidRPr="000B4E2C">
        <w:rPr>
          <w:i/>
          <w:color w:val="FF0000"/>
          <w:lang w:val="en-GB"/>
        </w:rPr>
        <w:t xml:space="preserve"> </w:t>
      </w:r>
      <w:r w:rsidR="000B4E2C" w:rsidRPr="000B4E2C">
        <w:rPr>
          <w:i/>
          <w:color w:val="FF0000"/>
          <w:lang w:val="en-GB"/>
        </w:rPr>
        <w:t>1</w:t>
      </w:r>
      <w:r w:rsidRPr="000B4E2C">
        <w:rPr>
          <w:lang w:val="en-GB"/>
        </w:rPr>
        <w:t xml:space="preserve"> below). A patient</w:t>
      </w:r>
      <w:r w:rsidR="0072128A" w:rsidRPr="000B4E2C">
        <w:rPr>
          <w:color w:val="00B0F0"/>
          <w:lang w:val="en-GB"/>
        </w:rPr>
        <w:t>$$SingleQuoteE$$</w:t>
      </w:r>
      <w:r w:rsidRPr="000B4E2C">
        <w:rPr>
          <w:lang w:val="en-GB"/>
        </w:rPr>
        <w:t>s acute kidney injury should be staged by the criterion, and a classification of stage 1 or above indicates acute kidney injury.</w:t>
      </w:r>
    </w:p>
    <w:p w14:paraId="2B66ADB1" w14:textId="35FBDFBB" w:rsidR="002F0133" w:rsidRPr="000B4E2C" w:rsidRDefault="000B4E2C" w:rsidP="008A7464">
      <w:pPr>
        <w:pStyle w:val="Heading2"/>
      </w:pPr>
      <w:r w:rsidRPr="000B4E2C">
        <w:rPr>
          <w:i/>
          <w:color w:val="FF0000"/>
        </w:rPr>
        <w:lastRenderedPageBreak/>
        <w:t>T</w:t>
      </w:r>
      <w:r w:rsidRPr="000B4E2C">
        <w:rPr>
          <w:i/>
          <w:color w:val="FF0000"/>
        </w:rPr>
        <w:t>able</w:t>
      </w:r>
      <w:r w:rsidRPr="000B4E2C">
        <w:rPr>
          <w:i/>
          <w:color w:val="FF0000"/>
        </w:rPr>
        <w:t xml:space="preserve"> </w:t>
      </w:r>
      <w:r w:rsidRPr="000B4E2C">
        <w:rPr>
          <w:i/>
          <w:color w:val="FF0000"/>
        </w:rPr>
        <w:t>1</w:t>
      </w:r>
      <w:r w:rsidRPr="000B4E2C">
        <w:t xml:space="preserve"> </w:t>
      </w:r>
      <w:r w:rsidR="002F0133" w:rsidRPr="000B4E2C">
        <w:t>Summary of the staging system for acute kidney injury in adults (based on the KDIGO, RIFLE and AKIN systems)</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018"/>
        <w:gridCol w:w="634"/>
        <w:gridCol w:w="7374"/>
      </w:tblGrid>
      <w:tr w:rsidR="002F0133" w:rsidRPr="000B4E2C" w14:paraId="796FBB9F" w14:textId="77777777" w:rsidTr="000B4E2C">
        <w:trPr>
          <w:cantSplit/>
          <w:tblHeader/>
        </w:trPr>
        <w:tc>
          <w:tcPr>
            <w:tcW w:w="0" w:type="auto"/>
            <w:shd w:val="clear" w:color="auto" w:fill="auto"/>
          </w:tcPr>
          <w:p w14:paraId="1D221686" w14:textId="77777777" w:rsidR="002F0133" w:rsidRPr="000B4E2C" w:rsidRDefault="002F0133" w:rsidP="008A7464">
            <w:pPr>
              <w:rPr>
                <w:b/>
                <w:sz w:val="22"/>
                <w:lang w:val="en-GB"/>
              </w:rPr>
            </w:pPr>
            <w:r w:rsidRPr="000B4E2C">
              <w:rPr>
                <w:b/>
                <w:sz w:val="22"/>
                <w:lang w:val="en-GB"/>
              </w:rPr>
              <w:t xml:space="preserve">Criteria </w:t>
            </w:r>
          </w:p>
        </w:tc>
        <w:tc>
          <w:tcPr>
            <w:tcW w:w="0" w:type="auto"/>
            <w:shd w:val="clear" w:color="auto" w:fill="auto"/>
          </w:tcPr>
          <w:p w14:paraId="3FC6E780" w14:textId="77777777" w:rsidR="002F0133" w:rsidRPr="000B4E2C" w:rsidRDefault="002F0133" w:rsidP="008A7464">
            <w:pPr>
              <w:rPr>
                <w:b/>
                <w:sz w:val="22"/>
                <w:lang w:val="en-GB"/>
              </w:rPr>
            </w:pPr>
            <w:r w:rsidRPr="000B4E2C">
              <w:rPr>
                <w:b/>
                <w:sz w:val="22"/>
                <w:lang w:val="en-GB"/>
              </w:rPr>
              <w:t>Stage</w:t>
            </w:r>
          </w:p>
        </w:tc>
        <w:tc>
          <w:tcPr>
            <w:tcW w:w="0" w:type="auto"/>
            <w:shd w:val="clear" w:color="auto" w:fill="auto"/>
          </w:tcPr>
          <w:p w14:paraId="4CABE4A7" w14:textId="77777777" w:rsidR="002F0133" w:rsidRPr="000B4E2C" w:rsidRDefault="002F0133" w:rsidP="008A7464">
            <w:pPr>
              <w:rPr>
                <w:b/>
                <w:sz w:val="22"/>
                <w:lang w:val="en-GB"/>
              </w:rPr>
            </w:pPr>
            <w:r w:rsidRPr="000B4E2C">
              <w:rPr>
                <w:b/>
                <w:sz w:val="22"/>
                <w:lang w:val="en-GB"/>
              </w:rPr>
              <w:t>Definition</w:t>
            </w:r>
          </w:p>
        </w:tc>
      </w:tr>
      <w:tr w:rsidR="002F0133" w:rsidRPr="000B4E2C" w14:paraId="1B5D50C7" w14:textId="77777777" w:rsidTr="000B4E2C">
        <w:trPr>
          <w:cantSplit/>
          <w:tblHeader/>
        </w:trPr>
        <w:tc>
          <w:tcPr>
            <w:tcW w:w="0" w:type="auto"/>
            <w:vMerge w:val="restart"/>
            <w:shd w:val="clear" w:color="auto" w:fill="auto"/>
          </w:tcPr>
          <w:p w14:paraId="4E7DC49D" w14:textId="71257B76" w:rsidR="002F0133" w:rsidRPr="000B4E2C" w:rsidRDefault="002F0133" w:rsidP="008A7464">
            <w:pPr>
              <w:rPr>
                <w:b/>
                <w:sz w:val="22"/>
                <w:lang w:val="en-GB"/>
              </w:rPr>
            </w:pPr>
            <w:r w:rsidRPr="000B4E2C">
              <w:rPr>
                <w:b/>
                <w:sz w:val="22"/>
                <w:lang w:val="en-GB"/>
              </w:rPr>
              <w:t>KDIGO</w:t>
            </w:r>
            <w:r w:rsidR="005B5026" w:rsidRPr="000B4E2C">
              <w:rPr>
                <w:b/>
                <w:noProof/>
                <w:sz w:val="22"/>
                <w:vertAlign w:val="superscript"/>
                <w:lang w:val="en-GB"/>
              </w:rPr>
              <w:t>15</w:t>
            </w:r>
          </w:p>
        </w:tc>
        <w:tc>
          <w:tcPr>
            <w:tcW w:w="0" w:type="auto"/>
            <w:shd w:val="clear" w:color="auto" w:fill="auto"/>
          </w:tcPr>
          <w:p w14:paraId="49EC8CA2" w14:textId="77777777" w:rsidR="002F0133" w:rsidRPr="000B4E2C" w:rsidRDefault="002F0133" w:rsidP="008A7464">
            <w:pPr>
              <w:rPr>
                <w:sz w:val="22"/>
                <w:lang w:val="en-GB"/>
              </w:rPr>
            </w:pPr>
            <w:r w:rsidRPr="000B4E2C">
              <w:rPr>
                <w:sz w:val="22"/>
                <w:lang w:val="en-GB"/>
              </w:rPr>
              <w:t>1</w:t>
            </w:r>
          </w:p>
        </w:tc>
        <w:tc>
          <w:tcPr>
            <w:tcW w:w="0" w:type="auto"/>
            <w:shd w:val="clear" w:color="auto" w:fill="auto"/>
          </w:tcPr>
          <w:p w14:paraId="12DBF547" w14:textId="0C6009CC" w:rsidR="002F0133" w:rsidRPr="000B4E2C" w:rsidRDefault="002F0133" w:rsidP="008A7464">
            <w:pPr>
              <w:rPr>
                <w:sz w:val="22"/>
                <w:lang w:val="en-GB"/>
              </w:rPr>
            </w:pPr>
            <w:r w:rsidRPr="000B4E2C">
              <w:rPr>
                <w:sz w:val="22"/>
                <w:lang w:val="en-GB"/>
              </w:rPr>
              <w:t>Creatinine rise of 26 micromol or more within 48 hours</w:t>
            </w:r>
            <w:r w:rsidR="000B4E2C" w:rsidRPr="000B4E2C">
              <w:rPr>
                <w:sz w:val="22"/>
                <w:lang w:val="en-GB"/>
              </w:rPr>
              <w:t xml:space="preserve"> </w:t>
            </w:r>
            <w:r w:rsidRPr="000B4E2C">
              <w:rPr>
                <w:sz w:val="22"/>
                <w:lang w:val="en-GB"/>
              </w:rPr>
              <w:t>OR Creatinine rise of 50–99% from baseline within 7 days* (1.50–1.99 x baseline)</w:t>
            </w:r>
            <w:r w:rsidR="000B4E2C" w:rsidRPr="000B4E2C">
              <w:rPr>
                <w:sz w:val="22"/>
                <w:lang w:val="en-GB"/>
              </w:rPr>
              <w:t xml:space="preserve"> </w:t>
            </w:r>
            <w:r w:rsidRPr="000B4E2C">
              <w:rPr>
                <w:sz w:val="22"/>
                <w:lang w:val="en-GB"/>
              </w:rPr>
              <w:t xml:space="preserve">OR Urine output** </w:t>
            </w:r>
            <w:r w:rsidR="000B4E2C" w:rsidRPr="000B4E2C">
              <w:rPr>
                <w:color w:val="00B0F0"/>
                <w:sz w:val="22"/>
                <w:lang w:val="en-GB"/>
              </w:rPr>
              <w:t>&lt;</w:t>
            </w:r>
            <w:r w:rsidR="000B4E2C" w:rsidRPr="000B4E2C">
              <w:rPr>
                <w:color w:val="00B0F0"/>
                <w:sz w:val="22"/>
                <w:lang w:val="en-GB"/>
              </w:rPr>
              <w:t> </w:t>
            </w:r>
            <w:r w:rsidRPr="000B4E2C">
              <w:rPr>
                <w:sz w:val="22"/>
                <w:lang w:val="en-GB"/>
              </w:rPr>
              <w:t>0.5 mL/kg/h for more than 6 hours</w:t>
            </w:r>
          </w:p>
        </w:tc>
      </w:tr>
      <w:tr w:rsidR="002F0133" w:rsidRPr="000B4E2C" w14:paraId="12590122" w14:textId="77777777" w:rsidTr="000B4E2C">
        <w:trPr>
          <w:cantSplit/>
          <w:tblHeader/>
        </w:trPr>
        <w:tc>
          <w:tcPr>
            <w:tcW w:w="0" w:type="auto"/>
            <w:vMerge/>
            <w:shd w:val="clear" w:color="auto" w:fill="auto"/>
          </w:tcPr>
          <w:p w14:paraId="65F0ADAB" w14:textId="77777777" w:rsidR="002F0133" w:rsidRPr="000B4E2C" w:rsidRDefault="002F0133" w:rsidP="008A7464">
            <w:pPr>
              <w:rPr>
                <w:sz w:val="22"/>
                <w:lang w:val="en-GB"/>
              </w:rPr>
            </w:pPr>
          </w:p>
        </w:tc>
        <w:tc>
          <w:tcPr>
            <w:tcW w:w="0" w:type="auto"/>
            <w:shd w:val="clear" w:color="auto" w:fill="auto"/>
          </w:tcPr>
          <w:p w14:paraId="5D436EFB" w14:textId="77777777" w:rsidR="002F0133" w:rsidRPr="000B4E2C" w:rsidRDefault="002F0133" w:rsidP="008A7464">
            <w:pPr>
              <w:rPr>
                <w:sz w:val="22"/>
                <w:lang w:val="en-GB"/>
              </w:rPr>
            </w:pPr>
            <w:r w:rsidRPr="000B4E2C">
              <w:rPr>
                <w:sz w:val="22"/>
                <w:lang w:val="en-GB"/>
              </w:rPr>
              <w:t>2</w:t>
            </w:r>
          </w:p>
        </w:tc>
        <w:tc>
          <w:tcPr>
            <w:tcW w:w="0" w:type="auto"/>
            <w:shd w:val="clear" w:color="auto" w:fill="auto"/>
          </w:tcPr>
          <w:p w14:paraId="7F0588AB" w14:textId="3E334AFD" w:rsidR="002F0133" w:rsidRPr="000B4E2C" w:rsidRDefault="002F0133" w:rsidP="008A7464">
            <w:pPr>
              <w:rPr>
                <w:sz w:val="22"/>
                <w:lang w:val="en-GB"/>
              </w:rPr>
            </w:pPr>
            <w:r w:rsidRPr="000B4E2C">
              <w:rPr>
                <w:sz w:val="22"/>
                <w:lang w:val="en-GB"/>
              </w:rPr>
              <w:t>100–199% creatinine rise from baseline within 7 days* (2.00–2.99 x baseline)</w:t>
            </w:r>
            <w:r w:rsidR="000B4E2C" w:rsidRPr="000B4E2C">
              <w:rPr>
                <w:sz w:val="22"/>
                <w:lang w:val="en-GB"/>
              </w:rPr>
              <w:t xml:space="preserve"> </w:t>
            </w:r>
            <w:r w:rsidRPr="000B4E2C">
              <w:rPr>
                <w:sz w:val="22"/>
                <w:lang w:val="en-GB"/>
              </w:rPr>
              <w:t xml:space="preserve">OR Urine output** </w:t>
            </w:r>
            <w:r w:rsidR="000B4E2C" w:rsidRPr="000B4E2C">
              <w:rPr>
                <w:color w:val="00B0F0"/>
                <w:sz w:val="22"/>
                <w:lang w:val="en-GB"/>
              </w:rPr>
              <w:t>&lt;</w:t>
            </w:r>
            <w:r w:rsidR="000B4E2C" w:rsidRPr="000B4E2C">
              <w:rPr>
                <w:color w:val="00B0F0"/>
                <w:sz w:val="22"/>
                <w:lang w:val="en-GB"/>
              </w:rPr>
              <w:t> </w:t>
            </w:r>
            <w:r w:rsidRPr="000B4E2C">
              <w:rPr>
                <w:sz w:val="22"/>
                <w:lang w:val="en-GB"/>
              </w:rPr>
              <w:t>0.5 mL/kg/hour for more than 12 hours</w:t>
            </w:r>
          </w:p>
        </w:tc>
      </w:tr>
      <w:tr w:rsidR="002F0133" w:rsidRPr="000B4E2C" w14:paraId="703ECC0D" w14:textId="77777777" w:rsidTr="000B4E2C">
        <w:trPr>
          <w:cantSplit/>
          <w:tblHeader/>
        </w:trPr>
        <w:tc>
          <w:tcPr>
            <w:tcW w:w="0" w:type="auto"/>
            <w:vMerge/>
            <w:shd w:val="clear" w:color="auto" w:fill="auto"/>
          </w:tcPr>
          <w:p w14:paraId="7B8D3650" w14:textId="77777777" w:rsidR="002F0133" w:rsidRPr="000B4E2C" w:rsidRDefault="002F0133" w:rsidP="008A7464">
            <w:pPr>
              <w:rPr>
                <w:sz w:val="22"/>
                <w:lang w:val="en-GB"/>
              </w:rPr>
            </w:pPr>
          </w:p>
        </w:tc>
        <w:tc>
          <w:tcPr>
            <w:tcW w:w="0" w:type="auto"/>
            <w:shd w:val="clear" w:color="auto" w:fill="auto"/>
          </w:tcPr>
          <w:p w14:paraId="73698768" w14:textId="77777777" w:rsidR="002F0133" w:rsidRPr="000B4E2C" w:rsidRDefault="002F0133" w:rsidP="008A7464">
            <w:pPr>
              <w:rPr>
                <w:sz w:val="22"/>
                <w:lang w:val="en-GB"/>
              </w:rPr>
            </w:pPr>
            <w:r w:rsidRPr="000B4E2C">
              <w:rPr>
                <w:sz w:val="22"/>
                <w:lang w:val="en-GB"/>
              </w:rPr>
              <w:t>3</w:t>
            </w:r>
          </w:p>
        </w:tc>
        <w:tc>
          <w:tcPr>
            <w:tcW w:w="0" w:type="auto"/>
            <w:shd w:val="clear" w:color="auto" w:fill="auto"/>
          </w:tcPr>
          <w:p w14:paraId="327C93CC" w14:textId="6E2057AE" w:rsidR="002F0133" w:rsidRPr="000B4E2C" w:rsidRDefault="002F0133" w:rsidP="008A7464">
            <w:pPr>
              <w:rPr>
                <w:sz w:val="22"/>
                <w:lang w:val="en-GB"/>
              </w:rPr>
            </w:pPr>
            <w:r w:rsidRPr="000B4E2C">
              <w:rPr>
                <w:sz w:val="22"/>
                <w:lang w:val="en-GB"/>
              </w:rPr>
              <w:t>200% or more creatinine rise from baseline within 7 days* (3.00 or more x baseline)</w:t>
            </w:r>
            <w:r w:rsidR="000B4E2C" w:rsidRPr="000B4E2C">
              <w:rPr>
                <w:sz w:val="22"/>
                <w:lang w:val="en-GB"/>
              </w:rPr>
              <w:t xml:space="preserve"> </w:t>
            </w:r>
            <w:r w:rsidRPr="000B4E2C">
              <w:rPr>
                <w:sz w:val="22"/>
                <w:lang w:val="en-GB"/>
              </w:rPr>
              <w:t>OR Creatinine rise to 354 micromol/L or more with acute rise of 26 micromol/L or more within 48 hours or 50% or more rise within 7 days</w:t>
            </w:r>
            <w:r w:rsidR="000B4E2C" w:rsidRPr="000B4E2C">
              <w:rPr>
                <w:sz w:val="22"/>
                <w:lang w:val="en-GB"/>
              </w:rPr>
              <w:t xml:space="preserve"> </w:t>
            </w:r>
            <w:r w:rsidRPr="000B4E2C">
              <w:rPr>
                <w:sz w:val="22"/>
                <w:lang w:val="en-GB"/>
              </w:rPr>
              <w:t xml:space="preserve">OR Urine output** </w:t>
            </w:r>
            <w:r w:rsidR="000B4E2C" w:rsidRPr="000B4E2C">
              <w:rPr>
                <w:color w:val="00B0F0"/>
                <w:sz w:val="22"/>
                <w:lang w:val="en-GB"/>
              </w:rPr>
              <w:t>&lt;</w:t>
            </w:r>
            <w:r w:rsidR="000B4E2C" w:rsidRPr="000B4E2C">
              <w:rPr>
                <w:color w:val="00B0F0"/>
                <w:sz w:val="22"/>
                <w:lang w:val="en-GB"/>
              </w:rPr>
              <w:t> </w:t>
            </w:r>
            <w:r w:rsidRPr="000B4E2C">
              <w:rPr>
                <w:sz w:val="22"/>
                <w:lang w:val="en-GB"/>
              </w:rPr>
              <w:t xml:space="preserve">0.3 mL/kg/hour for 24 hours or anuria for 12 hours </w:t>
            </w:r>
          </w:p>
        </w:tc>
      </w:tr>
      <w:tr w:rsidR="002F0133" w:rsidRPr="000B4E2C" w14:paraId="007248FD" w14:textId="77777777" w:rsidTr="000B4E2C">
        <w:trPr>
          <w:cantSplit/>
          <w:tblHeader/>
        </w:trPr>
        <w:tc>
          <w:tcPr>
            <w:tcW w:w="0" w:type="auto"/>
            <w:vMerge w:val="restart"/>
            <w:shd w:val="clear" w:color="auto" w:fill="auto"/>
          </w:tcPr>
          <w:p w14:paraId="342711D9" w14:textId="4B433769" w:rsidR="002F0133" w:rsidRPr="000B4E2C" w:rsidRDefault="002F0133" w:rsidP="008A7464">
            <w:pPr>
              <w:rPr>
                <w:b/>
                <w:sz w:val="22"/>
                <w:lang w:val="en-GB"/>
              </w:rPr>
            </w:pPr>
            <w:r w:rsidRPr="000B4E2C">
              <w:rPr>
                <w:b/>
                <w:sz w:val="22"/>
                <w:lang w:val="en-GB"/>
              </w:rPr>
              <w:t>RIFLE</w:t>
            </w:r>
            <w:r w:rsidR="005B5026" w:rsidRPr="000B4E2C">
              <w:rPr>
                <w:b/>
                <w:noProof/>
                <w:sz w:val="22"/>
                <w:vertAlign w:val="superscript"/>
                <w:lang w:val="en-GB"/>
              </w:rPr>
              <w:t>13</w:t>
            </w:r>
          </w:p>
        </w:tc>
        <w:tc>
          <w:tcPr>
            <w:tcW w:w="0" w:type="auto"/>
            <w:shd w:val="clear" w:color="auto" w:fill="auto"/>
          </w:tcPr>
          <w:p w14:paraId="59E486E0" w14:textId="77777777" w:rsidR="002F0133" w:rsidRPr="000B4E2C" w:rsidRDefault="002F0133" w:rsidP="008A7464">
            <w:pPr>
              <w:rPr>
                <w:sz w:val="22"/>
                <w:lang w:val="en-GB"/>
              </w:rPr>
            </w:pPr>
            <w:r w:rsidRPr="000B4E2C">
              <w:rPr>
                <w:sz w:val="22"/>
                <w:lang w:val="en-GB"/>
              </w:rPr>
              <w:t>R</w:t>
            </w:r>
          </w:p>
        </w:tc>
        <w:tc>
          <w:tcPr>
            <w:tcW w:w="0" w:type="auto"/>
            <w:shd w:val="clear" w:color="auto" w:fill="auto"/>
          </w:tcPr>
          <w:p w14:paraId="2F171F6F" w14:textId="6B9B2899" w:rsidR="002F0133" w:rsidRPr="000B4E2C" w:rsidRDefault="000B4E2C" w:rsidP="008A7464">
            <w:pPr>
              <w:rPr>
                <w:rFonts w:eastAsia="AdvTTd877c31c+22"/>
                <w:sz w:val="22"/>
                <w:lang w:val="en-GB"/>
              </w:rPr>
            </w:pPr>
            <w:r w:rsidRPr="000B4E2C">
              <w:rPr>
                <w:rFonts w:eastAsia="AdvTTd877c31c+22"/>
                <w:color w:val="00B0F0"/>
                <w:sz w:val="22"/>
                <w:lang w:val="en-GB"/>
              </w:rPr>
              <w:t>≥</w:t>
            </w:r>
            <w:r w:rsidRPr="000B4E2C">
              <w:rPr>
                <w:rFonts w:eastAsia="AdvTTd877c31c+22"/>
                <w:color w:val="00B0F0"/>
                <w:sz w:val="22"/>
                <w:lang w:val="en-GB"/>
              </w:rPr>
              <w:t> </w:t>
            </w:r>
            <w:r w:rsidR="002F0133" w:rsidRPr="000B4E2C">
              <w:rPr>
                <w:rFonts w:eastAsia="AdvTTd877c31c+22"/>
                <w:sz w:val="22"/>
                <w:lang w:val="en-GB"/>
              </w:rPr>
              <w:t xml:space="preserve">1.5- and </w:t>
            </w:r>
            <w:r w:rsidRPr="000B4E2C">
              <w:rPr>
                <w:rFonts w:eastAsia="AdvTTd877c31c+22"/>
                <w:color w:val="00B0F0"/>
                <w:sz w:val="22"/>
                <w:lang w:val="en-GB"/>
              </w:rPr>
              <w:t>&lt;</w:t>
            </w:r>
            <w:r w:rsidRPr="000B4E2C">
              <w:rPr>
                <w:rFonts w:eastAsia="AdvTTd877c31c+22"/>
                <w:color w:val="00B0F0"/>
                <w:sz w:val="22"/>
                <w:lang w:val="en-GB"/>
              </w:rPr>
              <w:t> </w:t>
            </w:r>
            <w:r w:rsidR="002F0133" w:rsidRPr="000B4E2C">
              <w:rPr>
                <w:rFonts w:eastAsia="AdvTTd877c31c+22"/>
                <w:sz w:val="22"/>
                <w:lang w:val="en-GB"/>
              </w:rPr>
              <w:t xml:space="preserve">2-fold increase from baseline SCr or </w:t>
            </w:r>
            <w:r w:rsidRPr="000B4E2C">
              <w:rPr>
                <w:rFonts w:eastAsia="AdvTTd877c31c+22"/>
                <w:color w:val="00B0F0"/>
                <w:sz w:val="22"/>
                <w:lang w:val="en-GB"/>
              </w:rPr>
              <w:t>≥</w:t>
            </w:r>
            <w:r w:rsidRPr="000B4E2C">
              <w:rPr>
                <w:rFonts w:eastAsia="AdvTTd877c31c+22"/>
                <w:color w:val="00B0F0"/>
                <w:sz w:val="22"/>
                <w:lang w:val="en-GB"/>
              </w:rPr>
              <w:t> </w:t>
            </w:r>
            <w:r w:rsidR="002F0133" w:rsidRPr="000B4E2C">
              <w:rPr>
                <w:rFonts w:eastAsia="AdvTTd877c31c+22"/>
                <w:sz w:val="22"/>
                <w:lang w:val="en-GB"/>
              </w:rPr>
              <w:t>25% fall in GFR from baseline</w:t>
            </w:r>
          </w:p>
          <w:p w14:paraId="251DB9EC" w14:textId="4FC01762" w:rsidR="002F0133" w:rsidRPr="000B4E2C" w:rsidRDefault="002F0133" w:rsidP="008A7464">
            <w:pPr>
              <w:rPr>
                <w:rFonts w:eastAsia="AdvTTd877c31c+22"/>
                <w:sz w:val="22"/>
                <w:lang w:val="en-GB"/>
              </w:rPr>
            </w:pPr>
            <w:r w:rsidRPr="000B4E2C">
              <w:rPr>
                <w:rFonts w:eastAsia="AdvTTd877c31c+22"/>
                <w:sz w:val="22"/>
                <w:lang w:val="en-GB"/>
              </w:rPr>
              <w:t xml:space="preserve">or urine output </w:t>
            </w:r>
            <w:r w:rsidR="000B4E2C" w:rsidRPr="000B4E2C">
              <w:rPr>
                <w:rFonts w:eastAsia="AdvTTd877c31c+22"/>
                <w:color w:val="00B0F0"/>
                <w:sz w:val="22"/>
                <w:lang w:val="en-GB"/>
              </w:rPr>
              <w:t>&lt;</w:t>
            </w:r>
            <w:r w:rsidR="000B4E2C" w:rsidRPr="000B4E2C">
              <w:rPr>
                <w:rFonts w:eastAsia="AdvTTd877c31c+22"/>
                <w:color w:val="00B0F0"/>
                <w:sz w:val="22"/>
                <w:lang w:val="en-GB"/>
              </w:rPr>
              <w:t> </w:t>
            </w:r>
            <w:r w:rsidRPr="000B4E2C">
              <w:rPr>
                <w:rFonts w:eastAsia="AdvTTd877c31c+22"/>
                <w:sz w:val="22"/>
                <w:lang w:val="en-GB"/>
              </w:rPr>
              <w:t xml:space="preserve">0.5 ml/kg/hour for </w:t>
            </w:r>
            <w:r w:rsidR="000B4E2C" w:rsidRPr="000B4E2C">
              <w:rPr>
                <w:rFonts w:eastAsia="AdvTTd877c31c+22"/>
                <w:color w:val="00B0F0"/>
                <w:sz w:val="22"/>
                <w:lang w:val="en-GB"/>
              </w:rPr>
              <w:t>≥</w:t>
            </w:r>
            <w:r w:rsidR="000B4E2C" w:rsidRPr="000B4E2C">
              <w:rPr>
                <w:rFonts w:eastAsia="AdvTTd877c31c+22"/>
                <w:color w:val="00B0F0"/>
                <w:sz w:val="22"/>
                <w:lang w:val="en-GB"/>
              </w:rPr>
              <w:t> </w:t>
            </w:r>
            <w:r w:rsidRPr="000B4E2C">
              <w:rPr>
                <w:rFonts w:eastAsia="AdvTTd877c31c+22"/>
                <w:sz w:val="22"/>
                <w:lang w:val="en-GB"/>
              </w:rPr>
              <w:t xml:space="preserve">6 and </w:t>
            </w:r>
            <w:r w:rsidR="000B4E2C" w:rsidRPr="000B4E2C">
              <w:rPr>
                <w:rFonts w:eastAsia="AdvTTd877c31c+22"/>
                <w:color w:val="00B0F0"/>
                <w:sz w:val="22"/>
                <w:lang w:val="en-GB"/>
              </w:rPr>
              <w:t>&lt;</w:t>
            </w:r>
            <w:r w:rsidR="000B4E2C" w:rsidRPr="000B4E2C">
              <w:rPr>
                <w:rFonts w:eastAsia="AdvTTd877c31c+22"/>
                <w:color w:val="00B0F0"/>
                <w:sz w:val="22"/>
                <w:lang w:val="en-GB"/>
              </w:rPr>
              <w:t> </w:t>
            </w:r>
            <w:r w:rsidRPr="000B4E2C">
              <w:rPr>
                <w:rFonts w:eastAsia="AdvTTd877c31c+22"/>
                <w:sz w:val="22"/>
                <w:lang w:val="en-GB"/>
              </w:rPr>
              <w:t>12 hours</w:t>
            </w:r>
            <w:r w:rsidRPr="000B4E2C">
              <w:rPr>
                <w:rFonts w:eastAsiaTheme="minorHAnsi"/>
                <w:sz w:val="22"/>
                <w:lang w:val="en-GB"/>
              </w:rPr>
              <w:t xml:space="preserve"> </w:t>
            </w:r>
          </w:p>
        </w:tc>
      </w:tr>
      <w:tr w:rsidR="002F0133" w:rsidRPr="000B4E2C" w14:paraId="004D51A1" w14:textId="77777777" w:rsidTr="000B4E2C">
        <w:trPr>
          <w:cantSplit/>
          <w:tblHeader/>
        </w:trPr>
        <w:tc>
          <w:tcPr>
            <w:tcW w:w="0" w:type="auto"/>
            <w:vMerge/>
            <w:shd w:val="clear" w:color="auto" w:fill="auto"/>
          </w:tcPr>
          <w:p w14:paraId="3B66B281" w14:textId="77777777" w:rsidR="002F0133" w:rsidRPr="000B4E2C" w:rsidRDefault="002F0133" w:rsidP="008A7464">
            <w:pPr>
              <w:rPr>
                <w:sz w:val="22"/>
                <w:lang w:val="en-GB"/>
              </w:rPr>
            </w:pPr>
          </w:p>
        </w:tc>
        <w:tc>
          <w:tcPr>
            <w:tcW w:w="0" w:type="auto"/>
            <w:shd w:val="clear" w:color="auto" w:fill="auto"/>
          </w:tcPr>
          <w:p w14:paraId="6DDAD93A" w14:textId="77777777" w:rsidR="002F0133" w:rsidRPr="000B4E2C" w:rsidRDefault="002F0133" w:rsidP="008A7464">
            <w:pPr>
              <w:rPr>
                <w:sz w:val="22"/>
                <w:lang w:val="en-GB"/>
              </w:rPr>
            </w:pPr>
            <w:r w:rsidRPr="000B4E2C">
              <w:rPr>
                <w:sz w:val="22"/>
                <w:lang w:val="en-GB"/>
              </w:rPr>
              <w:t>I</w:t>
            </w:r>
          </w:p>
        </w:tc>
        <w:tc>
          <w:tcPr>
            <w:tcW w:w="0" w:type="auto"/>
            <w:shd w:val="clear" w:color="auto" w:fill="auto"/>
          </w:tcPr>
          <w:p w14:paraId="7FCC6D9E" w14:textId="1CE07373" w:rsidR="002F0133" w:rsidRPr="000B4E2C" w:rsidRDefault="000B4E2C" w:rsidP="008A7464">
            <w:pPr>
              <w:rPr>
                <w:rFonts w:eastAsiaTheme="minorHAnsi"/>
                <w:sz w:val="22"/>
                <w:lang w:val="en-GB"/>
              </w:rPr>
            </w:pPr>
            <w:r w:rsidRPr="000B4E2C">
              <w:rPr>
                <w:rFonts w:eastAsia="AdvTTd877c31c+22"/>
                <w:color w:val="00B0F0"/>
                <w:sz w:val="22"/>
                <w:lang w:val="en-GB"/>
              </w:rPr>
              <w:t>≥</w:t>
            </w:r>
            <w:r w:rsidRPr="000B4E2C">
              <w:rPr>
                <w:rFonts w:eastAsia="AdvTTd877c31c+22"/>
                <w:color w:val="00B0F0"/>
                <w:sz w:val="22"/>
                <w:lang w:val="en-GB"/>
              </w:rPr>
              <w:t> </w:t>
            </w:r>
            <w:r w:rsidR="002F0133" w:rsidRPr="000B4E2C">
              <w:rPr>
                <w:rFonts w:eastAsiaTheme="minorHAnsi"/>
                <w:sz w:val="22"/>
                <w:lang w:val="en-GB"/>
              </w:rPr>
              <w:t xml:space="preserve">2- and </w:t>
            </w:r>
            <w:r w:rsidRPr="000B4E2C">
              <w:rPr>
                <w:rFonts w:eastAsiaTheme="minorHAnsi"/>
                <w:color w:val="00B0F0"/>
                <w:sz w:val="22"/>
                <w:lang w:val="en-GB"/>
              </w:rPr>
              <w:t>&lt;</w:t>
            </w:r>
            <w:r w:rsidRPr="000B4E2C">
              <w:rPr>
                <w:rFonts w:eastAsiaTheme="minorHAnsi"/>
                <w:color w:val="00B0F0"/>
                <w:sz w:val="22"/>
                <w:lang w:val="en-GB"/>
              </w:rPr>
              <w:t> </w:t>
            </w:r>
            <w:r w:rsidR="002F0133" w:rsidRPr="000B4E2C">
              <w:rPr>
                <w:rFonts w:eastAsiaTheme="minorHAnsi"/>
                <w:sz w:val="22"/>
                <w:lang w:val="en-GB"/>
              </w:rPr>
              <w:t xml:space="preserve">3-fold increase from baseline SCr or </w:t>
            </w:r>
            <w:r w:rsidRPr="000B4E2C">
              <w:rPr>
                <w:rFonts w:eastAsia="AdvTTd877c31c+22"/>
                <w:color w:val="00B0F0"/>
                <w:sz w:val="22"/>
                <w:lang w:val="en-GB"/>
              </w:rPr>
              <w:t>≥</w:t>
            </w:r>
            <w:r w:rsidRPr="000B4E2C">
              <w:rPr>
                <w:rFonts w:eastAsia="AdvTTd877c31c+22"/>
                <w:color w:val="00B0F0"/>
                <w:sz w:val="22"/>
                <w:lang w:val="en-GB"/>
              </w:rPr>
              <w:t> </w:t>
            </w:r>
            <w:r w:rsidR="002F0133" w:rsidRPr="000B4E2C">
              <w:rPr>
                <w:rFonts w:eastAsiaTheme="minorHAnsi"/>
                <w:sz w:val="22"/>
                <w:lang w:val="en-GB"/>
              </w:rPr>
              <w:t>50% fall in GFR from baseline or</w:t>
            </w:r>
          </w:p>
          <w:p w14:paraId="609647CC" w14:textId="45F947AE" w:rsidR="002F0133" w:rsidRPr="000B4E2C" w:rsidRDefault="002F0133" w:rsidP="008A7464">
            <w:pPr>
              <w:rPr>
                <w:rFonts w:eastAsiaTheme="minorHAnsi"/>
                <w:sz w:val="22"/>
                <w:lang w:val="en-GB"/>
              </w:rPr>
            </w:pPr>
            <w:r w:rsidRPr="000B4E2C">
              <w:rPr>
                <w:rFonts w:eastAsiaTheme="minorHAnsi"/>
                <w:sz w:val="22"/>
                <w:lang w:val="en-GB"/>
              </w:rPr>
              <w:t xml:space="preserve">urine output </w:t>
            </w:r>
            <w:r w:rsidR="000B4E2C" w:rsidRPr="000B4E2C">
              <w:rPr>
                <w:rFonts w:eastAsiaTheme="minorHAnsi"/>
                <w:color w:val="00B0F0"/>
                <w:sz w:val="22"/>
                <w:lang w:val="en-GB"/>
              </w:rPr>
              <w:t>&lt;</w:t>
            </w:r>
            <w:r w:rsidR="000B4E2C" w:rsidRPr="000B4E2C">
              <w:rPr>
                <w:rFonts w:eastAsiaTheme="minorHAnsi"/>
                <w:color w:val="00B0F0"/>
                <w:sz w:val="22"/>
                <w:lang w:val="en-GB"/>
              </w:rPr>
              <w:t> </w:t>
            </w:r>
            <w:r w:rsidRPr="000B4E2C">
              <w:rPr>
                <w:rFonts w:eastAsiaTheme="minorHAnsi"/>
                <w:sz w:val="22"/>
                <w:lang w:val="en-GB"/>
              </w:rPr>
              <w:t xml:space="preserve">0.5 ml/kg/hour for </w:t>
            </w:r>
            <w:r w:rsidR="000B4E2C" w:rsidRPr="000B4E2C">
              <w:rPr>
                <w:rFonts w:eastAsia="AdvTTd877c31c+22"/>
                <w:color w:val="00B0F0"/>
                <w:sz w:val="22"/>
                <w:lang w:val="en-GB"/>
              </w:rPr>
              <w:t>≥</w:t>
            </w:r>
            <w:r w:rsidR="000B4E2C" w:rsidRPr="000B4E2C">
              <w:rPr>
                <w:rFonts w:eastAsia="AdvTTd877c31c+22"/>
                <w:color w:val="00B0F0"/>
                <w:sz w:val="22"/>
                <w:lang w:val="en-GB"/>
              </w:rPr>
              <w:t> </w:t>
            </w:r>
            <w:r w:rsidRPr="000B4E2C">
              <w:rPr>
                <w:rFonts w:eastAsiaTheme="minorHAnsi"/>
                <w:sz w:val="22"/>
                <w:lang w:val="en-GB"/>
              </w:rPr>
              <w:t xml:space="preserve">12 hours and </w:t>
            </w:r>
            <w:r w:rsidR="000B4E2C" w:rsidRPr="000B4E2C">
              <w:rPr>
                <w:rFonts w:eastAsiaTheme="minorHAnsi"/>
                <w:color w:val="00B0F0"/>
                <w:sz w:val="22"/>
                <w:lang w:val="en-GB"/>
              </w:rPr>
              <w:t>&lt;</w:t>
            </w:r>
            <w:r w:rsidR="000B4E2C" w:rsidRPr="000B4E2C">
              <w:rPr>
                <w:rFonts w:eastAsiaTheme="minorHAnsi"/>
                <w:color w:val="00B0F0"/>
                <w:sz w:val="22"/>
                <w:lang w:val="en-GB"/>
              </w:rPr>
              <w:t> </w:t>
            </w:r>
            <w:r w:rsidRPr="000B4E2C">
              <w:rPr>
                <w:rFonts w:eastAsiaTheme="minorHAnsi"/>
                <w:sz w:val="22"/>
                <w:lang w:val="en-GB"/>
              </w:rPr>
              <w:t>24 hours</w:t>
            </w:r>
          </w:p>
        </w:tc>
      </w:tr>
      <w:tr w:rsidR="002F0133" w:rsidRPr="000B4E2C" w14:paraId="425C13C4" w14:textId="77777777" w:rsidTr="000B4E2C">
        <w:trPr>
          <w:cantSplit/>
          <w:tblHeader/>
        </w:trPr>
        <w:tc>
          <w:tcPr>
            <w:tcW w:w="0" w:type="auto"/>
            <w:vMerge/>
            <w:shd w:val="clear" w:color="auto" w:fill="auto"/>
          </w:tcPr>
          <w:p w14:paraId="31412BE9" w14:textId="77777777" w:rsidR="002F0133" w:rsidRPr="000B4E2C" w:rsidRDefault="002F0133" w:rsidP="008A7464">
            <w:pPr>
              <w:rPr>
                <w:sz w:val="22"/>
                <w:lang w:val="en-GB"/>
              </w:rPr>
            </w:pPr>
          </w:p>
        </w:tc>
        <w:tc>
          <w:tcPr>
            <w:tcW w:w="0" w:type="auto"/>
            <w:shd w:val="clear" w:color="auto" w:fill="auto"/>
          </w:tcPr>
          <w:p w14:paraId="2C3E59BF" w14:textId="77777777" w:rsidR="002F0133" w:rsidRPr="000B4E2C" w:rsidRDefault="002F0133" w:rsidP="008A7464">
            <w:pPr>
              <w:rPr>
                <w:sz w:val="22"/>
                <w:lang w:val="en-GB"/>
              </w:rPr>
            </w:pPr>
            <w:r w:rsidRPr="000B4E2C">
              <w:rPr>
                <w:sz w:val="22"/>
                <w:lang w:val="en-GB"/>
              </w:rPr>
              <w:t>F</w:t>
            </w:r>
          </w:p>
        </w:tc>
        <w:tc>
          <w:tcPr>
            <w:tcW w:w="0" w:type="auto"/>
            <w:shd w:val="clear" w:color="auto" w:fill="auto"/>
          </w:tcPr>
          <w:p w14:paraId="6F05BCEA" w14:textId="638C0996" w:rsidR="002F0133" w:rsidRPr="000B4E2C" w:rsidRDefault="000B4E2C" w:rsidP="008A7464">
            <w:pPr>
              <w:rPr>
                <w:rFonts w:eastAsiaTheme="minorHAnsi"/>
                <w:sz w:val="22"/>
                <w:lang w:val="en-GB"/>
              </w:rPr>
            </w:pPr>
            <w:r w:rsidRPr="000B4E2C">
              <w:rPr>
                <w:rFonts w:eastAsia="AdvTTd877c31c+22"/>
                <w:color w:val="00B0F0"/>
                <w:sz w:val="22"/>
                <w:lang w:val="en-GB"/>
              </w:rPr>
              <w:t>≥</w:t>
            </w:r>
            <w:r w:rsidRPr="000B4E2C">
              <w:rPr>
                <w:rFonts w:eastAsia="AdvTTd877c31c+22"/>
                <w:color w:val="00B0F0"/>
                <w:sz w:val="22"/>
                <w:lang w:val="en-GB"/>
              </w:rPr>
              <w:t> </w:t>
            </w:r>
            <w:r w:rsidR="002F0133" w:rsidRPr="000B4E2C">
              <w:rPr>
                <w:rFonts w:eastAsiaTheme="minorHAnsi"/>
                <w:sz w:val="22"/>
                <w:lang w:val="en-GB"/>
              </w:rPr>
              <w:t xml:space="preserve">3-fold increase from baseline SCr or </w:t>
            </w:r>
            <w:r w:rsidRPr="000B4E2C">
              <w:rPr>
                <w:rFonts w:eastAsia="AdvTTd877c31c+22"/>
                <w:color w:val="00B0F0"/>
                <w:sz w:val="22"/>
                <w:lang w:val="en-GB"/>
              </w:rPr>
              <w:t>≥</w:t>
            </w:r>
            <w:r w:rsidRPr="000B4E2C">
              <w:rPr>
                <w:rFonts w:eastAsia="AdvTTd877c31c+22"/>
                <w:color w:val="00B0F0"/>
                <w:sz w:val="22"/>
                <w:lang w:val="en-GB"/>
              </w:rPr>
              <w:t> </w:t>
            </w:r>
            <w:r w:rsidR="002F0133" w:rsidRPr="000B4E2C">
              <w:rPr>
                <w:rFonts w:eastAsiaTheme="minorHAnsi"/>
                <w:sz w:val="22"/>
                <w:lang w:val="en-GB"/>
              </w:rPr>
              <w:t>75% fall in GFR from baseline or SCr</w:t>
            </w:r>
          </w:p>
          <w:p w14:paraId="4A2D569E" w14:textId="38B7EEAE" w:rsidR="002F0133" w:rsidRPr="000B4E2C" w:rsidRDefault="000B4E2C" w:rsidP="008A7464">
            <w:pPr>
              <w:rPr>
                <w:rFonts w:eastAsiaTheme="minorHAnsi"/>
                <w:sz w:val="22"/>
                <w:lang w:val="en-GB"/>
              </w:rPr>
            </w:pPr>
            <w:r w:rsidRPr="000B4E2C">
              <w:rPr>
                <w:rFonts w:eastAsia="AdvTTd877c31c+22"/>
                <w:color w:val="00B0F0"/>
                <w:sz w:val="22"/>
                <w:lang w:val="en-GB"/>
              </w:rPr>
              <w:t>≥</w:t>
            </w:r>
            <w:r w:rsidRPr="000B4E2C">
              <w:rPr>
                <w:rFonts w:eastAsia="AdvTTd877c31c+22"/>
                <w:color w:val="00B0F0"/>
                <w:sz w:val="22"/>
                <w:lang w:val="en-GB"/>
              </w:rPr>
              <w:t> </w:t>
            </w:r>
            <w:r w:rsidR="002F0133" w:rsidRPr="000B4E2C">
              <w:rPr>
                <w:rFonts w:eastAsiaTheme="minorHAnsi"/>
                <w:sz w:val="22"/>
                <w:lang w:val="en-GB"/>
              </w:rPr>
              <w:t xml:space="preserve">4 mg/dl with an acute rise of </w:t>
            </w:r>
            <w:r w:rsidRPr="000B4E2C">
              <w:rPr>
                <w:rFonts w:eastAsia="AdvTTd877c31c+22"/>
                <w:color w:val="00B0F0"/>
                <w:sz w:val="22"/>
                <w:lang w:val="en-GB"/>
              </w:rPr>
              <w:t>≥</w:t>
            </w:r>
            <w:r w:rsidRPr="000B4E2C">
              <w:rPr>
                <w:rFonts w:eastAsia="AdvTTd877c31c+22"/>
                <w:color w:val="00B0F0"/>
                <w:sz w:val="22"/>
                <w:lang w:val="en-GB"/>
              </w:rPr>
              <w:t> </w:t>
            </w:r>
            <w:r w:rsidR="002F0133" w:rsidRPr="000B4E2C">
              <w:rPr>
                <w:rFonts w:eastAsiaTheme="minorHAnsi"/>
                <w:sz w:val="22"/>
                <w:lang w:val="en-GB"/>
              </w:rPr>
              <w:t xml:space="preserve">0.5 mg/dl or urine output </w:t>
            </w:r>
            <w:r w:rsidRPr="000B4E2C">
              <w:rPr>
                <w:rFonts w:eastAsiaTheme="minorHAnsi"/>
                <w:color w:val="00B0F0"/>
                <w:sz w:val="22"/>
                <w:lang w:val="en-GB"/>
              </w:rPr>
              <w:t>&lt;</w:t>
            </w:r>
            <w:r w:rsidRPr="000B4E2C">
              <w:rPr>
                <w:rFonts w:eastAsiaTheme="minorHAnsi"/>
                <w:color w:val="00B0F0"/>
                <w:sz w:val="22"/>
                <w:lang w:val="en-GB"/>
              </w:rPr>
              <w:t> </w:t>
            </w:r>
            <w:r w:rsidR="002F0133" w:rsidRPr="000B4E2C">
              <w:rPr>
                <w:rFonts w:eastAsiaTheme="minorHAnsi"/>
                <w:sz w:val="22"/>
                <w:lang w:val="en-GB"/>
              </w:rPr>
              <w:t>0.3 ml/kg/hour for</w:t>
            </w:r>
          </w:p>
          <w:p w14:paraId="4860BDBF" w14:textId="4F37A9D6" w:rsidR="002F0133" w:rsidRPr="000B4E2C" w:rsidRDefault="000B4E2C" w:rsidP="008A7464">
            <w:pPr>
              <w:rPr>
                <w:rFonts w:eastAsiaTheme="minorHAnsi"/>
                <w:sz w:val="22"/>
                <w:lang w:val="en-GB"/>
              </w:rPr>
            </w:pPr>
            <w:r w:rsidRPr="000B4E2C">
              <w:rPr>
                <w:rFonts w:eastAsia="AdvTTd877c31c+22"/>
                <w:color w:val="00B0F0"/>
                <w:sz w:val="22"/>
                <w:lang w:val="en-GB"/>
              </w:rPr>
              <w:t>≥</w:t>
            </w:r>
            <w:r w:rsidRPr="000B4E2C">
              <w:rPr>
                <w:rFonts w:eastAsia="AdvTTd877c31c+22"/>
                <w:color w:val="00B0F0"/>
                <w:sz w:val="22"/>
                <w:lang w:val="en-GB"/>
              </w:rPr>
              <w:t> </w:t>
            </w:r>
            <w:r w:rsidR="002F0133" w:rsidRPr="000B4E2C">
              <w:rPr>
                <w:rFonts w:eastAsiaTheme="minorHAnsi"/>
                <w:sz w:val="22"/>
                <w:lang w:val="en-GB"/>
              </w:rPr>
              <w:t xml:space="preserve">24 hours or anuria for </w:t>
            </w:r>
            <w:r w:rsidRPr="000B4E2C">
              <w:rPr>
                <w:rFonts w:eastAsia="AdvTTd877c31c+22"/>
                <w:color w:val="00B0F0"/>
                <w:sz w:val="22"/>
                <w:lang w:val="en-GB"/>
              </w:rPr>
              <w:t>≥</w:t>
            </w:r>
            <w:r w:rsidRPr="000B4E2C">
              <w:rPr>
                <w:rFonts w:eastAsia="AdvTTd877c31c+22"/>
                <w:color w:val="00B0F0"/>
                <w:sz w:val="22"/>
                <w:lang w:val="en-GB"/>
              </w:rPr>
              <w:t> </w:t>
            </w:r>
            <w:r w:rsidR="002F0133" w:rsidRPr="000B4E2C">
              <w:rPr>
                <w:rFonts w:eastAsiaTheme="minorHAnsi"/>
                <w:sz w:val="22"/>
                <w:lang w:val="en-GB"/>
              </w:rPr>
              <w:t>12 hours</w:t>
            </w:r>
          </w:p>
        </w:tc>
      </w:tr>
      <w:tr w:rsidR="002F0133" w:rsidRPr="000B4E2C" w14:paraId="344F37E9" w14:textId="77777777" w:rsidTr="000B4E2C">
        <w:trPr>
          <w:cantSplit/>
          <w:tblHeader/>
        </w:trPr>
        <w:tc>
          <w:tcPr>
            <w:tcW w:w="0" w:type="auto"/>
            <w:vMerge/>
            <w:shd w:val="clear" w:color="auto" w:fill="auto"/>
          </w:tcPr>
          <w:p w14:paraId="616F15B3" w14:textId="77777777" w:rsidR="002F0133" w:rsidRPr="000B4E2C" w:rsidRDefault="002F0133" w:rsidP="008A7464">
            <w:pPr>
              <w:rPr>
                <w:sz w:val="22"/>
                <w:lang w:val="en-GB"/>
              </w:rPr>
            </w:pPr>
          </w:p>
        </w:tc>
        <w:tc>
          <w:tcPr>
            <w:tcW w:w="0" w:type="auto"/>
            <w:shd w:val="clear" w:color="auto" w:fill="auto"/>
          </w:tcPr>
          <w:p w14:paraId="7DA06983" w14:textId="77777777" w:rsidR="002F0133" w:rsidRPr="000B4E2C" w:rsidRDefault="002F0133" w:rsidP="008A7464">
            <w:pPr>
              <w:rPr>
                <w:sz w:val="22"/>
                <w:lang w:val="en-GB"/>
              </w:rPr>
            </w:pPr>
            <w:r w:rsidRPr="000B4E2C">
              <w:rPr>
                <w:sz w:val="22"/>
                <w:lang w:val="en-GB"/>
              </w:rPr>
              <w:t>L</w:t>
            </w:r>
          </w:p>
        </w:tc>
        <w:tc>
          <w:tcPr>
            <w:tcW w:w="0" w:type="auto"/>
            <w:shd w:val="clear" w:color="auto" w:fill="auto"/>
          </w:tcPr>
          <w:p w14:paraId="0DFCBF9A" w14:textId="0A898ADE" w:rsidR="002F0133" w:rsidRPr="000B4E2C" w:rsidRDefault="002F0133" w:rsidP="008A7464">
            <w:pPr>
              <w:rPr>
                <w:sz w:val="22"/>
                <w:lang w:val="en-GB"/>
              </w:rPr>
            </w:pPr>
            <w:r w:rsidRPr="000B4E2C">
              <w:rPr>
                <w:rFonts w:eastAsiaTheme="minorHAnsi"/>
                <w:sz w:val="22"/>
                <w:lang w:val="en-GB"/>
              </w:rPr>
              <w:t xml:space="preserve">Complete loss of renal function for </w:t>
            </w:r>
            <w:r w:rsidR="000B4E2C" w:rsidRPr="000B4E2C">
              <w:rPr>
                <w:rFonts w:eastAsiaTheme="minorHAnsi"/>
                <w:color w:val="00B0F0"/>
                <w:sz w:val="22"/>
                <w:lang w:val="en-GB"/>
              </w:rPr>
              <w:t>&gt;</w:t>
            </w:r>
            <w:r w:rsidR="000B4E2C" w:rsidRPr="000B4E2C">
              <w:rPr>
                <w:rFonts w:eastAsiaTheme="minorHAnsi"/>
                <w:color w:val="00B0F0"/>
                <w:sz w:val="22"/>
                <w:lang w:val="en-GB"/>
              </w:rPr>
              <w:t> </w:t>
            </w:r>
            <w:r w:rsidRPr="000B4E2C">
              <w:rPr>
                <w:rFonts w:eastAsiaTheme="minorHAnsi"/>
                <w:sz w:val="22"/>
                <w:lang w:val="en-GB"/>
              </w:rPr>
              <w:t>4 weeks</w:t>
            </w:r>
          </w:p>
        </w:tc>
      </w:tr>
      <w:tr w:rsidR="002F0133" w:rsidRPr="000B4E2C" w14:paraId="7B9ED349" w14:textId="77777777" w:rsidTr="000B4E2C">
        <w:trPr>
          <w:cantSplit/>
          <w:tblHeader/>
        </w:trPr>
        <w:tc>
          <w:tcPr>
            <w:tcW w:w="0" w:type="auto"/>
            <w:vMerge/>
            <w:shd w:val="clear" w:color="auto" w:fill="auto"/>
          </w:tcPr>
          <w:p w14:paraId="5E20ABA0" w14:textId="77777777" w:rsidR="002F0133" w:rsidRPr="000B4E2C" w:rsidRDefault="002F0133" w:rsidP="008A7464">
            <w:pPr>
              <w:rPr>
                <w:sz w:val="22"/>
                <w:lang w:val="en-GB"/>
              </w:rPr>
            </w:pPr>
          </w:p>
        </w:tc>
        <w:tc>
          <w:tcPr>
            <w:tcW w:w="0" w:type="auto"/>
            <w:shd w:val="clear" w:color="auto" w:fill="auto"/>
          </w:tcPr>
          <w:p w14:paraId="26650BFE" w14:textId="77777777" w:rsidR="002F0133" w:rsidRPr="000B4E2C" w:rsidRDefault="002F0133" w:rsidP="008A7464">
            <w:pPr>
              <w:rPr>
                <w:sz w:val="22"/>
                <w:lang w:val="en-GB"/>
              </w:rPr>
            </w:pPr>
            <w:r w:rsidRPr="000B4E2C">
              <w:rPr>
                <w:sz w:val="22"/>
                <w:lang w:val="en-GB"/>
              </w:rPr>
              <w:t>E</w:t>
            </w:r>
          </w:p>
        </w:tc>
        <w:tc>
          <w:tcPr>
            <w:tcW w:w="0" w:type="auto"/>
            <w:shd w:val="clear" w:color="auto" w:fill="auto"/>
          </w:tcPr>
          <w:p w14:paraId="0D89D436" w14:textId="77777777" w:rsidR="002F0133" w:rsidRPr="000B4E2C" w:rsidRDefault="002F0133" w:rsidP="008A7464">
            <w:pPr>
              <w:rPr>
                <w:sz w:val="22"/>
                <w:lang w:val="en-GB"/>
              </w:rPr>
            </w:pPr>
            <w:r w:rsidRPr="000B4E2C">
              <w:rPr>
                <w:rFonts w:eastAsiaTheme="minorHAnsi"/>
                <w:sz w:val="22"/>
                <w:lang w:val="en-GB"/>
              </w:rPr>
              <w:t>End-stage renal disease</w:t>
            </w:r>
          </w:p>
        </w:tc>
      </w:tr>
      <w:tr w:rsidR="002F0133" w:rsidRPr="000B4E2C" w14:paraId="77DC78F9" w14:textId="77777777" w:rsidTr="000B4E2C">
        <w:trPr>
          <w:cantSplit/>
          <w:tblHeader/>
        </w:trPr>
        <w:tc>
          <w:tcPr>
            <w:tcW w:w="0" w:type="auto"/>
            <w:vMerge w:val="restart"/>
            <w:shd w:val="clear" w:color="auto" w:fill="auto"/>
          </w:tcPr>
          <w:p w14:paraId="171C9627" w14:textId="49D62EE9" w:rsidR="002F0133" w:rsidRPr="000B4E2C" w:rsidRDefault="002F0133" w:rsidP="008A7464">
            <w:pPr>
              <w:rPr>
                <w:b/>
                <w:sz w:val="22"/>
                <w:lang w:val="en-GB"/>
              </w:rPr>
            </w:pPr>
            <w:r w:rsidRPr="000B4E2C">
              <w:rPr>
                <w:b/>
                <w:sz w:val="22"/>
                <w:lang w:val="en-GB"/>
              </w:rPr>
              <w:t>AKIN</w:t>
            </w:r>
            <w:r w:rsidR="005B5026" w:rsidRPr="000B4E2C">
              <w:rPr>
                <w:b/>
                <w:noProof/>
                <w:sz w:val="22"/>
                <w:vertAlign w:val="superscript"/>
                <w:lang w:val="en-GB"/>
              </w:rPr>
              <w:t>14</w:t>
            </w:r>
          </w:p>
        </w:tc>
        <w:tc>
          <w:tcPr>
            <w:tcW w:w="0" w:type="auto"/>
            <w:shd w:val="clear" w:color="auto" w:fill="auto"/>
          </w:tcPr>
          <w:p w14:paraId="3EB908BF" w14:textId="77777777" w:rsidR="002F0133" w:rsidRPr="000B4E2C" w:rsidRDefault="002F0133" w:rsidP="008A7464">
            <w:pPr>
              <w:rPr>
                <w:sz w:val="22"/>
                <w:lang w:val="en-GB"/>
              </w:rPr>
            </w:pPr>
            <w:r w:rsidRPr="000B4E2C">
              <w:rPr>
                <w:sz w:val="22"/>
                <w:lang w:val="en-GB"/>
              </w:rPr>
              <w:t>1</w:t>
            </w:r>
          </w:p>
        </w:tc>
        <w:tc>
          <w:tcPr>
            <w:tcW w:w="0" w:type="auto"/>
            <w:shd w:val="clear" w:color="auto" w:fill="auto"/>
          </w:tcPr>
          <w:p w14:paraId="5B91522A" w14:textId="1E97BFE3" w:rsidR="002F0133" w:rsidRPr="000B4E2C" w:rsidRDefault="002F0133" w:rsidP="008A7464">
            <w:pPr>
              <w:rPr>
                <w:rFonts w:eastAsiaTheme="minorHAnsi"/>
                <w:sz w:val="22"/>
                <w:lang w:val="en-GB"/>
              </w:rPr>
            </w:pPr>
            <w:r w:rsidRPr="000B4E2C">
              <w:rPr>
                <w:rFonts w:eastAsiaTheme="minorHAnsi"/>
                <w:sz w:val="22"/>
                <w:lang w:val="en-GB"/>
              </w:rPr>
              <w:t xml:space="preserve">Increase in SCr of </w:t>
            </w:r>
            <w:r w:rsidR="000B4E2C" w:rsidRPr="000B4E2C">
              <w:rPr>
                <w:rFonts w:eastAsia="AdvTTd877c31c+22"/>
                <w:color w:val="00B0F0"/>
                <w:sz w:val="22"/>
                <w:lang w:val="en-GB"/>
              </w:rPr>
              <w:t>≥</w:t>
            </w:r>
            <w:r w:rsidR="000B4E2C" w:rsidRPr="000B4E2C">
              <w:rPr>
                <w:rFonts w:eastAsia="AdvTTd877c31c+22"/>
                <w:color w:val="00B0F0"/>
                <w:sz w:val="22"/>
                <w:lang w:val="en-GB"/>
              </w:rPr>
              <w:t> </w:t>
            </w:r>
            <w:r w:rsidRPr="000B4E2C">
              <w:rPr>
                <w:rFonts w:eastAsiaTheme="minorHAnsi"/>
                <w:sz w:val="22"/>
                <w:lang w:val="en-GB"/>
              </w:rPr>
              <w:t>0.3 mg/dl (</w:t>
            </w:r>
            <w:r w:rsidR="000B4E2C" w:rsidRPr="000B4E2C">
              <w:rPr>
                <w:rFonts w:eastAsia="AdvTTd877c31c+22"/>
                <w:color w:val="00B0F0"/>
                <w:sz w:val="22"/>
                <w:lang w:val="en-GB"/>
              </w:rPr>
              <w:t>≥</w:t>
            </w:r>
            <w:r w:rsidR="000B4E2C" w:rsidRPr="000B4E2C">
              <w:rPr>
                <w:rFonts w:eastAsia="AdvTTd877c31c+22"/>
                <w:color w:val="00B0F0"/>
                <w:sz w:val="22"/>
                <w:lang w:val="en-GB"/>
              </w:rPr>
              <w:t> </w:t>
            </w:r>
            <w:r w:rsidRPr="000B4E2C">
              <w:rPr>
                <w:rFonts w:eastAsiaTheme="minorHAnsi"/>
                <w:sz w:val="22"/>
                <w:lang w:val="en-GB"/>
              </w:rPr>
              <w:t>26.4 μmol/l) or increase in SCr to</w:t>
            </w:r>
          </w:p>
          <w:p w14:paraId="7109F9BC" w14:textId="47615357" w:rsidR="002F0133" w:rsidRPr="000B4E2C" w:rsidRDefault="000B4E2C" w:rsidP="008A7464">
            <w:pPr>
              <w:rPr>
                <w:rFonts w:eastAsiaTheme="minorHAnsi"/>
                <w:sz w:val="22"/>
                <w:lang w:val="en-GB"/>
              </w:rPr>
            </w:pPr>
            <w:r w:rsidRPr="000B4E2C">
              <w:rPr>
                <w:rFonts w:eastAsia="AdvTTd877c31c+22"/>
                <w:color w:val="00B0F0"/>
                <w:sz w:val="22"/>
                <w:lang w:val="en-GB"/>
              </w:rPr>
              <w:t>≥</w:t>
            </w:r>
            <w:r w:rsidRPr="000B4E2C">
              <w:rPr>
                <w:rFonts w:eastAsia="AdvTTd877c31c+22"/>
                <w:color w:val="00B0F0"/>
                <w:sz w:val="22"/>
                <w:lang w:val="en-GB"/>
              </w:rPr>
              <w:t> </w:t>
            </w:r>
            <w:r w:rsidR="002F0133" w:rsidRPr="000B4E2C">
              <w:rPr>
                <w:rFonts w:eastAsiaTheme="minorHAnsi"/>
                <w:sz w:val="22"/>
                <w:lang w:val="en-GB"/>
              </w:rPr>
              <w:t xml:space="preserve">150–200% (1.5- to 2-fold) of baseline value or urine output </w:t>
            </w:r>
            <w:r w:rsidRPr="000B4E2C">
              <w:rPr>
                <w:rFonts w:eastAsiaTheme="minorHAnsi"/>
                <w:color w:val="00B0F0"/>
                <w:sz w:val="22"/>
                <w:lang w:val="en-GB"/>
              </w:rPr>
              <w:t>&lt;</w:t>
            </w:r>
            <w:r w:rsidRPr="000B4E2C">
              <w:rPr>
                <w:rFonts w:eastAsiaTheme="minorHAnsi"/>
                <w:color w:val="00B0F0"/>
                <w:sz w:val="22"/>
                <w:lang w:val="en-GB"/>
              </w:rPr>
              <w:t> </w:t>
            </w:r>
            <w:r w:rsidR="002F0133" w:rsidRPr="000B4E2C">
              <w:rPr>
                <w:rFonts w:eastAsiaTheme="minorHAnsi"/>
                <w:sz w:val="22"/>
                <w:lang w:val="en-GB"/>
              </w:rPr>
              <w:t>0.5 ml/kg/hour for</w:t>
            </w:r>
          </w:p>
          <w:p w14:paraId="26BE9164" w14:textId="7FA1EBE1" w:rsidR="002F0133" w:rsidRPr="000B4E2C" w:rsidRDefault="000B4E2C" w:rsidP="008A7464">
            <w:pPr>
              <w:rPr>
                <w:sz w:val="22"/>
                <w:lang w:val="en-GB"/>
              </w:rPr>
            </w:pPr>
            <w:r w:rsidRPr="000B4E2C">
              <w:rPr>
                <w:rFonts w:eastAsia="AdvTTd877c31c+22"/>
                <w:color w:val="00B0F0"/>
                <w:sz w:val="22"/>
                <w:lang w:val="en-GB"/>
              </w:rPr>
              <w:t>≥</w:t>
            </w:r>
            <w:r w:rsidRPr="000B4E2C">
              <w:rPr>
                <w:rFonts w:eastAsia="AdvTTd877c31c+22"/>
                <w:color w:val="00B0F0"/>
                <w:sz w:val="22"/>
                <w:lang w:val="en-GB"/>
              </w:rPr>
              <w:t> </w:t>
            </w:r>
            <w:r w:rsidR="002F0133" w:rsidRPr="000B4E2C">
              <w:rPr>
                <w:rFonts w:eastAsiaTheme="minorHAnsi"/>
                <w:sz w:val="22"/>
                <w:lang w:val="en-GB"/>
              </w:rPr>
              <w:t xml:space="preserve">6 and </w:t>
            </w:r>
            <w:r w:rsidRPr="000B4E2C">
              <w:rPr>
                <w:rFonts w:eastAsiaTheme="minorHAnsi"/>
                <w:color w:val="00B0F0"/>
                <w:sz w:val="22"/>
                <w:lang w:val="en-GB"/>
              </w:rPr>
              <w:t>&lt;</w:t>
            </w:r>
            <w:r w:rsidRPr="000B4E2C">
              <w:rPr>
                <w:rFonts w:eastAsiaTheme="minorHAnsi"/>
                <w:color w:val="00B0F0"/>
                <w:sz w:val="22"/>
                <w:lang w:val="en-GB"/>
              </w:rPr>
              <w:t> </w:t>
            </w:r>
            <w:r w:rsidR="002F0133" w:rsidRPr="000B4E2C">
              <w:rPr>
                <w:rFonts w:eastAsiaTheme="minorHAnsi"/>
                <w:sz w:val="22"/>
                <w:lang w:val="en-GB"/>
              </w:rPr>
              <w:t>12 hours</w:t>
            </w:r>
          </w:p>
        </w:tc>
      </w:tr>
      <w:tr w:rsidR="002F0133" w:rsidRPr="000B4E2C" w14:paraId="67540CF1" w14:textId="77777777" w:rsidTr="000B4E2C">
        <w:trPr>
          <w:cantSplit/>
          <w:tblHeader/>
        </w:trPr>
        <w:tc>
          <w:tcPr>
            <w:tcW w:w="0" w:type="auto"/>
            <w:vMerge/>
            <w:shd w:val="clear" w:color="auto" w:fill="auto"/>
          </w:tcPr>
          <w:p w14:paraId="6019EBE1" w14:textId="77777777" w:rsidR="002F0133" w:rsidRPr="000B4E2C" w:rsidRDefault="002F0133" w:rsidP="008A7464">
            <w:pPr>
              <w:rPr>
                <w:sz w:val="22"/>
                <w:lang w:val="en-GB"/>
              </w:rPr>
            </w:pPr>
          </w:p>
        </w:tc>
        <w:tc>
          <w:tcPr>
            <w:tcW w:w="0" w:type="auto"/>
            <w:shd w:val="clear" w:color="auto" w:fill="auto"/>
          </w:tcPr>
          <w:p w14:paraId="5D7B07A7" w14:textId="77777777" w:rsidR="002F0133" w:rsidRPr="000B4E2C" w:rsidRDefault="002F0133" w:rsidP="008A7464">
            <w:pPr>
              <w:rPr>
                <w:sz w:val="22"/>
                <w:lang w:val="en-GB"/>
              </w:rPr>
            </w:pPr>
            <w:r w:rsidRPr="000B4E2C">
              <w:rPr>
                <w:sz w:val="22"/>
                <w:lang w:val="en-GB"/>
              </w:rPr>
              <w:t>2</w:t>
            </w:r>
          </w:p>
        </w:tc>
        <w:tc>
          <w:tcPr>
            <w:tcW w:w="0" w:type="auto"/>
            <w:shd w:val="clear" w:color="auto" w:fill="auto"/>
          </w:tcPr>
          <w:p w14:paraId="53E1879B" w14:textId="60ACDEF1" w:rsidR="002F0133" w:rsidRPr="000B4E2C" w:rsidRDefault="002F0133" w:rsidP="008A7464">
            <w:pPr>
              <w:rPr>
                <w:rFonts w:eastAsiaTheme="minorHAnsi"/>
                <w:sz w:val="22"/>
                <w:lang w:val="en-GB"/>
              </w:rPr>
            </w:pPr>
            <w:r w:rsidRPr="000B4E2C">
              <w:rPr>
                <w:rFonts w:eastAsiaTheme="minorHAnsi"/>
                <w:sz w:val="22"/>
                <w:lang w:val="en-GB"/>
              </w:rPr>
              <w:t xml:space="preserve">Increase in SCr to </w:t>
            </w:r>
            <w:r w:rsidR="000B4E2C" w:rsidRPr="000B4E2C">
              <w:rPr>
                <w:rFonts w:eastAsiaTheme="minorHAnsi"/>
                <w:color w:val="00B0F0"/>
                <w:sz w:val="22"/>
                <w:lang w:val="en-GB"/>
              </w:rPr>
              <w:t>&gt;</w:t>
            </w:r>
            <w:r w:rsidR="000B4E2C" w:rsidRPr="000B4E2C">
              <w:rPr>
                <w:rFonts w:eastAsiaTheme="minorHAnsi"/>
                <w:color w:val="00B0F0"/>
                <w:sz w:val="22"/>
                <w:lang w:val="en-GB"/>
              </w:rPr>
              <w:t> </w:t>
            </w:r>
            <w:r w:rsidRPr="000B4E2C">
              <w:rPr>
                <w:rFonts w:eastAsiaTheme="minorHAnsi"/>
                <w:sz w:val="22"/>
                <w:lang w:val="en-GB"/>
              </w:rPr>
              <w:t>200–300% (</w:t>
            </w:r>
            <w:r w:rsidR="000B4E2C" w:rsidRPr="000B4E2C">
              <w:rPr>
                <w:rFonts w:eastAsiaTheme="minorHAnsi"/>
                <w:color w:val="00B0F0"/>
                <w:sz w:val="22"/>
                <w:lang w:val="en-GB"/>
              </w:rPr>
              <w:t>&gt;</w:t>
            </w:r>
            <w:r w:rsidR="000B4E2C" w:rsidRPr="000B4E2C">
              <w:rPr>
                <w:rFonts w:eastAsiaTheme="minorHAnsi"/>
                <w:color w:val="00B0F0"/>
                <w:sz w:val="22"/>
                <w:lang w:val="en-GB"/>
              </w:rPr>
              <w:t> </w:t>
            </w:r>
            <w:r w:rsidRPr="000B4E2C">
              <w:rPr>
                <w:rFonts w:eastAsiaTheme="minorHAnsi"/>
                <w:sz w:val="22"/>
                <w:lang w:val="en-GB"/>
              </w:rPr>
              <w:t>2- to 3-fold) of baseline value or urine</w:t>
            </w:r>
          </w:p>
          <w:p w14:paraId="0E1C1B68" w14:textId="0493B09C" w:rsidR="002F0133" w:rsidRPr="000B4E2C" w:rsidRDefault="002F0133" w:rsidP="008A7464">
            <w:pPr>
              <w:rPr>
                <w:rFonts w:eastAsiaTheme="minorHAnsi"/>
                <w:sz w:val="22"/>
                <w:lang w:val="en-GB"/>
              </w:rPr>
            </w:pPr>
            <w:r w:rsidRPr="000B4E2C">
              <w:rPr>
                <w:rFonts w:eastAsiaTheme="minorHAnsi"/>
                <w:sz w:val="22"/>
                <w:lang w:val="en-GB"/>
              </w:rPr>
              <w:t xml:space="preserve">output </w:t>
            </w:r>
            <w:r w:rsidR="000B4E2C" w:rsidRPr="000B4E2C">
              <w:rPr>
                <w:rFonts w:eastAsiaTheme="minorHAnsi"/>
                <w:color w:val="00B0F0"/>
                <w:sz w:val="22"/>
                <w:lang w:val="en-GB"/>
              </w:rPr>
              <w:t>&lt;</w:t>
            </w:r>
            <w:r w:rsidR="000B4E2C" w:rsidRPr="000B4E2C">
              <w:rPr>
                <w:rFonts w:eastAsiaTheme="minorHAnsi"/>
                <w:color w:val="00B0F0"/>
                <w:sz w:val="22"/>
                <w:lang w:val="en-GB"/>
              </w:rPr>
              <w:t> </w:t>
            </w:r>
            <w:r w:rsidRPr="000B4E2C">
              <w:rPr>
                <w:rFonts w:eastAsiaTheme="minorHAnsi"/>
                <w:sz w:val="22"/>
                <w:lang w:val="en-GB"/>
              </w:rPr>
              <w:t xml:space="preserve">0.5 ml/kg/hour for </w:t>
            </w:r>
            <w:r w:rsidR="000B4E2C" w:rsidRPr="000B4E2C">
              <w:rPr>
                <w:rFonts w:eastAsia="AdvTTd877c31c+22"/>
                <w:color w:val="00B0F0"/>
                <w:sz w:val="22"/>
                <w:lang w:val="en-GB"/>
              </w:rPr>
              <w:t>≥</w:t>
            </w:r>
            <w:r w:rsidR="000B4E2C" w:rsidRPr="000B4E2C">
              <w:rPr>
                <w:rFonts w:eastAsia="AdvTTd877c31c+22"/>
                <w:color w:val="00B0F0"/>
                <w:sz w:val="22"/>
                <w:lang w:val="en-GB"/>
              </w:rPr>
              <w:t> </w:t>
            </w:r>
            <w:r w:rsidRPr="000B4E2C">
              <w:rPr>
                <w:rFonts w:eastAsiaTheme="minorHAnsi"/>
                <w:sz w:val="22"/>
                <w:lang w:val="en-GB"/>
              </w:rPr>
              <w:t xml:space="preserve">12 hours and </w:t>
            </w:r>
            <w:r w:rsidR="000B4E2C" w:rsidRPr="000B4E2C">
              <w:rPr>
                <w:rFonts w:eastAsiaTheme="minorHAnsi"/>
                <w:color w:val="00B0F0"/>
                <w:sz w:val="22"/>
                <w:lang w:val="en-GB"/>
              </w:rPr>
              <w:t>&lt;</w:t>
            </w:r>
            <w:r w:rsidR="000B4E2C" w:rsidRPr="000B4E2C">
              <w:rPr>
                <w:rFonts w:eastAsiaTheme="minorHAnsi"/>
                <w:color w:val="00B0F0"/>
                <w:sz w:val="22"/>
                <w:lang w:val="en-GB"/>
              </w:rPr>
              <w:t> </w:t>
            </w:r>
            <w:r w:rsidRPr="000B4E2C">
              <w:rPr>
                <w:rFonts w:eastAsiaTheme="minorHAnsi"/>
                <w:sz w:val="22"/>
                <w:lang w:val="en-GB"/>
              </w:rPr>
              <w:t>24 hours</w:t>
            </w:r>
          </w:p>
        </w:tc>
      </w:tr>
      <w:tr w:rsidR="002F0133" w:rsidRPr="000B4E2C" w14:paraId="2FCBAF5F" w14:textId="77777777" w:rsidTr="000B4E2C">
        <w:trPr>
          <w:cantSplit/>
          <w:tblHeader/>
        </w:trPr>
        <w:tc>
          <w:tcPr>
            <w:tcW w:w="0" w:type="auto"/>
            <w:vMerge/>
            <w:shd w:val="clear" w:color="auto" w:fill="auto"/>
          </w:tcPr>
          <w:p w14:paraId="1E81612E" w14:textId="77777777" w:rsidR="002F0133" w:rsidRPr="000B4E2C" w:rsidRDefault="002F0133" w:rsidP="008A7464">
            <w:pPr>
              <w:rPr>
                <w:sz w:val="22"/>
                <w:lang w:val="en-GB"/>
              </w:rPr>
            </w:pPr>
          </w:p>
        </w:tc>
        <w:tc>
          <w:tcPr>
            <w:tcW w:w="0" w:type="auto"/>
            <w:shd w:val="clear" w:color="auto" w:fill="auto"/>
          </w:tcPr>
          <w:p w14:paraId="6479DD34" w14:textId="77777777" w:rsidR="002F0133" w:rsidRPr="000B4E2C" w:rsidRDefault="002F0133" w:rsidP="008A7464">
            <w:pPr>
              <w:rPr>
                <w:sz w:val="22"/>
                <w:lang w:val="en-GB"/>
              </w:rPr>
            </w:pPr>
            <w:r w:rsidRPr="000B4E2C">
              <w:rPr>
                <w:sz w:val="22"/>
                <w:lang w:val="en-GB"/>
              </w:rPr>
              <w:t>3</w:t>
            </w:r>
          </w:p>
        </w:tc>
        <w:tc>
          <w:tcPr>
            <w:tcW w:w="0" w:type="auto"/>
            <w:shd w:val="clear" w:color="auto" w:fill="auto"/>
          </w:tcPr>
          <w:p w14:paraId="3227F646" w14:textId="51908C74" w:rsidR="002F0133" w:rsidRPr="000B4E2C" w:rsidRDefault="002F0133" w:rsidP="008A7464">
            <w:pPr>
              <w:rPr>
                <w:rFonts w:eastAsiaTheme="minorHAnsi"/>
                <w:sz w:val="22"/>
                <w:lang w:val="en-GB"/>
              </w:rPr>
            </w:pPr>
            <w:r w:rsidRPr="000B4E2C">
              <w:rPr>
                <w:rFonts w:eastAsiaTheme="minorHAnsi"/>
                <w:sz w:val="22"/>
                <w:lang w:val="en-GB"/>
              </w:rPr>
              <w:t xml:space="preserve">Increase in SCr to </w:t>
            </w:r>
            <w:r w:rsidR="000B4E2C" w:rsidRPr="000B4E2C">
              <w:rPr>
                <w:rFonts w:eastAsiaTheme="minorHAnsi"/>
                <w:color w:val="00B0F0"/>
                <w:sz w:val="22"/>
                <w:lang w:val="en-GB"/>
              </w:rPr>
              <w:t>&gt;</w:t>
            </w:r>
            <w:r w:rsidR="000B4E2C" w:rsidRPr="000B4E2C">
              <w:rPr>
                <w:rFonts w:eastAsiaTheme="minorHAnsi"/>
                <w:color w:val="00B0F0"/>
                <w:sz w:val="22"/>
                <w:lang w:val="en-GB"/>
              </w:rPr>
              <w:t> </w:t>
            </w:r>
            <w:r w:rsidRPr="000B4E2C">
              <w:rPr>
                <w:rFonts w:eastAsiaTheme="minorHAnsi"/>
                <w:sz w:val="22"/>
                <w:lang w:val="en-GB"/>
              </w:rPr>
              <w:t xml:space="preserve">300% (3-fold) of baseline value or SCr </w:t>
            </w:r>
            <w:r w:rsidR="000B4E2C" w:rsidRPr="000B4E2C">
              <w:rPr>
                <w:rFonts w:eastAsia="AdvTTd877c31c+22"/>
                <w:color w:val="00B0F0"/>
                <w:sz w:val="22"/>
                <w:lang w:val="en-GB"/>
              </w:rPr>
              <w:t>≥</w:t>
            </w:r>
            <w:r w:rsidR="000B4E2C" w:rsidRPr="000B4E2C">
              <w:rPr>
                <w:rFonts w:eastAsia="AdvTTd877c31c+22"/>
                <w:color w:val="00B0F0"/>
                <w:sz w:val="22"/>
                <w:lang w:val="en-GB"/>
              </w:rPr>
              <w:t> </w:t>
            </w:r>
            <w:r w:rsidRPr="000B4E2C">
              <w:rPr>
                <w:rFonts w:eastAsiaTheme="minorHAnsi"/>
                <w:sz w:val="22"/>
                <w:lang w:val="en-GB"/>
              </w:rPr>
              <w:t>4.0 mg/dl</w:t>
            </w:r>
          </w:p>
          <w:p w14:paraId="421FA1DD" w14:textId="107F8B16" w:rsidR="002F0133" w:rsidRPr="000B4E2C" w:rsidRDefault="002F0133" w:rsidP="008A7464">
            <w:pPr>
              <w:rPr>
                <w:rFonts w:eastAsiaTheme="minorHAnsi"/>
                <w:sz w:val="22"/>
                <w:lang w:val="en-GB"/>
              </w:rPr>
            </w:pPr>
            <w:r w:rsidRPr="000B4E2C">
              <w:rPr>
                <w:rFonts w:eastAsiaTheme="minorHAnsi"/>
                <w:sz w:val="22"/>
                <w:lang w:val="en-GB"/>
              </w:rPr>
              <w:t>(</w:t>
            </w:r>
            <w:r w:rsidR="000B4E2C" w:rsidRPr="000B4E2C">
              <w:rPr>
                <w:rFonts w:eastAsia="AdvTTd877c31c+22"/>
                <w:color w:val="00B0F0"/>
                <w:sz w:val="22"/>
                <w:lang w:val="en-GB"/>
              </w:rPr>
              <w:t>≥</w:t>
            </w:r>
            <w:r w:rsidR="000B4E2C" w:rsidRPr="000B4E2C">
              <w:rPr>
                <w:rFonts w:eastAsia="AdvTTd877c31c+22"/>
                <w:color w:val="00B0F0"/>
                <w:sz w:val="22"/>
                <w:lang w:val="en-GB"/>
              </w:rPr>
              <w:t> </w:t>
            </w:r>
            <w:r w:rsidRPr="000B4E2C">
              <w:rPr>
                <w:rFonts w:eastAsiaTheme="minorHAnsi"/>
                <w:sz w:val="22"/>
                <w:lang w:val="en-GB"/>
              </w:rPr>
              <w:t xml:space="preserve">354 μmol/l) with an absolute increase of </w:t>
            </w:r>
            <w:r w:rsidR="000B4E2C" w:rsidRPr="000B4E2C">
              <w:rPr>
                <w:rFonts w:eastAsia="AdvTTd877c31c+22"/>
                <w:color w:val="00B0F0"/>
                <w:sz w:val="22"/>
                <w:lang w:val="en-GB"/>
              </w:rPr>
              <w:t>≥</w:t>
            </w:r>
            <w:r w:rsidR="000B4E2C" w:rsidRPr="000B4E2C">
              <w:rPr>
                <w:rFonts w:eastAsia="AdvTTd877c31c+22"/>
                <w:color w:val="00B0F0"/>
                <w:sz w:val="22"/>
                <w:lang w:val="en-GB"/>
              </w:rPr>
              <w:t> </w:t>
            </w:r>
            <w:r w:rsidRPr="000B4E2C">
              <w:rPr>
                <w:rFonts w:eastAsiaTheme="minorHAnsi"/>
                <w:sz w:val="22"/>
                <w:lang w:val="en-GB"/>
              </w:rPr>
              <w:t>0.5 mg/dl (</w:t>
            </w:r>
            <w:r w:rsidR="000B4E2C" w:rsidRPr="000B4E2C">
              <w:rPr>
                <w:rFonts w:eastAsia="AdvTTd877c31c+22"/>
                <w:color w:val="00B0F0"/>
                <w:sz w:val="22"/>
                <w:lang w:val="en-GB"/>
              </w:rPr>
              <w:t>≥</w:t>
            </w:r>
            <w:r w:rsidR="000B4E2C" w:rsidRPr="000B4E2C">
              <w:rPr>
                <w:rFonts w:eastAsia="AdvTTd877c31c+22"/>
                <w:color w:val="00B0F0"/>
                <w:sz w:val="22"/>
                <w:lang w:val="en-GB"/>
              </w:rPr>
              <w:t> </w:t>
            </w:r>
            <w:r w:rsidRPr="000B4E2C">
              <w:rPr>
                <w:rFonts w:eastAsiaTheme="minorHAnsi"/>
                <w:sz w:val="22"/>
                <w:lang w:val="en-GB"/>
              </w:rPr>
              <w:t>44 μmol/l) or initiation of</w:t>
            </w:r>
          </w:p>
          <w:p w14:paraId="52916B3C" w14:textId="6CAD9B46" w:rsidR="002F0133" w:rsidRPr="000B4E2C" w:rsidRDefault="002F0133" w:rsidP="008A7464">
            <w:pPr>
              <w:rPr>
                <w:sz w:val="22"/>
                <w:lang w:val="en-GB"/>
              </w:rPr>
            </w:pPr>
            <w:r w:rsidRPr="000B4E2C">
              <w:rPr>
                <w:rFonts w:eastAsiaTheme="minorHAnsi"/>
                <w:sz w:val="22"/>
                <w:lang w:val="en-GB"/>
              </w:rPr>
              <w:t xml:space="preserve">RRT or urine output </w:t>
            </w:r>
            <w:r w:rsidR="000B4E2C" w:rsidRPr="000B4E2C">
              <w:rPr>
                <w:rFonts w:eastAsiaTheme="minorHAnsi"/>
                <w:color w:val="00B0F0"/>
                <w:sz w:val="22"/>
                <w:lang w:val="en-GB"/>
              </w:rPr>
              <w:t>&lt;</w:t>
            </w:r>
            <w:r w:rsidR="000B4E2C" w:rsidRPr="000B4E2C">
              <w:rPr>
                <w:rFonts w:eastAsiaTheme="minorHAnsi"/>
                <w:color w:val="00B0F0"/>
                <w:sz w:val="22"/>
                <w:lang w:val="en-GB"/>
              </w:rPr>
              <w:t> </w:t>
            </w:r>
            <w:r w:rsidRPr="000B4E2C">
              <w:rPr>
                <w:rFonts w:eastAsiaTheme="minorHAnsi"/>
                <w:sz w:val="22"/>
                <w:lang w:val="en-GB"/>
              </w:rPr>
              <w:t xml:space="preserve">0.3 ml/kg/hour for </w:t>
            </w:r>
            <w:r w:rsidR="000B4E2C" w:rsidRPr="000B4E2C">
              <w:rPr>
                <w:rFonts w:eastAsia="AdvTTd877c31c+22"/>
                <w:color w:val="00B0F0"/>
                <w:sz w:val="22"/>
                <w:lang w:val="en-GB"/>
              </w:rPr>
              <w:t>≥</w:t>
            </w:r>
            <w:r w:rsidR="000B4E2C" w:rsidRPr="000B4E2C">
              <w:rPr>
                <w:rFonts w:eastAsia="AdvTTd877c31c+22"/>
                <w:color w:val="00B0F0"/>
                <w:sz w:val="22"/>
                <w:lang w:val="en-GB"/>
              </w:rPr>
              <w:t> </w:t>
            </w:r>
            <w:r w:rsidRPr="000B4E2C">
              <w:rPr>
                <w:rFonts w:eastAsiaTheme="minorHAnsi"/>
                <w:sz w:val="22"/>
                <w:lang w:val="en-GB"/>
              </w:rPr>
              <w:t xml:space="preserve">24 hours or anuria for </w:t>
            </w:r>
            <w:r w:rsidR="000B4E2C" w:rsidRPr="000B4E2C">
              <w:rPr>
                <w:rFonts w:eastAsia="AdvTTd877c31c+22"/>
                <w:color w:val="00B0F0"/>
                <w:sz w:val="22"/>
                <w:lang w:val="en-GB"/>
              </w:rPr>
              <w:t>≥</w:t>
            </w:r>
            <w:r w:rsidR="000B4E2C" w:rsidRPr="000B4E2C">
              <w:rPr>
                <w:rFonts w:eastAsia="AdvTTd877c31c+22"/>
                <w:color w:val="00B0F0"/>
                <w:sz w:val="22"/>
                <w:lang w:val="en-GB"/>
              </w:rPr>
              <w:t> </w:t>
            </w:r>
            <w:r w:rsidRPr="000B4E2C">
              <w:rPr>
                <w:rFonts w:eastAsiaTheme="minorHAnsi"/>
                <w:sz w:val="22"/>
                <w:lang w:val="en-GB"/>
              </w:rPr>
              <w:t>12 hours</w:t>
            </w:r>
          </w:p>
        </w:tc>
      </w:tr>
      <w:tr w:rsidR="002F0133" w:rsidRPr="000B4E2C" w14:paraId="5845C11D" w14:textId="77777777" w:rsidTr="000B4E2C">
        <w:trPr>
          <w:cantSplit/>
          <w:tblHeader/>
        </w:trPr>
        <w:tc>
          <w:tcPr>
            <w:tcW w:w="0" w:type="auto"/>
            <w:gridSpan w:val="3"/>
            <w:shd w:val="clear" w:color="auto" w:fill="auto"/>
          </w:tcPr>
          <w:p w14:paraId="345C0199" w14:textId="77777777" w:rsidR="000B4E2C" w:rsidRPr="000B4E2C" w:rsidRDefault="002F0133" w:rsidP="008A7464">
            <w:pPr>
              <w:rPr>
                <w:lang w:val="en-GB"/>
              </w:rPr>
            </w:pPr>
            <w:r w:rsidRPr="000B4E2C">
              <w:rPr>
                <w:lang w:val="en-GB"/>
              </w:rPr>
              <w:t>* The rise is known (based on previous blood tests) or presumed (based on history) to have occurred within 7 days.</w:t>
            </w:r>
          </w:p>
          <w:p w14:paraId="6C8C2A75" w14:textId="24C4FE49" w:rsidR="002F0133" w:rsidRPr="000B4E2C" w:rsidRDefault="002F0133" w:rsidP="008A7464">
            <w:pPr>
              <w:rPr>
                <w:sz w:val="22"/>
                <w:lang w:val="en-GB"/>
              </w:rPr>
            </w:pPr>
            <w:r w:rsidRPr="000B4E2C">
              <w:rPr>
                <w:lang w:val="en-GB"/>
              </w:rPr>
              <w:t>** Measurement of urine output may not be practical in a primary care population, but can be considered in a person with a catheter.</w:t>
            </w:r>
          </w:p>
        </w:tc>
      </w:tr>
    </w:tbl>
    <w:p w14:paraId="1BE2F894" w14:textId="77777777" w:rsidR="000B4E2C" w:rsidRPr="000B4E2C" w:rsidRDefault="002F0133" w:rsidP="008A7464">
      <w:pPr>
        <w:rPr>
          <w:lang w:val="en-GB"/>
        </w:rPr>
      </w:pPr>
      <w:r w:rsidRPr="000B4E2C">
        <w:rPr>
          <w:lang w:val="en-GB"/>
        </w:rPr>
        <w:t>Source: NICE Clinical knowledge summaries on acute kidney injury (2018)</w:t>
      </w:r>
      <w:r w:rsidR="005B5026" w:rsidRPr="000B4E2C">
        <w:rPr>
          <w:noProof/>
          <w:vertAlign w:val="superscript"/>
          <w:lang w:val="en-GB"/>
        </w:rPr>
        <w:t>12</w:t>
      </w:r>
    </w:p>
    <w:p w14:paraId="6D34E912" w14:textId="42784B06" w:rsidR="002F0133" w:rsidRPr="000B4E2C" w:rsidRDefault="002F0133" w:rsidP="008A7464">
      <w:pPr>
        <w:pStyle w:val="Heading2"/>
      </w:pPr>
      <w:bookmarkStart w:id="8" w:name="_Toc386102061"/>
      <w:bookmarkStart w:id="9" w:name="_Toc386459561"/>
      <w:r w:rsidRPr="000B4E2C">
        <w:t>Description of the technologies under assessment</w:t>
      </w:r>
      <w:bookmarkEnd w:id="8"/>
      <w:bookmarkEnd w:id="9"/>
    </w:p>
    <w:p w14:paraId="4F1E63CC" w14:textId="77777777" w:rsidR="000B4E2C" w:rsidRPr="000B4E2C" w:rsidRDefault="002F0133" w:rsidP="008A7464">
      <w:pPr>
        <w:rPr>
          <w:rFonts w:eastAsia="Calibri"/>
          <w:lang w:val="en-GB"/>
        </w:rPr>
      </w:pPr>
      <w:r w:rsidRPr="000B4E2C">
        <w:rPr>
          <w:rFonts w:eastAsia="Calibri"/>
          <w:lang w:val="en-GB"/>
        </w:rPr>
        <w:t xml:space="preserve">The NephroCheck test, the ARCHITECT </w:t>
      </w:r>
      <w:r w:rsidRPr="000B4E2C">
        <w:rPr>
          <w:lang w:val="en-GB"/>
        </w:rPr>
        <w:t>and Alinity Urine NGAL assays</w:t>
      </w:r>
      <w:r w:rsidRPr="000B4E2C">
        <w:rPr>
          <w:rFonts w:eastAsia="Calibri"/>
          <w:lang w:val="en-GB"/>
        </w:rPr>
        <w:t>, the NGAL plasma test and the NGAL urine test may help to assess AKI in critically ill people who are considered for admission to critical care in hospital. These tests may be able to detect kidney injury earlier than methods currently used for monitoring kidney function.</w:t>
      </w:r>
    </w:p>
    <w:p w14:paraId="4966130F" w14:textId="781EC2A6" w:rsidR="002F0133" w:rsidRPr="000B4E2C" w:rsidRDefault="002F0133" w:rsidP="008A7464">
      <w:pPr>
        <w:pStyle w:val="Heading3"/>
        <w:rPr>
          <w:rFonts w:eastAsia="Times New Roman"/>
        </w:rPr>
      </w:pPr>
      <w:r w:rsidRPr="000B4E2C">
        <w:rPr>
          <w:rFonts w:eastAsia="Times New Roman"/>
        </w:rPr>
        <w:lastRenderedPageBreak/>
        <w:t>The NeproCheck test</w:t>
      </w:r>
    </w:p>
    <w:p w14:paraId="5897C142" w14:textId="18018A0A" w:rsidR="000B4E2C" w:rsidRPr="000B4E2C" w:rsidRDefault="002F0133" w:rsidP="008A7464">
      <w:pPr>
        <w:rPr>
          <w:rFonts w:eastAsia="Calibri"/>
          <w:lang w:val="en-GB"/>
        </w:rPr>
      </w:pPr>
      <w:r w:rsidRPr="000B4E2C">
        <w:rPr>
          <w:rFonts w:eastAsia="Calibri"/>
          <w:lang w:val="en-GB"/>
        </w:rPr>
        <w:t>The NephroCheck test (Astute Medical, Inc., USA) measures the level of 2 biomarkers in urine, the TIM</w:t>
      </w:r>
      <w:r w:rsidR="000B4E2C" w:rsidRPr="000B4E2C">
        <w:rPr>
          <w:rFonts w:eastAsia="Calibri"/>
          <w:color w:val="00B0F0"/>
          <w:lang w:val="en-GB"/>
        </w:rPr>
        <w:t>P</w:t>
      </w:r>
      <w:r w:rsidR="000B4E2C" w:rsidRPr="000B4E2C">
        <w:rPr>
          <w:rFonts w:eastAsia="Calibri"/>
          <w:color w:val="00B0F0"/>
          <w:lang w:val="en-GB"/>
        </w:rPr>
        <w:t>-</w:t>
      </w:r>
      <w:r w:rsidR="000B4E2C" w:rsidRPr="000B4E2C">
        <w:rPr>
          <w:rFonts w:eastAsia="Calibri"/>
          <w:color w:val="00B0F0"/>
          <w:lang w:val="en-GB"/>
        </w:rPr>
        <w:t>2</w:t>
      </w:r>
      <w:r w:rsidRPr="000B4E2C">
        <w:rPr>
          <w:rFonts w:eastAsia="Calibri"/>
          <w:lang w:val="en-GB"/>
        </w:rPr>
        <w:t xml:space="preserve"> (tissue inhibitor of metalloproteinase 2) and IGFB</w:t>
      </w:r>
      <w:r w:rsidR="000B4E2C" w:rsidRPr="000B4E2C">
        <w:rPr>
          <w:rFonts w:eastAsia="Calibri"/>
          <w:color w:val="00B0F0"/>
          <w:lang w:val="en-GB"/>
        </w:rPr>
        <w:t>P</w:t>
      </w:r>
      <w:r w:rsidR="000B4E2C" w:rsidRPr="000B4E2C">
        <w:rPr>
          <w:rFonts w:eastAsia="Calibri"/>
          <w:color w:val="00B0F0"/>
          <w:lang w:val="en-GB"/>
        </w:rPr>
        <w:t>-</w:t>
      </w:r>
      <w:r w:rsidR="000B4E2C" w:rsidRPr="000B4E2C">
        <w:rPr>
          <w:rFonts w:eastAsia="Calibri"/>
          <w:color w:val="00B0F0"/>
          <w:lang w:val="en-GB"/>
        </w:rPr>
        <w:t>7</w:t>
      </w:r>
      <w:r w:rsidRPr="000B4E2C">
        <w:rPr>
          <w:rFonts w:eastAsia="Calibri"/>
          <w:lang w:val="en-GB"/>
        </w:rPr>
        <w:t xml:space="preserve"> (insulin-like growth factor binding protein 7), to assess risk of moderate to severe acute kidney injury (defined as per KDIGO guidelines) in the subsequent 12 hours. The test result must be used in conjunction with clinical evaluation and results of other tests such as serum creatinine and urine output.</w:t>
      </w:r>
    </w:p>
    <w:p w14:paraId="29CCF21E" w14:textId="5EC6016B" w:rsidR="000B4E2C" w:rsidRPr="000B4E2C" w:rsidRDefault="002F0133" w:rsidP="008A7464">
      <w:pPr>
        <w:rPr>
          <w:lang w:val="en-GB"/>
        </w:rPr>
      </w:pPr>
      <w:r w:rsidRPr="000B4E2C">
        <w:rPr>
          <w:lang w:val="en-GB"/>
        </w:rPr>
        <w:t>The concentrations of TIM</w:t>
      </w:r>
      <w:r w:rsidR="000B4E2C" w:rsidRPr="000B4E2C">
        <w:rPr>
          <w:color w:val="00B0F0"/>
          <w:lang w:val="en-GB"/>
        </w:rPr>
        <w:t>P</w:t>
      </w:r>
      <w:r w:rsidR="000B4E2C" w:rsidRPr="000B4E2C">
        <w:rPr>
          <w:color w:val="00B0F0"/>
          <w:lang w:val="en-GB"/>
        </w:rPr>
        <w:t>-</w:t>
      </w:r>
      <w:r w:rsidR="000B4E2C" w:rsidRPr="000B4E2C">
        <w:rPr>
          <w:color w:val="00B0F0"/>
          <w:lang w:val="en-GB"/>
        </w:rPr>
        <w:t>2</w:t>
      </w:r>
      <w:r w:rsidRPr="000B4E2C">
        <w:rPr>
          <w:lang w:val="en-GB"/>
        </w:rPr>
        <w:t xml:space="preserve"> and IGFB</w:t>
      </w:r>
      <w:r w:rsidR="000B4E2C" w:rsidRPr="000B4E2C">
        <w:rPr>
          <w:color w:val="00B0F0"/>
          <w:lang w:val="en-GB"/>
        </w:rPr>
        <w:t>P</w:t>
      </w:r>
      <w:r w:rsidR="000B4E2C" w:rsidRPr="000B4E2C">
        <w:rPr>
          <w:color w:val="00B0F0"/>
          <w:lang w:val="en-GB"/>
        </w:rPr>
        <w:t>-</w:t>
      </w:r>
      <w:r w:rsidR="000B4E2C" w:rsidRPr="000B4E2C">
        <w:rPr>
          <w:color w:val="00B0F0"/>
          <w:lang w:val="en-GB"/>
        </w:rPr>
        <w:t>7</w:t>
      </w:r>
      <w:r w:rsidRPr="000B4E2C">
        <w:rPr>
          <w:lang w:val="en-GB"/>
        </w:rPr>
        <w:t xml:space="preserve"> are used to calculate an AKIRisk score (the concentrations of each [ng/ml] multiplied together and divided by 1,000). A score of 0.3 or less indicates a low risk of developing </w:t>
      </w:r>
      <w:r w:rsidRPr="000B4E2C">
        <w:rPr>
          <w:i/>
          <w:lang w:val="en-GB"/>
        </w:rPr>
        <w:t>moderate to severe</w:t>
      </w:r>
      <w:r w:rsidRPr="000B4E2C">
        <w:rPr>
          <w:lang w:val="en-GB"/>
        </w:rPr>
        <w:t xml:space="preserve"> AKI within 12 hours of assessment, while a score of greater than 0.3 indicates a high risk of developing </w:t>
      </w:r>
      <w:r w:rsidRPr="000B4E2C">
        <w:rPr>
          <w:i/>
          <w:lang w:val="en-GB"/>
        </w:rPr>
        <w:t>moderate to severe</w:t>
      </w:r>
      <w:r w:rsidRPr="000B4E2C">
        <w:rPr>
          <w:lang w:val="en-GB"/>
        </w:rPr>
        <w:t xml:space="preserve"> AKI within 12 hours of assessment</w:t>
      </w:r>
      <w:r w:rsidR="005B5026" w:rsidRPr="000B4E2C">
        <w:rPr>
          <w:noProof/>
          <w:vertAlign w:val="superscript"/>
          <w:lang w:val="en-GB"/>
        </w:rPr>
        <w:t>5</w:t>
      </w:r>
      <w:r w:rsidRPr="000B4E2C">
        <w:rPr>
          <w:lang w:val="en-GB"/>
        </w:rPr>
        <w:t>.</w:t>
      </w:r>
    </w:p>
    <w:p w14:paraId="2EEF82CE" w14:textId="6D1C8B40" w:rsidR="000B4E2C" w:rsidRPr="000B4E2C" w:rsidRDefault="002F0133" w:rsidP="008A7464">
      <w:pPr>
        <w:rPr>
          <w:rFonts w:eastAsia="Calibri"/>
          <w:lang w:val="en-GB"/>
        </w:rPr>
      </w:pPr>
      <w:r w:rsidRPr="000B4E2C">
        <w:rPr>
          <w:rFonts w:eastAsia="Calibri"/>
          <w:lang w:val="en-GB"/>
        </w:rPr>
        <w:t xml:space="preserve">When used with the Astute 140 </w:t>
      </w:r>
      <w:r w:rsidR="000B4E2C" w:rsidRPr="000B4E2C">
        <w:rPr>
          <w:rFonts w:eastAsia="Calibri"/>
          <w:color w:val="00B0F0"/>
          <w:lang w:val="en-GB"/>
        </w:rPr>
        <w:t>Metre</w:t>
      </w:r>
      <w:r w:rsidRPr="000B4E2C">
        <w:rPr>
          <w:rFonts w:eastAsia="Calibri"/>
          <w:lang w:val="en-GB"/>
        </w:rPr>
        <w:t>,NephroCheck test system consists of the following components:</w:t>
      </w:r>
    </w:p>
    <w:p w14:paraId="1E3DD81D" w14:textId="40606AE7" w:rsidR="000B4E2C" w:rsidRPr="000B4E2C" w:rsidRDefault="002F0133" w:rsidP="002F0133">
      <w:pPr>
        <w:pStyle w:val="ListParagraph"/>
        <w:numPr>
          <w:ilvl w:val="0"/>
          <w:numId w:val="18"/>
        </w:numPr>
        <w:rPr>
          <w:rFonts w:eastAsia="Calibri"/>
          <w:lang w:val="de-DE"/>
        </w:rPr>
      </w:pPr>
      <w:r w:rsidRPr="000B4E2C">
        <w:rPr>
          <w:rFonts w:eastAsia="Calibri"/>
          <w:lang w:val="de-DE"/>
        </w:rPr>
        <w:t xml:space="preserve">Astute140 </w:t>
      </w:r>
      <w:r w:rsidR="000B4E2C" w:rsidRPr="000B4E2C">
        <w:rPr>
          <w:rFonts w:eastAsia="Calibri"/>
          <w:color w:val="00B0F0"/>
          <w:lang w:val="de-DE"/>
        </w:rPr>
        <w:t>Metre</w:t>
      </w:r>
      <w:r w:rsidRPr="000B4E2C">
        <w:rPr>
          <w:rFonts w:eastAsia="Calibri"/>
          <w:lang w:val="de-DE"/>
        </w:rPr>
        <w:t xml:space="preserve"> Kit (a benchtop analyser)</w:t>
      </w:r>
    </w:p>
    <w:p w14:paraId="0A09D65D" w14:textId="77777777" w:rsidR="000B4E2C" w:rsidRPr="000B4E2C" w:rsidRDefault="002F0133" w:rsidP="002F0133">
      <w:pPr>
        <w:pStyle w:val="ListParagraph"/>
        <w:numPr>
          <w:ilvl w:val="0"/>
          <w:numId w:val="18"/>
        </w:numPr>
        <w:rPr>
          <w:rFonts w:eastAsia="Calibri"/>
          <w:lang w:val="en-GB"/>
        </w:rPr>
      </w:pPr>
      <w:r w:rsidRPr="000B4E2C">
        <w:rPr>
          <w:rFonts w:eastAsia="Calibri"/>
          <w:lang w:val="en-GB"/>
        </w:rPr>
        <w:t>Astute140 Electronic Quality Control device</w:t>
      </w:r>
    </w:p>
    <w:p w14:paraId="390E7D98" w14:textId="77777777" w:rsidR="000B4E2C" w:rsidRPr="000B4E2C" w:rsidRDefault="002F0133" w:rsidP="002F0133">
      <w:pPr>
        <w:pStyle w:val="ListParagraph"/>
        <w:numPr>
          <w:ilvl w:val="0"/>
          <w:numId w:val="18"/>
        </w:numPr>
        <w:rPr>
          <w:rFonts w:eastAsia="Calibri"/>
          <w:lang w:val="en-GB"/>
        </w:rPr>
      </w:pPr>
      <w:r w:rsidRPr="000B4E2C">
        <w:rPr>
          <w:rFonts w:eastAsia="Calibri"/>
          <w:lang w:val="en-GB"/>
        </w:rPr>
        <w:t>NephroCheck Test Kit (includes a single-use NephroCheck test cartridge and reagents)</w:t>
      </w:r>
    </w:p>
    <w:p w14:paraId="03CBE4E6" w14:textId="77777777" w:rsidR="000B4E2C" w:rsidRPr="000B4E2C" w:rsidRDefault="002F0133" w:rsidP="002F0133">
      <w:pPr>
        <w:pStyle w:val="ListParagraph"/>
        <w:numPr>
          <w:ilvl w:val="0"/>
          <w:numId w:val="18"/>
        </w:numPr>
        <w:rPr>
          <w:rFonts w:eastAsia="Calibri"/>
          <w:lang w:val="en-GB"/>
        </w:rPr>
      </w:pPr>
      <w:r w:rsidRPr="000B4E2C">
        <w:rPr>
          <w:rFonts w:eastAsia="Calibri"/>
          <w:lang w:val="en-GB"/>
        </w:rPr>
        <w:t>NephroCheck Liquid Control kit</w:t>
      </w:r>
    </w:p>
    <w:p w14:paraId="68FB22C9" w14:textId="77777777" w:rsidR="000B4E2C" w:rsidRPr="000B4E2C" w:rsidRDefault="002F0133" w:rsidP="002F0133">
      <w:pPr>
        <w:pStyle w:val="ListParagraph"/>
        <w:numPr>
          <w:ilvl w:val="0"/>
          <w:numId w:val="18"/>
        </w:numPr>
        <w:rPr>
          <w:rFonts w:eastAsia="Calibri"/>
          <w:lang w:val="en-GB"/>
        </w:rPr>
      </w:pPr>
      <w:r w:rsidRPr="000B4E2C">
        <w:rPr>
          <w:rFonts w:eastAsia="Calibri"/>
          <w:lang w:val="en-GB"/>
        </w:rPr>
        <w:t>NephroCheck Calibration Verification kit</w:t>
      </w:r>
    </w:p>
    <w:p w14:paraId="1350D501" w14:textId="4C9032EA" w:rsidR="000B4E2C" w:rsidRPr="000B4E2C" w:rsidRDefault="002F0133" w:rsidP="008A7464">
      <w:pPr>
        <w:rPr>
          <w:lang w:val="en-GB"/>
        </w:rPr>
      </w:pPr>
      <w:r w:rsidRPr="000B4E2C">
        <w:rPr>
          <w:lang w:val="en-GB"/>
        </w:rPr>
        <w:t xml:space="preserve">A fresh or thawed urine sample (mixed with reagent) is added to a single-use test cartridge, which is then inserted into an Astute140 </w:t>
      </w:r>
      <w:r w:rsidR="000B4E2C" w:rsidRPr="000B4E2C">
        <w:rPr>
          <w:color w:val="00B0F0"/>
          <w:lang w:val="en-GB"/>
        </w:rPr>
        <w:t>Metre</w:t>
      </w:r>
      <w:r w:rsidRPr="000B4E2C">
        <w:rPr>
          <w:lang w:val="en-GB"/>
        </w:rPr>
        <w:t xml:space="preserve"> for incubation and result calculation. Preparation takes 3 to 5 minutes and results of NephroCheck are available in about 20 minutes. In the NHS, the Astute 140 </w:t>
      </w:r>
      <w:r w:rsidR="000B4E2C" w:rsidRPr="000B4E2C">
        <w:rPr>
          <w:color w:val="00B0F0"/>
          <w:lang w:val="en-GB"/>
        </w:rPr>
        <w:t>Metre</w:t>
      </w:r>
      <w:r w:rsidRPr="000B4E2C">
        <w:rPr>
          <w:lang w:val="en-GB"/>
        </w:rPr>
        <w:t xml:space="preserve"> would be used in a laboratory and not at the point of care.</w:t>
      </w:r>
    </w:p>
    <w:p w14:paraId="19C05C0A" w14:textId="77777777" w:rsidR="000B4E2C" w:rsidRPr="000B4E2C" w:rsidRDefault="002F0133" w:rsidP="008A7464">
      <w:pPr>
        <w:rPr>
          <w:lang w:val="en-GB"/>
        </w:rPr>
      </w:pPr>
      <w:r w:rsidRPr="000B4E2C">
        <w:rPr>
          <w:lang w:val="en-GB"/>
        </w:rPr>
        <w:t>The test can also be run on the VITROS 3600 immunodiagnostic System and on the VITROS 5600 Integrated System clinical chemistry analysers. All systems generate a single numerical result (the AKIRisk score).</w:t>
      </w:r>
    </w:p>
    <w:p w14:paraId="6BEAB964" w14:textId="77777777" w:rsidR="000B4E2C" w:rsidRPr="000B4E2C" w:rsidRDefault="002F0133" w:rsidP="008A7464">
      <w:pPr>
        <w:rPr>
          <w:szCs w:val="24"/>
          <w:lang w:val="en-GB" w:eastAsia="en-GB"/>
        </w:rPr>
      </w:pPr>
      <w:r w:rsidRPr="000B4E2C">
        <w:rPr>
          <w:lang w:val="en-GB" w:eastAsia="en-GB"/>
        </w:rPr>
        <w:t xml:space="preserve">For surgical patients the NephroCheck test is recommended to be administered 2 to 4 hours after surgery. As NephroCheck exhibits a characteristic rise and fall after </w:t>
      </w:r>
      <w:r w:rsidRPr="000B4E2C">
        <w:rPr>
          <w:szCs w:val="24"/>
          <w:lang w:val="en-GB" w:eastAsia="en-GB"/>
        </w:rPr>
        <w:t>various exposures, a second administration of the test within the first 24 hours may be considered</w:t>
      </w:r>
      <w:r w:rsidRPr="000B4E2C">
        <w:rPr>
          <w:szCs w:val="24"/>
        </w:rPr>
        <w:t xml:space="preserve"> in patients with an ongoing risk of developing AKI.</w:t>
      </w:r>
    </w:p>
    <w:p w14:paraId="2785CC50" w14:textId="77777777" w:rsidR="000B4E2C" w:rsidRPr="000B4E2C" w:rsidRDefault="002F0133" w:rsidP="008A7464">
      <w:pPr>
        <w:rPr>
          <w:szCs w:val="24"/>
          <w:lang w:val="en-GB" w:eastAsia="en-GB"/>
        </w:rPr>
      </w:pPr>
      <w:r w:rsidRPr="000B4E2C">
        <w:rPr>
          <w:szCs w:val="24"/>
          <w:lang w:val="en-GB" w:eastAsia="en-GB"/>
        </w:rPr>
        <w:t>In the UK, Nephrocheck test is marketed for people aged over 21 years old.</w:t>
      </w:r>
    </w:p>
    <w:p w14:paraId="30A6C497" w14:textId="26D72A7D" w:rsidR="002F0133" w:rsidRPr="000B4E2C" w:rsidRDefault="002F0133" w:rsidP="008A7464">
      <w:pPr>
        <w:pStyle w:val="Heading3"/>
        <w:rPr>
          <w:rFonts w:eastAsia="Times New Roman"/>
        </w:rPr>
      </w:pPr>
      <w:r w:rsidRPr="000B4E2C">
        <w:rPr>
          <w:rFonts w:eastAsia="Times New Roman"/>
        </w:rPr>
        <w:t>Neutrophil gelatinase-associated lipocalin (NGAL) assays</w:t>
      </w:r>
    </w:p>
    <w:p w14:paraId="08D0A57B" w14:textId="77777777" w:rsidR="002F0133" w:rsidRPr="000B4E2C" w:rsidRDefault="002F0133" w:rsidP="008A7464">
      <w:pPr>
        <w:pStyle w:val="Heading4"/>
        <w:rPr>
          <w:rFonts w:eastAsia="Times New Roman"/>
          <w:lang w:val="en-GB"/>
        </w:rPr>
      </w:pPr>
      <w:r w:rsidRPr="000B4E2C">
        <w:rPr>
          <w:rFonts w:eastAsia="Times New Roman"/>
          <w:lang w:val="en-GB"/>
        </w:rPr>
        <w:t>ARCHITECT and Alinity Urine NGAL assays</w:t>
      </w:r>
    </w:p>
    <w:p w14:paraId="226C6A17" w14:textId="77777777" w:rsidR="000B4E2C" w:rsidRPr="000B4E2C" w:rsidRDefault="002F0133" w:rsidP="008A7464">
      <w:pPr>
        <w:rPr>
          <w:rFonts w:eastAsia="Calibri"/>
          <w:lang w:val="en-GB"/>
        </w:rPr>
      </w:pPr>
      <w:r w:rsidRPr="000B4E2C">
        <w:rPr>
          <w:rFonts w:eastAsia="Calibri"/>
          <w:lang w:val="en-GB"/>
        </w:rPr>
        <w:t>The ARCHITECT Urine NGAL assay (Abbot, Germany) is a chemiluminescent micro particle immunoassay for the quantitative determination of NGAL in human urine. NGAL can be used as a marker of kidney injury.</w:t>
      </w:r>
    </w:p>
    <w:p w14:paraId="49C72C23" w14:textId="52FBD6CD" w:rsidR="002F0133" w:rsidRPr="000B4E2C" w:rsidRDefault="002F0133" w:rsidP="008A7464">
      <w:pPr>
        <w:rPr>
          <w:rFonts w:eastAsia="Calibri"/>
          <w:lang w:val="en-GB"/>
        </w:rPr>
      </w:pPr>
      <w:r w:rsidRPr="000B4E2C">
        <w:rPr>
          <w:rFonts w:eastAsia="Calibri"/>
          <w:lang w:val="en-GB"/>
        </w:rPr>
        <w:t>ARCHITECT Urine NGAL assay might be used as follows:</w:t>
      </w:r>
    </w:p>
    <w:p w14:paraId="3335BA99" w14:textId="77777777" w:rsidR="000B4E2C" w:rsidRPr="000B4E2C" w:rsidRDefault="002F0133" w:rsidP="002F0133">
      <w:pPr>
        <w:pStyle w:val="ListParagraph"/>
        <w:numPr>
          <w:ilvl w:val="0"/>
          <w:numId w:val="19"/>
        </w:numPr>
        <w:rPr>
          <w:lang w:val="en-GB"/>
        </w:rPr>
      </w:pPr>
      <w:r w:rsidRPr="000B4E2C">
        <w:rPr>
          <w:lang w:val="en-GB"/>
        </w:rPr>
        <w:t>Early detection of acute kidney injury;</w:t>
      </w:r>
    </w:p>
    <w:p w14:paraId="6930780C" w14:textId="77777777" w:rsidR="000B4E2C" w:rsidRPr="000B4E2C" w:rsidRDefault="002F0133" w:rsidP="002F0133">
      <w:pPr>
        <w:pStyle w:val="ListParagraph"/>
        <w:numPr>
          <w:ilvl w:val="0"/>
          <w:numId w:val="19"/>
        </w:numPr>
        <w:rPr>
          <w:lang w:val="en-GB"/>
        </w:rPr>
      </w:pPr>
      <w:r w:rsidRPr="000B4E2C">
        <w:rPr>
          <w:lang w:val="en-GB"/>
        </w:rPr>
        <w:t>Provides a measure of the severity of acute kidney injury;</w:t>
      </w:r>
    </w:p>
    <w:p w14:paraId="05B0A52F" w14:textId="77777777" w:rsidR="000B4E2C" w:rsidRPr="000B4E2C" w:rsidRDefault="002F0133" w:rsidP="002F0133">
      <w:pPr>
        <w:pStyle w:val="ListParagraph"/>
        <w:numPr>
          <w:ilvl w:val="0"/>
          <w:numId w:val="19"/>
        </w:numPr>
        <w:rPr>
          <w:lang w:val="en-GB"/>
        </w:rPr>
      </w:pPr>
      <w:r w:rsidRPr="000B4E2C">
        <w:rPr>
          <w:lang w:val="en-GB"/>
        </w:rPr>
        <w:t>Predicts the requirement for renal replacement therapy;</w:t>
      </w:r>
    </w:p>
    <w:p w14:paraId="7E78F612" w14:textId="77777777" w:rsidR="000B4E2C" w:rsidRPr="000B4E2C" w:rsidRDefault="002F0133" w:rsidP="002F0133">
      <w:pPr>
        <w:pStyle w:val="ListParagraph"/>
        <w:numPr>
          <w:ilvl w:val="0"/>
          <w:numId w:val="19"/>
        </w:numPr>
        <w:rPr>
          <w:lang w:val="en-GB"/>
        </w:rPr>
      </w:pPr>
      <w:r w:rsidRPr="000B4E2C">
        <w:rPr>
          <w:lang w:val="en-GB"/>
        </w:rPr>
        <w:t>Helps differentiate acute kidney injury from chronic kidney disease and dehydration.</w:t>
      </w:r>
    </w:p>
    <w:p w14:paraId="693376F1" w14:textId="77777777" w:rsidR="000B4E2C" w:rsidRPr="000B4E2C" w:rsidRDefault="002F0133" w:rsidP="008A7464">
      <w:pPr>
        <w:rPr>
          <w:lang w:val="en-GB"/>
        </w:rPr>
      </w:pPr>
      <w:r w:rsidRPr="000B4E2C">
        <w:rPr>
          <w:lang w:val="en-GB"/>
        </w:rPr>
        <w:t>For diagnostic purposes, the test results should be used in conjunction with clinical assessment and the results of any other testing that has been done (including serum creatinine and urine output). In addition, if the NGAL results are inconsistent with clinical assessment and other test results, additional testing can be done to confirm the NGAL results.</w:t>
      </w:r>
    </w:p>
    <w:p w14:paraId="671A20A7" w14:textId="77777777" w:rsidR="000B4E2C" w:rsidRPr="000B4E2C" w:rsidRDefault="002F0133" w:rsidP="008A7464">
      <w:pPr>
        <w:rPr>
          <w:lang w:val="en-GB" w:eastAsia="en-GB"/>
        </w:rPr>
      </w:pPr>
      <w:r w:rsidRPr="000B4E2C">
        <w:rPr>
          <w:lang w:val="en-GB" w:eastAsia="en-GB"/>
        </w:rPr>
        <w:t>The test could be used daily until a diagnosis is made or treatment for acute kidney injury is initiated.</w:t>
      </w:r>
    </w:p>
    <w:p w14:paraId="38AC9A34" w14:textId="3158040B" w:rsidR="000B4E2C" w:rsidRPr="000B4E2C" w:rsidRDefault="002F0133" w:rsidP="008A7464">
      <w:pPr>
        <w:rPr>
          <w:lang w:val="en-GB"/>
        </w:rPr>
      </w:pPr>
      <w:r w:rsidRPr="000B4E2C">
        <w:rPr>
          <w:lang w:val="en-GB"/>
        </w:rPr>
        <w:t>The expected range for the assay (for people without kidney injury) is less than or equal to 131.7 ng/ml, based on the 9</w:t>
      </w:r>
      <w:r w:rsidR="000B4E2C" w:rsidRPr="000B4E2C">
        <w:rPr>
          <w:color w:val="00B0F0"/>
          <w:lang w:val="en-GB"/>
        </w:rPr>
        <w:t>5th</w:t>
      </w:r>
      <w:r w:rsidRPr="000B4E2C">
        <w:rPr>
          <w:lang w:val="en-GB"/>
        </w:rPr>
        <w:t xml:space="preserve"> percentile from specimens from non-hospitalised donors, but results from individual laboratories may vary and the manufacturer recommends that each laboratory should determine its own reference range based upon the particular locale and population characteristics. The test has no age restrictions in use.</w:t>
      </w:r>
    </w:p>
    <w:p w14:paraId="548ADD5D" w14:textId="77777777" w:rsidR="000B4E2C" w:rsidRPr="000B4E2C" w:rsidRDefault="002F0133" w:rsidP="008A7464">
      <w:pPr>
        <w:rPr>
          <w:lang w:val="en-GB"/>
        </w:rPr>
      </w:pPr>
      <w:r w:rsidRPr="000B4E2C">
        <w:rPr>
          <w:lang w:val="en-GB"/>
        </w:rPr>
        <w:t>The assay is run on the ARCHITECT system (i1000SR, i2000, i2000SR, ci4100, ci8200 or ci16200) in a laboratory. The throughput of the system is up to 200 tests per hour, and the time to first result is 36 minutes.</w:t>
      </w:r>
    </w:p>
    <w:p w14:paraId="7FBC9261" w14:textId="50A4923C" w:rsidR="000B4E2C" w:rsidRPr="000B4E2C" w:rsidRDefault="002F0133" w:rsidP="008A7464">
      <w:pPr>
        <w:rPr>
          <w:lang w:val="en-GB"/>
        </w:rPr>
      </w:pPr>
      <w:r w:rsidRPr="000B4E2C">
        <w:rPr>
          <w:lang w:val="en-GB"/>
        </w:rPr>
        <w:t>In addition to the ARCHITECT Urine NGAL Reagent Kit, the following materials are also needed:</w:t>
      </w:r>
    </w:p>
    <w:p w14:paraId="7B196A1F" w14:textId="77777777" w:rsidR="000B4E2C" w:rsidRPr="000B4E2C" w:rsidRDefault="002F0133" w:rsidP="002F0133">
      <w:pPr>
        <w:pStyle w:val="ListParagraph"/>
        <w:numPr>
          <w:ilvl w:val="0"/>
          <w:numId w:val="20"/>
        </w:numPr>
        <w:rPr>
          <w:lang w:val="en-GB"/>
        </w:rPr>
      </w:pPr>
      <w:r w:rsidRPr="000B4E2C">
        <w:rPr>
          <w:lang w:val="en-GB"/>
        </w:rPr>
        <w:t>ARCHITECT Urine NGAL Calibrators</w:t>
      </w:r>
    </w:p>
    <w:p w14:paraId="0FD43970" w14:textId="77777777" w:rsidR="000B4E2C" w:rsidRPr="000B4E2C" w:rsidRDefault="002F0133" w:rsidP="002F0133">
      <w:pPr>
        <w:pStyle w:val="ListParagraph"/>
        <w:numPr>
          <w:ilvl w:val="0"/>
          <w:numId w:val="20"/>
        </w:numPr>
        <w:rPr>
          <w:lang w:val="en-GB"/>
        </w:rPr>
      </w:pPr>
      <w:r w:rsidRPr="000B4E2C">
        <w:rPr>
          <w:lang w:val="en-GB"/>
        </w:rPr>
        <w:t>ARCHITECT Urine NGAL Controls or other control material</w:t>
      </w:r>
    </w:p>
    <w:p w14:paraId="78E0FEAD" w14:textId="77777777" w:rsidR="000B4E2C" w:rsidRPr="000B4E2C" w:rsidRDefault="002F0133" w:rsidP="002F0133">
      <w:pPr>
        <w:pStyle w:val="ListParagraph"/>
        <w:numPr>
          <w:ilvl w:val="0"/>
          <w:numId w:val="20"/>
        </w:numPr>
        <w:rPr>
          <w:lang w:val="en-GB"/>
        </w:rPr>
      </w:pPr>
      <w:r w:rsidRPr="000B4E2C">
        <w:rPr>
          <w:lang w:val="en-GB"/>
        </w:rPr>
        <w:t>ARCHITECT i pre-trigger solution</w:t>
      </w:r>
    </w:p>
    <w:p w14:paraId="43804310" w14:textId="77777777" w:rsidR="000B4E2C" w:rsidRPr="000B4E2C" w:rsidRDefault="002F0133" w:rsidP="002F0133">
      <w:pPr>
        <w:pStyle w:val="ListParagraph"/>
        <w:numPr>
          <w:ilvl w:val="0"/>
          <w:numId w:val="20"/>
        </w:numPr>
        <w:rPr>
          <w:lang w:val="en-GB"/>
        </w:rPr>
      </w:pPr>
      <w:r w:rsidRPr="000B4E2C">
        <w:rPr>
          <w:lang w:val="en-GB"/>
        </w:rPr>
        <w:t>ARCHITECT i trigger solution</w:t>
      </w:r>
    </w:p>
    <w:p w14:paraId="5F2D0DBF" w14:textId="77777777" w:rsidR="000B4E2C" w:rsidRPr="000B4E2C" w:rsidRDefault="002F0133" w:rsidP="002F0133">
      <w:pPr>
        <w:pStyle w:val="ListParagraph"/>
        <w:numPr>
          <w:ilvl w:val="0"/>
          <w:numId w:val="20"/>
        </w:numPr>
        <w:rPr>
          <w:lang w:val="en-GB"/>
        </w:rPr>
      </w:pPr>
      <w:r w:rsidRPr="000B4E2C">
        <w:rPr>
          <w:lang w:val="en-GB"/>
        </w:rPr>
        <w:t>ARCHITECT i wash buffer</w:t>
      </w:r>
    </w:p>
    <w:p w14:paraId="538FF029" w14:textId="77777777" w:rsidR="000B4E2C" w:rsidRPr="000B4E2C" w:rsidRDefault="002F0133" w:rsidP="002F0133">
      <w:pPr>
        <w:pStyle w:val="ListParagraph"/>
        <w:numPr>
          <w:ilvl w:val="0"/>
          <w:numId w:val="20"/>
        </w:numPr>
        <w:rPr>
          <w:lang w:val="en-GB"/>
        </w:rPr>
      </w:pPr>
      <w:r w:rsidRPr="000B4E2C">
        <w:rPr>
          <w:lang w:val="en-GB"/>
        </w:rPr>
        <w:t>ARCHITECT i reaction vessels</w:t>
      </w:r>
    </w:p>
    <w:p w14:paraId="3463C38C" w14:textId="77777777" w:rsidR="000B4E2C" w:rsidRPr="000B4E2C" w:rsidRDefault="002F0133" w:rsidP="002F0133">
      <w:pPr>
        <w:pStyle w:val="ListParagraph"/>
        <w:numPr>
          <w:ilvl w:val="0"/>
          <w:numId w:val="20"/>
        </w:numPr>
        <w:rPr>
          <w:lang w:val="en-GB"/>
        </w:rPr>
      </w:pPr>
      <w:r w:rsidRPr="000B4E2C">
        <w:rPr>
          <w:lang w:val="en-GB"/>
        </w:rPr>
        <w:t>ARCHITECT i sample cups</w:t>
      </w:r>
    </w:p>
    <w:p w14:paraId="3E71CF06" w14:textId="77777777" w:rsidR="000B4E2C" w:rsidRPr="000B4E2C" w:rsidRDefault="002F0133" w:rsidP="002F0133">
      <w:pPr>
        <w:pStyle w:val="ListParagraph"/>
        <w:numPr>
          <w:ilvl w:val="0"/>
          <w:numId w:val="20"/>
        </w:numPr>
        <w:rPr>
          <w:lang w:val="en-GB"/>
        </w:rPr>
      </w:pPr>
      <w:r w:rsidRPr="000B4E2C">
        <w:rPr>
          <w:lang w:val="en-GB"/>
        </w:rPr>
        <w:t>ARCHITECT i septum</w:t>
      </w:r>
    </w:p>
    <w:p w14:paraId="39647916" w14:textId="77777777" w:rsidR="000B4E2C" w:rsidRPr="000B4E2C" w:rsidRDefault="002F0133" w:rsidP="002F0133">
      <w:pPr>
        <w:pStyle w:val="ListParagraph"/>
        <w:numPr>
          <w:ilvl w:val="0"/>
          <w:numId w:val="20"/>
        </w:numPr>
        <w:rPr>
          <w:lang w:val="en-GB"/>
        </w:rPr>
      </w:pPr>
      <w:r w:rsidRPr="000B4E2C">
        <w:rPr>
          <w:lang w:val="en-GB"/>
        </w:rPr>
        <w:t>ARCHITECT i replacement caps</w:t>
      </w:r>
    </w:p>
    <w:p w14:paraId="273AA20A" w14:textId="77777777" w:rsidR="000B4E2C" w:rsidRPr="000B4E2C" w:rsidRDefault="002F0133" w:rsidP="008A7464">
      <w:pPr>
        <w:rPr>
          <w:lang w:val="en-GB"/>
        </w:rPr>
      </w:pPr>
      <w:bookmarkStart w:id="10" w:name="_Hlk17987328"/>
      <w:r w:rsidRPr="000B4E2C">
        <w:lastRenderedPageBreak/>
        <w:t>The Abbott NGAL assay is also available for use on Alinity immunoassay analyser</w:t>
      </w:r>
      <w:bookmarkEnd w:id="10"/>
      <w:r w:rsidRPr="000B4E2C">
        <w:t>, The reagents for the Alinity and ARCHITECT NGAL assays are the same.</w:t>
      </w:r>
    </w:p>
    <w:p w14:paraId="40F0F3C5" w14:textId="09C0098A" w:rsidR="002F0133" w:rsidRPr="000B4E2C" w:rsidRDefault="002F0133" w:rsidP="008A7464">
      <w:pPr>
        <w:pStyle w:val="Heading4"/>
        <w:rPr>
          <w:rFonts w:eastAsia="Times New Roman"/>
          <w:lang w:val="en-GB"/>
        </w:rPr>
      </w:pPr>
      <w:r w:rsidRPr="000B4E2C">
        <w:rPr>
          <w:rFonts w:eastAsia="Times New Roman"/>
          <w:lang w:val="en-GB"/>
        </w:rPr>
        <w:t xml:space="preserve">The </w:t>
      </w:r>
      <w:r w:rsidR="009D7F5A" w:rsidRPr="000B4E2C">
        <w:rPr>
          <w:rFonts w:eastAsia="Times New Roman"/>
          <w:lang w:val="en-GB"/>
        </w:rPr>
        <w:t>BioPorto</w:t>
      </w:r>
      <w:r w:rsidRPr="000B4E2C">
        <w:rPr>
          <w:rFonts w:eastAsia="Times New Roman"/>
          <w:lang w:val="en-GB"/>
        </w:rPr>
        <w:t xml:space="preserve"> NGAL Test (using urine or plasma)</w:t>
      </w:r>
    </w:p>
    <w:p w14:paraId="037F4E08" w14:textId="77777777" w:rsidR="000B4E2C" w:rsidRPr="000B4E2C" w:rsidRDefault="002F0133" w:rsidP="008A7464">
      <w:pPr>
        <w:rPr>
          <w:lang w:val="en-GB"/>
        </w:rPr>
      </w:pPr>
      <w:r w:rsidRPr="000B4E2C">
        <w:rPr>
          <w:lang w:val="en-GB"/>
        </w:rPr>
        <w:t xml:space="preserve">The </w:t>
      </w:r>
      <w:r w:rsidR="009D7F5A" w:rsidRPr="000B4E2C">
        <w:rPr>
          <w:lang w:val="en-GB"/>
        </w:rPr>
        <w:t>BioPorto</w:t>
      </w:r>
      <w:r w:rsidRPr="000B4E2C">
        <w:rPr>
          <w:lang w:val="en-GB"/>
        </w:rPr>
        <w:t xml:space="preserve"> NGAL Test (</w:t>
      </w:r>
      <w:r w:rsidR="009D7F5A" w:rsidRPr="000B4E2C">
        <w:rPr>
          <w:lang w:val="en-GB"/>
        </w:rPr>
        <w:t>BioPorto</w:t>
      </w:r>
      <w:r w:rsidRPr="000B4E2C">
        <w:rPr>
          <w:lang w:val="en-GB"/>
        </w:rPr>
        <w:t xml:space="preserve"> Diagnostics, Denmark)</w:t>
      </w:r>
      <w:r w:rsidRPr="000B4E2C">
        <w:rPr>
          <w:i/>
          <w:lang w:val="en-GB"/>
        </w:rPr>
        <w:t xml:space="preserve"> </w:t>
      </w:r>
      <w:r w:rsidRPr="000B4E2C">
        <w:rPr>
          <w:lang w:val="en-GB"/>
        </w:rPr>
        <w:t xml:space="preserve">is particle-enhanced turbidimetric immunoassay for the quantitative determination of NGAL in human urine, EDTA plasma and heparin plasma on automated clinical chemistry analysers. NGAL measurements may be useful in pre-empting the diagnosis of acute kidney injury, which may </w:t>
      </w:r>
      <w:r w:rsidRPr="000B4E2C">
        <w:rPr>
          <w:highlight w:val="magenta"/>
          <w:lang w:val="en-GB"/>
        </w:rPr>
        <w:t>lead</w:t>
      </w:r>
      <w:r w:rsidRPr="000B4E2C">
        <w:rPr>
          <w:lang w:val="en-GB"/>
        </w:rPr>
        <w:t xml:space="preserve"> to acute renal failure. Urinary NGAL can serve as an early marker of acute kidney injury after cardiopulmonary bypass surgery and both urinary and plasma levels of NGAL provide an early indication of acute renal injury in unselected patients in intensive care.</w:t>
      </w:r>
    </w:p>
    <w:p w14:paraId="6D6BC68C" w14:textId="77777777" w:rsidR="000B4E2C" w:rsidRPr="000B4E2C" w:rsidRDefault="002F0133" w:rsidP="008A7464">
      <w:pPr>
        <w:rPr>
          <w:lang w:val="en-GB"/>
        </w:rPr>
      </w:pPr>
      <w:r w:rsidRPr="000B4E2C">
        <w:rPr>
          <w:lang w:val="en-GB"/>
        </w:rPr>
        <w:t>The NGAL test is intended to be used alongside monitoring of serum creatinine and urine output (not as a stand-alone test) and the significance of any raised NGAL level should be interpreted in the light of a patient</w:t>
      </w:r>
      <w:r w:rsidR="0072128A" w:rsidRPr="000B4E2C">
        <w:rPr>
          <w:color w:val="00B0F0"/>
          <w:lang w:val="en-GB"/>
        </w:rPr>
        <w:t>$$SingleQuoteE$$</w:t>
      </w:r>
      <w:r w:rsidRPr="000B4E2C">
        <w:rPr>
          <w:lang w:val="en-GB"/>
        </w:rPr>
        <w:t>s clinical features.</w:t>
      </w:r>
    </w:p>
    <w:p w14:paraId="33064422" w14:textId="77777777" w:rsidR="000B4E2C" w:rsidRPr="000B4E2C" w:rsidRDefault="002F0133" w:rsidP="008A7464">
      <w:r w:rsidRPr="000B4E2C">
        <w:rPr>
          <w:lang w:val="en-GB" w:eastAsia="en-GB"/>
        </w:rPr>
        <w:t xml:space="preserve">The NGAL test can be administered as a single measurement but also as a serial measurement to detect any further development of acute kidney injury during hospitalisation, or any </w:t>
      </w:r>
      <w:r w:rsidRPr="000B4E2C">
        <w:t>improvement in the clinical condition. In patients admitted to intensive care the test can be used to predict stage 2/3 AKI or as a negative predictive marker to rule out the presence of acute kidney injury.</w:t>
      </w:r>
    </w:p>
    <w:p w14:paraId="06E0D4C3" w14:textId="77777777" w:rsidR="000B4E2C" w:rsidRPr="000B4E2C" w:rsidRDefault="002F0133" w:rsidP="008A7464">
      <w:pPr>
        <w:rPr>
          <w:lang w:val="en-GB"/>
        </w:rPr>
      </w:pPr>
      <w:r w:rsidRPr="000B4E2C">
        <w:rPr>
          <w:lang w:val="en-GB"/>
        </w:rPr>
        <w:t>To indicate the presence of acute kidney injury, NGAL concentration in an isolated sample of urine and/or EDTA plasma should exceed 250 ng/mL. This threshold has been chosen to minimise the risk of an unacceptably high proportion of false positive results.</w:t>
      </w:r>
    </w:p>
    <w:p w14:paraId="3FDC56D1" w14:textId="77777777" w:rsidR="000B4E2C" w:rsidRPr="000B4E2C" w:rsidRDefault="002F0133" w:rsidP="008A7464">
      <w:pPr>
        <w:rPr>
          <w:lang w:val="en-GB"/>
        </w:rPr>
      </w:pPr>
      <w:r w:rsidRPr="000B4E2C">
        <w:rPr>
          <w:lang w:val="en-GB"/>
        </w:rPr>
        <w:t>The assay can be run on clinical chemistry analyser systems from Roche (Cobas, Modular P), Siemens (ADVIA), Abbott (AEROSET, ARCHITECT) and Beckman Coulter (Olympus AU) in a laboratoty. The assay time is 10 minutes.</w:t>
      </w:r>
    </w:p>
    <w:p w14:paraId="3953DAA9" w14:textId="7A4EE60C" w:rsidR="000B4E2C" w:rsidRPr="000B4E2C" w:rsidRDefault="002F0133" w:rsidP="008A7464">
      <w:pPr>
        <w:rPr>
          <w:lang w:val="en-GB"/>
        </w:rPr>
      </w:pPr>
      <w:r w:rsidRPr="000B4E2C">
        <w:rPr>
          <w:lang w:val="en-GB"/>
        </w:rPr>
        <w:t>In addition to the NGAL Test Reagent Kit, the following materials are also needed:</w:t>
      </w:r>
    </w:p>
    <w:p w14:paraId="336D3257" w14:textId="77777777" w:rsidR="000B4E2C" w:rsidRPr="000B4E2C" w:rsidRDefault="002F0133" w:rsidP="002F0133">
      <w:pPr>
        <w:pStyle w:val="ListParagraph"/>
        <w:numPr>
          <w:ilvl w:val="0"/>
          <w:numId w:val="21"/>
        </w:numPr>
        <w:rPr>
          <w:lang w:val="en-GB"/>
        </w:rPr>
      </w:pPr>
      <w:r w:rsidRPr="000B4E2C">
        <w:rPr>
          <w:lang w:val="en-GB"/>
        </w:rPr>
        <w:t>The NGAL Test Calibrator Kit</w:t>
      </w:r>
    </w:p>
    <w:p w14:paraId="172E47FA" w14:textId="77777777" w:rsidR="000B4E2C" w:rsidRPr="000B4E2C" w:rsidRDefault="002F0133" w:rsidP="002F0133">
      <w:pPr>
        <w:pStyle w:val="ListParagraph"/>
        <w:numPr>
          <w:ilvl w:val="0"/>
          <w:numId w:val="21"/>
        </w:numPr>
        <w:rPr>
          <w:lang w:val="en-GB"/>
        </w:rPr>
      </w:pPr>
      <w:r w:rsidRPr="000B4E2C">
        <w:rPr>
          <w:lang w:val="en-GB"/>
        </w:rPr>
        <w:t>The NGAL Test Control Kit</w:t>
      </w:r>
    </w:p>
    <w:p w14:paraId="486D5254" w14:textId="77777777" w:rsidR="000B4E2C" w:rsidRPr="000B4E2C" w:rsidRDefault="002F0133" w:rsidP="002F0133">
      <w:pPr>
        <w:pStyle w:val="ListParagraph"/>
        <w:numPr>
          <w:ilvl w:val="0"/>
          <w:numId w:val="21"/>
        </w:numPr>
        <w:rPr>
          <w:lang w:val="en-GB"/>
        </w:rPr>
      </w:pPr>
      <w:r w:rsidRPr="000B4E2C">
        <w:rPr>
          <w:lang w:val="en-GB"/>
        </w:rPr>
        <w:t>0.9% w/v aqueous sodium chloride solution as zero calibrator</w:t>
      </w:r>
    </w:p>
    <w:p w14:paraId="00662947" w14:textId="11030C66" w:rsidR="000B4E2C" w:rsidRPr="000B4E2C" w:rsidRDefault="000B4E2C" w:rsidP="002F0133">
      <w:pPr>
        <w:pStyle w:val="ListParagraph"/>
        <w:numPr>
          <w:ilvl w:val="0"/>
          <w:numId w:val="21"/>
        </w:numPr>
        <w:rPr>
          <w:lang w:val="en-GB"/>
        </w:rPr>
      </w:pPr>
      <w:r w:rsidRPr="000B4E2C">
        <w:rPr>
          <w:color w:val="00B0F0"/>
          <w:lang w:val="en-GB"/>
        </w:rPr>
        <w:t>Analyser</w:t>
      </w:r>
      <w:r w:rsidR="002F0133" w:rsidRPr="000B4E2C">
        <w:rPr>
          <w:lang w:val="en-GB"/>
        </w:rPr>
        <w:t>-specific reagent containers</w:t>
      </w:r>
    </w:p>
    <w:p w14:paraId="3D8C8503" w14:textId="77777777" w:rsidR="000B4E2C" w:rsidRPr="000B4E2C" w:rsidRDefault="002F0133" w:rsidP="008A7464">
      <w:pPr>
        <w:rPr>
          <w:lang w:val="en-GB"/>
        </w:rPr>
      </w:pPr>
      <w:r w:rsidRPr="000B4E2C">
        <w:rPr>
          <w:lang w:val="en-GB"/>
        </w:rPr>
        <w:t>At present, the test has no age restrictions on use.</w:t>
      </w:r>
    </w:p>
    <w:p w14:paraId="7129F919" w14:textId="6A4A402A" w:rsidR="002F0133" w:rsidRPr="000B4E2C" w:rsidRDefault="002F0133" w:rsidP="008A7464">
      <w:pPr>
        <w:pStyle w:val="Heading3"/>
      </w:pPr>
      <w:r w:rsidRPr="000B4E2C">
        <w:t>Identification of important sub-groups</w:t>
      </w:r>
    </w:p>
    <w:p w14:paraId="226CD307" w14:textId="77777777" w:rsidR="000B4E2C" w:rsidRPr="000B4E2C" w:rsidRDefault="002F0133" w:rsidP="008A7464">
      <w:pPr>
        <w:rPr>
          <w:lang w:val="en-GB"/>
        </w:rPr>
      </w:pPr>
      <w:r w:rsidRPr="000B4E2C">
        <w:t xml:space="preserve">The primary scope of this assessment is the optimisation of current secondary care of critically ill patients, to decide whether the use of novel biomarkers would improve detection of AKI and consequently the current care pathway. The relevant population considered in this assessment is critically ill people at risk of developing AKI (i.e., who are having their serum creatinine and urine output monitored) who are being assessed for possible admission to critical care. In most studies conducted outside UK, critically ill participants are usually admitted to critical or intensive care </w:t>
      </w:r>
      <w:r w:rsidRPr="000B4E2C">
        <w:rPr>
          <w:highlight w:val="magenta"/>
        </w:rPr>
        <w:t>due to</w:t>
      </w:r>
      <w:r w:rsidRPr="000B4E2C">
        <w:t xml:space="preserve"> the variation in intensive care ultilisation across</w:t>
      </w:r>
      <w:r w:rsidRPr="000B4E2C">
        <w:rPr>
          <w:lang w:val="en-GB"/>
        </w:rPr>
        <w:t xml:space="preserve"> the world. The following patient subgroups have been identified as particularly relevant for the purpose of this assessment.</w:t>
      </w:r>
    </w:p>
    <w:p w14:paraId="0756E89E" w14:textId="76D3478D" w:rsidR="002F0133" w:rsidRPr="000B4E2C" w:rsidRDefault="002F0133" w:rsidP="008A7464">
      <w:pPr>
        <w:rPr>
          <w:lang w:val="en-GB"/>
        </w:rPr>
      </w:pPr>
      <w:r w:rsidRPr="000B4E2C">
        <w:rPr>
          <w:lang w:val="en-GB"/>
        </w:rPr>
        <w:t>Relevant subgroups include:</w:t>
      </w:r>
    </w:p>
    <w:p w14:paraId="2C26A1FB" w14:textId="77777777" w:rsidR="002F0133" w:rsidRPr="000B4E2C" w:rsidRDefault="002F0133" w:rsidP="002F0133">
      <w:pPr>
        <w:pStyle w:val="ListParagraph"/>
        <w:numPr>
          <w:ilvl w:val="0"/>
          <w:numId w:val="22"/>
        </w:numPr>
        <w:rPr>
          <w:lang w:val="en-GB"/>
        </w:rPr>
      </w:pPr>
      <w:r w:rsidRPr="000B4E2C">
        <w:rPr>
          <w:lang w:val="en-GB"/>
        </w:rPr>
        <w:t>Type of surgery (e.g., major vascular/cardiac surgery, major non-vascular surgery, trauma, solid organ transplant)</w:t>
      </w:r>
    </w:p>
    <w:p w14:paraId="6120F6F1" w14:textId="77777777" w:rsidR="002F0133" w:rsidRPr="000B4E2C" w:rsidRDefault="002F0133" w:rsidP="002F0133">
      <w:pPr>
        <w:pStyle w:val="ListParagraph"/>
        <w:numPr>
          <w:ilvl w:val="0"/>
          <w:numId w:val="22"/>
        </w:numPr>
        <w:rPr>
          <w:lang w:val="en-GB"/>
        </w:rPr>
      </w:pPr>
      <w:r w:rsidRPr="000B4E2C">
        <w:rPr>
          <w:lang w:val="en-GB"/>
        </w:rPr>
        <w:t>Type of setting (e.g., post-surgery care, cardiac care, intensive or critical care, emergency department)</w:t>
      </w:r>
    </w:p>
    <w:p w14:paraId="48AE76CF" w14:textId="77777777" w:rsidR="002F0133" w:rsidRPr="000B4E2C" w:rsidRDefault="002F0133" w:rsidP="002F0133">
      <w:pPr>
        <w:pStyle w:val="ListParagraph"/>
        <w:numPr>
          <w:ilvl w:val="0"/>
          <w:numId w:val="22"/>
        </w:numPr>
        <w:rPr>
          <w:lang w:val="en-GB"/>
        </w:rPr>
      </w:pPr>
      <w:r w:rsidRPr="000B4E2C">
        <w:rPr>
          <w:lang w:val="en-GB"/>
        </w:rPr>
        <w:t>Type of sample media (i.e., urine, blood plasma)</w:t>
      </w:r>
    </w:p>
    <w:p w14:paraId="6810B552" w14:textId="77777777" w:rsidR="002F0133" w:rsidRPr="000B4E2C" w:rsidRDefault="002F0133" w:rsidP="002F0133">
      <w:pPr>
        <w:pStyle w:val="ListParagraph"/>
        <w:numPr>
          <w:ilvl w:val="0"/>
          <w:numId w:val="22"/>
        </w:numPr>
        <w:rPr>
          <w:lang w:val="en-GB"/>
        </w:rPr>
      </w:pPr>
      <w:r w:rsidRPr="000B4E2C">
        <w:rPr>
          <w:lang w:val="en-GB"/>
        </w:rPr>
        <w:t>People with a different underlying risk of AKI (e.g., people with chronic kidney disease, sepsis, hip fracture, major trauma, chronic liver disease)</w:t>
      </w:r>
    </w:p>
    <w:p w14:paraId="33571634" w14:textId="77777777" w:rsidR="000B4E2C" w:rsidRPr="000B4E2C" w:rsidRDefault="002F0133" w:rsidP="002F0133">
      <w:pPr>
        <w:pStyle w:val="ListParagraph"/>
        <w:numPr>
          <w:ilvl w:val="0"/>
          <w:numId w:val="22"/>
        </w:numPr>
        <w:rPr>
          <w:lang w:val="en-GB"/>
        </w:rPr>
      </w:pPr>
      <w:r w:rsidRPr="000B4E2C">
        <w:rPr>
          <w:lang w:val="en-GB"/>
        </w:rPr>
        <w:t>People with or without urinary infection and other inflammatory conditions (tests may perform differently in these populations)</w:t>
      </w:r>
    </w:p>
    <w:p w14:paraId="65BA77E9" w14:textId="52D7940A" w:rsidR="002F0133" w:rsidRPr="000B4E2C" w:rsidRDefault="002F0133" w:rsidP="008A7464">
      <w:pPr>
        <w:pStyle w:val="Heading2"/>
      </w:pPr>
      <w:r w:rsidRPr="000B4E2C">
        <w:t>Relevant comparator</w:t>
      </w:r>
    </w:p>
    <w:p w14:paraId="0795E67D" w14:textId="77777777" w:rsidR="000B4E2C" w:rsidRPr="000B4E2C" w:rsidRDefault="002F0133" w:rsidP="008A7464">
      <w:pPr>
        <w:rPr>
          <w:lang w:val="en-GB"/>
        </w:rPr>
      </w:pPr>
      <w:r w:rsidRPr="000B4E2C">
        <w:rPr>
          <w:lang w:val="en-GB"/>
        </w:rPr>
        <w:t xml:space="preserve">Novel biomarkers need to be compared for incremental advantage over standard approaches to measuring kidney function. As discussed earlier, AKI diagnosis traditionally relies on a rise in serum creatinine levels and/or fall in urine output. Creatinine has limitations as a biomarker because it depends on the total body muscle mass, which varies between individual people. Some creatinine is also eliminated from the body by mechanisms other than filtering by the kidneys, which can be influenced by a variety of medications, including some commonly used antibiotics. In an illness where kidney function suddenly falls (AKI), there may be a lag of hours to days before creatinine levels in the blood rise to a level sufficient for AKI to be diagnosed according to current international definitions. In addition, in response to stress or even kidney damage, the kidneys have reserve capacity and can compensate so that kidney function is maintained. For this reason, in some clinical settings significant kidney damage can occur without AKI being apparent from changes in blood creatinine. In </w:t>
      </w:r>
      <w:r w:rsidRPr="000B4E2C">
        <w:rPr>
          <w:lang w:val="en-GB"/>
        </w:rPr>
        <w:lastRenderedPageBreak/>
        <w:t>other settings, such as during a temporary reduction in blood flow to kidneys, rises in creatinine and a reduction in urine can occur, even when no significant damage has occurred.</w:t>
      </w:r>
    </w:p>
    <w:p w14:paraId="17E64E51" w14:textId="2EFBA92D" w:rsidR="002F0133" w:rsidRPr="000B4E2C" w:rsidRDefault="002F0133" w:rsidP="008A7464">
      <w:pPr>
        <w:pStyle w:val="Heading2"/>
      </w:pPr>
      <w:r w:rsidRPr="000B4E2C">
        <w:t>Care pathway</w:t>
      </w:r>
    </w:p>
    <w:p w14:paraId="57FD72B0" w14:textId="553D1F8A" w:rsidR="000B4E2C" w:rsidRPr="000B4E2C" w:rsidRDefault="002F0133" w:rsidP="008A7464">
      <w:pPr>
        <w:rPr>
          <w:lang w:val="en-GB"/>
        </w:rPr>
      </w:pPr>
      <w:r w:rsidRPr="000B4E2C">
        <w:rPr>
          <w:lang w:val="en-GB"/>
        </w:rPr>
        <w:t>The NICE clinical guideline on acute kidney injury</w:t>
      </w:r>
      <w:r w:rsidR="005B5026" w:rsidRPr="000B4E2C">
        <w:rPr>
          <w:noProof/>
          <w:vertAlign w:val="superscript"/>
          <w:lang w:val="en-GB"/>
        </w:rPr>
        <w:t>16</w:t>
      </w:r>
      <w:r w:rsidRPr="000B4E2C">
        <w:rPr>
          <w:lang w:val="en-GB"/>
        </w:rPr>
        <w:t xml:space="preserve"> recommends measuring serum creatinine and comparing with baseline for adults, children and young people with acute illness if risk factors for the condition are likely or present. Risk factors include sepsis, </w:t>
      </w:r>
      <w:r w:rsidR="000B4E2C" w:rsidRPr="000B4E2C">
        <w:rPr>
          <w:color w:val="00B0F0"/>
          <w:lang w:val="en-GB"/>
        </w:rPr>
        <w:t>hypovolaemia</w:t>
      </w:r>
      <w:r w:rsidRPr="000B4E2C">
        <w:rPr>
          <w:lang w:val="en-GB"/>
        </w:rPr>
        <w:t xml:space="preserve"> and deteriorating early warning scores (using a paediatric version for children and young people). NHS England and NHS Improvement have endorsed the National Early Warning Score (NEWS) for use in acute and ambulance settings. An updated version of the score (NEWS2)</w:t>
      </w:r>
      <w:r w:rsidR="005B5026" w:rsidRPr="000B4E2C">
        <w:rPr>
          <w:noProof/>
          <w:vertAlign w:val="superscript"/>
          <w:lang w:val="en-GB"/>
        </w:rPr>
        <w:t>17</w:t>
      </w:r>
      <w:r w:rsidRPr="000B4E2C">
        <w:rPr>
          <w:lang w:val="en-GB"/>
        </w:rPr>
        <w:t xml:space="preserve"> was published in December 2017. The score should not be used in children (under 16 years) or pregnant women.</w:t>
      </w:r>
    </w:p>
    <w:p w14:paraId="10476A15" w14:textId="5952CE3A" w:rsidR="000B4E2C" w:rsidRPr="000B4E2C" w:rsidRDefault="002F0133" w:rsidP="008A7464">
      <w:pPr>
        <w:rPr>
          <w:lang w:val="en-GB"/>
        </w:rPr>
      </w:pPr>
      <w:r w:rsidRPr="000B4E2C">
        <w:rPr>
          <w:lang w:val="en-GB"/>
        </w:rPr>
        <w:t xml:space="preserve">The NICE guideline further recommends monitoring serum creatinine regularly in all adults, children and young people with or at risk of acute kidney injury. The guideline development group did not wish to define </w:t>
      </w:r>
      <w:r w:rsidR="000B4E2C" w:rsidRPr="000B4E2C">
        <w:rPr>
          <w:color w:val="00B0F0"/>
          <w:lang w:val="en-GB"/>
        </w:rPr>
        <w:t>‘</w:t>
      </w:r>
      <w:r w:rsidR="0072128A" w:rsidRPr="000B4E2C">
        <w:rPr>
          <w:lang w:val="en-GB"/>
        </w:rPr>
        <w:t>regularly</w:t>
      </w:r>
      <w:r w:rsidR="000B4E2C" w:rsidRPr="000B4E2C">
        <w:rPr>
          <w:color w:val="00B0F0"/>
          <w:lang w:val="en-GB"/>
        </w:rPr>
        <w:t>’</w:t>
      </w:r>
      <w:r w:rsidRPr="000B4E2C">
        <w:rPr>
          <w:lang w:val="en-GB"/>
        </w:rPr>
        <w:t xml:space="preserve"> because this would vary according to clinical need, but recognised that daily measurement was typical while in hospital.</w:t>
      </w:r>
    </w:p>
    <w:p w14:paraId="63905321" w14:textId="77777777" w:rsidR="000B4E2C" w:rsidRPr="000B4E2C" w:rsidRDefault="002F0133" w:rsidP="008A7464">
      <w:pPr>
        <w:rPr>
          <w:lang w:val="en-GB"/>
        </w:rPr>
      </w:pPr>
      <w:r w:rsidRPr="000B4E2C">
        <w:rPr>
          <w:lang w:val="en-GB"/>
        </w:rPr>
        <w:t xml:space="preserve">An </w:t>
      </w:r>
      <w:r w:rsidRPr="000B4E2C">
        <w:rPr>
          <w:b/>
          <w:lang w:val="en-GB"/>
        </w:rPr>
        <w:t>AKI algorithm</w:t>
      </w:r>
      <w:r w:rsidRPr="000B4E2C">
        <w:rPr>
          <w:lang w:val="en-GB"/>
        </w:rPr>
        <w:t xml:space="preserve"> to help with detection and diagnosis of the condition has been endorsed by NHS England</w:t>
      </w:r>
      <w:r w:rsidR="005B5026" w:rsidRPr="000B4E2C">
        <w:rPr>
          <w:noProof/>
          <w:vertAlign w:val="superscript"/>
          <w:lang w:val="en-GB"/>
        </w:rPr>
        <w:t>18</w:t>
      </w:r>
      <w:r w:rsidRPr="000B4E2C">
        <w:rPr>
          <w:lang w:val="en-GB"/>
        </w:rPr>
        <w:t xml:space="preserve">. In some hospitals the algorithm has been integrated into Laboratory Information Management Systems (LIMS) to help identify potential cases of acute kidney injury from laboratory </w:t>
      </w:r>
      <w:r w:rsidRPr="000B4E2C">
        <w:rPr>
          <w:highlight w:val="magenta"/>
          <w:lang w:val="en-GB"/>
        </w:rPr>
        <w:t>data</w:t>
      </w:r>
      <w:r w:rsidRPr="000B4E2C">
        <w:rPr>
          <w:lang w:val="en-GB"/>
        </w:rPr>
        <w:t xml:space="preserve"> in real time.</w:t>
      </w:r>
    </w:p>
    <w:p w14:paraId="40BB82DF" w14:textId="77777777" w:rsidR="000B4E2C" w:rsidRPr="000B4E2C" w:rsidRDefault="002F0133" w:rsidP="008A7464">
      <w:pPr>
        <w:rPr>
          <w:lang w:val="en-GB"/>
        </w:rPr>
      </w:pPr>
      <w:r w:rsidRPr="000B4E2C">
        <w:rPr>
          <w:lang w:val="en-GB"/>
        </w:rPr>
        <w:t xml:space="preserve">The </w:t>
      </w:r>
      <w:r w:rsidRPr="000B4E2C">
        <w:rPr>
          <w:b/>
          <w:lang w:val="en-GB"/>
        </w:rPr>
        <w:t xml:space="preserve">KDIGO Clinical </w:t>
      </w:r>
      <w:r w:rsidRPr="000B4E2C">
        <w:rPr>
          <w:b/>
          <w:highlight w:val="magenta"/>
          <w:lang w:val="en-GB"/>
        </w:rPr>
        <w:t>Practice</w:t>
      </w:r>
      <w:r w:rsidRPr="000B4E2C">
        <w:rPr>
          <w:b/>
          <w:lang w:val="en-GB"/>
        </w:rPr>
        <w:t xml:space="preserve"> Guideline for Acute Kidney Injury</w:t>
      </w:r>
      <w:r w:rsidR="005B5026" w:rsidRPr="000B4E2C">
        <w:rPr>
          <w:noProof/>
          <w:vertAlign w:val="superscript"/>
          <w:lang w:val="en-GB"/>
        </w:rPr>
        <w:t>19</w:t>
      </w:r>
      <w:r w:rsidRPr="000B4E2C">
        <w:rPr>
          <w:lang w:val="en-GB"/>
        </w:rPr>
        <w:t xml:space="preserve"> highlights the importance of screening patients who have had an exposure that may cause acute kidney injury (such as sepsis or trauma) and that high-risk patients should continue to be monitored until risk subsides. The guideline states that intervals of checking serum creatinine is a matter of clinical judgement, but suggest as a general rule that high risk in-patients should have serum creatinine measured at least daily and more frequently after an exposure. Critically ill patients should also have urine output monitoring.</w:t>
      </w:r>
    </w:p>
    <w:p w14:paraId="17365AAA" w14:textId="77777777" w:rsidR="000B4E2C" w:rsidRPr="000B4E2C" w:rsidRDefault="002F0133" w:rsidP="008A7464">
      <w:pPr>
        <w:rPr>
          <w:rFonts w:eastAsia="Calibri"/>
          <w:lang w:val="en-GB"/>
        </w:rPr>
      </w:pPr>
      <w:r w:rsidRPr="000B4E2C">
        <w:rPr>
          <w:rFonts w:eastAsia="Calibri"/>
          <w:lang w:val="en-GB"/>
        </w:rPr>
        <w:t>For adults who are at risk of acute kidney injury, the NICE AKI guideline</w:t>
      </w:r>
      <w:r w:rsidR="005B5026" w:rsidRPr="000B4E2C">
        <w:rPr>
          <w:rFonts w:eastAsia="Calibri"/>
          <w:noProof/>
          <w:vertAlign w:val="superscript"/>
          <w:lang w:val="en-GB"/>
        </w:rPr>
        <w:t>16</w:t>
      </w:r>
      <w:r w:rsidRPr="000B4E2C">
        <w:rPr>
          <w:rFonts w:eastAsia="Calibri"/>
          <w:lang w:val="en-GB"/>
        </w:rPr>
        <w:t xml:space="preserve"> also recommends that systems are in place to recognise and respond to oliguria (urine output less than 0.5 ml/kg/hour).</w:t>
      </w:r>
    </w:p>
    <w:p w14:paraId="563FD414" w14:textId="74987110" w:rsidR="000B4E2C" w:rsidRPr="000B4E2C" w:rsidRDefault="002F0133" w:rsidP="008A7464">
      <w:pPr>
        <w:rPr>
          <w:lang w:val="en-GB"/>
        </w:rPr>
      </w:pPr>
      <w:r w:rsidRPr="000B4E2C">
        <w:rPr>
          <w:rFonts w:eastAsia="Calibri"/>
          <w:lang w:val="en-GB"/>
        </w:rPr>
        <w:t xml:space="preserve">For children and </w:t>
      </w:r>
      <w:r w:rsidRPr="000B4E2C">
        <w:rPr>
          <w:lang w:val="en-GB"/>
        </w:rPr>
        <w:t>young people who are at risk of acute kidney injury, the guideline recommends:</w:t>
      </w:r>
    </w:p>
    <w:p w14:paraId="4FEECC5B" w14:textId="77777777" w:rsidR="000B4E2C" w:rsidRPr="000B4E2C" w:rsidRDefault="002F0133" w:rsidP="002F0133">
      <w:pPr>
        <w:pStyle w:val="ListParagraph"/>
        <w:numPr>
          <w:ilvl w:val="0"/>
          <w:numId w:val="23"/>
        </w:numPr>
        <w:rPr>
          <w:rFonts w:eastAsia="Calibri"/>
          <w:lang w:val="en-GB"/>
        </w:rPr>
      </w:pPr>
      <w:r w:rsidRPr="000B4E2C">
        <w:rPr>
          <w:rFonts w:eastAsia="Calibri"/>
          <w:lang w:val="en-GB"/>
        </w:rPr>
        <w:t>measure urine output</w:t>
      </w:r>
    </w:p>
    <w:p w14:paraId="26F9EE17" w14:textId="77777777" w:rsidR="000B4E2C" w:rsidRPr="000B4E2C" w:rsidRDefault="002F0133" w:rsidP="002F0133">
      <w:pPr>
        <w:pStyle w:val="ListParagraph"/>
        <w:numPr>
          <w:ilvl w:val="0"/>
          <w:numId w:val="23"/>
        </w:numPr>
        <w:rPr>
          <w:lang w:val="en-GB"/>
        </w:rPr>
      </w:pPr>
      <w:r w:rsidRPr="000B4E2C">
        <w:rPr>
          <w:lang w:val="en-GB"/>
        </w:rPr>
        <w:t>record weight twice daily to determine fluid balance</w:t>
      </w:r>
    </w:p>
    <w:p w14:paraId="06FE461B" w14:textId="77777777" w:rsidR="000B4E2C" w:rsidRPr="000B4E2C" w:rsidRDefault="002F0133" w:rsidP="002F0133">
      <w:pPr>
        <w:pStyle w:val="ListParagraph"/>
        <w:numPr>
          <w:ilvl w:val="0"/>
          <w:numId w:val="23"/>
        </w:numPr>
        <w:rPr>
          <w:lang w:val="en-GB"/>
        </w:rPr>
      </w:pPr>
      <w:r w:rsidRPr="000B4E2C">
        <w:rPr>
          <w:lang w:val="en-GB"/>
        </w:rPr>
        <w:t>measure urea, creatinine and electrolytes</w:t>
      </w:r>
    </w:p>
    <w:p w14:paraId="271C204B" w14:textId="77777777" w:rsidR="000B4E2C" w:rsidRPr="000B4E2C" w:rsidRDefault="002F0133" w:rsidP="002F0133">
      <w:pPr>
        <w:pStyle w:val="ListParagraph"/>
        <w:numPr>
          <w:ilvl w:val="0"/>
          <w:numId w:val="23"/>
        </w:numPr>
        <w:rPr>
          <w:lang w:val="en-GB"/>
        </w:rPr>
      </w:pPr>
      <w:r w:rsidRPr="000B4E2C">
        <w:rPr>
          <w:lang w:val="en-GB"/>
        </w:rPr>
        <w:t>think about measuring lactate, blood glucose and blood gases.</w:t>
      </w:r>
    </w:p>
    <w:p w14:paraId="5AF60672" w14:textId="77777777" w:rsidR="000B4E2C" w:rsidRPr="000B4E2C" w:rsidRDefault="002F0133" w:rsidP="008A7464">
      <w:pPr>
        <w:rPr>
          <w:lang w:val="en-GB"/>
        </w:rPr>
      </w:pPr>
      <w:r w:rsidRPr="000B4E2C">
        <w:rPr>
          <w:lang w:val="en-GB"/>
        </w:rPr>
        <w:t>Further detail on these recommendations, and further recommendations on the ongoing assessment of the condition of patients in hospital, can be found in section 1.2 of the NICE clinical guideline on AKI</w:t>
      </w:r>
      <w:r w:rsidR="00723580" w:rsidRPr="000B4E2C">
        <w:rPr>
          <w:lang w:val="en-GB"/>
        </w:rPr>
        <w:t>.</w:t>
      </w:r>
      <w:r w:rsidR="005B5026" w:rsidRPr="000B4E2C">
        <w:rPr>
          <w:noProof/>
          <w:vertAlign w:val="superscript"/>
          <w:lang w:val="en-GB"/>
        </w:rPr>
        <w:t>16</w:t>
      </w:r>
    </w:p>
    <w:p w14:paraId="4379D727" w14:textId="7D0F9C8F" w:rsidR="000B4E2C" w:rsidRPr="000B4E2C" w:rsidRDefault="002F0133" w:rsidP="008A7464">
      <w:pPr>
        <w:rPr>
          <w:lang w:val="en-GB" w:eastAsia="zh-TW"/>
        </w:rPr>
      </w:pPr>
      <w:r w:rsidRPr="000B4E2C">
        <w:rPr>
          <w:lang w:val="en-GB"/>
        </w:rPr>
        <w:t>The NICE guideline recommends diagnosing acute kidney injury in line with the RIFLE</w:t>
      </w:r>
      <w:r w:rsidR="005B5026" w:rsidRPr="000B4E2C">
        <w:rPr>
          <w:noProof/>
          <w:vertAlign w:val="superscript"/>
          <w:lang w:val="en-GB"/>
        </w:rPr>
        <w:t>13</w:t>
      </w:r>
      <w:r w:rsidRPr="000B4E2C">
        <w:rPr>
          <w:lang w:val="en-GB"/>
        </w:rPr>
        <w:t xml:space="preserve"> (or paediatric-modified RIFLE </w:t>
      </w:r>
      <w:r w:rsidR="00723580" w:rsidRPr="000B4E2C">
        <w:rPr>
          <w:lang w:val="en-GB"/>
        </w:rPr>
        <w:t>–</w:t>
      </w:r>
      <w:r w:rsidRPr="000B4E2C">
        <w:rPr>
          <w:lang w:val="en-GB"/>
        </w:rPr>
        <w:t xml:space="preserve"> pRIFLE</w:t>
      </w:r>
      <w:r w:rsidR="00723580" w:rsidRPr="000B4E2C">
        <w:rPr>
          <w:lang w:val="en-GB"/>
        </w:rPr>
        <w:t>),</w:t>
      </w:r>
      <w:r w:rsidR="005B5026" w:rsidRPr="000B4E2C">
        <w:rPr>
          <w:noProof/>
          <w:vertAlign w:val="superscript"/>
          <w:lang w:val="en-GB"/>
        </w:rPr>
        <w:t>20</w:t>
      </w:r>
      <w:r w:rsidRPr="000B4E2C">
        <w:rPr>
          <w:lang w:val="en-GB"/>
        </w:rPr>
        <w:t xml:space="preserve"> AKIN</w:t>
      </w:r>
      <w:r w:rsidR="005B5026" w:rsidRPr="000B4E2C">
        <w:rPr>
          <w:noProof/>
          <w:vertAlign w:val="superscript"/>
          <w:lang w:val="en-GB" w:eastAsia="zh-TW"/>
        </w:rPr>
        <w:t>14</w:t>
      </w:r>
      <w:r w:rsidRPr="000B4E2C">
        <w:rPr>
          <w:lang w:val="en-GB" w:eastAsia="zh-TW"/>
        </w:rPr>
        <w:t xml:space="preserve"> or KDIGO</w:t>
      </w:r>
      <w:r w:rsidR="005B5026" w:rsidRPr="000B4E2C">
        <w:rPr>
          <w:noProof/>
          <w:vertAlign w:val="superscript"/>
          <w:lang w:val="en-GB" w:eastAsia="zh-TW"/>
        </w:rPr>
        <w:t>15</w:t>
      </w:r>
      <w:r w:rsidRPr="000B4E2C">
        <w:rPr>
          <w:lang w:val="en-GB" w:eastAsia="zh-TW"/>
        </w:rPr>
        <w:t xml:space="preserve"> definitions, by using any of the following criteria:</w:t>
      </w:r>
    </w:p>
    <w:p w14:paraId="0D35C816" w14:textId="77777777" w:rsidR="000B4E2C" w:rsidRPr="000B4E2C" w:rsidRDefault="002F0133" w:rsidP="002F0133">
      <w:pPr>
        <w:pStyle w:val="ListParagraph"/>
        <w:numPr>
          <w:ilvl w:val="0"/>
          <w:numId w:val="24"/>
        </w:numPr>
        <w:rPr>
          <w:lang w:val="en-GB" w:eastAsia="zh-TW"/>
        </w:rPr>
      </w:pPr>
      <w:r w:rsidRPr="000B4E2C">
        <w:rPr>
          <w:lang w:val="en-GB" w:eastAsia="zh-TW"/>
        </w:rPr>
        <w:t>a rise in serum creatinine of 26 micromol/litre or greater within 48 hours</w:t>
      </w:r>
    </w:p>
    <w:p w14:paraId="1AC7627C" w14:textId="77777777" w:rsidR="000B4E2C" w:rsidRPr="000B4E2C" w:rsidRDefault="002F0133" w:rsidP="002F0133">
      <w:pPr>
        <w:pStyle w:val="ListParagraph"/>
        <w:numPr>
          <w:ilvl w:val="0"/>
          <w:numId w:val="24"/>
        </w:numPr>
        <w:rPr>
          <w:lang w:val="en-GB" w:eastAsia="zh-TW"/>
        </w:rPr>
      </w:pPr>
      <w:r w:rsidRPr="000B4E2C">
        <w:rPr>
          <w:lang w:val="en-GB" w:eastAsia="zh-TW"/>
        </w:rPr>
        <w:t>a 50% or greater rise in serum creatinine known or presumed to have occurred within the past 7 days</w:t>
      </w:r>
    </w:p>
    <w:p w14:paraId="74CE80EC" w14:textId="77777777" w:rsidR="000B4E2C" w:rsidRPr="000B4E2C" w:rsidRDefault="002F0133" w:rsidP="002F0133">
      <w:pPr>
        <w:pStyle w:val="ListParagraph"/>
        <w:numPr>
          <w:ilvl w:val="0"/>
          <w:numId w:val="24"/>
        </w:numPr>
        <w:rPr>
          <w:lang w:val="en-GB" w:eastAsia="zh-TW"/>
        </w:rPr>
      </w:pPr>
      <w:r w:rsidRPr="000B4E2C">
        <w:rPr>
          <w:lang w:val="en-GB" w:eastAsia="zh-TW"/>
        </w:rPr>
        <w:t>a fall in urine output to less than 0.5 ml/kg/hour for more than 6 hours in adults and more than 8 hours in children and young people</w:t>
      </w:r>
    </w:p>
    <w:p w14:paraId="6E20173F" w14:textId="77777777" w:rsidR="000B4E2C" w:rsidRPr="000B4E2C" w:rsidRDefault="002F0133" w:rsidP="002F0133">
      <w:pPr>
        <w:pStyle w:val="ListParagraph"/>
        <w:numPr>
          <w:ilvl w:val="0"/>
          <w:numId w:val="24"/>
        </w:numPr>
        <w:rPr>
          <w:lang w:val="en-GB" w:eastAsia="zh-TW"/>
        </w:rPr>
      </w:pPr>
      <w:r w:rsidRPr="000B4E2C">
        <w:rPr>
          <w:lang w:val="en-GB" w:eastAsia="zh-TW"/>
        </w:rPr>
        <w:t>a 25% or greater fall in eGFR in children and young people within the past 7 days.</w:t>
      </w:r>
    </w:p>
    <w:p w14:paraId="18E81792" w14:textId="77777777" w:rsidR="000B4E2C" w:rsidRPr="000B4E2C" w:rsidRDefault="002F0133" w:rsidP="008A7464">
      <w:pPr>
        <w:rPr>
          <w:lang w:val="en-GB"/>
        </w:rPr>
      </w:pPr>
      <w:r w:rsidRPr="000B4E2C">
        <w:rPr>
          <w:lang w:val="en-GB" w:eastAsia="zh-TW"/>
        </w:rPr>
        <w:t xml:space="preserve">There are no direct therapies for treating acute kidney injury. Care focuses on optimising hemodynamics and </w:t>
      </w:r>
      <w:r w:rsidRPr="000B4E2C">
        <w:rPr>
          <w:lang w:val="en-GB"/>
        </w:rPr>
        <w:t>fluid status, avoiding nephrotoxic treatments, and carrying out investigations to identity and resolve the underlying cause as quickly as possible. In general, the goal of care is to prevent any further kidney injury and stop worsening of the underlying illness; in particular, to prevent mortality or renal progression to a stage where renal replacement therapy is needed.</w:t>
      </w:r>
    </w:p>
    <w:p w14:paraId="29534753" w14:textId="77777777" w:rsidR="000B4E2C" w:rsidRPr="000B4E2C" w:rsidRDefault="002F0133" w:rsidP="008A7464">
      <w:pPr>
        <w:rPr>
          <w:lang w:val="en-GB"/>
        </w:rPr>
      </w:pPr>
      <w:r w:rsidRPr="000B4E2C">
        <w:rPr>
          <w:lang w:val="en-GB"/>
        </w:rPr>
        <w:t xml:space="preserve">The </w:t>
      </w:r>
      <w:r w:rsidRPr="000B4E2C">
        <w:rPr>
          <w:b/>
          <w:lang w:val="en-GB"/>
        </w:rPr>
        <w:t>NICE clinical guideline on AKI</w:t>
      </w:r>
      <w:r w:rsidR="005B5026" w:rsidRPr="000B4E2C">
        <w:rPr>
          <w:noProof/>
          <w:vertAlign w:val="superscript"/>
          <w:lang w:val="en-GB"/>
        </w:rPr>
        <w:t>16</w:t>
      </w:r>
      <w:r w:rsidRPr="000B4E2C">
        <w:rPr>
          <w:lang w:val="en-GB"/>
        </w:rPr>
        <w:t xml:space="preserve"> highlights the importance of identifying the cause, or causes, of acute kidney injury and has recommendations on the use of urinalysis and ultrasound for this purpose.</w:t>
      </w:r>
    </w:p>
    <w:p w14:paraId="18A1E17F" w14:textId="77777777" w:rsidR="000B4E2C" w:rsidRPr="000B4E2C" w:rsidRDefault="002F0133" w:rsidP="008A7464">
      <w:pPr>
        <w:rPr>
          <w:lang w:val="en-GB"/>
        </w:rPr>
      </w:pPr>
      <w:r w:rsidRPr="000B4E2C">
        <w:rPr>
          <w:lang w:val="en-GB"/>
        </w:rPr>
        <w:t xml:space="preserve">The </w:t>
      </w:r>
      <w:r w:rsidRPr="000B4E2C">
        <w:rPr>
          <w:b/>
          <w:lang w:val="en-GB"/>
        </w:rPr>
        <w:t xml:space="preserve">KDIGO Clinical </w:t>
      </w:r>
      <w:r w:rsidRPr="000B4E2C">
        <w:rPr>
          <w:b/>
          <w:highlight w:val="magenta"/>
          <w:lang w:val="en-GB"/>
        </w:rPr>
        <w:t>Practice</w:t>
      </w:r>
      <w:r w:rsidRPr="000B4E2C">
        <w:rPr>
          <w:b/>
          <w:lang w:val="en-GB"/>
        </w:rPr>
        <w:t xml:space="preserve"> Guideline for Acute Kidney Injury</w:t>
      </w:r>
      <w:r w:rsidR="005B5026" w:rsidRPr="000B4E2C">
        <w:rPr>
          <w:noProof/>
          <w:vertAlign w:val="superscript"/>
          <w:lang w:val="en-GB"/>
        </w:rPr>
        <w:t>19</w:t>
      </w:r>
      <w:r w:rsidRPr="000B4E2C">
        <w:rPr>
          <w:lang w:val="en-GB"/>
        </w:rPr>
        <w:t xml:space="preserve"> also recommends prompt evaluation of people with acute kidney injury to determine the cause. Identifying possible reversible causes of the condition is highlighted as important to reduce severity of the condition.</w:t>
      </w:r>
    </w:p>
    <w:p w14:paraId="0BD773D4" w14:textId="7AE40507" w:rsidR="000B4E2C" w:rsidRPr="000B4E2C" w:rsidRDefault="002F0133" w:rsidP="008A7464">
      <w:pPr>
        <w:rPr>
          <w:rFonts w:eastAsia="Calibri"/>
          <w:lang w:val="en-GB"/>
        </w:rPr>
      </w:pPr>
      <w:r w:rsidRPr="000B4E2C">
        <w:rPr>
          <w:rFonts w:eastAsia="Calibri"/>
          <w:lang w:val="en-GB"/>
        </w:rPr>
        <w:t>The NICE clinical guideline on AKI</w:t>
      </w:r>
      <w:r w:rsidR="005B5026" w:rsidRPr="000B4E2C">
        <w:rPr>
          <w:rFonts w:eastAsia="Calibri"/>
          <w:noProof/>
          <w:vertAlign w:val="superscript"/>
          <w:lang w:val="en-GB"/>
        </w:rPr>
        <w:t>16</w:t>
      </w:r>
      <w:r w:rsidRPr="000B4E2C">
        <w:rPr>
          <w:rFonts w:eastAsia="Calibri"/>
          <w:lang w:val="en-GB"/>
        </w:rPr>
        <w:t xml:space="preserve"> has recommendations on managing acute kidney injury (section 1.5); covering removing urological obstruction, pharmacological management, renal replacement therapy and referral to nephrology services. </w:t>
      </w:r>
      <w:r w:rsidRPr="000B4E2C">
        <w:rPr>
          <w:rFonts w:eastAsia="Calibri"/>
          <w:b/>
          <w:lang w:val="en-GB"/>
        </w:rPr>
        <w:t xml:space="preserve">The KDIGO Clinical </w:t>
      </w:r>
      <w:r w:rsidRPr="000B4E2C">
        <w:rPr>
          <w:rFonts w:eastAsia="Calibri"/>
          <w:b/>
          <w:highlight w:val="magenta"/>
          <w:lang w:val="en-GB"/>
        </w:rPr>
        <w:t>Practice</w:t>
      </w:r>
      <w:r w:rsidRPr="000B4E2C">
        <w:rPr>
          <w:rFonts w:eastAsia="Calibri"/>
          <w:b/>
          <w:lang w:val="en-GB"/>
        </w:rPr>
        <w:t xml:space="preserve"> Guideline for Acute Kidney Injury</w:t>
      </w:r>
      <w:r w:rsidR="005B5026" w:rsidRPr="000B4E2C">
        <w:rPr>
          <w:rFonts w:eastAsia="Calibri"/>
          <w:noProof/>
          <w:vertAlign w:val="superscript"/>
          <w:lang w:val="en-GB"/>
        </w:rPr>
        <w:t>19</w:t>
      </w:r>
      <w:r w:rsidRPr="000B4E2C">
        <w:rPr>
          <w:rFonts w:eastAsia="Calibri"/>
          <w:lang w:val="en-GB"/>
        </w:rPr>
        <w:t xml:space="preserve"> recommends staging severity of acute kidney injury with serum creatinine and urine output, and to manage the condition according to stage and cause. General management principles for people at high risk of acute kidney injury (or with the condition) are to:</w:t>
      </w:r>
    </w:p>
    <w:p w14:paraId="3EC2AF74" w14:textId="77777777" w:rsidR="000B4E2C" w:rsidRPr="000B4E2C" w:rsidRDefault="002F0133" w:rsidP="002F0133">
      <w:pPr>
        <w:pStyle w:val="ListParagraph"/>
        <w:numPr>
          <w:ilvl w:val="0"/>
          <w:numId w:val="25"/>
        </w:numPr>
        <w:rPr>
          <w:rFonts w:eastAsia="Calibri"/>
          <w:lang w:val="en-GB"/>
        </w:rPr>
      </w:pPr>
      <w:r w:rsidRPr="000B4E2C">
        <w:rPr>
          <w:rFonts w:eastAsia="Calibri"/>
          <w:lang w:val="en-GB"/>
        </w:rPr>
        <w:t>discontinue nephrotoxic agents if possible,</w:t>
      </w:r>
    </w:p>
    <w:p w14:paraId="050CA436" w14:textId="77777777" w:rsidR="000B4E2C" w:rsidRPr="000B4E2C" w:rsidRDefault="002F0133" w:rsidP="002F0133">
      <w:pPr>
        <w:pStyle w:val="ListParagraph"/>
        <w:numPr>
          <w:ilvl w:val="0"/>
          <w:numId w:val="25"/>
        </w:numPr>
        <w:rPr>
          <w:rFonts w:eastAsia="Calibri"/>
          <w:lang w:val="en-GB"/>
        </w:rPr>
      </w:pPr>
      <w:r w:rsidRPr="000B4E2C">
        <w:rPr>
          <w:rFonts w:eastAsia="Calibri"/>
          <w:lang w:val="en-GB"/>
        </w:rPr>
        <w:t>monitor volume status and perfusion pressure,</w:t>
      </w:r>
    </w:p>
    <w:p w14:paraId="3258EF84" w14:textId="77777777" w:rsidR="000B4E2C" w:rsidRPr="000B4E2C" w:rsidRDefault="002F0133" w:rsidP="002F0133">
      <w:pPr>
        <w:pStyle w:val="ListParagraph"/>
        <w:numPr>
          <w:ilvl w:val="0"/>
          <w:numId w:val="25"/>
        </w:numPr>
        <w:rPr>
          <w:rFonts w:eastAsia="Calibri"/>
          <w:lang w:val="en-GB"/>
        </w:rPr>
      </w:pPr>
      <w:r w:rsidRPr="000B4E2C">
        <w:rPr>
          <w:rFonts w:eastAsia="Calibri"/>
          <w:lang w:val="en-GB"/>
        </w:rPr>
        <w:lastRenderedPageBreak/>
        <w:t>consider functional haemodynamic monitoring,</w:t>
      </w:r>
    </w:p>
    <w:p w14:paraId="503235E8" w14:textId="77777777" w:rsidR="000B4E2C" w:rsidRPr="000B4E2C" w:rsidRDefault="002F0133" w:rsidP="002F0133">
      <w:pPr>
        <w:pStyle w:val="ListParagraph"/>
        <w:numPr>
          <w:ilvl w:val="0"/>
          <w:numId w:val="25"/>
        </w:numPr>
        <w:rPr>
          <w:rFonts w:eastAsia="Calibri"/>
          <w:lang w:val="en-GB"/>
        </w:rPr>
      </w:pPr>
      <w:r w:rsidRPr="000B4E2C">
        <w:rPr>
          <w:rFonts w:eastAsia="Calibri"/>
          <w:lang w:val="en-GB"/>
        </w:rPr>
        <w:t>monitor serum creatinine and urine output,</w:t>
      </w:r>
    </w:p>
    <w:p w14:paraId="22D3FD9D" w14:textId="77777777" w:rsidR="000B4E2C" w:rsidRPr="000B4E2C" w:rsidRDefault="002F0133" w:rsidP="002F0133">
      <w:pPr>
        <w:pStyle w:val="ListParagraph"/>
        <w:numPr>
          <w:ilvl w:val="0"/>
          <w:numId w:val="25"/>
        </w:numPr>
        <w:rPr>
          <w:rFonts w:eastAsia="Calibri"/>
          <w:lang w:val="en-GB"/>
        </w:rPr>
      </w:pPr>
      <w:r w:rsidRPr="000B4E2C">
        <w:rPr>
          <w:rFonts w:eastAsia="Calibri"/>
          <w:lang w:val="en-GB"/>
        </w:rPr>
        <w:t>avoid hyperglycaemia,</w:t>
      </w:r>
    </w:p>
    <w:p w14:paraId="63E6393E" w14:textId="77777777" w:rsidR="000B4E2C" w:rsidRPr="000B4E2C" w:rsidRDefault="002F0133" w:rsidP="002F0133">
      <w:pPr>
        <w:pStyle w:val="ListParagraph"/>
        <w:numPr>
          <w:ilvl w:val="0"/>
          <w:numId w:val="25"/>
        </w:numPr>
        <w:rPr>
          <w:rFonts w:eastAsia="Calibri"/>
          <w:lang w:val="en-GB"/>
        </w:rPr>
      </w:pPr>
      <w:r w:rsidRPr="000B4E2C">
        <w:rPr>
          <w:rFonts w:eastAsia="Calibri"/>
          <w:lang w:val="en-GB"/>
        </w:rPr>
        <w:t>consider alternatives to radiocontrast procedures.</w:t>
      </w:r>
    </w:p>
    <w:p w14:paraId="2AC89149" w14:textId="68D2067E" w:rsidR="000B4E2C" w:rsidRPr="000B4E2C" w:rsidRDefault="002F0133" w:rsidP="008A7464">
      <w:pPr>
        <w:rPr>
          <w:lang w:val="en-GB"/>
        </w:rPr>
      </w:pPr>
      <w:r w:rsidRPr="000B4E2C">
        <w:rPr>
          <w:lang w:val="en-GB"/>
        </w:rPr>
        <w:t xml:space="preserve">Further actions should only be considered at higher stages of acute kidney injury, such as renal replacement therapy. Dosages of drugs may also need to be adapted because of reduced kidney function. The KDIGO guideline also has more detailed guidance on the prevention and treatment of acute kidney injury (section 3). This includes haemodynamic monitoring and support, </w:t>
      </w:r>
      <w:r w:rsidR="000B4E2C" w:rsidRPr="000B4E2C">
        <w:rPr>
          <w:color w:val="00B0F0"/>
          <w:lang w:val="en-GB"/>
        </w:rPr>
        <w:t>glycaemic</w:t>
      </w:r>
      <w:r w:rsidRPr="000B4E2C">
        <w:rPr>
          <w:lang w:val="en-GB"/>
        </w:rPr>
        <w:t xml:space="preserve"> control and nutritional support, the use of diuretics and vasodilator therapy.</w:t>
      </w:r>
    </w:p>
    <w:p w14:paraId="527BAA87" w14:textId="77777777" w:rsidR="000B4E2C" w:rsidRPr="000B4E2C" w:rsidRDefault="002F0133" w:rsidP="001544BB">
      <w:pPr>
        <w:rPr>
          <w:lang w:val="en-GB"/>
        </w:rPr>
      </w:pPr>
      <w:r w:rsidRPr="000B4E2C">
        <w:rPr>
          <w:lang w:val="en-GB"/>
        </w:rPr>
        <w:t xml:space="preserve">In UK clinical </w:t>
      </w:r>
      <w:r w:rsidRPr="000B4E2C">
        <w:rPr>
          <w:highlight w:val="magenta"/>
          <w:lang w:val="en-GB"/>
        </w:rPr>
        <w:t>practice</w:t>
      </w:r>
      <w:r w:rsidRPr="000B4E2C">
        <w:rPr>
          <w:lang w:val="en-GB"/>
        </w:rPr>
        <w:t xml:space="preserve"> the NephroCheck test and NGAL assays are likely to be used for the assessment of AKI in people who are considered for admission to critical care rather than in patients already admitted to critical care. It is worth pointing out that the NephroCheck test, the ARCHITECT and Alinity Urine NGAL assays, the NGAL plasma test and the NGAL urine test would not replace serum creatinine and urine output monitoring but they would be used alongside current monitoring to facilitate earlier detection of kidney injury and prompt adoption of strategies to prevent further progression of kidney disease.</w:t>
      </w:r>
    </w:p>
    <w:p w14:paraId="448BF05C" w14:textId="77777777" w:rsidR="000B4E2C" w:rsidRPr="000B4E2C" w:rsidRDefault="002F0133" w:rsidP="008A7464">
      <w:pPr>
        <w:pStyle w:val="Heading1"/>
        <w:rPr>
          <w:rFonts w:eastAsia="Times New Roman"/>
        </w:rPr>
      </w:pPr>
      <w:r w:rsidRPr="000B4E2C">
        <w:rPr>
          <w:rFonts w:eastAsia="Times New Roman"/>
        </w:rPr>
        <w:t>Chapter 3</w:t>
      </w:r>
      <w:r w:rsidRPr="000B4E2C">
        <w:rPr>
          <w:rFonts w:eastAsia="Times New Roman"/>
        </w:rPr>
        <w:tab/>
        <w:t>Assessment of clinical effectiveness</w:t>
      </w:r>
    </w:p>
    <w:p w14:paraId="096619A4" w14:textId="6D49D562" w:rsidR="002F0133" w:rsidRPr="000B4E2C" w:rsidRDefault="002F0133" w:rsidP="008A7464">
      <w:pPr>
        <w:pStyle w:val="Heading2"/>
      </w:pPr>
      <w:r w:rsidRPr="000B4E2C">
        <w:t>Systematic review methods</w:t>
      </w:r>
    </w:p>
    <w:p w14:paraId="2CF25C6E" w14:textId="77777777" w:rsidR="002F0133" w:rsidRPr="000B4E2C" w:rsidRDefault="002F0133" w:rsidP="008A7464">
      <w:pPr>
        <w:pStyle w:val="Heading3"/>
        <w:rPr>
          <w:rFonts w:eastAsia="Times New Roman"/>
        </w:rPr>
      </w:pPr>
      <w:r w:rsidRPr="000B4E2C">
        <w:rPr>
          <w:rFonts w:eastAsia="Times New Roman"/>
        </w:rPr>
        <w:t>Identification of studies</w:t>
      </w:r>
    </w:p>
    <w:p w14:paraId="1AD479B4" w14:textId="77777777" w:rsidR="000B4E2C" w:rsidRPr="000B4E2C" w:rsidRDefault="002F0133" w:rsidP="008A7464">
      <w:pPr>
        <w:rPr>
          <w:rFonts w:eastAsia="Calibri"/>
        </w:rPr>
      </w:pPr>
      <w:r w:rsidRPr="000B4E2C">
        <w:rPr>
          <w:rFonts w:eastAsia="Calibri"/>
        </w:rPr>
        <w:t xml:space="preserve">Comprehensive electronic searches were conducted to identify relevant reports of published studies. Highly sensitive search strategies were developed, to include index terms, free-text words, abbreviations and synonyms, to combine biomarkers and AKI. The electronic databases Ovid MEDLINE, Ovid EMBASE, Web of Science Core Collection, HTA Database, CINAHL and CENTRAL were searched, with no restriction on date or publication type. Full details of the search strategies are presented in Appendix </w:t>
      </w:r>
      <w:r w:rsidR="006A04AA" w:rsidRPr="000B4E2C">
        <w:rPr>
          <w:rFonts w:eastAsia="Calibri"/>
        </w:rPr>
        <w:t>1</w:t>
      </w:r>
      <w:r w:rsidRPr="000B4E2C">
        <w:rPr>
          <w:rFonts w:eastAsia="Calibri"/>
        </w:rPr>
        <w:t>. The searches were undertaken during the period of 17 May to 10 June 2019.</w:t>
      </w:r>
    </w:p>
    <w:p w14:paraId="12BD4283" w14:textId="77777777" w:rsidR="000B4E2C" w:rsidRPr="000B4E2C" w:rsidRDefault="002F0133" w:rsidP="008A7464">
      <w:pPr>
        <w:rPr>
          <w:rFonts w:eastAsia="Calibri"/>
        </w:rPr>
      </w:pPr>
      <w:r w:rsidRPr="000B4E2C">
        <w:rPr>
          <w:rFonts w:eastAsia="Calibri"/>
        </w:rPr>
        <w:t>Additionally, we searched the following sources for ongoing or unpublished studies: ClinicalTrials.gov (</w:t>
      </w:r>
      <w:r w:rsidRPr="000B4E2C">
        <w:rPr>
          <w:rFonts w:eastAsia="Calibri"/>
          <w:u w:val="single"/>
        </w:rPr>
        <w:t>www.clinicaltrials.gov/</w:t>
      </w:r>
      <w:r w:rsidRPr="000B4E2C">
        <w:rPr>
          <w:rFonts w:eastAsia="Calibri"/>
        </w:rPr>
        <w:t xml:space="preserve">), </w:t>
      </w:r>
      <w:r w:rsidRPr="000B4E2C">
        <w:rPr>
          <w:rFonts w:eastAsia="Calibri"/>
          <w:szCs w:val="21"/>
        </w:rPr>
        <w:t>WHO International Clinical Trials Registry Platform (ICTRP) Search Portal (</w:t>
      </w:r>
      <w:r w:rsidRPr="000B4E2C">
        <w:rPr>
          <w:rFonts w:eastAsia="Calibri"/>
          <w:szCs w:val="21"/>
          <w:u w:val="single"/>
        </w:rPr>
        <w:t>apps.who.int/trialsearch</w:t>
      </w:r>
      <w:r w:rsidRPr="000B4E2C">
        <w:rPr>
          <w:rFonts w:eastAsia="Calibri"/>
          <w:szCs w:val="21"/>
        </w:rPr>
        <w:t xml:space="preserve">) and </w:t>
      </w:r>
      <w:r w:rsidRPr="000B4E2C">
        <w:rPr>
          <w:rFonts w:eastAsia="Calibri"/>
        </w:rPr>
        <w:t>WHO Global Index Medicus (</w:t>
      </w:r>
      <w:r w:rsidRPr="000B4E2C">
        <w:rPr>
          <w:rFonts w:eastAsia="Calibri"/>
          <w:u w:val="single"/>
        </w:rPr>
        <w:t>www.who.int/library/about/The Global Index Medicus/en/</w:t>
      </w:r>
      <w:r w:rsidRPr="000B4E2C">
        <w:rPr>
          <w:rFonts w:eastAsia="Calibri"/>
        </w:rPr>
        <w:t xml:space="preserve">). Furthermore, websites of relevant professional organisations and health technology agencies, as well as appropriate clinical experts, were consulted to obtain any additional potentially relevant reports. The reference lists of all included studies were perused to identify further potentially relevant studies. We also considered evidence provided by the manufacturers of the biomarkers included in this assessment (Astute Medical, Abbott and </w:t>
      </w:r>
      <w:r w:rsidR="009D7F5A" w:rsidRPr="000B4E2C">
        <w:rPr>
          <w:rFonts w:eastAsia="Calibri"/>
        </w:rPr>
        <w:t>BioPorto</w:t>
      </w:r>
      <w:r w:rsidRPr="000B4E2C">
        <w:rPr>
          <w:rFonts w:eastAsia="Calibri"/>
        </w:rPr>
        <w:t xml:space="preserve"> Diagnostics).</w:t>
      </w:r>
    </w:p>
    <w:p w14:paraId="7ED8C47F" w14:textId="644DAB9B" w:rsidR="002F0133" w:rsidRPr="000B4E2C" w:rsidRDefault="002F0133" w:rsidP="008A7464">
      <w:pPr>
        <w:pStyle w:val="Heading2"/>
        <w:rPr>
          <w:rFonts w:eastAsia="Times New Roman"/>
          <w:i/>
        </w:rPr>
      </w:pPr>
      <w:r w:rsidRPr="000B4E2C">
        <w:rPr>
          <w:rFonts w:eastAsia="Times New Roman"/>
          <w:i/>
        </w:rPr>
        <w:t>Inclusion and exclusion criteria</w:t>
      </w:r>
    </w:p>
    <w:p w14:paraId="70E18F4B" w14:textId="29412B33" w:rsidR="000B4E2C" w:rsidRPr="000B4E2C" w:rsidRDefault="002F0133" w:rsidP="008A7464">
      <w:r w:rsidRPr="000B4E2C">
        <w:t xml:space="preserve">Inclusion and exclusion criteria for each of the clinical effectiveness questions considered in this assessment are summarised in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2</w:t>
      </w:r>
      <w:r w:rsidRPr="000B4E2C">
        <w:t xml:space="preserve"> below. Only studies that fulfilled these criteria were deemed suitable for inclusion.</w:t>
      </w:r>
    </w:p>
    <w:p w14:paraId="48E7D0B3" w14:textId="49C11014" w:rsidR="002F0133" w:rsidRPr="000B4E2C" w:rsidRDefault="000B4E2C" w:rsidP="008A7464">
      <w:pPr>
        <w:pStyle w:val="Heading2"/>
      </w:pPr>
      <w:bookmarkStart w:id="11" w:name="_Toc491181056"/>
      <w:bookmarkStart w:id="12" w:name="_Toc501096480"/>
      <w:r w:rsidRPr="000B4E2C">
        <w:rPr>
          <w:i/>
          <w:color w:val="FF0000"/>
        </w:rPr>
        <w:lastRenderedPageBreak/>
        <w:t>T</w:t>
      </w:r>
      <w:r w:rsidRPr="000B4E2C">
        <w:rPr>
          <w:i/>
          <w:color w:val="FF0000"/>
        </w:rPr>
        <w:t>able</w:t>
      </w:r>
      <w:r w:rsidRPr="000B4E2C">
        <w:rPr>
          <w:i/>
          <w:color w:val="FF0000"/>
        </w:rPr>
        <w:t xml:space="preserve"> </w:t>
      </w:r>
      <w:r w:rsidRPr="000B4E2C">
        <w:rPr>
          <w:i/>
          <w:color w:val="FF0000"/>
        </w:rPr>
        <w:t>2</w:t>
      </w:r>
      <w:r w:rsidRPr="000B4E2C">
        <w:t xml:space="preserve"> </w:t>
      </w:r>
      <w:r w:rsidR="002F0133" w:rsidRPr="000B4E2C">
        <w:t xml:space="preserve">Eligibility criteria for the systematic review </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020"/>
        <w:gridCol w:w="2382"/>
        <w:gridCol w:w="2106"/>
        <w:gridCol w:w="2518"/>
      </w:tblGrid>
      <w:tr w:rsidR="002F0133" w:rsidRPr="000B4E2C" w14:paraId="1D1440D8" w14:textId="77777777" w:rsidTr="000B4E2C">
        <w:trPr>
          <w:cantSplit/>
          <w:tblHeader/>
        </w:trPr>
        <w:tc>
          <w:tcPr>
            <w:tcW w:w="0" w:type="auto"/>
            <w:shd w:val="clear" w:color="auto" w:fill="auto"/>
          </w:tcPr>
          <w:p w14:paraId="003E354E" w14:textId="77777777" w:rsidR="002F0133" w:rsidRPr="000B4E2C" w:rsidRDefault="002F0133" w:rsidP="008A7464">
            <w:pPr>
              <w:rPr>
                <w:b/>
              </w:rPr>
            </w:pPr>
            <w:r w:rsidRPr="000B4E2C">
              <w:rPr>
                <w:b/>
              </w:rPr>
              <w:lastRenderedPageBreak/>
              <w:t>Research question</w:t>
            </w:r>
          </w:p>
        </w:tc>
        <w:tc>
          <w:tcPr>
            <w:tcW w:w="0" w:type="auto"/>
            <w:shd w:val="clear" w:color="auto" w:fill="auto"/>
          </w:tcPr>
          <w:p w14:paraId="6D8F8F61" w14:textId="77777777" w:rsidR="002F0133" w:rsidRPr="000B4E2C" w:rsidRDefault="002F0133" w:rsidP="008A7464">
            <w:pPr>
              <w:rPr>
                <w:b/>
              </w:rPr>
            </w:pPr>
            <w:r w:rsidRPr="000B4E2C">
              <w:rPr>
                <w:b/>
              </w:rPr>
              <w:t>1. Do novel biomarkers accurately detect emerging AKI in critically ill people who are considered for admission to critical care?</w:t>
            </w:r>
          </w:p>
        </w:tc>
        <w:tc>
          <w:tcPr>
            <w:tcW w:w="0" w:type="auto"/>
            <w:shd w:val="clear" w:color="auto" w:fill="auto"/>
          </w:tcPr>
          <w:p w14:paraId="377C7639" w14:textId="77777777" w:rsidR="002F0133" w:rsidRPr="000B4E2C" w:rsidRDefault="002F0133" w:rsidP="008A7464">
            <w:pPr>
              <w:rPr>
                <w:b/>
              </w:rPr>
            </w:pPr>
            <w:r w:rsidRPr="000B4E2C">
              <w:rPr>
                <w:b/>
              </w:rPr>
              <w:t>2. Do the novel biomarkers predict the development of future events in critically ill people at risk of developing AKI who are considered for admission to critical care?</w:t>
            </w:r>
          </w:p>
        </w:tc>
        <w:tc>
          <w:tcPr>
            <w:tcW w:w="0" w:type="auto"/>
            <w:shd w:val="clear" w:color="auto" w:fill="auto"/>
          </w:tcPr>
          <w:p w14:paraId="3CD045D8" w14:textId="77777777" w:rsidR="002F0133" w:rsidRPr="000B4E2C" w:rsidRDefault="002F0133" w:rsidP="008A7464">
            <w:pPr>
              <w:rPr>
                <w:b/>
              </w:rPr>
            </w:pPr>
            <w:r w:rsidRPr="000B4E2C">
              <w:rPr>
                <w:b/>
              </w:rPr>
              <w:t xml:space="preserve">3. Does the use of novel biomarkers </w:t>
            </w:r>
            <w:r w:rsidRPr="000B4E2C">
              <w:rPr>
                <w:b/>
                <w:highlight w:val="magenta"/>
              </w:rPr>
              <w:t>lead</w:t>
            </w:r>
            <w:r w:rsidRPr="000B4E2C">
              <w:rPr>
                <w:b/>
              </w:rPr>
              <w:t xml:space="preserve"> to improvements in clinical outcomes of critically ill people who are considered for admission to critical care?</w:t>
            </w:r>
          </w:p>
        </w:tc>
      </w:tr>
      <w:tr w:rsidR="002F0133" w:rsidRPr="000B4E2C" w14:paraId="2281C2D9" w14:textId="77777777" w:rsidTr="000B4E2C">
        <w:trPr>
          <w:cantSplit/>
          <w:tblHeader/>
        </w:trPr>
        <w:tc>
          <w:tcPr>
            <w:tcW w:w="0" w:type="auto"/>
            <w:shd w:val="clear" w:color="auto" w:fill="auto"/>
          </w:tcPr>
          <w:p w14:paraId="2D085BFD" w14:textId="77777777" w:rsidR="002F0133" w:rsidRPr="000B4E2C" w:rsidRDefault="002F0133" w:rsidP="008A7464">
            <w:pPr>
              <w:rPr>
                <w:b/>
              </w:rPr>
            </w:pPr>
            <w:r w:rsidRPr="000B4E2C">
              <w:rPr>
                <w:b/>
              </w:rPr>
              <w:lastRenderedPageBreak/>
              <w:t>Population and setting</w:t>
            </w:r>
          </w:p>
        </w:tc>
        <w:tc>
          <w:tcPr>
            <w:tcW w:w="0" w:type="auto"/>
            <w:shd w:val="clear" w:color="auto" w:fill="auto"/>
          </w:tcPr>
          <w:p w14:paraId="34BDB142" w14:textId="77777777" w:rsidR="002F0133" w:rsidRPr="000B4E2C" w:rsidRDefault="002F0133" w:rsidP="008A7464">
            <w:r w:rsidRPr="000B4E2C">
              <w:t>Critically ill patients (adults and children) at risk of AKI in an unselected hospitalised population (medical or surgical hospital admissions) in the following settings:</w:t>
            </w:r>
          </w:p>
          <w:p w14:paraId="6C45FB3A" w14:textId="77777777" w:rsidR="002F0133" w:rsidRPr="000B4E2C" w:rsidRDefault="002F0133" w:rsidP="002F0133">
            <w:pPr>
              <w:numPr>
                <w:ilvl w:val="0"/>
                <w:numId w:val="27"/>
              </w:numPr>
              <w:ind w:left="454"/>
              <w:contextualSpacing/>
            </w:pPr>
            <w:r w:rsidRPr="000B4E2C">
              <w:t>general hospital</w:t>
            </w:r>
          </w:p>
          <w:p w14:paraId="53C3E07F" w14:textId="77777777" w:rsidR="002F0133" w:rsidRPr="000B4E2C" w:rsidRDefault="002F0133" w:rsidP="002F0133">
            <w:pPr>
              <w:numPr>
                <w:ilvl w:val="0"/>
                <w:numId w:val="27"/>
              </w:numPr>
              <w:ind w:left="454"/>
              <w:contextualSpacing/>
            </w:pPr>
            <w:r w:rsidRPr="000B4E2C">
              <w:t>emergency department</w:t>
            </w:r>
          </w:p>
          <w:p w14:paraId="1C884EDE" w14:textId="77777777" w:rsidR="002F0133" w:rsidRPr="000B4E2C" w:rsidRDefault="002F0133" w:rsidP="002F0133">
            <w:pPr>
              <w:numPr>
                <w:ilvl w:val="0"/>
                <w:numId w:val="27"/>
              </w:numPr>
              <w:ind w:left="454"/>
              <w:contextualSpacing/>
            </w:pPr>
            <w:r w:rsidRPr="000B4E2C">
              <w:t>post-surgery or post-operative care</w:t>
            </w:r>
          </w:p>
          <w:p w14:paraId="34464F40" w14:textId="77777777" w:rsidR="002F0133" w:rsidRPr="000B4E2C" w:rsidRDefault="002F0133" w:rsidP="002F0133">
            <w:pPr>
              <w:numPr>
                <w:ilvl w:val="0"/>
                <w:numId w:val="27"/>
              </w:numPr>
              <w:ind w:left="454"/>
              <w:contextualSpacing/>
            </w:pPr>
            <w:r w:rsidRPr="000B4E2C">
              <w:t>intensive or critical care, e.g. ICU (intensive care unit), CCU (critical care unit), ITU (intensive treatment unit), and paediatric intensive care unit (PICU)</w:t>
            </w:r>
          </w:p>
          <w:p w14:paraId="62EBE85E" w14:textId="77777777" w:rsidR="000B4E2C" w:rsidRPr="000B4E2C" w:rsidRDefault="002F0133" w:rsidP="008A7464">
            <w:r w:rsidRPr="000B4E2C">
              <w:t>Patients who had established AKI before being admitted to intensive or critical care and those who were managed in the community setting were excluded.</w:t>
            </w:r>
          </w:p>
          <w:p w14:paraId="5E6E7544" w14:textId="184324EA" w:rsidR="002F0133" w:rsidRPr="000B4E2C" w:rsidRDefault="002F0133" w:rsidP="008A7464">
            <w:r w:rsidRPr="000B4E2C">
              <w:t>While the eligible patient population is an unselected critically ill population considered for admission to critical care, the following subgroups were identified to be particularly at risk of developing AKI:</w:t>
            </w:r>
          </w:p>
          <w:p w14:paraId="4E95955B" w14:textId="77777777" w:rsidR="002F0133" w:rsidRPr="000B4E2C" w:rsidRDefault="002F0133" w:rsidP="002F0133">
            <w:pPr>
              <w:numPr>
                <w:ilvl w:val="0"/>
                <w:numId w:val="27"/>
              </w:numPr>
              <w:ind w:left="454"/>
              <w:contextualSpacing/>
            </w:pPr>
            <w:r w:rsidRPr="000B4E2C">
              <w:t>People undergoing major cardiac or cardiovascular surgery</w:t>
            </w:r>
          </w:p>
          <w:p w14:paraId="5B8FB43A" w14:textId="77777777" w:rsidR="002F0133" w:rsidRPr="000B4E2C" w:rsidRDefault="002F0133" w:rsidP="002F0133">
            <w:pPr>
              <w:numPr>
                <w:ilvl w:val="0"/>
                <w:numId w:val="27"/>
              </w:numPr>
              <w:ind w:left="454"/>
              <w:contextualSpacing/>
            </w:pPr>
            <w:r w:rsidRPr="000B4E2C">
              <w:t>People undergoing major non-cardiac or non-vascular surgery</w:t>
            </w:r>
          </w:p>
          <w:p w14:paraId="3301EBB0" w14:textId="77777777" w:rsidR="002F0133" w:rsidRPr="000B4E2C" w:rsidRDefault="002F0133" w:rsidP="002F0133">
            <w:pPr>
              <w:numPr>
                <w:ilvl w:val="0"/>
                <w:numId w:val="27"/>
              </w:numPr>
              <w:ind w:left="454"/>
              <w:contextualSpacing/>
            </w:pPr>
            <w:r w:rsidRPr="000B4E2C">
              <w:t>People undergoing major trauma surgery</w:t>
            </w:r>
          </w:p>
          <w:p w14:paraId="6BBB97E0" w14:textId="77777777" w:rsidR="002F0133" w:rsidRPr="000B4E2C" w:rsidRDefault="002F0133" w:rsidP="002F0133">
            <w:pPr>
              <w:numPr>
                <w:ilvl w:val="0"/>
                <w:numId w:val="27"/>
              </w:numPr>
              <w:ind w:left="454"/>
              <w:contextualSpacing/>
            </w:pPr>
            <w:r w:rsidRPr="000B4E2C">
              <w:t>People undergoing solid organ transplant (except kidney)</w:t>
            </w:r>
          </w:p>
          <w:p w14:paraId="16BE5D85" w14:textId="77777777" w:rsidR="002F0133" w:rsidRPr="000B4E2C" w:rsidRDefault="002F0133" w:rsidP="002F0133">
            <w:pPr>
              <w:numPr>
                <w:ilvl w:val="0"/>
                <w:numId w:val="27"/>
              </w:numPr>
              <w:ind w:left="454"/>
              <w:contextualSpacing/>
            </w:pPr>
            <w:r w:rsidRPr="000B4E2C">
              <w:t>People undergoing hip replacement</w:t>
            </w:r>
          </w:p>
          <w:p w14:paraId="20167596" w14:textId="77777777" w:rsidR="002F0133" w:rsidRPr="000B4E2C" w:rsidRDefault="002F0133" w:rsidP="002F0133">
            <w:pPr>
              <w:numPr>
                <w:ilvl w:val="0"/>
                <w:numId w:val="27"/>
              </w:numPr>
              <w:ind w:left="454"/>
              <w:contextualSpacing/>
            </w:pPr>
            <w:r w:rsidRPr="000B4E2C">
              <w:t>People with sepsis</w:t>
            </w:r>
          </w:p>
          <w:p w14:paraId="18A9ACCC" w14:textId="77777777" w:rsidR="002F0133" w:rsidRPr="000B4E2C" w:rsidRDefault="002F0133" w:rsidP="002F0133">
            <w:pPr>
              <w:numPr>
                <w:ilvl w:val="0"/>
                <w:numId w:val="27"/>
              </w:numPr>
              <w:ind w:left="454"/>
              <w:contextualSpacing/>
            </w:pPr>
            <w:r w:rsidRPr="000B4E2C">
              <w:t>People with chronic kidney disease (CKD)</w:t>
            </w:r>
          </w:p>
          <w:p w14:paraId="4056D584" w14:textId="77777777" w:rsidR="002F0133" w:rsidRPr="000B4E2C" w:rsidRDefault="002F0133" w:rsidP="002F0133">
            <w:pPr>
              <w:numPr>
                <w:ilvl w:val="0"/>
                <w:numId w:val="27"/>
              </w:numPr>
              <w:ind w:left="454"/>
              <w:contextualSpacing/>
            </w:pPr>
            <w:r w:rsidRPr="000B4E2C">
              <w:t>People with chronic liver disease</w:t>
            </w:r>
          </w:p>
          <w:p w14:paraId="62A8C30D" w14:textId="77777777" w:rsidR="000B4E2C" w:rsidRPr="000B4E2C" w:rsidRDefault="002F0133" w:rsidP="002F0133">
            <w:pPr>
              <w:numPr>
                <w:ilvl w:val="0"/>
                <w:numId w:val="27"/>
              </w:numPr>
              <w:ind w:left="454"/>
              <w:contextualSpacing/>
            </w:pPr>
            <w:r w:rsidRPr="000B4E2C">
              <w:lastRenderedPageBreak/>
              <w:t>People with a serious (non-surgical) acute cardiac event or emergency, e.g. myocardial infarction</w:t>
            </w:r>
          </w:p>
          <w:p w14:paraId="63098977" w14:textId="0F3E434E" w:rsidR="002F0133" w:rsidRPr="000B4E2C" w:rsidRDefault="002F0133" w:rsidP="008A7464">
            <w:r w:rsidRPr="000B4E2C">
              <w:t>Exclusion:</w:t>
            </w:r>
          </w:p>
          <w:p w14:paraId="726EEF5B" w14:textId="77777777" w:rsidR="000B4E2C" w:rsidRPr="000B4E2C" w:rsidRDefault="002F0133" w:rsidP="002F0133">
            <w:pPr>
              <w:pStyle w:val="ListParagraph"/>
              <w:numPr>
                <w:ilvl w:val="0"/>
                <w:numId w:val="30"/>
              </w:numPr>
            </w:pPr>
            <w:r w:rsidRPr="000B4E2C">
              <w:t>People with other clinical conditions or illnesses.</w:t>
            </w:r>
          </w:p>
          <w:p w14:paraId="792C5287" w14:textId="77777777" w:rsidR="000B4E2C" w:rsidRPr="000B4E2C" w:rsidRDefault="002F0133" w:rsidP="002F0133">
            <w:pPr>
              <w:pStyle w:val="ListParagraph"/>
              <w:numPr>
                <w:ilvl w:val="0"/>
                <w:numId w:val="30"/>
              </w:numPr>
            </w:pPr>
            <w:r w:rsidRPr="000B4E2C">
              <w:t>People assessed immediately after a kidney transplant (within 365 days of index test).</w:t>
            </w:r>
          </w:p>
          <w:p w14:paraId="701378FA" w14:textId="24E17AAF" w:rsidR="002F0133" w:rsidRPr="000B4E2C" w:rsidRDefault="002F0133" w:rsidP="002F0133">
            <w:pPr>
              <w:pStyle w:val="ListParagraph"/>
              <w:numPr>
                <w:ilvl w:val="0"/>
                <w:numId w:val="30"/>
              </w:numPr>
            </w:pPr>
            <w:r w:rsidRPr="000B4E2C">
              <w:t xml:space="preserve">Preterm infants and low birth weight babies </w:t>
            </w:r>
          </w:p>
        </w:tc>
        <w:tc>
          <w:tcPr>
            <w:tcW w:w="0" w:type="auto"/>
            <w:shd w:val="clear" w:color="auto" w:fill="auto"/>
          </w:tcPr>
          <w:p w14:paraId="36150642" w14:textId="77777777" w:rsidR="002F0133" w:rsidRPr="000B4E2C" w:rsidRDefault="002F0133" w:rsidP="008A7464">
            <w:r w:rsidRPr="000B4E2C">
              <w:lastRenderedPageBreak/>
              <w:t>Critically ill patients (adults and children) at risk of AKI in an unselected hospitalised population (medical or surgical hospital admissions) in the following settings:</w:t>
            </w:r>
          </w:p>
          <w:p w14:paraId="5F9DDA22" w14:textId="77777777" w:rsidR="002F0133" w:rsidRPr="000B4E2C" w:rsidRDefault="002F0133" w:rsidP="002F0133">
            <w:pPr>
              <w:numPr>
                <w:ilvl w:val="0"/>
                <w:numId w:val="27"/>
              </w:numPr>
              <w:ind w:left="454"/>
              <w:contextualSpacing/>
            </w:pPr>
            <w:r w:rsidRPr="000B4E2C">
              <w:t>general hospital</w:t>
            </w:r>
          </w:p>
          <w:p w14:paraId="45C6211E" w14:textId="77777777" w:rsidR="002F0133" w:rsidRPr="000B4E2C" w:rsidRDefault="002F0133" w:rsidP="002F0133">
            <w:pPr>
              <w:numPr>
                <w:ilvl w:val="0"/>
                <w:numId w:val="27"/>
              </w:numPr>
              <w:ind w:left="454"/>
              <w:contextualSpacing/>
            </w:pPr>
            <w:r w:rsidRPr="000B4E2C">
              <w:t>emergency department</w:t>
            </w:r>
          </w:p>
          <w:p w14:paraId="5CF162C6" w14:textId="77777777" w:rsidR="002F0133" w:rsidRPr="000B4E2C" w:rsidRDefault="002F0133" w:rsidP="002F0133">
            <w:pPr>
              <w:numPr>
                <w:ilvl w:val="0"/>
                <w:numId w:val="27"/>
              </w:numPr>
              <w:ind w:left="454"/>
              <w:contextualSpacing/>
            </w:pPr>
            <w:r w:rsidRPr="000B4E2C">
              <w:t>post-surgery or post-operative care</w:t>
            </w:r>
          </w:p>
          <w:p w14:paraId="33672ED5" w14:textId="77777777" w:rsidR="002F0133" w:rsidRPr="000B4E2C" w:rsidRDefault="002F0133" w:rsidP="002F0133">
            <w:pPr>
              <w:numPr>
                <w:ilvl w:val="0"/>
                <w:numId w:val="27"/>
              </w:numPr>
              <w:ind w:left="454"/>
              <w:contextualSpacing/>
            </w:pPr>
            <w:r w:rsidRPr="000B4E2C">
              <w:t>intensive or critical care, e.g. ICU (intensive care unit), CCU (critical care unit), ITU (intensive treatment unit), and paediatric intensive care unit (PICU)</w:t>
            </w:r>
          </w:p>
          <w:p w14:paraId="31AC4A29" w14:textId="77777777" w:rsidR="000B4E2C" w:rsidRPr="000B4E2C" w:rsidRDefault="002F0133" w:rsidP="008A7464">
            <w:r w:rsidRPr="000B4E2C">
              <w:t>Patients who had established AKI before being admitted to intensive or critical care and those who were managed in the community setting were excluded.</w:t>
            </w:r>
          </w:p>
          <w:p w14:paraId="6A4CBB34" w14:textId="7F4FC101" w:rsidR="002F0133" w:rsidRPr="000B4E2C" w:rsidRDefault="002F0133" w:rsidP="008A7464">
            <w:r w:rsidRPr="000B4E2C">
              <w:t>While the eligible patient population is an unselected critically ill population considered for admission to critical care, the following subgroups were identified to be particularly at risk of developing AKI:</w:t>
            </w:r>
          </w:p>
          <w:p w14:paraId="1CB69AC6" w14:textId="77777777" w:rsidR="002F0133" w:rsidRPr="000B4E2C" w:rsidRDefault="002F0133" w:rsidP="002F0133">
            <w:pPr>
              <w:numPr>
                <w:ilvl w:val="0"/>
                <w:numId w:val="27"/>
              </w:numPr>
              <w:ind w:left="454"/>
              <w:contextualSpacing/>
            </w:pPr>
            <w:r w:rsidRPr="000B4E2C">
              <w:t>People undergoing major cardiac or cardiovascular surgery</w:t>
            </w:r>
          </w:p>
          <w:p w14:paraId="245C7273" w14:textId="77777777" w:rsidR="002F0133" w:rsidRPr="000B4E2C" w:rsidRDefault="002F0133" w:rsidP="002F0133">
            <w:pPr>
              <w:numPr>
                <w:ilvl w:val="0"/>
                <w:numId w:val="27"/>
              </w:numPr>
              <w:ind w:left="454"/>
              <w:contextualSpacing/>
            </w:pPr>
            <w:r w:rsidRPr="000B4E2C">
              <w:t>People undergoing major non-cardiac or non-vascular surgery</w:t>
            </w:r>
          </w:p>
          <w:p w14:paraId="099F7B6D" w14:textId="77777777" w:rsidR="002F0133" w:rsidRPr="000B4E2C" w:rsidRDefault="002F0133" w:rsidP="002F0133">
            <w:pPr>
              <w:numPr>
                <w:ilvl w:val="0"/>
                <w:numId w:val="27"/>
              </w:numPr>
              <w:ind w:left="454"/>
              <w:contextualSpacing/>
            </w:pPr>
            <w:r w:rsidRPr="000B4E2C">
              <w:t>People undergoing major trauma surgery</w:t>
            </w:r>
          </w:p>
          <w:p w14:paraId="464EA950" w14:textId="77777777" w:rsidR="002F0133" w:rsidRPr="000B4E2C" w:rsidRDefault="002F0133" w:rsidP="002F0133">
            <w:pPr>
              <w:numPr>
                <w:ilvl w:val="0"/>
                <w:numId w:val="27"/>
              </w:numPr>
              <w:ind w:left="454"/>
              <w:contextualSpacing/>
            </w:pPr>
            <w:r w:rsidRPr="000B4E2C">
              <w:t>People undergoing solid organ transplant (except kidney)</w:t>
            </w:r>
          </w:p>
          <w:p w14:paraId="52C23C0D" w14:textId="77777777" w:rsidR="002F0133" w:rsidRPr="000B4E2C" w:rsidRDefault="002F0133" w:rsidP="002F0133">
            <w:pPr>
              <w:numPr>
                <w:ilvl w:val="0"/>
                <w:numId w:val="27"/>
              </w:numPr>
              <w:ind w:left="454"/>
              <w:contextualSpacing/>
            </w:pPr>
            <w:r w:rsidRPr="000B4E2C">
              <w:lastRenderedPageBreak/>
              <w:t>People undergoing hip replacement</w:t>
            </w:r>
          </w:p>
          <w:p w14:paraId="00869E56" w14:textId="77777777" w:rsidR="002F0133" w:rsidRPr="000B4E2C" w:rsidRDefault="002F0133" w:rsidP="002F0133">
            <w:pPr>
              <w:numPr>
                <w:ilvl w:val="0"/>
                <w:numId w:val="27"/>
              </w:numPr>
              <w:ind w:left="454"/>
              <w:contextualSpacing/>
            </w:pPr>
            <w:r w:rsidRPr="000B4E2C">
              <w:t>People with sepsis</w:t>
            </w:r>
          </w:p>
          <w:p w14:paraId="4774F407" w14:textId="77777777" w:rsidR="002F0133" w:rsidRPr="000B4E2C" w:rsidRDefault="002F0133" w:rsidP="002F0133">
            <w:pPr>
              <w:numPr>
                <w:ilvl w:val="0"/>
                <w:numId w:val="27"/>
              </w:numPr>
              <w:ind w:left="454"/>
              <w:contextualSpacing/>
            </w:pPr>
            <w:r w:rsidRPr="000B4E2C">
              <w:t>People with chronic kidney disease (CKD)</w:t>
            </w:r>
          </w:p>
          <w:p w14:paraId="6CC27F84" w14:textId="77777777" w:rsidR="002F0133" w:rsidRPr="000B4E2C" w:rsidRDefault="002F0133" w:rsidP="002F0133">
            <w:pPr>
              <w:numPr>
                <w:ilvl w:val="0"/>
                <w:numId w:val="27"/>
              </w:numPr>
              <w:ind w:left="454"/>
              <w:contextualSpacing/>
            </w:pPr>
            <w:r w:rsidRPr="000B4E2C">
              <w:t>People with chronic liver disease</w:t>
            </w:r>
          </w:p>
          <w:p w14:paraId="2A5DECF9" w14:textId="77777777" w:rsidR="000B4E2C" w:rsidRPr="000B4E2C" w:rsidRDefault="002F0133" w:rsidP="002F0133">
            <w:pPr>
              <w:numPr>
                <w:ilvl w:val="0"/>
                <w:numId w:val="27"/>
              </w:numPr>
              <w:ind w:left="454"/>
              <w:contextualSpacing/>
            </w:pPr>
            <w:r w:rsidRPr="000B4E2C">
              <w:t>People with a serious (non-surgical) acute cardiac event or emergency, e.g. myocardial infarction</w:t>
            </w:r>
          </w:p>
          <w:p w14:paraId="72265CE0" w14:textId="39A5D80B" w:rsidR="002F0133" w:rsidRPr="000B4E2C" w:rsidRDefault="002F0133" w:rsidP="008A7464">
            <w:r w:rsidRPr="000B4E2C">
              <w:t>Exclusion:</w:t>
            </w:r>
          </w:p>
          <w:p w14:paraId="7D026B31" w14:textId="77777777" w:rsidR="000B4E2C" w:rsidRPr="000B4E2C" w:rsidRDefault="002F0133" w:rsidP="002F0133">
            <w:pPr>
              <w:pStyle w:val="ListParagraph"/>
              <w:numPr>
                <w:ilvl w:val="0"/>
                <w:numId w:val="30"/>
              </w:numPr>
            </w:pPr>
            <w:r w:rsidRPr="000B4E2C">
              <w:t>People with other clinical conditions or illnesses.</w:t>
            </w:r>
          </w:p>
          <w:p w14:paraId="385AF615" w14:textId="77777777" w:rsidR="000B4E2C" w:rsidRPr="000B4E2C" w:rsidRDefault="002F0133" w:rsidP="002F0133">
            <w:pPr>
              <w:pStyle w:val="ListParagraph"/>
              <w:numPr>
                <w:ilvl w:val="0"/>
                <w:numId w:val="30"/>
              </w:numPr>
            </w:pPr>
            <w:r w:rsidRPr="000B4E2C">
              <w:t>People assessed immediately after a kidney transplant (within 365 days of index test).</w:t>
            </w:r>
          </w:p>
          <w:p w14:paraId="548FE847" w14:textId="60D722B2" w:rsidR="002F0133" w:rsidRPr="000B4E2C" w:rsidRDefault="002F0133" w:rsidP="002F0133">
            <w:pPr>
              <w:pStyle w:val="ListParagraph"/>
              <w:numPr>
                <w:ilvl w:val="0"/>
                <w:numId w:val="30"/>
              </w:numPr>
            </w:pPr>
            <w:r w:rsidRPr="000B4E2C">
              <w:t xml:space="preserve">Preterm infants and low birth weight babies </w:t>
            </w:r>
          </w:p>
        </w:tc>
        <w:tc>
          <w:tcPr>
            <w:tcW w:w="0" w:type="auto"/>
            <w:shd w:val="clear" w:color="auto" w:fill="auto"/>
          </w:tcPr>
          <w:p w14:paraId="2FCED9B7" w14:textId="77777777" w:rsidR="002F0133" w:rsidRPr="000B4E2C" w:rsidRDefault="002F0133" w:rsidP="008A7464">
            <w:r w:rsidRPr="000B4E2C">
              <w:lastRenderedPageBreak/>
              <w:t>Critically ill patients (adults and children) at risk of AKI in an unselected hospitalised population (medical or surgical hospital admissions) in the following settings:</w:t>
            </w:r>
          </w:p>
          <w:p w14:paraId="2D8306DE" w14:textId="77777777" w:rsidR="002F0133" w:rsidRPr="000B4E2C" w:rsidRDefault="002F0133" w:rsidP="002F0133">
            <w:pPr>
              <w:numPr>
                <w:ilvl w:val="0"/>
                <w:numId w:val="27"/>
              </w:numPr>
              <w:ind w:left="454"/>
              <w:contextualSpacing/>
            </w:pPr>
            <w:r w:rsidRPr="000B4E2C">
              <w:t>general hospital</w:t>
            </w:r>
          </w:p>
          <w:p w14:paraId="16AB2DC5" w14:textId="77777777" w:rsidR="002F0133" w:rsidRPr="000B4E2C" w:rsidRDefault="002F0133" w:rsidP="002F0133">
            <w:pPr>
              <w:numPr>
                <w:ilvl w:val="0"/>
                <w:numId w:val="27"/>
              </w:numPr>
              <w:ind w:left="454"/>
              <w:contextualSpacing/>
            </w:pPr>
            <w:r w:rsidRPr="000B4E2C">
              <w:t>emergency department</w:t>
            </w:r>
          </w:p>
          <w:p w14:paraId="40079E1B" w14:textId="77777777" w:rsidR="002F0133" w:rsidRPr="000B4E2C" w:rsidRDefault="002F0133" w:rsidP="002F0133">
            <w:pPr>
              <w:numPr>
                <w:ilvl w:val="0"/>
                <w:numId w:val="27"/>
              </w:numPr>
              <w:ind w:left="454"/>
              <w:contextualSpacing/>
            </w:pPr>
            <w:r w:rsidRPr="000B4E2C">
              <w:t>post-surgery or post-operative care</w:t>
            </w:r>
          </w:p>
          <w:p w14:paraId="7F494CD8" w14:textId="77777777" w:rsidR="002F0133" w:rsidRPr="000B4E2C" w:rsidRDefault="002F0133" w:rsidP="002F0133">
            <w:pPr>
              <w:numPr>
                <w:ilvl w:val="0"/>
                <w:numId w:val="27"/>
              </w:numPr>
              <w:ind w:left="454"/>
              <w:contextualSpacing/>
            </w:pPr>
            <w:r w:rsidRPr="000B4E2C">
              <w:t>intensive or critical care, e.g. ICU (intensive care unit), CCU (critical care unit), ITU (intensive treatment unit), and paediatric intensive care unit (PICU)</w:t>
            </w:r>
          </w:p>
          <w:p w14:paraId="1A5D27C1" w14:textId="77777777" w:rsidR="000B4E2C" w:rsidRPr="000B4E2C" w:rsidRDefault="002F0133" w:rsidP="008A7464">
            <w:r w:rsidRPr="000B4E2C">
              <w:t>Patients who had established AKI before being admitted to intensive or critical care and those who were managed in the community setting were excluded.</w:t>
            </w:r>
          </w:p>
          <w:p w14:paraId="6C5228D3" w14:textId="7058D12A" w:rsidR="002F0133" w:rsidRPr="000B4E2C" w:rsidRDefault="002F0133" w:rsidP="008A7464">
            <w:r w:rsidRPr="000B4E2C">
              <w:t>While the eligible patient population is an unselected critically ill population considered for admission to critical care, the following subgroups were identified to be particularly at risk of developing AKI:</w:t>
            </w:r>
          </w:p>
          <w:p w14:paraId="26F5250F" w14:textId="77777777" w:rsidR="002F0133" w:rsidRPr="000B4E2C" w:rsidRDefault="002F0133" w:rsidP="002F0133">
            <w:pPr>
              <w:numPr>
                <w:ilvl w:val="0"/>
                <w:numId w:val="27"/>
              </w:numPr>
              <w:ind w:left="454"/>
              <w:contextualSpacing/>
            </w:pPr>
            <w:r w:rsidRPr="000B4E2C">
              <w:t>People undergoing major cardiac or cardiovascular surgery</w:t>
            </w:r>
          </w:p>
          <w:p w14:paraId="259B7469" w14:textId="77777777" w:rsidR="002F0133" w:rsidRPr="000B4E2C" w:rsidRDefault="002F0133" w:rsidP="002F0133">
            <w:pPr>
              <w:numPr>
                <w:ilvl w:val="0"/>
                <w:numId w:val="27"/>
              </w:numPr>
              <w:ind w:left="454"/>
              <w:contextualSpacing/>
            </w:pPr>
            <w:r w:rsidRPr="000B4E2C">
              <w:t>People undergoing major non-cardiac or non-vascular surgery</w:t>
            </w:r>
          </w:p>
          <w:p w14:paraId="57CDB051" w14:textId="77777777" w:rsidR="002F0133" w:rsidRPr="000B4E2C" w:rsidRDefault="002F0133" w:rsidP="002F0133">
            <w:pPr>
              <w:numPr>
                <w:ilvl w:val="0"/>
                <w:numId w:val="27"/>
              </w:numPr>
              <w:ind w:left="454"/>
              <w:contextualSpacing/>
            </w:pPr>
            <w:r w:rsidRPr="000B4E2C">
              <w:t>People undergoing major trauma surgery</w:t>
            </w:r>
          </w:p>
          <w:p w14:paraId="08F1FAE8" w14:textId="77777777" w:rsidR="002F0133" w:rsidRPr="000B4E2C" w:rsidRDefault="002F0133" w:rsidP="002F0133">
            <w:pPr>
              <w:numPr>
                <w:ilvl w:val="0"/>
                <w:numId w:val="27"/>
              </w:numPr>
              <w:ind w:left="454"/>
              <w:contextualSpacing/>
            </w:pPr>
            <w:r w:rsidRPr="000B4E2C">
              <w:t>People undergoing solid organ transplant (except kidney)</w:t>
            </w:r>
          </w:p>
          <w:p w14:paraId="463343D6" w14:textId="77777777" w:rsidR="002F0133" w:rsidRPr="000B4E2C" w:rsidRDefault="002F0133" w:rsidP="002F0133">
            <w:pPr>
              <w:numPr>
                <w:ilvl w:val="0"/>
                <w:numId w:val="27"/>
              </w:numPr>
              <w:ind w:left="454"/>
              <w:contextualSpacing/>
            </w:pPr>
            <w:r w:rsidRPr="000B4E2C">
              <w:t>People undergoing hip replacement</w:t>
            </w:r>
          </w:p>
          <w:p w14:paraId="37BE535E" w14:textId="77777777" w:rsidR="002F0133" w:rsidRPr="000B4E2C" w:rsidRDefault="002F0133" w:rsidP="002F0133">
            <w:pPr>
              <w:numPr>
                <w:ilvl w:val="0"/>
                <w:numId w:val="27"/>
              </w:numPr>
              <w:ind w:left="454"/>
              <w:contextualSpacing/>
            </w:pPr>
            <w:r w:rsidRPr="000B4E2C">
              <w:t>People with sepsis</w:t>
            </w:r>
          </w:p>
          <w:p w14:paraId="1B9102D6" w14:textId="77777777" w:rsidR="002F0133" w:rsidRPr="000B4E2C" w:rsidRDefault="002F0133" w:rsidP="002F0133">
            <w:pPr>
              <w:numPr>
                <w:ilvl w:val="0"/>
                <w:numId w:val="27"/>
              </w:numPr>
              <w:ind w:left="454"/>
              <w:contextualSpacing/>
            </w:pPr>
            <w:r w:rsidRPr="000B4E2C">
              <w:t>People with chronic kidney disease (CKD)</w:t>
            </w:r>
          </w:p>
          <w:p w14:paraId="25267C5F" w14:textId="77777777" w:rsidR="002F0133" w:rsidRPr="000B4E2C" w:rsidRDefault="002F0133" w:rsidP="002F0133">
            <w:pPr>
              <w:numPr>
                <w:ilvl w:val="0"/>
                <w:numId w:val="27"/>
              </w:numPr>
              <w:ind w:left="454"/>
              <w:contextualSpacing/>
            </w:pPr>
            <w:r w:rsidRPr="000B4E2C">
              <w:t>People with chronic liver disease</w:t>
            </w:r>
          </w:p>
          <w:p w14:paraId="3A68C1E8" w14:textId="77777777" w:rsidR="000B4E2C" w:rsidRPr="000B4E2C" w:rsidRDefault="002F0133" w:rsidP="002F0133">
            <w:pPr>
              <w:numPr>
                <w:ilvl w:val="0"/>
                <w:numId w:val="27"/>
              </w:numPr>
              <w:ind w:left="454"/>
              <w:contextualSpacing/>
            </w:pPr>
            <w:r w:rsidRPr="000B4E2C">
              <w:t>People with a serious (non-surgical) acute cardiac event or emergency, e.g. myocardial infarction</w:t>
            </w:r>
          </w:p>
          <w:p w14:paraId="3911BB65" w14:textId="02CAD562" w:rsidR="002F0133" w:rsidRPr="000B4E2C" w:rsidRDefault="002F0133" w:rsidP="008A7464">
            <w:r w:rsidRPr="000B4E2C">
              <w:lastRenderedPageBreak/>
              <w:t>Exclusion:</w:t>
            </w:r>
          </w:p>
          <w:p w14:paraId="6978F153" w14:textId="77777777" w:rsidR="000B4E2C" w:rsidRPr="000B4E2C" w:rsidRDefault="002F0133" w:rsidP="002F0133">
            <w:pPr>
              <w:pStyle w:val="ListParagraph"/>
              <w:numPr>
                <w:ilvl w:val="0"/>
                <w:numId w:val="30"/>
              </w:numPr>
            </w:pPr>
            <w:r w:rsidRPr="000B4E2C">
              <w:t>People with other clinical conditions or illnesses.</w:t>
            </w:r>
          </w:p>
          <w:p w14:paraId="20FA5354" w14:textId="77777777" w:rsidR="000B4E2C" w:rsidRPr="000B4E2C" w:rsidRDefault="002F0133" w:rsidP="002F0133">
            <w:pPr>
              <w:pStyle w:val="ListParagraph"/>
              <w:numPr>
                <w:ilvl w:val="0"/>
                <w:numId w:val="30"/>
              </w:numPr>
            </w:pPr>
            <w:r w:rsidRPr="000B4E2C">
              <w:t>People assessed immediately after a kidney transplant (within 365 days of index test).</w:t>
            </w:r>
          </w:p>
          <w:p w14:paraId="5A5FF484" w14:textId="77777777" w:rsidR="000B4E2C" w:rsidRPr="000B4E2C" w:rsidRDefault="002F0133" w:rsidP="002F0133">
            <w:pPr>
              <w:pStyle w:val="ListParagraph"/>
              <w:numPr>
                <w:ilvl w:val="0"/>
                <w:numId w:val="30"/>
              </w:numPr>
            </w:pPr>
            <w:r w:rsidRPr="000B4E2C">
              <w:t>Preterm infants and low birth weight babies</w:t>
            </w:r>
          </w:p>
          <w:p w14:paraId="2B48CA33" w14:textId="3E5B9495" w:rsidR="002F0133" w:rsidRPr="000B4E2C" w:rsidRDefault="002F0133" w:rsidP="008A7464"/>
        </w:tc>
      </w:tr>
      <w:tr w:rsidR="002F0133" w:rsidRPr="000B4E2C" w14:paraId="383F3D5D" w14:textId="77777777" w:rsidTr="000B4E2C">
        <w:trPr>
          <w:cantSplit/>
          <w:tblHeader/>
        </w:trPr>
        <w:tc>
          <w:tcPr>
            <w:tcW w:w="0" w:type="auto"/>
            <w:shd w:val="clear" w:color="auto" w:fill="auto"/>
          </w:tcPr>
          <w:p w14:paraId="671CBAC6" w14:textId="77777777" w:rsidR="002F0133" w:rsidRPr="000B4E2C" w:rsidRDefault="002F0133" w:rsidP="008A7464">
            <w:pPr>
              <w:rPr>
                <w:b/>
              </w:rPr>
            </w:pPr>
            <w:r w:rsidRPr="000B4E2C">
              <w:rPr>
                <w:b/>
              </w:rPr>
              <w:lastRenderedPageBreak/>
              <w:t xml:space="preserve">Biomarkers under investigation </w:t>
            </w:r>
          </w:p>
        </w:tc>
        <w:tc>
          <w:tcPr>
            <w:tcW w:w="0" w:type="auto"/>
            <w:shd w:val="clear" w:color="auto" w:fill="auto"/>
          </w:tcPr>
          <w:p w14:paraId="543623C2" w14:textId="77777777" w:rsidR="002F0133" w:rsidRPr="000B4E2C" w:rsidRDefault="002F0133" w:rsidP="002F0133">
            <w:pPr>
              <w:numPr>
                <w:ilvl w:val="0"/>
                <w:numId w:val="27"/>
              </w:numPr>
              <w:ind w:left="454"/>
              <w:contextualSpacing/>
            </w:pPr>
            <w:r w:rsidRPr="000B4E2C">
              <w:t>the NephoCheck test (Astute Medical)</w:t>
            </w:r>
          </w:p>
          <w:p w14:paraId="3C069D8C" w14:textId="77777777" w:rsidR="002F0133" w:rsidRPr="000B4E2C" w:rsidRDefault="002F0133" w:rsidP="002F0133">
            <w:pPr>
              <w:numPr>
                <w:ilvl w:val="0"/>
                <w:numId w:val="27"/>
              </w:numPr>
              <w:ind w:left="454"/>
              <w:contextualSpacing/>
            </w:pPr>
            <w:r w:rsidRPr="000B4E2C">
              <w:t>the ARCHITECT and Alinity Urine NGAL assays (Abbott)</w:t>
            </w:r>
          </w:p>
          <w:p w14:paraId="64D6D60E" w14:textId="2EC49867" w:rsidR="002F0133" w:rsidRPr="000B4E2C" w:rsidRDefault="002F0133" w:rsidP="002F0133">
            <w:pPr>
              <w:numPr>
                <w:ilvl w:val="0"/>
                <w:numId w:val="27"/>
              </w:numPr>
              <w:ind w:left="454"/>
              <w:contextualSpacing/>
            </w:pPr>
            <w:r w:rsidRPr="000B4E2C">
              <w:t xml:space="preserve">the </w:t>
            </w:r>
            <w:r w:rsidR="009D7F5A" w:rsidRPr="000B4E2C">
              <w:t>BioPorto</w:t>
            </w:r>
            <w:r w:rsidRPr="000B4E2C">
              <w:t xml:space="preserve"> NGAL urine test (</w:t>
            </w:r>
            <w:r w:rsidR="009D7F5A" w:rsidRPr="000B4E2C">
              <w:t>BioPorto</w:t>
            </w:r>
            <w:r w:rsidRPr="000B4E2C">
              <w:t xml:space="preserve"> Diagnostics)</w:t>
            </w:r>
          </w:p>
          <w:p w14:paraId="20DEBAE5" w14:textId="29BDD9ED" w:rsidR="002F0133" w:rsidRPr="000B4E2C" w:rsidRDefault="002F0133" w:rsidP="002F0133">
            <w:pPr>
              <w:numPr>
                <w:ilvl w:val="0"/>
                <w:numId w:val="27"/>
              </w:numPr>
              <w:ind w:left="454"/>
              <w:contextualSpacing/>
            </w:pPr>
            <w:r w:rsidRPr="000B4E2C">
              <w:t xml:space="preserve">the </w:t>
            </w:r>
            <w:r w:rsidR="009D7F5A" w:rsidRPr="000B4E2C">
              <w:t>BioPorto</w:t>
            </w:r>
            <w:r w:rsidRPr="000B4E2C">
              <w:t xml:space="preserve"> NGAL plasma test (</w:t>
            </w:r>
            <w:r w:rsidR="009D7F5A" w:rsidRPr="000B4E2C">
              <w:t>BioPorto</w:t>
            </w:r>
            <w:r w:rsidRPr="000B4E2C">
              <w:t xml:space="preserve"> Diagnostics)</w:t>
            </w:r>
          </w:p>
          <w:p w14:paraId="3BCB5CC0" w14:textId="77777777" w:rsidR="000B4E2C" w:rsidRPr="000B4E2C" w:rsidRDefault="002F0133" w:rsidP="008A7464">
            <w:pPr>
              <w:ind w:left="94"/>
            </w:pPr>
            <w:r w:rsidRPr="000B4E2C">
              <w:t>All used in conjunction with existing care</w:t>
            </w:r>
          </w:p>
          <w:p w14:paraId="617905C2" w14:textId="77777777" w:rsidR="000B4E2C" w:rsidRPr="000B4E2C" w:rsidRDefault="002F0133" w:rsidP="008A7464">
            <w:r w:rsidRPr="000B4E2C">
              <w:t>The primary timepoint for biomarker measurement was immediately after surgery or on admission to critical or intensive care. When multiple measurements were reported, we selected the time closest to the primary timepoint.</w:t>
            </w:r>
          </w:p>
          <w:p w14:paraId="60AD6ED7" w14:textId="03B21269" w:rsidR="002F0133" w:rsidRPr="000B4E2C" w:rsidRDefault="002F0133" w:rsidP="008A7464">
            <w:r w:rsidRPr="000B4E2C">
              <w:t>Exclusion</w:t>
            </w:r>
          </w:p>
          <w:p w14:paraId="5F603CB6" w14:textId="77777777" w:rsidR="000B4E2C" w:rsidRPr="000B4E2C" w:rsidRDefault="002F0133" w:rsidP="002F0133">
            <w:pPr>
              <w:pStyle w:val="ListParagraph"/>
              <w:numPr>
                <w:ilvl w:val="0"/>
                <w:numId w:val="31"/>
              </w:numPr>
            </w:pPr>
            <w:r w:rsidRPr="000B4E2C">
              <w:t>Solid tissue (not fluid) biomarkers or imaging modalities for detection of AKI</w:t>
            </w:r>
          </w:p>
          <w:p w14:paraId="32BEFAD3" w14:textId="0EA15C57" w:rsidR="002F0133" w:rsidRPr="000B4E2C" w:rsidRDefault="002F0133" w:rsidP="002F0133">
            <w:pPr>
              <w:pStyle w:val="ListParagraph"/>
              <w:numPr>
                <w:ilvl w:val="0"/>
                <w:numId w:val="31"/>
              </w:numPr>
            </w:pPr>
            <w:r w:rsidRPr="000B4E2C">
              <w:t>Biomarkers that used different assays than those listed above or did not specify the details of the assay</w:t>
            </w:r>
          </w:p>
        </w:tc>
        <w:tc>
          <w:tcPr>
            <w:tcW w:w="0" w:type="auto"/>
            <w:shd w:val="clear" w:color="auto" w:fill="auto"/>
          </w:tcPr>
          <w:p w14:paraId="63A93C1A" w14:textId="77777777" w:rsidR="002F0133" w:rsidRPr="000B4E2C" w:rsidRDefault="002F0133" w:rsidP="002F0133">
            <w:pPr>
              <w:numPr>
                <w:ilvl w:val="0"/>
                <w:numId w:val="27"/>
              </w:numPr>
              <w:ind w:left="454"/>
              <w:contextualSpacing/>
            </w:pPr>
            <w:r w:rsidRPr="000B4E2C">
              <w:t>the NephoCheck test (Astute Medical)</w:t>
            </w:r>
          </w:p>
          <w:p w14:paraId="6E73AE46" w14:textId="77777777" w:rsidR="002F0133" w:rsidRPr="000B4E2C" w:rsidRDefault="002F0133" w:rsidP="002F0133">
            <w:pPr>
              <w:numPr>
                <w:ilvl w:val="0"/>
                <w:numId w:val="27"/>
              </w:numPr>
              <w:ind w:left="454"/>
              <w:contextualSpacing/>
            </w:pPr>
            <w:r w:rsidRPr="000B4E2C">
              <w:t>the ARCHITECT and Alinity Urine NGAL assays (Abbott)</w:t>
            </w:r>
          </w:p>
          <w:p w14:paraId="66F1A4CB" w14:textId="35E076DC" w:rsidR="002F0133" w:rsidRPr="000B4E2C" w:rsidRDefault="002F0133" w:rsidP="002F0133">
            <w:pPr>
              <w:numPr>
                <w:ilvl w:val="0"/>
                <w:numId w:val="27"/>
              </w:numPr>
              <w:ind w:left="454"/>
              <w:contextualSpacing/>
            </w:pPr>
            <w:r w:rsidRPr="000B4E2C">
              <w:t xml:space="preserve">the </w:t>
            </w:r>
            <w:r w:rsidR="009D7F5A" w:rsidRPr="000B4E2C">
              <w:t>BioPorto</w:t>
            </w:r>
            <w:r w:rsidRPr="000B4E2C">
              <w:t xml:space="preserve"> NGAL urine test (</w:t>
            </w:r>
            <w:r w:rsidR="009D7F5A" w:rsidRPr="000B4E2C">
              <w:t>BioPorto</w:t>
            </w:r>
            <w:r w:rsidRPr="000B4E2C">
              <w:t xml:space="preserve"> Diagnostics)</w:t>
            </w:r>
          </w:p>
          <w:p w14:paraId="5F4BF934" w14:textId="30D7D961" w:rsidR="002F0133" w:rsidRPr="000B4E2C" w:rsidRDefault="002F0133" w:rsidP="002F0133">
            <w:pPr>
              <w:numPr>
                <w:ilvl w:val="0"/>
                <w:numId w:val="27"/>
              </w:numPr>
              <w:ind w:left="454"/>
              <w:contextualSpacing/>
            </w:pPr>
            <w:r w:rsidRPr="000B4E2C">
              <w:t xml:space="preserve">the </w:t>
            </w:r>
            <w:r w:rsidR="009D7F5A" w:rsidRPr="000B4E2C">
              <w:t>BioPorto</w:t>
            </w:r>
            <w:r w:rsidRPr="000B4E2C">
              <w:t xml:space="preserve"> NGAL plasma test (</w:t>
            </w:r>
            <w:r w:rsidR="009D7F5A" w:rsidRPr="000B4E2C">
              <w:t>BioPorto</w:t>
            </w:r>
            <w:r w:rsidRPr="000B4E2C">
              <w:t xml:space="preserve"> Diagnostics)</w:t>
            </w:r>
          </w:p>
          <w:p w14:paraId="4F4AF000" w14:textId="77777777" w:rsidR="000B4E2C" w:rsidRPr="000B4E2C" w:rsidRDefault="002F0133" w:rsidP="008A7464">
            <w:pPr>
              <w:ind w:left="94"/>
            </w:pPr>
            <w:r w:rsidRPr="000B4E2C">
              <w:t>All used in conjunction with existing care</w:t>
            </w:r>
          </w:p>
          <w:p w14:paraId="7DB23C27" w14:textId="77777777" w:rsidR="000B4E2C" w:rsidRPr="000B4E2C" w:rsidRDefault="002F0133" w:rsidP="008A7464">
            <w:r w:rsidRPr="000B4E2C">
              <w:t>The primary timepoint for biomarker measurement was immediately after surgery or on admission to critical or intensive care. When multiple measurements were reported, we selected the time closest to the primary timepoint.</w:t>
            </w:r>
          </w:p>
          <w:p w14:paraId="1E9E1394" w14:textId="08E614A2" w:rsidR="002F0133" w:rsidRPr="000B4E2C" w:rsidRDefault="002F0133" w:rsidP="008A7464">
            <w:r w:rsidRPr="000B4E2C">
              <w:t>Exclusion</w:t>
            </w:r>
          </w:p>
          <w:p w14:paraId="1C19B686" w14:textId="77777777" w:rsidR="000B4E2C" w:rsidRPr="000B4E2C" w:rsidRDefault="002F0133" w:rsidP="002F0133">
            <w:pPr>
              <w:pStyle w:val="ListParagraph"/>
              <w:numPr>
                <w:ilvl w:val="0"/>
                <w:numId w:val="31"/>
              </w:numPr>
            </w:pPr>
            <w:r w:rsidRPr="000B4E2C">
              <w:t>Solid tissue (not fluid) biomarkers or imaging modalities for detection of AKI</w:t>
            </w:r>
          </w:p>
          <w:p w14:paraId="118AAA55" w14:textId="0B8F8623" w:rsidR="002F0133" w:rsidRPr="000B4E2C" w:rsidRDefault="002F0133" w:rsidP="002F0133">
            <w:pPr>
              <w:pStyle w:val="ListParagraph"/>
              <w:numPr>
                <w:ilvl w:val="0"/>
                <w:numId w:val="31"/>
              </w:numPr>
            </w:pPr>
            <w:r w:rsidRPr="000B4E2C">
              <w:t>Biomarkers that used different assays than those listed above or did not specify the details of the assay</w:t>
            </w:r>
          </w:p>
        </w:tc>
        <w:tc>
          <w:tcPr>
            <w:tcW w:w="0" w:type="auto"/>
            <w:shd w:val="clear" w:color="auto" w:fill="auto"/>
          </w:tcPr>
          <w:p w14:paraId="0FB545B0" w14:textId="2C32AC9E" w:rsidR="002F0133" w:rsidRPr="000B4E2C" w:rsidRDefault="002F0133" w:rsidP="008A7464">
            <w:pPr>
              <w:contextualSpacing/>
            </w:pPr>
            <w:r w:rsidRPr="000B4E2C">
              <w:t xml:space="preserve">AKI care initiated according to the results of the biomarkers under investigation (the NephoCheck test, ARCHITECT and Alinity Urine NGAL assays, </w:t>
            </w:r>
            <w:r w:rsidR="009D7F5A" w:rsidRPr="000B4E2C">
              <w:t>BioPorto</w:t>
            </w:r>
            <w:r w:rsidRPr="000B4E2C">
              <w:t xml:space="preserve"> NGAL urine test, </w:t>
            </w:r>
            <w:r w:rsidR="009D7F5A" w:rsidRPr="000B4E2C">
              <w:t>BioPorto</w:t>
            </w:r>
            <w:r w:rsidRPr="000B4E2C">
              <w:t xml:space="preserve"> NGAL plasma test).</w:t>
            </w:r>
          </w:p>
        </w:tc>
      </w:tr>
      <w:tr w:rsidR="002F0133" w:rsidRPr="000B4E2C" w14:paraId="53007E3C" w14:textId="77777777" w:rsidTr="000B4E2C">
        <w:trPr>
          <w:cantSplit/>
          <w:tblHeader/>
        </w:trPr>
        <w:tc>
          <w:tcPr>
            <w:tcW w:w="0" w:type="auto"/>
            <w:shd w:val="clear" w:color="auto" w:fill="auto"/>
          </w:tcPr>
          <w:p w14:paraId="6D21FD1D" w14:textId="647A51CB" w:rsidR="002F0133" w:rsidRPr="000B4E2C" w:rsidRDefault="002F0133" w:rsidP="008A7464">
            <w:pPr>
              <w:rPr>
                <w:b/>
              </w:rPr>
            </w:pPr>
            <w:r w:rsidRPr="000B4E2C">
              <w:rPr>
                <w:b/>
              </w:rPr>
              <w:lastRenderedPageBreak/>
              <w:t>Reference standard</w:t>
            </w:r>
            <w:r w:rsidR="000B4E2C" w:rsidRPr="000B4E2C">
              <w:rPr>
                <w:b/>
                <w:color w:val="00B0F0"/>
              </w:rPr>
              <w:t>/</w:t>
            </w:r>
            <w:r w:rsidRPr="000B4E2C">
              <w:rPr>
                <w:b/>
              </w:rPr>
              <w:t>Comparator</w:t>
            </w:r>
          </w:p>
        </w:tc>
        <w:tc>
          <w:tcPr>
            <w:tcW w:w="0" w:type="auto"/>
            <w:shd w:val="clear" w:color="auto" w:fill="auto"/>
          </w:tcPr>
          <w:p w14:paraId="457D8213" w14:textId="77777777" w:rsidR="000B4E2C" w:rsidRPr="000B4E2C" w:rsidRDefault="002F0133" w:rsidP="008A7464">
            <w:r w:rsidRPr="000B4E2C">
              <w:t>At present, there is no universally accepted reference standard for the diagnosis of AKI. The current methods for detecting or predicting AKI are in line with the RIFLE (or paediatric-modified RIFLE), AKIN and KDIGO classification systems, which are based on the assessment of serum creatinine levels and urine output alongside clinical judgement (see NICE Clinical Guidance 169 on prevention detection and management of AKI).</w:t>
            </w:r>
          </w:p>
          <w:p w14:paraId="450594DB" w14:textId="39BA91F0" w:rsidR="002F0133" w:rsidRPr="000B4E2C" w:rsidRDefault="002F0133" w:rsidP="008A7464"/>
        </w:tc>
        <w:tc>
          <w:tcPr>
            <w:tcW w:w="0" w:type="auto"/>
            <w:shd w:val="clear" w:color="auto" w:fill="auto"/>
          </w:tcPr>
          <w:p w14:paraId="022C5EC5" w14:textId="77777777" w:rsidR="002F0133" w:rsidRPr="000B4E2C" w:rsidRDefault="002F0133" w:rsidP="008A7464">
            <w:pPr>
              <w:contextualSpacing/>
            </w:pPr>
            <w:r w:rsidRPr="000B4E2C">
              <w:t>Existing clinical criteria for the monitoring of serum creatinine and urine output used in conjunction with clinical judgement (reference standard)</w:t>
            </w:r>
          </w:p>
        </w:tc>
        <w:tc>
          <w:tcPr>
            <w:tcW w:w="0" w:type="auto"/>
            <w:shd w:val="clear" w:color="auto" w:fill="auto"/>
          </w:tcPr>
          <w:p w14:paraId="7B3C4A6F" w14:textId="77777777" w:rsidR="002F0133" w:rsidRPr="000B4E2C" w:rsidRDefault="002F0133" w:rsidP="008A7464">
            <w:bookmarkStart w:id="13" w:name="_Hlk19401872"/>
            <w:r w:rsidRPr="000B4E2C">
              <w:t xml:space="preserve">AKI care initiated according to standard clinical </w:t>
            </w:r>
            <w:r w:rsidRPr="000B4E2C">
              <w:rPr>
                <w:highlight w:val="magenta"/>
              </w:rPr>
              <w:t>practice</w:t>
            </w:r>
            <w:bookmarkEnd w:id="13"/>
            <w:r w:rsidRPr="000B4E2C">
              <w:t xml:space="preserve"> (existing clinical criteria without biomarkers).</w:t>
            </w:r>
          </w:p>
        </w:tc>
      </w:tr>
      <w:tr w:rsidR="002F0133" w:rsidRPr="000B4E2C" w14:paraId="47EC8FB2" w14:textId="77777777" w:rsidTr="000B4E2C">
        <w:trPr>
          <w:cantSplit/>
          <w:tblHeader/>
        </w:trPr>
        <w:tc>
          <w:tcPr>
            <w:tcW w:w="0" w:type="auto"/>
            <w:shd w:val="clear" w:color="auto" w:fill="auto"/>
          </w:tcPr>
          <w:p w14:paraId="54F7A295" w14:textId="77777777" w:rsidR="002F0133" w:rsidRPr="000B4E2C" w:rsidRDefault="002F0133" w:rsidP="008A7464">
            <w:pPr>
              <w:rPr>
                <w:b/>
              </w:rPr>
            </w:pPr>
            <w:r w:rsidRPr="000B4E2C">
              <w:rPr>
                <w:b/>
              </w:rPr>
              <w:lastRenderedPageBreak/>
              <w:t>Outcomes</w:t>
            </w:r>
          </w:p>
        </w:tc>
        <w:tc>
          <w:tcPr>
            <w:tcW w:w="0" w:type="auto"/>
            <w:shd w:val="clear" w:color="auto" w:fill="auto"/>
          </w:tcPr>
          <w:p w14:paraId="787B0176" w14:textId="77777777" w:rsidR="000B4E2C" w:rsidRPr="000B4E2C" w:rsidRDefault="002F0133" w:rsidP="008A7464">
            <w:r w:rsidRPr="000B4E2C">
              <w:t>Detection of AKI (using measures of accuracy – i.e., sensitivity and specificity)</w:t>
            </w:r>
          </w:p>
          <w:p w14:paraId="5D30552A" w14:textId="7AF3DD3A" w:rsidR="002F0133" w:rsidRPr="000B4E2C" w:rsidRDefault="002F0133" w:rsidP="008A7464"/>
        </w:tc>
        <w:tc>
          <w:tcPr>
            <w:tcW w:w="0" w:type="auto"/>
            <w:shd w:val="clear" w:color="auto" w:fill="auto"/>
          </w:tcPr>
          <w:p w14:paraId="22401C21" w14:textId="77777777" w:rsidR="002F0133" w:rsidRPr="000B4E2C" w:rsidRDefault="002F0133" w:rsidP="002F0133">
            <w:pPr>
              <w:numPr>
                <w:ilvl w:val="0"/>
                <w:numId w:val="29"/>
              </w:numPr>
              <w:ind w:left="461"/>
              <w:contextualSpacing/>
            </w:pPr>
            <w:r w:rsidRPr="000B4E2C">
              <w:t>Mortality</w:t>
            </w:r>
          </w:p>
          <w:p w14:paraId="1083D8BC" w14:textId="77777777" w:rsidR="002F0133" w:rsidRPr="000B4E2C" w:rsidRDefault="002F0133" w:rsidP="002F0133">
            <w:pPr>
              <w:numPr>
                <w:ilvl w:val="0"/>
                <w:numId w:val="29"/>
              </w:numPr>
              <w:ind w:left="461"/>
              <w:contextualSpacing/>
            </w:pPr>
            <w:r w:rsidRPr="000B4E2C">
              <w:t>Need for long-term renal replacement therapy (RRT)</w:t>
            </w:r>
          </w:p>
          <w:p w14:paraId="2BCD5149" w14:textId="4A6F5E42" w:rsidR="000B4E2C" w:rsidRPr="000B4E2C" w:rsidRDefault="002F0133" w:rsidP="002F0133">
            <w:pPr>
              <w:numPr>
                <w:ilvl w:val="0"/>
                <w:numId w:val="29"/>
              </w:numPr>
              <w:ind w:left="461"/>
              <w:contextualSpacing/>
            </w:pPr>
            <w:r w:rsidRPr="000B4E2C">
              <w:t xml:space="preserve">Chronic kidney disease (CKD) </w:t>
            </w:r>
            <w:r w:rsidR="000B4E2C" w:rsidRPr="000B4E2C">
              <w:rPr>
                <w:color w:val="00B0F0"/>
              </w:rPr>
              <w:t>&gt;</w:t>
            </w:r>
            <w:r w:rsidR="000B4E2C" w:rsidRPr="000B4E2C">
              <w:rPr>
                <w:color w:val="00B0F0"/>
              </w:rPr>
              <w:t> </w:t>
            </w:r>
            <w:r w:rsidR="000B4E2C" w:rsidRPr="000B4E2C">
              <w:rPr>
                <w:color w:val="00B0F0"/>
              </w:rPr>
              <w:t>9</w:t>
            </w:r>
            <w:r w:rsidRPr="000B4E2C">
              <w:t>0 days post-AKI</w:t>
            </w:r>
          </w:p>
          <w:p w14:paraId="6110495D" w14:textId="77777777" w:rsidR="000B4E2C" w:rsidRPr="000B4E2C" w:rsidRDefault="002F0133" w:rsidP="008A7464">
            <w:pPr>
              <w:ind w:left="101"/>
            </w:pPr>
            <w:r w:rsidRPr="000B4E2C">
              <w:t>At abstract screening, studies that did not report any of the above selected outcomes were excluded.</w:t>
            </w:r>
          </w:p>
          <w:p w14:paraId="79D9B519" w14:textId="7EB42C31" w:rsidR="002F0133" w:rsidRPr="000B4E2C" w:rsidRDefault="002F0133" w:rsidP="008A7464">
            <w:pPr>
              <w:ind w:left="101"/>
            </w:pPr>
          </w:p>
        </w:tc>
        <w:tc>
          <w:tcPr>
            <w:tcW w:w="0" w:type="auto"/>
            <w:shd w:val="clear" w:color="auto" w:fill="auto"/>
          </w:tcPr>
          <w:p w14:paraId="30057426" w14:textId="77777777" w:rsidR="002F0133" w:rsidRPr="000B4E2C" w:rsidRDefault="002F0133" w:rsidP="008A7464">
            <w:r w:rsidRPr="000B4E2C">
              <w:t>Clinical outcomes:</w:t>
            </w:r>
          </w:p>
          <w:p w14:paraId="5C459737" w14:textId="77777777" w:rsidR="002F0133" w:rsidRPr="000B4E2C" w:rsidRDefault="002F0133" w:rsidP="002F0133">
            <w:pPr>
              <w:numPr>
                <w:ilvl w:val="0"/>
                <w:numId w:val="29"/>
              </w:numPr>
              <w:contextualSpacing/>
            </w:pPr>
            <w:r w:rsidRPr="000B4E2C">
              <w:t>Mortality</w:t>
            </w:r>
          </w:p>
          <w:p w14:paraId="205E620F" w14:textId="77777777" w:rsidR="000B4E2C" w:rsidRPr="000B4E2C" w:rsidRDefault="002F0133" w:rsidP="002F0133">
            <w:pPr>
              <w:numPr>
                <w:ilvl w:val="0"/>
                <w:numId w:val="29"/>
              </w:numPr>
              <w:contextualSpacing/>
            </w:pPr>
            <w:r w:rsidRPr="000B4E2C">
              <w:t>AKI-associated morbidity (e.g., chronic kidney disease/end stage renal disease, other organ failure)</w:t>
            </w:r>
          </w:p>
          <w:p w14:paraId="62936FCB" w14:textId="48DB4E79" w:rsidR="002F0133" w:rsidRPr="000B4E2C" w:rsidRDefault="002F0133" w:rsidP="008A7464">
            <w:pPr>
              <w:ind w:left="101"/>
            </w:pPr>
            <w:r w:rsidRPr="000B4E2C">
              <w:t>Patient-reported outcome:</w:t>
            </w:r>
          </w:p>
          <w:p w14:paraId="5F2A2451" w14:textId="77777777" w:rsidR="000B4E2C" w:rsidRPr="000B4E2C" w:rsidRDefault="002F0133" w:rsidP="002F0133">
            <w:pPr>
              <w:numPr>
                <w:ilvl w:val="0"/>
                <w:numId w:val="29"/>
              </w:numPr>
              <w:contextualSpacing/>
            </w:pPr>
            <w:r w:rsidRPr="000B4E2C">
              <w:t>Health-related quality of life</w:t>
            </w:r>
          </w:p>
          <w:p w14:paraId="50EFDD35" w14:textId="5FE494B7" w:rsidR="002F0133" w:rsidRPr="000B4E2C" w:rsidRDefault="002F0133" w:rsidP="008A7464">
            <w:pPr>
              <w:ind w:left="101"/>
            </w:pPr>
            <w:r w:rsidRPr="000B4E2C">
              <w:t xml:space="preserve">Intermediate outcomes </w:t>
            </w:r>
            <w:r w:rsidRPr="000B4E2C">
              <w:rPr>
                <w:u w:val="single"/>
              </w:rPr>
              <w:t>may include</w:t>
            </w:r>
            <w:r w:rsidRPr="000B4E2C">
              <w:t>:</w:t>
            </w:r>
          </w:p>
          <w:p w14:paraId="7C121DC3" w14:textId="77777777" w:rsidR="000B4E2C" w:rsidRPr="000B4E2C" w:rsidRDefault="002F0133" w:rsidP="002F0133">
            <w:pPr>
              <w:numPr>
                <w:ilvl w:val="0"/>
                <w:numId w:val="29"/>
              </w:numPr>
              <w:contextualSpacing/>
            </w:pPr>
            <w:r w:rsidRPr="000B4E2C">
              <w:rPr>
                <w:highlight w:val="magenta"/>
              </w:rPr>
              <w:t>Incidence</w:t>
            </w:r>
            <w:r w:rsidRPr="000B4E2C">
              <w:t xml:space="preserve"> of AKI (and severity/stage of condition)</w:t>
            </w:r>
          </w:p>
          <w:p w14:paraId="0F881403" w14:textId="4B75AA46" w:rsidR="002F0133" w:rsidRPr="000B4E2C" w:rsidRDefault="002F0133" w:rsidP="002F0133">
            <w:pPr>
              <w:numPr>
                <w:ilvl w:val="0"/>
                <w:numId w:val="29"/>
              </w:numPr>
              <w:contextualSpacing/>
            </w:pPr>
            <w:r w:rsidRPr="000B4E2C">
              <w:rPr>
                <w:highlight w:val="magenta"/>
              </w:rPr>
              <w:t>Incidence</w:t>
            </w:r>
            <w:r w:rsidRPr="000B4E2C">
              <w:t>/duration of acute renal replacement therapy within 7 days</w:t>
            </w:r>
          </w:p>
          <w:p w14:paraId="72746D69" w14:textId="77777777" w:rsidR="002F0133" w:rsidRPr="000B4E2C" w:rsidRDefault="002F0133" w:rsidP="002F0133">
            <w:pPr>
              <w:numPr>
                <w:ilvl w:val="0"/>
                <w:numId w:val="29"/>
              </w:numPr>
              <w:contextualSpacing/>
            </w:pPr>
            <w:r w:rsidRPr="000B4E2C">
              <w:rPr>
                <w:highlight w:val="magenta"/>
              </w:rPr>
              <w:t>Incidence</w:t>
            </w:r>
            <w:r w:rsidRPr="000B4E2C">
              <w:t xml:space="preserve"> of chronic kidney disease-related renal replacement therapy post AKI</w:t>
            </w:r>
          </w:p>
          <w:p w14:paraId="7796496E" w14:textId="77777777" w:rsidR="002F0133" w:rsidRPr="000B4E2C" w:rsidRDefault="002F0133" w:rsidP="002F0133">
            <w:pPr>
              <w:numPr>
                <w:ilvl w:val="0"/>
                <w:numId w:val="29"/>
              </w:numPr>
              <w:contextualSpacing/>
            </w:pPr>
            <w:r w:rsidRPr="000B4E2C">
              <w:t>Length of stay in critical/intensive care</w:t>
            </w:r>
          </w:p>
          <w:p w14:paraId="5B8BFD91" w14:textId="77777777" w:rsidR="002F0133" w:rsidRPr="000B4E2C" w:rsidRDefault="002F0133" w:rsidP="002F0133">
            <w:pPr>
              <w:numPr>
                <w:ilvl w:val="0"/>
                <w:numId w:val="29"/>
              </w:numPr>
              <w:contextualSpacing/>
            </w:pPr>
            <w:r w:rsidRPr="000B4E2C">
              <w:t>Length of stay in hospital</w:t>
            </w:r>
          </w:p>
          <w:p w14:paraId="248B8037" w14:textId="77777777" w:rsidR="002F0133" w:rsidRPr="000B4E2C" w:rsidRDefault="002F0133" w:rsidP="002F0133">
            <w:pPr>
              <w:numPr>
                <w:ilvl w:val="0"/>
                <w:numId w:val="29"/>
              </w:numPr>
              <w:contextualSpacing/>
            </w:pPr>
            <w:r w:rsidRPr="000B4E2C">
              <w:t>Length of AKI episode</w:t>
            </w:r>
          </w:p>
          <w:p w14:paraId="28AE26A4" w14:textId="77777777" w:rsidR="000B4E2C" w:rsidRPr="000B4E2C" w:rsidRDefault="002F0133" w:rsidP="002F0133">
            <w:pPr>
              <w:numPr>
                <w:ilvl w:val="0"/>
                <w:numId w:val="29"/>
              </w:numPr>
              <w:contextualSpacing/>
            </w:pPr>
            <w:r w:rsidRPr="000B4E2C">
              <w:rPr>
                <w:highlight w:val="magenta"/>
              </w:rPr>
              <w:t>Incidence</w:t>
            </w:r>
            <w:r w:rsidRPr="000B4E2C">
              <w:t xml:space="preserve"> of hospital readmission post-discharge</w:t>
            </w:r>
          </w:p>
          <w:p w14:paraId="3E677194" w14:textId="4D2ED375" w:rsidR="002F0133" w:rsidRPr="000B4E2C" w:rsidRDefault="002F0133" w:rsidP="002F0133">
            <w:pPr>
              <w:numPr>
                <w:ilvl w:val="0"/>
                <w:numId w:val="29"/>
              </w:numPr>
              <w:contextualSpacing/>
            </w:pPr>
            <w:r w:rsidRPr="000B4E2C">
              <w:t xml:space="preserve">Impact of test result on clinical </w:t>
            </w:r>
            <w:r w:rsidR="000B4E2C" w:rsidRPr="000B4E2C">
              <w:rPr>
                <w:color w:val="00B0F0"/>
              </w:rPr>
              <w:t>decision-mak</w:t>
            </w:r>
            <w:r w:rsidRPr="000B4E2C">
              <w:t>ing</w:t>
            </w:r>
          </w:p>
          <w:p w14:paraId="217D167B" w14:textId="77777777" w:rsidR="002F0133" w:rsidRPr="000B4E2C" w:rsidRDefault="002F0133" w:rsidP="002F0133">
            <w:pPr>
              <w:numPr>
                <w:ilvl w:val="0"/>
                <w:numId w:val="29"/>
              </w:numPr>
              <w:contextualSpacing/>
            </w:pPr>
            <w:r w:rsidRPr="000B4E2C">
              <w:t>Impact on steady state estimated glomerular filtration rate at 90 days</w:t>
            </w:r>
          </w:p>
          <w:p w14:paraId="56D42CBF" w14:textId="77777777" w:rsidR="002F0133" w:rsidRPr="000B4E2C" w:rsidRDefault="002F0133" w:rsidP="002F0133">
            <w:pPr>
              <w:numPr>
                <w:ilvl w:val="0"/>
                <w:numId w:val="29"/>
              </w:numPr>
              <w:contextualSpacing/>
            </w:pPr>
            <w:r w:rsidRPr="000B4E2C">
              <w:t>Time to test results</w:t>
            </w:r>
          </w:p>
          <w:p w14:paraId="24C580D7" w14:textId="77777777" w:rsidR="002F0133" w:rsidRPr="000B4E2C" w:rsidRDefault="002F0133" w:rsidP="002F0133">
            <w:pPr>
              <w:numPr>
                <w:ilvl w:val="0"/>
                <w:numId w:val="29"/>
              </w:numPr>
              <w:contextualSpacing/>
            </w:pPr>
            <w:r w:rsidRPr="000B4E2C">
              <w:t>Equivalence of biomarkers (e.g., the NGAL assays)</w:t>
            </w:r>
          </w:p>
        </w:tc>
      </w:tr>
      <w:tr w:rsidR="002F0133" w:rsidRPr="000B4E2C" w14:paraId="2C2DD7D8" w14:textId="77777777" w:rsidTr="000B4E2C">
        <w:trPr>
          <w:cantSplit/>
          <w:tblHeader/>
        </w:trPr>
        <w:tc>
          <w:tcPr>
            <w:tcW w:w="0" w:type="auto"/>
            <w:shd w:val="clear" w:color="auto" w:fill="auto"/>
          </w:tcPr>
          <w:p w14:paraId="59518677" w14:textId="77777777" w:rsidR="002F0133" w:rsidRPr="000B4E2C" w:rsidRDefault="002F0133" w:rsidP="008A7464">
            <w:pPr>
              <w:rPr>
                <w:b/>
              </w:rPr>
            </w:pPr>
            <w:r w:rsidRPr="000B4E2C">
              <w:rPr>
                <w:b/>
              </w:rPr>
              <w:lastRenderedPageBreak/>
              <w:t>Study design</w:t>
            </w:r>
          </w:p>
        </w:tc>
        <w:tc>
          <w:tcPr>
            <w:tcW w:w="0" w:type="auto"/>
            <w:shd w:val="clear" w:color="auto" w:fill="auto"/>
          </w:tcPr>
          <w:p w14:paraId="27A0652A" w14:textId="77777777" w:rsidR="002F0133" w:rsidRPr="000B4E2C" w:rsidRDefault="002F0133" w:rsidP="002F0133">
            <w:pPr>
              <w:numPr>
                <w:ilvl w:val="0"/>
                <w:numId w:val="28"/>
              </w:numPr>
              <w:contextualSpacing/>
            </w:pPr>
            <w:r w:rsidRPr="000B4E2C">
              <w:t>Any cross-sectional study which investigates the diagnostic accuracy of a single biomarker (NephroCheck test or NGAL test) against the reference standard in the same study population</w:t>
            </w:r>
          </w:p>
          <w:p w14:paraId="60A500F3" w14:textId="77777777" w:rsidR="000B4E2C" w:rsidRPr="000B4E2C" w:rsidRDefault="002F0133" w:rsidP="002F0133">
            <w:pPr>
              <w:numPr>
                <w:ilvl w:val="0"/>
                <w:numId w:val="28"/>
              </w:numPr>
              <w:contextualSpacing/>
            </w:pPr>
            <w:r w:rsidRPr="000B4E2C">
              <w:t>Any fully paired direct comparison (observational or randomised direct comparison) in which one of the biomarkers under investigation (NephroCheck test or NGAL test) is compared with another biomarker in the same study population against the reference standard</w:t>
            </w:r>
          </w:p>
          <w:p w14:paraId="27969633" w14:textId="3C0D2DDB" w:rsidR="002F0133" w:rsidRPr="000B4E2C" w:rsidRDefault="002F0133" w:rsidP="008A7464">
            <w:r w:rsidRPr="000B4E2C">
              <w:t>Exclusion:</w:t>
            </w:r>
          </w:p>
          <w:p w14:paraId="570CF2D9" w14:textId="7CBB6BC0" w:rsidR="002F0133" w:rsidRPr="000B4E2C" w:rsidRDefault="002F0133" w:rsidP="002F0133">
            <w:pPr>
              <w:numPr>
                <w:ilvl w:val="0"/>
                <w:numId w:val="28"/>
              </w:numPr>
              <w:contextualSpacing/>
            </w:pPr>
            <w:r w:rsidRPr="000B4E2C">
              <w:t xml:space="preserve">Studies with </w:t>
            </w:r>
            <w:r w:rsidR="000B4E2C" w:rsidRPr="000B4E2C">
              <w:rPr>
                <w:color w:val="00B0F0"/>
              </w:rPr>
              <w:t>&lt;</w:t>
            </w:r>
            <w:r w:rsidR="000B4E2C" w:rsidRPr="000B4E2C">
              <w:rPr>
                <w:color w:val="00B0F0"/>
              </w:rPr>
              <w:t> </w:t>
            </w:r>
            <w:r w:rsidR="000B4E2C" w:rsidRPr="000B4E2C">
              <w:rPr>
                <w:color w:val="00B0F0"/>
              </w:rPr>
              <w:t>1</w:t>
            </w:r>
            <w:r w:rsidRPr="000B4E2C">
              <w:t>00 participants</w:t>
            </w:r>
          </w:p>
          <w:p w14:paraId="26CD643F" w14:textId="77777777" w:rsidR="002F0133" w:rsidRPr="000B4E2C" w:rsidRDefault="002F0133" w:rsidP="002F0133">
            <w:pPr>
              <w:pStyle w:val="ListParagraph"/>
              <w:numPr>
                <w:ilvl w:val="0"/>
                <w:numId w:val="28"/>
              </w:numPr>
            </w:pPr>
            <w:r w:rsidRPr="000B4E2C">
              <w:t>Pilot studies or studies of preliminary results only</w:t>
            </w:r>
          </w:p>
          <w:p w14:paraId="308B9091" w14:textId="77777777" w:rsidR="002F0133" w:rsidRPr="000B4E2C" w:rsidRDefault="002F0133" w:rsidP="002F0133">
            <w:pPr>
              <w:pStyle w:val="ListParagraph"/>
              <w:numPr>
                <w:ilvl w:val="0"/>
                <w:numId w:val="28"/>
              </w:numPr>
            </w:pPr>
            <w:r w:rsidRPr="000B4E2C">
              <w:t>Case reports</w:t>
            </w:r>
          </w:p>
          <w:p w14:paraId="7535CFAF" w14:textId="77777777" w:rsidR="002F0133" w:rsidRPr="000B4E2C" w:rsidRDefault="002F0133" w:rsidP="002F0133">
            <w:pPr>
              <w:pStyle w:val="ListParagraph"/>
              <w:numPr>
                <w:ilvl w:val="0"/>
                <w:numId w:val="28"/>
              </w:numPr>
            </w:pPr>
            <w:r w:rsidRPr="000B4E2C">
              <w:t>Conference abstracts or proceedings</w:t>
            </w:r>
          </w:p>
          <w:p w14:paraId="2C6D5194" w14:textId="77777777" w:rsidR="002F0133" w:rsidRPr="000B4E2C" w:rsidRDefault="002F0133" w:rsidP="002F0133">
            <w:pPr>
              <w:pStyle w:val="ListParagraph"/>
              <w:numPr>
                <w:ilvl w:val="0"/>
                <w:numId w:val="28"/>
              </w:numPr>
            </w:pPr>
            <w:r w:rsidRPr="000B4E2C">
              <w:t>Studies published in language other than English</w:t>
            </w:r>
          </w:p>
          <w:p w14:paraId="78DF6EE8" w14:textId="77777777" w:rsidR="002F0133" w:rsidRPr="000B4E2C" w:rsidRDefault="002F0133" w:rsidP="002F0133">
            <w:pPr>
              <w:numPr>
                <w:ilvl w:val="0"/>
                <w:numId w:val="28"/>
              </w:numPr>
              <w:contextualSpacing/>
            </w:pPr>
            <w:r w:rsidRPr="000B4E2C">
              <w:t xml:space="preserve">Studies with insufficient information to complete a two-by-two contingency table </w:t>
            </w:r>
          </w:p>
        </w:tc>
        <w:tc>
          <w:tcPr>
            <w:tcW w:w="0" w:type="auto"/>
            <w:shd w:val="clear" w:color="auto" w:fill="auto"/>
          </w:tcPr>
          <w:p w14:paraId="2EAEB9D0" w14:textId="77777777" w:rsidR="002F0133" w:rsidRPr="000B4E2C" w:rsidRDefault="002F0133" w:rsidP="008A7464">
            <w:pPr>
              <w:contextualSpacing/>
            </w:pPr>
            <w:r w:rsidRPr="000B4E2C">
              <w:t>Prospective studies reporting:</w:t>
            </w:r>
          </w:p>
          <w:p w14:paraId="001B1A09" w14:textId="77777777" w:rsidR="002F0133" w:rsidRPr="000B4E2C" w:rsidRDefault="002F0133" w:rsidP="002F0133">
            <w:pPr>
              <w:numPr>
                <w:ilvl w:val="0"/>
                <w:numId w:val="28"/>
              </w:numPr>
              <w:ind w:left="454"/>
              <w:contextualSpacing/>
            </w:pPr>
            <w:r w:rsidRPr="000B4E2C">
              <w:t>prognostic accuracy for the specified outcomes (e.g. sensitivity, specificity, ROC curve, AUC)</w:t>
            </w:r>
          </w:p>
          <w:p w14:paraId="011747FE" w14:textId="77777777" w:rsidR="000B4E2C" w:rsidRPr="000B4E2C" w:rsidRDefault="002F0133" w:rsidP="002F0133">
            <w:pPr>
              <w:numPr>
                <w:ilvl w:val="0"/>
                <w:numId w:val="28"/>
              </w:numPr>
              <w:ind w:left="454"/>
              <w:contextualSpacing/>
            </w:pPr>
            <w:r w:rsidRPr="000B4E2C">
              <w:t>sufficient information to complete a two-by-two contingency table for the specified outcomes (i.e.</w:t>
            </w:r>
            <w:r w:rsidR="00881500" w:rsidRPr="000B4E2C">
              <w:t xml:space="preserve">, </w:t>
            </w:r>
            <w:r w:rsidRPr="000B4E2C">
              <w:t>true positives, false positives, negatives and true negatives); as a minimum, the number of disease positives (number of participants with AKI) and disease negatives (number without AKI)</w:t>
            </w:r>
          </w:p>
          <w:p w14:paraId="0459C1FC" w14:textId="352254AD" w:rsidR="002F0133" w:rsidRPr="000B4E2C" w:rsidRDefault="002F0133" w:rsidP="002F0133">
            <w:pPr>
              <w:numPr>
                <w:ilvl w:val="0"/>
                <w:numId w:val="28"/>
              </w:numPr>
              <w:ind w:left="454"/>
              <w:contextualSpacing/>
            </w:pPr>
            <w:r w:rsidRPr="000B4E2C">
              <w:t>a statistical prediction model for the specified outcomes</w:t>
            </w:r>
          </w:p>
          <w:p w14:paraId="02738E68" w14:textId="77777777" w:rsidR="002F0133" w:rsidRPr="000B4E2C" w:rsidRDefault="002F0133" w:rsidP="008A7464">
            <w:r w:rsidRPr="000B4E2C">
              <w:t>Exclusion:</w:t>
            </w:r>
          </w:p>
          <w:p w14:paraId="262AE58E" w14:textId="371137D8" w:rsidR="002F0133" w:rsidRPr="000B4E2C" w:rsidRDefault="002F0133" w:rsidP="002F0133">
            <w:pPr>
              <w:numPr>
                <w:ilvl w:val="0"/>
                <w:numId w:val="28"/>
              </w:numPr>
              <w:contextualSpacing/>
            </w:pPr>
            <w:r w:rsidRPr="000B4E2C">
              <w:t xml:space="preserve">Studies with </w:t>
            </w:r>
            <w:r w:rsidR="000B4E2C" w:rsidRPr="000B4E2C">
              <w:rPr>
                <w:color w:val="00B0F0"/>
              </w:rPr>
              <w:t>&lt;</w:t>
            </w:r>
            <w:r w:rsidR="000B4E2C" w:rsidRPr="000B4E2C">
              <w:rPr>
                <w:color w:val="00B0F0"/>
              </w:rPr>
              <w:t> </w:t>
            </w:r>
            <w:r w:rsidR="000B4E2C" w:rsidRPr="000B4E2C">
              <w:rPr>
                <w:color w:val="00B0F0"/>
              </w:rPr>
              <w:t>1</w:t>
            </w:r>
            <w:r w:rsidRPr="000B4E2C">
              <w:t>00 participants</w:t>
            </w:r>
          </w:p>
          <w:p w14:paraId="56B52DC9" w14:textId="77777777" w:rsidR="002F0133" w:rsidRPr="000B4E2C" w:rsidRDefault="002F0133" w:rsidP="002F0133">
            <w:pPr>
              <w:pStyle w:val="ListParagraph"/>
              <w:numPr>
                <w:ilvl w:val="0"/>
                <w:numId w:val="28"/>
              </w:numPr>
            </w:pPr>
            <w:r w:rsidRPr="000B4E2C">
              <w:t>Pilot studies or studies of preliminary results only</w:t>
            </w:r>
          </w:p>
          <w:p w14:paraId="7FAA6782" w14:textId="77777777" w:rsidR="002F0133" w:rsidRPr="000B4E2C" w:rsidRDefault="002F0133" w:rsidP="002F0133">
            <w:pPr>
              <w:pStyle w:val="ListParagraph"/>
              <w:numPr>
                <w:ilvl w:val="0"/>
                <w:numId w:val="28"/>
              </w:numPr>
            </w:pPr>
            <w:r w:rsidRPr="000B4E2C">
              <w:t>Case reports</w:t>
            </w:r>
          </w:p>
          <w:p w14:paraId="4751F138" w14:textId="77777777" w:rsidR="002F0133" w:rsidRPr="000B4E2C" w:rsidRDefault="002F0133" w:rsidP="002F0133">
            <w:pPr>
              <w:pStyle w:val="ListParagraph"/>
              <w:numPr>
                <w:ilvl w:val="0"/>
                <w:numId w:val="28"/>
              </w:numPr>
            </w:pPr>
            <w:r w:rsidRPr="000B4E2C">
              <w:t>Conference abstracts or proceedings</w:t>
            </w:r>
          </w:p>
          <w:p w14:paraId="2D9FC916" w14:textId="77777777" w:rsidR="002F0133" w:rsidRPr="000B4E2C" w:rsidRDefault="002F0133" w:rsidP="002F0133">
            <w:pPr>
              <w:pStyle w:val="ListParagraph"/>
              <w:numPr>
                <w:ilvl w:val="0"/>
                <w:numId w:val="28"/>
              </w:numPr>
            </w:pPr>
            <w:r w:rsidRPr="000B4E2C">
              <w:t>Studies published in language other than English</w:t>
            </w:r>
          </w:p>
          <w:p w14:paraId="65F21F5D" w14:textId="77777777" w:rsidR="002F0133" w:rsidRPr="000B4E2C" w:rsidRDefault="002F0133" w:rsidP="008A7464">
            <w:pPr>
              <w:ind w:left="454"/>
              <w:contextualSpacing/>
            </w:pPr>
          </w:p>
        </w:tc>
        <w:tc>
          <w:tcPr>
            <w:tcW w:w="0" w:type="auto"/>
            <w:shd w:val="clear" w:color="auto" w:fill="auto"/>
          </w:tcPr>
          <w:p w14:paraId="14AA32D7" w14:textId="77777777" w:rsidR="002F0133" w:rsidRPr="000B4E2C" w:rsidRDefault="002F0133" w:rsidP="002F0133">
            <w:pPr>
              <w:numPr>
                <w:ilvl w:val="0"/>
                <w:numId w:val="28"/>
              </w:numPr>
              <w:ind w:left="454"/>
              <w:contextualSpacing/>
            </w:pPr>
            <w:r w:rsidRPr="000B4E2C">
              <w:t>Randomised controlled trials</w:t>
            </w:r>
          </w:p>
          <w:p w14:paraId="5E14B951" w14:textId="77777777" w:rsidR="000B4E2C" w:rsidRPr="000B4E2C" w:rsidRDefault="002F0133" w:rsidP="002F0133">
            <w:pPr>
              <w:numPr>
                <w:ilvl w:val="0"/>
                <w:numId w:val="28"/>
              </w:numPr>
              <w:ind w:left="454"/>
              <w:contextualSpacing/>
            </w:pPr>
            <w:r w:rsidRPr="000B4E2C">
              <w:t>Prospective cohort studies with a concurrent comparison group</w:t>
            </w:r>
          </w:p>
          <w:p w14:paraId="11444224" w14:textId="6EC03095" w:rsidR="002F0133" w:rsidRPr="000B4E2C" w:rsidRDefault="002F0133" w:rsidP="008A7464">
            <w:r w:rsidRPr="000B4E2C">
              <w:t>Exclusion:</w:t>
            </w:r>
          </w:p>
          <w:p w14:paraId="02AA0B84" w14:textId="7106F62D" w:rsidR="002F0133" w:rsidRPr="000B4E2C" w:rsidRDefault="002F0133" w:rsidP="002F0133">
            <w:pPr>
              <w:numPr>
                <w:ilvl w:val="0"/>
                <w:numId w:val="28"/>
              </w:numPr>
              <w:contextualSpacing/>
            </w:pPr>
            <w:r w:rsidRPr="000B4E2C">
              <w:t xml:space="preserve">Studies with </w:t>
            </w:r>
            <w:r w:rsidR="000B4E2C" w:rsidRPr="000B4E2C">
              <w:rPr>
                <w:color w:val="00B0F0"/>
              </w:rPr>
              <w:t>&lt;</w:t>
            </w:r>
            <w:r w:rsidR="000B4E2C" w:rsidRPr="000B4E2C">
              <w:rPr>
                <w:color w:val="00B0F0"/>
              </w:rPr>
              <w:t> </w:t>
            </w:r>
            <w:r w:rsidR="000B4E2C" w:rsidRPr="000B4E2C">
              <w:rPr>
                <w:color w:val="00B0F0"/>
              </w:rPr>
              <w:t>1</w:t>
            </w:r>
            <w:r w:rsidRPr="000B4E2C">
              <w:t>00 participants</w:t>
            </w:r>
          </w:p>
          <w:p w14:paraId="50886F6A" w14:textId="77777777" w:rsidR="002F0133" w:rsidRPr="000B4E2C" w:rsidRDefault="002F0133" w:rsidP="002F0133">
            <w:pPr>
              <w:pStyle w:val="ListParagraph"/>
              <w:numPr>
                <w:ilvl w:val="0"/>
                <w:numId w:val="28"/>
              </w:numPr>
            </w:pPr>
            <w:r w:rsidRPr="000B4E2C">
              <w:t>Pilot studies or studies of preliminary results only</w:t>
            </w:r>
          </w:p>
          <w:p w14:paraId="1D2712A6" w14:textId="77777777" w:rsidR="002F0133" w:rsidRPr="000B4E2C" w:rsidRDefault="002F0133" w:rsidP="002F0133">
            <w:pPr>
              <w:pStyle w:val="ListParagraph"/>
              <w:numPr>
                <w:ilvl w:val="0"/>
                <w:numId w:val="28"/>
              </w:numPr>
            </w:pPr>
            <w:r w:rsidRPr="000B4E2C">
              <w:t>Case reports</w:t>
            </w:r>
          </w:p>
          <w:p w14:paraId="7F032C50" w14:textId="77777777" w:rsidR="002F0133" w:rsidRPr="000B4E2C" w:rsidRDefault="002F0133" w:rsidP="002F0133">
            <w:pPr>
              <w:pStyle w:val="ListParagraph"/>
              <w:numPr>
                <w:ilvl w:val="0"/>
                <w:numId w:val="28"/>
              </w:numPr>
            </w:pPr>
            <w:r w:rsidRPr="000B4E2C">
              <w:t>Conference abstracts or proceedings</w:t>
            </w:r>
          </w:p>
          <w:p w14:paraId="37C7FA3D" w14:textId="77777777" w:rsidR="002F0133" w:rsidRPr="000B4E2C" w:rsidRDefault="002F0133" w:rsidP="002F0133">
            <w:pPr>
              <w:pStyle w:val="ListParagraph"/>
              <w:numPr>
                <w:ilvl w:val="0"/>
                <w:numId w:val="28"/>
              </w:numPr>
            </w:pPr>
            <w:r w:rsidRPr="000B4E2C">
              <w:t>Studies published in language other than English</w:t>
            </w:r>
          </w:p>
          <w:p w14:paraId="0DD7D5B2" w14:textId="77777777" w:rsidR="002F0133" w:rsidRPr="000B4E2C" w:rsidRDefault="002F0133" w:rsidP="008A7464">
            <w:pPr>
              <w:ind w:left="94"/>
              <w:contextualSpacing/>
            </w:pPr>
          </w:p>
        </w:tc>
      </w:tr>
    </w:tbl>
    <w:p w14:paraId="208C1B03" w14:textId="5974B302" w:rsidR="002F0133" w:rsidRPr="000B4E2C" w:rsidRDefault="000B4E2C" w:rsidP="008A7464">
      <w:pPr>
        <w:pStyle w:val="Heading2"/>
        <w:rPr>
          <w:rFonts w:eastAsia="Times New Roman"/>
          <w:i/>
        </w:rPr>
      </w:pPr>
      <w:r w:rsidRPr="000B4E2C">
        <w:t xml:space="preserve"> </w:t>
      </w:r>
      <w:bookmarkStart w:id="14" w:name="_Toc491181061"/>
      <w:bookmarkEnd w:id="11"/>
      <w:bookmarkEnd w:id="12"/>
      <w:r w:rsidR="002F0133" w:rsidRPr="000B4E2C">
        <w:rPr>
          <w:rFonts w:eastAsia="Times New Roman"/>
          <w:i/>
        </w:rPr>
        <w:t xml:space="preserve">Study selection and </w:t>
      </w:r>
      <w:r w:rsidR="002F0133" w:rsidRPr="000B4E2C">
        <w:rPr>
          <w:rFonts w:eastAsia="Times New Roman"/>
          <w:i/>
          <w:highlight w:val="magenta"/>
        </w:rPr>
        <w:t>data</w:t>
      </w:r>
      <w:r w:rsidR="002F0133" w:rsidRPr="000B4E2C">
        <w:rPr>
          <w:rFonts w:eastAsia="Times New Roman"/>
          <w:i/>
        </w:rPr>
        <w:t xml:space="preserve"> extraction</w:t>
      </w:r>
    </w:p>
    <w:p w14:paraId="4A9DEDD7" w14:textId="05EEBE8B" w:rsidR="000B4E2C" w:rsidRPr="000B4E2C" w:rsidRDefault="002F0133" w:rsidP="008A7464">
      <w:pPr>
        <w:tabs>
          <w:tab w:val="left" w:pos="426"/>
        </w:tabs>
      </w:pPr>
      <w:r w:rsidRPr="000B4E2C">
        <w:t xml:space="preserve">A screening </w:t>
      </w:r>
      <w:r w:rsidR="000469DB" w:rsidRPr="000B4E2C">
        <w:t>checklist</w:t>
      </w:r>
      <w:r w:rsidRPr="000B4E2C">
        <w:t xml:space="preserve"> was developed to assist study selection and </w:t>
      </w:r>
      <w:r w:rsidRPr="000B4E2C">
        <w:rPr>
          <w:highlight w:val="magenta"/>
        </w:rPr>
        <w:t>data</w:t>
      </w:r>
      <w:r w:rsidRPr="000B4E2C">
        <w:t xml:space="preserve"> extraction (Appendix </w:t>
      </w:r>
      <w:r w:rsidR="00401D1F" w:rsidRPr="000B4E2C">
        <w:t>2</w:t>
      </w:r>
      <w:r w:rsidR="0000222F" w:rsidRPr="000B4E2C">
        <w:t xml:space="preserve">, </w:t>
      </w:r>
      <w:r w:rsidR="000B4E2C" w:rsidRPr="000B4E2C">
        <w:rPr>
          <w:i/>
          <w:color w:val="FF0000"/>
        </w:rPr>
        <w:t>F</w:t>
      </w:r>
      <w:r w:rsidR="000B4E2C" w:rsidRPr="000B4E2C">
        <w:rPr>
          <w:i/>
          <w:color w:val="FF0000"/>
        </w:rPr>
        <w:t>igure</w:t>
      </w:r>
      <w:r w:rsidR="000B4E2C" w:rsidRPr="000B4E2C">
        <w:rPr>
          <w:i/>
          <w:color w:val="FF0000"/>
        </w:rPr>
        <w:t xml:space="preserve"> </w:t>
      </w:r>
      <w:r w:rsidR="000B4E2C" w:rsidRPr="000B4E2C">
        <w:rPr>
          <w:i/>
          <w:color w:val="FF0000"/>
        </w:rPr>
        <w:t>25</w:t>
      </w:r>
      <w:r w:rsidRPr="000B4E2C">
        <w:t xml:space="preserve">). </w:t>
      </w:r>
      <w:r w:rsidR="00591368" w:rsidRPr="000B4E2C">
        <w:t xml:space="preserve">The </w:t>
      </w:r>
      <w:r w:rsidR="00591368" w:rsidRPr="000B4E2C">
        <w:rPr>
          <w:highlight w:val="magenta"/>
        </w:rPr>
        <w:t>data</w:t>
      </w:r>
      <w:r w:rsidR="00591368" w:rsidRPr="000B4E2C">
        <w:t xml:space="preserve"> extraction form is provided in Appendix 3.</w:t>
      </w:r>
      <w:r w:rsidR="000B4E2C" w:rsidRPr="000B4E2C">
        <w:t xml:space="preserve"> </w:t>
      </w:r>
      <w:r w:rsidRPr="000B4E2C">
        <w:t xml:space="preserve">One reviewer (CR) screened the titles and abstracts identified by the search strategies for inclusion or exclusion. A second reviewer (MI) double-checked all non-selected citations. As many relevant information was not available from the titles or abstracts (e.g., information about the immunoassay used and type of analyses) of the reports identified by the literature searches, our selection approach was over-inclusive. Full-text copies of all potentially relevant reports were retrieved and assessed for </w:t>
      </w:r>
      <w:r w:rsidRPr="000B4E2C">
        <w:lastRenderedPageBreak/>
        <w:t>inclusion by one reviewer (MAM, MI or CR). A second reviewer (MAM, MI or CR) double checked 20% of the reports. Any disagreement was resolved by discussion or referred to a third reviewer (MB).</w:t>
      </w:r>
      <w:bookmarkEnd w:id="14"/>
    </w:p>
    <w:p w14:paraId="2DF7019A" w14:textId="77777777" w:rsidR="000B4E2C" w:rsidRPr="000B4E2C" w:rsidRDefault="002F0133" w:rsidP="008A7464">
      <w:r w:rsidRPr="000B4E2C">
        <w:t xml:space="preserve">One reviewer (MAM, MB, MI, AP or CR) extracted </w:t>
      </w:r>
      <w:r w:rsidRPr="000B4E2C">
        <w:rPr>
          <w:highlight w:val="magenta"/>
        </w:rPr>
        <w:t>data</w:t>
      </w:r>
      <w:r w:rsidRPr="000B4E2C">
        <w:t xml:space="preserve"> from each eligible study using a form developed and piloted for the purpose of this assessment. Where multiple publications of the same cohort of participants were identified, the publication with the most complete or suitable </w:t>
      </w:r>
      <w:r w:rsidRPr="000B4E2C">
        <w:rPr>
          <w:highlight w:val="magenta"/>
        </w:rPr>
        <w:t>data</w:t>
      </w:r>
      <w:r w:rsidRPr="000B4E2C">
        <w:t xml:space="preserve"> set was considered as the primary source of information. Any uncertainty related to the </w:t>
      </w:r>
      <w:r w:rsidRPr="000B4E2C">
        <w:rPr>
          <w:highlight w:val="magenta"/>
        </w:rPr>
        <w:t>data</w:t>
      </w:r>
      <w:r w:rsidRPr="000B4E2C">
        <w:t xml:space="preserve"> extraction process was discussed among reviewers and resolved by consensus.</w:t>
      </w:r>
    </w:p>
    <w:p w14:paraId="45D8CD0F" w14:textId="27BA37AF" w:rsidR="002F0133" w:rsidRPr="000B4E2C" w:rsidRDefault="002F0133" w:rsidP="008A7464">
      <w:r w:rsidRPr="000B4E2C">
        <w:t xml:space="preserve">From each study, </w:t>
      </w:r>
      <w:r w:rsidRPr="000B4E2C">
        <w:rPr>
          <w:highlight w:val="magenta"/>
        </w:rPr>
        <w:t>data</w:t>
      </w:r>
      <w:r w:rsidRPr="000B4E2C">
        <w:t xml:space="preserve"> were extracted as follows:</w:t>
      </w:r>
    </w:p>
    <w:p w14:paraId="293F98CF" w14:textId="77777777" w:rsidR="002F0133" w:rsidRPr="000B4E2C" w:rsidRDefault="002F0133" w:rsidP="002F0133">
      <w:pPr>
        <w:numPr>
          <w:ilvl w:val="0"/>
          <w:numId w:val="26"/>
        </w:numPr>
        <w:contextualSpacing/>
      </w:pPr>
      <w:r w:rsidRPr="000B4E2C">
        <w:t>Characteristics of studies: first author, year of publication, study centre, country, inclusion and exclusion criteria, method of participant enrolment.</w:t>
      </w:r>
    </w:p>
    <w:p w14:paraId="07D6074F" w14:textId="77777777" w:rsidR="002F0133" w:rsidRPr="000B4E2C" w:rsidRDefault="002F0133" w:rsidP="002F0133">
      <w:pPr>
        <w:numPr>
          <w:ilvl w:val="0"/>
          <w:numId w:val="26"/>
        </w:numPr>
        <w:contextualSpacing/>
      </w:pPr>
      <w:r w:rsidRPr="000B4E2C">
        <w:t>Characteristics of study participants: age, gender, target condition, setting, number of participants enrolled, number of participants analysed, number excluded from analysis, main reasons for exclusion.</w:t>
      </w:r>
    </w:p>
    <w:p w14:paraId="38E30777" w14:textId="77777777" w:rsidR="002F0133" w:rsidRPr="000B4E2C" w:rsidRDefault="002F0133" w:rsidP="002F0133">
      <w:pPr>
        <w:numPr>
          <w:ilvl w:val="0"/>
          <w:numId w:val="26"/>
        </w:numPr>
        <w:contextualSpacing/>
      </w:pPr>
      <w:r w:rsidRPr="000B4E2C">
        <w:t>Characteristics of the biomarkers (e.g., manufacturer, detection method, threshold, timing of the measurement).</w:t>
      </w:r>
    </w:p>
    <w:p w14:paraId="78A228AF" w14:textId="77777777" w:rsidR="002F0133" w:rsidRPr="000B4E2C" w:rsidRDefault="002F0133" w:rsidP="002F0133">
      <w:pPr>
        <w:numPr>
          <w:ilvl w:val="0"/>
          <w:numId w:val="26"/>
        </w:numPr>
        <w:contextualSpacing/>
      </w:pPr>
      <w:r w:rsidRPr="000B4E2C">
        <w:t>Characteristics of the reference standard (i.e., creatinine and urine output criteria for AKI).</w:t>
      </w:r>
    </w:p>
    <w:p w14:paraId="7FFFB436" w14:textId="77777777" w:rsidR="002F0133" w:rsidRPr="000B4E2C" w:rsidRDefault="002F0133" w:rsidP="002F0133">
      <w:pPr>
        <w:numPr>
          <w:ilvl w:val="0"/>
          <w:numId w:val="26"/>
        </w:numPr>
        <w:contextualSpacing/>
      </w:pPr>
      <w:r w:rsidRPr="000B4E2C">
        <w:t xml:space="preserve">Outcome </w:t>
      </w:r>
      <w:r w:rsidRPr="000B4E2C">
        <w:rPr>
          <w:highlight w:val="magenta"/>
        </w:rPr>
        <w:t>data</w:t>
      </w:r>
      <w:r w:rsidRPr="000B4E2C">
        <w:t>:</w:t>
      </w:r>
    </w:p>
    <w:p w14:paraId="74BF6EF6" w14:textId="1BA8580B" w:rsidR="000B4E2C" w:rsidRPr="000B4E2C" w:rsidRDefault="002F0133" w:rsidP="002F0133">
      <w:pPr>
        <w:pStyle w:val="ListParagraph"/>
        <w:numPr>
          <w:ilvl w:val="0"/>
          <w:numId w:val="32"/>
        </w:numPr>
      </w:pPr>
      <w:r w:rsidRPr="000B4E2C">
        <w:rPr>
          <w:highlight w:val="magenta"/>
        </w:rPr>
        <w:t>Data</w:t>
      </w:r>
      <w:r w:rsidRPr="000B4E2C">
        <w:t xml:space="preserve"> on the diagnostic performance of the biomarkers for detection of AKI (absolute number of true positive (TP), false positive (FP), false negative (FN) and true negative (TN) cases; sensitivity and specificity values; area under the receiver-operating characteristic curve</w:t>
      </w:r>
      <w:r w:rsidR="000B4E2C" w:rsidRPr="000B4E2C">
        <w:rPr>
          <w:color w:val="00B0F0"/>
        </w:rPr>
        <w:t xml:space="preserve"> – </w:t>
      </w:r>
      <w:r w:rsidRPr="000B4E2C">
        <w:t>AUC).</w:t>
      </w:r>
    </w:p>
    <w:p w14:paraId="26697EBA" w14:textId="1E13B2CF" w:rsidR="002F0133" w:rsidRPr="000B4E2C" w:rsidRDefault="002F0133" w:rsidP="002F0133">
      <w:pPr>
        <w:pStyle w:val="ListParagraph"/>
        <w:numPr>
          <w:ilvl w:val="0"/>
          <w:numId w:val="32"/>
        </w:numPr>
      </w:pPr>
      <w:r w:rsidRPr="000B4E2C">
        <w:rPr>
          <w:highlight w:val="magenta"/>
        </w:rPr>
        <w:t>Data</w:t>
      </w:r>
      <w:r w:rsidRPr="000B4E2C">
        <w:t xml:space="preserve"> on the prediction of</w:t>
      </w:r>
      <w:r w:rsidR="006231E9" w:rsidRPr="000B4E2C">
        <w:t xml:space="preserve"> development of AKI, worsening of AKI,</w:t>
      </w:r>
      <w:r w:rsidRPr="000B4E2C">
        <w:t xml:space="preserve"> mortality, renal replacement therapy and CKD as provided by the study authors (e.g., AUC values, odds ratio or hazard ratio, length of </w:t>
      </w:r>
      <w:r w:rsidRPr="000B4E2C">
        <w:rPr>
          <w:highlight w:val="magenta"/>
        </w:rPr>
        <w:t>follow up</w:t>
      </w:r>
      <w:r w:rsidRPr="000B4E2C">
        <w:t>).</w:t>
      </w:r>
    </w:p>
    <w:p w14:paraId="7C8064CB" w14:textId="77777777" w:rsidR="000B4E2C" w:rsidRPr="000B4E2C" w:rsidRDefault="002F0133" w:rsidP="002F0133">
      <w:pPr>
        <w:pStyle w:val="ListParagraph"/>
        <w:numPr>
          <w:ilvl w:val="0"/>
          <w:numId w:val="32"/>
        </w:numPr>
      </w:pPr>
      <w:r w:rsidRPr="000B4E2C">
        <w:rPr>
          <w:highlight w:val="magenta"/>
        </w:rPr>
        <w:t>Data</w:t>
      </w:r>
      <w:r w:rsidRPr="000B4E2C">
        <w:t xml:space="preserve"> on the clinical utility of the biomarkers (impact of the use of the biomarkers on clinical outcomes) as reported by study authors (e.g., number of events and number of participants for each relevant binary outcome; mean, standard deviation and number of participants for each relevant continuous outcome).</w:t>
      </w:r>
    </w:p>
    <w:p w14:paraId="4BF32F1C" w14:textId="7805404B" w:rsidR="002F0133" w:rsidRPr="000B4E2C" w:rsidRDefault="002F0133" w:rsidP="008A7464">
      <w:pPr>
        <w:pStyle w:val="Heading2"/>
        <w:rPr>
          <w:rFonts w:eastAsia="Times New Roman"/>
        </w:rPr>
      </w:pPr>
      <w:r w:rsidRPr="000B4E2C">
        <w:rPr>
          <w:rFonts w:eastAsia="Times New Roman"/>
        </w:rPr>
        <w:t>Assessment of risk of bias</w:t>
      </w:r>
    </w:p>
    <w:p w14:paraId="12A99CF5" w14:textId="456EC466" w:rsidR="000B4E2C" w:rsidRPr="000B4E2C" w:rsidRDefault="002F0133" w:rsidP="008A7464">
      <w:r w:rsidRPr="000B4E2C">
        <w:t>Validated tools were used to assess the risk of bias of the included studies according to their study design. We used the QUADA</w:t>
      </w:r>
      <w:r w:rsidR="000B4E2C" w:rsidRPr="000B4E2C">
        <w:rPr>
          <w:color w:val="00B0F0"/>
        </w:rPr>
        <w:t>S</w:t>
      </w:r>
      <w:r w:rsidR="000B4E2C" w:rsidRPr="000B4E2C">
        <w:rPr>
          <w:color w:val="00B0F0"/>
        </w:rPr>
        <w:t>-</w:t>
      </w:r>
      <w:r w:rsidR="000B4E2C" w:rsidRPr="000B4E2C">
        <w:rPr>
          <w:color w:val="00B0F0"/>
        </w:rPr>
        <w:t>2</w:t>
      </w:r>
      <w:r w:rsidRPr="000B4E2C">
        <w:t xml:space="preserve"> tool</w:t>
      </w:r>
      <w:r w:rsidR="005B5026" w:rsidRPr="000B4E2C">
        <w:rPr>
          <w:noProof/>
          <w:vertAlign w:val="superscript"/>
        </w:rPr>
        <w:t>21</w:t>
      </w:r>
      <w:r w:rsidRPr="000B4E2C">
        <w:t xml:space="preserve"> to assess the risk of bias of studies assessing the diagnostic and prognostic accuracy of the biomarkers under investigation</w:t>
      </w:r>
      <w:r w:rsidR="00591368" w:rsidRPr="000B4E2C">
        <w:t xml:space="preserve"> (Appendix 4)</w:t>
      </w:r>
      <w:r w:rsidRPr="000B4E2C">
        <w:t>. The QUADA</w:t>
      </w:r>
      <w:r w:rsidR="000B4E2C" w:rsidRPr="000B4E2C">
        <w:rPr>
          <w:color w:val="00B0F0"/>
        </w:rPr>
        <w:t>S</w:t>
      </w:r>
      <w:r w:rsidR="000B4E2C" w:rsidRPr="000B4E2C">
        <w:rPr>
          <w:color w:val="00B0F0"/>
        </w:rPr>
        <w:t>-</w:t>
      </w:r>
      <w:r w:rsidR="000B4E2C" w:rsidRPr="000B4E2C">
        <w:rPr>
          <w:color w:val="00B0F0"/>
        </w:rPr>
        <w:t>2</w:t>
      </w:r>
      <w:r w:rsidRPr="000B4E2C">
        <w:t xml:space="preserve"> tool consists of four domains: patient selection, index test, reference standard, and flow and timing. Each domain is assessed in terms of </w:t>
      </w:r>
      <w:r w:rsidR="000B4E2C" w:rsidRPr="000B4E2C">
        <w:rPr>
          <w:color w:val="00B0F0"/>
        </w:rPr>
        <w:t>‘</w:t>
      </w:r>
      <w:r w:rsidR="0072128A" w:rsidRPr="000B4E2C">
        <w:t>low</w:t>
      </w:r>
      <w:r w:rsidR="000B4E2C" w:rsidRPr="000B4E2C">
        <w:rPr>
          <w:color w:val="00B0F0"/>
        </w:rPr>
        <w:t>’</w:t>
      </w:r>
      <w:r w:rsidRPr="000B4E2C">
        <w:t xml:space="preserve">, </w:t>
      </w:r>
      <w:r w:rsidR="000B4E2C" w:rsidRPr="000B4E2C">
        <w:rPr>
          <w:color w:val="00B0F0"/>
        </w:rPr>
        <w:t>‘</w:t>
      </w:r>
      <w:r w:rsidR="0072128A" w:rsidRPr="000B4E2C">
        <w:t>high</w:t>
      </w:r>
      <w:r w:rsidR="000B4E2C" w:rsidRPr="000B4E2C">
        <w:rPr>
          <w:color w:val="00B0F0"/>
        </w:rPr>
        <w:t>’</w:t>
      </w:r>
      <w:r w:rsidRPr="000B4E2C">
        <w:t xml:space="preserve"> or </w:t>
      </w:r>
      <w:r w:rsidR="000B4E2C" w:rsidRPr="000B4E2C">
        <w:rPr>
          <w:color w:val="00B0F0"/>
        </w:rPr>
        <w:t>‘</w:t>
      </w:r>
      <w:r w:rsidR="0072128A" w:rsidRPr="000B4E2C">
        <w:t>unclear</w:t>
      </w:r>
      <w:r w:rsidR="000B4E2C" w:rsidRPr="000B4E2C">
        <w:rPr>
          <w:color w:val="00B0F0"/>
        </w:rPr>
        <w:t>’</w:t>
      </w:r>
      <w:r w:rsidRPr="000B4E2C">
        <w:t xml:space="preserve"> risk of bias, and the first three in terms of concerns regarding </w:t>
      </w:r>
      <w:r w:rsidR="000B4E2C" w:rsidRPr="000B4E2C">
        <w:rPr>
          <w:color w:val="00B0F0"/>
        </w:rPr>
        <w:t>‘</w:t>
      </w:r>
      <w:r w:rsidR="0072128A" w:rsidRPr="000B4E2C">
        <w:t>low</w:t>
      </w:r>
      <w:r w:rsidR="000B4E2C" w:rsidRPr="000B4E2C">
        <w:rPr>
          <w:color w:val="00B0F0"/>
        </w:rPr>
        <w:t>’</w:t>
      </w:r>
      <w:r w:rsidRPr="000B4E2C">
        <w:t xml:space="preserve">, </w:t>
      </w:r>
      <w:r w:rsidR="000B4E2C" w:rsidRPr="000B4E2C">
        <w:rPr>
          <w:color w:val="00B0F0"/>
        </w:rPr>
        <w:t>‘</w:t>
      </w:r>
      <w:r w:rsidR="0072128A" w:rsidRPr="000B4E2C">
        <w:t>high</w:t>
      </w:r>
      <w:r w:rsidR="000B4E2C" w:rsidRPr="000B4E2C">
        <w:rPr>
          <w:color w:val="00B0F0"/>
        </w:rPr>
        <w:t>’</w:t>
      </w:r>
      <w:r w:rsidRPr="000B4E2C">
        <w:t xml:space="preserve"> or </w:t>
      </w:r>
      <w:r w:rsidR="000B4E2C" w:rsidRPr="000B4E2C">
        <w:rPr>
          <w:color w:val="00B0F0"/>
        </w:rPr>
        <w:t>‘</w:t>
      </w:r>
      <w:r w:rsidR="0072128A" w:rsidRPr="000B4E2C">
        <w:t>unclear</w:t>
      </w:r>
      <w:r w:rsidR="000B4E2C" w:rsidRPr="000B4E2C">
        <w:rPr>
          <w:color w:val="00B0F0"/>
        </w:rPr>
        <w:t>’</w:t>
      </w:r>
      <w:r w:rsidRPr="000B4E2C">
        <w:t xml:space="preserve"> applicability.</w:t>
      </w:r>
    </w:p>
    <w:p w14:paraId="17BE407C" w14:textId="77777777" w:rsidR="000B4E2C" w:rsidRPr="000B4E2C" w:rsidRDefault="002F0133" w:rsidP="008A7464">
      <w:r w:rsidRPr="000B4E2C">
        <w:t>We used the Prediction model Risk Of Bias ASsessment Tool (PROBAST)</w:t>
      </w:r>
      <w:r w:rsidR="005B5026" w:rsidRPr="000B4E2C">
        <w:rPr>
          <w:noProof/>
          <w:vertAlign w:val="superscript"/>
        </w:rPr>
        <w:t>22</w:t>
      </w:r>
      <w:r w:rsidRPr="000B4E2C">
        <w:t>, which is structured into four domains (participants, predictors, outcome and analysis) to assess the risk of bias and applicability of prediction model studies</w:t>
      </w:r>
      <w:r w:rsidR="00591368" w:rsidRPr="000B4E2C">
        <w:t xml:space="preserve"> (Appendix 5)</w:t>
      </w:r>
      <w:r w:rsidRPr="000B4E2C">
        <w:t>.</w:t>
      </w:r>
    </w:p>
    <w:p w14:paraId="74CE22D7" w14:textId="77777777" w:rsidR="000B4E2C" w:rsidRPr="000B4E2C" w:rsidRDefault="002F0133" w:rsidP="008A7464">
      <w:r w:rsidRPr="000B4E2C">
        <w:t>A single reviewer (MAM, MB, MI, AP or CR) assessed the risk of bias of each of the included studies. Any uncertainty was discussed among reviewers and resolved by consensus.</w:t>
      </w:r>
    </w:p>
    <w:p w14:paraId="70815835" w14:textId="77777777" w:rsidR="000B4E2C" w:rsidRPr="000B4E2C" w:rsidRDefault="002F0133" w:rsidP="008A7464">
      <w:r w:rsidRPr="000B4E2C">
        <w:t>No other types of study design were identified.</w:t>
      </w:r>
    </w:p>
    <w:p w14:paraId="4C89E736" w14:textId="231B7C6E" w:rsidR="000B4E2C" w:rsidRPr="000B4E2C" w:rsidRDefault="002F0133" w:rsidP="008A7464">
      <w:pPr>
        <w:pStyle w:val="Heading2"/>
        <w:rPr>
          <w:rFonts w:eastAsia="Times New Roman"/>
        </w:rPr>
      </w:pPr>
      <w:r w:rsidRPr="000B4E2C">
        <w:rPr>
          <w:rFonts w:eastAsia="Times New Roman"/>
          <w:highlight w:val="magenta"/>
        </w:rPr>
        <w:t>Data</w:t>
      </w:r>
      <w:r w:rsidRPr="000B4E2C">
        <w:rPr>
          <w:rFonts w:eastAsia="Times New Roman"/>
        </w:rPr>
        <w:t xml:space="preserve"> synthesis and analysis</w:t>
      </w:r>
    </w:p>
    <w:p w14:paraId="4FE3B412" w14:textId="77777777" w:rsidR="000B4E2C" w:rsidRPr="000B4E2C" w:rsidRDefault="002F0133" w:rsidP="008A7464">
      <w:r w:rsidRPr="000B4E2C">
        <w:t xml:space="preserve">For each assay, for each study we calculated sensitivity, specificity and prevalence values from the reported numbers of TP, FP, FN and TN cases. </w:t>
      </w:r>
      <w:r w:rsidRPr="000B4E2C">
        <w:rPr>
          <w:szCs w:val="24"/>
        </w:rPr>
        <w:t xml:space="preserve">If studies did not provide 2x2 </w:t>
      </w:r>
      <w:r w:rsidRPr="000B4E2C">
        <w:rPr>
          <w:szCs w:val="24"/>
          <w:highlight w:val="magenta"/>
        </w:rPr>
        <w:t>data</w:t>
      </w:r>
      <w:r w:rsidRPr="000B4E2C">
        <w:rPr>
          <w:szCs w:val="24"/>
        </w:rPr>
        <w:t>, these were derived from the sensitivity and specificity estimates, where given.</w:t>
      </w:r>
      <w:r w:rsidRPr="000B4E2C">
        <w:t xml:space="preserve"> We entered diagnostic </w:t>
      </w:r>
      <w:r w:rsidRPr="000B4E2C">
        <w:rPr>
          <w:highlight w:val="magenta"/>
        </w:rPr>
        <w:t>data</w:t>
      </w:r>
      <w:r w:rsidRPr="000B4E2C">
        <w:t xml:space="preserve"> into Review Manager software (RevMan </w:t>
      </w:r>
      <w:r w:rsidRPr="000B4E2C">
        <w:rPr>
          <w:szCs w:val="24"/>
        </w:rPr>
        <w:t>version 5.3, Nordic Cochrane Centre, Copenhagen</w:t>
      </w:r>
      <w:r w:rsidRPr="000B4E2C">
        <w:t>)</w:t>
      </w:r>
      <w:r w:rsidR="00723580" w:rsidRPr="000B4E2C">
        <w:t xml:space="preserve">, </w:t>
      </w:r>
      <w:r w:rsidR="005B5026" w:rsidRPr="000B4E2C">
        <w:rPr>
          <w:noProof/>
          <w:vertAlign w:val="superscript"/>
        </w:rPr>
        <w:t>23</w:t>
      </w:r>
      <w:r w:rsidRPr="000B4E2C">
        <w:t xml:space="preserve"> to produce forest plots of sensitivity and specificity estimates together with their 95% confidence intervals (CIs).</w:t>
      </w:r>
    </w:p>
    <w:p w14:paraId="065CBDFB" w14:textId="77777777" w:rsidR="000B4E2C" w:rsidRPr="000B4E2C" w:rsidRDefault="002F0133" w:rsidP="008A7464">
      <w:pPr>
        <w:rPr>
          <w:rFonts w:eastAsiaTheme="minorHAnsi"/>
          <w:szCs w:val="24"/>
          <w:lang w:val="en-GB" w:eastAsia="en-GB"/>
        </w:rPr>
      </w:pPr>
      <w:r w:rsidRPr="000B4E2C">
        <w:t>Where appropriate we performed meta-analysis of each pair of sensitivity and specificity estimates from each included study for each relevant assay. Since reported threshold levels for a positive test differed across studies, we conducted random effects meta-analyses using the Hierarchical Summary ROC (HSROC) model</w:t>
      </w:r>
      <w:r w:rsidR="005B5026" w:rsidRPr="000B4E2C">
        <w:rPr>
          <w:noProof/>
          <w:vertAlign w:val="superscript"/>
        </w:rPr>
        <w:t>24, 25</w:t>
      </w:r>
      <w:r w:rsidRPr="000B4E2C">
        <w:t xml:space="preserve"> implemented in STATA</w:t>
      </w:r>
      <w:r w:rsidRPr="000B4E2C">
        <w:rPr>
          <w:vertAlign w:val="superscript"/>
        </w:rPr>
        <w:t>®</w:t>
      </w:r>
      <w:r w:rsidRPr="000B4E2C">
        <w:t xml:space="preserve"> (METANDI command)</w:t>
      </w:r>
      <w:r w:rsidR="005B5026" w:rsidRPr="000B4E2C">
        <w:rPr>
          <w:noProof/>
          <w:vertAlign w:val="superscript"/>
        </w:rPr>
        <w:t>26</w:t>
      </w:r>
      <w:r w:rsidRPr="000B4E2C">
        <w:t xml:space="preserve"> to estimate summary values for sensitivity and specificity. The model takes into account both these measures of accuracy and their correlation, assumes that accuracy and thresholds vary between studies and incorporates both within- and between-studies variability. We constructed a summary ROC using the HSROC model, produced sensitivity and specificity summary estimates and hence a summary operating point, and calculated the 95% confidence and prediction regions. In accordance with the STATA requirements, we performed meta-analyses when </w:t>
      </w:r>
      <w:r w:rsidRPr="000B4E2C">
        <w:rPr>
          <w:highlight w:val="magenta"/>
        </w:rPr>
        <w:t>data</w:t>
      </w:r>
      <w:r w:rsidRPr="000B4E2C">
        <w:t xml:space="preserve"> from four or more studies were available. For studies that reported multiple thresholds, we selected only one threshold to be included in the analysis. We performed separate meta-analyses for each biomarker, clinical setting, mode of sampling (urine, plasma) and </w:t>
      </w:r>
      <w:r w:rsidRPr="000B4E2C">
        <w:lastRenderedPageBreak/>
        <w:t>type of patient population (adults, children). To inform the economic model, we also performed separate meta-analyses for each biomarker across all clinical settings.</w:t>
      </w:r>
    </w:p>
    <w:p w14:paraId="6C8FC69C" w14:textId="77777777" w:rsidR="000B4E2C" w:rsidRPr="000B4E2C" w:rsidRDefault="002F0133" w:rsidP="008A7464">
      <w:pPr>
        <w:autoSpaceDE w:val="0"/>
        <w:autoSpaceDN w:val="0"/>
        <w:adjustRightInd w:val="0"/>
      </w:pPr>
      <w:r w:rsidRPr="000B4E2C">
        <w:t>For each biomarker, heterogeneity was assessed by visual inspection of the forest plots of sensitivity and specificity estimates and of the size of the prediction region in the HSROC plots.</w:t>
      </w:r>
    </w:p>
    <w:p w14:paraId="764EC03B" w14:textId="59639D27" w:rsidR="000B4E2C" w:rsidRPr="000B4E2C" w:rsidRDefault="002F0133" w:rsidP="008A7464">
      <w:pPr>
        <w:autoSpaceDE w:val="0"/>
        <w:autoSpaceDN w:val="0"/>
        <w:adjustRightInd w:val="0"/>
      </w:pPr>
      <w:r w:rsidRPr="000B4E2C">
        <w:t xml:space="preserve">When possible, we performed meta-analyses of AUC values using a random-effects model to measure the performance of each biomarker for the prediction of each relevant outcome (i.e., AKI, mortality, RRT and CKD). We assessed the proportion of between-study variation in the AUC-ROC </w:t>
      </w:r>
      <w:r w:rsidRPr="000B4E2C">
        <w:rPr>
          <w:highlight w:val="magenta"/>
        </w:rPr>
        <w:t>due to</w:t>
      </w:r>
      <w:r w:rsidRPr="000B4E2C">
        <w:t xml:space="preserve"> heterogeneity rather than sample error using the prediction interval. We considered an AUC </w:t>
      </w:r>
      <w:r w:rsidR="000B4E2C" w:rsidRPr="000B4E2C">
        <w:rPr>
          <w:color w:val="00B0F0"/>
        </w:rPr>
        <w:t>&gt;</w:t>
      </w:r>
      <w:r w:rsidR="000B4E2C" w:rsidRPr="000B4E2C">
        <w:rPr>
          <w:color w:val="00B0F0"/>
        </w:rPr>
        <w:t> </w:t>
      </w:r>
      <w:r w:rsidR="000B4E2C" w:rsidRPr="000B4E2C">
        <w:rPr>
          <w:color w:val="00B0F0"/>
        </w:rPr>
        <w:t>0</w:t>
      </w:r>
      <w:r w:rsidRPr="000B4E2C">
        <w:t>.70 as indicative of a useful risk predictor.</w:t>
      </w:r>
    </w:p>
    <w:p w14:paraId="74E9D8AF" w14:textId="77777777" w:rsidR="000B4E2C" w:rsidRPr="000B4E2C" w:rsidRDefault="002F0133" w:rsidP="008A7464">
      <w:pPr>
        <w:autoSpaceDE w:val="0"/>
        <w:autoSpaceDN w:val="0"/>
        <w:adjustRightInd w:val="0"/>
        <w:rPr>
          <w:szCs w:val="24"/>
        </w:rPr>
      </w:pPr>
      <w:r w:rsidRPr="000B4E2C">
        <w:rPr>
          <w:szCs w:val="24"/>
        </w:rPr>
        <w:t>STATA® software version 15.0 (StataCorp LP, College Station, TX, USA)</w:t>
      </w:r>
      <w:r w:rsidR="005B5026" w:rsidRPr="000B4E2C">
        <w:rPr>
          <w:noProof/>
          <w:szCs w:val="24"/>
          <w:vertAlign w:val="superscript"/>
        </w:rPr>
        <w:t>27</w:t>
      </w:r>
      <w:r w:rsidRPr="000B4E2C">
        <w:rPr>
          <w:szCs w:val="24"/>
        </w:rPr>
        <w:t xml:space="preserve"> was used for all statistical analyses. Graphs were made using either STATA or Review Manager software version 5.3 (Nordic Cochrane Centre, Copenhagen)</w:t>
      </w:r>
      <w:r w:rsidR="00723580" w:rsidRPr="000B4E2C">
        <w:rPr>
          <w:szCs w:val="24"/>
        </w:rPr>
        <w:t>.</w:t>
      </w:r>
      <w:r w:rsidR="005B5026" w:rsidRPr="000B4E2C">
        <w:rPr>
          <w:noProof/>
          <w:szCs w:val="24"/>
          <w:vertAlign w:val="superscript"/>
        </w:rPr>
        <w:t>23</w:t>
      </w:r>
    </w:p>
    <w:p w14:paraId="55E08ED8" w14:textId="463185E1" w:rsidR="002E0EAA" w:rsidRPr="000B4E2C" w:rsidRDefault="002E0EAA" w:rsidP="002E0EAA">
      <w:pPr>
        <w:spacing w:after="200"/>
        <w:rPr>
          <w:b/>
          <w:lang w:eastAsia="en-GB"/>
        </w:rPr>
      </w:pPr>
      <w:r w:rsidRPr="000B4E2C">
        <w:rPr>
          <w:b/>
          <w:lang w:eastAsia="en-GB"/>
        </w:rPr>
        <w:t>Patient and public involvement</w:t>
      </w:r>
    </w:p>
    <w:p w14:paraId="61DC1DA8" w14:textId="77777777" w:rsidR="000B4E2C" w:rsidRPr="000B4E2C" w:rsidRDefault="002E0EAA" w:rsidP="002E0EAA">
      <w:pPr>
        <w:spacing w:after="200"/>
        <w:rPr>
          <w:lang w:eastAsia="en-GB"/>
        </w:rPr>
      </w:pPr>
      <w:r w:rsidRPr="000B4E2C">
        <w:rPr>
          <w:lang w:eastAsia="en-GB"/>
        </w:rPr>
        <w:t>There was no patient and public involvement in this study. The study was conducted as part of the NICE Diagnostic Assessment Programme (DAP). We did not deem necessary to involve further patient representatives and lay people as a range of stakeholders including members of the public and</w:t>
      </w:r>
      <w:r w:rsidRPr="000B4E2C">
        <w:t xml:space="preserve"> national groups representing patients and/or their carers are already involved as participants in the DAP process for each individual assessment</w:t>
      </w:r>
      <w:r w:rsidRPr="000B4E2C">
        <w:rPr>
          <w:lang w:eastAsia="en-GB"/>
        </w:rPr>
        <w:t>.</w:t>
      </w:r>
    </w:p>
    <w:p w14:paraId="38BE9457" w14:textId="4A2AAA82" w:rsidR="002F0133" w:rsidRPr="000B4E2C" w:rsidRDefault="002F0133" w:rsidP="008A7464">
      <w:pPr>
        <w:pStyle w:val="Heading2"/>
      </w:pPr>
      <w:r w:rsidRPr="000B4E2C">
        <w:t>Results of the assessment of clinical effectiveness</w:t>
      </w:r>
    </w:p>
    <w:p w14:paraId="024DAEA4" w14:textId="77777777" w:rsidR="002F0133" w:rsidRPr="000B4E2C" w:rsidRDefault="002F0133" w:rsidP="008A7464">
      <w:pPr>
        <w:pStyle w:val="Heading3"/>
      </w:pPr>
      <w:r w:rsidRPr="000B4E2C">
        <w:t>Literature searches results</w:t>
      </w:r>
    </w:p>
    <w:p w14:paraId="1B8D9C9A" w14:textId="59CE597F" w:rsidR="000B4E2C" w:rsidRPr="000B4E2C" w:rsidRDefault="002F0133" w:rsidP="008A7464">
      <w:pPr>
        <w:rPr>
          <w:szCs w:val="24"/>
        </w:rPr>
      </w:pPr>
      <w:r w:rsidRPr="000B4E2C">
        <w:rPr>
          <w:szCs w:val="24"/>
          <w:lang w:eastAsia="en-GB"/>
        </w:rPr>
        <w:t xml:space="preserve">The literature searches identified 6379 records and 86 additional records were identified in either trial registers (i.e., EU Clinical Trials Register, International Clinical Trials Registry Platform, Clinical Trials.gov) and other literature collections (i.e., HTA Database, WHO Global Index Medicus) for a total of 6465 retrieved records. After de-duplication, 2348 records were screened for relevance. Of these, 1050 were considered potentially relevant and selected for full text assessment. Four articles could not be obtained. Of the 1046 records retrieved and assessed in-depth, 71 met our inclusion criteria. After excluding secondary or multiple publications, we selected 56 studies for inclusion in the systematic review of effectiveness. </w:t>
      </w:r>
      <w:r w:rsidR="000B4E2C" w:rsidRPr="000B4E2C">
        <w:rPr>
          <w:i/>
          <w:color w:val="FF0000"/>
          <w:szCs w:val="24"/>
          <w:lang w:eastAsia="en-GB"/>
        </w:rPr>
        <w:t>F</w:t>
      </w:r>
      <w:r w:rsidR="000B4E2C" w:rsidRPr="000B4E2C">
        <w:rPr>
          <w:i/>
          <w:color w:val="FF0000"/>
          <w:szCs w:val="24"/>
          <w:lang w:eastAsia="en-GB"/>
        </w:rPr>
        <w:t>igure</w:t>
      </w:r>
      <w:r w:rsidR="000B4E2C" w:rsidRPr="000B4E2C">
        <w:rPr>
          <w:i/>
          <w:color w:val="FF0000"/>
          <w:szCs w:val="24"/>
          <w:lang w:eastAsia="en-GB"/>
        </w:rPr>
        <w:t xml:space="preserve"> </w:t>
      </w:r>
      <w:r w:rsidR="000B4E2C" w:rsidRPr="000B4E2C">
        <w:rPr>
          <w:i/>
          <w:color w:val="FF0000"/>
          <w:szCs w:val="24"/>
          <w:lang w:eastAsia="en-GB"/>
        </w:rPr>
        <w:t>1</w:t>
      </w:r>
      <w:r w:rsidRPr="000B4E2C">
        <w:rPr>
          <w:szCs w:val="24"/>
          <w:lang w:eastAsia="en-GB"/>
        </w:rPr>
        <w:t xml:space="preserve"> (PRISMA diagram) shows the flow of studies through the selection process. The bibliographic details of the studies retrieved for full-text assessment and subsequently excluded together with the main reasons for their exclusion are presented in Appendix </w:t>
      </w:r>
      <w:r w:rsidR="00401D1F" w:rsidRPr="000B4E2C">
        <w:rPr>
          <w:szCs w:val="24"/>
          <w:lang w:eastAsia="en-GB"/>
        </w:rPr>
        <w:t>7</w:t>
      </w:r>
      <w:r w:rsidR="00921CD7" w:rsidRPr="000B4E2C">
        <w:rPr>
          <w:szCs w:val="24"/>
          <w:lang w:eastAsia="en-GB"/>
        </w:rPr>
        <w:t xml:space="preserve">, </w:t>
      </w:r>
      <w:r w:rsidR="000B4E2C" w:rsidRPr="000B4E2C">
        <w:rPr>
          <w:i/>
          <w:color w:val="FF0000"/>
          <w:szCs w:val="24"/>
          <w:lang w:eastAsia="en-GB"/>
        </w:rPr>
        <w:t>T</w:t>
      </w:r>
      <w:r w:rsidR="000B4E2C" w:rsidRPr="000B4E2C">
        <w:rPr>
          <w:i/>
          <w:color w:val="FF0000"/>
          <w:szCs w:val="24"/>
          <w:lang w:eastAsia="en-GB"/>
        </w:rPr>
        <w:t>able</w:t>
      </w:r>
      <w:r w:rsidR="000B4E2C" w:rsidRPr="000B4E2C">
        <w:rPr>
          <w:i/>
          <w:color w:val="FF0000"/>
          <w:szCs w:val="24"/>
          <w:lang w:eastAsia="en-GB"/>
        </w:rPr>
        <w:t xml:space="preserve"> </w:t>
      </w:r>
      <w:r w:rsidR="000B4E2C" w:rsidRPr="000B4E2C">
        <w:rPr>
          <w:i/>
          <w:color w:val="FF0000"/>
          <w:szCs w:val="24"/>
          <w:lang w:eastAsia="en-GB"/>
        </w:rPr>
        <w:t>26</w:t>
      </w:r>
      <w:r w:rsidRPr="000B4E2C">
        <w:rPr>
          <w:szCs w:val="24"/>
          <w:lang w:eastAsia="en-GB"/>
        </w:rPr>
        <w:t>.</w:t>
      </w:r>
    </w:p>
    <w:p w14:paraId="171C1C91" w14:textId="106E08E0" w:rsidR="002F0133" w:rsidRPr="000B4E2C" w:rsidRDefault="000B4E2C" w:rsidP="008A7464">
      <w:pPr>
        <w:rPr>
          <w:b/>
          <w:szCs w:val="24"/>
          <w:lang w:eastAsia="en-GB"/>
        </w:rPr>
      </w:pPr>
      <w:r w:rsidRPr="000B4E2C">
        <w:rPr>
          <w:i/>
          <w:szCs w:val="24"/>
          <w:highlight w:val="green"/>
          <w:lang w:eastAsia="en-GB"/>
        </w:rPr>
        <w:t xml:space="preserve">  </w:t>
      </w:r>
      <w:r w:rsidRPr="000B4E2C">
        <w:rPr>
          <w:b/>
          <w:i/>
          <w:color w:val="FF0000"/>
          <w:szCs w:val="24"/>
          <w:lang w:eastAsia="en-GB"/>
        </w:rPr>
        <w:t>F</w:t>
      </w:r>
      <w:r w:rsidRPr="000B4E2C">
        <w:rPr>
          <w:b/>
          <w:i/>
          <w:color w:val="FF0000"/>
          <w:szCs w:val="24"/>
          <w:lang w:eastAsia="en-GB"/>
        </w:rPr>
        <w:t>igure</w:t>
      </w:r>
      <w:r w:rsidRPr="000B4E2C">
        <w:rPr>
          <w:b/>
          <w:i/>
          <w:color w:val="FF0000"/>
          <w:szCs w:val="24"/>
          <w:lang w:eastAsia="en-GB"/>
        </w:rPr>
        <w:t xml:space="preserve"> </w:t>
      </w:r>
      <w:r w:rsidRPr="000B4E2C">
        <w:rPr>
          <w:b/>
          <w:i/>
          <w:color w:val="FF0000"/>
          <w:szCs w:val="24"/>
          <w:lang w:eastAsia="en-GB"/>
        </w:rPr>
        <w:t>1</w:t>
      </w:r>
      <w:r w:rsidRPr="000B4E2C">
        <w:rPr>
          <w:b/>
          <w:szCs w:val="24"/>
          <w:lang w:eastAsia="en-GB"/>
        </w:rPr>
        <w:t xml:space="preserve"> </w:t>
      </w:r>
      <w:r w:rsidR="002F0133" w:rsidRPr="000B4E2C">
        <w:rPr>
          <w:b/>
          <w:szCs w:val="24"/>
          <w:lang w:eastAsia="en-GB"/>
        </w:rPr>
        <w:t>PRISMA flow diagram of selected studies</w:t>
      </w:r>
    </w:p>
    <w:p w14:paraId="2C80A4DE" w14:textId="77777777" w:rsidR="002F0133" w:rsidRPr="000B4E2C" w:rsidRDefault="002F0133" w:rsidP="008A7464">
      <w:pPr>
        <w:rPr>
          <w:i/>
          <w:szCs w:val="24"/>
          <w:highlight w:val="green"/>
          <w:lang w:eastAsia="en-GB"/>
        </w:rPr>
      </w:pPr>
    </w:p>
    <w:p w14:paraId="6A85445C" w14:textId="77777777" w:rsidR="000B4E2C" w:rsidRPr="000B4E2C" w:rsidRDefault="002F0133" w:rsidP="008A7464">
      <w:pPr>
        <w:pStyle w:val="Heading3"/>
      </w:pPr>
      <w:r w:rsidRPr="000B4E2C">
        <w:t>Overview of included studies</w:t>
      </w:r>
    </w:p>
    <w:p w14:paraId="5C35030C" w14:textId="3899E149" w:rsidR="000B4E2C" w:rsidRPr="000B4E2C" w:rsidRDefault="00591368" w:rsidP="008A7464">
      <w:pPr>
        <w:rPr>
          <w:szCs w:val="24"/>
          <w:lang w:eastAsia="en-GB"/>
        </w:rPr>
      </w:pPr>
      <w:r w:rsidRPr="000B4E2C">
        <w:rPr>
          <w:szCs w:val="24"/>
          <w:lang w:eastAsia="en-GB"/>
        </w:rPr>
        <w:t>A list of all included studies can be found in Appendix 6.</w:t>
      </w:r>
      <w:r w:rsidR="000B4E2C" w:rsidRPr="000B4E2C">
        <w:rPr>
          <w:szCs w:val="24"/>
          <w:lang w:eastAsia="en-GB"/>
        </w:rPr>
        <w:t xml:space="preserve"> </w:t>
      </w:r>
      <w:r w:rsidR="002F0133" w:rsidRPr="000B4E2C">
        <w:rPr>
          <w:szCs w:val="24"/>
          <w:lang w:eastAsia="en-GB"/>
        </w:rPr>
        <w:t xml:space="preserve">General characteristics of the 56 included studies and their associated references are provided in </w:t>
      </w:r>
      <w:r w:rsidR="000B4E2C" w:rsidRPr="000B4E2C">
        <w:rPr>
          <w:i/>
          <w:color w:val="FF0000"/>
          <w:szCs w:val="24"/>
          <w:lang w:eastAsia="en-GB"/>
        </w:rPr>
        <w:t>T</w:t>
      </w:r>
      <w:r w:rsidR="000B4E2C" w:rsidRPr="000B4E2C">
        <w:rPr>
          <w:i/>
          <w:color w:val="FF0000"/>
          <w:szCs w:val="24"/>
          <w:lang w:eastAsia="en-GB"/>
        </w:rPr>
        <w:t>able</w:t>
      </w:r>
      <w:r w:rsidR="000B4E2C" w:rsidRPr="000B4E2C">
        <w:rPr>
          <w:i/>
          <w:color w:val="FF0000"/>
          <w:szCs w:val="24"/>
          <w:lang w:eastAsia="en-GB"/>
        </w:rPr>
        <w:t xml:space="preserve"> </w:t>
      </w:r>
      <w:r w:rsidR="000B4E2C" w:rsidRPr="000B4E2C">
        <w:rPr>
          <w:i/>
          <w:color w:val="FF0000"/>
          <w:szCs w:val="24"/>
          <w:lang w:eastAsia="en-GB"/>
        </w:rPr>
        <w:t>3</w:t>
      </w:r>
      <w:r w:rsidR="002F0133" w:rsidRPr="000B4E2C">
        <w:rPr>
          <w:szCs w:val="24"/>
          <w:lang w:eastAsia="en-GB"/>
        </w:rPr>
        <w:t xml:space="preserve"> for the adult population and in </w:t>
      </w:r>
      <w:r w:rsidR="000B4E2C" w:rsidRPr="000B4E2C">
        <w:rPr>
          <w:i/>
          <w:color w:val="FF0000"/>
          <w:szCs w:val="24"/>
          <w:lang w:eastAsia="en-GB"/>
        </w:rPr>
        <w:t>T</w:t>
      </w:r>
      <w:r w:rsidR="000B4E2C" w:rsidRPr="000B4E2C">
        <w:rPr>
          <w:i/>
          <w:color w:val="FF0000"/>
          <w:szCs w:val="24"/>
          <w:lang w:eastAsia="en-GB"/>
        </w:rPr>
        <w:t>able</w:t>
      </w:r>
      <w:r w:rsidR="000B4E2C" w:rsidRPr="000B4E2C">
        <w:rPr>
          <w:i/>
          <w:color w:val="FF0000"/>
          <w:szCs w:val="24"/>
          <w:lang w:eastAsia="en-GB"/>
        </w:rPr>
        <w:t xml:space="preserve"> </w:t>
      </w:r>
      <w:r w:rsidR="000B4E2C" w:rsidRPr="000B4E2C">
        <w:rPr>
          <w:i/>
          <w:color w:val="FF0000"/>
          <w:szCs w:val="24"/>
          <w:lang w:eastAsia="en-GB"/>
        </w:rPr>
        <w:t>4</w:t>
      </w:r>
      <w:r w:rsidR="002F0133" w:rsidRPr="000B4E2C">
        <w:rPr>
          <w:szCs w:val="24"/>
          <w:lang w:eastAsia="en-GB"/>
        </w:rPr>
        <w:t xml:space="preserve"> for the child population</w:t>
      </w:r>
      <w:r w:rsidR="002F0133" w:rsidRPr="000B4E2C">
        <w:rPr>
          <w:szCs w:val="24"/>
          <w:highlight w:val="magenta"/>
          <w:lang w:eastAsia="en-GB"/>
        </w:rPr>
        <w:t xml:space="preserve">. </w:t>
      </w:r>
      <w:r w:rsidRPr="000B4E2C">
        <w:rPr>
          <w:szCs w:val="24"/>
          <w:highlight w:val="magenta"/>
          <w:lang w:eastAsia="en-GB"/>
        </w:rPr>
        <w:t>Further</w:t>
      </w:r>
      <w:r w:rsidRPr="000B4E2C">
        <w:rPr>
          <w:szCs w:val="24"/>
          <w:lang w:eastAsia="en-GB"/>
        </w:rPr>
        <w:t xml:space="preserve"> study characteristics are provided in Appendix 8, </w:t>
      </w:r>
      <w:r w:rsidR="000B4E2C" w:rsidRPr="000B4E2C">
        <w:rPr>
          <w:i/>
          <w:color w:val="FF0000"/>
          <w:szCs w:val="24"/>
          <w:lang w:eastAsia="en-GB"/>
        </w:rPr>
        <w:t>T</w:t>
      </w:r>
      <w:r w:rsidR="000B4E2C" w:rsidRPr="000B4E2C">
        <w:rPr>
          <w:i/>
          <w:color w:val="FF0000"/>
          <w:szCs w:val="24"/>
          <w:lang w:eastAsia="en-GB"/>
        </w:rPr>
        <w:t>able</w:t>
      </w:r>
      <w:r w:rsidR="000B4E2C" w:rsidRPr="000B4E2C">
        <w:rPr>
          <w:i/>
          <w:color w:val="FF0000"/>
          <w:szCs w:val="24"/>
          <w:lang w:eastAsia="en-GB"/>
        </w:rPr>
        <w:t xml:space="preserve"> </w:t>
      </w:r>
      <w:r w:rsidR="000B4E2C" w:rsidRPr="000B4E2C">
        <w:rPr>
          <w:i/>
          <w:color w:val="FF0000"/>
          <w:szCs w:val="24"/>
          <w:lang w:eastAsia="en-GB"/>
        </w:rPr>
        <w:t>27</w:t>
      </w:r>
      <w:r w:rsidRPr="000B4E2C">
        <w:rPr>
          <w:szCs w:val="24"/>
          <w:lang w:eastAsia="en-GB"/>
        </w:rPr>
        <w:t>.</w:t>
      </w:r>
      <w:r w:rsidR="000B4E2C" w:rsidRPr="000B4E2C">
        <w:rPr>
          <w:szCs w:val="24"/>
          <w:lang w:eastAsia="en-GB"/>
        </w:rPr>
        <w:t xml:space="preserve"> </w:t>
      </w:r>
      <w:r w:rsidR="002F0133" w:rsidRPr="000B4E2C">
        <w:rPr>
          <w:szCs w:val="24"/>
          <w:lang w:eastAsia="en-GB"/>
        </w:rPr>
        <w:t xml:space="preserve">The majority of studies were cohort studies. In 46 studies </w:t>
      </w:r>
      <w:r w:rsidR="002F0133" w:rsidRPr="000B4E2C">
        <w:rPr>
          <w:szCs w:val="24"/>
          <w:highlight w:val="magenta"/>
          <w:lang w:eastAsia="en-GB"/>
        </w:rPr>
        <w:t>data</w:t>
      </w:r>
      <w:r w:rsidR="002F0133" w:rsidRPr="000B4E2C">
        <w:rPr>
          <w:szCs w:val="24"/>
          <w:lang w:eastAsia="en-GB"/>
        </w:rPr>
        <w:t xml:space="preserve"> were collected </w:t>
      </w:r>
      <w:r w:rsidR="002F0133" w:rsidRPr="000B4E2C">
        <w:rPr>
          <w:szCs w:val="24"/>
        </w:rPr>
        <w:t xml:space="preserve">prospectively, in one study </w:t>
      </w:r>
      <w:r w:rsidR="002F0133" w:rsidRPr="000B4E2C">
        <w:rPr>
          <w:szCs w:val="24"/>
          <w:highlight w:val="magenta"/>
        </w:rPr>
        <w:t>data</w:t>
      </w:r>
      <w:r w:rsidR="002F0133" w:rsidRPr="000B4E2C">
        <w:rPr>
          <w:szCs w:val="24"/>
        </w:rPr>
        <w:t xml:space="preserve"> were collected prospectively but analysed retrospectively, in one study </w:t>
      </w:r>
      <w:r w:rsidR="002F0133" w:rsidRPr="000B4E2C">
        <w:rPr>
          <w:szCs w:val="24"/>
          <w:highlight w:val="magenta"/>
        </w:rPr>
        <w:t>data</w:t>
      </w:r>
      <w:r w:rsidR="002F0133" w:rsidRPr="000B4E2C">
        <w:rPr>
          <w:szCs w:val="24"/>
        </w:rPr>
        <w:t xml:space="preserve"> were collected retrospectively, and in eight studies information on </w:t>
      </w:r>
      <w:r w:rsidR="002F0133" w:rsidRPr="000B4E2C">
        <w:rPr>
          <w:szCs w:val="24"/>
          <w:highlight w:val="magenta"/>
        </w:rPr>
        <w:t>data</w:t>
      </w:r>
      <w:r w:rsidR="002F0133" w:rsidRPr="000B4E2C">
        <w:rPr>
          <w:szCs w:val="24"/>
        </w:rPr>
        <w:t xml:space="preserve"> collection was unclear.</w:t>
      </w:r>
      <w:r w:rsidR="002F0133" w:rsidRPr="000B4E2C">
        <w:rPr>
          <w:rFonts w:ascii="Calibri Light" w:hAnsi="Calibri Light" w:cs="Calibri Light"/>
          <w:szCs w:val="24"/>
        </w:rPr>
        <w:t xml:space="preserve"> </w:t>
      </w:r>
      <w:r w:rsidR="002F0133" w:rsidRPr="000B4E2C">
        <w:rPr>
          <w:szCs w:val="24"/>
          <w:lang w:eastAsia="en-GB"/>
        </w:rPr>
        <w:t xml:space="preserve">Fifty-three studies provided suitable </w:t>
      </w:r>
      <w:r w:rsidR="002F0133" w:rsidRPr="000B4E2C">
        <w:rPr>
          <w:szCs w:val="24"/>
          <w:highlight w:val="magenta"/>
          <w:lang w:eastAsia="en-GB"/>
        </w:rPr>
        <w:t>data</w:t>
      </w:r>
      <w:r w:rsidR="002F0133" w:rsidRPr="000B4E2C">
        <w:rPr>
          <w:szCs w:val="24"/>
          <w:lang w:eastAsia="en-GB"/>
        </w:rPr>
        <w:t xml:space="preserve"> on the use of the biomarkers for detection or prediction of AKI in critically ill patients admitted to hospital, </w:t>
      </w:r>
      <w:r w:rsidR="00F776C6" w:rsidRPr="000B4E2C">
        <w:rPr>
          <w:szCs w:val="24"/>
          <w:lang w:eastAsia="en-GB"/>
        </w:rPr>
        <w:t xml:space="preserve">11 </w:t>
      </w:r>
      <w:r w:rsidR="002F0133" w:rsidRPr="000B4E2C">
        <w:rPr>
          <w:szCs w:val="24"/>
          <w:lang w:eastAsia="en-GB"/>
        </w:rPr>
        <w:t xml:space="preserve">studies provided </w:t>
      </w:r>
      <w:r w:rsidR="00F776C6" w:rsidRPr="000B4E2C">
        <w:rPr>
          <w:szCs w:val="24"/>
          <w:lang w:eastAsia="en-GB"/>
        </w:rPr>
        <w:t xml:space="preserve">suitable </w:t>
      </w:r>
      <w:r w:rsidR="00F776C6" w:rsidRPr="000B4E2C">
        <w:rPr>
          <w:szCs w:val="24"/>
          <w:highlight w:val="magenta"/>
          <w:lang w:eastAsia="en-GB"/>
        </w:rPr>
        <w:t>data</w:t>
      </w:r>
      <w:r w:rsidR="00F776C6" w:rsidRPr="000B4E2C">
        <w:rPr>
          <w:szCs w:val="24"/>
          <w:lang w:eastAsia="en-GB"/>
        </w:rPr>
        <w:t xml:space="preserve"> </w:t>
      </w:r>
      <w:r w:rsidR="002F0133" w:rsidRPr="000B4E2C">
        <w:rPr>
          <w:szCs w:val="24"/>
          <w:lang w:eastAsia="en-GB"/>
        </w:rPr>
        <w:t xml:space="preserve">on prediction of mortality in critically ill patients at risk of AKI, and </w:t>
      </w:r>
      <w:r w:rsidR="00F776C6" w:rsidRPr="000B4E2C">
        <w:rPr>
          <w:szCs w:val="24"/>
          <w:lang w:eastAsia="en-GB"/>
        </w:rPr>
        <w:t xml:space="preserve">four </w:t>
      </w:r>
      <w:r w:rsidR="002F0133" w:rsidRPr="000B4E2C">
        <w:rPr>
          <w:szCs w:val="24"/>
          <w:lang w:eastAsia="en-GB"/>
        </w:rPr>
        <w:t xml:space="preserve">on prediction of RRT. No studies provided suitable </w:t>
      </w:r>
      <w:r w:rsidR="002F0133" w:rsidRPr="000B4E2C">
        <w:rPr>
          <w:szCs w:val="24"/>
          <w:highlight w:val="magenta"/>
          <w:lang w:eastAsia="en-GB"/>
        </w:rPr>
        <w:t>data</w:t>
      </w:r>
      <w:r w:rsidR="002F0133" w:rsidRPr="000B4E2C">
        <w:rPr>
          <w:szCs w:val="24"/>
          <w:lang w:eastAsia="en-GB"/>
        </w:rPr>
        <w:t xml:space="preserve"> for prediction of CKD.</w:t>
      </w:r>
    </w:p>
    <w:p w14:paraId="6406267F" w14:textId="77777777" w:rsidR="000B4E2C" w:rsidRPr="000B4E2C" w:rsidRDefault="002F0133" w:rsidP="008A7464">
      <w:pPr>
        <w:autoSpaceDE w:val="0"/>
        <w:autoSpaceDN w:val="0"/>
        <w:adjustRightInd w:val="0"/>
        <w:rPr>
          <w:szCs w:val="24"/>
        </w:rPr>
      </w:pPr>
      <w:r w:rsidRPr="000B4E2C">
        <w:rPr>
          <w:szCs w:val="24"/>
        </w:rPr>
        <w:t xml:space="preserve">No randomised controlled trials (RCTs) or controlled clinical trials (CCTs) were identified; no studies provided </w:t>
      </w:r>
      <w:r w:rsidRPr="000B4E2C">
        <w:rPr>
          <w:szCs w:val="24"/>
          <w:highlight w:val="magenta"/>
        </w:rPr>
        <w:t>data</w:t>
      </w:r>
      <w:r w:rsidRPr="000B4E2C">
        <w:rPr>
          <w:szCs w:val="24"/>
        </w:rPr>
        <w:t xml:space="preserve"> on the incremental value of the use of the biomarkers compared with standard clinical care.</w:t>
      </w:r>
    </w:p>
    <w:p w14:paraId="20C67C33" w14:textId="77777777" w:rsidR="000B4E2C" w:rsidRPr="000B4E2C" w:rsidRDefault="002F0133" w:rsidP="008A7464">
      <w:pPr>
        <w:rPr>
          <w:szCs w:val="24"/>
          <w:lang w:eastAsia="en-GB"/>
        </w:rPr>
      </w:pPr>
      <w:r w:rsidRPr="000B4E2C">
        <w:rPr>
          <w:szCs w:val="24"/>
          <w:lang w:eastAsia="en-GB"/>
        </w:rPr>
        <w:t>Of the 56 included studies, 36 involved a single centre and 13 multiple centres. Seven studies did not provide this information. Twenty</w:t>
      </w:r>
      <w:r w:rsidR="00B23104" w:rsidRPr="000B4E2C">
        <w:rPr>
          <w:szCs w:val="24"/>
          <w:lang w:eastAsia="en-GB"/>
        </w:rPr>
        <w:t>-eight</w:t>
      </w:r>
      <w:r w:rsidRPr="000B4E2C">
        <w:rPr>
          <w:szCs w:val="24"/>
          <w:lang w:eastAsia="en-GB"/>
        </w:rPr>
        <w:t xml:space="preserve"> studies were conducted in Europe (4 in the UK, 6 in Germany, 3 in Italy, 3 in Spain,</w:t>
      </w:r>
      <w:r w:rsidR="000B4E2C" w:rsidRPr="000B4E2C">
        <w:rPr>
          <w:szCs w:val="24"/>
          <w:lang w:eastAsia="en-GB"/>
        </w:rPr>
        <w:t xml:space="preserve"> </w:t>
      </w:r>
      <w:r w:rsidRPr="000B4E2C">
        <w:rPr>
          <w:szCs w:val="24"/>
          <w:lang w:eastAsia="en-GB"/>
        </w:rPr>
        <w:t xml:space="preserve">2 in Greece, 2 in Denmark, 1 in the Netherlands, </w:t>
      </w:r>
      <w:r w:rsidR="00B23104" w:rsidRPr="000B4E2C">
        <w:rPr>
          <w:szCs w:val="24"/>
          <w:lang w:eastAsia="en-GB"/>
        </w:rPr>
        <w:t xml:space="preserve">1 in France, </w:t>
      </w:r>
      <w:r w:rsidRPr="000B4E2C">
        <w:rPr>
          <w:szCs w:val="24"/>
          <w:lang w:eastAsia="en-GB"/>
        </w:rPr>
        <w:t xml:space="preserve">1 in Belgium, </w:t>
      </w:r>
      <w:r w:rsidR="00B23104" w:rsidRPr="000B4E2C">
        <w:rPr>
          <w:szCs w:val="24"/>
          <w:lang w:eastAsia="en-GB"/>
        </w:rPr>
        <w:t xml:space="preserve">1 in France and Belgium, </w:t>
      </w:r>
      <w:r w:rsidRPr="000B4E2C">
        <w:rPr>
          <w:szCs w:val="24"/>
          <w:lang w:eastAsia="en-GB"/>
        </w:rPr>
        <w:t>1 in Finland, 1 in Norway,</w:t>
      </w:r>
      <w:r w:rsidR="000B4E2C" w:rsidRPr="000B4E2C">
        <w:rPr>
          <w:szCs w:val="24"/>
          <w:lang w:eastAsia="en-GB"/>
        </w:rPr>
        <w:t xml:space="preserve"> </w:t>
      </w:r>
      <w:r w:rsidRPr="000B4E2C">
        <w:rPr>
          <w:szCs w:val="24"/>
          <w:lang w:eastAsia="en-GB"/>
        </w:rPr>
        <w:t>1 in Switzerland</w:t>
      </w:r>
      <w:r w:rsidR="00B23104" w:rsidRPr="000B4E2C">
        <w:rPr>
          <w:szCs w:val="24"/>
          <w:lang w:eastAsia="en-GB"/>
        </w:rPr>
        <w:t xml:space="preserve"> and 1 in European countries</w:t>
      </w:r>
      <w:r w:rsidRPr="000B4E2C">
        <w:rPr>
          <w:szCs w:val="24"/>
          <w:lang w:eastAsia="en-GB"/>
        </w:rPr>
        <w:t xml:space="preserve">); 15 in North America (12 in the US, 2 in the US and Canada, and 1 in Canada); 9 in Asia (3 in Japan, 3 in South Korea, 2 in Thailand, and 1 in China); </w:t>
      </w:r>
      <w:r w:rsidR="00F37C13" w:rsidRPr="000B4E2C">
        <w:rPr>
          <w:szCs w:val="24"/>
          <w:lang w:eastAsia="en-GB"/>
        </w:rPr>
        <w:t xml:space="preserve">2 in North American and Europe, </w:t>
      </w:r>
      <w:r w:rsidRPr="000B4E2C">
        <w:rPr>
          <w:szCs w:val="24"/>
          <w:lang w:eastAsia="en-GB"/>
        </w:rPr>
        <w:t xml:space="preserve">and </w:t>
      </w:r>
      <w:r w:rsidR="00F37C13" w:rsidRPr="000B4E2C">
        <w:rPr>
          <w:szCs w:val="24"/>
          <w:lang w:eastAsia="en-GB"/>
        </w:rPr>
        <w:t xml:space="preserve">1 </w:t>
      </w:r>
      <w:r w:rsidRPr="000B4E2C">
        <w:rPr>
          <w:szCs w:val="24"/>
          <w:lang w:eastAsia="en-GB"/>
        </w:rPr>
        <w:t>in Australia. One study did not provide clear information on the geographical location.</w:t>
      </w:r>
    </w:p>
    <w:p w14:paraId="6BD58B78" w14:textId="5AFFC21B" w:rsidR="002F0133" w:rsidRPr="000B4E2C" w:rsidRDefault="002F0133" w:rsidP="008A7464">
      <w:pPr>
        <w:rPr>
          <w:lang w:eastAsia="en-GB"/>
        </w:rPr>
      </w:pPr>
      <w:r w:rsidRPr="000B4E2C">
        <w:rPr>
          <w:lang w:eastAsia="en-GB"/>
        </w:rPr>
        <w:t xml:space="preserve">NGAL was the most common studied biomarker (41/56 studies; 37 studies used urine NGAL assays and four plasma NGAL assays). NephroCheck was assessed in eight studies. Seven studies provided </w:t>
      </w:r>
      <w:r w:rsidRPr="000B4E2C">
        <w:rPr>
          <w:highlight w:val="magenta"/>
          <w:lang w:eastAsia="en-GB"/>
        </w:rPr>
        <w:t>data</w:t>
      </w:r>
      <w:r w:rsidRPr="000B4E2C">
        <w:rPr>
          <w:lang w:eastAsia="en-GB"/>
        </w:rPr>
        <w:t xml:space="preserve"> on more than one assay (6 studies on urine NGAL and plasma NGAL assays and 1 study on NephroCheck, urine NGAL and plasma NGAL assays). Among the NGAL studies, 24 used the urine NGAL ARCHITECT platform, Abbott and </w:t>
      </w:r>
      <w:r w:rsidRPr="000B4E2C">
        <w:rPr>
          <w:lang w:eastAsia="en-GB"/>
        </w:rPr>
        <w:lastRenderedPageBreak/>
        <w:t xml:space="preserve">20 the urine NGAL </w:t>
      </w:r>
      <w:r w:rsidR="009D7F5A" w:rsidRPr="000B4E2C">
        <w:rPr>
          <w:lang w:eastAsia="en-GB"/>
        </w:rPr>
        <w:t>BioPorto</w:t>
      </w:r>
      <w:r w:rsidRPr="000B4E2C">
        <w:rPr>
          <w:lang w:eastAsia="en-GB"/>
        </w:rPr>
        <w:t xml:space="preserve"> Diagnostics assay. All 11 plasma NGAL studies used the </w:t>
      </w:r>
      <w:r w:rsidR="009D7F5A" w:rsidRPr="000B4E2C">
        <w:rPr>
          <w:lang w:eastAsia="en-GB"/>
        </w:rPr>
        <w:t>BioPorto</w:t>
      </w:r>
      <w:r w:rsidRPr="000B4E2C">
        <w:rPr>
          <w:lang w:eastAsia="en-GB"/>
        </w:rPr>
        <w:t xml:space="preserve"> Diagnostics assay. No studies used the NGAL Alinity platform, Abbott.</w:t>
      </w:r>
    </w:p>
    <w:p w14:paraId="5F147555" w14:textId="49BC4F58" w:rsidR="002F0133" w:rsidRPr="000B4E2C" w:rsidRDefault="002F0133" w:rsidP="008A7464">
      <w:pPr>
        <w:pStyle w:val="Heading2"/>
      </w:pPr>
      <w:r w:rsidRPr="000B4E2C">
        <w:t>Of the 56 included studies, 46 enrolled only adults, 8 only children and 2 both adults and children. The total number of pariticipants was 17,967 of which 16,247 were adults (average age range from 49 to 77 years) and 1720 were children (average age range from 1 day to 5 years). Of the 46 studies that focused only on adults, 12 studies assessed patients after cardiac surgery, 4 studies patients requiring non-surgical cardiac care, 1 study patients undergoing major abdominal surgery, 1</w:t>
      </w:r>
      <w:r w:rsidR="00F43D1A" w:rsidRPr="000B4E2C">
        <w:t xml:space="preserve"> </w:t>
      </w:r>
      <w:r w:rsidRPr="000B4E2C">
        <w:t>study patients undergoing hepatobiliary surgery,</w:t>
      </w:r>
      <w:r w:rsidRPr="000B4E2C">
        <w:rPr>
          <w:rFonts w:asciiTheme="majorHAnsi" w:hAnsiTheme="majorHAnsi" w:cstheme="majorHAnsi"/>
        </w:rPr>
        <w:t xml:space="preserve"> </w:t>
      </w:r>
      <w:r w:rsidRPr="000B4E2C">
        <w:t>16 studies patients admitted to ICUs, 5 studies patients with liver disease (mainly cirrhosis), 2 studies patients with sepsis, 2 studies patients with CKD and 3 studies patients admitted to the emergency department. Of the eight studies that focused on children, 6 assessed children (including neonates) undergoing cardiac surgery and 2 children admitted to a paediatric ICU or neonatal ICU. The two studies that assessed both adults and children included patients undergoing cardiac surgery. For the purpose of the clinical and cost-effectiveness analyses the participants were grouped in</w:t>
      </w:r>
      <w:r w:rsidR="005F0920" w:rsidRPr="000B4E2C">
        <w:t>to</w:t>
      </w:r>
      <w:r w:rsidRPr="000B4E2C">
        <w:t xml:space="preserve"> three categories according to the clinical setting reported in the included studies: patients undergoing cardiac surgery, patients undergoing major non-cardiac surgery, and patients admitted to critical care (mixed patient population). The </w:t>
      </w:r>
      <w:r w:rsidRPr="000B4E2C">
        <w:rPr>
          <w:highlight w:val="magenta"/>
        </w:rPr>
        <w:t>latter</w:t>
      </w:r>
      <w:r w:rsidRPr="000B4E2C">
        <w:t xml:space="preserve"> includes critically ill patients presenting to the emergency department and participants admitted to ICU or considered for critical care for various medical conditions or after surgery (but the studies did not specify which type of surgery or did not provide separate results for medical and surgical ICU particants).</w:t>
      </w:r>
      <w:r w:rsidR="000B4E2C" w:rsidRPr="000B4E2C">
        <w:t xml:space="preserve">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3</w:t>
      </w:r>
      <w:r w:rsidR="000B4E2C" w:rsidRPr="000B4E2C">
        <w:t xml:space="preserve"> </w:t>
      </w:r>
      <w:r w:rsidRPr="000B4E2C">
        <w:t>General characteristics of included studies</w:t>
      </w:r>
      <w:r w:rsidR="000B4E2C" w:rsidRPr="000B4E2C">
        <w:rPr>
          <w:color w:val="00B0F0"/>
        </w:rPr>
        <w:t xml:space="preserve"> – </w:t>
      </w:r>
      <w:r w:rsidRPr="000B4E2C">
        <w:t>adult population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696"/>
        <w:gridCol w:w="1307"/>
        <w:gridCol w:w="1297"/>
        <w:gridCol w:w="923"/>
        <w:gridCol w:w="755"/>
        <w:gridCol w:w="754"/>
        <w:gridCol w:w="1082"/>
        <w:gridCol w:w="1212"/>
      </w:tblGrid>
      <w:tr w:rsidR="002F0133" w:rsidRPr="000B4E2C" w14:paraId="2E9C0770" w14:textId="77777777" w:rsidTr="000B4E2C">
        <w:trPr>
          <w:cantSplit/>
        </w:trPr>
        <w:tc>
          <w:tcPr>
            <w:tcW w:w="0" w:type="auto"/>
            <w:shd w:val="clear" w:color="auto" w:fill="auto"/>
            <w:vAlign w:val="center"/>
            <w:hideMark/>
          </w:tcPr>
          <w:p w14:paraId="2EE61F96" w14:textId="77777777" w:rsidR="002F0133" w:rsidRPr="000B4E2C" w:rsidRDefault="002F0133" w:rsidP="008A7464">
            <w:pPr>
              <w:spacing w:line="276" w:lineRule="auto"/>
              <w:jc w:val="center"/>
              <w:rPr>
                <w:b/>
                <w:bCs/>
                <w:lang w:eastAsia="en-GB"/>
              </w:rPr>
            </w:pPr>
            <w:r w:rsidRPr="000B4E2C">
              <w:rPr>
                <w:b/>
                <w:bCs/>
                <w:lang w:eastAsia="en-GB"/>
              </w:rPr>
              <w:t>First author, year of publication, country, associated publications</w:t>
            </w:r>
          </w:p>
        </w:tc>
        <w:tc>
          <w:tcPr>
            <w:tcW w:w="0" w:type="auto"/>
            <w:shd w:val="clear" w:color="auto" w:fill="auto"/>
            <w:vAlign w:val="center"/>
            <w:hideMark/>
          </w:tcPr>
          <w:p w14:paraId="4D5691F0" w14:textId="77777777" w:rsidR="002F0133" w:rsidRPr="000B4E2C" w:rsidRDefault="002F0133" w:rsidP="008A7464">
            <w:pPr>
              <w:spacing w:line="276" w:lineRule="auto"/>
              <w:jc w:val="center"/>
              <w:rPr>
                <w:b/>
                <w:bCs/>
                <w:lang w:eastAsia="en-GB"/>
              </w:rPr>
            </w:pPr>
            <w:r w:rsidRPr="000B4E2C">
              <w:rPr>
                <w:b/>
                <w:bCs/>
                <w:lang w:eastAsia="en-GB"/>
              </w:rPr>
              <w:t>Assay</w:t>
            </w:r>
          </w:p>
        </w:tc>
        <w:tc>
          <w:tcPr>
            <w:tcW w:w="0" w:type="auto"/>
            <w:shd w:val="clear" w:color="auto" w:fill="auto"/>
            <w:vAlign w:val="center"/>
          </w:tcPr>
          <w:p w14:paraId="0D2972DE" w14:textId="77777777" w:rsidR="002F0133" w:rsidRPr="000B4E2C" w:rsidRDefault="002F0133" w:rsidP="008A7464">
            <w:pPr>
              <w:spacing w:line="276" w:lineRule="auto"/>
              <w:jc w:val="center"/>
              <w:rPr>
                <w:b/>
                <w:bCs/>
                <w:lang w:eastAsia="en-GB"/>
              </w:rPr>
            </w:pPr>
            <w:r w:rsidRPr="000B4E2C">
              <w:rPr>
                <w:b/>
                <w:bCs/>
                <w:lang w:eastAsia="en-GB"/>
              </w:rPr>
              <w:t>Target population (setting)</w:t>
            </w:r>
          </w:p>
        </w:tc>
        <w:tc>
          <w:tcPr>
            <w:tcW w:w="0" w:type="auto"/>
            <w:shd w:val="clear" w:color="auto" w:fill="auto"/>
            <w:vAlign w:val="center"/>
            <w:hideMark/>
          </w:tcPr>
          <w:p w14:paraId="0A28577D" w14:textId="77777777" w:rsidR="002F0133" w:rsidRPr="000B4E2C" w:rsidRDefault="002F0133" w:rsidP="008A7464">
            <w:pPr>
              <w:spacing w:line="276" w:lineRule="auto"/>
              <w:jc w:val="center"/>
              <w:rPr>
                <w:b/>
                <w:bCs/>
                <w:lang w:eastAsia="en-GB"/>
              </w:rPr>
            </w:pPr>
            <w:r w:rsidRPr="000B4E2C">
              <w:rPr>
                <w:b/>
                <w:bCs/>
                <w:lang w:eastAsia="en-GB"/>
              </w:rPr>
              <w:t>Mean age</w:t>
            </w:r>
          </w:p>
          <w:p w14:paraId="48B109A9" w14:textId="77777777" w:rsidR="002F0133" w:rsidRPr="000B4E2C" w:rsidRDefault="002F0133" w:rsidP="008A7464">
            <w:pPr>
              <w:spacing w:line="276" w:lineRule="auto"/>
              <w:jc w:val="center"/>
              <w:rPr>
                <w:b/>
                <w:bCs/>
                <w:lang w:eastAsia="en-GB"/>
              </w:rPr>
            </w:pPr>
            <w:r w:rsidRPr="000B4E2C">
              <w:rPr>
                <w:b/>
                <w:bCs/>
                <w:lang w:eastAsia="en-GB"/>
              </w:rPr>
              <w:t>(range or SD)</w:t>
            </w:r>
          </w:p>
        </w:tc>
        <w:tc>
          <w:tcPr>
            <w:tcW w:w="0" w:type="auto"/>
            <w:shd w:val="clear" w:color="auto" w:fill="auto"/>
            <w:vAlign w:val="center"/>
            <w:hideMark/>
          </w:tcPr>
          <w:p w14:paraId="4ACC7B86" w14:textId="77777777" w:rsidR="002F0133" w:rsidRPr="000B4E2C" w:rsidRDefault="002F0133" w:rsidP="008A7464">
            <w:pPr>
              <w:spacing w:line="276" w:lineRule="auto"/>
              <w:jc w:val="center"/>
              <w:rPr>
                <w:b/>
                <w:bCs/>
                <w:lang w:eastAsia="en-GB"/>
              </w:rPr>
            </w:pPr>
            <w:r w:rsidRPr="000B4E2C">
              <w:rPr>
                <w:b/>
                <w:bCs/>
                <w:lang w:eastAsia="en-GB"/>
              </w:rPr>
              <w:t>Sample size</w:t>
            </w:r>
          </w:p>
        </w:tc>
        <w:tc>
          <w:tcPr>
            <w:tcW w:w="0" w:type="auto"/>
            <w:shd w:val="clear" w:color="auto" w:fill="auto"/>
            <w:vAlign w:val="center"/>
            <w:hideMark/>
          </w:tcPr>
          <w:p w14:paraId="21ABA96F" w14:textId="77777777" w:rsidR="002F0133" w:rsidRPr="000B4E2C" w:rsidRDefault="002F0133" w:rsidP="008A7464">
            <w:pPr>
              <w:spacing w:line="276" w:lineRule="auto"/>
              <w:jc w:val="center"/>
              <w:rPr>
                <w:b/>
                <w:bCs/>
                <w:lang w:eastAsia="en-GB"/>
              </w:rPr>
            </w:pPr>
            <w:r w:rsidRPr="000B4E2C">
              <w:rPr>
                <w:b/>
                <w:bCs/>
                <w:lang w:eastAsia="en-GB"/>
              </w:rPr>
              <w:t>AKI events</w:t>
            </w:r>
          </w:p>
        </w:tc>
        <w:tc>
          <w:tcPr>
            <w:tcW w:w="0" w:type="auto"/>
            <w:shd w:val="clear" w:color="auto" w:fill="auto"/>
            <w:vAlign w:val="center"/>
            <w:hideMark/>
          </w:tcPr>
          <w:p w14:paraId="518FD46D" w14:textId="77777777" w:rsidR="002F0133" w:rsidRPr="000B4E2C" w:rsidRDefault="002F0133" w:rsidP="008A7464">
            <w:pPr>
              <w:spacing w:line="276" w:lineRule="auto"/>
              <w:jc w:val="center"/>
              <w:rPr>
                <w:b/>
                <w:bCs/>
                <w:lang w:eastAsia="en-GB"/>
              </w:rPr>
            </w:pPr>
            <w:r w:rsidRPr="000B4E2C">
              <w:rPr>
                <w:b/>
                <w:bCs/>
                <w:lang w:eastAsia="en-GB"/>
              </w:rPr>
              <w:t>AKI Definition</w:t>
            </w:r>
          </w:p>
        </w:tc>
        <w:tc>
          <w:tcPr>
            <w:tcW w:w="0" w:type="auto"/>
            <w:shd w:val="clear" w:color="auto" w:fill="auto"/>
          </w:tcPr>
          <w:p w14:paraId="15D52FEB" w14:textId="77777777" w:rsidR="002F0133" w:rsidRPr="000B4E2C" w:rsidRDefault="002F0133" w:rsidP="008A7464">
            <w:pPr>
              <w:spacing w:line="276" w:lineRule="auto"/>
              <w:jc w:val="center"/>
              <w:rPr>
                <w:b/>
                <w:bCs/>
                <w:lang w:eastAsia="en-GB"/>
              </w:rPr>
            </w:pPr>
            <w:r w:rsidRPr="000B4E2C">
              <w:rPr>
                <w:b/>
                <w:bCs/>
                <w:lang w:eastAsia="en-GB"/>
              </w:rPr>
              <w:t>Timeframe for AKI diagnosis</w:t>
            </w:r>
          </w:p>
        </w:tc>
      </w:tr>
      <w:tr w:rsidR="002F0133" w:rsidRPr="000B4E2C" w14:paraId="18FB5C7D" w14:textId="77777777" w:rsidTr="000B4E2C">
        <w:trPr>
          <w:cantSplit/>
        </w:trPr>
        <w:tc>
          <w:tcPr>
            <w:tcW w:w="0" w:type="auto"/>
            <w:shd w:val="clear" w:color="auto" w:fill="auto"/>
            <w:vAlign w:val="center"/>
            <w:hideMark/>
          </w:tcPr>
          <w:p w14:paraId="32D62EF4" w14:textId="58BD8E16" w:rsidR="002F0133" w:rsidRPr="000B4E2C" w:rsidRDefault="002F0133" w:rsidP="008A7464">
            <w:pPr>
              <w:spacing w:line="276" w:lineRule="auto"/>
              <w:rPr>
                <w:lang w:eastAsia="en-GB"/>
              </w:rPr>
            </w:pPr>
            <w:r w:rsidRPr="000B4E2C">
              <w:rPr>
                <w:lang w:eastAsia="en-GB"/>
              </w:rPr>
              <w:t>Cummings 2019</w:t>
            </w:r>
            <w:r w:rsidR="00024FA4" w:rsidRPr="000B4E2C">
              <w:rPr>
                <w:lang w:eastAsia="en-GB"/>
              </w:rPr>
              <w:t>,</w:t>
            </w:r>
            <w:r w:rsidR="005B5026" w:rsidRPr="000B4E2C">
              <w:rPr>
                <w:noProof/>
                <w:vertAlign w:val="superscript"/>
                <w:lang w:eastAsia="en-GB"/>
              </w:rPr>
              <w:t>28</w:t>
            </w:r>
            <w:r w:rsidRPr="000B4E2C">
              <w:rPr>
                <w:lang w:eastAsia="en-GB"/>
              </w:rPr>
              <w:t xml:space="preserve"> USA</w:t>
            </w:r>
          </w:p>
        </w:tc>
        <w:tc>
          <w:tcPr>
            <w:tcW w:w="0" w:type="auto"/>
            <w:shd w:val="clear" w:color="auto" w:fill="auto"/>
            <w:vAlign w:val="center"/>
            <w:hideMark/>
          </w:tcPr>
          <w:p w14:paraId="5DD40342" w14:textId="77777777" w:rsidR="002F0133" w:rsidRPr="000B4E2C" w:rsidRDefault="002F0133" w:rsidP="008A7464">
            <w:pPr>
              <w:spacing w:line="276" w:lineRule="auto"/>
              <w:jc w:val="center"/>
              <w:rPr>
                <w:lang w:eastAsia="en-GB"/>
              </w:rPr>
            </w:pPr>
            <w:r w:rsidRPr="000B4E2C">
              <w:rPr>
                <w:lang w:eastAsia="en-GB"/>
              </w:rPr>
              <w:t>NephroCheck, Astute Medical</w:t>
            </w:r>
          </w:p>
        </w:tc>
        <w:tc>
          <w:tcPr>
            <w:tcW w:w="0" w:type="auto"/>
            <w:shd w:val="clear" w:color="auto" w:fill="auto"/>
            <w:vAlign w:val="center"/>
          </w:tcPr>
          <w:p w14:paraId="298DD2CB" w14:textId="77777777" w:rsidR="002F0133" w:rsidRPr="000B4E2C" w:rsidRDefault="002F0133" w:rsidP="008A7464">
            <w:pPr>
              <w:spacing w:line="276" w:lineRule="auto"/>
              <w:jc w:val="center"/>
              <w:rPr>
                <w:lang w:eastAsia="en-GB"/>
              </w:rPr>
            </w:pPr>
            <w:r w:rsidRPr="000B4E2C">
              <w:t>Cardiac Surgery (Atorvastin for AKI cardiac surgery study)</w:t>
            </w:r>
          </w:p>
        </w:tc>
        <w:tc>
          <w:tcPr>
            <w:tcW w:w="0" w:type="auto"/>
            <w:shd w:val="clear" w:color="auto" w:fill="auto"/>
            <w:vAlign w:val="center"/>
            <w:hideMark/>
          </w:tcPr>
          <w:p w14:paraId="40DC8B17" w14:textId="77777777" w:rsidR="002F0133" w:rsidRPr="000B4E2C" w:rsidRDefault="002F0133" w:rsidP="008A7464">
            <w:pPr>
              <w:spacing w:line="276" w:lineRule="auto"/>
              <w:jc w:val="center"/>
              <w:rPr>
                <w:lang w:eastAsia="en-GB"/>
              </w:rPr>
            </w:pPr>
            <w:r w:rsidRPr="000B4E2C">
              <w:rPr>
                <w:lang w:eastAsia="en-GB"/>
              </w:rPr>
              <w:t>67 (58, 75) *</w:t>
            </w:r>
          </w:p>
        </w:tc>
        <w:tc>
          <w:tcPr>
            <w:tcW w:w="0" w:type="auto"/>
            <w:shd w:val="clear" w:color="auto" w:fill="auto"/>
            <w:vAlign w:val="center"/>
            <w:hideMark/>
          </w:tcPr>
          <w:p w14:paraId="67D0C6EC" w14:textId="77777777" w:rsidR="002F0133" w:rsidRPr="000B4E2C" w:rsidRDefault="002F0133" w:rsidP="008A7464">
            <w:pPr>
              <w:spacing w:line="276" w:lineRule="auto"/>
              <w:jc w:val="center"/>
              <w:rPr>
                <w:lang w:eastAsia="en-GB"/>
              </w:rPr>
            </w:pPr>
            <w:r w:rsidRPr="000B4E2C">
              <w:rPr>
                <w:lang w:eastAsia="en-GB"/>
              </w:rPr>
              <w:t>400</w:t>
            </w:r>
          </w:p>
        </w:tc>
        <w:tc>
          <w:tcPr>
            <w:tcW w:w="0" w:type="auto"/>
            <w:shd w:val="clear" w:color="auto" w:fill="auto"/>
            <w:vAlign w:val="center"/>
            <w:hideMark/>
          </w:tcPr>
          <w:p w14:paraId="4F6C3635" w14:textId="77777777" w:rsidR="002F0133" w:rsidRPr="000B4E2C" w:rsidRDefault="002F0133" w:rsidP="008A7464">
            <w:pPr>
              <w:spacing w:line="276" w:lineRule="auto"/>
              <w:jc w:val="center"/>
              <w:rPr>
                <w:lang w:eastAsia="en-GB"/>
              </w:rPr>
            </w:pPr>
            <w:r w:rsidRPr="000B4E2C">
              <w:rPr>
                <w:lang w:eastAsia="en-GB"/>
              </w:rPr>
              <w:t>14</w:t>
            </w:r>
          </w:p>
        </w:tc>
        <w:tc>
          <w:tcPr>
            <w:tcW w:w="0" w:type="auto"/>
            <w:shd w:val="clear" w:color="auto" w:fill="auto"/>
            <w:vAlign w:val="center"/>
            <w:hideMark/>
          </w:tcPr>
          <w:p w14:paraId="05686D5E" w14:textId="77777777" w:rsidR="002F0133" w:rsidRPr="000B4E2C" w:rsidRDefault="002F0133" w:rsidP="008A7464">
            <w:pPr>
              <w:spacing w:line="276" w:lineRule="auto"/>
              <w:jc w:val="center"/>
              <w:rPr>
                <w:lang w:eastAsia="en-GB"/>
              </w:rPr>
            </w:pPr>
            <w:r w:rsidRPr="000B4E2C">
              <w:rPr>
                <w:lang w:eastAsia="en-GB"/>
              </w:rPr>
              <w:t>KDIGO stage 2/3</w:t>
            </w:r>
          </w:p>
        </w:tc>
        <w:tc>
          <w:tcPr>
            <w:tcW w:w="0" w:type="auto"/>
            <w:shd w:val="clear" w:color="auto" w:fill="auto"/>
          </w:tcPr>
          <w:p w14:paraId="12386806" w14:textId="77777777" w:rsidR="002F0133" w:rsidRPr="000B4E2C" w:rsidRDefault="002F0133" w:rsidP="008A7464">
            <w:pPr>
              <w:spacing w:line="276" w:lineRule="auto"/>
              <w:jc w:val="center"/>
              <w:rPr>
                <w:lang w:eastAsia="en-GB"/>
              </w:rPr>
            </w:pPr>
            <w:r w:rsidRPr="000B4E2C">
              <w:rPr>
                <w:lang w:eastAsia="en-GB"/>
              </w:rPr>
              <w:t>Within 48 hours of surgery</w:t>
            </w:r>
          </w:p>
        </w:tc>
      </w:tr>
      <w:tr w:rsidR="002F0133" w:rsidRPr="000B4E2C" w14:paraId="3771736B" w14:textId="77777777" w:rsidTr="000B4E2C">
        <w:trPr>
          <w:cantSplit/>
        </w:trPr>
        <w:tc>
          <w:tcPr>
            <w:tcW w:w="0" w:type="auto"/>
            <w:shd w:val="clear" w:color="auto" w:fill="auto"/>
            <w:vAlign w:val="center"/>
          </w:tcPr>
          <w:p w14:paraId="7E17E4A0" w14:textId="39043863" w:rsidR="002F0133" w:rsidRPr="000B4E2C" w:rsidRDefault="002F0133" w:rsidP="008A7464">
            <w:pPr>
              <w:spacing w:line="276" w:lineRule="auto"/>
              <w:rPr>
                <w:lang w:eastAsia="en-GB"/>
              </w:rPr>
            </w:pPr>
            <w:r w:rsidRPr="000B4E2C">
              <w:rPr>
                <w:lang w:eastAsia="en-GB"/>
              </w:rPr>
              <w:t>Oezkur</w:t>
            </w:r>
            <w:r w:rsidR="00666CB6" w:rsidRPr="000B4E2C">
              <w:rPr>
                <w:lang w:eastAsia="en-GB"/>
              </w:rPr>
              <w:t xml:space="preserve"> 2017</w:t>
            </w:r>
            <w:r w:rsidR="00024FA4" w:rsidRPr="000B4E2C">
              <w:rPr>
                <w:lang w:eastAsia="en-GB"/>
              </w:rPr>
              <w:t>,</w:t>
            </w:r>
            <w:r w:rsidR="005B5026" w:rsidRPr="000B4E2C">
              <w:rPr>
                <w:noProof/>
                <w:vertAlign w:val="superscript"/>
                <w:lang w:eastAsia="en-GB"/>
              </w:rPr>
              <w:t>29</w:t>
            </w:r>
            <w:r w:rsidR="00024FA4" w:rsidRPr="000B4E2C">
              <w:rPr>
                <w:lang w:eastAsia="en-GB"/>
              </w:rPr>
              <w:t xml:space="preserve"> </w:t>
            </w:r>
            <w:r w:rsidRPr="000B4E2C">
              <w:rPr>
                <w:lang w:eastAsia="en-GB"/>
              </w:rPr>
              <w:t>Germany</w:t>
            </w:r>
          </w:p>
        </w:tc>
        <w:tc>
          <w:tcPr>
            <w:tcW w:w="0" w:type="auto"/>
            <w:shd w:val="clear" w:color="auto" w:fill="auto"/>
            <w:vAlign w:val="center"/>
          </w:tcPr>
          <w:p w14:paraId="75AAB752" w14:textId="77777777" w:rsidR="002F0133" w:rsidRPr="000B4E2C" w:rsidRDefault="002F0133" w:rsidP="008A7464">
            <w:pPr>
              <w:spacing w:line="276" w:lineRule="auto"/>
              <w:jc w:val="center"/>
              <w:rPr>
                <w:lang w:eastAsia="en-GB"/>
              </w:rPr>
            </w:pPr>
            <w:r w:rsidRPr="000B4E2C">
              <w:rPr>
                <w:lang w:eastAsia="en-GB"/>
              </w:rPr>
              <w:t>NephroCheck, Astute Medical</w:t>
            </w:r>
          </w:p>
        </w:tc>
        <w:tc>
          <w:tcPr>
            <w:tcW w:w="0" w:type="auto"/>
            <w:shd w:val="clear" w:color="auto" w:fill="auto"/>
            <w:vAlign w:val="center"/>
          </w:tcPr>
          <w:p w14:paraId="3147C5E4" w14:textId="77777777" w:rsidR="002F0133" w:rsidRPr="000B4E2C" w:rsidRDefault="002F0133" w:rsidP="008A7464">
            <w:pPr>
              <w:spacing w:line="276" w:lineRule="auto"/>
              <w:jc w:val="center"/>
              <w:rPr>
                <w:lang w:eastAsia="en-GB"/>
              </w:rPr>
            </w:pPr>
            <w:r w:rsidRPr="000B4E2C">
              <w:t>Cardiac Surgery (CABG, valve surgery or surgery of the thoracic aorta)</w:t>
            </w:r>
          </w:p>
        </w:tc>
        <w:tc>
          <w:tcPr>
            <w:tcW w:w="0" w:type="auto"/>
            <w:shd w:val="clear" w:color="auto" w:fill="auto"/>
            <w:vAlign w:val="center"/>
          </w:tcPr>
          <w:p w14:paraId="297F9478" w14:textId="77777777" w:rsidR="002F0133" w:rsidRPr="000B4E2C" w:rsidRDefault="002F0133" w:rsidP="008A7464">
            <w:pPr>
              <w:spacing w:line="276" w:lineRule="auto"/>
              <w:jc w:val="center"/>
              <w:rPr>
                <w:lang w:eastAsia="en-GB"/>
              </w:rPr>
            </w:pPr>
            <w:r w:rsidRPr="000B4E2C">
              <w:rPr>
                <w:lang w:eastAsia="en-GB"/>
              </w:rPr>
              <w:t>AKI 65 (59, 73)</w:t>
            </w:r>
          </w:p>
          <w:p w14:paraId="1E6F94DD" w14:textId="77777777" w:rsidR="002F0133" w:rsidRPr="000B4E2C" w:rsidRDefault="002F0133" w:rsidP="008A7464">
            <w:pPr>
              <w:spacing w:line="276" w:lineRule="auto"/>
              <w:jc w:val="center"/>
              <w:rPr>
                <w:lang w:eastAsia="en-GB"/>
              </w:rPr>
            </w:pPr>
            <w:r w:rsidRPr="000B4E2C">
              <w:rPr>
                <w:lang w:eastAsia="en-GB"/>
              </w:rPr>
              <w:t>No AKI 71 (64,76) *</w:t>
            </w:r>
          </w:p>
        </w:tc>
        <w:tc>
          <w:tcPr>
            <w:tcW w:w="0" w:type="auto"/>
            <w:shd w:val="clear" w:color="auto" w:fill="auto"/>
            <w:vAlign w:val="center"/>
          </w:tcPr>
          <w:p w14:paraId="39AEB0E3" w14:textId="77777777" w:rsidR="002F0133" w:rsidRPr="000B4E2C" w:rsidRDefault="002F0133" w:rsidP="008A7464">
            <w:pPr>
              <w:spacing w:line="276" w:lineRule="auto"/>
              <w:jc w:val="center"/>
              <w:rPr>
                <w:lang w:eastAsia="en-GB"/>
              </w:rPr>
            </w:pPr>
            <w:r w:rsidRPr="000B4E2C">
              <w:rPr>
                <w:lang w:eastAsia="en-GB"/>
              </w:rPr>
              <w:t>150</w:t>
            </w:r>
          </w:p>
        </w:tc>
        <w:tc>
          <w:tcPr>
            <w:tcW w:w="0" w:type="auto"/>
            <w:shd w:val="clear" w:color="auto" w:fill="auto"/>
            <w:vAlign w:val="center"/>
          </w:tcPr>
          <w:p w14:paraId="7DC4BCB1" w14:textId="77777777" w:rsidR="002F0133" w:rsidRPr="000B4E2C" w:rsidRDefault="002F0133" w:rsidP="008A7464">
            <w:pPr>
              <w:spacing w:line="276" w:lineRule="auto"/>
              <w:jc w:val="center"/>
              <w:rPr>
                <w:lang w:eastAsia="en-GB"/>
              </w:rPr>
            </w:pPr>
            <w:r w:rsidRPr="000B4E2C">
              <w:rPr>
                <w:lang w:eastAsia="en-GB"/>
              </w:rPr>
              <w:t>35</w:t>
            </w:r>
          </w:p>
        </w:tc>
        <w:tc>
          <w:tcPr>
            <w:tcW w:w="0" w:type="auto"/>
            <w:shd w:val="clear" w:color="auto" w:fill="auto"/>
            <w:vAlign w:val="center"/>
          </w:tcPr>
          <w:p w14:paraId="7F87D665" w14:textId="77777777" w:rsidR="002F0133" w:rsidRPr="000B4E2C" w:rsidRDefault="002F0133" w:rsidP="008A7464">
            <w:pPr>
              <w:spacing w:line="276" w:lineRule="auto"/>
              <w:jc w:val="center"/>
              <w:rPr>
                <w:lang w:eastAsia="en-GB"/>
              </w:rPr>
            </w:pPr>
            <w:r w:rsidRPr="000B4E2C">
              <w:rPr>
                <w:lang w:eastAsia="en-GB"/>
              </w:rPr>
              <w:t>KDIGO</w:t>
            </w:r>
          </w:p>
        </w:tc>
        <w:tc>
          <w:tcPr>
            <w:tcW w:w="0" w:type="auto"/>
            <w:shd w:val="clear" w:color="auto" w:fill="auto"/>
          </w:tcPr>
          <w:p w14:paraId="1938E9E3" w14:textId="77777777" w:rsidR="002F0133" w:rsidRPr="000B4E2C" w:rsidRDefault="002F0133" w:rsidP="008A7464">
            <w:pPr>
              <w:spacing w:line="276" w:lineRule="auto"/>
              <w:jc w:val="center"/>
              <w:rPr>
                <w:lang w:eastAsia="en-GB"/>
              </w:rPr>
            </w:pPr>
            <w:r w:rsidRPr="000B4E2C">
              <w:rPr>
                <w:lang w:eastAsia="en-GB"/>
              </w:rPr>
              <w:t>Within 48 hours of surgery</w:t>
            </w:r>
          </w:p>
        </w:tc>
      </w:tr>
      <w:tr w:rsidR="002F0133" w:rsidRPr="000B4E2C" w14:paraId="60F8E640" w14:textId="77777777" w:rsidTr="000B4E2C">
        <w:trPr>
          <w:cantSplit/>
        </w:trPr>
        <w:tc>
          <w:tcPr>
            <w:tcW w:w="0" w:type="auto"/>
            <w:shd w:val="clear" w:color="auto" w:fill="auto"/>
            <w:vAlign w:val="center"/>
          </w:tcPr>
          <w:p w14:paraId="1665B46D" w14:textId="08A1439B" w:rsidR="002F0133" w:rsidRPr="000B4E2C" w:rsidRDefault="002F0133" w:rsidP="008A7464">
            <w:pPr>
              <w:spacing w:line="276" w:lineRule="auto"/>
              <w:rPr>
                <w:lang w:eastAsia="en-GB"/>
              </w:rPr>
            </w:pPr>
            <w:r w:rsidRPr="000B4E2C">
              <w:rPr>
                <w:lang w:eastAsia="en-GB"/>
              </w:rPr>
              <w:t>Beitland</w:t>
            </w:r>
            <w:r w:rsidR="00666CB6" w:rsidRPr="000B4E2C">
              <w:rPr>
                <w:lang w:eastAsia="en-GB"/>
              </w:rPr>
              <w:t xml:space="preserve"> 2016</w:t>
            </w:r>
            <w:r w:rsidR="00024FA4" w:rsidRPr="000B4E2C">
              <w:rPr>
                <w:lang w:eastAsia="en-GB"/>
              </w:rPr>
              <w:t>,</w:t>
            </w:r>
            <w:r w:rsidR="005B5026" w:rsidRPr="000B4E2C">
              <w:rPr>
                <w:noProof/>
                <w:vertAlign w:val="superscript"/>
                <w:lang w:eastAsia="en-GB"/>
              </w:rPr>
              <w:t>30</w:t>
            </w:r>
            <w:r w:rsidR="00024FA4" w:rsidRPr="000B4E2C">
              <w:rPr>
                <w:lang w:eastAsia="en-GB"/>
              </w:rPr>
              <w:t xml:space="preserve"> </w:t>
            </w:r>
            <w:r w:rsidRPr="000B4E2C">
              <w:rPr>
                <w:lang w:eastAsia="en-GB"/>
              </w:rPr>
              <w:t>Norway</w:t>
            </w:r>
          </w:p>
        </w:tc>
        <w:tc>
          <w:tcPr>
            <w:tcW w:w="0" w:type="auto"/>
            <w:shd w:val="clear" w:color="auto" w:fill="auto"/>
            <w:vAlign w:val="center"/>
          </w:tcPr>
          <w:p w14:paraId="56C78A4B" w14:textId="77777777" w:rsidR="002F0133" w:rsidRPr="000B4E2C" w:rsidRDefault="002F0133" w:rsidP="008A7464">
            <w:pPr>
              <w:spacing w:line="276" w:lineRule="auto"/>
              <w:jc w:val="center"/>
              <w:rPr>
                <w:lang w:eastAsia="en-GB"/>
              </w:rPr>
            </w:pPr>
            <w:r w:rsidRPr="000B4E2C">
              <w:rPr>
                <w:lang w:eastAsia="en-GB"/>
              </w:rPr>
              <w:t>NephroCheck, Astute Medical</w:t>
            </w:r>
          </w:p>
        </w:tc>
        <w:tc>
          <w:tcPr>
            <w:tcW w:w="0" w:type="auto"/>
            <w:shd w:val="clear" w:color="auto" w:fill="auto"/>
            <w:vAlign w:val="center"/>
          </w:tcPr>
          <w:p w14:paraId="14B81F9B" w14:textId="20623009" w:rsidR="000B4E2C" w:rsidRPr="000B4E2C" w:rsidRDefault="002F0133" w:rsidP="008A7464">
            <w:pPr>
              <w:spacing w:line="276" w:lineRule="auto"/>
              <w:jc w:val="center"/>
            </w:pPr>
            <w:r w:rsidRPr="000B4E2C">
              <w:t>Critical care</w:t>
            </w:r>
            <w:r w:rsidR="000B4E2C" w:rsidRPr="000B4E2C">
              <w:rPr>
                <w:color w:val="00B0F0"/>
              </w:rPr>
              <w:t xml:space="preserve"> – </w:t>
            </w:r>
            <w:r w:rsidRPr="000B4E2C">
              <w:t>mixed population</w:t>
            </w:r>
          </w:p>
          <w:p w14:paraId="73628926" w14:textId="05291931" w:rsidR="002F0133" w:rsidRPr="000B4E2C" w:rsidRDefault="002F0133" w:rsidP="008A7464">
            <w:pPr>
              <w:spacing w:line="276" w:lineRule="auto"/>
              <w:jc w:val="center"/>
              <w:rPr>
                <w:lang w:eastAsia="en-GB"/>
              </w:rPr>
            </w:pPr>
            <w:r w:rsidRPr="000B4E2C">
              <w:t>(out-of-hospital cardiac arrest)</w:t>
            </w:r>
          </w:p>
        </w:tc>
        <w:tc>
          <w:tcPr>
            <w:tcW w:w="0" w:type="auto"/>
            <w:shd w:val="clear" w:color="auto" w:fill="auto"/>
            <w:vAlign w:val="center"/>
          </w:tcPr>
          <w:p w14:paraId="2634640D" w14:textId="77777777" w:rsidR="002F0133" w:rsidRPr="000B4E2C" w:rsidRDefault="002F0133" w:rsidP="008A7464">
            <w:pPr>
              <w:spacing w:line="276" w:lineRule="auto"/>
              <w:jc w:val="center"/>
              <w:rPr>
                <w:lang w:eastAsia="en-GB"/>
              </w:rPr>
            </w:pPr>
            <w:r w:rsidRPr="000B4E2C">
              <w:rPr>
                <w:lang w:eastAsia="en-GB"/>
              </w:rPr>
              <w:t>AKI 60 (13)</w:t>
            </w:r>
          </w:p>
          <w:p w14:paraId="42EF1A45" w14:textId="77777777" w:rsidR="002F0133" w:rsidRPr="000B4E2C" w:rsidRDefault="002F0133" w:rsidP="008A7464">
            <w:pPr>
              <w:spacing w:line="276" w:lineRule="auto"/>
              <w:jc w:val="center"/>
              <w:rPr>
                <w:lang w:eastAsia="en-GB"/>
              </w:rPr>
            </w:pPr>
            <w:r w:rsidRPr="000B4E2C">
              <w:rPr>
                <w:lang w:eastAsia="en-GB"/>
              </w:rPr>
              <w:t>No AKI 60 (14)</w:t>
            </w:r>
          </w:p>
        </w:tc>
        <w:tc>
          <w:tcPr>
            <w:tcW w:w="0" w:type="auto"/>
            <w:shd w:val="clear" w:color="auto" w:fill="auto"/>
            <w:vAlign w:val="center"/>
          </w:tcPr>
          <w:p w14:paraId="69CF90D8" w14:textId="77777777" w:rsidR="002F0133" w:rsidRPr="000B4E2C" w:rsidRDefault="002F0133" w:rsidP="008A7464">
            <w:pPr>
              <w:spacing w:line="276" w:lineRule="auto"/>
              <w:jc w:val="center"/>
              <w:rPr>
                <w:lang w:eastAsia="en-GB"/>
              </w:rPr>
            </w:pPr>
            <w:r w:rsidRPr="000B4E2C">
              <w:rPr>
                <w:lang w:eastAsia="en-GB"/>
              </w:rPr>
              <w:t>195</w:t>
            </w:r>
          </w:p>
        </w:tc>
        <w:tc>
          <w:tcPr>
            <w:tcW w:w="0" w:type="auto"/>
            <w:shd w:val="clear" w:color="auto" w:fill="auto"/>
            <w:vAlign w:val="center"/>
          </w:tcPr>
          <w:p w14:paraId="5AF4AF1F" w14:textId="77777777" w:rsidR="002F0133" w:rsidRPr="000B4E2C" w:rsidRDefault="002F0133" w:rsidP="008A7464">
            <w:pPr>
              <w:spacing w:line="276" w:lineRule="auto"/>
              <w:jc w:val="center"/>
              <w:rPr>
                <w:lang w:eastAsia="en-GB"/>
              </w:rPr>
            </w:pPr>
            <w:r w:rsidRPr="000B4E2C">
              <w:rPr>
                <w:lang w:eastAsia="en-GB"/>
              </w:rPr>
              <w:t>88</w:t>
            </w:r>
          </w:p>
        </w:tc>
        <w:tc>
          <w:tcPr>
            <w:tcW w:w="0" w:type="auto"/>
            <w:shd w:val="clear" w:color="auto" w:fill="auto"/>
            <w:vAlign w:val="center"/>
          </w:tcPr>
          <w:p w14:paraId="77EF0D61" w14:textId="77777777" w:rsidR="002F0133" w:rsidRPr="000B4E2C" w:rsidRDefault="002F0133" w:rsidP="008A7464">
            <w:pPr>
              <w:spacing w:line="276" w:lineRule="auto"/>
              <w:jc w:val="center"/>
              <w:rPr>
                <w:lang w:eastAsia="en-GB"/>
              </w:rPr>
            </w:pPr>
            <w:r w:rsidRPr="000B4E2C">
              <w:rPr>
                <w:lang w:eastAsia="en-GB"/>
              </w:rPr>
              <w:t>KDIGO</w:t>
            </w:r>
          </w:p>
        </w:tc>
        <w:tc>
          <w:tcPr>
            <w:tcW w:w="0" w:type="auto"/>
            <w:shd w:val="clear" w:color="auto" w:fill="auto"/>
          </w:tcPr>
          <w:p w14:paraId="28E12944" w14:textId="77777777" w:rsidR="002F0133" w:rsidRPr="000B4E2C" w:rsidRDefault="002F0133" w:rsidP="008A7464">
            <w:pPr>
              <w:spacing w:line="276" w:lineRule="auto"/>
              <w:jc w:val="center"/>
              <w:rPr>
                <w:lang w:eastAsia="en-GB"/>
              </w:rPr>
            </w:pPr>
            <w:r w:rsidRPr="000B4E2C">
              <w:rPr>
                <w:lang w:eastAsia="en-GB"/>
              </w:rPr>
              <w:t>Within 3 days of admission</w:t>
            </w:r>
          </w:p>
        </w:tc>
      </w:tr>
      <w:tr w:rsidR="002F0133" w:rsidRPr="000B4E2C" w14:paraId="5289B2C3" w14:textId="77777777" w:rsidTr="000B4E2C">
        <w:trPr>
          <w:cantSplit/>
        </w:trPr>
        <w:tc>
          <w:tcPr>
            <w:tcW w:w="0" w:type="auto"/>
            <w:shd w:val="clear" w:color="auto" w:fill="auto"/>
            <w:vAlign w:val="center"/>
          </w:tcPr>
          <w:p w14:paraId="47A60934" w14:textId="21DA9709" w:rsidR="002F0133" w:rsidRPr="000B4E2C" w:rsidRDefault="002F0133" w:rsidP="008A7464">
            <w:pPr>
              <w:spacing w:line="276" w:lineRule="auto"/>
              <w:rPr>
                <w:lang w:eastAsia="en-GB"/>
              </w:rPr>
            </w:pPr>
            <w:r w:rsidRPr="000B4E2C">
              <w:rPr>
                <w:lang w:eastAsia="en-GB"/>
              </w:rPr>
              <w:t>Bihorac</w:t>
            </w:r>
            <w:r w:rsidR="00666CB6" w:rsidRPr="000B4E2C">
              <w:rPr>
                <w:lang w:eastAsia="en-GB"/>
              </w:rPr>
              <w:t xml:space="preserve"> 2014</w:t>
            </w:r>
            <w:r w:rsidR="00024FA4" w:rsidRPr="000B4E2C">
              <w:rPr>
                <w:lang w:eastAsia="en-GB"/>
              </w:rPr>
              <w:t>,</w:t>
            </w:r>
            <w:r w:rsidR="005B5026" w:rsidRPr="000B4E2C">
              <w:rPr>
                <w:noProof/>
                <w:vertAlign w:val="superscript"/>
                <w:lang w:eastAsia="en-GB"/>
              </w:rPr>
              <w:t>31</w:t>
            </w:r>
            <w:r w:rsidRPr="000B4E2C">
              <w:rPr>
                <w:lang w:eastAsia="en-GB"/>
              </w:rPr>
              <w:t xml:space="preserve"> USA</w:t>
            </w:r>
          </w:p>
        </w:tc>
        <w:tc>
          <w:tcPr>
            <w:tcW w:w="0" w:type="auto"/>
            <w:shd w:val="clear" w:color="auto" w:fill="auto"/>
            <w:vAlign w:val="center"/>
          </w:tcPr>
          <w:p w14:paraId="47BBF591" w14:textId="77777777" w:rsidR="002F0133" w:rsidRPr="000B4E2C" w:rsidRDefault="002F0133" w:rsidP="008A7464">
            <w:pPr>
              <w:spacing w:line="276" w:lineRule="auto"/>
              <w:jc w:val="center"/>
              <w:rPr>
                <w:lang w:eastAsia="en-GB"/>
              </w:rPr>
            </w:pPr>
            <w:r w:rsidRPr="000B4E2C">
              <w:rPr>
                <w:lang w:eastAsia="en-GB"/>
              </w:rPr>
              <w:t>NephroCheck, Astute Medical</w:t>
            </w:r>
          </w:p>
        </w:tc>
        <w:tc>
          <w:tcPr>
            <w:tcW w:w="0" w:type="auto"/>
            <w:shd w:val="clear" w:color="auto" w:fill="auto"/>
            <w:vAlign w:val="center"/>
          </w:tcPr>
          <w:p w14:paraId="10C8A82D" w14:textId="4184C6AF"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(ICU/ITU)</w:t>
            </w:r>
          </w:p>
        </w:tc>
        <w:tc>
          <w:tcPr>
            <w:tcW w:w="0" w:type="auto"/>
            <w:shd w:val="clear" w:color="auto" w:fill="auto"/>
            <w:vAlign w:val="center"/>
          </w:tcPr>
          <w:p w14:paraId="7CE87A6B" w14:textId="77777777" w:rsidR="002F0133" w:rsidRPr="000B4E2C" w:rsidRDefault="002F0133" w:rsidP="008A7464">
            <w:pPr>
              <w:spacing w:line="276" w:lineRule="auto"/>
              <w:jc w:val="center"/>
              <w:rPr>
                <w:lang w:eastAsia="en-GB"/>
              </w:rPr>
            </w:pPr>
            <w:r w:rsidRPr="000B4E2C">
              <w:rPr>
                <w:lang w:eastAsia="en-GB"/>
              </w:rPr>
              <w:t>63 (17)</w:t>
            </w:r>
          </w:p>
        </w:tc>
        <w:tc>
          <w:tcPr>
            <w:tcW w:w="0" w:type="auto"/>
            <w:shd w:val="clear" w:color="auto" w:fill="auto"/>
            <w:vAlign w:val="center"/>
          </w:tcPr>
          <w:p w14:paraId="7DAD6449" w14:textId="77777777" w:rsidR="002F0133" w:rsidRPr="000B4E2C" w:rsidRDefault="002F0133" w:rsidP="008A7464">
            <w:pPr>
              <w:spacing w:line="276" w:lineRule="auto"/>
              <w:jc w:val="center"/>
              <w:rPr>
                <w:lang w:eastAsia="en-GB"/>
              </w:rPr>
            </w:pPr>
            <w:r w:rsidRPr="000B4E2C">
              <w:rPr>
                <w:lang w:eastAsia="en-GB"/>
              </w:rPr>
              <w:t>408</w:t>
            </w:r>
          </w:p>
        </w:tc>
        <w:tc>
          <w:tcPr>
            <w:tcW w:w="0" w:type="auto"/>
            <w:shd w:val="clear" w:color="auto" w:fill="auto"/>
            <w:vAlign w:val="center"/>
          </w:tcPr>
          <w:p w14:paraId="7FED49D0" w14:textId="77777777" w:rsidR="002F0133" w:rsidRPr="000B4E2C" w:rsidRDefault="002F0133" w:rsidP="008A7464">
            <w:pPr>
              <w:spacing w:line="276" w:lineRule="auto"/>
              <w:jc w:val="center"/>
              <w:rPr>
                <w:lang w:eastAsia="en-GB"/>
              </w:rPr>
            </w:pPr>
            <w:r w:rsidRPr="000B4E2C">
              <w:rPr>
                <w:lang w:eastAsia="en-GB"/>
              </w:rPr>
              <w:t>71</w:t>
            </w:r>
          </w:p>
        </w:tc>
        <w:tc>
          <w:tcPr>
            <w:tcW w:w="0" w:type="auto"/>
            <w:shd w:val="clear" w:color="auto" w:fill="auto"/>
            <w:vAlign w:val="center"/>
          </w:tcPr>
          <w:p w14:paraId="4D35B629" w14:textId="77777777" w:rsidR="002F0133" w:rsidRPr="000B4E2C" w:rsidRDefault="002F0133" w:rsidP="008A7464">
            <w:pPr>
              <w:spacing w:line="276" w:lineRule="auto"/>
              <w:jc w:val="center"/>
              <w:rPr>
                <w:lang w:eastAsia="en-GB"/>
              </w:rPr>
            </w:pPr>
            <w:r w:rsidRPr="000B4E2C">
              <w:rPr>
                <w:lang w:eastAsia="en-GB"/>
              </w:rPr>
              <w:t>KDIGO stage 2/3</w:t>
            </w:r>
          </w:p>
        </w:tc>
        <w:tc>
          <w:tcPr>
            <w:tcW w:w="0" w:type="auto"/>
            <w:shd w:val="clear" w:color="auto" w:fill="auto"/>
          </w:tcPr>
          <w:p w14:paraId="209A17A4" w14:textId="77777777" w:rsidR="002F0133" w:rsidRPr="000B4E2C" w:rsidRDefault="002F0133" w:rsidP="008A7464">
            <w:pPr>
              <w:spacing w:line="276" w:lineRule="auto"/>
              <w:jc w:val="center"/>
              <w:rPr>
                <w:lang w:eastAsia="en-GB"/>
              </w:rPr>
            </w:pPr>
            <w:r w:rsidRPr="000B4E2C">
              <w:rPr>
                <w:lang w:eastAsia="en-GB"/>
              </w:rPr>
              <w:t>Within 12 hours of admission</w:t>
            </w:r>
          </w:p>
        </w:tc>
      </w:tr>
      <w:tr w:rsidR="002F0133" w:rsidRPr="000B4E2C" w14:paraId="7C12AC0B" w14:textId="77777777" w:rsidTr="000B4E2C">
        <w:trPr>
          <w:cantSplit/>
        </w:trPr>
        <w:tc>
          <w:tcPr>
            <w:tcW w:w="0" w:type="auto"/>
            <w:shd w:val="clear" w:color="auto" w:fill="auto"/>
            <w:vAlign w:val="center"/>
          </w:tcPr>
          <w:p w14:paraId="3FD8CC8E" w14:textId="77777777" w:rsidR="000B4E2C" w:rsidRPr="000B4E2C" w:rsidRDefault="002F0133" w:rsidP="008A7464">
            <w:pPr>
              <w:spacing w:line="276" w:lineRule="auto"/>
              <w:rPr>
                <w:lang w:eastAsia="en-GB"/>
              </w:rPr>
            </w:pPr>
            <w:r w:rsidRPr="000B4E2C">
              <w:rPr>
                <w:lang w:eastAsia="en-GB"/>
              </w:rPr>
              <w:lastRenderedPageBreak/>
              <w:t>Di Leo</w:t>
            </w:r>
            <w:r w:rsidR="00666CB6" w:rsidRPr="000B4E2C">
              <w:rPr>
                <w:lang w:eastAsia="en-GB"/>
              </w:rPr>
              <w:t xml:space="preserve"> 2018</w:t>
            </w:r>
            <w:r w:rsidR="00024FA4" w:rsidRPr="000B4E2C">
              <w:rPr>
                <w:lang w:eastAsia="en-GB"/>
              </w:rPr>
              <w:t>,</w:t>
            </w:r>
            <w:r w:rsidR="005B5026" w:rsidRPr="000B4E2C">
              <w:rPr>
                <w:noProof/>
                <w:vertAlign w:val="superscript"/>
                <w:lang w:eastAsia="en-GB"/>
              </w:rPr>
              <w:t>32</w:t>
            </w:r>
            <w:r w:rsidRPr="000B4E2C">
              <w:rPr>
                <w:lang w:eastAsia="en-GB"/>
              </w:rPr>
              <w:t xml:space="preserve"> Italy</w:t>
            </w:r>
          </w:p>
          <w:p w14:paraId="127C3318" w14:textId="799763B3" w:rsidR="002F0133" w:rsidRPr="000B4E2C" w:rsidRDefault="002F0133" w:rsidP="002F0133">
            <w:pPr>
              <w:numPr>
                <w:ilvl w:val="0"/>
                <w:numId w:val="33"/>
              </w:numPr>
              <w:spacing w:line="276" w:lineRule="auto"/>
              <w:contextualSpacing/>
              <w:jc w:val="both"/>
              <w:rPr>
                <w:lang w:eastAsia="en-GB"/>
              </w:rPr>
            </w:pPr>
            <w:r w:rsidRPr="000B4E2C">
              <w:rPr>
                <w:lang w:eastAsia="en-GB"/>
              </w:rPr>
              <w:t>Xie</w:t>
            </w:r>
            <w:r w:rsidR="00666CB6" w:rsidRPr="000B4E2C">
              <w:rPr>
                <w:lang w:eastAsia="en-GB"/>
              </w:rPr>
              <w:t xml:space="preserve"> 2019</w:t>
            </w:r>
            <w:r w:rsidR="005B5026" w:rsidRPr="000B4E2C">
              <w:rPr>
                <w:noProof/>
                <w:vertAlign w:val="superscript"/>
                <w:lang w:eastAsia="en-GB"/>
              </w:rPr>
              <w:t>33</w:t>
            </w:r>
          </w:p>
        </w:tc>
        <w:tc>
          <w:tcPr>
            <w:tcW w:w="0" w:type="auto"/>
            <w:shd w:val="clear" w:color="auto" w:fill="auto"/>
            <w:vAlign w:val="center"/>
          </w:tcPr>
          <w:p w14:paraId="41C0D97D" w14:textId="77777777" w:rsidR="002F0133" w:rsidRPr="000B4E2C" w:rsidRDefault="002F0133" w:rsidP="008A7464">
            <w:pPr>
              <w:spacing w:line="276" w:lineRule="auto"/>
              <w:jc w:val="center"/>
              <w:rPr>
                <w:lang w:eastAsia="en-GB"/>
              </w:rPr>
            </w:pPr>
            <w:r w:rsidRPr="000B4E2C">
              <w:rPr>
                <w:lang w:eastAsia="en-GB"/>
              </w:rPr>
              <w:t>NephroCheck, Astute Medical</w:t>
            </w:r>
          </w:p>
        </w:tc>
        <w:tc>
          <w:tcPr>
            <w:tcW w:w="0" w:type="auto"/>
            <w:shd w:val="clear" w:color="auto" w:fill="auto"/>
            <w:vAlign w:val="center"/>
          </w:tcPr>
          <w:p w14:paraId="1E646BFA" w14:textId="78E3F647"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(ICU/ITU)</w:t>
            </w:r>
          </w:p>
        </w:tc>
        <w:tc>
          <w:tcPr>
            <w:tcW w:w="0" w:type="auto"/>
            <w:shd w:val="clear" w:color="auto" w:fill="auto"/>
            <w:vAlign w:val="center"/>
          </w:tcPr>
          <w:p w14:paraId="0D8F07F3" w14:textId="77777777" w:rsidR="002F0133" w:rsidRPr="000B4E2C" w:rsidRDefault="002F0133" w:rsidP="008A7464">
            <w:pPr>
              <w:spacing w:line="276" w:lineRule="auto"/>
              <w:jc w:val="center"/>
              <w:rPr>
                <w:lang w:eastAsia="en-GB"/>
              </w:rPr>
            </w:pPr>
            <w:r w:rsidRPr="000B4E2C">
              <w:rPr>
                <w:lang w:eastAsia="en-GB"/>
              </w:rPr>
              <w:t>68 (51, 78) *</w:t>
            </w:r>
          </w:p>
        </w:tc>
        <w:tc>
          <w:tcPr>
            <w:tcW w:w="0" w:type="auto"/>
            <w:shd w:val="clear" w:color="auto" w:fill="auto"/>
            <w:vAlign w:val="center"/>
          </w:tcPr>
          <w:p w14:paraId="4330BC9C" w14:textId="77777777" w:rsidR="002F0133" w:rsidRPr="000B4E2C" w:rsidRDefault="002F0133" w:rsidP="008A7464">
            <w:pPr>
              <w:spacing w:line="276" w:lineRule="auto"/>
              <w:jc w:val="center"/>
              <w:rPr>
                <w:lang w:eastAsia="en-GB"/>
              </w:rPr>
            </w:pPr>
            <w:r w:rsidRPr="000B4E2C">
              <w:rPr>
                <w:lang w:eastAsia="en-GB"/>
              </w:rPr>
              <w:t>719</w:t>
            </w:r>
          </w:p>
        </w:tc>
        <w:tc>
          <w:tcPr>
            <w:tcW w:w="0" w:type="auto"/>
            <w:shd w:val="clear" w:color="auto" w:fill="auto"/>
            <w:vAlign w:val="center"/>
          </w:tcPr>
          <w:p w14:paraId="3FC08384" w14:textId="77777777" w:rsidR="002F0133" w:rsidRPr="000B4E2C" w:rsidRDefault="002F0133" w:rsidP="008A7464">
            <w:pPr>
              <w:spacing w:line="276" w:lineRule="auto"/>
              <w:jc w:val="center"/>
              <w:rPr>
                <w:lang w:eastAsia="en-GB"/>
              </w:rPr>
            </w:pPr>
            <w:r w:rsidRPr="000B4E2C">
              <w:rPr>
                <w:lang w:eastAsia="en-GB"/>
              </w:rPr>
              <w:t>234</w:t>
            </w:r>
          </w:p>
        </w:tc>
        <w:tc>
          <w:tcPr>
            <w:tcW w:w="0" w:type="auto"/>
            <w:shd w:val="clear" w:color="auto" w:fill="auto"/>
            <w:vAlign w:val="center"/>
          </w:tcPr>
          <w:p w14:paraId="5782266F" w14:textId="77777777" w:rsidR="002F0133" w:rsidRPr="000B4E2C" w:rsidRDefault="002F0133" w:rsidP="008A7464">
            <w:pPr>
              <w:spacing w:line="276" w:lineRule="auto"/>
              <w:jc w:val="center"/>
              <w:rPr>
                <w:lang w:eastAsia="en-GB"/>
              </w:rPr>
            </w:pPr>
            <w:r w:rsidRPr="000B4E2C">
              <w:rPr>
                <w:lang w:eastAsia="en-GB"/>
              </w:rPr>
              <w:t>KDIGO</w:t>
            </w:r>
          </w:p>
        </w:tc>
        <w:tc>
          <w:tcPr>
            <w:tcW w:w="0" w:type="auto"/>
            <w:shd w:val="clear" w:color="auto" w:fill="auto"/>
          </w:tcPr>
          <w:p w14:paraId="3709551B" w14:textId="77777777" w:rsidR="002F0133" w:rsidRPr="000B4E2C" w:rsidRDefault="002F0133" w:rsidP="008A7464">
            <w:pPr>
              <w:spacing w:line="276" w:lineRule="auto"/>
              <w:jc w:val="center"/>
              <w:rPr>
                <w:lang w:eastAsia="en-GB"/>
              </w:rPr>
            </w:pPr>
            <w:r w:rsidRPr="000B4E2C">
              <w:rPr>
                <w:lang w:eastAsia="en-GB"/>
              </w:rPr>
              <w:t>Within 24 hours of admission</w:t>
            </w:r>
          </w:p>
        </w:tc>
      </w:tr>
      <w:tr w:rsidR="002F0133" w:rsidRPr="000B4E2C" w14:paraId="3D5233B4" w14:textId="77777777" w:rsidTr="000B4E2C">
        <w:trPr>
          <w:cantSplit/>
        </w:trPr>
        <w:tc>
          <w:tcPr>
            <w:tcW w:w="0" w:type="auto"/>
            <w:shd w:val="clear" w:color="auto" w:fill="auto"/>
            <w:vAlign w:val="center"/>
          </w:tcPr>
          <w:p w14:paraId="735F2DE2" w14:textId="232FD6B2" w:rsidR="002F0133" w:rsidRPr="000B4E2C" w:rsidRDefault="002F0133" w:rsidP="008A7464">
            <w:pPr>
              <w:spacing w:line="276" w:lineRule="auto"/>
              <w:rPr>
                <w:lang w:eastAsia="en-GB"/>
              </w:rPr>
            </w:pPr>
            <w:r w:rsidRPr="000B4E2C">
              <w:rPr>
                <w:lang w:eastAsia="en-GB"/>
              </w:rPr>
              <w:t>Gayat</w:t>
            </w:r>
            <w:r w:rsidR="00666CB6" w:rsidRPr="000B4E2C">
              <w:rPr>
                <w:lang w:eastAsia="en-GB"/>
              </w:rPr>
              <w:t xml:space="preserve"> 2018</w:t>
            </w:r>
            <w:r w:rsidR="00024FA4" w:rsidRPr="000B4E2C">
              <w:rPr>
                <w:lang w:eastAsia="en-GB"/>
              </w:rPr>
              <w:t>,</w:t>
            </w:r>
            <w:r w:rsidR="005B5026" w:rsidRPr="000B4E2C">
              <w:rPr>
                <w:noProof/>
                <w:vertAlign w:val="superscript"/>
                <w:lang w:eastAsia="en-GB"/>
              </w:rPr>
              <w:t>34</w:t>
            </w:r>
            <w:r w:rsidR="00024FA4" w:rsidRPr="000B4E2C">
              <w:rPr>
                <w:lang w:eastAsia="en-GB"/>
              </w:rPr>
              <w:t xml:space="preserve"> </w:t>
            </w:r>
            <w:r w:rsidRPr="000B4E2C">
              <w:rPr>
                <w:lang w:eastAsia="en-GB"/>
              </w:rPr>
              <w:t>France and Belgium</w:t>
            </w:r>
          </w:p>
        </w:tc>
        <w:tc>
          <w:tcPr>
            <w:tcW w:w="0" w:type="auto"/>
            <w:shd w:val="clear" w:color="auto" w:fill="auto"/>
            <w:vAlign w:val="center"/>
          </w:tcPr>
          <w:p w14:paraId="25703C1A" w14:textId="77777777" w:rsidR="002F0133" w:rsidRPr="000B4E2C" w:rsidRDefault="002F0133" w:rsidP="008A7464">
            <w:pPr>
              <w:spacing w:line="276" w:lineRule="auto"/>
              <w:jc w:val="center"/>
              <w:rPr>
                <w:lang w:eastAsia="en-GB"/>
              </w:rPr>
            </w:pPr>
            <w:r w:rsidRPr="000B4E2C">
              <w:rPr>
                <w:lang w:eastAsia="en-GB"/>
              </w:rPr>
              <w:t>NephroCheck, Astute Medical</w:t>
            </w:r>
          </w:p>
        </w:tc>
        <w:tc>
          <w:tcPr>
            <w:tcW w:w="0" w:type="auto"/>
            <w:shd w:val="clear" w:color="auto" w:fill="auto"/>
            <w:vAlign w:val="center"/>
          </w:tcPr>
          <w:p w14:paraId="5DBE74CE" w14:textId="348A3CEC" w:rsidR="002F0133" w:rsidRPr="000B4E2C" w:rsidRDefault="002F0133" w:rsidP="008A7464">
            <w:pPr>
              <w:spacing w:before="240" w:line="276" w:lineRule="auto"/>
              <w:jc w:val="center"/>
              <w:rPr>
                <w:lang w:eastAsia="en-GB"/>
              </w:rPr>
            </w:pPr>
            <w:r w:rsidRPr="000B4E2C">
              <w:t>Critical care</w:t>
            </w:r>
            <w:r w:rsidR="000B4E2C" w:rsidRPr="000B4E2C">
              <w:rPr>
                <w:color w:val="00B0F0"/>
              </w:rPr>
              <w:t xml:space="preserve"> – </w:t>
            </w:r>
            <w:r w:rsidRPr="000B4E2C">
              <w:t>mixed population (ICU, mainly sepsis)</w:t>
            </w:r>
          </w:p>
        </w:tc>
        <w:tc>
          <w:tcPr>
            <w:tcW w:w="0" w:type="auto"/>
            <w:shd w:val="clear" w:color="auto" w:fill="auto"/>
            <w:vAlign w:val="center"/>
          </w:tcPr>
          <w:p w14:paraId="6E93E7FD" w14:textId="77777777" w:rsidR="002F0133" w:rsidRPr="000B4E2C" w:rsidRDefault="002F0133" w:rsidP="008A7464">
            <w:pPr>
              <w:spacing w:line="276" w:lineRule="auto"/>
              <w:jc w:val="center"/>
              <w:rPr>
                <w:lang w:eastAsia="en-GB"/>
              </w:rPr>
            </w:pPr>
            <w:r w:rsidRPr="000B4E2C">
              <w:rPr>
                <w:lang w:eastAsia="en-GB"/>
              </w:rPr>
              <w:t>65 (54, 75) *</w:t>
            </w:r>
          </w:p>
        </w:tc>
        <w:tc>
          <w:tcPr>
            <w:tcW w:w="0" w:type="auto"/>
            <w:shd w:val="clear" w:color="auto" w:fill="auto"/>
            <w:vAlign w:val="center"/>
          </w:tcPr>
          <w:p w14:paraId="3B37B6FE" w14:textId="77777777" w:rsidR="002F0133" w:rsidRPr="000B4E2C" w:rsidRDefault="002F0133" w:rsidP="008A7464">
            <w:pPr>
              <w:spacing w:line="276" w:lineRule="auto"/>
              <w:jc w:val="center"/>
              <w:rPr>
                <w:lang w:eastAsia="en-GB"/>
              </w:rPr>
            </w:pPr>
            <w:r w:rsidRPr="000B4E2C">
              <w:rPr>
                <w:lang w:eastAsia="en-GB"/>
              </w:rPr>
              <w:t>200</w:t>
            </w:r>
          </w:p>
        </w:tc>
        <w:tc>
          <w:tcPr>
            <w:tcW w:w="0" w:type="auto"/>
            <w:shd w:val="clear" w:color="auto" w:fill="auto"/>
            <w:vAlign w:val="center"/>
          </w:tcPr>
          <w:p w14:paraId="6373FF45" w14:textId="77777777" w:rsidR="002F0133" w:rsidRPr="000B4E2C" w:rsidRDefault="002F0133" w:rsidP="008A7464">
            <w:pPr>
              <w:spacing w:line="276" w:lineRule="auto"/>
              <w:jc w:val="center"/>
              <w:rPr>
                <w:lang w:eastAsia="en-GB"/>
              </w:rPr>
            </w:pPr>
            <w:r w:rsidRPr="000B4E2C">
              <w:rPr>
                <w:lang w:eastAsia="en-GB"/>
              </w:rPr>
              <w:t>Unclear</w:t>
            </w:r>
          </w:p>
        </w:tc>
        <w:tc>
          <w:tcPr>
            <w:tcW w:w="0" w:type="auto"/>
            <w:shd w:val="clear" w:color="auto" w:fill="auto"/>
            <w:vAlign w:val="center"/>
          </w:tcPr>
          <w:p w14:paraId="7414E177" w14:textId="77777777" w:rsidR="002F0133" w:rsidRPr="000B4E2C" w:rsidRDefault="002F0133" w:rsidP="008A7464">
            <w:pPr>
              <w:spacing w:line="276" w:lineRule="auto"/>
              <w:jc w:val="center"/>
              <w:rPr>
                <w:lang w:eastAsia="en-GB"/>
              </w:rPr>
            </w:pPr>
            <w:r w:rsidRPr="000B4E2C">
              <w:rPr>
                <w:lang w:eastAsia="en-GB"/>
              </w:rPr>
              <w:t>KDIGO</w:t>
            </w:r>
          </w:p>
        </w:tc>
        <w:tc>
          <w:tcPr>
            <w:tcW w:w="0" w:type="auto"/>
            <w:shd w:val="clear" w:color="auto" w:fill="auto"/>
          </w:tcPr>
          <w:p w14:paraId="601A858B" w14:textId="77777777" w:rsidR="002F0133" w:rsidRPr="000B4E2C" w:rsidRDefault="002F0133" w:rsidP="008A7464">
            <w:pPr>
              <w:spacing w:line="276" w:lineRule="auto"/>
              <w:jc w:val="center"/>
              <w:rPr>
                <w:lang w:eastAsia="en-GB"/>
              </w:rPr>
            </w:pPr>
            <w:r w:rsidRPr="000B4E2C">
              <w:rPr>
                <w:lang w:eastAsia="en-GB"/>
              </w:rPr>
              <w:t>Within 48 hours of admission</w:t>
            </w:r>
          </w:p>
          <w:p w14:paraId="74821450" w14:textId="77777777" w:rsidR="002F0133" w:rsidRPr="000B4E2C" w:rsidRDefault="002F0133" w:rsidP="008A7464">
            <w:pPr>
              <w:jc w:val="center"/>
              <w:rPr>
                <w:lang w:eastAsia="en-GB"/>
              </w:rPr>
            </w:pPr>
          </w:p>
        </w:tc>
      </w:tr>
      <w:tr w:rsidR="002F0133" w:rsidRPr="000B4E2C" w14:paraId="2A3594EB" w14:textId="77777777" w:rsidTr="000B4E2C">
        <w:trPr>
          <w:cantSplit/>
        </w:trPr>
        <w:tc>
          <w:tcPr>
            <w:tcW w:w="0" w:type="auto"/>
            <w:shd w:val="clear" w:color="auto" w:fill="auto"/>
            <w:vAlign w:val="center"/>
          </w:tcPr>
          <w:p w14:paraId="159656F0" w14:textId="56769F0D" w:rsidR="002F0133" w:rsidRPr="000B4E2C" w:rsidRDefault="002F0133" w:rsidP="008A7464">
            <w:pPr>
              <w:spacing w:line="276" w:lineRule="auto"/>
              <w:rPr>
                <w:lang w:eastAsia="en-GB"/>
              </w:rPr>
            </w:pPr>
            <w:r w:rsidRPr="000B4E2C">
              <w:rPr>
                <w:lang w:eastAsia="en-GB"/>
              </w:rPr>
              <w:t>Hoste</w:t>
            </w:r>
            <w:r w:rsidR="00666CB6" w:rsidRPr="000B4E2C">
              <w:rPr>
                <w:lang w:eastAsia="en-GB"/>
              </w:rPr>
              <w:t xml:space="preserve"> 2014</w:t>
            </w:r>
            <w:r w:rsidR="00024FA4" w:rsidRPr="000B4E2C">
              <w:rPr>
                <w:lang w:eastAsia="en-GB"/>
              </w:rPr>
              <w:t>,</w:t>
            </w:r>
            <w:r w:rsidR="005B5026" w:rsidRPr="000B4E2C">
              <w:rPr>
                <w:noProof/>
                <w:vertAlign w:val="superscript"/>
                <w:lang w:eastAsia="en-GB"/>
              </w:rPr>
              <w:t>35</w:t>
            </w:r>
            <w:r w:rsidRPr="000B4E2C">
              <w:rPr>
                <w:lang w:eastAsia="en-GB"/>
              </w:rPr>
              <w:t xml:space="preserve"> USA</w:t>
            </w:r>
          </w:p>
        </w:tc>
        <w:tc>
          <w:tcPr>
            <w:tcW w:w="0" w:type="auto"/>
            <w:shd w:val="clear" w:color="auto" w:fill="auto"/>
            <w:vAlign w:val="center"/>
          </w:tcPr>
          <w:p w14:paraId="4391E0CC" w14:textId="77777777" w:rsidR="002F0133" w:rsidRPr="000B4E2C" w:rsidRDefault="002F0133" w:rsidP="008A7464">
            <w:pPr>
              <w:spacing w:line="276" w:lineRule="auto"/>
              <w:jc w:val="center"/>
              <w:rPr>
                <w:lang w:eastAsia="en-GB"/>
              </w:rPr>
            </w:pPr>
            <w:r w:rsidRPr="000B4E2C">
              <w:rPr>
                <w:lang w:eastAsia="en-GB"/>
              </w:rPr>
              <w:t>NephroCheck, Astute Medical</w:t>
            </w:r>
          </w:p>
        </w:tc>
        <w:tc>
          <w:tcPr>
            <w:tcW w:w="0" w:type="auto"/>
            <w:shd w:val="clear" w:color="auto" w:fill="auto"/>
            <w:vAlign w:val="center"/>
          </w:tcPr>
          <w:p w14:paraId="4E69C102" w14:textId="350AE292"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(ICU/ITU)</w:t>
            </w:r>
          </w:p>
        </w:tc>
        <w:tc>
          <w:tcPr>
            <w:tcW w:w="0" w:type="auto"/>
            <w:shd w:val="clear" w:color="auto" w:fill="auto"/>
            <w:vAlign w:val="center"/>
          </w:tcPr>
          <w:p w14:paraId="4A1E4DD5" w14:textId="77777777" w:rsidR="002F0133" w:rsidRPr="000B4E2C" w:rsidRDefault="002F0133" w:rsidP="008A7464">
            <w:pPr>
              <w:spacing w:line="276" w:lineRule="auto"/>
              <w:jc w:val="center"/>
              <w:rPr>
                <w:lang w:eastAsia="en-GB"/>
              </w:rPr>
            </w:pPr>
            <w:r w:rsidRPr="000B4E2C">
              <w:rPr>
                <w:lang w:eastAsia="en-GB"/>
              </w:rPr>
              <w:t>AKI (stage 2/3)</w:t>
            </w:r>
          </w:p>
          <w:p w14:paraId="079CB1A2" w14:textId="77777777" w:rsidR="002F0133" w:rsidRPr="000B4E2C" w:rsidRDefault="002F0133" w:rsidP="008A7464">
            <w:pPr>
              <w:spacing w:line="276" w:lineRule="auto"/>
              <w:jc w:val="center"/>
              <w:rPr>
                <w:lang w:eastAsia="en-GB"/>
              </w:rPr>
            </w:pPr>
            <w:r w:rsidRPr="000B4E2C">
              <w:rPr>
                <w:lang w:eastAsia="en-GB"/>
              </w:rPr>
              <w:t>64 (54, 75);</w:t>
            </w:r>
          </w:p>
          <w:p w14:paraId="215751BF" w14:textId="77777777" w:rsidR="002F0133" w:rsidRPr="000B4E2C" w:rsidRDefault="002F0133" w:rsidP="008A7464">
            <w:pPr>
              <w:spacing w:line="276" w:lineRule="auto"/>
              <w:jc w:val="center"/>
              <w:rPr>
                <w:lang w:eastAsia="en-GB"/>
              </w:rPr>
            </w:pPr>
            <w:r w:rsidRPr="000B4E2C">
              <w:rPr>
                <w:lang w:eastAsia="en-GB"/>
              </w:rPr>
              <w:t>No AKI (stage 0/1)</w:t>
            </w:r>
          </w:p>
          <w:p w14:paraId="2DE7C136" w14:textId="77777777" w:rsidR="002F0133" w:rsidRPr="000B4E2C" w:rsidRDefault="002F0133" w:rsidP="008A7464">
            <w:pPr>
              <w:spacing w:line="276" w:lineRule="auto"/>
              <w:jc w:val="center"/>
              <w:rPr>
                <w:lang w:eastAsia="en-GB"/>
              </w:rPr>
            </w:pPr>
            <w:r w:rsidRPr="000B4E2C">
              <w:rPr>
                <w:lang w:eastAsia="en-GB"/>
              </w:rPr>
              <w:t>65 (54, 78) *</w:t>
            </w:r>
          </w:p>
        </w:tc>
        <w:tc>
          <w:tcPr>
            <w:tcW w:w="0" w:type="auto"/>
            <w:shd w:val="clear" w:color="auto" w:fill="auto"/>
            <w:vAlign w:val="center"/>
          </w:tcPr>
          <w:p w14:paraId="2EEC10A1" w14:textId="77777777" w:rsidR="002F0133" w:rsidRPr="000B4E2C" w:rsidRDefault="002F0133" w:rsidP="008A7464">
            <w:pPr>
              <w:spacing w:line="276" w:lineRule="auto"/>
              <w:jc w:val="center"/>
              <w:rPr>
                <w:lang w:eastAsia="en-GB"/>
              </w:rPr>
            </w:pPr>
            <w:r w:rsidRPr="000B4E2C">
              <w:rPr>
                <w:lang w:eastAsia="en-GB"/>
              </w:rPr>
              <w:t>153</w:t>
            </w:r>
          </w:p>
        </w:tc>
        <w:tc>
          <w:tcPr>
            <w:tcW w:w="0" w:type="auto"/>
            <w:shd w:val="clear" w:color="auto" w:fill="auto"/>
            <w:vAlign w:val="center"/>
          </w:tcPr>
          <w:p w14:paraId="3146CC6D" w14:textId="77777777" w:rsidR="002F0133" w:rsidRPr="000B4E2C" w:rsidRDefault="002F0133" w:rsidP="008A7464">
            <w:pPr>
              <w:spacing w:line="276" w:lineRule="auto"/>
              <w:jc w:val="center"/>
              <w:rPr>
                <w:lang w:eastAsia="en-GB"/>
              </w:rPr>
            </w:pPr>
            <w:r w:rsidRPr="000B4E2C">
              <w:rPr>
                <w:lang w:eastAsia="en-GB"/>
              </w:rPr>
              <w:t>27</w:t>
            </w:r>
          </w:p>
        </w:tc>
        <w:tc>
          <w:tcPr>
            <w:tcW w:w="0" w:type="auto"/>
            <w:shd w:val="clear" w:color="auto" w:fill="auto"/>
            <w:vAlign w:val="center"/>
          </w:tcPr>
          <w:p w14:paraId="041D4692" w14:textId="77777777" w:rsidR="002F0133" w:rsidRPr="000B4E2C" w:rsidRDefault="002F0133" w:rsidP="008A7464">
            <w:pPr>
              <w:spacing w:line="276" w:lineRule="auto"/>
              <w:jc w:val="center"/>
              <w:rPr>
                <w:lang w:eastAsia="en-GB"/>
              </w:rPr>
            </w:pPr>
            <w:r w:rsidRPr="000B4E2C">
              <w:rPr>
                <w:lang w:eastAsia="en-GB"/>
              </w:rPr>
              <w:t>KDIGO stage 2/3</w:t>
            </w:r>
          </w:p>
        </w:tc>
        <w:tc>
          <w:tcPr>
            <w:tcW w:w="0" w:type="auto"/>
            <w:shd w:val="clear" w:color="auto" w:fill="auto"/>
          </w:tcPr>
          <w:p w14:paraId="722901C3" w14:textId="77777777" w:rsidR="002F0133" w:rsidRPr="000B4E2C" w:rsidRDefault="002F0133" w:rsidP="008A7464">
            <w:pPr>
              <w:spacing w:line="276" w:lineRule="auto"/>
              <w:jc w:val="center"/>
              <w:rPr>
                <w:lang w:eastAsia="en-GB"/>
              </w:rPr>
            </w:pPr>
            <w:r w:rsidRPr="000B4E2C">
              <w:rPr>
                <w:lang w:eastAsia="en-GB"/>
              </w:rPr>
              <w:t>Within 12 hours of admission</w:t>
            </w:r>
          </w:p>
        </w:tc>
      </w:tr>
      <w:tr w:rsidR="002F0133" w:rsidRPr="000B4E2C" w14:paraId="6F3724EA" w14:textId="77777777" w:rsidTr="000B4E2C">
        <w:trPr>
          <w:cantSplit/>
        </w:trPr>
        <w:tc>
          <w:tcPr>
            <w:tcW w:w="0" w:type="auto"/>
            <w:shd w:val="clear" w:color="auto" w:fill="auto"/>
            <w:vAlign w:val="center"/>
          </w:tcPr>
          <w:p w14:paraId="649ED79B" w14:textId="08CCF855" w:rsidR="002F0133" w:rsidRPr="000B4E2C" w:rsidRDefault="002F0133" w:rsidP="008A7464">
            <w:pPr>
              <w:spacing w:line="276" w:lineRule="auto"/>
              <w:rPr>
                <w:lang w:eastAsia="en-GB"/>
              </w:rPr>
            </w:pPr>
            <w:r w:rsidRPr="000B4E2C">
              <w:rPr>
                <w:lang w:eastAsia="en-GB"/>
              </w:rPr>
              <w:t>Kashani 2013</w:t>
            </w:r>
            <w:r w:rsidR="00024FA4" w:rsidRPr="000B4E2C">
              <w:rPr>
                <w:lang w:eastAsia="en-GB"/>
              </w:rPr>
              <w:t>,</w:t>
            </w:r>
            <w:r w:rsidR="005B5026" w:rsidRPr="000B4E2C">
              <w:rPr>
                <w:noProof/>
                <w:vertAlign w:val="superscript"/>
                <w:lang w:eastAsia="en-GB"/>
              </w:rPr>
              <w:t>36</w:t>
            </w:r>
            <w:r w:rsidR="00024FA4" w:rsidRPr="000B4E2C">
              <w:rPr>
                <w:lang w:eastAsia="en-GB"/>
              </w:rPr>
              <w:t xml:space="preserve"> </w:t>
            </w:r>
            <w:r w:rsidRPr="000B4E2C">
              <w:rPr>
                <w:lang w:eastAsia="en-GB"/>
              </w:rPr>
              <w:t>North America (21 sites) and Europe (15 sites)</w:t>
            </w:r>
          </w:p>
        </w:tc>
        <w:tc>
          <w:tcPr>
            <w:tcW w:w="0" w:type="auto"/>
            <w:shd w:val="clear" w:color="auto" w:fill="auto"/>
            <w:vAlign w:val="center"/>
          </w:tcPr>
          <w:p w14:paraId="3CC24627" w14:textId="77777777" w:rsidR="002F0133" w:rsidRPr="000B4E2C" w:rsidRDefault="002F0133" w:rsidP="008A7464">
            <w:pPr>
              <w:spacing w:line="276" w:lineRule="auto"/>
              <w:jc w:val="center"/>
              <w:rPr>
                <w:lang w:eastAsia="en-GB"/>
              </w:rPr>
            </w:pPr>
            <w:r w:rsidRPr="000B4E2C">
              <w:rPr>
                <w:lang w:eastAsia="en-GB"/>
              </w:rPr>
              <w:t>NephroCheck, Astute Medical</w:t>
            </w:r>
          </w:p>
        </w:tc>
        <w:tc>
          <w:tcPr>
            <w:tcW w:w="0" w:type="auto"/>
            <w:shd w:val="clear" w:color="auto" w:fill="auto"/>
            <w:vAlign w:val="center"/>
          </w:tcPr>
          <w:p w14:paraId="040A0EC7" w14:textId="67105879"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(ICU/ITU)</w:t>
            </w:r>
          </w:p>
        </w:tc>
        <w:tc>
          <w:tcPr>
            <w:tcW w:w="0" w:type="auto"/>
            <w:shd w:val="clear" w:color="auto" w:fill="auto"/>
            <w:vAlign w:val="center"/>
          </w:tcPr>
          <w:p w14:paraId="10E59C26" w14:textId="77777777" w:rsidR="002F0133" w:rsidRPr="000B4E2C" w:rsidRDefault="002F0133" w:rsidP="008A7464">
            <w:pPr>
              <w:spacing w:line="276" w:lineRule="auto"/>
              <w:jc w:val="center"/>
              <w:rPr>
                <w:lang w:eastAsia="en-GB"/>
              </w:rPr>
            </w:pPr>
            <w:r w:rsidRPr="000B4E2C">
              <w:rPr>
                <w:lang w:eastAsia="en-GB"/>
              </w:rPr>
              <w:t>64 (53, 73) *</w:t>
            </w:r>
          </w:p>
        </w:tc>
        <w:tc>
          <w:tcPr>
            <w:tcW w:w="0" w:type="auto"/>
            <w:shd w:val="clear" w:color="auto" w:fill="auto"/>
            <w:vAlign w:val="center"/>
          </w:tcPr>
          <w:p w14:paraId="53A40597" w14:textId="77777777" w:rsidR="002F0133" w:rsidRPr="000B4E2C" w:rsidRDefault="002F0133" w:rsidP="008A7464">
            <w:pPr>
              <w:spacing w:line="276" w:lineRule="auto"/>
              <w:jc w:val="center"/>
              <w:rPr>
                <w:lang w:eastAsia="en-GB"/>
              </w:rPr>
            </w:pPr>
            <w:r w:rsidRPr="000B4E2C">
              <w:rPr>
                <w:lang w:eastAsia="en-GB"/>
              </w:rPr>
              <w:t>728</w:t>
            </w:r>
          </w:p>
        </w:tc>
        <w:tc>
          <w:tcPr>
            <w:tcW w:w="0" w:type="auto"/>
            <w:shd w:val="clear" w:color="auto" w:fill="auto"/>
            <w:vAlign w:val="center"/>
          </w:tcPr>
          <w:p w14:paraId="56775D00" w14:textId="77777777" w:rsidR="002F0133" w:rsidRPr="000B4E2C" w:rsidRDefault="002F0133" w:rsidP="008A7464">
            <w:pPr>
              <w:spacing w:line="276" w:lineRule="auto"/>
              <w:jc w:val="center"/>
              <w:rPr>
                <w:lang w:eastAsia="en-GB"/>
              </w:rPr>
            </w:pPr>
            <w:r w:rsidRPr="000B4E2C">
              <w:rPr>
                <w:lang w:eastAsia="en-GB"/>
              </w:rPr>
              <w:t>101</w:t>
            </w:r>
          </w:p>
        </w:tc>
        <w:tc>
          <w:tcPr>
            <w:tcW w:w="0" w:type="auto"/>
            <w:shd w:val="clear" w:color="auto" w:fill="auto"/>
            <w:vAlign w:val="center"/>
          </w:tcPr>
          <w:p w14:paraId="3C37BF76" w14:textId="77777777" w:rsidR="002F0133" w:rsidRPr="000B4E2C" w:rsidRDefault="002F0133" w:rsidP="008A7464">
            <w:pPr>
              <w:spacing w:line="276" w:lineRule="auto"/>
              <w:jc w:val="center"/>
              <w:rPr>
                <w:lang w:eastAsia="en-GB"/>
              </w:rPr>
            </w:pPr>
            <w:r w:rsidRPr="000B4E2C">
              <w:rPr>
                <w:lang w:eastAsia="en-GB"/>
              </w:rPr>
              <w:t>KDIGO stage 2/3</w:t>
            </w:r>
          </w:p>
        </w:tc>
        <w:tc>
          <w:tcPr>
            <w:tcW w:w="0" w:type="auto"/>
            <w:shd w:val="clear" w:color="auto" w:fill="auto"/>
          </w:tcPr>
          <w:p w14:paraId="41B8F260" w14:textId="77777777" w:rsidR="002F0133" w:rsidRPr="000B4E2C" w:rsidRDefault="002F0133" w:rsidP="008A7464">
            <w:pPr>
              <w:spacing w:line="276" w:lineRule="auto"/>
              <w:jc w:val="center"/>
              <w:rPr>
                <w:lang w:eastAsia="en-GB"/>
              </w:rPr>
            </w:pPr>
            <w:r w:rsidRPr="000B4E2C">
              <w:rPr>
                <w:lang w:eastAsia="en-GB"/>
              </w:rPr>
              <w:t>Within 12 hours of biomarker measurement (biomarker measurement occurred within 18 hours of ICU admission)</w:t>
            </w:r>
          </w:p>
        </w:tc>
      </w:tr>
      <w:tr w:rsidR="002F0133" w:rsidRPr="000B4E2C" w14:paraId="72D7E1AC" w14:textId="77777777" w:rsidTr="000B4E2C">
        <w:trPr>
          <w:cantSplit/>
        </w:trPr>
        <w:tc>
          <w:tcPr>
            <w:tcW w:w="0" w:type="auto"/>
            <w:shd w:val="clear" w:color="auto" w:fill="auto"/>
            <w:vAlign w:val="center"/>
          </w:tcPr>
          <w:p w14:paraId="67EA768C" w14:textId="77777777" w:rsidR="000B4E2C" w:rsidRPr="000B4E2C" w:rsidRDefault="002F0133" w:rsidP="008A7464">
            <w:pPr>
              <w:spacing w:line="276" w:lineRule="auto"/>
              <w:rPr>
                <w:lang w:eastAsia="en-GB"/>
              </w:rPr>
            </w:pPr>
            <w:r w:rsidRPr="000B4E2C">
              <w:rPr>
                <w:lang w:eastAsia="en-GB"/>
              </w:rPr>
              <w:t>Kimmel 2016</w:t>
            </w:r>
            <w:r w:rsidR="00024FA4" w:rsidRPr="000B4E2C">
              <w:rPr>
                <w:lang w:eastAsia="en-GB"/>
              </w:rPr>
              <w:t>,</w:t>
            </w:r>
            <w:r w:rsidR="005B5026" w:rsidRPr="000B4E2C">
              <w:rPr>
                <w:noProof/>
                <w:vertAlign w:val="superscript"/>
                <w:lang w:eastAsia="en-GB"/>
              </w:rPr>
              <w:t>37</w:t>
            </w:r>
            <w:r w:rsidRPr="000B4E2C">
              <w:rPr>
                <w:lang w:eastAsia="en-GB"/>
              </w:rPr>
              <w:t xml:space="preserve"> Germany</w:t>
            </w:r>
          </w:p>
          <w:p w14:paraId="4633300D" w14:textId="7B2C273E" w:rsidR="002F0133" w:rsidRPr="000B4E2C" w:rsidRDefault="002F0133" w:rsidP="002F0133">
            <w:pPr>
              <w:numPr>
                <w:ilvl w:val="0"/>
                <w:numId w:val="34"/>
              </w:numPr>
              <w:spacing w:line="276" w:lineRule="auto"/>
              <w:contextualSpacing/>
              <w:rPr>
                <w:lang w:eastAsia="en-GB"/>
              </w:rPr>
            </w:pPr>
            <w:r w:rsidRPr="000B4E2C">
              <w:rPr>
                <w:lang w:eastAsia="en-GB"/>
              </w:rPr>
              <w:t>Kimmel 2016</w:t>
            </w:r>
            <w:r w:rsidR="005B5026" w:rsidRPr="000B4E2C">
              <w:rPr>
                <w:noProof/>
                <w:vertAlign w:val="superscript"/>
                <w:lang w:eastAsia="en-GB"/>
              </w:rPr>
              <w:t>38</w:t>
            </w:r>
          </w:p>
        </w:tc>
        <w:tc>
          <w:tcPr>
            <w:tcW w:w="0" w:type="auto"/>
            <w:shd w:val="clear" w:color="auto" w:fill="auto"/>
            <w:vAlign w:val="center"/>
          </w:tcPr>
          <w:p w14:paraId="34C72E2D" w14:textId="1280DD12" w:rsidR="002F0133" w:rsidRPr="000B4E2C" w:rsidRDefault="002F0133" w:rsidP="008A7464">
            <w:pPr>
              <w:spacing w:line="276" w:lineRule="auto"/>
              <w:jc w:val="center"/>
              <w:rPr>
                <w:lang w:eastAsia="en-GB"/>
              </w:rPr>
            </w:pPr>
            <w:r w:rsidRPr="000B4E2C">
              <w:rPr>
                <w:lang w:eastAsia="en-GB"/>
              </w:rPr>
              <w:t xml:space="preserve">NephroCheck, Astute Medical uNGAL, </w:t>
            </w:r>
            <w:r w:rsidR="009D7F5A" w:rsidRPr="000B4E2C">
              <w:rPr>
                <w:lang w:eastAsia="en-GB"/>
              </w:rPr>
              <w:t>BioPorto</w:t>
            </w:r>
            <w:r w:rsidRPr="000B4E2C">
              <w:rPr>
                <w:lang w:eastAsia="en-GB"/>
              </w:rPr>
              <w:t xml:space="preserve"> &amp; pNGAL </w:t>
            </w:r>
            <w:r w:rsidR="009D7F5A" w:rsidRPr="000B4E2C">
              <w:rPr>
                <w:lang w:eastAsia="en-GB"/>
              </w:rPr>
              <w:t>BioPorto</w:t>
            </w:r>
          </w:p>
        </w:tc>
        <w:tc>
          <w:tcPr>
            <w:tcW w:w="0" w:type="auto"/>
            <w:shd w:val="clear" w:color="auto" w:fill="auto"/>
            <w:vAlign w:val="center"/>
          </w:tcPr>
          <w:p w14:paraId="58434AD0" w14:textId="37DCB858"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(emergency department)</w:t>
            </w:r>
          </w:p>
        </w:tc>
        <w:tc>
          <w:tcPr>
            <w:tcW w:w="0" w:type="auto"/>
            <w:shd w:val="clear" w:color="auto" w:fill="auto"/>
            <w:vAlign w:val="center"/>
          </w:tcPr>
          <w:p w14:paraId="2899FEEE" w14:textId="77777777" w:rsidR="002F0133" w:rsidRPr="000B4E2C" w:rsidRDefault="002F0133" w:rsidP="008A7464">
            <w:pPr>
              <w:spacing w:line="276" w:lineRule="auto"/>
              <w:jc w:val="center"/>
              <w:rPr>
                <w:lang w:eastAsia="en-GB"/>
              </w:rPr>
            </w:pPr>
            <w:r w:rsidRPr="000B4E2C">
              <w:rPr>
                <w:lang w:eastAsia="en-GB"/>
              </w:rPr>
              <w:t>63 (14)</w:t>
            </w:r>
          </w:p>
        </w:tc>
        <w:tc>
          <w:tcPr>
            <w:tcW w:w="0" w:type="auto"/>
            <w:shd w:val="clear" w:color="auto" w:fill="auto"/>
            <w:vAlign w:val="center"/>
          </w:tcPr>
          <w:p w14:paraId="36D5C37B" w14:textId="77777777" w:rsidR="002F0133" w:rsidRPr="000B4E2C" w:rsidRDefault="002F0133" w:rsidP="008A7464">
            <w:pPr>
              <w:spacing w:line="276" w:lineRule="auto"/>
              <w:jc w:val="center"/>
              <w:rPr>
                <w:lang w:eastAsia="en-GB"/>
              </w:rPr>
            </w:pPr>
            <w:r w:rsidRPr="000B4E2C">
              <w:rPr>
                <w:lang w:eastAsia="en-GB"/>
              </w:rPr>
              <w:t>298</w:t>
            </w:r>
          </w:p>
        </w:tc>
        <w:tc>
          <w:tcPr>
            <w:tcW w:w="0" w:type="auto"/>
            <w:shd w:val="clear" w:color="auto" w:fill="auto"/>
            <w:vAlign w:val="center"/>
          </w:tcPr>
          <w:p w14:paraId="41B9296A" w14:textId="77777777" w:rsidR="002F0133" w:rsidRPr="000B4E2C" w:rsidRDefault="002F0133" w:rsidP="008A7464">
            <w:pPr>
              <w:spacing w:line="276" w:lineRule="auto"/>
              <w:jc w:val="center"/>
              <w:rPr>
                <w:lang w:eastAsia="en-GB"/>
              </w:rPr>
            </w:pPr>
            <w:r w:rsidRPr="000B4E2C">
              <w:rPr>
                <w:lang w:eastAsia="en-GB"/>
              </w:rPr>
              <w:t>46</w:t>
            </w:r>
          </w:p>
        </w:tc>
        <w:tc>
          <w:tcPr>
            <w:tcW w:w="0" w:type="auto"/>
            <w:shd w:val="clear" w:color="auto" w:fill="auto"/>
            <w:vAlign w:val="center"/>
          </w:tcPr>
          <w:p w14:paraId="77769847" w14:textId="77777777" w:rsidR="002F0133" w:rsidRPr="000B4E2C" w:rsidRDefault="002F0133" w:rsidP="008A7464">
            <w:pPr>
              <w:spacing w:line="276" w:lineRule="auto"/>
              <w:jc w:val="center"/>
              <w:rPr>
                <w:lang w:eastAsia="en-GB"/>
              </w:rPr>
            </w:pPr>
            <w:r w:rsidRPr="000B4E2C">
              <w:rPr>
                <w:lang w:eastAsia="en-GB"/>
              </w:rPr>
              <w:t>KDIGO (modified version) stage 2/3</w:t>
            </w:r>
          </w:p>
        </w:tc>
        <w:tc>
          <w:tcPr>
            <w:tcW w:w="0" w:type="auto"/>
            <w:shd w:val="clear" w:color="auto" w:fill="auto"/>
          </w:tcPr>
          <w:p w14:paraId="1BBCD4A8" w14:textId="77777777" w:rsidR="002F0133" w:rsidRPr="000B4E2C" w:rsidRDefault="002F0133" w:rsidP="008A7464">
            <w:pPr>
              <w:spacing w:line="276" w:lineRule="auto"/>
              <w:jc w:val="center"/>
              <w:rPr>
                <w:lang w:eastAsia="en-GB"/>
              </w:rPr>
            </w:pPr>
          </w:p>
          <w:p w14:paraId="3636E40F" w14:textId="77777777" w:rsidR="002F0133" w:rsidRPr="000B4E2C" w:rsidRDefault="002F0133" w:rsidP="008A7464">
            <w:pPr>
              <w:spacing w:line="276" w:lineRule="auto"/>
              <w:jc w:val="center"/>
              <w:rPr>
                <w:lang w:eastAsia="en-GB"/>
              </w:rPr>
            </w:pPr>
            <w:r w:rsidRPr="000B4E2C">
              <w:rPr>
                <w:lang w:eastAsia="en-GB"/>
              </w:rPr>
              <w:t>Within 12 hours of sample collection</w:t>
            </w:r>
          </w:p>
        </w:tc>
      </w:tr>
      <w:tr w:rsidR="002F0133" w:rsidRPr="000B4E2C" w14:paraId="181D0E5C" w14:textId="77777777" w:rsidTr="000B4E2C">
        <w:trPr>
          <w:cantSplit/>
        </w:trPr>
        <w:tc>
          <w:tcPr>
            <w:tcW w:w="0" w:type="auto"/>
            <w:shd w:val="clear" w:color="auto" w:fill="auto"/>
            <w:vAlign w:val="center"/>
          </w:tcPr>
          <w:p w14:paraId="3AA79A74" w14:textId="77777777" w:rsidR="000B4E2C" w:rsidRPr="000B4E2C" w:rsidRDefault="002F0133" w:rsidP="008A7464">
            <w:pPr>
              <w:spacing w:line="276" w:lineRule="auto"/>
              <w:rPr>
                <w:lang w:eastAsia="en-GB"/>
              </w:rPr>
            </w:pPr>
            <w:r w:rsidRPr="000B4E2C">
              <w:rPr>
                <w:lang w:eastAsia="en-GB"/>
              </w:rPr>
              <w:lastRenderedPageBreak/>
              <w:t>Parikh 2011</w:t>
            </w:r>
            <w:r w:rsidR="00024FA4" w:rsidRPr="000B4E2C">
              <w:rPr>
                <w:lang w:eastAsia="en-GB"/>
              </w:rPr>
              <w:t>,</w:t>
            </w:r>
            <w:r w:rsidR="005B5026" w:rsidRPr="000B4E2C">
              <w:rPr>
                <w:noProof/>
                <w:vertAlign w:val="superscript"/>
                <w:lang w:eastAsia="en-GB"/>
              </w:rPr>
              <w:t>39</w:t>
            </w:r>
            <w:r w:rsidRPr="000B4E2C">
              <w:rPr>
                <w:lang w:eastAsia="en-GB"/>
              </w:rPr>
              <w:t xml:space="preserve"> North America</w:t>
            </w:r>
          </w:p>
          <w:p w14:paraId="5292FE7D" w14:textId="28D2D0F9" w:rsidR="002F0133" w:rsidRPr="000B4E2C" w:rsidRDefault="002F0133" w:rsidP="002F0133">
            <w:pPr>
              <w:numPr>
                <w:ilvl w:val="0"/>
                <w:numId w:val="34"/>
              </w:numPr>
              <w:spacing w:line="276" w:lineRule="auto"/>
              <w:contextualSpacing/>
              <w:rPr>
                <w:lang w:eastAsia="en-GB"/>
              </w:rPr>
            </w:pPr>
            <w:r w:rsidRPr="000B4E2C">
              <w:rPr>
                <w:lang w:eastAsia="en-GB"/>
              </w:rPr>
              <w:t>Parikh 2013</w:t>
            </w:r>
            <w:r w:rsidR="005B5026" w:rsidRPr="000B4E2C">
              <w:rPr>
                <w:noProof/>
                <w:vertAlign w:val="superscript"/>
                <w:lang w:eastAsia="en-GB"/>
              </w:rPr>
              <w:t>40</w:t>
            </w:r>
          </w:p>
          <w:p w14:paraId="6C39D1CE" w14:textId="09C23249" w:rsidR="002F0133" w:rsidRPr="000B4E2C" w:rsidRDefault="002F0133" w:rsidP="002F0133">
            <w:pPr>
              <w:numPr>
                <w:ilvl w:val="0"/>
                <w:numId w:val="34"/>
              </w:numPr>
              <w:spacing w:line="276" w:lineRule="auto"/>
              <w:contextualSpacing/>
              <w:rPr>
                <w:lang w:eastAsia="en-GB"/>
              </w:rPr>
            </w:pPr>
            <w:r w:rsidRPr="000B4E2C">
              <w:rPr>
                <w:lang w:eastAsia="en-GB"/>
              </w:rPr>
              <w:t>Koyner 2015</w:t>
            </w:r>
            <w:r w:rsidR="005B5026" w:rsidRPr="000B4E2C">
              <w:rPr>
                <w:noProof/>
                <w:vertAlign w:val="superscript"/>
                <w:lang w:eastAsia="en-GB"/>
              </w:rPr>
              <w:t>41</w:t>
            </w:r>
          </w:p>
          <w:p w14:paraId="0132C839" w14:textId="43DA9814" w:rsidR="002F0133" w:rsidRPr="000B4E2C" w:rsidRDefault="002F0133" w:rsidP="002F0133">
            <w:pPr>
              <w:numPr>
                <w:ilvl w:val="0"/>
                <w:numId w:val="34"/>
              </w:numPr>
              <w:spacing w:line="276" w:lineRule="auto"/>
              <w:contextualSpacing/>
              <w:rPr>
                <w:lang w:eastAsia="en-GB"/>
              </w:rPr>
            </w:pPr>
            <w:r w:rsidRPr="000B4E2C">
              <w:rPr>
                <w:lang w:eastAsia="en-GB"/>
              </w:rPr>
              <w:t>Coca 2014</w:t>
            </w:r>
            <w:r w:rsidR="005B5026" w:rsidRPr="000B4E2C">
              <w:rPr>
                <w:noProof/>
                <w:vertAlign w:val="superscript"/>
                <w:lang w:eastAsia="en-GB"/>
              </w:rPr>
              <w:t>42</w:t>
            </w:r>
          </w:p>
          <w:p w14:paraId="1437D3E7" w14:textId="727D77C9" w:rsidR="002F0133" w:rsidRPr="000B4E2C" w:rsidRDefault="002F0133" w:rsidP="002F0133">
            <w:pPr>
              <w:numPr>
                <w:ilvl w:val="0"/>
                <w:numId w:val="34"/>
              </w:numPr>
              <w:spacing w:line="276" w:lineRule="auto"/>
              <w:contextualSpacing/>
              <w:rPr>
                <w:lang w:eastAsia="en-GB"/>
              </w:rPr>
            </w:pPr>
            <w:r w:rsidRPr="000B4E2C">
              <w:rPr>
                <w:lang w:eastAsia="en-GB"/>
              </w:rPr>
              <w:t>Brown 2019</w:t>
            </w:r>
            <w:r w:rsidR="005B5026" w:rsidRPr="000B4E2C">
              <w:rPr>
                <w:noProof/>
                <w:vertAlign w:val="superscript"/>
                <w:lang w:eastAsia="en-GB"/>
              </w:rPr>
              <w:t>43</w:t>
            </w:r>
          </w:p>
          <w:p w14:paraId="3CC90A4E" w14:textId="1BFB4BEC" w:rsidR="002F0133" w:rsidRPr="000B4E2C" w:rsidRDefault="002F0133" w:rsidP="002F0133">
            <w:pPr>
              <w:numPr>
                <w:ilvl w:val="0"/>
                <w:numId w:val="34"/>
              </w:numPr>
              <w:spacing w:line="276" w:lineRule="auto"/>
              <w:contextualSpacing/>
              <w:rPr>
                <w:lang w:eastAsia="en-GB"/>
              </w:rPr>
            </w:pPr>
            <w:r w:rsidRPr="000B4E2C">
              <w:rPr>
                <w:lang w:eastAsia="en-GB"/>
              </w:rPr>
              <w:t>Coca 2016</w:t>
            </w:r>
            <w:r w:rsidR="005B5026" w:rsidRPr="000B4E2C">
              <w:rPr>
                <w:noProof/>
                <w:vertAlign w:val="superscript"/>
                <w:lang w:eastAsia="en-GB"/>
              </w:rPr>
              <w:t>44</w:t>
            </w:r>
          </w:p>
          <w:p w14:paraId="079D18F6" w14:textId="08E7AB08" w:rsidR="002F0133" w:rsidRPr="000B4E2C" w:rsidRDefault="002F0133" w:rsidP="002F0133">
            <w:pPr>
              <w:numPr>
                <w:ilvl w:val="0"/>
                <w:numId w:val="34"/>
              </w:numPr>
              <w:spacing w:line="276" w:lineRule="auto"/>
              <w:contextualSpacing/>
              <w:rPr>
                <w:lang w:eastAsia="en-GB"/>
              </w:rPr>
            </w:pPr>
            <w:r w:rsidRPr="000B4E2C">
              <w:rPr>
                <w:lang w:eastAsia="en-GB"/>
              </w:rPr>
              <w:t>Zhang 2015</w:t>
            </w:r>
            <w:r w:rsidR="005B5026" w:rsidRPr="000B4E2C">
              <w:rPr>
                <w:noProof/>
                <w:vertAlign w:val="superscript"/>
                <w:lang w:eastAsia="en-GB"/>
              </w:rPr>
              <w:t>45</w:t>
            </w:r>
          </w:p>
          <w:p w14:paraId="30D33D3B" w14:textId="5DA109DC" w:rsidR="002F0133" w:rsidRPr="000B4E2C" w:rsidRDefault="002F0133" w:rsidP="002F0133">
            <w:pPr>
              <w:numPr>
                <w:ilvl w:val="0"/>
                <w:numId w:val="34"/>
              </w:numPr>
              <w:spacing w:line="276" w:lineRule="auto"/>
              <w:contextualSpacing/>
              <w:rPr>
                <w:lang w:eastAsia="en-GB"/>
              </w:rPr>
            </w:pPr>
            <w:r w:rsidRPr="000B4E2C">
              <w:rPr>
                <w:lang w:eastAsia="en-GB"/>
              </w:rPr>
              <w:t>Greenberg 2018</w:t>
            </w:r>
            <w:r w:rsidR="005B5026" w:rsidRPr="000B4E2C">
              <w:rPr>
                <w:noProof/>
                <w:vertAlign w:val="superscript"/>
                <w:lang w:eastAsia="en-GB"/>
              </w:rPr>
              <w:t>46</w:t>
            </w:r>
          </w:p>
        </w:tc>
        <w:tc>
          <w:tcPr>
            <w:tcW w:w="0" w:type="auto"/>
            <w:shd w:val="clear" w:color="auto" w:fill="auto"/>
            <w:vAlign w:val="center"/>
          </w:tcPr>
          <w:p w14:paraId="32E0CC30" w14:textId="77777777" w:rsidR="002F0133" w:rsidRPr="000B4E2C" w:rsidRDefault="002F0133" w:rsidP="008A7464">
            <w:pPr>
              <w:spacing w:line="276" w:lineRule="auto"/>
              <w:jc w:val="center"/>
              <w:rPr>
                <w:lang w:eastAsia="en-GB"/>
              </w:rPr>
            </w:pPr>
            <w:r w:rsidRPr="000B4E2C">
              <w:rPr>
                <w:lang w:eastAsia="en-GB"/>
              </w:rPr>
              <w:t>uNGAL, ARCHITECT, Abbott</w:t>
            </w:r>
          </w:p>
        </w:tc>
        <w:tc>
          <w:tcPr>
            <w:tcW w:w="0" w:type="auto"/>
            <w:shd w:val="clear" w:color="auto" w:fill="auto"/>
            <w:vAlign w:val="center"/>
          </w:tcPr>
          <w:p w14:paraId="75061969" w14:textId="77777777" w:rsidR="002F0133" w:rsidRPr="000B4E2C" w:rsidRDefault="002F0133" w:rsidP="008A7464">
            <w:pPr>
              <w:spacing w:line="276" w:lineRule="auto"/>
              <w:jc w:val="center"/>
              <w:rPr>
                <w:lang w:eastAsia="en-GB"/>
              </w:rPr>
            </w:pPr>
            <w:r w:rsidRPr="000B4E2C">
              <w:t>Cardiac Surgery (CABG or valve surgery)</w:t>
            </w:r>
          </w:p>
        </w:tc>
        <w:tc>
          <w:tcPr>
            <w:tcW w:w="0" w:type="auto"/>
            <w:shd w:val="clear" w:color="auto" w:fill="auto"/>
            <w:vAlign w:val="center"/>
          </w:tcPr>
          <w:p w14:paraId="0609D865" w14:textId="77777777" w:rsidR="002F0133" w:rsidRPr="000B4E2C" w:rsidRDefault="002F0133" w:rsidP="008A7464">
            <w:pPr>
              <w:spacing w:line="276" w:lineRule="auto"/>
              <w:jc w:val="center"/>
              <w:rPr>
                <w:lang w:eastAsia="en-GB"/>
              </w:rPr>
            </w:pPr>
            <w:r w:rsidRPr="000B4E2C">
              <w:rPr>
                <w:lang w:eastAsia="en-GB"/>
              </w:rPr>
              <w:t>71 (10)</w:t>
            </w:r>
          </w:p>
        </w:tc>
        <w:tc>
          <w:tcPr>
            <w:tcW w:w="0" w:type="auto"/>
            <w:shd w:val="clear" w:color="auto" w:fill="auto"/>
            <w:vAlign w:val="center"/>
          </w:tcPr>
          <w:p w14:paraId="42BF48EC" w14:textId="77777777" w:rsidR="002F0133" w:rsidRPr="000B4E2C" w:rsidRDefault="002F0133" w:rsidP="008A7464">
            <w:pPr>
              <w:spacing w:line="276" w:lineRule="auto"/>
              <w:jc w:val="center"/>
              <w:rPr>
                <w:lang w:eastAsia="en-GB"/>
              </w:rPr>
            </w:pPr>
            <w:r w:rsidRPr="000B4E2C">
              <w:rPr>
                <w:lang w:eastAsia="en-GB"/>
              </w:rPr>
              <w:t>1200</w:t>
            </w:r>
          </w:p>
        </w:tc>
        <w:tc>
          <w:tcPr>
            <w:tcW w:w="0" w:type="auto"/>
            <w:shd w:val="clear" w:color="auto" w:fill="auto"/>
            <w:vAlign w:val="center"/>
          </w:tcPr>
          <w:p w14:paraId="3F5D6259" w14:textId="77777777" w:rsidR="002F0133" w:rsidRPr="000B4E2C" w:rsidRDefault="002F0133" w:rsidP="008A7464">
            <w:pPr>
              <w:spacing w:line="276" w:lineRule="auto"/>
              <w:jc w:val="center"/>
              <w:rPr>
                <w:lang w:eastAsia="en-GB"/>
              </w:rPr>
            </w:pPr>
            <w:r w:rsidRPr="000B4E2C">
              <w:rPr>
                <w:lang w:eastAsia="en-GB"/>
              </w:rPr>
              <w:t>60</w:t>
            </w:r>
          </w:p>
        </w:tc>
        <w:tc>
          <w:tcPr>
            <w:tcW w:w="0" w:type="auto"/>
            <w:shd w:val="clear" w:color="auto" w:fill="auto"/>
            <w:vAlign w:val="center"/>
          </w:tcPr>
          <w:p w14:paraId="7C92B749" w14:textId="77777777" w:rsidR="002F0133" w:rsidRPr="000B4E2C" w:rsidRDefault="002F0133" w:rsidP="008A7464">
            <w:pPr>
              <w:spacing w:line="276" w:lineRule="auto"/>
              <w:jc w:val="center"/>
              <w:rPr>
                <w:lang w:eastAsia="en-GB"/>
              </w:rPr>
            </w:pPr>
            <w:r w:rsidRPr="000B4E2C">
              <w:rPr>
                <w:lang w:eastAsia="en-GB"/>
              </w:rPr>
              <w:t xml:space="preserve">Acute dialysis or doubling of </w:t>
            </w:r>
            <w:r w:rsidRPr="000B4E2C">
              <w:rPr>
                <w:bCs/>
                <w:lang w:eastAsia="en-GB"/>
              </w:rPr>
              <w:t>sCr</w:t>
            </w:r>
            <w:r w:rsidRPr="000B4E2C">
              <w:rPr>
                <w:lang w:eastAsia="en-GB"/>
              </w:rPr>
              <w:t xml:space="preserve"> (consistent with RIFLE stage 1 or AKIN stage 2)</w:t>
            </w:r>
          </w:p>
        </w:tc>
        <w:tc>
          <w:tcPr>
            <w:tcW w:w="0" w:type="auto"/>
            <w:shd w:val="clear" w:color="auto" w:fill="auto"/>
          </w:tcPr>
          <w:p w14:paraId="4ADD1E3F" w14:textId="77777777" w:rsidR="000B4E2C" w:rsidRPr="000B4E2C" w:rsidRDefault="000B4E2C" w:rsidP="008A7464">
            <w:pPr>
              <w:spacing w:line="276" w:lineRule="auto"/>
              <w:jc w:val="center"/>
              <w:rPr>
                <w:lang w:eastAsia="en-GB"/>
              </w:rPr>
            </w:pPr>
          </w:p>
          <w:p w14:paraId="353BE36A" w14:textId="77777777" w:rsidR="002F0133" w:rsidRPr="000B4E2C" w:rsidRDefault="002F0133" w:rsidP="008A7464">
            <w:pPr>
              <w:spacing w:line="276" w:lineRule="auto"/>
              <w:jc w:val="center"/>
              <w:rPr>
                <w:lang w:eastAsia="en-GB"/>
              </w:rPr>
            </w:pPr>
            <w:r w:rsidRPr="000B4E2C">
              <w:rPr>
                <w:lang w:eastAsia="en-GB"/>
              </w:rPr>
              <w:t>AKI developed at a median of 3 days after surgery</w:t>
            </w:r>
          </w:p>
          <w:p w14:paraId="559033B8" w14:textId="77777777" w:rsidR="002F0133" w:rsidRPr="000B4E2C" w:rsidRDefault="002F0133">
            <w:pPr>
              <w:spacing w:line="276" w:lineRule="auto"/>
              <w:jc w:val="center"/>
              <w:rPr>
                <w:lang w:eastAsia="en-GB"/>
              </w:rPr>
            </w:pPr>
            <w:r w:rsidRPr="000B4E2C">
              <w:rPr>
                <w:lang w:eastAsia="en-GB"/>
              </w:rPr>
              <w:t>(IQR 2 to 4 days)</w:t>
            </w:r>
          </w:p>
        </w:tc>
      </w:tr>
      <w:tr w:rsidR="002F0133" w:rsidRPr="000B4E2C" w14:paraId="20512D98" w14:textId="77777777" w:rsidTr="000B4E2C">
        <w:trPr>
          <w:cantSplit/>
        </w:trPr>
        <w:tc>
          <w:tcPr>
            <w:tcW w:w="0" w:type="auto"/>
            <w:shd w:val="clear" w:color="auto" w:fill="auto"/>
            <w:vAlign w:val="center"/>
          </w:tcPr>
          <w:p w14:paraId="2DBCA435" w14:textId="73387CA1" w:rsidR="002F0133" w:rsidRPr="000B4E2C" w:rsidRDefault="002F0133" w:rsidP="008A7464">
            <w:pPr>
              <w:spacing w:line="276" w:lineRule="auto"/>
              <w:rPr>
                <w:lang w:eastAsia="en-GB"/>
              </w:rPr>
            </w:pPr>
            <w:r w:rsidRPr="000B4E2C">
              <w:rPr>
                <w:lang w:eastAsia="en-GB"/>
              </w:rPr>
              <w:t>Albert 2018</w:t>
            </w:r>
            <w:r w:rsidR="00024FA4" w:rsidRPr="000B4E2C">
              <w:rPr>
                <w:lang w:eastAsia="en-GB"/>
              </w:rPr>
              <w:t>,</w:t>
            </w:r>
            <w:r w:rsidR="005B5026" w:rsidRPr="000B4E2C">
              <w:rPr>
                <w:noProof/>
                <w:vertAlign w:val="superscript"/>
                <w:lang w:eastAsia="en-GB"/>
              </w:rPr>
              <w:t>47</w:t>
            </w:r>
            <w:r w:rsidR="00024FA4" w:rsidRPr="000B4E2C">
              <w:rPr>
                <w:lang w:eastAsia="en-GB"/>
              </w:rPr>
              <w:t xml:space="preserve"> </w:t>
            </w:r>
            <w:r w:rsidRPr="000B4E2C">
              <w:rPr>
                <w:lang w:eastAsia="en-GB"/>
              </w:rPr>
              <w:t>Germany</w:t>
            </w:r>
          </w:p>
        </w:tc>
        <w:tc>
          <w:tcPr>
            <w:tcW w:w="0" w:type="auto"/>
            <w:shd w:val="clear" w:color="auto" w:fill="auto"/>
            <w:vAlign w:val="center"/>
          </w:tcPr>
          <w:p w14:paraId="38F4555A" w14:textId="77777777" w:rsidR="002F0133" w:rsidRPr="000B4E2C" w:rsidRDefault="002F0133" w:rsidP="008A7464">
            <w:pPr>
              <w:spacing w:line="276" w:lineRule="auto"/>
              <w:jc w:val="center"/>
              <w:rPr>
                <w:lang w:eastAsia="en-GB"/>
              </w:rPr>
            </w:pPr>
            <w:r w:rsidRPr="000B4E2C">
              <w:rPr>
                <w:lang w:eastAsia="en-GB"/>
              </w:rPr>
              <w:t>uNGAL, ARCHITECT, Abbott</w:t>
            </w:r>
          </w:p>
        </w:tc>
        <w:tc>
          <w:tcPr>
            <w:tcW w:w="0" w:type="auto"/>
            <w:shd w:val="clear" w:color="auto" w:fill="auto"/>
            <w:vAlign w:val="center"/>
          </w:tcPr>
          <w:p w14:paraId="107B3E35" w14:textId="77777777" w:rsidR="002F0133" w:rsidRPr="000B4E2C" w:rsidRDefault="002F0133" w:rsidP="008A7464">
            <w:pPr>
              <w:spacing w:line="276" w:lineRule="auto"/>
              <w:jc w:val="center"/>
              <w:rPr>
                <w:lang w:eastAsia="en-GB"/>
              </w:rPr>
            </w:pPr>
            <w:r w:rsidRPr="000B4E2C">
              <w:t>Cardiac Surgery (open-heart surgery with CPB)</w:t>
            </w:r>
          </w:p>
        </w:tc>
        <w:tc>
          <w:tcPr>
            <w:tcW w:w="0" w:type="auto"/>
            <w:shd w:val="clear" w:color="auto" w:fill="auto"/>
            <w:vAlign w:val="center"/>
          </w:tcPr>
          <w:p w14:paraId="630E28EE" w14:textId="77777777" w:rsidR="002F0133" w:rsidRPr="000B4E2C" w:rsidRDefault="002F0133" w:rsidP="008A7464">
            <w:pPr>
              <w:spacing w:line="276" w:lineRule="auto"/>
              <w:jc w:val="center"/>
              <w:rPr>
                <w:lang w:eastAsia="en-GB"/>
              </w:rPr>
            </w:pPr>
            <w:r w:rsidRPr="000B4E2C">
              <w:rPr>
                <w:lang w:eastAsia="en-GB"/>
              </w:rPr>
              <w:t>70 (61,77)</w:t>
            </w:r>
          </w:p>
        </w:tc>
        <w:tc>
          <w:tcPr>
            <w:tcW w:w="0" w:type="auto"/>
            <w:shd w:val="clear" w:color="auto" w:fill="auto"/>
            <w:vAlign w:val="center"/>
          </w:tcPr>
          <w:p w14:paraId="31451CB6" w14:textId="77777777" w:rsidR="002F0133" w:rsidRPr="000B4E2C" w:rsidRDefault="002F0133" w:rsidP="008A7464">
            <w:pPr>
              <w:spacing w:line="276" w:lineRule="auto"/>
              <w:jc w:val="center"/>
              <w:rPr>
                <w:lang w:eastAsia="en-GB"/>
              </w:rPr>
            </w:pPr>
            <w:r w:rsidRPr="000B4E2C">
              <w:rPr>
                <w:lang w:eastAsia="en-GB"/>
              </w:rPr>
              <w:t>101</w:t>
            </w:r>
          </w:p>
        </w:tc>
        <w:tc>
          <w:tcPr>
            <w:tcW w:w="0" w:type="auto"/>
            <w:shd w:val="clear" w:color="auto" w:fill="auto"/>
            <w:vAlign w:val="center"/>
          </w:tcPr>
          <w:p w14:paraId="436B3B52" w14:textId="77777777" w:rsidR="002F0133" w:rsidRPr="000B4E2C" w:rsidRDefault="002F0133" w:rsidP="008A7464">
            <w:pPr>
              <w:spacing w:line="276" w:lineRule="auto"/>
              <w:jc w:val="center"/>
              <w:rPr>
                <w:lang w:eastAsia="en-GB"/>
              </w:rPr>
            </w:pPr>
            <w:r w:rsidRPr="000B4E2C">
              <w:rPr>
                <w:lang w:eastAsia="en-GB"/>
              </w:rPr>
              <w:t>15</w:t>
            </w:r>
          </w:p>
        </w:tc>
        <w:tc>
          <w:tcPr>
            <w:tcW w:w="0" w:type="auto"/>
            <w:shd w:val="clear" w:color="auto" w:fill="auto"/>
            <w:vAlign w:val="center"/>
          </w:tcPr>
          <w:p w14:paraId="03CFA464" w14:textId="77777777" w:rsidR="002F0133" w:rsidRPr="000B4E2C" w:rsidRDefault="002F0133" w:rsidP="008A7464">
            <w:pPr>
              <w:spacing w:line="276" w:lineRule="auto"/>
              <w:jc w:val="center"/>
              <w:rPr>
                <w:lang w:eastAsia="en-GB"/>
              </w:rPr>
            </w:pPr>
            <w:r w:rsidRPr="000B4E2C">
              <w:rPr>
                <w:lang w:eastAsia="en-GB"/>
              </w:rPr>
              <w:t>RIFLE</w:t>
            </w:r>
          </w:p>
        </w:tc>
        <w:tc>
          <w:tcPr>
            <w:tcW w:w="0" w:type="auto"/>
            <w:shd w:val="clear" w:color="auto" w:fill="auto"/>
          </w:tcPr>
          <w:p w14:paraId="4FE23D82" w14:textId="77777777" w:rsidR="002F0133" w:rsidRPr="000B4E2C" w:rsidRDefault="002F0133" w:rsidP="008A7464">
            <w:pPr>
              <w:spacing w:line="276" w:lineRule="auto"/>
              <w:jc w:val="center"/>
              <w:rPr>
                <w:lang w:eastAsia="en-GB"/>
              </w:rPr>
            </w:pPr>
          </w:p>
          <w:p w14:paraId="355E925F" w14:textId="77777777" w:rsidR="002F0133" w:rsidRPr="000B4E2C" w:rsidRDefault="002F0133" w:rsidP="008A7464">
            <w:pPr>
              <w:spacing w:line="276" w:lineRule="auto"/>
              <w:jc w:val="center"/>
              <w:rPr>
                <w:lang w:eastAsia="en-GB"/>
              </w:rPr>
            </w:pPr>
            <w:r w:rsidRPr="000B4E2C">
              <w:rPr>
                <w:lang w:eastAsia="en-GB"/>
              </w:rPr>
              <w:t>NR</w:t>
            </w:r>
          </w:p>
          <w:p w14:paraId="082220CE" w14:textId="77777777" w:rsidR="002F0133" w:rsidRPr="000B4E2C" w:rsidRDefault="002F0133" w:rsidP="008A7464">
            <w:pPr>
              <w:spacing w:line="276" w:lineRule="auto"/>
              <w:jc w:val="center"/>
              <w:rPr>
                <w:lang w:eastAsia="en-GB"/>
              </w:rPr>
            </w:pPr>
          </w:p>
        </w:tc>
      </w:tr>
      <w:tr w:rsidR="002F0133" w:rsidRPr="000B4E2C" w14:paraId="01872A13" w14:textId="77777777" w:rsidTr="000B4E2C">
        <w:trPr>
          <w:cantSplit/>
        </w:trPr>
        <w:tc>
          <w:tcPr>
            <w:tcW w:w="0" w:type="auto"/>
            <w:shd w:val="clear" w:color="auto" w:fill="auto"/>
            <w:vAlign w:val="center"/>
          </w:tcPr>
          <w:p w14:paraId="654EE0E1" w14:textId="2B1481A1" w:rsidR="002F0133" w:rsidRPr="000B4E2C" w:rsidRDefault="002F0133" w:rsidP="008A7464">
            <w:pPr>
              <w:spacing w:line="276" w:lineRule="auto"/>
              <w:rPr>
                <w:lang w:eastAsia="en-GB"/>
              </w:rPr>
            </w:pPr>
            <w:r w:rsidRPr="000B4E2C">
              <w:rPr>
                <w:lang w:eastAsia="en-GB"/>
              </w:rPr>
              <w:t>Garcia-Alvarez 2015</w:t>
            </w:r>
            <w:r w:rsidR="00024FA4" w:rsidRPr="000B4E2C">
              <w:rPr>
                <w:lang w:eastAsia="en-GB"/>
              </w:rPr>
              <w:t>,</w:t>
            </w:r>
            <w:r w:rsidR="005B5026" w:rsidRPr="000B4E2C">
              <w:rPr>
                <w:noProof/>
                <w:vertAlign w:val="superscript"/>
                <w:lang w:eastAsia="en-GB"/>
              </w:rPr>
              <w:t>48</w:t>
            </w:r>
            <w:r w:rsidRPr="000B4E2C">
              <w:rPr>
                <w:lang w:eastAsia="en-GB"/>
              </w:rPr>
              <w:t xml:space="preserve"> Spain</w:t>
            </w:r>
          </w:p>
        </w:tc>
        <w:tc>
          <w:tcPr>
            <w:tcW w:w="0" w:type="auto"/>
            <w:shd w:val="clear" w:color="auto" w:fill="auto"/>
            <w:vAlign w:val="center"/>
          </w:tcPr>
          <w:p w14:paraId="1E160E94" w14:textId="77777777" w:rsidR="002F0133" w:rsidRPr="000B4E2C" w:rsidRDefault="002F0133" w:rsidP="008A7464">
            <w:pPr>
              <w:spacing w:line="276" w:lineRule="auto"/>
              <w:jc w:val="center"/>
              <w:rPr>
                <w:lang w:eastAsia="en-GB"/>
              </w:rPr>
            </w:pPr>
            <w:r w:rsidRPr="000B4E2C">
              <w:rPr>
                <w:lang w:eastAsia="en-GB"/>
              </w:rPr>
              <w:t>uNGAL, ARCHITECT, Abbott</w:t>
            </w:r>
          </w:p>
        </w:tc>
        <w:tc>
          <w:tcPr>
            <w:tcW w:w="0" w:type="auto"/>
            <w:shd w:val="clear" w:color="auto" w:fill="auto"/>
            <w:vAlign w:val="center"/>
          </w:tcPr>
          <w:p w14:paraId="4F39FA63" w14:textId="77777777" w:rsidR="002F0133" w:rsidRPr="000B4E2C" w:rsidRDefault="002F0133" w:rsidP="008A7464">
            <w:pPr>
              <w:spacing w:line="276" w:lineRule="auto"/>
              <w:jc w:val="center"/>
              <w:rPr>
                <w:lang w:eastAsia="en-GB"/>
              </w:rPr>
            </w:pPr>
            <w:r w:rsidRPr="000B4E2C">
              <w:t>Cardiac Surgery</w:t>
            </w:r>
          </w:p>
        </w:tc>
        <w:tc>
          <w:tcPr>
            <w:tcW w:w="0" w:type="auto"/>
            <w:shd w:val="clear" w:color="auto" w:fill="auto"/>
            <w:vAlign w:val="center"/>
          </w:tcPr>
          <w:p w14:paraId="7E4791C3" w14:textId="77777777" w:rsidR="002F0133" w:rsidRPr="000B4E2C" w:rsidRDefault="002F0133" w:rsidP="008A7464">
            <w:pPr>
              <w:spacing w:line="276" w:lineRule="auto"/>
              <w:jc w:val="center"/>
              <w:rPr>
                <w:lang w:eastAsia="en-GB"/>
              </w:rPr>
            </w:pPr>
            <w:r w:rsidRPr="000B4E2C">
              <w:rPr>
                <w:lang w:eastAsia="en-GB"/>
              </w:rPr>
              <w:t>AKI 74 (68, 80);</w:t>
            </w:r>
          </w:p>
          <w:p w14:paraId="1AAFD1F7" w14:textId="77777777" w:rsidR="002F0133" w:rsidRPr="000B4E2C" w:rsidRDefault="002F0133" w:rsidP="008A7464">
            <w:pPr>
              <w:spacing w:line="276" w:lineRule="auto"/>
              <w:jc w:val="center"/>
              <w:rPr>
                <w:lang w:eastAsia="en-GB"/>
              </w:rPr>
            </w:pPr>
            <w:r w:rsidRPr="000B4E2C">
              <w:rPr>
                <w:lang w:eastAsia="en-GB"/>
              </w:rPr>
              <w:t>No AKI 69</w:t>
            </w:r>
          </w:p>
          <w:p w14:paraId="6616A866" w14:textId="77777777" w:rsidR="002F0133" w:rsidRPr="000B4E2C" w:rsidRDefault="002F0133" w:rsidP="008A7464">
            <w:pPr>
              <w:spacing w:line="276" w:lineRule="auto"/>
              <w:jc w:val="center"/>
              <w:rPr>
                <w:lang w:eastAsia="en-GB"/>
              </w:rPr>
            </w:pPr>
            <w:r w:rsidRPr="000B4E2C">
              <w:rPr>
                <w:lang w:eastAsia="en-GB"/>
              </w:rPr>
              <w:t>(59, 76) *</w:t>
            </w:r>
          </w:p>
        </w:tc>
        <w:tc>
          <w:tcPr>
            <w:tcW w:w="0" w:type="auto"/>
            <w:shd w:val="clear" w:color="auto" w:fill="auto"/>
            <w:vAlign w:val="center"/>
          </w:tcPr>
          <w:p w14:paraId="0E474FB0" w14:textId="77777777" w:rsidR="002F0133" w:rsidRPr="000B4E2C" w:rsidRDefault="002F0133" w:rsidP="008A7464">
            <w:pPr>
              <w:spacing w:line="276" w:lineRule="auto"/>
              <w:jc w:val="center"/>
              <w:rPr>
                <w:lang w:eastAsia="en-GB"/>
              </w:rPr>
            </w:pPr>
            <w:r w:rsidRPr="000B4E2C">
              <w:rPr>
                <w:lang w:eastAsia="en-GB"/>
              </w:rPr>
              <w:t>288</w:t>
            </w:r>
          </w:p>
        </w:tc>
        <w:tc>
          <w:tcPr>
            <w:tcW w:w="0" w:type="auto"/>
            <w:shd w:val="clear" w:color="auto" w:fill="auto"/>
            <w:vAlign w:val="center"/>
          </w:tcPr>
          <w:p w14:paraId="60C8C55D" w14:textId="77777777" w:rsidR="002F0133" w:rsidRPr="000B4E2C" w:rsidRDefault="002F0133" w:rsidP="008A7464">
            <w:pPr>
              <w:spacing w:line="276" w:lineRule="auto"/>
              <w:jc w:val="center"/>
              <w:rPr>
                <w:lang w:eastAsia="en-GB"/>
              </w:rPr>
            </w:pPr>
            <w:r w:rsidRPr="000B4E2C">
              <w:rPr>
                <w:lang w:eastAsia="en-GB"/>
              </w:rPr>
              <w:t>104</w:t>
            </w:r>
          </w:p>
        </w:tc>
        <w:tc>
          <w:tcPr>
            <w:tcW w:w="0" w:type="auto"/>
            <w:shd w:val="clear" w:color="auto" w:fill="auto"/>
            <w:vAlign w:val="center"/>
          </w:tcPr>
          <w:p w14:paraId="114863FE" w14:textId="4FA6F3D3" w:rsidR="002F0133" w:rsidRPr="000B4E2C" w:rsidRDefault="002F0133" w:rsidP="008A7464">
            <w:pPr>
              <w:spacing w:line="276" w:lineRule="auto"/>
              <w:jc w:val="center"/>
              <w:rPr>
                <w:lang w:eastAsia="en-GB"/>
              </w:rPr>
            </w:pPr>
            <w:r w:rsidRPr="000B4E2C">
              <w:rPr>
                <w:lang w:eastAsia="en-GB"/>
              </w:rPr>
              <w:t xml:space="preserve">sCr </w:t>
            </w:r>
            <w:r w:rsidR="000B4E2C" w:rsidRPr="000B4E2C">
              <w:rPr>
                <w:color w:val="00B0F0"/>
                <w:lang w:eastAsia="en-GB"/>
              </w:rPr>
              <w:t>≥</w:t>
            </w:r>
            <w:r w:rsidR="000B4E2C" w:rsidRPr="000B4E2C">
              <w:rPr>
                <w:color w:val="00B0F0"/>
                <w:lang w:eastAsia="en-GB"/>
              </w:rPr>
              <w:t> </w:t>
            </w:r>
            <w:r w:rsidR="000B4E2C" w:rsidRPr="000B4E2C">
              <w:rPr>
                <w:color w:val="00B0F0"/>
                <w:lang w:eastAsia="en-GB"/>
              </w:rPr>
              <w:t>2</w:t>
            </w:r>
            <w:r w:rsidRPr="000B4E2C">
              <w:rPr>
                <w:lang w:eastAsia="en-GB"/>
              </w:rPr>
              <w:t>00% from baseline or</w:t>
            </w:r>
          </w:p>
          <w:p w14:paraId="2130CDA2" w14:textId="1F635C86" w:rsidR="002F0133" w:rsidRPr="000B4E2C" w:rsidRDefault="002F0133" w:rsidP="008A7464">
            <w:pPr>
              <w:spacing w:line="276" w:lineRule="auto"/>
              <w:jc w:val="center"/>
              <w:rPr>
                <w:lang w:eastAsia="en-GB"/>
              </w:rPr>
            </w:pPr>
            <w:r w:rsidRPr="000B4E2C">
              <w:rPr>
                <w:lang w:eastAsia="en-GB"/>
              </w:rPr>
              <w:t xml:space="preserve">eGFR </w:t>
            </w:r>
            <w:r w:rsidR="000B4E2C" w:rsidRPr="000B4E2C">
              <w:rPr>
                <w:color w:val="00B0F0"/>
                <w:lang w:eastAsia="en-GB"/>
              </w:rPr>
              <w:t>&lt;</w:t>
            </w:r>
            <w:r w:rsidR="000B4E2C" w:rsidRPr="000B4E2C">
              <w:rPr>
                <w:color w:val="00B0F0"/>
                <w:lang w:eastAsia="en-GB"/>
              </w:rPr>
              <w:t> </w:t>
            </w:r>
            <w:r w:rsidR="000B4E2C" w:rsidRPr="000B4E2C">
              <w:rPr>
                <w:color w:val="00B0F0"/>
                <w:lang w:eastAsia="en-GB"/>
              </w:rPr>
              <w:t>5</w:t>
            </w:r>
            <w:r w:rsidRPr="000B4E2C">
              <w:rPr>
                <w:lang w:eastAsia="en-GB"/>
              </w:rPr>
              <w:t>0% from baseline</w:t>
            </w:r>
          </w:p>
        </w:tc>
        <w:tc>
          <w:tcPr>
            <w:tcW w:w="0" w:type="auto"/>
            <w:shd w:val="clear" w:color="auto" w:fill="auto"/>
          </w:tcPr>
          <w:p w14:paraId="684D88D4" w14:textId="77777777" w:rsidR="002F0133" w:rsidRPr="000B4E2C" w:rsidRDefault="002F0133" w:rsidP="008A7464">
            <w:pPr>
              <w:spacing w:line="276" w:lineRule="auto"/>
              <w:jc w:val="center"/>
              <w:rPr>
                <w:lang w:eastAsia="en-GB"/>
              </w:rPr>
            </w:pPr>
            <w:r w:rsidRPr="000B4E2C">
              <w:rPr>
                <w:lang w:eastAsia="en-GB"/>
              </w:rPr>
              <w:t>Within 7 days of surgery</w:t>
            </w:r>
          </w:p>
        </w:tc>
      </w:tr>
      <w:tr w:rsidR="002F0133" w:rsidRPr="000B4E2C" w14:paraId="1C32BDC9" w14:textId="77777777" w:rsidTr="000B4E2C">
        <w:trPr>
          <w:cantSplit/>
        </w:trPr>
        <w:tc>
          <w:tcPr>
            <w:tcW w:w="0" w:type="auto"/>
            <w:shd w:val="clear" w:color="auto" w:fill="auto"/>
            <w:vAlign w:val="center"/>
          </w:tcPr>
          <w:p w14:paraId="3965D473" w14:textId="39797DC1" w:rsidR="002F0133" w:rsidRPr="000B4E2C" w:rsidRDefault="002F0133" w:rsidP="008A7464">
            <w:pPr>
              <w:spacing w:line="276" w:lineRule="auto"/>
              <w:rPr>
                <w:lang w:eastAsia="en-GB"/>
              </w:rPr>
            </w:pPr>
            <w:r w:rsidRPr="000B4E2C">
              <w:rPr>
                <w:lang w:eastAsia="en-GB"/>
              </w:rPr>
              <w:t>Liebetrau 2013</w:t>
            </w:r>
            <w:r w:rsidR="00024FA4" w:rsidRPr="000B4E2C">
              <w:rPr>
                <w:lang w:eastAsia="en-GB"/>
              </w:rPr>
              <w:t>,</w:t>
            </w:r>
            <w:r w:rsidR="005B5026" w:rsidRPr="000B4E2C">
              <w:rPr>
                <w:noProof/>
                <w:vertAlign w:val="superscript"/>
                <w:lang w:eastAsia="en-GB"/>
              </w:rPr>
              <w:t>49</w:t>
            </w:r>
            <w:r w:rsidR="00024FA4" w:rsidRPr="000B4E2C">
              <w:rPr>
                <w:lang w:eastAsia="en-GB"/>
              </w:rPr>
              <w:t xml:space="preserve"> </w:t>
            </w:r>
            <w:r w:rsidRPr="000B4E2C">
              <w:rPr>
                <w:lang w:eastAsia="en-GB"/>
              </w:rPr>
              <w:t>Germany</w:t>
            </w:r>
          </w:p>
        </w:tc>
        <w:tc>
          <w:tcPr>
            <w:tcW w:w="0" w:type="auto"/>
            <w:shd w:val="clear" w:color="auto" w:fill="auto"/>
            <w:vAlign w:val="center"/>
          </w:tcPr>
          <w:p w14:paraId="12940670" w14:textId="77777777" w:rsidR="002F0133" w:rsidRPr="000B4E2C" w:rsidRDefault="002F0133" w:rsidP="008A7464">
            <w:pPr>
              <w:spacing w:line="276" w:lineRule="auto"/>
              <w:jc w:val="center"/>
              <w:rPr>
                <w:lang w:eastAsia="en-GB"/>
              </w:rPr>
            </w:pPr>
            <w:r w:rsidRPr="000B4E2C">
              <w:rPr>
                <w:lang w:eastAsia="en-GB"/>
              </w:rPr>
              <w:t>uNGAL, ARCHITECT, Abbott</w:t>
            </w:r>
          </w:p>
        </w:tc>
        <w:tc>
          <w:tcPr>
            <w:tcW w:w="0" w:type="auto"/>
            <w:shd w:val="clear" w:color="auto" w:fill="auto"/>
            <w:vAlign w:val="center"/>
          </w:tcPr>
          <w:p w14:paraId="53C7C0A4" w14:textId="77777777" w:rsidR="002F0133" w:rsidRPr="000B4E2C" w:rsidRDefault="002F0133" w:rsidP="008A7464">
            <w:pPr>
              <w:spacing w:line="276" w:lineRule="auto"/>
              <w:jc w:val="center"/>
              <w:rPr>
                <w:lang w:eastAsia="en-GB"/>
              </w:rPr>
            </w:pPr>
            <w:r w:rsidRPr="000B4E2C">
              <w:t>Cardiac Surgery (CABG and/or valve replacement with the use of extracorporeal circulation)</w:t>
            </w:r>
          </w:p>
        </w:tc>
        <w:tc>
          <w:tcPr>
            <w:tcW w:w="0" w:type="auto"/>
            <w:shd w:val="clear" w:color="auto" w:fill="auto"/>
            <w:vAlign w:val="center"/>
          </w:tcPr>
          <w:p w14:paraId="31363822" w14:textId="77777777" w:rsidR="002F0133" w:rsidRPr="000B4E2C" w:rsidRDefault="002F0133" w:rsidP="008A7464">
            <w:pPr>
              <w:spacing w:line="276" w:lineRule="auto"/>
              <w:jc w:val="center"/>
              <w:rPr>
                <w:lang w:eastAsia="en-GB"/>
              </w:rPr>
            </w:pPr>
            <w:r w:rsidRPr="000B4E2C">
              <w:rPr>
                <w:lang w:eastAsia="en-GB"/>
              </w:rPr>
              <w:t>AKI 74 (8)</w:t>
            </w:r>
          </w:p>
          <w:p w14:paraId="0814410E" w14:textId="77777777" w:rsidR="002F0133" w:rsidRPr="000B4E2C" w:rsidRDefault="002F0133" w:rsidP="008A7464">
            <w:pPr>
              <w:spacing w:line="276" w:lineRule="auto"/>
              <w:jc w:val="center"/>
              <w:rPr>
                <w:lang w:eastAsia="en-GB"/>
              </w:rPr>
            </w:pPr>
            <w:r w:rsidRPr="000B4E2C">
              <w:rPr>
                <w:lang w:eastAsia="en-GB"/>
              </w:rPr>
              <w:t>No AKI 68 (11)</w:t>
            </w:r>
          </w:p>
        </w:tc>
        <w:tc>
          <w:tcPr>
            <w:tcW w:w="0" w:type="auto"/>
            <w:shd w:val="clear" w:color="auto" w:fill="auto"/>
            <w:vAlign w:val="center"/>
          </w:tcPr>
          <w:p w14:paraId="0C105B41" w14:textId="77777777" w:rsidR="002F0133" w:rsidRPr="000B4E2C" w:rsidRDefault="002F0133" w:rsidP="008A7464">
            <w:pPr>
              <w:spacing w:line="276" w:lineRule="auto"/>
              <w:jc w:val="center"/>
              <w:rPr>
                <w:lang w:eastAsia="en-GB"/>
              </w:rPr>
            </w:pPr>
            <w:r w:rsidRPr="000B4E2C">
              <w:rPr>
                <w:lang w:eastAsia="en-GB"/>
              </w:rPr>
              <w:t>141</w:t>
            </w:r>
          </w:p>
        </w:tc>
        <w:tc>
          <w:tcPr>
            <w:tcW w:w="0" w:type="auto"/>
            <w:shd w:val="clear" w:color="auto" w:fill="auto"/>
            <w:vAlign w:val="center"/>
          </w:tcPr>
          <w:p w14:paraId="6A8983AF" w14:textId="77777777" w:rsidR="002F0133" w:rsidRPr="000B4E2C" w:rsidRDefault="002F0133" w:rsidP="008A7464">
            <w:pPr>
              <w:spacing w:line="276" w:lineRule="auto"/>
              <w:jc w:val="center"/>
              <w:rPr>
                <w:lang w:eastAsia="en-GB"/>
              </w:rPr>
            </w:pPr>
            <w:r w:rsidRPr="000B4E2C">
              <w:rPr>
                <w:lang w:eastAsia="en-GB"/>
              </w:rPr>
              <w:t>47</w:t>
            </w:r>
          </w:p>
        </w:tc>
        <w:tc>
          <w:tcPr>
            <w:tcW w:w="0" w:type="auto"/>
            <w:shd w:val="clear" w:color="auto" w:fill="auto"/>
            <w:vAlign w:val="center"/>
          </w:tcPr>
          <w:p w14:paraId="388DBDD2" w14:textId="77777777" w:rsidR="002F0133" w:rsidRPr="000B4E2C" w:rsidRDefault="002F0133" w:rsidP="008A7464">
            <w:pPr>
              <w:spacing w:line="276" w:lineRule="auto"/>
              <w:jc w:val="center"/>
              <w:rPr>
                <w:lang w:eastAsia="en-GB"/>
              </w:rPr>
            </w:pPr>
            <w:r w:rsidRPr="000B4E2C">
              <w:rPr>
                <w:lang w:eastAsia="en-GB"/>
              </w:rPr>
              <w:t>KDIGO stage 2/3</w:t>
            </w:r>
          </w:p>
        </w:tc>
        <w:tc>
          <w:tcPr>
            <w:tcW w:w="0" w:type="auto"/>
            <w:shd w:val="clear" w:color="auto" w:fill="auto"/>
          </w:tcPr>
          <w:p w14:paraId="30B7F4AF" w14:textId="77777777" w:rsidR="002F0133" w:rsidRPr="000B4E2C" w:rsidRDefault="002F0133" w:rsidP="008A7464">
            <w:pPr>
              <w:spacing w:line="276" w:lineRule="auto"/>
              <w:jc w:val="center"/>
              <w:rPr>
                <w:lang w:eastAsia="en-GB"/>
              </w:rPr>
            </w:pPr>
            <w:r w:rsidRPr="000B4E2C">
              <w:rPr>
                <w:lang w:eastAsia="en-GB"/>
              </w:rPr>
              <w:t>Within 4 days of surgery</w:t>
            </w:r>
          </w:p>
        </w:tc>
      </w:tr>
      <w:tr w:rsidR="002F0133" w:rsidRPr="000B4E2C" w14:paraId="3D9E50DC" w14:textId="77777777" w:rsidTr="000B4E2C">
        <w:trPr>
          <w:cantSplit/>
        </w:trPr>
        <w:tc>
          <w:tcPr>
            <w:tcW w:w="0" w:type="auto"/>
            <w:shd w:val="clear" w:color="auto" w:fill="auto"/>
            <w:vAlign w:val="center"/>
          </w:tcPr>
          <w:p w14:paraId="61A7842F" w14:textId="33CD9820" w:rsidR="002F0133" w:rsidRPr="000B4E2C" w:rsidRDefault="002F0133" w:rsidP="008A7464">
            <w:pPr>
              <w:spacing w:line="276" w:lineRule="auto"/>
              <w:rPr>
                <w:lang w:eastAsia="en-GB"/>
              </w:rPr>
            </w:pPr>
            <w:r w:rsidRPr="000B4E2C">
              <w:rPr>
                <w:lang w:eastAsia="en-GB"/>
              </w:rPr>
              <w:t>Thanakitcharu 2014</w:t>
            </w:r>
            <w:r w:rsidR="00024FA4" w:rsidRPr="000B4E2C">
              <w:rPr>
                <w:lang w:eastAsia="en-GB"/>
              </w:rPr>
              <w:t>,</w:t>
            </w:r>
            <w:r w:rsidR="005B5026" w:rsidRPr="000B4E2C">
              <w:rPr>
                <w:noProof/>
                <w:vertAlign w:val="superscript"/>
                <w:lang w:eastAsia="en-GB"/>
              </w:rPr>
              <w:t>50</w:t>
            </w:r>
            <w:r w:rsidRPr="000B4E2C">
              <w:rPr>
                <w:lang w:eastAsia="en-GB"/>
              </w:rPr>
              <w:t xml:space="preserve"> Thailand</w:t>
            </w:r>
          </w:p>
        </w:tc>
        <w:tc>
          <w:tcPr>
            <w:tcW w:w="0" w:type="auto"/>
            <w:shd w:val="clear" w:color="auto" w:fill="auto"/>
            <w:vAlign w:val="center"/>
          </w:tcPr>
          <w:p w14:paraId="7286F9CE" w14:textId="77777777" w:rsidR="002F0133" w:rsidRPr="000B4E2C" w:rsidRDefault="002F0133" w:rsidP="008A7464">
            <w:pPr>
              <w:spacing w:line="276" w:lineRule="auto"/>
              <w:jc w:val="center"/>
              <w:rPr>
                <w:lang w:eastAsia="en-GB"/>
              </w:rPr>
            </w:pPr>
            <w:r w:rsidRPr="000B4E2C">
              <w:rPr>
                <w:lang w:eastAsia="en-GB"/>
              </w:rPr>
              <w:t>uNGAL, ARCHITECT, Abbott</w:t>
            </w:r>
          </w:p>
        </w:tc>
        <w:tc>
          <w:tcPr>
            <w:tcW w:w="0" w:type="auto"/>
            <w:shd w:val="clear" w:color="auto" w:fill="auto"/>
            <w:vAlign w:val="center"/>
          </w:tcPr>
          <w:p w14:paraId="3F2A41E8" w14:textId="77777777" w:rsidR="002F0133" w:rsidRPr="000B4E2C" w:rsidRDefault="002F0133" w:rsidP="008A7464">
            <w:pPr>
              <w:spacing w:line="276" w:lineRule="auto"/>
              <w:jc w:val="center"/>
              <w:rPr>
                <w:lang w:eastAsia="en-GB"/>
              </w:rPr>
            </w:pPr>
            <w:r w:rsidRPr="000B4E2C">
              <w:t>Cardiac Surgery</w:t>
            </w:r>
          </w:p>
        </w:tc>
        <w:tc>
          <w:tcPr>
            <w:tcW w:w="0" w:type="auto"/>
            <w:shd w:val="clear" w:color="auto" w:fill="auto"/>
            <w:vAlign w:val="center"/>
          </w:tcPr>
          <w:p w14:paraId="532F34AD" w14:textId="77777777" w:rsidR="002F0133" w:rsidRPr="000B4E2C" w:rsidRDefault="002F0133" w:rsidP="008A7464">
            <w:pPr>
              <w:spacing w:line="276" w:lineRule="auto"/>
              <w:jc w:val="center"/>
              <w:rPr>
                <w:lang w:eastAsia="en-GB"/>
              </w:rPr>
            </w:pPr>
            <w:r w:rsidRPr="000B4E2C">
              <w:rPr>
                <w:lang w:eastAsia="en-GB"/>
              </w:rPr>
              <w:t>51 (15.6)</w:t>
            </w:r>
          </w:p>
        </w:tc>
        <w:tc>
          <w:tcPr>
            <w:tcW w:w="0" w:type="auto"/>
            <w:shd w:val="clear" w:color="auto" w:fill="auto"/>
            <w:vAlign w:val="center"/>
          </w:tcPr>
          <w:p w14:paraId="5504B10E" w14:textId="77777777" w:rsidR="002F0133" w:rsidRPr="000B4E2C" w:rsidRDefault="002F0133" w:rsidP="008A7464">
            <w:pPr>
              <w:spacing w:line="276" w:lineRule="auto"/>
              <w:jc w:val="center"/>
              <w:rPr>
                <w:lang w:eastAsia="en-GB"/>
              </w:rPr>
            </w:pPr>
            <w:r w:rsidRPr="000B4E2C">
              <w:rPr>
                <w:lang w:eastAsia="en-GB"/>
              </w:rPr>
              <w:t>130</w:t>
            </w:r>
          </w:p>
        </w:tc>
        <w:tc>
          <w:tcPr>
            <w:tcW w:w="0" w:type="auto"/>
            <w:shd w:val="clear" w:color="auto" w:fill="auto"/>
            <w:vAlign w:val="center"/>
          </w:tcPr>
          <w:p w14:paraId="3009489E" w14:textId="77777777" w:rsidR="002F0133" w:rsidRPr="000B4E2C" w:rsidRDefault="002F0133" w:rsidP="008A7464">
            <w:pPr>
              <w:spacing w:line="276" w:lineRule="auto"/>
              <w:jc w:val="center"/>
              <w:rPr>
                <w:lang w:eastAsia="en-GB"/>
              </w:rPr>
            </w:pPr>
            <w:r w:rsidRPr="000B4E2C">
              <w:rPr>
                <w:lang w:eastAsia="en-GB"/>
              </w:rPr>
              <w:t>46</w:t>
            </w:r>
          </w:p>
        </w:tc>
        <w:tc>
          <w:tcPr>
            <w:tcW w:w="0" w:type="auto"/>
            <w:shd w:val="clear" w:color="auto" w:fill="auto"/>
            <w:vAlign w:val="center"/>
          </w:tcPr>
          <w:p w14:paraId="6F33A9C4" w14:textId="77777777" w:rsidR="002F0133" w:rsidRPr="000B4E2C" w:rsidRDefault="002F0133" w:rsidP="008A7464">
            <w:pPr>
              <w:spacing w:line="276" w:lineRule="auto"/>
              <w:jc w:val="center"/>
              <w:rPr>
                <w:lang w:eastAsia="en-GB"/>
              </w:rPr>
            </w:pPr>
            <w:r w:rsidRPr="000B4E2C">
              <w:rPr>
                <w:lang w:eastAsia="en-GB"/>
              </w:rPr>
              <w:t>Increase in sCr</w:t>
            </w:r>
          </w:p>
          <w:p w14:paraId="2C04B246" w14:textId="188472CF" w:rsidR="002F0133" w:rsidRPr="000B4E2C" w:rsidRDefault="000B4E2C" w:rsidP="008A7464">
            <w:pPr>
              <w:spacing w:line="276" w:lineRule="auto"/>
              <w:jc w:val="center"/>
              <w:rPr>
                <w:lang w:eastAsia="en-GB"/>
              </w:rPr>
            </w:pPr>
            <w:r w:rsidRPr="000B4E2C">
              <w:rPr>
                <w:color w:val="00B0F0"/>
                <w:lang w:eastAsia="en-GB"/>
              </w:rPr>
              <w:t>≥ </w:t>
            </w:r>
            <w:r w:rsidRPr="000B4E2C">
              <w:rPr>
                <w:color w:val="00B0F0"/>
                <w:lang w:eastAsia="en-GB"/>
              </w:rPr>
              <w:t>0</w:t>
            </w:r>
            <w:r w:rsidR="002F0133" w:rsidRPr="000B4E2C">
              <w:rPr>
                <w:lang w:eastAsia="en-GB"/>
              </w:rPr>
              <w:t>.3mg/dL within 48 h</w:t>
            </w:r>
          </w:p>
        </w:tc>
        <w:tc>
          <w:tcPr>
            <w:tcW w:w="0" w:type="auto"/>
            <w:shd w:val="clear" w:color="auto" w:fill="auto"/>
          </w:tcPr>
          <w:p w14:paraId="4B37FAD3" w14:textId="77777777" w:rsidR="002F0133" w:rsidRPr="000B4E2C" w:rsidRDefault="002F0133" w:rsidP="008A7464">
            <w:pPr>
              <w:spacing w:line="276" w:lineRule="auto"/>
              <w:jc w:val="center"/>
              <w:rPr>
                <w:lang w:eastAsia="en-GB"/>
              </w:rPr>
            </w:pPr>
            <w:r w:rsidRPr="000B4E2C">
              <w:rPr>
                <w:lang w:eastAsia="en-GB"/>
              </w:rPr>
              <w:t>Within 48 hours of surgery</w:t>
            </w:r>
          </w:p>
        </w:tc>
      </w:tr>
      <w:tr w:rsidR="002F0133" w:rsidRPr="000B4E2C" w14:paraId="4A4159E2" w14:textId="77777777" w:rsidTr="000B4E2C">
        <w:trPr>
          <w:cantSplit/>
        </w:trPr>
        <w:tc>
          <w:tcPr>
            <w:tcW w:w="0" w:type="auto"/>
            <w:shd w:val="clear" w:color="auto" w:fill="auto"/>
            <w:vAlign w:val="center"/>
          </w:tcPr>
          <w:p w14:paraId="7D90EA73" w14:textId="16DDD679" w:rsidR="002F0133" w:rsidRPr="000B4E2C" w:rsidRDefault="002F0133" w:rsidP="008A7464">
            <w:pPr>
              <w:spacing w:line="276" w:lineRule="auto"/>
              <w:rPr>
                <w:lang w:eastAsia="en-GB"/>
              </w:rPr>
            </w:pPr>
            <w:r w:rsidRPr="000B4E2C">
              <w:rPr>
                <w:lang w:eastAsia="en-GB"/>
              </w:rPr>
              <w:t>Cullen 2014</w:t>
            </w:r>
            <w:r w:rsidR="00024FA4" w:rsidRPr="000B4E2C">
              <w:rPr>
                <w:lang w:eastAsia="en-GB"/>
              </w:rPr>
              <w:t>,</w:t>
            </w:r>
            <w:r w:rsidR="005B5026" w:rsidRPr="000B4E2C">
              <w:rPr>
                <w:noProof/>
                <w:vertAlign w:val="superscript"/>
                <w:lang w:eastAsia="en-GB"/>
              </w:rPr>
              <w:t>51</w:t>
            </w:r>
            <w:r w:rsidR="00024FA4" w:rsidRPr="000B4E2C">
              <w:rPr>
                <w:lang w:eastAsia="en-GB"/>
              </w:rPr>
              <w:t xml:space="preserve"> </w:t>
            </w:r>
            <w:r w:rsidRPr="000B4E2C">
              <w:rPr>
                <w:lang w:eastAsia="en-GB"/>
              </w:rPr>
              <w:t>UK</w:t>
            </w:r>
          </w:p>
        </w:tc>
        <w:tc>
          <w:tcPr>
            <w:tcW w:w="0" w:type="auto"/>
            <w:shd w:val="clear" w:color="auto" w:fill="auto"/>
            <w:vAlign w:val="center"/>
          </w:tcPr>
          <w:p w14:paraId="3B7F3883" w14:textId="77777777" w:rsidR="002F0133" w:rsidRPr="000B4E2C" w:rsidRDefault="002F0133" w:rsidP="008A7464">
            <w:pPr>
              <w:spacing w:line="276" w:lineRule="auto"/>
              <w:jc w:val="center"/>
              <w:rPr>
                <w:lang w:eastAsia="en-GB"/>
              </w:rPr>
            </w:pPr>
            <w:r w:rsidRPr="000B4E2C">
              <w:rPr>
                <w:lang w:eastAsia="en-GB"/>
              </w:rPr>
              <w:t>uNGAL, ARCHITECT, Abbott</w:t>
            </w:r>
          </w:p>
        </w:tc>
        <w:tc>
          <w:tcPr>
            <w:tcW w:w="0" w:type="auto"/>
            <w:shd w:val="clear" w:color="auto" w:fill="auto"/>
            <w:vAlign w:val="center"/>
          </w:tcPr>
          <w:p w14:paraId="1AA7C173" w14:textId="77777777" w:rsidR="002F0133" w:rsidRPr="000B4E2C" w:rsidRDefault="002F0133" w:rsidP="008A7464">
            <w:pPr>
              <w:spacing w:line="276" w:lineRule="auto"/>
              <w:jc w:val="center"/>
              <w:rPr>
                <w:lang w:eastAsia="en-GB"/>
              </w:rPr>
            </w:pPr>
            <w:r w:rsidRPr="000B4E2C">
              <w:t>Non-cardiac surgery (major abdominal surgery)</w:t>
            </w:r>
          </w:p>
        </w:tc>
        <w:tc>
          <w:tcPr>
            <w:tcW w:w="0" w:type="auto"/>
            <w:shd w:val="clear" w:color="auto" w:fill="auto"/>
            <w:vAlign w:val="center"/>
          </w:tcPr>
          <w:p w14:paraId="30B513AC" w14:textId="77777777" w:rsidR="002F0133" w:rsidRPr="000B4E2C" w:rsidRDefault="002F0133" w:rsidP="008A7464">
            <w:pPr>
              <w:spacing w:line="276" w:lineRule="auto"/>
              <w:jc w:val="center"/>
              <w:rPr>
                <w:lang w:eastAsia="en-GB"/>
              </w:rPr>
            </w:pPr>
            <w:r w:rsidRPr="000B4E2C">
              <w:rPr>
                <w:lang w:eastAsia="en-GB"/>
              </w:rPr>
              <w:t>68 (11)</w:t>
            </w:r>
          </w:p>
        </w:tc>
        <w:tc>
          <w:tcPr>
            <w:tcW w:w="0" w:type="auto"/>
            <w:shd w:val="clear" w:color="auto" w:fill="auto"/>
            <w:vAlign w:val="center"/>
          </w:tcPr>
          <w:p w14:paraId="2DC07E7C" w14:textId="77777777" w:rsidR="002F0133" w:rsidRPr="000B4E2C" w:rsidRDefault="002F0133" w:rsidP="008A7464">
            <w:pPr>
              <w:spacing w:line="276" w:lineRule="auto"/>
              <w:jc w:val="center"/>
              <w:rPr>
                <w:lang w:eastAsia="en-GB"/>
              </w:rPr>
            </w:pPr>
            <w:r w:rsidRPr="000B4E2C">
              <w:rPr>
                <w:lang w:eastAsia="en-GB"/>
              </w:rPr>
              <w:t>109</w:t>
            </w:r>
          </w:p>
        </w:tc>
        <w:tc>
          <w:tcPr>
            <w:tcW w:w="0" w:type="auto"/>
            <w:shd w:val="clear" w:color="auto" w:fill="auto"/>
            <w:vAlign w:val="center"/>
          </w:tcPr>
          <w:p w14:paraId="4CC11C16" w14:textId="77777777" w:rsidR="002F0133" w:rsidRPr="000B4E2C" w:rsidRDefault="002F0133" w:rsidP="008A7464">
            <w:pPr>
              <w:spacing w:line="276" w:lineRule="auto"/>
              <w:jc w:val="center"/>
              <w:rPr>
                <w:lang w:eastAsia="en-GB"/>
              </w:rPr>
            </w:pPr>
            <w:r w:rsidRPr="000B4E2C">
              <w:rPr>
                <w:lang w:eastAsia="en-GB"/>
              </w:rPr>
              <w:t>16</w:t>
            </w:r>
          </w:p>
        </w:tc>
        <w:tc>
          <w:tcPr>
            <w:tcW w:w="0" w:type="auto"/>
            <w:shd w:val="clear" w:color="auto" w:fill="auto"/>
            <w:vAlign w:val="center"/>
          </w:tcPr>
          <w:p w14:paraId="275F44F2" w14:textId="77777777" w:rsidR="002F0133" w:rsidRPr="000B4E2C" w:rsidRDefault="002F0133" w:rsidP="008A7464">
            <w:pPr>
              <w:spacing w:line="276" w:lineRule="auto"/>
              <w:jc w:val="center"/>
              <w:rPr>
                <w:lang w:eastAsia="en-GB"/>
              </w:rPr>
            </w:pPr>
            <w:r w:rsidRPr="000B4E2C">
              <w:rPr>
                <w:lang w:eastAsia="en-GB"/>
              </w:rPr>
              <w:t>AKIN</w:t>
            </w:r>
          </w:p>
        </w:tc>
        <w:tc>
          <w:tcPr>
            <w:tcW w:w="0" w:type="auto"/>
            <w:shd w:val="clear" w:color="auto" w:fill="auto"/>
          </w:tcPr>
          <w:p w14:paraId="0CE4C04C" w14:textId="77777777" w:rsidR="002F0133" w:rsidRPr="000B4E2C" w:rsidRDefault="002F0133" w:rsidP="008A7464">
            <w:pPr>
              <w:spacing w:line="276" w:lineRule="auto"/>
              <w:jc w:val="center"/>
              <w:rPr>
                <w:lang w:eastAsia="en-GB"/>
              </w:rPr>
            </w:pPr>
          </w:p>
          <w:p w14:paraId="3EB1E8EB" w14:textId="77777777" w:rsidR="002F0133" w:rsidRPr="000B4E2C" w:rsidRDefault="002F0133" w:rsidP="008A7464">
            <w:pPr>
              <w:spacing w:line="276" w:lineRule="auto"/>
              <w:jc w:val="center"/>
              <w:rPr>
                <w:lang w:eastAsia="en-GB"/>
              </w:rPr>
            </w:pPr>
            <w:r w:rsidRPr="000B4E2C">
              <w:rPr>
                <w:lang w:eastAsia="en-GB"/>
              </w:rPr>
              <w:t>NR</w:t>
            </w:r>
          </w:p>
        </w:tc>
      </w:tr>
      <w:tr w:rsidR="002F0133" w:rsidRPr="000B4E2C" w14:paraId="5DB80BEB" w14:textId="77777777" w:rsidTr="000B4E2C">
        <w:trPr>
          <w:cantSplit/>
        </w:trPr>
        <w:tc>
          <w:tcPr>
            <w:tcW w:w="0" w:type="auto"/>
            <w:shd w:val="clear" w:color="auto" w:fill="auto"/>
            <w:vAlign w:val="center"/>
          </w:tcPr>
          <w:p w14:paraId="48221D20" w14:textId="297711CB" w:rsidR="002F0133" w:rsidRPr="000B4E2C" w:rsidRDefault="002F0133" w:rsidP="008A7464">
            <w:pPr>
              <w:spacing w:line="276" w:lineRule="auto"/>
              <w:rPr>
                <w:lang w:eastAsia="en-GB"/>
              </w:rPr>
            </w:pPr>
            <w:r w:rsidRPr="000B4E2C">
              <w:rPr>
                <w:lang w:eastAsia="en-GB"/>
              </w:rPr>
              <w:lastRenderedPageBreak/>
              <w:t>Asada 2016</w:t>
            </w:r>
            <w:r w:rsidR="00024FA4" w:rsidRPr="000B4E2C">
              <w:rPr>
                <w:lang w:eastAsia="en-GB"/>
              </w:rPr>
              <w:t>,</w:t>
            </w:r>
            <w:r w:rsidR="005B5026" w:rsidRPr="000B4E2C">
              <w:rPr>
                <w:noProof/>
                <w:vertAlign w:val="superscript"/>
                <w:lang w:eastAsia="en-GB"/>
              </w:rPr>
              <w:t>52</w:t>
            </w:r>
            <w:r w:rsidR="00024FA4" w:rsidRPr="000B4E2C">
              <w:rPr>
                <w:lang w:eastAsia="en-GB"/>
              </w:rPr>
              <w:t xml:space="preserve"> </w:t>
            </w:r>
            <w:r w:rsidRPr="000B4E2C">
              <w:rPr>
                <w:lang w:eastAsia="en-GB"/>
              </w:rPr>
              <w:t>Japan</w:t>
            </w:r>
          </w:p>
        </w:tc>
        <w:tc>
          <w:tcPr>
            <w:tcW w:w="0" w:type="auto"/>
            <w:shd w:val="clear" w:color="auto" w:fill="auto"/>
            <w:vAlign w:val="center"/>
          </w:tcPr>
          <w:p w14:paraId="5FC42F49" w14:textId="77777777" w:rsidR="002F0133" w:rsidRPr="000B4E2C" w:rsidRDefault="002F0133" w:rsidP="008A7464">
            <w:pPr>
              <w:spacing w:line="276" w:lineRule="auto"/>
              <w:jc w:val="center"/>
              <w:rPr>
                <w:lang w:eastAsia="en-GB"/>
              </w:rPr>
            </w:pPr>
            <w:r w:rsidRPr="000B4E2C">
              <w:rPr>
                <w:lang w:eastAsia="en-GB"/>
              </w:rPr>
              <w:t>uNGAL, ARCHITECT, Abbott</w:t>
            </w:r>
          </w:p>
        </w:tc>
        <w:tc>
          <w:tcPr>
            <w:tcW w:w="0" w:type="auto"/>
            <w:shd w:val="clear" w:color="auto" w:fill="auto"/>
            <w:vAlign w:val="center"/>
          </w:tcPr>
          <w:p w14:paraId="0456FB7C" w14:textId="69A58DA9"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(ICU/ITU)</w:t>
            </w:r>
          </w:p>
        </w:tc>
        <w:tc>
          <w:tcPr>
            <w:tcW w:w="0" w:type="auto"/>
            <w:shd w:val="clear" w:color="auto" w:fill="auto"/>
            <w:vAlign w:val="center"/>
          </w:tcPr>
          <w:p w14:paraId="17FA701C" w14:textId="77777777" w:rsidR="002F0133" w:rsidRPr="000B4E2C" w:rsidRDefault="002F0133" w:rsidP="008A7464">
            <w:pPr>
              <w:spacing w:line="276" w:lineRule="auto"/>
              <w:jc w:val="center"/>
              <w:rPr>
                <w:lang w:eastAsia="en-GB"/>
              </w:rPr>
            </w:pPr>
            <w:r w:rsidRPr="000B4E2C">
              <w:rPr>
                <w:lang w:eastAsia="en-GB"/>
              </w:rPr>
              <w:t>AKI 62 (48, 74)</w:t>
            </w:r>
          </w:p>
          <w:p w14:paraId="7DAB8E27" w14:textId="77777777" w:rsidR="002F0133" w:rsidRPr="000B4E2C" w:rsidRDefault="002F0133" w:rsidP="008A7464">
            <w:pPr>
              <w:spacing w:line="276" w:lineRule="auto"/>
              <w:jc w:val="center"/>
              <w:rPr>
                <w:lang w:eastAsia="en-GB"/>
              </w:rPr>
            </w:pPr>
            <w:r w:rsidRPr="000B4E2C">
              <w:rPr>
                <w:lang w:eastAsia="en-GB"/>
              </w:rPr>
              <w:t>No AKI 63 (51,73)</w:t>
            </w:r>
          </w:p>
        </w:tc>
        <w:tc>
          <w:tcPr>
            <w:tcW w:w="0" w:type="auto"/>
            <w:shd w:val="clear" w:color="auto" w:fill="auto"/>
            <w:vAlign w:val="center"/>
          </w:tcPr>
          <w:p w14:paraId="39795FE9" w14:textId="77777777" w:rsidR="002F0133" w:rsidRPr="000B4E2C" w:rsidRDefault="002F0133" w:rsidP="008A7464">
            <w:pPr>
              <w:spacing w:line="276" w:lineRule="auto"/>
              <w:jc w:val="center"/>
              <w:rPr>
                <w:lang w:eastAsia="en-GB"/>
              </w:rPr>
            </w:pPr>
            <w:r w:rsidRPr="000B4E2C">
              <w:rPr>
                <w:lang w:eastAsia="en-GB"/>
              </w:rPr>
              <w:t>133</w:t>
            </w:r>
          </w:p>
        </w:tc>
        <w:tc>
          <w:tcPr>
            <w:tcW w:w="0" w:type="auto"/>
            <w:shd w:val="clear" w:color="auto" w:fill="auto"/>
            <w:vAlign w:val="center"/>
          </w:tcPr>
          <w:p w14:paraId="00613D4C" w14:textId="77777777" w:rsidR="002F0133" w:rsidRPr="000B4E2C" w:rsidRDefault="002F0133" w:rsidP="008A7464">
            <w:pPr>
              <w:spacing w:line="276" w:lineRule="auto"/>
              <w:jc w:val="center"/>
              <w:rPr>
                <w:lang w:eastAsia="en-GB"/>
              </w:rPr>
            </w:pPr>
            <w:r w:rsidRPr="000B4E2C">
              <w:rPr>
                <w:lang w:eastAsia="en-GB"/>
              </w:rPr>
              <w:t>31</w:t>
            </w:r>
          </w:p>
        </w:tc>
        <w:tc>
          <w:tcPr>
            <w:tcW w:w="0" w:type="auto"/>
            <w:shd w:val="clear" w:color="auto" w:fill="auto"/>
            <w:vAlign w:val="center"/>
          </w:tcPr>
          <w:p w14:paraId="2D79434F" w14:textId="77777777" w:rsidR="002F0133" w:rsidRPr="000B4E2C" w:rsidRDefault="002F0133" w:rsidP="008A7464">
            <w:pPr>
              <w:spacing w:line="276" w:lineRule="auto"/>
              <w:jc w:val="center"/>
              <w:rPr>
                <w:lang w:eastAsia="en-GB"/>
              </w:rPr>
            </w:pPr>
            <w:r w:rsidRPr="000B4E2C">
              <w:rPr>
                <w:lang w:eastAsia="en-GB"/>
              </w:rPr>
              <w:t>KDIGO</w:t>
            </w:r>
          </w:p>
        </w:tc>
        <w:tc>
          <w:tcPr>
            <w:tcW w:w="0" w:type="auto"/>
            <w:shd w:val="clear" w:color="auto" w:fill="auto"/>
          </w:tcPr>
          <w:p w14:paraId="2017F81B" w14:textId="77777777" w:rsidR="002F0133" w:rsidRPr="000B4E2C" w:rsidRDefault="002F0133" w:rsidP="008A7464">
            <w:pPr>
              <w:spacing w:line="276" w:lineRule="auto"/>
              <w:jc w:val="center"/>
              <w:rPr>
                <w:lang w:eastAsia="en-GB"/>
              </w:rPr>
            </w:pPr>
            <w:r w:rsidRPr="000B4E2C">
              <w:rPr>
                <w:lang w:eastAsia="en-GB"/>
              </w:rPr>
              <w:t>Within 7 days of admission</w:t>
            </w:r>
          </w:p>
          <w:p w14:paraId="5295F3D5" w14:textId="77777777" w:rsidR="002F0133" w:rsidRPr="000B4E2C" w:rsidRDefault="002F0133" w:rsidP="008A7464">
            <w:pPr>
              <w:jc w:val="center"/>
              <w:rPr>
                <w:lang w:eastAsia="en-GB"/>
              </w:rPr>
            </w:pPr>
          </w:p>
        </w:tc>
      </w:tr>
      <w:tr w:rsidR="002F0133" w:rsidRPr="000B4E2C" w14:paraId="4F9D2A37" w14:textId="77777777" w:rsidTr="000B4E2C">
        <w:trPr>
          <w:cantSplit/>
        </w:trPr>
        <w:tc>
          <w:tcPr>
            <w:tcW w:w="0" w:type="auto"/>
            <w:shd w:val="clear" w:color="auto" w:fill="auto"/>
            <w:vAlign w:val="center"/>
          </w:tcPr>
          <w:p w14:paraId="78AE1288" w14:textId="04D03F5A" w:rsidR="002F0133" w:rsidRPr="000B4E2C" w:rsidRDefault="002F0133" w:rsidP="008A7464">
            <w:pPr>
              <w:spacing w:line="276" w:lineRule="auto"/>
              <w:rPr>
                <w:lang w:eastAsia="en-GB"/>
              </w:rPr>
            </w:pPr>
            <w:r w:rsidRPr="000B4E2C">
              <w:rPr>
                <w:lang w:eastAsia="en-GB"/>
              </w:rPr>
              <w:t>Collins 2012</w:t>
            </w:r>
            <w:r w:rsidR="00024FA4" w:rsidRPr="000B4E2C">
              <w:rPr>
                <w:lang w:eastAsia="en-GB"/>
              </w:rPr>
              <w:t>,</w:t>
            </w:r>
            <w:r w:rsidR="005B5026" w:rsidRPr="000B4E2C">
              <w:rPr>
                <w:noProof/>
                <w:vertAlign w:val="superscript"/>
                <w:lang w:eastAsia="en-GB"/>
              </w:rPr>
              <w:t>53</w:t>
            </w:r>
            <w:r w:rsidR="00024FA4" w:rsidRPr="000B4E2C">
              <w:rPr>
                <w:lang w:eastAsia="en-GB"/>
              </w:rPr>
              <w:t xml:space="preserve"> </w:t>
            </w:r>
            <w:r w:rsidRPr="000B4E2C">
              <w:rPr>
                <w:lang w:eastAsia="en-GB"/>
              </w:rPr>
              <w:t>USA</w:t>
            </w:r>
          </w:p>
        </w:tc>
        <w:tc>
          <w:tcPr>
            <w:tcW w:w="0" w:type="auto"/>
            <w:shd w:val="clear" w:color="auto" w:fill="auto"/>
            <w:vAlign w:val="center"/>
          </w:tcPr>
          <w:p w14:paraId="4909D548" w14:textId="77777777" w:rsidR="002F0133" w:rsidRPr="000B4E2C" w:rsidRDefault="002F0133" w:rsidP="008A7464">
            <w:pPr>
              <w:spacing w:line="276" w:lineRule="auto"/>
              <w:jc w:val="center"/>
              <w:rPr>
                <w:lang w:eastAsia="en-GB"/>
              </w:rPr>
            </w:pPr>
            <w:r w:rsidRPr="000B4E2C">
              <w:rPr>
                <w:lang w:eastAsia="en-GB"/>
              </w:rPr>
              <w:t>uNGAL, ARCHITECT, Abbott</w:t>
            </w:r>
          </w:p>
        </w:tc>
        <w:tc>
          <w:tcPr>
            <w:tcW w:w="0" w:type="auto"/>
            <w:shd w:val="clear" w:color="auto" w:fill="auto"/>
            <w:vAlign w:val="center"/>
          </w:tcPr>
          <w:p w14:paraId="1947F7F6" w14:textId="067F6661"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(acute heart failure)</w:t>
            </w:r>
          </w:p>
        </w:tc>
        <w:tc>
          <w:tcPr>
            <w:tcW w:w="0" w:type="auto"/>
            <w:shd w:val="clear" w:color="auto" w:fill="auto"/>
            <w:vAlign w:val="center"/>
          </w:tcPr>
          <w:p w14:paraId="790052CF" w14:textId="77777777" w:rsidR="002F0133" w:rsidRPr="000B4E2C" w:rsidRDefault="002F0133" w:rsidP="008A7464">
            <w:pPr>
              <w:spacing w:line="276" w:lineRule="auto"/>
              <w:jc w:val="center"/>
              <w:rPr>
                <w:lang w:eastAsia="en-GB"/>
              </w:rPr>
            </w:pPr>
            <w:r w:rsidRPr="000B4E2C">
              <w:rPr>
                <w:lang w:eastAsia="en-GB"/>
              </w:rPr>
              <w:t>NR</w:t>
            </w:r>
          </w:p>
        </w:tc>
        <w:tc>
          <w:tcPr>
            <w:tcW w:w="0" w:type="auto"/>
            <w:shd w:val="clear" w:color="auto" w:fill="auto"/>
            <w:vAlign w:val="center"/>
          </w:tcPr>
          <w:p w14:paraId="1C75C31E" w14:textId="77777777" w:rsidR="002F0133" w:rsidRPr="000B4E2C" w:rsidRDefault="002F0133" w:rsidP="008A7464">
            <w:pPr>
              <w:spacing w:line="276" w:lineRule="auto"/>
              <w:jc w:val="center"/>
              <w:rPr>
                <w:lang w:eastAsia="en-GB"/>
              </w:rPr>
            </w:pPr>
            <w:r w:rsidRPr="000B4E2C">
              <w:rPr>
                <w:lang w:eastAsia="en-GB"/>
              </w:rPr>
              <w:t>399</w:t>
            </w:r>
          </w:p>
        </w:tc>
        <w:tc>
          <w:tcPr>
            <w:tcW w:w="0" w:type="auto"/>
            <w:shd w:val="clear" w:color="auto" w:fill="auto"/>
            <w:vAlign w:val="center"/>
          </w:tcPr>
          <w:p w14:paraId="6CCB095F" w14:textId="77777777" w:rsidR="002F0133" w:rsidRPr="000B4E2C" w:rsidRDefault="002F0133" w:rsidP="008A7464">
            <w:pPr>
              <w:spacing w:line="276" w:lineRule="auto"/>
              <w:jc w:val="center"/>
              <w:rPr>
                <w:lang w:eastAsia="en-GB"/>
              </w:rPr>
            </w:pPr>
            <w:r w:rsidRPr="000B4E2C">
              <w:rPr>
                <w:lang w:eastAsia="en-GB"/>
              </w:rPr>
              <w:t>20</w:t>
            </w:r>
          </w:p>
        </w:tc>
        <w:tc>
          <w:tcPr>
            <w:tcW w:w="0" w:type="auto"/>
            <w:shd w:val="clear" w:color="auto" w:fill="auto"/>
            <w:vAlign w:val="center"/>
          </w:tcPr>
          <w:p w14:paraId="4433798C" w14:textId="3282BD43" w:rsidR="002F0133" w:rsidRPr="000B4E2C" w:rsidRDefault="002F0133" w:rsidP="008A7464">
            <w:pPr>
              <w:spacing w:line="276" w:lineRule="auto"/>
              <w:jc w:val="center"/>
              <w:rPr>
                <w:lang w:eastAsia="en-GB"/>
              </w:rPr>
            </w:pPr>
            <w:r w:rsidRPr="000B4E2C">
              <w:rPr>
                <w:lang w:eastAsia="en-GB"/>
              </w:rPr>
              <w:t xml:space="preserve">Increase in </w:t>
            </w:r>
            <w:r w:rsidRPr="000B4E2C">
              <w:rPr>
                <w:bCs/>
                <w:lang w:eastAsia="en-GB"/>
              </w:rPr>
              <w:t>sCr</w:t>
            </w:r>
            <w:r w:rsidRPr="000B4E2C">
              <w:rPr>
                <w:lang w:eastAsia="en-GB"/>
              </w:rPr>
              <w:t xml:space="preserve"> </w:t>
            </w:r>
            <w:r w:rsidR="000B4E2C" w:rsidRPr="000B4E2C">
              <w:rPr>
                <w:color w:val="00B0F0"/>
                <w:lang w:eastAsia="en-GB"/>
              </w:rPr>
              <w:t>≥ </w:t>
            </w:r>
            <w:r w:rsidR="000B4E2C" w:rsidRPr="000B4E2C">
              <w:rPr>
                <w:color w:val="00B0F0"/>
                <w:lang w:eastAsia="en-GB"/>
              </w:rPr>
              <w:t>0</w:t>
            </w:r>
            <w:r w:rsidRPr="000B4E2C">
              <w:rPr>
                <w:lang w:eastAsia="en-GB"/>
              </w:rPr>
              <w:t>.3mg/dL or RIFLE</w:t>
            </w:r>
          </w:p>
        </w:tc>
        <w:tc>
          <w:tcPr>
            <w:tcW w:w="0" w:type="auto"/>
            <w:shd w:val="clear" w:color="auto" w:fill="auto"/>
          </w:tcPr>
          <w:p w14:paraId="05CAC967" w14:textId="77777777" w:rsidR="002F0133" w:rsidRPr="000B4E2C" w:rsidRDefault="002F0133" w:rsidP="008A7464">
            <w:pPr>
              <w:spacing w:line="276" w:lineRule="auto"/>
              <w:jc w:val="center"/>
              <w:rPr>
                <w:lang w:eastAsia="en-GB"/>
              </w:rPr>
            </w:pPr>
            <w:r w:rsidRPr="000B4E2C">
              <w:rPr>
                <w:lang w:eastAsia="en-GB"/>
              </w:rPr>
              <w:t>Worsening renal function at 12 to 24 hours and 72 to 96 hours</w:t>
            </w:r>
          </w:p>
        </w:tc>
      </w:tr>
      <w:tr w:rsidR="002F0133" w:rsidRPr="000B4E2C" w14:paraId="0CAC8A8B" w14:textId="77777777" w:rsidTr="000B4E2C">
        <w:trPr>
          <w:cantSplit/>
        </w:trPr>
        <w:tc>
          <w:tcPr>
            <w:tcW w:w="0" w:type="auto"/>
            <w:shd w:val="clear" w:color="auto" w:fill="auto"/>
            <w:vAlign w:val="center"/>
          </w:tcPr>
          <w:p w14:paraId="5B6969DA" w14:textId="110A063D" w:rsidR="002F0133" w:rsidRPr="000B4E2C" w:rsidRDefault="002F0133" w:rsidP="008A7464">
            <w:pPr>
              <w:spacing w:line="276" w:lineRule="auto"/>
              <w:rPr>
                <w:lang w:eastAsia="en-GB"/>
              </w:rPr>
            </w:pPr>
            <w:r w:rsidRPr="000B4E2C">
              <w:rPr>
                <w:lang w:eastAsia="en-GB"/>
              </w:rPr>
              <w:t>Dupont 2012</w:t>
            </w:r>
            <w:r w:rsidR="00024FA4" w:rsidRPr="000B4E2C">
              <w:rPr>
                <w:lang w:eastAsia="en-GB"/>
              </w:rPr>
              <w:t>,</w:t>
            </w:r>
            <w:r w:rsidR="005B5026" w:rsidRPr="000B4E2C">
              <w:rPr>
                <w:noProof/>
                <w:vertAlign w:val="superscript"/>
                <w:lang w:eastAsia="en-GB"/>
              </w:rPr>
              <w:t>54</w:t>
            </w:r>
            <w:r w:rsidRPr="000B4E2C">
              <w:rPr>
                <w:lang w:eastAsia="en-GB"/>
              </w:rPr>
              <w:t xml:space="preserve"> USA</w:t>
            </w:r>
          </w:p>
        </w:tc>
        <w:tc>
          <w:tcPr>
            <w:tcW w:w="0" w:type="auto"/>
            <w:shd w:val="clear" w:color="auto" w:fill="auto"/>
            <w:vAlign w:val="center"/>
          </w:tcPr>
          <w:p w14:paraId="760EC348" w14:textId="77777777" w:rsidR="002F0133" w:rsidRPr="000B4E2C" w:rsidRDefault="002F0133" w:rsidP="008A7464">
            <w:pPr>
              <w:spacing w:line="276" w:lineRule="auto"/>
              <w:jc w:val="center"/>
              <w:rPr>
                <w:lang w:eastAsia="en-GB"/>
              </w:rPr>
            </w:pPr>
            <w:r w:rsidRPr="000B4E2C">
              <w:rPr>
                <w:lang w:eastAsia="en-GB"/>
              </w:rPr>
              <w:t>uNGAL, ARCHITECT, Abbott</w:t>
            </w:r>
          </w:p>
        </w:tc>
        <w:tc>
          <w:tcPr>
            <w:tcW w:w="0" w:type="auto"/>
            <w:shd w:val="clear" w:color="auto" w:fill="auto"/>
            <w:vAlign w:val="center"/>
          </w:tcPr>
          <w:p w14:paraId="2F66A15C" w14:textId="42979127"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(acute decongestive heart failure)</w:t>
            </w:r>
          </w:p>
        </w:tc>
        <w:tc>
          <w:tcPr>
            <w:tcW w:w="0" w:type="auto"/>
            <w:shd w:val="clear" w:color="auto" w:fill="auto"/>
            <w:vAlign w:val="center"/>
          </w:tcPr>
          <w:p w14:paraId="0F49182C" w14:textId="77777777" w:rsidR="002F0133" w:rsidRPr="000B4E2C" w:rsidRDefault="002F0133" w:rsidP="008A7464">
            <w:pPr>
              <w:spacing w:line="276" w:lineRule="auto"/>
              <w:jc w:val="center"/>
              <w:rPr>
                <w:lang w:eastAsia="en-GB"/>
              </w:rPr>
            </w:pPr>
            <w:r w:rsidRPr="000B4E2C">
              <w:rPr>
                <w:lang w:eastAsia="en-GB"/>
              </w:rPr>
              <w:t>NR</w:t>
            </w:r>
          </w:p>
        </w:tc>
        <w:tc>
          <w:tcPr>
            <w:tcW w:w="0" w:type="auto"/>
            <w:shd w:val="clear" w:color="auto" w:fill="auto"/>
            <w:vAlign w:val="center"/>
          </w:tcPr>
          <w:p w14:paraId="023109FC" w14:textId="77777777" w:rsidR="002F0133" w:rsidRPr="000B4E2C" w:rsidRDefault="002F0133" w:rsidP="008A7464">
            <w:pPr>
              <w:spacing w:line="276" w:lineRule="auto"/>
              <w:jc w:val="center"/>
              <w:rPr>
                <w:lang w:eastAsia="en-GB"/>
              </w:rPr>
            </w:pPr>
            <w:r w:rsidRPr="000B4E2C">
              <w:rPr>
                <w:lang w:eastAsia="en-GB"/>
              </w:rPr>
              <w:t>141</w:t>
            </w:r>
          </w:p>
        </w:tc>
        <w:tc>
          <w:tcPr>
            <w:tcW w:w="0" w:type="auto"/>
            <w:shd w:val="clear" w:color="auto" w:fill="auto"/>
            <w:vAlign w:val="center"/>
          </w:tcPr>
          <w:p w14:paraId="2E58AC4A" w14:textId="77777777" w:rsidR="002F0133" w:rsidRPr="000B4E2C" w:rsidRDefault="002F0133" w:rsidP="008A7464">
            <w:pPr>
              <w:spacing w:line="276" w:lineRule="auto"/>
              <w:jc w:val="center"/>
              <w:rPr>
                <w:lang w:eastAsia="en-GB"/>
              </w:rPr>
            </w:pPr>
            <w:r w:rsidRPr="000B4E2C">
              <w:rPr>
                <w:lang w:eastAsia="en-GB"/>
              </w:rPr>
              <w:t>35</w:t>
            </w:r>
          </w:p>
        </w:tc>
        <w:tc>
          <w:tcPr>
            <w:tcW w:w="0" w:type="auto"/>
            <w:shd w:val="clear" w:color="auto" w:fill="auto"/>
            <w:vAlign w:val="center"/>
          </w:tcPr>
          <w:p w14:paraId="1AD65F04" w14:textId="6187F1A3" w:rsidR="002F0133" w:rsidRPr="000B4E2C" w:rsidRDefault="002F0133" w:rsidP="008A7464">
            <w:pPr>
              <w:spacing w:line="276" w:lineRule="auto"/>
              <w:jc w:val="center"/>
              <w:rPr>
                <w:lang w:eastAsia="en-GB"/>
              </w:rPr>
            </w:pPr>
            <w:r w:rsidRPr="000B4E2C">
              <w:rPr>
                <w:lang w:eastAsia="en-GB"/>
              </w:rPr>
              <w:t xml:space="preserve">Increase in </w:t>
            </w:r>
            <w:r w:rsidRPr="000B4E2C">
              <w:rPr>
                <w:bCs/>
                <w:lang w:eastAsia="en-GB"/>
              </w:rPr>
              <w:t>sCr</w:t>
            </w:r>
            <w:r w:rsidRPr="000B4E2C">
              <w:rPr>
                <w:lang w:eastAsia="en-GB"/>
              </w:rPr>
              <w:t xml:space="preserve"> </w:t>
            </w:r>
            <w:r w:rsidR="000B4E2C" w:rsidRPr="000B4E2C">
              <w:rPr>
                <w:color w:val="00B0F0"/>
                <w:lang w:eastAsia="en-GB"/>
              </w:rPr>
              <w:t>≥ </w:t>
            </w:r>
            <w:r w:rsidR="000B4E2C" w:rsidRPr="000B4E2C">
              <w:rPr>
                <w:color w:val="00B0F0"/>
                <w:lang w:eastAsia="en-GB"/>
              </w:rPr>
              <w:t>0</w:t>
            </w:r>
            <w:r w:rsidRPr="000B4E2C">
              <w:rPr>
                <w:lang w:eastAsia="en-GB"/>
              </w:rPr>
              <w:t>.3mg/dL</w:t>
            </w:r>
          </w:p>
        </w:tc>
        <w:tc>
          <w:tcPr>
            <w:tcW w:w="0" w:type="auto"/>
            <w:shd w:val="clear" w:color="auto" w:fill="auto"/>
          </w:tcPr>
          <w:p w14:paraId="2D07D58D" w14:textId="77777777" w:rsidR="002F0133" w:rsidRPr="000B4E2C" w:rsidRDefault="002F0133" w:rsidP="008A7464">
            <w:pPr>
              <w:spacing w:line="276" w:lineRule="auto"/>
              <w:jc w:val="center"/>
              <w:rPr>
                <w:lang w:eastAsia="en-GB"/>
              </w:rPr>
            </w:pPr>
            <w:r w:rsidRPr="000B4E2C">
              <w:rPr>
                <w:lang w:eastAsia="en-GB"/>
              </w:rPr>
              <w:t>Within 48 hours of admission</w:t>
            </w:r>
          </w:p>
          <w:p w14:paraId="20984570" w14:textId="77777777" w:rsidR="002F0133" w:rsidRPr="000B4E2C" w:rsidRDefault="002F0133" w:rsidP="008A7464">
            <w:pPr>
              <w:spacing w:line="276" w:lineRule="auto"/>
              <w:jc w:val="center"/>
              <w:rPr>
                <w:lang w:eastAsia="en-GB"/>
              </w:rPr>
            </w:pPr>
          </w:p>
        </w:tc>
      </w:tr>
      <w:tr w:rsidR="002F0133" w:rsidRPr="000B4E2C" w14:paraId="35713D8C" w14:textId="77777777" w:rsidTr="000B4E2C">
        <w:trPr>
          <w:cantSplit/>
        </w:trPr>
        <w:tc>
          <w:tcPr>
            <w:tcW w:w="0" w:type="auto"/>
            <w:shd w:val="clear" w:color="auto" w:fill="auto"/>
            <w:vAlign w:val="center"/>
          </w:tcPr>
          <w:p w14:paraId="524BBA75" w14:textId="16F21022" w:rsidR="002F0133" w:rsidRPr="000B4E2C" w:rsidRDefault="002F0133" w:rsidP="008A7464">
            <w:pPr>
              <w:spacing w:line="276" w:lineRule="auto"/>
              <w:rPr>
                <w:lang w:eastAsia="en-GB"/>
              </w:rPr>
            </w:pPr>
            <w:r w:rsidRPr="000B4E2C">
              <w:rPr>
                <w:lang w:eastAsia="en-GB"/>
              </w:rPr>
              <w:t>Isshiki 2018</w:t>
            </w:r>
            <w:r w:rsidR="00024FA4" w:rsidRPr="000B4E2C">
              <w:rPr>
                <w:lang w:eastAsia="en-GB"/>
              </w:rPr>
              <w:t>,</w:t>
            </w:r>
            <w:r w:rsidR="005B5026" w:rsidRPr="000B4E2C">
              <w:rPr>
                <w:noProof/>
                <w:vertAlign w:val="superscript"/>
                <w:lang w:eastAsia="en-GB"/>
              </w:rPr>
              <w:t>55</w:t>
            </w:r>
            <w:r w:rsidR="00024FA4" w:rsidRPr="000B4E2C">
              <w:rPr>
                <w:lang w:eastAsia="en-GB"/>
              </w:rPr>
              <w:t xml:space="preserve"> </w:t>
            </w:r>
            <w:r w:rsidRPr="000B4E2C">
              <w:rPr>
                <w:lang w:eastAsia="en-GB"/>
              </w:rPr>
              <w:t>Japan</w:t>
            </w:r>
          </w:p>
        </w:tc>
        <w:tc>
          <w:tcPr>
            <w:tcW w:w="0" w:type="auto"/>
            <w:shd w:val="clear" w:color="auto" w:fill="auto"/>
            <w:vAlign w:val="center"/>
          </w:tcPr>
          <w:p w14:paraId="3E3CEAAD" w14:textId="77777777" w:rsidR="002F0133" w:rsidRPr="000B4E2C" w:rsidRDefault="002F0133" w:rsidP="008A7464">
            <w:pPr>
              <w:spacing w:line="276" w:lineRule="auto"/>
              <w:jc w:val="center"/>
              <w:rPr>
                <w:lang w:eastAsia="en-GB"/>
              </w:rPr>
            </w:pPr>
            <w:r w:rsidRPr="000B4E2C">
              <w:rPr>
                <w:lang w:eastAsia="en-GB"/>
              </w:rPr>
              <w:t>uNGAL, ARCHITECT, Abbott</w:t>
            </w:r>
          </w:p>
        </w:tc>
        <w:tc>
          <w:tcPr>
            <w:tcW w:w="0" w:type="auto"/>
            <w:shd w:val="clear" w:color="auto" w:fill="auto"/>
            <w:vAlign w:val="center"/>
          </w:tcPr>
          <w:p w14:paraId="4203D653" w14:textId="129A00B3"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(ICU/ITU)</w:t>
            </w:r>
          </w:p>
        </w:tc>
        <w:tc>
          <w:tcPr>
            <w:tcW w:w="0" w:type="auto"/>
            <w:shd w:val="clear" w:color="auto" w:fill="auto"/>
            <w:vAlign w:val="center"/>
          </w:tcPr>
          <w:p w14:paraId="28420213" w14:textId="77777777" w:rsidR="002F0133" w:rsidRPr="000B4E2C" w:rsidRDefault="002F0133" w:rsidP="008A7464">
            <w:pPr>
              <w:spacing w:line="276" w:lineRule="auto"/>
              <w:jc w:val="center"/>
              <w:rPr>
                <w:lang w:eastAsia="en-GB"/>
              </w:rPr>
            </w:pPr>
            <w:r w:rsidRPr="000B4E2C">
              <w:rPr>
                <w:lang w:eastAsia="en-GB"/>
              </w:rPr>
              <w:t>62 (51,73) *</w:t>
            </w:r>
          </w:p>
        </w:tc>
        <w:tc>
          <w:tcPr>
            <w:tcW w:w="0" w:type="auto"/>
            <w:shd w:val="clear" w:color="auto" w:fill="auto"/>
            <w:vAlign w:val="center"/>
          </w:tcPr>
          <w:p w14:paraId="0756572A" w14:textId="77777777" w:rsidR="002F0133" w:rsidRPr="000B4E2C" w:rsidRDefault="002F0133" w:rsidP="008A7464">
            <w:pPr>
              <w:spacing w:line="276" w:lineRule="auto"/>
              <w:jc w:val="center"/>
              <w:rPr>
                <w:lang w:eastAsia="en-GB"/>
              </w:rPr>
            </w:pPr>
            <w:r w:rsidRPr="000B4E2C">
              <w:rPr>
                <w:lang w:eastAsia="en-GB"/>
              </w:rPr>
              <w:t>148</w:t>
            </w:r>
          </w:p>
        </w:tc>
        <w:tc>
          <w:tcPr>
            <w:tcW w:w="0" w:type="auto"/>
            <w:shd w:val="clear" w:color="auto" w:fill="auto"/>
            <w:vAlign w:val="center"/>
          </w:tcPr>
          <w:p w14:paraId="165AABF2" w14:textId="77777777" w:rsidR="002F0133" w:rsidRPr="000B4E2C" w:rsidRDefault="002F0133" w:rsidP="008A7464">
            <w:pPr>
              <w:spacing w:line="276" w:lineRule="auto"/>
              <w:jc w:val="center"/>
              <w:rPr>
                <w:lang w:eastAsia="en-GB"/>
              </w:rPr>
            </w:pPr>
            <w:r w:rsidRPr="000B4E2C">
              <w:rPr>
                <w:lang w:eastAsia="en-GB"/>
              </w:rPr>
              <w:t>33</w:t>
            </w:r>
          </w:p>
        </w:tc>
        <w:tc>
          <w:tcPr>
            <w:tcW w:w="0" w:type="auto"/>
            <w:shd w:val="clear" w:color="auto" w:fill="auto"/>
            <w:vAlign w:val="center"/>
          </w:tcPr>
          <w:p w14:paraId="2F83138B" w14:textId="77777777" w:rsidR="002F0133" w:rsidRPr="000B4E2C" w:rsidRDefault="002F0133" w:rsidP="008A7464">
            <w:pPr>
              <w:spacing w:line="276" w:lineRule="auto"/>
              <w:jc w:val="center"/>
              <w:rPr>
                <w:lang w:eastAsia="en-GB"/>
              </w:rPr>
            </w:pPr>
            <w:r w:rsidRPr="000B4E2C">
              <w:rPr>
                <w:lang w:eastAsia="en-GB"/>
              </w:rPr>
              <w:t>KDIGO</w:t>
            </w:r>
          </w:p>
        </w:tc>
        <w:tc>
          <w:tcPr>
            <w:tcW w:w="0" w:type="auto"/>
            <w:shd w:val="clear" w:color="auto" w:fill="auto"/>
          </w:tcPr>
          <w:p w14:paraId="529190EA" w14:textId="77777777" w:rsidR="002F0133" w:rsidRPr="000B4E2C" w:rsidRDefault="002F0133" w:rsidP="008A7464">
            <w:pPr>
              <w:spacing w:line="276" w:lineRule="auto"/>
              <w:jc w:val="center"/>
              <w:rPr>
                <w:lang w:eastAsia="en-GB"/>
              </w:rPr>
            </w:pPr>
            <w:r w:rsidRPr="000B4E2C">
              <w:rPr>
                <w:lang w:eastAsia="en-GB"/>
              </w:rPr>
              <w:t>Within 7 days of admission</w:t>
            </w:r>
          </w:p>
        </w:tc>
      </w:tr>
      <w:tr w:rsidR="002F0133" w:rsidRPr="000B4E2C" w14:paraId="055F6DB1" w14:textId="77777777" w:rsidTr="000B4E2C">
        <w:trPr>
          <w:cantSplit/>
        </w:trPr>
        <w:tc>
          <w:tcPr>
            <w:tcW w:w="0" w:type="auto"/>
            <w:shd w:val="clear" w:color="auto" w:fill="auto"/>
            <w:vAlign w:val="center"/>
          </w:tcPr>
          <w:p w14:paraId="5452E3D9" w14:textId="643FC5F9" w:rsidR="002F0133" w:rsidRPr="000B4E2C" w:rsidRDefault="002F0133" w:rsidP="008A7464">
            <w:pPr>
              <w:spacing w:line="276" w:lineRule="auto"/>
              <w:rPr>
                <w:lang w:eastAsia="en-GB"/>
              </w:rPr>
            </w:pPr>
            <w:r w:rsidRPr="000B4E2C">
              <w:rPr>
                <w:lang w:eastAsia="en-GB"/>
              </w:rPr>
              <w:t>Kokkoris</w:t>
            </w:r>
            <w:r w:rsidR="000B4E2C" w:rsidRPr="000B4E2C">
              <w:rPr>
                <w:lang w:eastAsia="en-GB"/>
              </w:rPr>
              <w:t xml:space="preserve"> </w:t>
            </w:r>
            <w:r w:rsidRPr="000B4E2C">
              <w:rPr>
                <w:lang w:eastAsia="en-GB"/>
              </w:rPr>
              <w:t>2012</w:t>
            </w:r>
            <w:r w:rsidR="00024FA4" w:rsidRPr="000B4E2C">
              <w:rPr>
                <w:lang w:eastAsia="en-GB"/>
              </w:rPr>
              <w:t>,</w:t>
            </w:r>
            <w:r w:rsidR="005B5026" w:rsidRPr="000B4E2C">
              <w:rPr>
                <w:noProof/>
                <w:vertAlign w:val="superscript"/>
                <w:lang w:eastAsia="en-GB"/>
              </w:rPr>
              <w:t>56</w:t>
            </w:r>
            <w:r w:rsidR="00024FA4" w:rsidRPr="000B4E2C">
              <w:rPr>
                <w:lang w:eastAsia="en-GB"/>
              </w:rPr>
              <w:t xml:space="preserve"> </w:t>
            </w:r>
            <w:r w:rsidRPr="000B4E2C">
              <w:rPr>
                <w:lang w:eastAsia="en-GB"/>
              </w:rPr>
              <w:t>Greece</w:t>
            </w:r>
          </w:p>
        </w:tc>
        <w:tc>
          <w:tcPr>
            <w:tcW w:w="0" w:type="auto"/>
            <w:shd w:val="clear" w:color="auto" w:fill="auto"/>
            <w:vAlign w:val="center"/>
          </w:tcPr>
          <w:p w14:paraId="0AFBDA52" w14:textId="77777777" w:rsidR="002F0133" w:rsidRPr="000B4E2C" w:rsidRDefault="002F0133" w:rsidP="008A7464">
            <w:pPr>
              <w:spacing w:line="276" w:lineRule="auto"/>
              <w:jc w:val="center"/>
              <w:rPr>
                <w:lang w:eastAsia="en-GB"/>
              </w:rPr>
            </w:pPr>
            <w:r w:rsidRPr="000B4E2C">
              <w:rPr>
                <w:lang w:eastAsia="en-GB"/>
              </w:rPr>
              <w:t>uNGAL, ARCHITECT, Abbott</w:t>
            </w:r>
          </w:p>
        </w:tc>
        <w:tc>
          <w:tcPr>
            <w:tcW w:w="0" w:type="auto"/>
            <w:shd w:val="clear" w:color="auto" w:fill="auto"/>
            <w:vAlign w:val="center"/>
          </w:tcPr>
          <w:p w14:paraId="7AF33122" w14:textId="2332D592"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(ICU/ITU)</w:t>
            </w:r>
          </w:p>
        </w:tc>
        <w:tc>
          <w:tcPr>
            <w:tcW w:w="0" w:type="auto"/>
            <w:shd w:val="clear" w:color="auto" w:fill="auto"/>
            <w:vAlign w:val="center"/>
          </w:tcPr>
          <w:p w14:paraId="5EB0F224" w14:textId="77777777" w:rsidR="002F0133" w:rsidRPr="000B4E2C" w:rsidRDefault="002F0133" w:rsidP="008A7464">
            <w:pPr>
              <w:spacing w:line="276" w:lineRule="auto"/>
              <w:jc w:val="center"/>
              <w:rPr>
                <w:lang w:eastAsia="en-GB"/>
              </w:rPr>
            </w:pPr>
            <w:r w:rsidRPr="000B4E2C">
              <w:rPr>
                <w:lang w:eastAsia="en-GB"/>
              </w:rPr>
              <w:t>AKI</w:t>
            </w:r>
          </w:p>
          <w:p w14:paraId="4546349B" w14:textId="77777777" w:rsidR="002F0133" w:rsidRPr="000B4E2C" w:rsidRDefault="002F0133" w:rsidP="008A7464">
            <w:pPr>
              <w:spacing w:line="276" w:lineRule="auto"/>
              <w:jc w:val="center"/>
              <w:rPr>
                <w:lang w:eastAsia="en-GB"/>
              </w:rPr>
            </w:pPr>
            <w:r w:rsidRPr="000B4E2C">
              <w:rPr>
                <w:lang w:eastAsia="en-GB"/>
              </w:rPr>
              <w:t>63 (50, 81)</w:t>
            </w:r>
          </w:p>
          <w:p w14:paraId="315CFCDF" w14:textId="77777777" w:rsidR="002F0133" w:rsidRPr="000B4E2C" w:rsidRDefault="002F0133" w:rsidP="008A7464">
            <w:pPr>
              <w:spacing w:line="276" w:lineRule="auto"/>
              <w:jc w:val="center"/>
              <w:rPr>
                <w:lang w:eastAsia="en-GB"/>
              </w:rPr>
            </w:pPr>
            <w:r w:rsidRPr="000B4E2C">
              <w:rPr>
                <w:lang w:eastAsia="en-GB"/>
              </w:rPr>
              <w:t>No AKI</w:t>
            </w:r>
          </w:p>
          <w:p w14:paraId="575DB354" w14:textId="77777777" w:rsidR="002F0133" w:rsidRPr="000B4E2C" w:rsidRDefault="002F0133" w:rsidP="008A7464">
            <w:pPr>
              <w:spacing w:line="276" w:lineRule="auto"/>
              <w:jc w:val="center"/>
              <w:rPr>
                <w:lang w:eastAsia="en-GB"/>
              </w:rPr>
            </w:pPr>
            <w:r w:rsidRPr="000B4E2C">
              <w:rPr>
                <w:lang w:eastAsia="en-GB"/>
              </w:rPr>
              <w:t>49 (35, 66) *</w:t>
            </w:r>
          </w:p>
        </w:tc>
        <w:tc>
          <w:tcPr>
            <w:tcW w:w="0" w:type="auto"/>
            <w:shd w:val="clear" w:color="auto" w:fill="auto"/>
            <w:vAlign w:val="center"/>
          </w:tcPr>
          <w:p w14:paraId="40B57FD2" w14:textId="77777777" w:rsidR="002F0133" w:rsidRPr="000B4E2C" w:rsidRDefault="002F0133" w:rsidP="008A7464">
            <w:pPr>
              <w:spacing w:line="276" w:lineRule="auto"/>
              <w:jc w:val="center"/>
              <w:rPr>
                <w:lang w:eastAsia="en-GB"/>
              </w:rPr>
            </w:pPr>
            <w:r w:rsidRPr="000B4E2C">
              <w:rPr>
                <w:lang w:eastAsia="en-GB"/>
              </w:rPr>
              <w:t>100</w:t>
            </w:r>
          </w:p>
        </w:tc>
        <w:tc>
          <w:tcPr>
            <w:tcW w:w="0" w:type="auto"/>
            <w:shd w:val="clear" w:color="auto" w:fill="auto"/>
            <w:vAlign w:val="center"/>
          </w:tcPr>
          <w:p w14:paraId="0DF5811F" w14:textId="77777777" w:rsidR="002F0133" w:rsidRPr="000B4E2C" w:rsidRDefault="002F0133" w:rsidP="008A7464">
            <w:pPr>
              <w:spacing w:line="276" w:lineRule="auto"/>
              <w:jc w:val="center"/>
              <w:rPr>
                <w:lang w:eastAsia="en-GB"/>
              </w:rPr>
            </w:pPr>
            <w:r w:rsidRPr="000B4E2C">
              <w:rPr>
                <w:lang w:eastAsia="en-GB"/>
              </w:rPr>
              <w:t>36</w:t>
            </w:r>
          </w:p>
        </w:tc>
        <w:tc>
          <w:tcPr>
            <w:tcW w:w="0" w:type="auto"/>
            <w:shd w:val="clear" w:color="auto" w:fill="auto"/>
            <w:vAlign w:val="center"/>
          </w:tcPr>
          <w:p w14:paraId="1E672FF8" w14:textId="77777777" w:rsidR="002F0133" w:rsidRPr="000B4E2C" w:rsidRDefault="002F0133" w:rsidP="008A7464">
            <w:pPr>
              <w:spacing w:line="276" w:lineRule="auto"/>
              <w:jc w:val="center"/>
              <w:rPr>
                <w:lang w:eastAsia="en-GB"/>
              </w:rPr>
            </w:pPr>
            <w:r w:rsidRPr="000B4E2C">
              <w:rPr>
                <w:lang w:eastAsia="en-GB"/>
              </w:rPr>
              <w:t>RIFLE</w:t>
            </w:r>
          </w:p>
        </w:tc>
        <w:tc>
          <w:tcPr>
            <w:tcW w:w="0" w:type="auto"/>
            <w:shd w:val="clear" w:color="auto" w:fill="auto"/>
          </w:tcPr>
          <w:p w14:paraId="77A80F49" w14:textId="77777777" w:rsidR="002F0133" w:rsidRPr="000B4E2C" w:rsidRDefault="002F0133" w:rsidP="008A7464">
            <w:pPr>
              <w:spacing w:line="276" w:lineRule="auto"/>
              <w:jc w:val="center"/>
              <w:rPr>
                <w:lang w:eastAsia="en-GB"/>
              </w:rPr>
            </w:pPr>
            <w:r w:rsidRPr="000B4E2C">
              <w:rPr>
                <w:lang w:eastAsia="en-GB"/>
              </w:rPr>
              <w:t>Within 7 days of admission</w:t>
            </w:r>
          </w:p>
        </w:tc>
      </w:tr>
      <w:tr w:rsidR="002F0133" w:rsidRPr="000B4E2C" w14:paraId="5A024688" w14:textId="77777777" w:rsidTr="000B4E2C">
        <w:trPr>
          <w:cantSplit/>
        </w:trPr>
        <w:tc>
          <w:tcPr>
            <w:tcW w:w="0" w:type="auto"/>
            <w:shd w:val="clear" w:color="auto" w:fill="auto"/>
            <w:vAlign w:val="center"/>
          </w:tcPr>
          <w:p w14:paraId="38FFD0AE" w14:textId="3B53D4E4" w:rsidR="002F0133" w:rsidRPr="000B4E2C" w:rsidRDefault="002F0133" w:rsidP="008A7464">
            <w:pPr>
              <w:spacing w:line="276" w:lineRule="auto"/>
              <w:rPr>
                <w:lang w:eastAsia="en-GB"/>
              </w:rPr>
            </w:pPr>
            <w:r w:rsidRPr="000B4E2C">
              <w:rPr>
                <w:lang w:eastAsia="en-GB"/>
              </w:rPr>
              <w:t>Martensson 2015</w:t>
            </w:r>
            <w:r w:rsidR="00024FA4" w:rsidRPr="000B4E2C">
              <w:rPr>
                <w:lang w:eastAsia="en-GB"/>
              </w:rPr>
              <w:t>,</w:t>
            </w:r>
            <w:r w:rsidR="005B5026" w:rsidRPr="000B4E2C">
              <w:rPr>
                <w:noProof/>
                <w:vertAlign w:val="superscript"/>
                <w:lang w:eastAsia="en-GB"/>
              </w:rPr>
              <w:t>57</w:t>
            </w:r>
            <w:r w:rsidRPr="000B4E2C">
              <w:rPr>
                <w:lang w:eastAsia="en-GB"/>
              </w:rPr>
              <w:t xml:space="preserve"> Australia</w:t>
            </w:r>
          </w:p>
        </w:tc>
        <w:tc>
          <w:tcPr>
            <w:tcW w:w="0" w:type="auto"/>
            <w:shd w:val="clear" w:color="auto" w:fill="auto"/>
            <w:vAlign w:val="center"/>
          </w:tcPr>
          <w:p w14:paraId="48F57196" w14:textId="77777777" w:rsidR="002F0133" w:rsidRPr="000B4E2C" w:rsidRDefault="002F0133" w:rsidP="008A7464">
            <w:pPr>
              <w:spacing w:line="276" w:lineRule="auto"/>
              <w:jc w:val="center"/>
              <w:rPr>
                <w:lang w:eastAsia="en-GB"/>
              </w:rPr>
            </w:pPr>
            <w:r w:rsidRPr="000B4E2C">
              <w:rPr>
                <w:lang w:eastAsia="en-GB"/>
              </w:rPr>
              <w:t>uNGAL, ARCHITECT, Abbott</w:t>
            </w:r>
          </w:p>
        </w:tc>
        <w:tc>
          <w:tcPr>
            <w:tcW w:w="0" w:type="auto"/>
            <w:shd w:val="clear" w:color="auto" w:fill="auto"/>
            <w:vAlign w:val="center"/>
          </w:tcPr>
          <w:p w14:paraId="0B13612F" w14:textId="32B22280"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(ICU/ITU)</w:t>
            </w:r>
          </w:p>
        </w:tc>
        <w:tc>
          <w:tcPr>
            <w:tcW w:w="0" w:type="auto"/>
            <w:shd w:val="clear" w:color="auto" w:fill="auto"/>
            <w:vAlign w:val="center"/>
          </w:tcPr>
          <w:p w14:paraId="01840BD0" w14:textId="77777777" w:rsidR="002F0133" w:rsidRPr="000B4E2C" w:rsidRDefault="002F0133" w:rsidP="008A7464">
            <w:pPr>
              <w:spacing w:line="276" w:lineRule="auto"/>
              <w:jc w:val="center"/>
              <w:rPr>
                <w:lang w:eastAsia="en-GB"/>
              </w:rPr>
            </w:pPr>
            <w:r w:rsidRPr="000B4E2C">
              <w:rPr>
                <w:lang w:eastAsia="en-GB"/>
              </w:rPr>
              <w:t>Mild AKI</w:t>
            </w:r>
          </w:p>
          <w:p w14:paraId="41C5E5D5" w14:textId="77777777" w:rsidR="002F0133" w:rsidRPr="000B4E2C" w:rsidRDefault="002F0133" w:rsidP="008A7464">
            <w:pPr>
              <w:spacing w:line="276" w:lineRule="auto"/>
              <w:jc w:val="center"/>
              <w:rPr>
                <w:lang w:eastAsia="en-GB"/>
              </w:rPr>
            </w:pPr>
            <w:r w:rsidRPr="000B4E2C">
              <w:rPr>
                <w:lang w:eastAsia="en-GB"/>
              </w:rPr>
              <w:t>69 (59,74)</w:t>
            </w:r>
          </w:p>
          <w:p w14:paraId="600EE9DB" w14:textId="77777777" w:rsidR="002F0133" w:rsidRPr="000B4E2C" w:rsidRDefault="002F0133" w:rsidP="008A7464">
            <w:pPr>
              <w:spacing w:line="276" w:lineRule="auto"/>
              <w:jc w:val="center"/>
              <w:rPr>
                <w:lang w:eastAsia="en-GB"/>
              </w:rPr>
            </w:pPr>
            <w:r w:rsidRPr="000B4E2C">
              <w:rPr>
                <w:lang w:eastAsia="en-GB"/>
              </w:rPr>
              <w:t>Severe AKI</w:t>
            </w:r>
          </w:p>
          <w:p w14:paraId="372E54D2" w14:textId="77777777" w:rsidR="002F0133" w:rsidRPr="000B4E2C" w:rsidRDefault="002F0133" w:rsidP="008A7464">
            <w:pPr>
              <w:spacing w:line="276" w:lineRule="auto"/>
              <w:jc w:val="center"/>
              <w:rPr>
                <w:lang w:eastAsia="en-GB"/>
              </w:rPr>
            </w:pPr>
            <w:r w:rsidRPr="000B4E2C">
              <w:rPr>
                <w:lang w:eastAsia="en-GB"/>
              </w:rPr>
              <w:t>68 (54,76)</w:t>
            </w:r>
          </w:p>
          <w:p w14:paraId="0778C31A" w14:textId="77777777" w:rsidR="002F0133" w:rsidRPr="000B4E2C" w:rsidRDefault="002F0133" w:rsidP="008A7464">
            <w:pPr>
              <w:spacing w:line="276" w:lineRule="auto"/>
              <w:jc w:val="center"/>
              <w:rPr>
                <w:lang w:eastAsia="en-GB"/>
              </w:rPr>
            </w:pPr>
            <w:r w:rsidRPr="000B4E2C">
              <w:rPr>
                <w:lang w:eastAsia="en-GB"/>
              </w:rPr>
              <w:t>No AKI</w:t>
            </w:r>
          </w:p>
          <w:p w14:paraId="3EE16282" w14:textId="77777777" w:rsidR="002F0133" w:rsidRPr="000B4E2C" w:rsidRDefault="002F0133" w:rsidP="008A7464">
            <w:pPr>
              <w:spacing w:line="276" w:lineRule="auto"/>
              <w:jc w:val="center"/>
              <w:rPr>
                <w:lang w:eastAsia="en-GB"/>
              </w:rPr>
            </w:pPr>
            <w:r w:rsidRPr="000B4E2C">
              <w:rPr>
                <w:lang w:eastAsia="en-GB"/>
              </w:rPr>
              <w:t>62 (48,72) *</w:t>
            </w:r>
          </w:p>
        </w:tc>
        <w:tc>
          <w:tcPr>
            <w:tcW w:w="0" w:type="auto"/>
            <w:shd w:val="clear" w:color="auto" w:fill="auto"/>
            <w:vAlign w:val="center"/>
          </w:tcPr>
          <w:p w14:paraId="678CF98E" w14:textId="77777777" w:rsidR="002F0133" w:rsidRPr="000B4E2C" w:rsidRDefault="002F0133" w:rsidP="008A7464">
            <w:pPr>
              <w:spacing w:line="276" w:lineRule="auto"/>
              <w:jc w:val="center"/>
              <w:rPr>
                <w:lang w:eastAsia="en-GB"/>
              </w:rPr>
            </w:pPr>
            <w:r w:rsidRPr="000B4E2C">
              <w:rPr>
                <w:lang w:eastAsia="en-GB"/>
              </w:rPr>
              <w:t>102</w:t>
            </w:r>
          </w:p>
        </w:tc>
        <w:tc>
          <w:tcPr>
            <w:tcW w:w="0" w:type="auto"/>
            <w:shd w:val="clear" w:color="auto" w:fill="auto"/>
            <w:vAlign w:val="center"/>
          </w:tcPr>
          <w:p w14:paraId="264E9EBE" w14:textId="77777777" w:rsidR="002F0133" w:rsidRPr="000B4E2C" w:rsidRDefault="002F0133" w:rsidP="008A7464">
            <w:pPr>
              <w:spacing w:line="276" w:lineRule="auto"/>
              <w:jc w:val="center"/>
              <w:rPr>
                <w:lang w:eastAsia="en-GB"/>
              </w:rPr>
            </w:pPr>
            <w:r w:rsidRPr="000B4E2C">
              <w:rPr>
                <w:lang w:eastAsia="en-GB"/>
              </w:rPr>
              <w:t>28</w:t>
            </w:r>
          </w:p>
        </w:tc>
        <w:tc>
          <w:tcPr>
            <w:tcW w:w="0" w:type="auto"/>
            <w:shd w:val="clear" w:color="auto" w:fill="auto"/>
            <w:vAlign w:val="center"/>
          </w:tcPr>
          <w:p w14:paraId="312CB6EA" w14:textId="77777777" w:rsidR="002F0133" w:rsidRPr="000B4E2C" w:rsidRDefault="002F0133" w:rsidP="008A7464">
            <w:pPr>
              <w:spacing w:line="276" w:lineRule="auto"/>
              <w:jc w:val="center"/>
              <w:rPr>
                <w:lang w:eastAsia="en-GB"/>
              </w:rPr>
            </w:pPr>
            <w:r w:rsidRPr="000B4E2C">
              <w:rPr>
                <w:lang w:eastAsia="en-GB"/>
              </w:rPr>
              <w:t>RIFLE</w:t>
            </w:r>
          </w:p>
        </w:tc>
        <w:tc>
          <w:tcPr>
            <w:tcW w:w="0" w:type="auto"/>
            <w:shd w:val="clear" w:color="auto" w:fill="auto"/>
          </w:tcPr>
          <w:p w14:paraId="1FDE2304" w14:textId="77777777" w:rsidR="000B4E2C" w:rsidRPr="000B4E2C" w:rsidRDefault="000B4E2C" w:rsidP="008A7464">
            <w:pPr>
              <w:spacing w:line="276" w:lineRule="auto"/>
              <w:jc w:val="center"/>
              <w:rPr>
                <w:lang w:eastAsia="en-GB"/>
              </w:rPr>
            </w:pPr>
          </w:p>
          <w:p w14:paraId="20E05AA6" w14:textId="77777777" w:rsidR="002F0133" w:rsidRPr="000B4E2C" w:rsidRDefault="002F0133" w:rsidP="008A7464">
            <w:pPr>
              <w:spacing w:line="276" w:lineRule="auto"/>
              <w:jc w:val="center"/>
              <w:rPr>
                <w:lang w:eastAsia="en-GB"/>
              </w:rPr>
            </w:pPr>
            <w:r w:rsidRPr="000B4E2C">
              <w:rPr>
                <w:lang w:eastAsia="en-GB"/>
              </w:rPr>
              <w:t>NR</w:t>
            </w:r>
          </w:p>
        </w:tc>
      </w:tr>
      <w:tr w:rsidR="002F0133" w:rsidRPr="000B4E2C" w14:paraId="31ED88C0" w14:textId="77777777" w:rsidTr="000B4E2C">
        <w:trPr>
          <w:cantSplit/>
        </w:trPr>
        <w:tc>
          <w:tcPr>
            <w:tcW w:w="0" w:type="auto"/>
            <w:shd w:val="clear" w:color="auto" w:fill="auto"/>
            <w:vAlign w:val="center"/>
          </w:tcPr>
          <w:p w14:paraId="2458A58A" w14:textId="096FFE23" w:rsidR="002F0133" w:rsidRPr="000B4E2C" w:rsidRDefault="002F0133" w:rsidP="008A7464">
            <w:pPr>
              <w:spacing w:line="276" w:lineRule="auto"/>
              <w:rPr>
                <w:lang w:eastAsia="en-GB"/>
              </w:rPr>
            </w:pPr>
            <w:r w:rsidRPr="000B4E2C">
              <w:rPr>
                <w:lang w:eastAsia="en-GB"/>
              </w:rPr>
              <w:t>Nickolas 2012</w:t>
            </w:r>
            <w:r w:rsidR="00024FA4" w:rsidRPr="000B4E2C">
              <w:rPr>
                <w:lang w:eastAsia="en-GB"/>
              </w:rPr>
              <w:t>,</w:t>
            </w:r>
            <w:r w:rsidR="005B5026" w:rsidRPr="000B4E2C">
              <w:rPr>
                <w:noProof/>
                <w:vertAlign w:val="superscript"/>
                <w:lang w:eastAsia="en-GB"/>
              </w:rPr>
              <w:t>58</w:t>
            </w:r>
            <w:r w:rsidRPr="000B4E2C">
              <w:rPr>
                <w:lang w:eastAsia="en-GB"/>
              </w:rPr>
              <w:t xml:space="preserve"> USA and Germany</w:t>
            </w:r>
          </w:p>
        </w:tc>
        <w:tc>
          <w:tcPr>
            <w:tcW w:w="0" w:type="auto"/>
            <w:shd w:val="clear" w:color="auto" w:fill="auto"/>
            <w:vAlign w:val="center"/>
          </w:tcPr>
          <w:p w14:paraId="77D35DEB" w14:textId="77777777" w:rsidR="002F0133" w:rsidRPr="000B4E2C" w:rsidRDefault="002F0133" w:rsidP="008A7464">
            <w:pPr>
              <w:spacing w:line="276" w:lineRule="auto"/>
              <w:jc w:val="center"/>
              <w:rPr>
                <w:lang w:eastAsia="en-GB"/>
              </w:rPr>
            </w:pPr>
            <w:r w:rsidRPr="000B4E2C">
              <w:rPr>
                <w:lang w:eastAsia="en-GB"/>
              </w:rPr>
              <w:t>uNGAL, ARCHITECT, Abbott</w:t>
            </w:r>
          </w:p>
        </w:tc>
        <w:tc>
          <w:tcPr>
            <w:tcW w:w="0" w:type="auto"/>
            <w:shd w:val="clear" w:color="auto" w:fill="auto"/>
            <w:vAlign w:val="center"/>
          </w:tcPr>
          <w:p w14:paraId="02C708D2" w14:textId="62401F2D"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(emergency department)</w:t>
            </w:r>
          </w:p>
        </w:tc>
        <w:tc>
          <w:tcPr>
            <w:tcW w:w="0" w:type="auto"/>
            <w:shd w:val="clear" w:color="auto" w:fill="auto"/>
            <w:vAlign w:val="center"/>
          </w:tcPr>
          <w:p w14:paraId="28AA0AED" w14:textId="77777777" w:rsidR="002F0133" w:rsidRPr="000B4E2C" w:rsidRDefault="002F0133" w:rsidP="008A7464">
            <w:pPr>
              <w:spacing w:line="276" w:lineRule="auto"/>
              <w:jc w:val="center"/>
              <w:rPr>
                <w:lang w:eastAsia="en-GB"/>
              </w:rPr>
            </w:pPr>
            <w:r w:rsidRPr="000B4E2C">
              <w:rPr>
                <w:lang w:eastAsia="en-GB"/>
              </w:rPr>
              <w:t>64 (19)</w:t>
            </w:r>
          </w:p>
        </w:tc>
        <w:tc>
          <w:tcPr>
            <w:tcW w:w="0" w:type="auto"/>
            <w:shd w:val="clear" w:color="auto" w:fill="auto"/>
            <w:vAlign w:val="center"/>
          </w:tcPr>
          <w:p w14:paraId="1E71E724" w14:textId="77777777" w:rsidR="002F0133" w:rsidRPr="000B4E2C" w:rsidRDefault="002F0133" w:rsidP="008A7464">
            <w:pPr>
              <w:spacing w:line="276" w:lineRule="auto"/>
              <w:jc w:val="center"/>
              <w:rPr>
                <w:lang w:eastAsia="en-GB"/>
              </w:rPr>
            </w:pPr>
            <w:r w:rsidRPr="000B4E2C">
              <w:rPr>
                <w:lang w:eastAsia="en-GB"/>
              </w:rPr>
              <w:t>1635</w:t>
            </w:r>
          </w:p>
        </w:tc>
        <w:tc>
          <w:tcPr>
            <w:tcW w:w="0" w:type="auto"/>
            <w:shd w:val="clear" w:color="auto" w:fill="auto"/>
            <w:vAlign w:val="center"/>
          </w:tcPr>
          <w:p w14:paraId="12BD0DAC" w14:textId="77777777" w:rsidR="002F0133" w:rsidRPr="000B4E2C" w:rsidRDefault="002F0133" w:rsidP="008A7464">
            <w:pPr>
              <w:spacing w:line="276" w:lineRule="auto"/>
              <w:jc w:val="center"/>
              <w:rPr>
                <w:lang w:eastAsia="en-GB"/>
              </w:rPr>
            </w:pPr>
            <w:r w:rsidRPr="000B4E2C">
              <w:rPr>
                <w:lang w:eastAsia="en-GB"/>
              </w:rPr>
              <w:t>96</w:t>
            </w:r>
          </w:p>
        </w:tc>
        <w:tc>
          <w:tcPr>
            <w:tcW w:w="0" w:type="auto"/>
            <w:shd w:val="clear" w:color="auto" w:fill="auto"/>
            <w:vAlign w:val="center"/>
          </w:tcPr>
          <w:p w14:paraId="79C23ECC" w14:textId="77777777" w:rsidR="002F0133" w:rsidRPr="000B4E2C" w:rsidRDefault="002F0133" w:rsidP="008A7464">
            <w:pPr>
              <w:spacing w:line="276" w:lineRule="auto"/>
              <w:jc w:val="center"/>
              <w:rPr>
                <w:lang w:eastAsia="en-GB"/>
              </w:rPr>
            </w:pPr>
            <w:r w:rsidRPr="000B4E2C">
              <w:rPr>
                <w:lang w:eastAsia="en-GB"/>
              </w:rPr>
              <w:t>RIFLE</w:t>
            </w:r>
          </w:p>
        </w:tc>
        <w:tc>
          <w:tcPr>
            <w:tcW w:w="0" w:type="auto"/>
            <w:shd w:val="clear" w:color="auto" w:fill="auto"/>
          </w:tcPr>
          <w:p w14:paraId="2BF0049B" w14:textId="77777777" w:rsidR="002F0133" w:rsidRPr="000B4E2C" w:rsidRDefault="002F0133" w:rsidP="008A7464">
            <w:pPr>
              <w:spacing w:line="276" w:lineRule="auto"/>
              <w:jc w:val="center"/>
              <w:rPr>
                <w:lang w:eastAsia="en-GB"/>
              </w:rPr>
            </w:pPr>
            <w:r w:rsidRPr="000B4E2C">
              <w:rPr>
                <w:lang w:eastAsia="en-GB"/>
              </w:rPr>
              <w:t>Within 24 hours of admission</w:t>
            </w:r>
          </w:p>
        </w:tc>
      </w:tr>
      <w:tr w:rsidR="002F0133" w:rsidRPr="000B4E2C" w14:paraId="3C877C0C" w14:textId="77777777" w:rsidTr="000B4E2C">
        <w:trPr>
          <w:cantSplit/>
        </w:trPr>
        <w:tc>
          <w:tcPr>
            <w:tcW w:w="0" w:type="auto"/>
            <w:shd w:val="clear" w:color="auto" w:fill="auto"/>
            <w:vAlign w:val="center"/>
          </w:tcPr>
          <w:p w14:paraId="00A3EA72" w14:textId="63B36A15" w:rsidR="002F0133" w:rsidRPr="000B4E2C" w:rsidRDefault="002F0133" w:rsidP="008A7464">
            <w:pPr>
              <w:spacing w:line="276" w:lineRule="auto"/>
              <w:rPr>
                <w:lang w:eastAsia="en-GB"/>
              </w:rPr>
            </w:pPr>
            <w:r w:rsidRPr="000B4E2C">
              <w:rPr>
                <w:lang w:eastAsia="en-GB"/>
              </w:rPr>
              <w:t>Park 2017</w:t>
            </w:r>
            <w:r w:rsidR="00024FA4" w:rsidRPr="000B4E2C">
              <w:rPr>
                <w:lang w:eastAsia="en-GB"/>
              </w:rPr>
              <w:t>,</w:t>
            </w:r>
            <w:r w:rsidR="005B5026" w:rsidRPr="000B4E2C">
              <w:rPr>
                <w:noProof/>
                <w:vertAlign w:val="superscript"/>
                <w:lang w:eastAsia="en-GB"/>
              </w:rPr>
              <w:t>59</w:t>
            </w:r>
            <w:r w:rsidRPr="000B4E2C">
              <w:rPr>
                <w:lang w:eastAsia="en-GB"/>
              </w:rPr>
              <w:t xml:space="preserve"> USA</w:t>
            </w:r>
          </w:p>
        </w:tc>
        <w:tc>
          <w:tcPr>
            <w:tcW w:w="0" w:type="auto"/>
            <w:shd w:val="clear" w:color="auto" w:fill="auto"/>
            <w:vAlign w:val="center"/>
          </w:tcPr>
          <w:p w14:paraId="2B65CFD6" w14:textId="77777777" w:rsidR="002F0133" w:rsidRPr="000B4E2C" w:rsidRDefault="002F0133" w:rsidP="008A7464">
            <w:pPr>
              <w:spacing w:line="276" w:lineRule="auto"/>
              <w:jc w:val="center"/>
              <w:rPr>
                <w:lang w:eastAsia="en-GB"/>
              </w:rPr>
            </w:pPr>
            <w:r w:rsidRPr="000B4E2C">
              <w:rPr>
                <w:lang w:eastAsia="en-GB"/>
              </w:rPr>
              <w:t>uNGAL, ARCHITECT, Abbott</w:t>
            </w:r>
          </w:p>
        </w:tc>
        <w:tc>
          <w:tcPr>
            <w:tcW w:w="0" w:type="auto"/>
            <w:shd w:val="clear" w:color="auto" w:fill="auto"/>
            <w:vAlign w:val="center"/>
          </w:tcPr>
          <w:p w14:paraId="21B9969B" w14:textId="7A925D57" w:rsidR="000B4E2C" w:rsidRPr="000B4E2C" w:rsidRDefault="002F0133" w:rsidP="008A7464">
            <w:pPr>
              <w:spacing w:line="276" w:lineRule="auto"/>
              <w:jc w:val="center"/>
            </w:pPr>
            <w:r w:rsidRPr="000B4E2C">
              <w:t>Critical care</w:t>
            </w:r>
            <w:r w:rsidR="000B4E2C" w:rsidRPr="000B4E2C">
              <w:rPr>
                <w:color w:val="00B0F0"/>
              </w:rPr>
              <w:t xml:space="preserve"> – </w:t>
            </w:r>
            <w:r w:rsidRPr="000B4E2C">
              <w:t>mixed population</w:t>
            </w:r>
          </w:p>
          <w:p w14:paraId="51CE862D" w14:textId="76A136A0" w:rsidR="002F0133" w:rsidRPr="000B4E2C" w:rsidRDefault="002F0133" w:rsidP="008A7464">
            <w:pPr>
              <w:spacing w:line="276" w:lineRule="auto"/>
              <w:jc w:val="center"/>
              <w:rPr>
                <w:lang w:eastAsia="en-GB"/>
              </w:rPr>
            </w:pPr>
            <w:r w:rsidRPr="000B4E2C">
              <w:t>(CKD)</w:t>
            </w:r>
          </w:p>
        </w:tc>
        <w:tc>
          <w:tcPr>
            <w:tcW w:w="0" w:type="auto"/>
            <w:shd w:val="clear" w:color="auto" w:fill="auto"/>
            <w:vAlign w:val="center"/>
          </w:tcPr>
          <w:p w14:paraId="7AFE3BB2" w14:textId="77777777" w:rsidR="002F0133" w:rsidRPr="000B4E2C" w:rsidRDefault="002F0133" w:rsidP="008A7464">
            <w:pPr>
              <w:spacing w:line="276" w:lineRule="auto"/>
              <w:jc w:val="center"/>
              <w:rPr>
                <w:lang w:eastAsia="en-GB"/>
              </w:rPr>
            </w:pPr>
            <w:r w:rsidRPr="000B4E2C">
              <w:rPr>
                <w:lang w:eastAsia="en-GB"/>
              </w:rPr>
              <w:t>59 (11)</w:t>
            </w:r>
          </w:p>
        </w:tc>
        <w:tc>
          <w:tcPr>
            <w:tcW w:w="0" w:type="auto"/>
            <w:shd w:val="clear" w:color="auto" w:fill="auto"/>
            <w:vAlign w:val="center"/>
          </w:tcPr>
          <w:p w14:paraId="06450338" w14:textId="77777777" w:rsidR="002F0133" w:rsidRPr="000B4E2C" w:rsidRDefault="002F0133" w:rsidP="008A7464">
            <w:pPr>
              <w:spacing w:line="276" w:lineRule="auto"/>
              <w:jc w:val="center"/>
              <w:rPr>
                <w:lang w:eastAsia="en-GB"/>
              </w:rPr>
            </w:pPr>
            <w:r w:rsidRPr="000B4E2C">
              <w:rPr>
                <w:lang w:eastAsia="en-GB"/>
              </w:rPr>
              <w:t>2466</w:t>
            </w:r>
          </w:p>
        </w:tc>
        <w:tc>
          <w:tcPr>
            <w:tcW w:w="0" w:type="auto"/>
            <w:shd w:val="clear" w:color="auto" w:fill="auto"/>
            <w:vAlign w:val="center"/>
          </w:tcPr>
          <w:p w14:paraId="20993005" w14:textId="77777777" w:rsidR="002F0133" w:rsidRPr="000B4E2C" w:rsidRDefault="002F0133" w:rsidP="008A7464">
            <w:pPr>
              <w:spacing w:line="276" w:lineRule="auto"/>
              <w:jc w:val="center"/>
              <w:rPr>
                <w:lang w:eastAsia="en-GB"/>
              </w:rPr>
            </w:pPr>
            <w:r w:rsidRPr="000B4E2C">
              <w:rPr>
                <w:lang w:eastAsia="en-GB"/>
              </w:rPr>
              <w:t>NR</w:t>
            </w:r>
          </w:p>
        </w:tc>
        <w:tc>
          <w:tcPr>
            <w:tcW w:w="0" w:type="auto"/>
            <w:shd w:val="clear" w:color="auto" w:fill="auto"/>
            <w:vAlign w:val="center"/>
          </w:tcPr>
          <w:p w14:paraId="2FD3FDE5" w14:textId="77777777" w:rsidR="002F0133" w:rsidRPr="000B4E2C" w:rsidRDefault="002F0133" w:rsidP="008A7464">
            <w:pPr>
              <w:spacing w:line="276" w:lineRule="auto"/>
              <w:jc w:val="center"/>
              <w:rPr>
                <w:lang w:eastAsia="en-GB"/>
              </w:rPr>
            </w:pPr>
            <w:r w:rsidRPr="000B4E2C">
              <w:rPr>
                <w:lang w:eastAsia="en-GB"/>
              </w:rPr>
              <w:t>Unclear</w:t>
            </w:r>
          </w:p>
          <w:p w14:paraId="72BFF801" w14:textId="77777777" w:rsidR="002F0133" w:rsidRPr="000B4E2C" w:rsidRDefault="002F0133" w:rsidP="008A7464">
            <w:pPr>
              <w:spacing w:line="276" w:lineRule="auto"/>
              <w:jc w:val="center"/>
              <w:rPr>
                <w:lang w:eastAsia="en-GB"/>
              </w:rPr>
            </w:pPr>
          </w:p>
        </w:tc>
        <w:tc>
          <w:tcPr>
            <w:tcW w:w="0" w:type="auto"/>
            <w:shd w:val="clear" w:color="auto" w:fill="auto"/>
          </w:tcPr>
          <w:p w14:paraId="499A38F2" w14:textId="77777777" w:rsidR="002F0133" w:rsidRPr="000B4E2C" w:rsidRDefault="002F0133" w:rsidP="008A7464">
            <w:pPr>
              <w:spacing w:line="276" w:lineRule="auto"/>
              <w:jc w:val="center"/>
              <w:rPr>
                <w:lang w:eastAsia="en-GB"/>
              </w:rPr>
            </w:pPr>
            <w:r w:rsidRPr="000B4E2C">
              <w:rPr>
                <w:lang w:eastAsia="en-GB"/>
              </w:rPr>
              <w:t>NR</w:t>
            </w:r>
          </w:p>
        </w:tc>
      </w:tr>
      <w:tr w:rsidR="002F0133" w:rsidRPr="000B4E2C" w14:paraId="05233AAA" w14:textId="77777777" w:rsidTr="000B4E2C">
        <w:trPr>
          <w:cantSplit/>
        </w:trPr>
        <w:tc>
          <w:tcPr>
            <w:tcW w:w="0" w:type="auto"/>
            <w:shd w:val="clear" w:color="auto" w:fill="auto"/>
            <w:vAlign w:val="center"/>
          </w:tcPr>
          <w:p w14:paraId="34AEB3EC" w14:textId="2DB02DE2" w:rsidR="002F0133" w:rsidRPr="000B4E2C" w:rsidRDefault="002F0133" w:rsidP="008A7464">
            <w:pPr>
              <w:spacing w:line="276" w:lineRule="auto"/>
              <w:rPr>
                <w:lang w:eastAsia="en-GB"/>
              </w:rPr>
            </w:pPr>
            <w:r w:rsidRPr="000B4E2C">
              <w:rPr>
                <w:lang w:eastAsia="en-GB"/>
              </w:rPr>
              <w:lastRenderedPageBreak/>
              <w:t>Pipili 2014</w:t>
            </w:r>
            <w:r w:rsidR="00024FA4" w:rsidRPr="000B4E2C">
              <w:rPr>
                <w:lang w:eastAsia="en-GB"/>
              </w:rPr>
              <w:t>,</w:t>
            </w:r>
            <w:r w:rsidR="005B5026" w:rsidRPr="000B4E2C">
              <w:rPr>
                <w:noProof/>
                <w:vertAlign w:val="superscript"/>
                <w:lang w:eastAsia="en-GB"/>
              </w:rPr>
              <w:t>60</w:t>
            </w:r>
            <w:r w:rsidRPr="000B4E2C">
              <w:rPr>
                <w:lang w:eastAsia="en-GB"/>
              </w:rPr>
              <w:t xml:space="preserve"> Greece</w:t>
            </w:r>
          </w:p>
        </w:tc>
        <w:tc>
          <w:tcPr>
            <w:tcW w:w="0" w:type="auto"/>
            <w:shd w:val="clear" w:color="auto" w:fill="auto"/>
            <w:vAlign w:val="center"/>
          </w:tcPr>
          <w:p w14:paraId="2D393D3A" w14:textId="77777777" w:rsidR="002F0133" w:rsidRPr="000B4E2C" w:rsidRDefault="002F0133" w:rsidP="008A7464">
            <w:pPr>
              <w:spacing w:line="276" w:lineRule="auto"/>
              <w:jc w:val="center"/>
              <w:rPr>
                <w:lang w:eastAsia="en-GB"/>
              </w:rPr>
            </w:pPr>
            <w:r w:rsidRPr="000B4E2C">
              <w:rPr>
                <w:lang w:eastAsia="en-GB"/>
              </w:rPr>
              <w:t>uNGAL, ARCHITECT, Abbott</w:t>
            </w:r>
          </w:p>
        </w:tc>
        <w:tc>
          <w:tcPr>
            <w:tcW w:w="0" w:type="auto"/>
            <w:shd w:val="clear" w:color="auto" w:fill="auto"/>
            <w:vAlign w:val="center"/>
          </w:tcPr>
          <w:p w14:paraId="07EEA168" w14:textId="0076D658"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(mechanically ventilated patients admitted to the ICU)</w:t>
            </w:r>
          </w:p>
        </w:tc>
        <w:tc>
          <w:tcPr>
            <w:tcW w:w="0" w:type="auto"/>
            <w:shd w:val="clear" w:color="auto" w:fill="auto"/>
            <w:vAlign w:val="center"/>
          </w:tcPr>
          <w:p w14:paraId="68B2C342" w14:textId="77777777" w:rsidR="002F0133" w:rsidRPr="000B4E2C" w:rsidRDefault="002F0133" w:rsidP="008A7464">
            <w:pPr>
              <w:spacing w:line="276" w:lineRule="auto"/>
              <w:jc w:val="center"/>
              <w:rPr>
                <w:lang w:eastAsia="en-GB"/>
              </w:rPr>
            </w:pPr>
            <w:r w:rsidRPr="000B4E2C">
              <w:rPr>
                <w:lang w:eastAsia="en-GB"/>
              </w:rPr>
              <w:t>64 (18)</w:t>
            </w:r>
          </w:p>
        </w:tc>
        <w:tc>
          <w:tcPr>
            <w:tcW w:w="0" w:type="auto"/>
            <w:shd w:val="clear" w:color="auto" w:fill="auto"/>
            <w:vAlign w:val="center"/>
          </w:tcPr>
          <w:p w14:paraId="2CF9A8D3" w14:textId="77777777" w:rsidR="002F0133" w:rsidRPr="000B4E2C" w:rsidRDefault="002F0133" w:rsidP="008A7464">
            <w:pPr>
              <w:spacing w:line="276" w:lineRule="auto"/>
              <w:jc w:val="center"/>
              <w:rPr>
                <w:lang w:eastAsia="en-GB"/>
              </w:rPr>
            </w:pPr>
            <w:r w:rsidRPr="000B4E2C">
              <w:rPr>
                <w:lang w:eastAsia="en-GB"/>
              </w:rPr>
              <w:t>106</w:t>
            </w:r>
          </w:p>
        </w:tc>
        <w:tc>
          <w:tcPr>
            <w:tcW w:w="0" w:type="auto"/>
            <w:shd w:val="clear" w:color="auto" w:fill="auto"/>
            <w:vAlign w:val="center"/>
          </w:tcPr>
          <w:p w14:paraId="00CE6512" w14:textId="77777777" w:rsidR="002F0133" w:rsidRPr="000B4E2C" w:rsidRDefault="002F0133" w:rsidP="008A7464">
            <w:pPr>
              <w:spacing w:line="276" w:lineRule="auto"/>
              <w:jc w:val="center"/>
              <w:rPr>
                <w:lang w:eastAsia="en-GB"/>
              </w:rPr>
            </w:pPr>
            <w:r w:rsidRPr="000B4E2C">
              <w:rPr>
                <w:lang w:eastAsia="en-GB"/>
              </w:rPr>
              <w:t>44</w:t>
            </w:r>
          </w:p>
        </w:tc>
        <w:tc>
          <w:tcPr>
            <w:tcW w:w="0" w:type="auto"/>
            <w:shd w:val="clear" w:color="auto" w:fill="auto"/>
            <w:vAlign w:val="center"/>
          </w:tcPr>
          <w:p w14:paraId="090822C8" w14:textId="77777777" w:rsidR="002F0133" w:rsidRPr="000B4E2C" w:rsidRDefault="002F0133" w:rsidP="008A7464">
            <w:pPr>
              <w:spacing w:line="276" w:lineRule="auto"/>
              <w:jc w:val="center"/>
              <w:rPr>
                <w:lang w:eastAsia="en-GB"/>
              </w:rPr>
            </w:pPr>
            <w:r w:rsidRPr="000B4E2C">
              <w:rPr>
                <w:lang w:eastAsia="en-GB"/>
              </w:rPr>
              <w:t>RIFLE</w:t>
            </w:r>
          </w:p>
        </w:tc>
        <w:tc>
          <w:tcPr>
            <w:tcW w:w="0" w:type="auto"/>
            <w:shd w:val="clear" w:color="auto" w:fill="auto"/>
          </w:tcPr>
          <w:p w14:paraId="182B11D3" w14:textId="77777777" w:rsidR="002F0133" w:rsidRPr="000B4E2C" w:rsidRDefault="002F0133" w:rsidP="008A7464">
            <w:pPr>
              <w:spacing w:line="276" w:lineRule="auto"/>
              <w:jc w:val="center"/>
              <w:rPr>
                <w:lang w:eastAsia="en-GB"/>
              </w:rPr>
            </w:pPr>
          </w:p>
          <w:p w14:paraId="47578F5A" w14:textId="77777777" w:rsidR="002F0133" w:rsidRPr="000B4E2C" w:rsidRDefault="002F0133" w:rsidP="008A7464">
            <w:pPr>
              <w:spacing w:line="276" w:lineRule="auto"/>
              <w:jc w:val="center"/>
              <w:rPr>
                <w:lang w:eastAsia="en-GB"/>
              </w:rPr>
            </w:pPr>
            <w:r w:rsidRPr="000B4E2C">
              <w:rPr>
                <w:lang w:eastAsia="en-GB"/>
              </w:rPr>
              <w:t>NR</w:t>
            </w:r>
          </w:p>
        </w:tc>
      </w:tr>
      <w:tr w:rsidR="002F0133" w:rsidRPr="000B4E2C" w14:paraId="2772CF9B" w14:textId="77777777" w:rsidTr="000B4E2C">
        <w:trPr>
          <w:cantSplit/>
        </w:trPr>
        <w:tc>
          <w:tcPr>
            <w:tcW w:w="0" w:type="auto"/>
            <w:shd w:val="clear" w:color="auto" w:fill="auto"/>
            <w:vAlign w:val="center"/>
          </w:tcPr>
          <w:p w14:paraId="338E4827" w14:textId="0030163F" w:rsidR="002F0133" w:rsidRPr="000B4E2C" w:rsidRDefault="002F0133" w:rsidP="008A7464">
            <w:pPr>
              <w:spacing w:line="276" w:lineRule="auto"/>
              <w:rPr>
                <w:lang w:eastAsia="en-GB"/>
              </w:rPr>
            </w:pPr>
            <w:r w:rsidRPr="000B4E2C">
              <w:rPr>
                <w:lang w:eastAsia="en-GB"/>
              </w:rPr>
              <w:t>Treeprasertsuk 2015</w:t>
            </w:r>
            <w:r w:rsidR="00024FA4" w:rsidRPr="000B4E2C">
              <w:rPr>
                <w:lang w:eastAsia="en-GB"/>
              </w:rPr>
              <w:t>,</w:t>
            </w:r>
            <w:r w:rsidR="005B5026" w:rsidRPr="000B4E2C">
              <w:rPr>
                <w:noProof/>
                <w:vertAlign w:val="superscript"/>
                <w:lang w:eastAsia="en-GB"/>
              </w:rPr>
              <w:t>61</w:t>
            </w:r>
            <w:r w:rsidRPr="000B4E2C">
              <w:rPr>
                <w:lang w:eastAsia="en-GB"/>
              </w:rPr>
              <w:t xml:space="preserve"> Thailand</w:t>
            </w:r>
          </w:p>
        </w:tc>
        <w:tc>
          <w:tcPr>
            <w:tcW w:w="0" w:type="auto"/>
            <w:shd w:val="clear" w:color="auto" w:fill="auto"/>
            <w:vAlign w:val="center"/>
          </w:tcPr>
          <w:p w14:paraId="7472C313" w14:textId="77777777" w:rsidR="002F0133" w:rsidRPr="000B4E2C" w:rsidRDefault="002F0133" w:rsidP="008A7464">
            <w:pPr>
              <w:spacing w:line="276" w:lineRule="auto"/>
              <w:jc w:val="center"/>
              <w:rPr>
                <w:lang w:eastAsia="en-GB"/>
              </w:rPr>
            </w:pPr>
            <w:r w:rsidRPr="000B4E2C">
              <w:rPr>
                <w:lang w:eastAsia="en-GB"/>
              </w:rPr>
              <w:t>uNGAL, ARCHITECT, Abbott</w:t>
            </w:r>
          </w:p>
        </w:tc>
        <w:tc>
          <w:tcPr>
            <w:tcW w:w="0" w:type="auto"/>
            <w:shd w:val="clear" w:color="auto" w:fill="auto"/>
            <w:vAlign w:val="center"/>
          </w:tcPr>
          <w:p w14:paraId="71B2B7F8" w14:textId="10972C2A" w:rsidR="002F0133" w:rsidRPr="000B4E2C" w:rsidRDefault="002F0133" w:rsidP="008A7464">
            <w:pPr>
              <w:spacing w:line="276" w:lineRule="auto"/>
              <w:jc w:val="center"/>
            </w:pPr>
            <w:r w:rsidRPr="000B4E2C">
              <w:t>Critical care</w:t>
            </w:r>
            <w:r w:rsidR="000B4E2C" w:rsidRPr="000B4E2C">
              <w:rPr>
                <w:color w:val="00B0F0"/>
              </w:rPr>
              <w:t xml:space="preserve"> – </w:t>
            </w:r>
            <w:r w:rsidRPr="000B4E2C">
              <w:t>mixed population (cirrhosis)</w:t>
            </w:r>
          </w:p>
          <w:p w14:paraId="70489FE6" w14:textId="77777777" w:rsidR="002F0133" w:rsidRPr="000B4E2C" w:rsidRDefault="002F0133" w:rsidP="008A7464">
            <w:pPr>
              <w:spacing w:line="276" w:lineRule="auto"/>
              <w:jc w:val="center"/>
              <w:rPr>
                <w:lang w:eastAsia="en-GB"/>
              </w:rPr>
            </w:pPr>
          </w:p>
        </w:tc>
        <w:tc>
          <w:tcPr>
            <w:tcW w:w="0" w:type="auto"/>
            <w:shd w:val="clear" w:color="auto" w:fill="auto"/>
            <w:vAlign w:val="center"/>
          </w:tcPr>
          <w:p w14:paraId="2D2B2FAB" w14:textId="77777777" w:rsidR="002F0133" w:rsidRPr="000B4E2C" w:rsidRDefault="002F0133" w:rsidP="008A7464">
            <w:pPr>
              <w:spacing w:line="276" w:lineRule="auto"/>
              <w:jc w:val="center"/>
              <w:rPr>
                <w:lang w:eastAsia="en-GB"/>
              </w:rPr>
            </w:pPr>
            <w:r w:rsidRPr="000B4E2C">
              <w:rPr>
                <w:lang w:eastAsia="en-GB"/>
              </w:rPr>
              <w:t>57 (15)</w:t>
            </w:r>
          </w:p>
        </w:tc>
        <w:tc>
          <w:tcPr>
            <w:tcW w:w="0" w:type="auto"/>
            <w:shd w:val="clear" w:color="auto" w:fill="auto"/>
            <w:vAlign w:val="center"/>
          </w:tcPr>
          <w:p w14:paraId="6CD0895C" w14:textId="77777777" w:rsidR="002F0133" w:rsidRPr="000B4E2C" w:rsidRDefault="002F0133" w:rsidP="008A7464">
            <w:pPr>
              <w:spacing w:line="276" w:lineRule="auto"/>
              <w:jc w:val="center"/>
              <w:rPr>
                <w:lang w:eastAsia="en-GB"/>
              </w:rPr>
            </w:pPr>
            <w:r w:rsidRPr="000B4E2C">
              <w:rPr>
                <w:lang w:eastAsia="en-GB"/>
              </w:rPr>
              <w:t>121</w:t>
            </w:r>
          </w:p>
        </w:tc>
        <w:tc>
          <w:tcPr>
            <w:tcW w:w="0" w:type="auto"/>
            <w:shd w:val="clear" w:color="auto" w:fill="auto"/>
            <w:vAlign w:val="center"/>
          </w:tcPr>
          <w:p w14:paraId="17329140" w14:textId="77777777" w:rsidR="002F0133" w:rsidRPr="000B4E2C" w:rsidRDefault="002F0133" w:rsidP="008A7464">
            <w:pPr>
              <w:spacing w:line="276" w:lineRule="auto"/>
              <w:jc w:val="center"/>
              <w:rPr>
                <w:lang w:eastAsia="en-GB"/>
              </w:rPr>
            </w:pPr>
            <w:r w:rsidRPr="000B4E2C">
              <w:rPr>
                <w:lang w:eastAsia="en-GB"/>
              </w:rPr>
              <w:t>35</w:t>
            </w:r>
          </w:p>
        </w:tc>
        <w:tc>
          <w:tcPr>
            <w:tcW w:w="0" w:type="auto"/>
            <w:shd w:val="clear" w:color="auto" w:fill="auto"/>
            <w:vAlign w:val="center"/>
          </w:tcPr>
          <w:p w14:paraId="09FAFD6D" w14:textId="77777777" w:rsidR="002F0133" w:rsidRPr="000B4E2C" w:rsidRDefault="002F0133" w:rsidP="008A7464">
            <w:pPr>
              <w:spacing w:line="276" w:lineRule="auto"/>
              <w:jc w:val="center"/>
              <w:rPr>
                <w:lang w:eastAsia="en-GB"/>
              </w:rPr>
            </w:pPr>
            <w:r w:rsidRPr="000B4E2C">
              <w:rPr>
                <w:lang w:eastAsia="en-GB"/>
              </w:rPr>
              <w:t>AKIN</w:t>
            </w:r>
          </w:p>
        </w:tc>
        <w:tc>
          <w:tcPr>
            <w:tcW w:w="0" w:type="auto"/>
            <w:shd w:val="clear" w:color="auto" w:fill="auto"/>
          </w:tcPr>
          <w:p w14:paraId="7CD8E269" w14:textId="77777777" w:rsidR="002F0133" w:rsidRPr="000B4E2C" w:rsidRDefault="002F0133" w:rsidP="008A7464">
            <w:pPr>
              <w:spacing w:line="276" w:lineRule="auto"/>
              <w:jc w:val="center"/>
              <w:rPr>
                <w:lang w:eastAsia="en-GB"/>
              </w:rPr>
            </w:pPr>
            <w:r w:rsidRPr="000B4E2C">
              <w:rPr>
                <w:lang w:eastAsia="en-GB"/>
              </w:rPr>
              <w:t>Within 24 hours of admission</w:t>
            </w:r>
          </w:p>
        </w:tc>
      </w:tr>
      <w:tr w:rsidR="002F0133" w:rsidRPr="000B4E2C" w14:paraId="30E9C7D4" w14:textId="77777777" w:rsidTr="000B4E2C">
        <w:trPr>
          <w:cantSplit/>
        </w:trPr>
        <w:tc>
          <w:tcPr>
            <w:tcW w:w="0" w:type="auto"/>
            <w:shd w:val="clear" w:color="auto" w:fill="auto"/>
            <w:vAlign w:val="center"/>
          </w:tcPr>
          <w:p w14:paraId="0DB26EED" w14:textId="77777777" w:rsidR="000B4E2C" w:rsidRPr="000B4E2C" w:rsidRDefault="002F0133" w:rsidP="008A7464">
            <w:pPr>
              <w:spacing w:line="276" w:lineRule="auto"/>
              <w:rPr>
                <w:lang w:eastAsia="en-GB"/>
              </w:rPr>
            </w:pPr>
            <w:r w:rsidRPr="000B4E2C">
              <w:rPr>
                <w:lang w:eastAsia="en-GB"/>
              </w:rPr>
              <w:t>Haase 2014</w:t>
            </w:r>
            <w:r w:rsidR="00024FA4" w:rsidRPr="000B4E2C">
              <w:rPr>
                <w:lang w:eastAsia="en-GB"/>
              </w:rPr>
              <w:t>,</w:t>
            </w:r>
            <w:r w:rsidR="005B5026" w:rsidRPr="000B4E2C">
              <w:rPr>
                <w:noProof/>
                <w:vertAlign w:val="superscript"/>
                <w:lang w:eastAsia="en-GB"/>
              </w:rPr>
              <w:t>62</w:t>
            </w:r>
            <w:r w:rsidRPr="000B4E2C">
              <w:rPr>
                <w:lang w:eastAsia="en-GB"/>
              </w:rPr>
              <w:t xml:space="preserve"> Germany</w:t>
            </w:r>
          </w:p>
          <w:p w14:paraId="6FAE2AFA" w14:textId="27F218E9" w:rsidR="002F0133" w:rsidRPr="000B4E2C" w:rsidRDefault="002F0133" w:rsidP="002F0133">
            <w:pPr>
              <w:numPr>
                <w:ilvl w:val="0"/>
                <w:numId w:val="35"/>
              </w:numPr>
              <w:spacing w:line="276" w:lineRule="auto"/>
              <w:contextualSpacing/>
              <w:rPr>
                <w:lang w:eastAsia="en-GB"/>
              </w:rPr>
            </w:pPr>
            <w:r w:rsidRPr="000B4E2C">
              <w:rPr>
                <w:lang w:eastAsia="en-GB"/>
              </w:rPr>
              <w:t>Albert 2018</w:t>
            </w:r>
            <w:r w:rsidR="005B5026" w:rsidRPr="000B4E2C">
              <w:rPr>
                <w:noProof/>
                <w:vertAlign w:val="superscript"/>
                <w:lang w:eastAsia="en-GB"/>
              </w:rPr>
              <w:t>47</w:t>
            </w:r>
          </w:p>
        </w:tc>
        <w:tc>
          <w:tcPr>
            <w:tcW w:w="0" w:type="auto"/>
            <w:shd w:val="clear" w:color="auto" w:fill="auto"/>
            <w:vAlign w:val="center"/>
          </w:tcPr>
          <w:p w14:paraId="07B3B56E" w14:textId="4913FC1D" w:rsidR="002F0133" w:rsidRPr="000B4E2C" w:rsidRDefault="002F0133" w:rsidP="008A7464">
            <w:pPr>
              <w:spacing w:line="276" w:lineRule="auto"/>
              <w:jc w:val="center"/>
              <w:rPr>
                <w:lang w:eastAsia="en-GB"/>
              </w:rPr>
            </w:pPr>
            <w:r w:rsidRPr="000B4E2C">
              <w:rPr>
                <w:lang w:eastAsia="en-GB"/>
              </w:rPr>
              <w:t xml:space="preserve">uNGAL, ARCHITECT, Abbott &amp; pNGAL </w:t>
            </w:r>
            <w:r w:rsidR="009D7F5A" w:rsidRPr="000B4E2C">
              <w:rPr>
                <w:lang w:eastAsia="en-GB"/>
              </w:rPr>
              <w:t>BioPorto</w:t>
            </w:r>
          </w:p>
        </w:tc>
        <w:tc>
          <w:tcPr>
            <w:tcW w:w="0" w:type="auto"/>
            <w:shd w:val="clear" w:color="auto" w:fill="auto"/>
            <w:vAlign w:val="center"/>
          </w:tcPr>
          <w:p w14:paraId="1443F323" w14:textId="77777777" w:rsidR="002F0133" w:rsidRPr="000B4E2C" w:rsidRDefault="002F0133" w:rsidP="008A7464">
            <w:pPr>
              <w:spacing w:line="276" w:lineRule="auto"/>
              <w:jc w:val="center"/>
              <w:rPr>
                <w:lang w:eastAsia="en-GB"/>
              </w:rPr>
            </w:pPr>
            <w:r w:rsidRPr="000B4E2C">
              <w:t>Cardiac Surgery (open-heart surgery with CPB)</w:t>
            </w:r>
          </w:p>
        </w:tc>
        <w:tc>
          <w:tcPr>
            <w:tcW w:w="0" w:type="auto"/>
            <w:shd w:val="clear" w:color="auto" w:fill="auto"/>
            <w:vAlign w:val="center"/>
          </w:tcPr>
          <w:p w14:paraId="0DD345B5" w14:textId="77777777" w:rsidR="002F0133" w:rsidRPr="000B4E2C" w:rsidRDefault="002F0133" w:rsidP="008A7464">
            <w:pPr>
              <w:spacing w:line="276" w:lineRule="auto"/>
              <w:jc w:val="center"/>
              <w:rPr>
                <w:lang w:eastAsia="en-GB"/>
              </w:rPr>
            </w:pPr>
            <w:r w:rsidRPr="000B4E2C">
              <w:rPr>
                <w:lang w:eastAsia="en-GB"/>
              </w:rPr>
              <w:t>72 (65,77)</w:t>
            </w:r>
          </w:p>
        </w:tc>
        <w:tc>
          <w:tcPr>
            <w:tcW w:w="0" w:type="auto"/>
            <w:shd w:val="clear" w:color="auto" w:fill="auto"/>
            <w:vAlign w:val="center"/>
          </w:tcPr>
          <w:p w14:paraId="7D25E8DF" w14:textId="77777777" w:rsidR="002F0133" w:rsidRPr="000B4E2C" w:rsidRDefault="002F0133" w:rsidP="008A7464">
            <w:pPr>
              <w:spacing w:line="276" w:lineRule="auto"/>
              <w:jc w:val="center"/>
              <w:rPr>
                <w:lang w:eastAsia="en-GB"/>
              </w:rPr>
            </w:pPr>
            <w:r w:rsidRPr="000B4E2C">
              <w:rPr>
                <w:lang w:eastAsia="en-GB"/>
              </w:rPr>
              <w:t>100</w:t>
            </w:r>
          </w:p>
        </w:tc>
        <w:tc>
          <w:tcPr>
            <w:tcW w:w="0" w:type="auto"/>
            <w:shd w:val="clear" w:color="auto" w:fill="auto"/>
            <w:vAlign w:val="center"/>
          </w:tcPr>
          <w:p w14:paraId="3263B517" w14:textId="77777777" w:rsidR="002F0133" w:rsidRPr="000B4E2C" w:rsidRDefault="002F0133" w:rsidP="008A7464">
            <w:pPr>
              <w:spacing w:line="276" w:lineRule="auto"/>
              <w:jc w:val="center"/>
              <w:rPr>
                <w:lang w:eastAsia="en-GB"/>
              </w:rPr>
            </w:pPr>
            <w:r w:rsidRPr="000B4E2C">
              <w:rPr>
                <w:lang w:eastAsia="en-GB"/>
              </w:rPr>
              <w:t>23</w:t>
            </w:r>
          </w:p>
        </w:tc>
        <w:tc>
          <w:tcPr>
            <w:tcW w:w="0" w:type="auto"/>
            <w:shd w:val="clear" w:color="auto" w:fill="auto"/>
            <w:vAlign w:val="center"/>
          </w:tcPr>
          <w:p w14:paraId="3626F36C" w14:textId="77777777" w:rsidR="002F0133" w:rsidRPr="000B4E2C" w:rsidRDefault="002F0133" w:rsidP="008A7464">
            <w:pPr>
              <w:spacing w:line="276" w:lineRule="auto"/>
              <w:jc w:val="center"/>
              <w:rPr>
                <w:lang w:eastAsia="en-GB"/>
              </w:rPr>
            </w:pPr>
            <w:r w:rsidRPr="000B4E2C">
              <w:rPr>
                <w:lang w:eastAsia="en-GB"/>
              </w:rPr>
              <w:t>RIFLE</w:t>
            </w:r>
          </w:p>
        </w:tc>
        <w:tc>
          <w:tcPr>
            <w:tcW w:w="0" w:type="auto"/>
            <w:shd w:val="clear" w:color="auto" w:fill="auto"/>
          </w:tcPr>
          <w:p w14:paraId="0F553554" w14:textId="77777777" w:rsidR="002F0133" w:rsidRPr="000B4E2C" w:rsidRDefault="002F0133" w:rsidP="008A7464">
            <w:pPr>
              <w:spacing w:line="276" w:lineRule="auto"/>
              <w:jc w:val="center"/>
              <w:rPr>
                <w:lang w:eastAsia="en-GB"/>
              </w:rPr>
            </w:pPr>
          </w:p>
          <w:p w14:paraId="52EB88BE" w14:textId="77777777" w:rsidR="002F0133" w:rsidRPr="000B4E2C" w:rsidRDefault="002F0133" w:rsidP="008A7464">
            <w:pPr>
              <w:spacing w:line="276" w:lineRule="auto"/>
              <w:jc w:val="center"/>
              <w:rPr>
                <w:lang w:eastAsia="en-GB"/>
              </w:rPr>
            </w:pPr>
            <w:r w:rsidRPr="000B4E2C">
              <w:rPr>
                <w:lang w:eastAsia="en-GB"/>
              </w:rPr>
              <w:t>NR</w:t>
            </w:r>
          </w:p>
        </w:tc>
      </w:tr>
      <w:tr w:rsidR="002F0133" w:rsidRPr="000B4E2C" w14:paraId="74F9F8D4" w14:textId="77777777" w:rsidTr="000B4E2C">
        <w:trPr>
          <w:cantSplit/>
        </w:trPr>
        <w:tc>
          <w:tcPr>
            <w:tcW w:w="0" w:type="auto"/>
            <w:shd w:val="clear" w:color="auto" w:fill="auto"/>
            <w:vAlign w:val="center"/>
          </w:tcPr>
          <w:p w14:paraId="13A3CB96" w14:textId="77E271E6" w:rsidR="002F0133" w:rsidRPr="000B4E2C" w:rsidRDefault="002F0133" w:rsidP="008A7464">
            <w:pPr>
              <w:spacing w:line="276" w:lineRule="auto"/>
              <w:rPr>
                <w:lang w:eastAsia="en-GB"/>
              </w:rPr>
            </w:pPr>
            <w:r w:rsidRPr="000B4E2C">
              <w:rPr>
                <w:lang w:eastAsia="en-GB"/>
              </w:rPr>
              <w:t>Schley 2015</w:t>
            </w:r>
            <w:r w:rsidR="00024FA4" w:rsidRPr="000B4E2C">
              <w:rPr>
                <w:lang w:eastAsia="en-GB"/>
              </w:rPr>
              <w:t>,</w:t>
            </w:r>
            <w:r w:rsidR="005B5026" w:rsidRPr="000B4E2C">
              <w:rPr>
                <w:noProof/>
                <w:vertAlign w:val="superscript"/>
                <w:lang w:eastAsia="en-GB"/>
              </w:rPr>
              <w:t>63</w:t>
            </w:r>
            <w:r w:rsidRPr="000B4E2C">
              <w:rPr>
                <w:lang w:eastAsia="en-GB"/>
              </w:rPr>
              <w:t xml:space="preserve"> Germany</w:t>
            </w:r>
          </w:p>
        </w:tc>
        <w:tc>
          <w:tcPr>
            <w:tcW w:w="0" w:type="auto"/>
            <w:shd w:val="clear" w:color="auto" w:fill="auto"/>
            <w:vAlign w:val="center"/>
          </w:tcPr>
          <w:p w14:paraId="0DC5FC7B" w14:textId="4BC0F84E" w:rsidR="002F0133" w:rsidRPr="000B4E2C" w:rsidRDefault="002F0133" w:rsidP="008A7464">
            <w:pPr>
              <w:spacing w:line="276" w:lineRule="auto"/>
              <w:jc w:val="center"/>
              <w:rPr>
                <w:lang w:eastAsia="en-GB"/>
              </w:rPr>
            </w:pPr>
            <w:r w:rsidRPr="000B4E2C">
              <w:rPr>
                <w:lang w:eastAsia="en-GB"/>
              </w:rPr>
              <w:t xml:space="preserve">uNGAL, </w:t>
            </w:r>
            <w:r w:rsidR="009D7F5A" w:rsidRPr="000B4E2C">
              <w:rPr>
                <w:lang w:eastAsia="en-GB"/>
              </w:rPr>
              <w:t>BioPorto</w:t>
            </w:r>
            <w:r w:rsidRPr="000B4E2C">
              <w:rPr>
                <w:lang w:eastAsia="en-GB"/>
              </w:rPr>
              <w:t xml:space="preserve"> &amp; pNGAL </w:t>
            </w:r>
            <w:r w:rsidR="009D7F5A" w:rsidRPr="000B4E2C">
              <w:rPr>
                <w:lang w:eastAsia="en-GB"/>
              </w:rPr>
              <w:t>BioPorto</w:t>
            </w:r>
          </w:p>
        </w:tc>
        <w:tc>
          <w:tcPr>
            <w:tcW w:w="0" w:type="auto"/>
            <w:shd w:val="clear" w:color="auto" w:fill="auto"/>
            <w:vAlign w:val="center"/>
          </w:tcPr>
          <w:p w14:paraId="7F73BCFE" w14:textId="77777777" w:rsidR="002F0133" w:rsidRPr="000B4E2C" w:rsidRDefault="002F0133" w:rsidP="008A7464">
            <w:pPr>
              <w:spacing w:line="276" w:lineRule="auto"/>
              <w:jc w:val="center"/>
              <w:rPr>
                <w:lang w:eastAsia="en-GB"/>
              </w:rPr>
            </w:pPr>
            <w:r w:rsidRPr="000B4E2C">
              <w:t>Cardiac Surgery</w:t>
            </w:r>
          </w:p>
        </w:tc>
        <w:tc>
          <w:tcPr>
            <w:tcW w:w="0" w:type="auto"/>
            <w:shd w:val="clear" w:color="auto" w:fill="auto"/>
            <w:vAlign w:val="center"/>
          </w:tcPr>
          <w:p w14:paraId="162652F6" w14:textId="77777777" w:rsidR="002F0133" w:rsidRPr="000B4E2C" w:rsidRDefault="002F0133" w:rsidP="008A7464">
            <w:pPr>
              <w:spacing w:line="276" w:lineRule="auto"/>
              <w:jc w:val="center"/>
              <w:rPr>
                <w:lang w:eastAsia="en-GB"/>
              </w:rPr>
            </w:pPr>
            <w:r w:rsidRPr="000B4E2C">
              <w:rPr>
                <w:lang w:eastAsia="en-GB"/>
              </w:rPr>
              <w:t>70 (10)</w:t>
            </w:r>
          </w:p>
        </w:tc>
        <w:tc>
          <w:tcPr>
            <w:tcW w:w="0" w:type="auto"/>
            <w:shd w:val="clear" w:color="auto" w:fill="auto"/>
            <w:vAlign w:val="center"/>
          </w:tcPr>
          <w:p w14:paraId="5749766A" w14:textId="77777777" w:rsidR="002F0133" w:rsidRPr="000B4E2C" w:rsidRDefault="002F0133" w:rsidP="008A7464">
            <w:pPr>
              <w:spacing w:line="276" w:lineRule="auto"/>
              <w:jc w:val="center"/>
              <w:rPr>
                <w:lang w:eastAsia="en-GB"/>
              </w:rPr>
            </w:pPr>
            <w:r w:rsidRPr="000B4E2C">
              <w:rPr>
                <w:lang w:eastAsia="en-GB"/>
              </w:rPr>
              <w:t>110</w:t>
            </w:r>
          </w:p>
        </w:tc>
        <w:tc>
          <w:tcPr>
            <w:tcW w:w="0" w:type="auto"/>
            <w:shd w:val="clear" w:color="auto" w:fill="auto"/>
            <w:vAlign w:val="center"/>
          </w:tcPr>
          <w:p w14:paraId="3850B28D" w14:textId="77777777" w:rsidR="002F0133" w:rsidRPr="000B4E2C" w:rsidRDefault="002F0133" w:rsidP="008A7464">
            <w:pPr>
              <w:spacing w:line="276" w:lineRule="auto"/>
              <w:jc w:val="center"/>
              <w:rPr>
                <w:lang w:eastAsia="en-GB"/>
              </w:rPr>
            </w:pPr>
            <w:r w:rsidRPr="000B4E2C">
              <w:rPr>
                <w:lang w:eastAsia="en-GB"/>
              </w:rPr>
              <w:t>37</w:t>
            </w:r>
          </w:p>
        </w:tc>
        <w:tc>
          <w:tcPr>
            <w:tcW w:w="0" w:type="auto"/>
            <w:shd w:val="clear" w:color="auto" w:fill="auto"/>
            <w:vAlign w:val="center"/>
          </w:tcPr>
          <w:p w14:paraId="0ADE903C" w14:textId="77777777" w:rsidR="002F0133" w:rsidRPr="000B4E2C" w:rsidRDefault="002F0133" w:rsidP="008A7464">
            <w:pPr>
              <w:spacing w:line="276" w:lineRule="auto"/>
              <w:jc w:val="center"/>
              <w:rPr>
                <w:lang w:eastAsia="en-GB"/>
              </w:rPr>
            </w:pPr>
            <w:r w:rsidRPr="000B4E2C">
              <w:rPr>
                <w:lang w:eastAsia="en-GB"/>
              </w:rPr>
              <w:t>AKIN</w:t>
            </w:r>
          </w:p>
        </w:tc>
        <w:tc>
          <w:tcPr>
            <w:tcW w:w="0" w:type="auto"/>
            <w:shd w:val="clear" w:color="auto" w:fill="auto"/>
          </w:tcPr>
          <w:p w14:paraId="17500C71" w14:textId="77777777" w:rsidR="002F0133" w:rsidRPr="000B4E2C" w:rsidRDefault="002F0133" w:rsidP="008A7464">
            <w:pPr>
              <w:spacing w:line="276" w:lineRule="auto"/>
              <w:jc w:val="center"/>
              <w:rPr>
                <w:lang w:eastAsia="en-GB"/>
              </w:rPr>
            </w:pPr>
            <w:r w:rsidRPr="000B4E2C">
              <w:rPr>
                <w:lang w:eastAsia="en-GB"/>
              </w:rPr>
              <w:t>Within 72 hours of surgery</w:t>
            </w:r>
          </w:p>
        </w:tc>
      </w:tr>
      <w:tr w:rsidR="002F0133" w:rsidRPr="000B4E2C" w14:paraId="103B6A50" w14:textId="77777777" w:rsidTr="000B4E2C">
        <w:trPr>
          <w:cantSplit/>
        </w:trPr>
        <w:tc>
          <w:tcPr>
            <w:tcW w:w="0" w:type="auto"/>
            <w:shd w:val="clear" w:color="auto" w:fill="auto"/>
            <w:vAlign w:val="center"/>
          </w:tcPr>
          <w:p w14:paraId="34CBDC8B" w14:textId="739D1225" w:rsidR="002F0133" w:rsidRPr="000B4E2C" w:rsidRDefault="002F0133" w:rsidP="008A7464">
            <w:pPr>
              <w:spacing w:line="276" w:lineRule="auto"/>
              <w:rPr>
                <w:lang w:eastAsia="en-GB"/>
              </w:rPr>
            </w:pPr>
            <w:r w:rsidRPr="000B4E2C">
              <w:rPr>
                <w:lang w:eastAsia="en-GB"/>
              </w:rPr>
              <w:t>Jaques 2019</w:t>
            </w:r>
            <w:r w:rsidR="00024FA4" w:rsidRPr="000B4E2C">
              <w:rPr>
                <w:lang w:eastAsia="en-GB"/>
              </w:rPr>
              <w:t>,</w:t>
            </w:r>
            <w:r w:rsidR="005B5026" w:rsidRPr="000B4E2C">
              <w:rPr>
                <w:noProof/>
                <w:vertAlign w:val="superscript"/>
                <w:lang w:eastAsia="en-GB"/>
              </w:rPr>
              <w:t>64</w:t>
            </w:r>
            <w:r w:rsidRPr="000B4E2C">
              <w:rPr>
                <w:lang w:eastAsia="en-GB"/>
              </w:rPr>
              <w:t xml:space="preserve"> Switzerland</w:t>
            </w:r>
          </w:p>
        </w:tc>
        <w:tc>
          <w:tcPr>
            <w:tcW w:w="0" w:type="auto"/>
            <w:shd w:val="clear" w:color="auto" w:fill="auto"/>
            <w:vAlign w:val="center"/>
          </w:tcPr>
          <w:p w14:paraId="0BD8A055" w14:textId="14E1E797" w:rsidR="002F0133" w:rsidRPr="000B4E2C" w:rsidRDefault="002F0133" w:rsidP="008A7464">
            <w:pPr>
              <w:spacing w:line="276" w:lineRule="auto"/>
              <w:jc w:val="center"/>
              <w:rPr>
                <w:lang w:eastAsia="en-GB"/>
              </w:rPr>
            </w:pPr>
            <w:r w:rsidRPr="000B4E2C">
              <w:rPr>
                <w:lang w:eastAsia="en-GB"/>
              </w:rPr>
              <w:t xml:space="preserve">uNGAL, </w:t>
            </w:r>
            <w:r w:rsidR="009D7F5A" w:rsidRPr="000B4E2C">
              <w:rPr>
                <w:lang w:eastAsia="en-GB"/>
              </w:rPr>
              <w:t>BioPorto</w:t>
            </w:r>
            <w:r w:rsidRPr="000B4E2C">
              <w:rPr>
                <w:lang w:eastAsia="en-GB"/>
              </w:rPr>
              <w:t xml:space="preserve"> &amp; pNGAL </w:t>
            </w:r>
            <w:r w:rsidR="009D7F5A" w:rsidRPr="000B4E2C">
              <w:rPr>
                <w:lang w:eastAsia="en-GB"/>
              </w:rPr>
              <w:t>BioPorto</w:t>
            </w:r>
          </w:p>
        </w:tc>
        <w:tc>
          <w:tcPr>
            <w:tcW w:w="0" w:type="auto"/>
            <w:shd w:val="clear" w:color="auto" w:fill="auto"/>
            <w:vAlign w:val="center"/>
          </w:tcPr>
          <w:p w14:paraId="108B9C92" w14:textId="3B52348D"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(cirrhosis)</w:t>
            </w:r>
          </w:p>
        </w:tc>
        <w:tc>
          <w:tcPr>
            <w:tcW w:w="0" w:type="auto"/>
            <w:shd w:val="clear" w:color="auto" w:fill="auto"/>
            <w:vAlign w:val="center"/>
          </w:tcPr>
          <w:p w14:paraId="57024FA6" w14:textId="77777777" w:rsidR="002F0133" w:rsidRPr="000B4E2C" w:rsidRDefault="002F0133" w:rsidP="008A7464">
            <w:pPr>
              <w:spacing w:line="276" w:lineRule="auto"/>
              <w:jc w:val="center"/>
              <w:rPr>
                <w:lang w:eastAsia="en-GB"/>
              </w:rPr>
            </w:pPr>
            <w:r w:rsidRPr="000B4E2C">
              <w:rPr>
                <w:lang w:eastAsia="en-GB"/>
              </w:rPr>
              <w:t>58 (10)</w:t>
            </w:r>
          </w:p>
        </w:tc>
        <w:tc>
          <w:tcPr>
            <w:tcW w:w="0" w:type="auto"/>
            <w:shd w:val="clear" w:color="auto" w:fill="auto"/>
            <w:vAlign w:val="center"/>
          </w:tcPr>
          <w:p w14:paraId="0EB67F81" w14:textId="77777777" w:rsidR="002F0133" w:rsidRPr="000B4E2C" w:rsidRDefault="002F0133" w:rsidP="008A7464">
            <w:pPr>
              <w:spacing w:line="276" w:lineRule="auto"/>
              <w:jc w:val="center"/>
              <w:rPr>
                <w:lang w:eastAsia="en-GB"/>
              </w:rPr>
            </w:pPr>
            <w:r w:rsidRPr="000B4E2C">
              <w:rPr>
                <w:lang w:eastAsia="en-GB"/>
              </w:rPr>
              <w:t>105</w:t>
            </w:r>
          </w:p>
        </w:tc>
        <w:tc>
          <w:tcPr>
            <w:tcW w:w="0" w:type="auto"/>
            <w:shd w:val="clear" w:color="auto" w:fill="auto"/>
            <w:vAlign w:val="center"/>
          </w:tcPr>
          <w:p w14:paraId="0A46366F" w14:textId="77777777" w:rsidR="002F0133" w:rsidRPr="000B4E2C" w:rsidRDefault="002F0133" w:rsidP="008A7464">
            <w:pPr>
              <w:spacing w:line="276" w:lineRule="auto"/>
              <w:jc w:val="center"/>
              <w:rPr>
                <w:lang w:eastAsia="en-GB"/>
              </w:rPr>
            </w:pPr>
            <w:r w:rsidRPr="000B4E2C">
              <w:rPr>
                <w:lang w:eastAsia="en-GB"/>
              </w:rPr>
              <w:t>55</w:t>
            </w:r>
          </w:p>
        </w:tc>
        <w:tc>
          <w:tcPr>
            <w:tcW w:w="0" w:type="auto"/>
            <w:shd w:val="clear" w:color="auto" w:fill="auto"/>
            <w:vAlign w:val="center"/>
          </w:tcPr>
          <w:p w14:paraId="42A2E723" w14:textId="77777777" w:rsidR="002F0133" w:rsidRPr="000B4E2C" w:rsidRDefault="002F0133" w:rsidP="008A7464">
            <w:pPr>
              <w:spacing w:line="276" w:lineRule="auto"/>
              <w:jc w:val="center"/>
              <w:rPr>
                <w:lang w:eastAsia="en-GB"/>
              </w:rPr>
            </w:pPr>
            <w:r w:rsidRPr="000B4E2C">
              <w:rPr>
                <w:lang w:eastAsia="en-GB"/>
              </w:rPr>
              <w:t>AKIN</w:t>
            </w:r>
          </w:p>
        </w:tc>
        <w:tc>
          <w:tcPr>
            <w:tcW w:w="0" w:type="auto"/>
            <w:shd w:val="clear" w:color="auto" w:fill="auto"/>
          </w:tcPr>
          <w:p w14:paraId="7E8A06FF" w14:textId="77777777" w:rsidR="002F0133" w:rsidRPr="000B4E2C" w:rsidRDefault="002F0133" w:rsidP="008A7464">
            <w:pPr>
              <w:spacing w:line="276" w:lineRule="auto"/>
              <w:jc w:val="center"/>
              <w:rPr>
                <w:lang w:eastAsia="en-GB"/>
              </w:rPr>
            </w:pPr>
            <w:r w:rsidRPr="000B4E2C">
              <w:rPr>
                <w:lang w:eastAsia="en-GB"/>
              </w:rPr>
              <w:t>Within 7 days of admission</w:t>
            </w:r>
          </w:p>
        </w:tc>
      </w:tr>
      <w:tr w:rsidR="002F0133" w:rsidRPr="000B4E2C" w14:paraId="24041D78" w14:textId="77777777" w:rsidTr="000B4E2C">
        <w:trPr>
          <w:cantSplit/>
        </w:trPr>
        <w:tc>
          <w:tcPr>
            <w:tcW w:w="0" w:type="auto"/>
            <w:shd w:val="clear" w:color="auto" w:fill="auto"/>
            <w:vAlign w:val="center"/>
          </w:tcPr>
          <w:p w14:paraId="526A3456" w14:textId="00B8CC54" w:rsidR="002F0133" w:rsidRPr="000B4E2C" w:rsidRDefault="002F0133" w:rsidP="008A7464">
            <w:pPr>
              <w:spacing w:line="276" w:lineRule="auto"/>
              <w:rPr>
                <w:lang w:eastAsia="en-GB"/>
              </w:rPr>
            </w:pPr>
            <w:r w:rsidRPr="000B4E2C">
              <w:rPr>
                <w:lang w:eastAsia="en-GB"/>
              </w:rPr>
              <w:t>De Loor 2017</w:t>
            </w:r>
            <w:r w:rsidR="00024FA4" w:rsidRPr="000B4E2C">
              <w:rPr>
                <w:lang w:eastAsia="en-GB"/>
              </w:rPr>
              <w:t>,</w:t>
            </w:r>
            <w:r w:rsidR="005B5026" w:rsidRPr="000B4E2C">
              <w:rPr>
                <w:noProof/>
                <w:vertAlign w:val="superscript"/>
                <w:lang w:eastAsia="en-GB"/>
              </w:rPr>
              <w:t>65</w:t>
            </w:r>
            <w:r w:rsidRPr="000B4E2C">
              <w:rPr>
                <w:lang w:eastAsia="en-GB"/>
              </w:rPr>
              <w:t xml:space="preserve"> Belgium</w:t>
            </w:r>
          </w:p>
        </w:tc>
        <w:tc>
          <w:tcPr>
            <w:tcW w:w="0" w:type="auto"/>
            <w:shd w:val="clear" w:color="auto" w:fill="auto"/>
            <w:vAlign w:val="center"/>
          </w:tcPr>
          <w:p w14:paraId="4F66A6B3" w14:textId="39E641D9" w:rsidR="002F0133" w:rsidRPr="000B4E2C" w:rsidRDefault="002F0133" w:rsidP="008A7464">
            <w:pPr>
              <w:spacing w:line="276" w:lineRule="auto"/>
              <w:jc w:val="center"/>
              <w:rPr>
                <w:lang w:eastAsia="en-GB"/>
              </w:rPr>
            </w:pPr>
            <w:r w:rsidRPr="000B4E2C">
              <w:rPr>
                <w:lang w:eastAsia="en-GB"/>
              </w:rPr>
              <w:t xml:space="preserve">uNGAL, </w:t>
            </w:r>
            <w:r w:rsidR="009D7F5A" w:rsidRPr="000B4E2C">
              <w:rPr>
                <w:lang w:eastAsia="en-GB"/>
              </w:rPr>
              <w:t>BioPorto</w:t>
            </w:r>
          </w:p>
        </w:tc>
        <w:tc>
          <w:tcPr>
            <w:tcW w:w="0" w:type="auto"/>
            <w:shd w:val="clear" w:color="auto" w:fill="auto"/>
            <w:vAlign w:val="center"/>
          </w:tcPr>
          <w:p w14:paraId="30160A9A" w14:textId="77777777" w:rsidR="002F0133" w:rsidRPr="000B4E2C" w:rsidRDefault="002F0133" w:rsidP="008A7464">
            <w:pPr>
              <w:spacing w:line="276" w:lineRule="auto"/>
              <w:jc w:val="center"/>
              <w:rPr>
                <w:lang w:eastAsia="en-GB"/>
              </w:rPr>
            </w:pPr>
            <w:r w:rsidRPr="000B4E2C">
              <w:t>Cardiac Surgery (CPB)</w:t>
            </w:r>
          </w:p>
        </w:tc>
        <w:tc>
          <w:tcPr>
            <w:tcW w:w="0" w:type="auto"/>
            <w:shd w:val="clear" w:color="auto" w:fill="auto"/>
            <w:vAlign w:val="center"/>
          </w:tcPr>
          <w:p w14:paraId="58A18D29" w14:textId="77777777" w:rsidR="002F0133" w:rsidRPr="000B4E2C" w:rsidRDefault="002F0133" w:rsidP="008A7464">
            <w:pPr>
              <w:spacing w:line="276" w:lineRule="auto"/>
              <w:jc w:val="center"/>
              <w:rPr>
                <w:lang w:eastAsia="en-GB"/>
              </w:rPr>
            </w:pPr>
            <w:r w:rsidRPr="000B4E2C">
              <w:rPr>
                <w:lang w:eastAsia="en-GB"/>
              </w:rPr>
              <w:t>69 (61, 76) *</w:t>
            </w:r>
          </w:p>
        </w:tc>
        <w:tc>
          <w:tcPr>
            <w:tcW w:w="0" w:type="auto"/>
            <w:shd w:val="clear" w:color="auto" w:fill="auto"/>
            <w:vAlign w:val="center"/>
          </w:tcPr>
          <w:p w14:paraId="48B14838" w14:textId="77777777" w:rsidR="002F0133" w:rsidRPr="000B4E2C" w:rsidRDefault="002F0133" w:rsidP="008A7464">
            <w:pPr>
              <w:spacing w:line="276" w:lineRule="auto"/>
              <w:jc w:val="center"/>
              <w:rPr>
                <w:lang w:eastAsia="en-GB"/>
              </w:rPr>
            </w:pPr>
            <w:r w:rsidRPr="000B4E2C">
              <w:rPr>
                <w:lang w:eastAsia="en-GB"/>
              </w:rPr>
              <w:t>203</w:t>
            </w:r>
          </w:p>
        </w:tc>
        <w:tc>
          <w:tcPr>
            <w:tcW w:w="0" w:type="auto"/>
            <w:shd w:val="clear" w:color="auto" w:fill="auto"/>
            <w:vAlign w:val="center"/>
          </w:tcPr>
          <w:p w14:paraId="542C5C84" w14:textId="77777777" w:rsidR="002F0133" w:rsidRPr="000B4E2C" w:rsidRDefault="002F0133" w:rsidP="008A7464">
            <w:pPr>
              <w:spacing w:line="276" w:lineRule="auto"/>
              <w:jc w:val="center"/>
              <w:rPr>
                <w:lang w:eastAsia="en-GB"/>
              </w:rPr>
            </w:pPr>
            <w:r w:rsidRPr="000B4E2C">
              <w:rPr>
                <w:lang w:eastAsia="en-GB"/>
              </w:rPr>
              <w:t>95</w:t>
            </w:r>
          </w:p>
        </w:tc>
        <w:tc>
          <w:tcPr>
            <w:tcW w:w="0" w:type="auto"/>
            <w:shd w:val="clear" w:color="auto" w:fill="auto"/>
            <w:vAlign w:val="center"/>
          </w:tcPr>
          <w:p w14:paraId="44E61B6E" w14:textId="77777777" w:rsidR="002F0133" w:rsidRPr="000B4E2C" w:rsidRDefault="002F0133" w:rsidP="008A7464">
            <w:pPr>
              <w:spacing w:line="276" w:lineRule="auto"/>
              <w:jc w:val="center"/>
              <w:rPr>
                <w:lang w:eastAsia="en-GB"/>
              </w:rPr>
            </w:pPr>
            <w:r w:rsidRPr="000B4E2C">
              <w:rPr>
                <w:lang w:eastAsia="en-GB"/>
              </w:rPr>
              <w:t>KDIGO</w:t>
            </w:r>
          </w:p>
        </w:tc>
        <w:tc>
          <w:tcPr>
            <w:tcW w:w="0" w:type="auto"/>
            <w:shd w:val="clear" w:color="auto" w:fill="auto"/>
          </w:tcPr>
          <w:p w14:paraId="4AB71EE1" w14:textId="77777777" w:rsidR="002F0133" w:rsidRPr="000B4E2C" w:rsidRDefault="002F0133" w:rsidP="008A7464">
            <w:pPr>
              <w:spacing w:line="276" w:lineRule="auto"/>
              <w:jc w:val="center"/>
              <w:rPr>
                <w:lang w:eastAsia="en-GB"/>
              </w:rPr>
            </w:pPr>
          </w:p>
          <w:p w14:paraId="6E28885C" w14:textId="77777777" w:rsidR="002F0133" w:rsidRPr="000B4E2C" w:rsidRDefault="002F0133" w:rsidP="008A7464">
            <w:pPr>
              <w:spacing w:line="276" w:lineRule="auto"/>
              <w:jc w:val="center"/>
              <w:rPr>
                <w:lang w:eastAsia="en-GB"/>
              </w:rPr>
            </w:pPr>
            <w:r w:rsidRPr="000B4E2C">
              <w:rPr>
                <w:lang w:eastAsia="en-GB"/>
              </w:rPr>
              <w:t>NR</w:t>
            </w:r>
          </w:p>
        </w:tc>
      </w:tr>
      <w:tr w:rsidR="002F0133" w:rsidRPr="000B4E2C" w14:paraId="4BFD3CC5" w14:textId="77777777" w:rsidTr="000B4E2C">
        <w:trPr>
          <w:cantSplit/>
        </w:trPr>
        <w:tc>
          <w:tcPr>
            <w:tcW w:w="0" w:type="auto"/>
            <w:shd w:val="clear" w:color="auto" w:fill="auto"/>
            <w:vAlign w:val="center"/>
          </w:tcPr>
          <w:p w14:paraId="4CEB5BBC" w14:textId="67CD34D4" w:rsidR="002F0133" w:rsidRPr="000B4E2C" w:rsidRDefault="002F0133" w:rsidP="008A7464">
            <w:pPr>
              <w:spacing w:line="276" w:lineRule="auto"/>
              <w:rPr>
                <w:lang w:eastAsia="en-GB"/>
              </w:rPr>
            </w:pPr>
            <w:r w:rsidRPr="000B4E2C">
              <w:rPr>
                <w:lang w:eastAsia="en-GB"/>
              </w:rPr>
              <w:t>Tidbury 2019</w:t>
            </w:r>
            <w:r w:rsidR="00024FA4" w:rsidRPr="000B4E2C">
              <w:rPr>
                <w:lang w:eastAsia="en-GB"/>
              </w:rPr>
              <w:t>,</w:t>
            </w:r>
            <w:r w:rsidR="005B5026" w:rsidRPr="000B4E2C">
              <w:rPr>
                <w:noProof/>
                <w:vertAlign w:val="superscript"/>
                <w:lang w:eastAsia="en-GB"/>
              </w:rPr>
              <w:t>66</w:t>
            </w:r>
            <w:r w:rsidRPr="000B4E2C">
              <w:rPr>
                <w:lang w:eastAsia="en-GB"/>
              </w:rPr>
              <w:t xml:space="preserve"> UK</w:t>
            </w:r>
          </w:p>
        </w:tc>
        <w:tc>
          <w:tcPr>
            <w:tcW w:w="0" w:type="auto"/>
            <w:shd w:val="clear" w:color="auto" w:fill="auto"/>
            <w:vAlign w:val="center"/>
          </w:tcPr>
          <w:p w14:paraId="7C2B1EA6" w14:textId="269E66B7" w:rsidR="002F0133" w:rsidRPr="000B4E2C" w:rsidRDefault="002F0133" w:rsidP="008A7464">
            <w:pPr>
              <w:spacing w:line="276" w:lineRule="auto"/>
              <w:jc w:val="center"/>
              <w:rPr>
                <w:lang w:eastAsia="en-GB"/>
              </w:rPr>
            </w:pPr>
            <w:r w:rsidRPr="000B4E2C">
              <w:rPr>
                <w:lang w:eastAsia="en-GB"/>
              </w:rPr>
              <w:t xml:space="preserve">uNGAL, </w:t>
            </w:r>
            <w:r w:rsidR="009D7F5A" w:rsidRPr="000B4E2C">
              <w:rPr>
                <w:lang w:eastAsia="en-GB"/>
              </w:rPr>
              <w:t>BioPorto</w:t>
            </w:r>
          </w:p>
        </w:tc>
        <w:tc>
          <w:tcPr>
            <w:tcW w:w="0" w:type="auto"/>
            <w:shd w:val="clear" w:color="auto" w:fill="auto"/>
            <w:vAlign w:val="center"/>
          </w:tcPr>
          <w:p w14:paraId="1D43C0F7" w14:textId="77777777" w:rsidR="002F0133" w:rsidRPr="000B4E2C" w:rsidRDefault="002F0133" w:rsidP="008A7464">
            <w:pPr>
              <w:spacing w:line="276" w:lineRule="auto"/>
              <w:jc w:val="center"/>
              <w:rPr>
                <w:lang w:eastAsia="en-GB"/>
              </w:rPr>
            </w:pPr>
            <w:r w:rsidRPr="000B4E2C">
              <w:t>Cardiac Surgery</w:t>
            </w:r>
          </w:p>
        </w:tc>
        <w:tc>
          <w:tcPr>
            <w:tcW w:w="0" w:type="auto"/>
            <w:shd w:val="clear" w:color="auto" w:fill="auto"/>
            <w:vAlign w:val="center"/>
          </w:tcPr>
          <w:p w14:paraId="4B4E848B" w14:textId="1430432B" w:rsidR="002F0133" w:rsidRPr="000B4E2C" w:rsidRDefault="002F0133" w:rsidP="008A7464">
            <w:pPr>
              <w:spacing w:line="276" w:lineRule="auto"/>
              <w:jc w:val="center"/>
              <w:rPr>
                <w:lang w:eastAsia="en-GB"/>
              </w:rPr>
            </w:pPr>
            <w:r w:rsidRPr="000B4E2C">
              <w:rPr>
                <w:lang w:eastAsia="en-GB"/>
              </w:rPr>
              <w:t>AKI 73 (54</w:t>
            </w:r>
            <w:r w:rsidR="000B4E2C" w:rsidRPr="000B4E2C">
              <w:rPr>
                <w:color w:val="00B0F0"/>
                <w:lang w:eastAsia="en-GB"/>
              </w:rPr>
              <w:t>–</w:t>
            </w:r>
            <w:r w:rsidR="000B4E2C" w:rsidRPr="000B4E2C">
              <w:rPr>
                <w:color w:val="00B0F0"/>
                <w:lang w:eastAsia="en-GB"/>
              </w:rPr>
              <w:t>8</w:t>
            </w:r>
            <w:r w:rsidRPr="000B4E2C">
              <w:rPr>
                <w:lang w:eastAsia="en-GB"/>
              </w:rPr>
              <w:t>7);</w:t>
            </w:r>
          </w:p>
          <w:p w14:paraId="1E3FA6E8" w14:textId="77777777" w:rsidR="002F0133" w:rsidRPr="000B4E2C" w:rsidRDefault="002F0133" w:rsidP="008A7464">
            <w:pPr>
              <w:spacing w:line="276" w:lineRule="auto"/>
              <w:jc w:val="center"/>
              <w:rPr>
                <w:lang w:eastAsia="en-GB"/>
              </w:rPr>
            </w:pPr>
            <w:r w:rsidRPr="000B4E2C">
              <w:rPr>
                <w:lang w:eastAsia="en-GB"/>
              </w:rPr>
              <w:t>No AKI</w:t>
            </w:r>
          </w:p>
          <w:p w14:paraId="0AF2E707" w14:textId="0082D77C" w:rsidR="002F0133" w:rsidRPr="000B4E2C" w:rsidRDefault="002F0133" w:rsidP="008A7464">
            <w:pPr>
              <w:spacing w:line="276" w:lineRule="auto"/>
              <w:jc w:val="center"/>
              <w:rPr>
                <w:lang w:eastAsia="en-GB"/>
              </w:rPr>
            </w:pPr>
            <w:r w:rsidRPr="000B4E2C">
              <w:rPr>
                <w:lang w:eastAsia="en-GB"/>
              </w:rPr>
              <w:t>75 (59</w:t>
            </w:r>
            <w:r w:rsidR="000B4E2C" w:rsidRPr="000B4E2C">
              <w:rPr>
                <w:color w:val="00B0F0"/>
                <w:lang w:eastAsia="en-GB"/>
              </w:rPr>
              <w:t>–</w:t>
            </w:r>
            <w:r w:rsidR="000B4E2C" w:rsidRPr="000B4E2C">
              <w:rPr>
                <w:color w:val="00B0F0"/>
                <w:lang w:eastAsia="en-GB"/>
              </w:rPr>
              <w:t>8</w:t>
            </w:r>
            <w:r w:rsidRPr="000B4E2C">
              <w:rPr>
                <w:lang w:eastAsia="en-GB"/>
              </w:rPr>
              <w:t>5) **</w:t>
            </w:r>
          </w:p>
        </w:tc>
        <w:tc>
          <w:tcPr>
            <w:tcW w:w="0" w:type="auto"/>
            <w:shd w:val="clear" w:color="auto" w:fill="auto"/>
            <w:vAlign w:val="center"/>
          </w:tcPr>
          <w:p w14:paraId="2395BBBB" w14:textId="77777777" w:rsidR="002F0133" w:rsidRPr="000B4E2C" w:rsidRDefault="002F0133" w:rsidP="008A7464">
            <w:pPr>
              <w:spacing w:line="276" w:lineRule="auto"/>
              <w:jc w:val="center"/>
              <w:rPr>
                <w:lang w:eastAsia="en-GB"/>
              </w:rPr>
            </w:pPr>
            <w:r w:rsidRPr="000B4E2C">
              <w:rPr>
                <w:lang w:eastAsia="en-GB"/>
              </w:rPr>
              <w:t>125</w:t>
            </w:r>
          </w:p>
        </w:tc>
        <w:tc>
          <w:tcPr>
            <w:tcW w:w="0" w:type="auto"/>
            <w:shd w:val="clear" w:color="auto" w:fill="auto"/>
            <w:vAlign w:val="center"/>
          </w:tcPr>
          <w:p w14:paraId="424FB3A6" w14:textId="77777777" w:rsidR="002F0133" w:rsidRPr="000B4E2C" w:rsidRDefault="002F0133" w:rsidP="008A7464">
            <w:pPr>
              <w:spacing w:line="276" w:lineRule="auto"/>
              <w:jc w:val="center"/>
              <w:rPr>
                <w:lang w:eastAsia="en-GB"/>
              </w:rPr>
            </w:pPr>
            <w:r w:rsidRPr="000B4E2C">
              <w:rPr>
                <w:lang w:eastAsia="en-GB"/>
              </w:rPr>
              <w:t>54</w:t>
            </w:r>
          </w:p>
        </w:tc>
        <w:tc>
          <w:tcPr>
            <w:tcW w:w="0" w:type="auto"/>
            <w:shd w:val="clear" w:color="auto" w:fill="auto"/>
            <w:vAlign w:val="center"/>
          </w:tcPr>
          <w:p w14:paraId="06ABC26C" w14:textId="77777777" w:rsidR="002F0133" w:rsidRPr="000B4E2C" w:rsidRDefault="002F0133" w:rsidP="008A7464">
            <w:pPr>
              <w:spacing w:line="276" w:lineRule="auto"/>
              <w:jc w:val="center"/>
              <w:rPr>
                <w:lang w:eastAsia="en-GB"/>
              </w:rPr>
            </w:pPr>
            <w:r w:rsidRPr="000B4E2C">
              <w:rPr>
                <w:lang w:eastAsia="en-GB"/>
              </w:rPr>
              <w:t>RIFLE</w:t>
            </w:r>
          </w:p>
        </w:tc>
        <w:tc>
          <w:tcPr>
            <w:tcW w:w="0" w:type="auto"/>
            <w:shd w:val="clear" w:color="auto" w:fill="auto"/>
          </w:tcPr>
          <w:p w14:paraId="064E57EB" w14:textId="77777777" w:rsidR="002F0133" w:rsidRPr="000B4E2C" w:rsidRDefault="002F0133" w:rsidP="008A7464">
            <w:pPr>
              <w:spacing w:line="276" w:lineRule="auto"/>
              <w:jc w:val="center"/>
              <w:rPr>
                <w:lang w:eastAsia="en-GB"/>
              </w:rPr>
            </w:pPr>
          </w:p>
          <w:p w14:paraId="068F8C12" w14:textId="77777777" w:rsidR="002F0133" w:rsidRPr="000B4E2C" w:rsidRDefault="002F0133" w:rsidP="008A7464">
            <w:pPr>
              <w:spacing w:line="276" w:lineRule="auto"/>
              <w:jc w:val="center"/>
              <w:rPr>
                <w:lang w:eastAsia="en-GB"/>
              </w:rPr>
            </w:pPr>
            <w:r w:rsidRPr="000B4E2C">
              <w:rPr>
                <w:lang w:eastAsia="en-GB"/>
              </w:rPr>
              <w:t>NR</w:t>
            </w:r>
          </w:p>
        </w:tc>
      </w:tr>
      <w:tr w:rsidR="002F0133" w:rsidRPr="000B4E2C" w14:paraId="0D0DADB9" w14:textId="77777777" w:rsidTr="000B4E2C">
        <w:trPr>
          <w:cantSplit/>
        </w:trPr>
        <w:tc>
          <w:tcPr>
            <w:tcW w:w="0" w:type="auto"/>
            <w:shd w:val="clear" w:color="auto" w:fill="auto"/>
            <w:vAlign w:val="center"/>
          </w:tcPr>
          <w:p w14:paraId="4D112E2D" w14:textId="63A3A23F" w:rsidR="002F0133" w:rsidRPr="000B4E2C" w:rsidRDefault="002F0133" w:rsidP="008A7464">
            <w:pPr>
              <w:spacing w:line="276" w:lineRule="auto"/>
              <w:rPr>
                <w:lang w:eastAsia="en-GB"/>
              </w:rPr>
            </w:pPr>
            <w:r w:rsidRPr="000B4E2C">
              <w:rPr>
                <w:lang w:eastAsia="en-GB"/>
              </w:rPr>
              <w:t>Yang 2017</w:t>
            </w:r>
            <w:r w:rsidR="00024FA4" w:rsidRPr="000B4E2C">
              <w:rPr>
                <w:lang w:eastAsia="en-GB"/>
              </w:rPr>
              <w:t>,</w:t>
            </w:r>
            <w:r w:rsidR="005B5026" w:rsidRPr="000B4E2C">
              <w:rPr>
                <w:noProof/>
                <w:vertAlign w:val="superscript"/>
                <w:lang w:eastAsia="en-GB"/>
              </w:rPr>
              <w:t>67</w:t>
            </w:r>
            <w:r w:rsidRPr="000B4E2C">
              <w:rPr>
                <w:lang w:eastAsia="en-GB"/>
              </w:rPr>
              <w:t xml:space="preserve"> China</w:t>
            </w:r>
          </w:p>
        </w:tc>
        <w:tc>
          <w:tcPr>
            <w:tcW w:w="0" w:type="auto"/>
            <w:shd w:val="clear" w:color="auto" w:fill="auto"/>
            <w:vAlign w:val="center"/>
          </w:tcPr>
          <w:p w14:paraId="272561AB" w14:textId="4C30147C" w:rsidR="002F0133" w:rsidRPr="000B4E2C" w:rsidRDefault="002F0133" w:rsidP="008A7464">
            <w:pPr>
              <w:spacing w:line="276" w:lineRule="auto"/>
              <w:jc w:val="center"/>
              <w:rPr>
                <w:lang w:eastAsia="en-GB"/>
              </w:rPr>
            </w:pPr>
            <w:r w:rsidRPr="000B4E2C">
              <w:rPr>
                <w:lang w:eastAsia="en-GB"/>
              </w:rPr>
              <w:t xml:space="preserve">uNGAL, </w:t>
            </w:r>
            <w:r w:rsidR="009D7F5A" w:rsidRPr="000B4E2C">
              <w:rPr>
                <w:lang w:eastAsia="en-GB"/>
              </w:rPr>
              <w:t>BioPorto</w:t>
            </w:r>
          </w:p>
          <w:p w14:paraId="6020B77C" w14:textId="77777777" w:rsidR="002F0133" w:rsidRPr="000B4E2C" w:rsidRDefault="002F0133" w:rsidP="008A7464">
            <w:pPr>
              <w:spacing w:line="276" w:lineRule="auto"/>
              <w:jc w:val="center"/>
              <w:rPr>
                <w:lang w:eastAsia="en-GB"/>
              </w:rPr>
            </w:pPr>
          </w:p>
        </w:tc>
        <w:tc>
          <w:tcPr>
            <w:tcW w:w="0" w:type="auto"/>
            <w:shd w:val="clear" w:color="auto" w:fill="auto"/>
            <w:vAlign w:val="center"/>
          </w:tcPr>
          <w:p w14:paraId="622BEC22" w14:textId="77777777" w:rsidR="002F0133" w:rsidRPr="000B4E2C" w:rsidRDefault="002F0133" w:rsidP="008A7464">
            <w:pPr>
              <w:spacing w:line="276" w:lineRule="auto"/>
              <w:jc w:val="center"/>
              <w:rPr>
                <w:lang w:eastAsia="en-GB"/>
              </w:rPr>
            </w:pPr>
            <w:r w:rsidRPr="000B4E2C">
              <w:t>Cardiac Surgery (Atorvastin for AKI cardiac surgery study)</w:t>
            </w:r>
          </w:p>
        </w:tc>
        <w:tc>
          <w:tcPr>
            <w:tcW w:w="0" w:type="auto"/>
            <w:shd w:val="clear" w:color="auto" w:fill="auto"/>
            <w:vAlign w:val="center"/>
          </w:tcPr>
          <w:p w14:paraId="4A0EB742" w14:textId="77777777" w:rsidR="002F0133" w:rsidRPr="000B4E2C" w:rsidRDefault="002F0133" w:rsidP="008A7464">
            <w:pPr>
              <w:spacing w:line="276" w:lineRule="auto"/>
              <w:jc w:val="center"/>
              <w:rPr>
                <w:lang w:eastAsia="en-GB"/>
              </w:rPr>
            </w:pPr>
            <w:r w:rsidRPr="000B4E2C">
              <w:rPr>
                <w:lang w:eastAsia="en-GB"/>
              </w:rPr>
              <w:t>46 (15)</w:t>
            </w:r>
          </w:p>
        </w:tc>
        <w:tc>
          <w:tcPr>
            <w:tcW w:w="0" w:type="auto"/>
            <w:shd w:val="clear" w:color="auto" w:fill="auto"/>
            <w:vAlign w:val="center"/>
          </w:tcPr>
          <w:p w14:paraId="31992FD3" w14:textId="77777777" w:rsidR="002F0133" w:rsidRPr="000B4E2C" w:rsidRDefault="002F0133" w:rsidP="008A7464">
            <w:pPr>
              <w:spacing w:line="276" w:lineRule="auto"/>
              <w:jc w:val="center"/>
              <w:rPr>
                <w:lang w:eastAsia="en-GB"/>
              </w:rPr>
            </w:pPr>
            <w:r w:rsidRPr="000B4E2C">
              <w:rPr>
                <w:lang w:eastAsia="en-GB"/>
              </w:rPr>
              <w:t>398</w:t>
            </w:r>
          </w:p>
        </w:tc>
        <w:tc>
          <w:tcPr>
            <w:tcW w:w="0" w:type="auto"/>
            <w:shd w:val="clear" w:color="auto" w:fill="auto"/>
            <w:vAlign w:val="center"/>
          </w:tcPr>
          <w:p w14:paraId="5CCC8B1E" w14:textId="77777777" w:rsidR="002F0133" w:rsidRPr="000B4E2C" w:rsidRDefault="002F0133" w:rsidP="008A7464">
            <w:pPr>
              <w:spacing w:line="276" w:lineRule="auto"/>
              <w:jc w:val="center"/>
              <w:rPr>
                <w:lang w:eastAsia="en-GB"/>
              </w:rPr>
            </w:pPr>
            <w:r w:rsidRPr="000B4E2C">
              <w:rPr>
                <w:lang w:eastAsia="en-GB"/>
              </w:rPr>
              <w:t>164</w:t>
            </w:r>
          </w:p>
        </w:tc>
        <w:tc>
          <w:tcPr>
            <w:tcW w:w="0" w:type="auto"/>
            <w:shd w:val="clear" w:color="auto" w:fill="auto"/>
            <w:vAlign w:val="center"/>
          </w:tcPr>
          <w:p w14:paraId="2E01D318" w14:textId="77777777" w:rsidR="002F0133" w:rsidRPr="000B4E2C" w:rsidRDefault="002F0133" w:rsidP="008A7464">
            <w:pPr>
              <w:spacing w:line="276" w:lineRule="auto"/>
              <w:jc w:val="center"/>
              <w:rPr>
                <w:lang w:eastAsia="en-GB"/>
              </w:rPr>
            </w:pPr>
            <w:r w:rsidRPr="000B4E2C">
              <w:rPr>
                <w:lang w:eastAsia="en-GB"/>
              </w:rPr>
              <w:t xml:space="preserve">Acute dialysis or doubling of </w:t>
            </w:r>
            <w:r w:rsidRPr="000B4E2C">
              <w:rPr>
                <w:bCs/>
                <w:lang w:eastAsia="en-GB"/>
              </w:rPr>
              <w:t>sCr</w:t>
            </w:r>
            <w:r w:rsidRPr="000B4E2C">
              <w:rPr>
                <w:lang w:eastAsia="en-GB"/>
              </w:rPr>
              <w:t xml:space="preserve"> consistent with KDIGO stage 2 and 3 criteria</w:t>
            </w:r>
          </w:p>
        </w:tc>
        <w:tc>
          <w:tcPr>
            <w:tcW w:w="0" w:type="auto"/>
            <w:shd w:val="clear" w:color="auto" w:fill="auto"/>
          </w:tcPr>
          <w:p w14:paraId="170C075A" w14:textId="77777777" w:rsidR="002F0133" w:rsidRPr="000B4E2C" w:rsidRDefault="002F0133" w:rsidP="008A7464">
            <w:pPr>
              <w:spacing w:line="276" w:lineRule="auto"/>
              <w:jc w:val="center"/>
              <w:rPr>
                <w:lang w:eastAsia="en-GB"/>
              </w:rPr>
            </w:pPr>
          </w:p>
          <w:p w14:paraId="4382D40C" w14:textId="77777777" w:rsidR="002F0133" w:rsidRPr="000B4E2C" w:rsidRDefault="002F0133" w:rsidP="008A7464">
            <w:pPr>
              <w:spacing w:line="276" w:lineRule="auto"/>
              <w:jc w:val="center"/>
              <w:rPr>
                <w:lang w:eastAsia="en-GB"/>
              </w:rPr>
            </w:pPr>
            <w:r w:rsidRPr="000B4E2C">
              <w:rPr>
                <w:lang w:eastAsia="en-GB"/>
              </w:rPr>
              <w:t>NR</w:t>
            </w:r>
          </w:p>
        </w:tc>
      </w:tr>
      <w:tr w:rsidR="002F0133" w:rsidRPr="000B4E2C" w14:paraId="11A441ED" w14:textId="77777777" w:rsidTr="000B4E2C">
        <w:trPr>
          <w:cantSplit/>
        </w:trPr>
        <w:tc>
          <w:tcPr>
            <w:tcW w:w="0" w:type="auto"/>
            <w:shd w:val="clear" w:color="auto" w:fill="auto"/>
            <w:vAlign w:val="center"/>
          </w:tcPr>
          <w:p w14:paraId="60CE521F" w14:textId="1A22103D" w:rsidR="002F0133" w:rsidRPr="000B4E2C" w:rsidRDefault="002F0133" w:rsidP="008A7464">
            <w:pPr>
              <w:spacing w:line="276" w:lineRule="auto"/>
              <w:rPr>
                <w:lang w:eastAsia="en-GB"/>
              </w:rPr>
            </w:pPr>
            <w:r w:rsidRPr="000B4E2C">
              <w:rPr>
                <w:lang w:eastAsia="en-GB"/>
              </w:rPr>
              <w:t>Cho 2014</w:t>
            </w:r>
            <w:r w:rsidR="00024FA4" w:rsidRPr="000B4E2C">
              <w:rPr>
                <w:lang w:eastAsia="en-GB"/>
              </w:rPr>
              <w:t>,</w:t>
            </w:r>
            <w:r w:rsidR="005B5026" w:rsidRPr="000B4E2C">
              <w:rPr>
                <w:noProof/>
                <w:vertAlign w:val="superscript"/>
                <w:lang w:eastAsia="en-GB"/>
              </w:rPr>
              <w:t>68</w:t>
            </w:r>
            <w:r w:rsidRPr="000B4E2C">
              <w:rPr>
                <w:lang w:eastAsia="en-GB"/>
              </w:rPr>
              <w:t xml:space="preserve"> South Korea</w:t>
            </w:r>
          </w:p>
        </w:tc>
        <w:tc>
          <w:tcPr>
            <w:tcW w:w="0" w:type="auto"/>
            <w:shd w:val="clear" w:color="auto" w:fill="auto"/>
            <w:vAlign w:val="center"/>
          </w:tcPr>
          <w:p w14:paraId="663146C7" w14:textId="5C9F7E11" w:rsidR="002F0133" w:rsidRPr="000B4E2C" w:rsidRDefault="002F0133" w:rsidP="008A7464">
            <w:pPr>
              <w:spacing w:line="276" w:lineRule="auto"/>
              <w:jc w:val="center"/>
              <w:rPr>
                <w:lang w:eastAsia="en-GB"/>
              </w:rPr>
            </w:pPr>
            <w:r w:rsidRPr="000B4E2C">
              <w:rPr>
                <w:lang w:eastAsia="en-GB"/>
              </w:rPr>
              <w:t xml:space="preserve">uNGAL, </w:t>
            </w:r>
            <w:r w:rsidR="009D7F5A" w:rsidRPr="000B4E2C">
              <w:rPr>
                <w:lang w:eastAsia="en-GB"/>
              </w:rPr>
              <w:t>BioPorto</w:t>
            </w:r>
          </w:p>
        </w:tc>
        <w:tc>
          <w:tcPr>
            <w:tcW w:w="0" w:type="auto"/>
            <w:shd w:val="clear" w:color="auto" w:fill="auto"/>
            <w:vAlign w:val="center"/>
          </w:tcPr>
          <w:p w14:paraId="0B752021" w14:textId="77777777" w:rsidR="002F0133" w:rsidRPr="000B4E2C" w:rsidRDefault="002F0133" w:rsidP="008A7464">
            <w:pPr>
              <w:spacing w:line="276" w:lineRule="auto"/>
              <w:jc w:val="center"/>
              <w:rPr>
                <w:lang w:eastAsia="en-GB"/>
              </w:rPr>
            </w:pPr>
            <w:r w:rsidRPr="000B4E2C">
              <w:t>Non-cardiac surgery (hepatobiliary surgery)</w:t>
            </w:r>
          </w:p>
        </w:tc>
        <w:tc>
          <w:tcPr>
            <w:tcW w:w="0" w:type="auto"/>
            <w:shd w:val="clear" w:color="auto" w:fill="auto"/>
            <w:vAlign w:val="center"/>
          </w:tcPr>
          <w:p w14:paraId="275E51AE" w14:textId="77777777" w:rsidR="002F0133" w:rsidRPr="000B4E2C" w:rsidRDefault="002F0133" w:rsidP="008A7464">
            <w:pPr>
              <w:spacing w:line="276" w:lineRule="auto"/>
              <w:jc w:val="center"/>
              <w:rPr>
                <w:lang w:eastAsia="en-GB"/>
              </w:rPr>
            </w:pPr>
            <w:r w:rsidRPr="000B4E2C">
              <w:rPr>
                <w:lang w:eastAsia="en-GB"/>
              </w:rPr>
              <w:t>57 (12)</w:t>
            </w:r>
          </w:p>
        </w:tc>
        <w:tc>
          <w:tcPr>
            <w:tcW w:w="0" w:type="auto"/>
            <w:shd w:val="clear" w:color="auto" w:fill="auto"/>
            <w:vAlign w:val="center"/>
          </w:tcPr>
          <w:p w14:paraId="687042D2" w14:textId="77777777" w:rsidR="002F0133" w:rsidRPr="000B4E2C" w:rsidRDefault="002F0133" w:rsidP="008A7464">
            <w:pPr>
              <w:spacing w:line="276" w:lineRule="auto"/>
              <w:jc w:val="center"/>
              <w:rPr>
                <w:lang w:eastAsia="en-GB"/>
              </w:rPr>
            </w:pPr>
            <w:r w:rsidRPr="000B4E2C">
              <w:rPr>
                <w:lang w:eastAsia="en-GB"/>
              </w:rPr>
              <w:t>131</w:t>
            </w:r>
          </w:p>
        </w:tc>
        <w:tc>
          <w:tcPr>
            <w:tcW w:w="0" w:type="auto"/>
            <w:shd w:val="clear" w:color="auto" w:fill="auto"/>
            <w:vAlign w:val="center"/>
          </w:tcPr>
          <w:p w14:paraId="35C05E7D" w14:textId="77777777" w:rsidR="002F0133" w:rsidRPr="000B4E2C" w:rsidRDefault="002F0133" w:rsidP="008A7464">
            <w:pPr>
              <w:spacing w:line="276" w:lineRule="auto"/>
              <w:jc w:val="center"/>
              <w:rPr>
                <w:lang w:eastAsia="en-GB"/>
              </w:rPr>
            </w:pPr>
            <w:r w:rsidRPr="000B4E2C">
              <w:rPr>
                <w:lang w:eastAsia="en-GB"/>
              </w:rPr>
              <w:t>10</w:t>
            </w:r>
          </w:p>
        </w:tc>
        <w:tc>
          <w:tcPr>
            <w:tcW w:w="0" w:type="auto"/>
            <w:shd w:val="clear" w:color="auto" w:fill="auto"/>
            <w:vAlign w:val="center"/>
          </w:tcPr>
          <w:p w14:paraId="2FF59FFA" w14:textId="77777777" w:rsidR="002F0133" w:rsidRPr="000B4E2C" w:rsidRDefault="002F0133" w:rsidP="008A7464">
            <w:pPr>
              <w:spacing w:line="276" w:lineRule="auto"/>
              <w:jc w:val="center"/>
              <w:rPr>
                <w:lang w:eastAsia="en-GB"/>
              </w:rPr>
            </w:pPr>
            <w:r w:rsidRPr="000B4E2C">
              <w:rPr>
                <w:lang w:eastAsia="en-GB"/>
              </w:rPr>
              <w:t>AKIN</w:t>
            </w:r>
          </w:p>
        </w:tc>
        <w:tc>
          <w:tcPr>
            <w:tcW w:w="0" w:type="auto"/>
            <w:shd w:val="clear" w:color="auto" w:fill="auto"/>
          </w:tcPr>
          <w:p w14:paraId="7D0706FE" w14:textId="77777777" w:rsidR="002F0133" w:rsidRPr="000B4E2C" w:rsidRDefault="002F0133" w:rsidP="008A7464">
            <w:pPr>
              <w:spacing w:line="276" w:lineRule="auto"/>
              <w:jc w:val="center"/>
              <w:rPr>
                <w:lang w:eastAsia="en-GB"/>
              </w:rPr>
            </w:pPr>
            <w:r w:rsidRPr="000B4E2C">
              <w:rPr>
                <w:lang w:eastAsia="en-GB"/>
              </w:rPr>
              <w:t>Within 5 days of admission</w:t>
            </w:r>
          </w:p>
        </w:tc>
      </w:tr>
      <w:tr w:rsidR="002F0133" w:rsidRPr="000B4E2C" w14:paraId="6309AD04" w14:textId="77777777" w:rsidTr="000B4E2C">
        <w:trPr>
          <w:cantSplit/>
        </w:trPr>
        <w:tc>
          <w:tcPr>
            <w:tcW w:w="0" w:type="auto"/>
            <w:shd w:val="clear" w:color="auto" w:fill="auto"/>
            <w:vAlign w:val="center"/>
          </w:tcPr>
          <w:p w14:paraId="6581DA1E" w14:textId="4516E9C6" w:rsidR="002F0133" w:rsidRPr="000B4E2C" w:rsidRDefault="002F0133" w:rsidP="008A7464">
            <w:pPr>
              <w:spacing w:line="276" w:lineRule="auto"/>
              <w:rPr>
                <w:lang w:eastAsia="en-GB"/>
              </w:rPr>
            </w:pPr>
            <w:r w:rsidRPr="000B4E2C">
              <w:rPr>
                <w:lang w:eastAsia="en-GB"/>
              </w:rPr>
              <w:lastRenderedPageBreak/>
              <w:t>Ariza 2016</w:t>
            </w:r>
            <w:r w:rsidR="00024FA4" w:rsidRPr="000B4E2C">
              <w:rPr>
                <w:lang w:eastAsia="en-GB"/>
              </w:rPr>
              <w:t>,</w:t>
            </w:r>
            <w:r w:rsidR="005B5026" w:rsidRPr="000B4E2C">
              <w:rPr>
                <w:noProof/>
                <w:vertAlign w:val="superscript"/>
                <w:lang w:eastAsia="en-GB"/>
              </w:rPr>
              <w:t>69</w:t>
            </w:r>
            <w:r w:rsidR="00024FA4" w:rsidRPr="000B4E2C">
              <w:rPr>
                <w:lang w:eastAsia="en-GB"/>
              </w:rPr>
              <w:t xml:space="preserve"> </w:t>
            </w:r>
            <w:r w:rsidRPr="000B4E2C">
              <w:rPr>
                <w:lang w:eastAsia="en-GB"/>
              </w:rPr>
              <w:t>Europe</w:t>
            </w:r>
          </w:p>
        </w:tc>
        <w:tc>
          <w:tcPr>
            <w:tcW w:w="0" w:type="auto"/>
            <w:shd w:val="clear" w:color="auto" w:fill="auto"/>
            <w:vAlign w:val="center"/>
          </w:tcPr>
          <w:p w14:paraId="41999381" w14:textId="359BD505" w:rsidR="002F0133" w:rsidRPr="000B4E2C" w:rsidRDefault="002F0133" w:rsidP="008A7464">
            <w:pPr>
              <w:spacing w:line="276" w:lineRule="auto"/>
              <w:jc w:val="center"/>
              <w:rPr>
                <w:lang w:eastAsia="en-GB"/>
              </w:rPr>
            </w:pPr>
            <w:r w:rsidRPr="000B4E2C">
              <w:rPr>
                <w:lang w:eastAsia="en-GB"/>
              </w:rPr>
              <w:t xml:space="preserve">uNGAL, </w:t>
            </w:r>
            <w:r w:rsidR="009D7F5A" w:rsidRPr="000B4E2C">
              <w:rPr>
                <w:lang w:eastAsia="en-GB"/>
              </w:rPr>
              <w:t>BioPorto</w:t>
            </w:r>
          </w:p>
        </w:tc>
        <w:tc>
          <w:tcPr>
            <w:tcW w:w="0" w:type="auto"/>
            <w:shd w:val="clear" w:color="auto" w:fill="auto"/>
            <w:vAlign w:val="center"/>
          </w:tcPr>
          <w:p w14:paraId="3BBC9734" w14:textId="12D46C43" w:rsidR="002F0133" w:rsidRPr="000B4E2C" w:rsidRDefault="002F0133" w:rsidP="008A7464">
            <w:pPr>
              <w:spacing w:line="276" w:lineRule="auto"/>
              <w:jc w:val="center"/>
            </w:pPr>
            <w:r w:rsidRPr="000B4E2C">
              <w:t>Critical care</w:t>
            </w:r>
            <w:r w:rsidR="000B4E2C" w:rsidRPr="000B4E2C">
              <w:rPr>
                <w:color w:val="00B0F0"/>
              </w:rPr>
              <w:t xml:space="preserve"> – </w:t>
            </w:r>
            <w:r w:rsidRPr="000B4E2C">
              <w:t>mixed population</w:t>
            </w:r>
          </w:p>
          <w:p w14:paraId="4D01697A" w14:textId="77777777" w:rsidR="002F0133" w:rsidRPr="000B4E2C" w:rsidRDefault="002F0133" w:rsidP="008A7464">
            <w:pPr>
              <w:spacing w:line="276" w:lineRule="auto"/>
              <w:jc w:val="center"/>
              <w:rPr>
                <w:lang w:eastAsia="en-GB"/>
              </w:rPr>
            </w:pPr>
            <w:r w:rsidRPr="000B4E2C">
              <w:t>(liver disease)</w:t>
            </w:r>
          </w:p>
        </w:tc>
        <w:tc>
          <w:tcPr>
            <w:tcW w:w="0" w:type="auto"/>
            <w:shd w:val="clear" w:color="auto" w:fill="auto"/>
            <w:vAlign w:val="center"/>
          </w:tcPr>
          <w:p w14:paraId="4A384104" w14:textId="77777777" w:rsidR="002F0133" w:rsidRPr="000B4E2C" w:rsidRDefault="002F0133" w:rsidP="008A7464">
            <w:pPr>
              <w:spacing w:line="276" w:lineRule="auto"/>
              <w:jc w:val="center"/>
              <w:rPr>
                <w:lang w:eastAsia="en-GB"/>
              </w:rPr>
            </w:pPr>
            <w:r w:rsidRPr="000B4E2C">
              <w:rPr>
                <w:lang w:eastAsia="en-GB"/>
              </w:rPr>
              <w:t>Acute-on-Chronic</w:t>
            </w:r>
          </w:p>
          <w:p w14:paraId="6B230C2B" w14:textId="77777777" w:rsidR="002F0133" w:rsidRPr="000B4E2C" w:rsidRDefault="002F0133" w:rsidP="008A7464">
            <w:pPr>
              <w:spacing w:line="276" w:lineRule="auto"/>
              <w:jc w:val="center"/>
              <w:rPr>
                <w:lang w:eastAsia="en-GB"/>
              </w:rPr>
            </w:pPr>
            <w:r w:rsidRPr="000B4E2C">
              <w:rPr>
                <w:lang w:eastAsia="en-GB"/>
              </w:rPr>
              <w:t>Liver Failure 57 (11)</w:t>
            </w:r>
          </w:p>
          <w:p w14:paraId="3A96C608" w14:textId="77777777" w:rsidR="002F0133" w:rsidRPr="000B4E2C" w:rsidRDefault="002F0133" w:rsidP="008A7464">
            <w:pPr>
              <w:spacing w:line="276" w:lineRule="auto"/>
              <w:jc w:val="center"/>
              <w:rPr>
                <w:lang w:eastAsia="en-GB"/>
              </w:rPr>
            </w:pPr>
            <w:r w:rsidRPr="000B4E2C">
              <w:rPr>
                <w:lang w:eastAsia="en-GB"/>
              </w:rPr>
              <w:t>No Acute-on-Chronic</w:t>
            </w:r>
          </w:p>
          <w:p w14:paraId="4537F6D9" w14:textId="77777777" w:rsidR="002F0133" w:rsidRPr="000B4E2C" w:rsidRDefault="002F0133" w:rsidP="008A7464">
            <w:pPr>
              <w:spacing w:line="276" w:lineRule="auto"/>
              <w:jc w:val="center"/>
              <w:rPr>
                <w:lang w:eastAsia="en-GB"/>
              </w:rPr>
            </w:pPr>
            <w:r w:rsidRPr="000B4E2C">
              <w:rPr>
                <w:lang w:eastAsia="en-GB"/>
              </w:rPr>
              <w:t>Liver Failure 57 (12)</w:t>
            </w:r>
          </w:p>
        </w:tc>
        <w:tc>
          <w:tcPr>
            <w:tcW w:w="0" w:type="auto"/>
            <w:shd w:val="clear" w:color="auto" w:fill="auto"/>
            <w:vAlign w:val="center"/>
          </w:tcPr>
          <w:p w14:paraId="0F05C9C9" w14:textId="77777777" w:rsidR="002F0133" w:rsidRPr="000B4E2C" w:rsidRDefault="002F0133" w:rsidP="008A7464">
            <w:pPr>
              <w:spacing w:line="276" w:lineRule="auto"/>
              <w:jc w:val="center"/>
              <w:rPr>
                <w:lang w:eastAsia="en-GB"/>
              </w:rPr>
            </w:pPr>
            <w:r w:rsidRPr="000B4E2C">
              <w:rPr>
                <w:lang w:eastAsia="en-GB"/>
              </w:rPr>
              <w:t>716</w:t>
            </w:r>
          </w:p>
        </w:tc>
        <w:tc>
          <w:tcPr>
            <w:tcW w:w="0" w:type="auto"/>
            <w:shd w:val="clear" w:color="auto" w:fill="auto"/>
            <w:vAlign w:val="center"/>
          </w:tcPr>
          <w:p w14:paraId="6C1AED86" w14:textId="77777777" w:rsidR="002F0133" w:rsidRPr="000B4E2C" w:rsidRDefault="002F0133" w:rsidP="008A7464">
            <w:pPr>
              <w:spacing w:line="276" w:lineRule="auto"/>
              <w:jc w:val="center"/>
              <w:rPr>
                <w:lang w:eastAsia="en-GB"/>
              </w:rPr>
            </w:pPr>
            <w:r w:rsidRPr="000B4E2C">
              <w:rPr>
                <w:lang w:eastAsia="en-GB"/>
              </w:rPr>
              <w:t>NR</w:t>
            </w:r>
          </w:p>
        </w:tc>
        <w:tc>
          <w:tcPr>
            <w:tcW w:w="0" w:type="auto"/>
            <w:shd w:val="clear" w:color="auto" w:fill="auto"/>
            <w:vAlign w:val="center"/>
          </w:tcPr>
          <w:p w14:paraId="60170EC9" w14:textId="77777777" w:rsidR="002F0133" w:rsidRPr="000B4E2C" w:rsidRDefault="002F0133" w:rsidP="008A7464">
            <w:pPr>
              <w:spacing w:line="276" w:lineRule="auto"/>
              <w:jc w:val="center"/>
              <w:rPr>
                <w:lang w:eastAsia="en-GB"/>
              </w:rPr>
            </w:pPr>
            <w:r w:rsidRPr="000B4E2C">
              <w:rPr>
                <w:lang w:eastAsia="en-GB"/>
              </w:rPr>
              <w:t>NR</w:t>
            </w:r>
          </w:p>
        </w:tc>
        <w:tc>
          <w:tcPr>
            <w:tcW w:w="0" w:type="auto"/>
            <w:shd w:val="clear" w:color="auto" w:fill="auto"/>
          </w:tcPr>
          <w:p w14:paraId="11562A21" w14:textId="77777777" w:rsidR="000B4E2C" w:rsidRPr="000B4E2C" w:rsidRDefault="000B4E2C" w:rsidP="008A7464">
            <w:pPr>
              <w:spacing w:line="276" w:lineRule="auto"/>
              <w:jc w:val="center"/>
              <w:rPr>
                <w:lang w:eastAsia="en-GB"/>
              </w:rPr>
            </w:pPr>
          </w:p>
          <w:p w14:paraId="465FC4B2" w14:textId="40D05189" w:rsidR="002F0133" w:rsidRPr="000B4E2C" w:rsidRDefault="002F0133" w:rsidP="008A7464">
            <w:pPr>
              <w:spacing w:line="276" w:lineRule="auto"/>
              <w:jc w:val="center"/>
              <w:rPr>
                <w:lang w:eastAsia="en-GB"/>
              </w:rPr>
            </w:pPr>
            <w:r w:rsidRPr="000B4E2C">
              <w:rPr>
                <w:lang w:eastAsia="en-GB"/>
              </w:rPr>
              <w:t>NR</w:t>
            </w:r>
          </w:p>
        </w:tc>
      </w:tr>
      <w:tr w:rsidR="002F0133" w:rsidRPr="000B4E2C" w14:paraId="1B26A7A5" w14:textId="77777777" w:rsidTr="000B4E2C">
        <w:trPr>
          <w:cantSplit/>
        </w:trPr>
        <w:tc>
          <w:tcPr>
            <w:tcW w:w="0" w:type="auto"/>
            <w:shd w:val="clear" w:color="auto" w:fill="auto"/>
            <w:vAlign w:val="center"/>
          </w:tcPr>
          <w:p w14:paraId="053F4FD1" w14:textId="2A27A183" w:rsidR="002F0133" w:rsidRPr="000B4E2C" w:rsidRDefault="002F0133" w:rsidP="008A7464">
            <w:pPr>
              <w:spacing w:line="276" w:lineRule="auto"/>
              <w:rPr>
                <w:lang w:eastAsia="en-GB"/>
              </w:rPr>
            </w:pPr>
            <w:r w:rsidRPr="000B4E2C">
              <w:rPr>
                <w:lang w:eastAsia="en-GB"/>
              </w:rPr>
              <w:t>Barreto 2014</w:t>
            </w:r>
            <w:r w:rsidR="00024FA4" w:rsidRPr="000B4E2C">
              <w:rPr>
                <w:lang w:eastAsia="en-GB"/>
              </w:rPr>
              <w:t>,</w:t>
            </w:r>
            <w:r w:rsidR="005B5026" w:rsidRPr="000B4E2C">
              <w:rPr>
                <w:noProof/>
                <w:vertAlign w:val="superscript"/>
                <w:lang w:eastAsia="en-GB"/>
              </w:rPr>
              <w:t>70</w:t>
            </w:r>
            <w:r w:rsidRPr="000B4E2C">
              <w:rPr>
                <w:lang w:eastAsia="en-GB"/>
              </w:rPr>
              <w:t xml:space="preserve"> Spain</w:t>
            </w:r>
          </w:p>
        </w:tc>
        <w:tc>
          <w:tcPr>
            <w:tcW w:w="0" w:type="auto"/>
            <w:shd w:val="clear" w:color="auto" w:fill="auto"/>
            <w:vAlign w:val="center"/>
          </w:tcPr>
          <w:p w14:paraId="68E5C4D6" w14:textId="0222D3D0" w:rsidR="002F0133" w:rsidRPr="000B4E2C" w:rsidRDefault="002F0133" w:rsidP="008A7464">
            <w:pPr>
              <w:spacing w:line="276" w:lineRule="auto"/>
              <w:jc w:val="center"/>
              <w:rPr>
                <w:lang w:eastAsia="en-GB"/>
              </w:rPr>
            </w:pPr>
            <w:r w:rsidRPr="000B4E2C">
              <w:rPr>
                <w:lang w:eastAsia="en-GB"/>
              </w:rPr>
              <w:t xml:space="preserve">uNGAL, </w:t>
            </w:r>
            <w:r w:rsidR="009D7F5A" w:rsidRPr="000B4E2C">
              <w:rPr>
                <w:lang w:eastAsia="en-GB"/>
              </w:rPr>
              <w:t>BioPorto</w:t>
            </w:r>
          </w:p>
        </w:tc>
        <w:tc>
          <w:tcPr>
            <w:tcW w:w="0" w:type="auto"/>
            <w:shd w:val="clear" w:color="auto" w:fill="auto"/>
            <w:vAlign w:val="center"/>
          </w:tcPr>
          <w:p w14:paraId="51BD439F" w14:textId="03FE8D39"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(cirrhosis)</w:t>
            </w:r>
          </w:p>
        </w:tc>
        <w:tc>
          <w:tcPr>
            <w:tcW w:w="0" w:type="auto"/>
            <w:shd w:val="clear" w:color="auto" w:fill="auto"/>
            <w:vAlign w:val="center"/>
          </w:tcPr>
          <w:p w14:paraId="64D80A98" w14:textId="77777777" w:rsidR="002F0133" w:rsidRPr="000B4E2C" w:rsidRDefault="002F0133" w:rsidP="008A7464">
            <w:pPr>
              <w:spacing w:line="276" w:lineRule="auto"/>
              <w:jc w:val="center"/>
              <w:rPr>
                <w:lang w:eastAsia="en-GB"/>
              </w:rPr>
            </w:pPr>
            <w:r w:rsidRPr="000B4E2C">
              <w:rPr>
                <w:lang w:eastAsia="en-GB"/>
              </w:rPr>
              <w:t>58 (12)</w:t>
            </w:r>
          </w:p>
        </w:tc>
        <w:tc>
          <w:tcPr>
            <w:tcW w:w="0" w:type="auto"/>
            <w:shd w:val="clear" w:color="auto" w:fill="auto"/>
            <w:vAlign w:val="center"/>
          </w:tcPr>
          <w:p w14:paraId="4F1B4F45" w14:textId="77777777" w:rsidR="002F0133" w:rsidRPr="000B4E2C" w:rsidRDefault="002F0133" w:rsidP="008A7464">
            <w:pPr>
              <w:spacing w:line="276" w:lineRule="auto"/>
              <w:jc w:val="center"/>
              <w:rPr>
                <w:lang w:eastAsia="en-GB"/>
              </w:rPr>
            </w:pPr>
            <w:r w:rsidRPr="000B4E2C">
              <w:rPr>
                <w:lang w:eastAsia="en-GB"/>
              </w:rPr>
              <w:t>132</w:t>
            </w:r>
          </w:p>
        </w:tc>
        <w:tc>
          <w:tcPr>
            <w:tcW w:w="0" w:type="auto"/>
            <w:shd w:val="clear" w:color="auto" w:fill="auto"/>
            <w:vAlign w:val="center"/>
          </w:tcPr>
          <w:p w14:paraId="65BCF30A" w14:textId="77777777" w:rsidR="002F0133" w:rsidRPr="000B4E2C" w:rsidRDefault="002F0133" w:rsidP="008A7464">
            <w:pPr>
              <w:spacing w:line="276" w:lineRule="auto"/>
              <w:jc w:val="center"/>
              <w:rPr>
                <w:lang w:eastAsia="en-GB"/>
              </w:rPr>
            </w:pPr>
            <w:r w:rsidRPr="000B4E2C">
              <w:rPr>
                <w:lang w:eastAsia="en-GB"/>
              </w:rPr>
              <w:t>65</w:t>
            </w:r>
          </w:p>
        </w:tc>
        <w:tc>
          <w:tcPr>
            <w:tcW w:w="0" w:type="auto"/>
            <w:shd w:val="clear" w:color="auto" w:fill="auto"/>
            <w:vAlign w:val="center"/>
          </w:tcPr>
          <w:p w14:paraId="1CC4B2D5" w14:textId="77777777" w:rsidR="002F0133" w:rsidRPr="000B4E2C" w:rsidRDefault="002F0133" w:rsidP="008A7464">
            <w:pPr>
              <w:spacing w:line="276" w:lineRule="auto"/>
              <w:jc w:val="center"/>
              <w:rPr>
                <w:lang w:eastAsia="en-GB"/>
              </w:rPr>
            </w:pPr>
            <w:r w:rsidRPr="000B4E2C">
              <w:rPr>
                <w:lang w:eastAsia="en-GB"/>
              </w:rPr>
              <w:t>AKIN</w:t>
            </w:r>
          </w:p>
        </w:tc>
        <w:tc>
          <w:tcPr>
            <w:tcW w:w="0" w:type="auto"/>
            <w:shd w:val="clear" w:color="auto" w:fill="auto"/>
          </w:tcPr>
          <w:p w14:paraId="410D53F2" w14:textId="77777777" w:rsidR="002F0133" w:rsidRPr="000B4E2C" w:rsidRDefault="002F0133" w:rsidP="008A7464">
            <w:pPr>
              <w:autoSpaceDE w:val="0"/>
              <w:autoSpaceDN w:val="0"/>
              <w:adjustRightInd w:val="0"/>
              <w:rPr>
                <w:rFonts w:eastAsiaTheme="minorHAnsi"/>
                <w:lang w:val="en-GB"/>
              </w:rPr>
            </w:pPr>
            <w:r w:rsidRPr="000B4E2C">
              <w:rPr>
                <w:rFonts w:eastAsiaTheme="minorHAnsi"/>
                <w:lang w:val="en-GB"/>
              </w:rPr>
              <w:t>An increase in serum</w:t>
            </w:r>
          </w:p>
          <w:p w14:paraId="375A3817" w14:textId="4AD968F5" w:rsidR="002F0133" w:rsidRPr="000B4E2C" w:rsidRDefault="002F0133" w:rsidP="008A7464">
            <w:pPr>
              <w:autoSpaceDE w:val="0"/>
              <w:autoSpaceDN w:val="0"/>
              <w:adjustRightInd w:val="0"/>
              <w:rPr>
                <w:rFonts w:eastAsiaTheme="minorHAnsi"/>
                <w:lang w:val="en-GB"/>
              </w:rPr>
            </w:pPr>
            <w:r w:rsidRPr="000B4E2C">
              <w:rPr>
                <w:rFonts w:eastAsiaTheme="minorHAnsi"/>
                <w:lang w:val="en-GB"/>
              </w:rPr>
              <w:t xml:space="preserve">creatinine of </w:t>
            </w:r>
            <w:r w:rsidR="000B4E2C" w:rsidRPr="000B4E2C">
              <w:rPr>
                <w:rFonts w:eastAsiaTheme="minorHAnsi"/>
                <w:color w:val="00B0F0"/>
                <w:lang w:val="en-GB"/>
              </w:rPr>
              <w:t>≥ </w:t>
            </w:r>
            <w:r w:rsidR="000B4E2C" w:rsidRPr="000B4E2C">
              <w:rPr>
                <w:rFonts w:eastAsiaTheme="minorHAnsi"/>
                <w:color w:val="00B0F0"/>
                <w:lang w:val="en-GB"/>
              </w:rPr>
              <w:t>0</w:t>
            </w:r>
            <w:r w:rsidRPr="000B4E2C">
              <w:rPr>
                <w:rFonts w:eastAsiaTheme="minorHAnsi"/>
                <w:lang w:val="en-GB"/>
              </w:rPr>
              <w:t>.3 mg/dl or</w:t>
            </w:r>
            <w:r w:rsidRPr="000B4E2C">
              <w:rPr>
                <w:rFonts w:eastAsiaTheme="minorHAnsi"/>
                <w:u w:val="single"/>
                <w:lang w:val="en-GB"/>
              </w:rPr>
              <w:t xml:space="preserve"> </w:t>
            </w:r>
            <w:r w:rsidR="000B4E2C" w:rsidRPr="000B4E2C">
              <w:rPr>
                <w:rFonts w:eastAsiaTheme="minorHAnsi"/>
                <w:color w:val="00B0F0"/>
                <w:lang w:val="en-GB"/>
              </w:rPr>
              <w:t>≥ </w:t>
            </w:r>
            <w:r w:rsidR="000B4E2C" w:rsidRPr="000B4E2C">
              <w:rPr>
                <w:rFonts w:eastAsiaTheme="minorHAnsi"/>
                <w:color w:val="00B0F0"/>
                <w:lang w:val="en-GB"/>
              </w:rPr>
              <w:t>5</w:t>
            </w:r>
            <w:r w:rsidRPr="000B4E2C">
              <w:rPr>
                <w:rFonts w:eastAsiaTheme="minorHAnsi"/>
                <w:lang w:val="en-GB"/>
              </w:rPr>
              <w:t>0% over the baseline value obtained in the previous 48–72 hours.</w:t>
            </w:r>
          </w:p>
        </w:tc>
      </w:tr>
      <w:tr w:rsidR="002F0133" w:rsidRPr="000B4E2C" w14:paraId="3CB09B05" w14:textId="77777777" w:rsidTr="000B4E2C">
        <w:trPr>
          <w:cantSplit/>
        </w:trPr>
        <w:tc>
          <w:tcPr>
            <w:tcW w:w="0" w:type="auto"/>
            <w:shd w:val="clear" w:color="auto" w:fill="auto"/>
            <w:vAlign w:val="center"/>
          </w:tcPr>
          <w:p w14:paraId="34FA1DE3" w14:textId="31BB2DD3" w:rsidR="002F0133" w:rsidRPr="000B4E2C" w:rsidRDefault="002F0133" w:rsidP="008A7464">
            <w:pPr>
              <w:spacing w:line="276" w:lineRule="auto"/>
              <w:rPr>
                <w:lang w:eastAsia="en-GB"/>
              </w:rPr>
            </w:pPr>
            <w:r w:rsidRPr="000B4E2C">
              <w:rPr>
                <w:lang w:eastAsia="en-GB"/>
              </w:rPr>
              <w:t>Cho 2013</w:t>
            </w:r>
            <w:r w:rsidR="00024FA4" w:rsidRPr="000B4E2C">
              <w:rPr>
                <w:lang w:eastAsia="en-GB"/>
              </w:rPr>
              <w:t>,</w:t>
            </w:r>
            <w:r w:rsidR="005B5026" w:rsidRPr="000B4E2C">
              <w:rPr>
                <w:noProof/>
                <w:vertAlign w:val="superscript"/>
                <w:lang w:eastAsia="en-GB"/>
              </w:rPr>
              <w:t>71</w:t>
            </w:r>
            <w:r w:rsidRPr="000B4E2C">
              <w:rPr>
                <w:lang w:eastAsia="en-GB"/>
              </w:rPr>
              <w:t xml:space="preserve"> South Korea</w:t>
            </w:r>
          </w:p>
        </w:tc>
        <w:tc>
          <w:tcPr>
            <w:tcW w:w="0" w:type="auto"/>
            <w:shd w:val="clear" w:color="auto" w:fill="auto"/>
            <w:vAlign w:val="center"/>
          </w:tcPr>
          <w:p w14:paraId="7A596919" w14:textId="4AB8DC04" w:rsidR="002F0133" w:rsidRPr="000B4E2C" w:rsidRDefault="002F0133" w:rsidP="008A7464">
            <w:pPr>
              <w:spacing w:line="276" w:lineRule="auto"/>
              <w:jc w:val="center"/>
              <w:rPr>
                <w:lang w:eastAsia="en-GB"/>
              </w:rPr>
            </w:pPr>
            <w:r w:rsidRPr="000B4E2C">
              <w:rPr>
                <w:lang w:eastAsia="en-GB"/>
              </w:rPr>
              <w:t xml:space="preserve">uNGAL, </w:t>
            </w:r>
            <w:r w:rsidR="009D7F5A" w:rsidRPr="000B4E2C">
              <w:rPr>
                <w:lang w:eastAsia="en-GB"/>
              </w:rPr>
              <w:t>BioPorto</w:t>
            </w:r>
          </w:p>
        </w:tc>
        <w:tc>
          <w:tcPr>
            <w:tcW w:w="0" w:type="auto"/>
            <w:shd w:val="clear" w:color="auto" w:fill="auto"/>
            <w:vAlign w:val="center"/>
          </w:tcPr>
          <w:p w14:paraId="385BA758" w14:textId="5A4EB644" w:rsidR="000B4E2C" w:rsidRPr="000B4E2C" w:rsidRDefault="002F0133" w:rsidP="008A7464">
            <w:pPr>
              <w:spacing w:line="276" w:lineRule="auto"/>
              <w:jc w:val="center"/>
            </w:pPr>
            <w:r w:rsidRPr="000B4E2C">
              <w:t>Critical care</w:t>
            </w:r>
            <w:r w:rsidR="000B4E2C" w:rsidRPr="000B4E2C">
              <w:rPr>
                <w:color w:val="00B0F0"/>
              </w:rPr>
              <w:t xml:space="preserve"> – </w:t>
            </w:r>
            <w:r w:rsidRPr="000B4E2C">
              <w:t>mixed population</w:t>
            </w:r>
          </w:p>
          <w:p w14:paraId="57172CA4" w14:textId="67D38329" w:rsidR="002F0133" w:rsidRPr="000B4E2C" w:rsidRDefault="002F0133" w:rsidP="008A7464">
            <w:pPr>
              <w:spacing w:line="276" w:lineRule="auto"/>
              <w:jc w:val="center"/>
              <w:rPr>
                <w:lang w:eastAsia="en-GB"/>
              </w:rPr>
            </w:pPr>
            <w:r w:rsidRPr="000B4E2C">
              <w:t>(ICU medical or surgical)</w:t>
            </w:r>
          </w:p>
        </w:tc>
        <w:tc>
          <w:tcPr>
            <w:tcW w:w="0" w:type="auto"/>
            <w:shd w:val="clear" w:color="auto" w:fill="auto"/>
            <w:vAlign w:val="center"/>
          </w:tcPr>
          <w:p w14:paraId="2F1874BC" w14:textId="77777777" w:rsidR="002F0133" w:rsidRPr="000B4E2C" w:rsidRDefault="002F0133" w:rsidP="008A7464">
            <w:pPr>
              <w:spacing w:line="276" w:lineRule="auto"/>
              <w:jc w:val="center"/>
              <w:rPr>
                <w:lang w:eastAsia="en-GB"/>
              </w:rPr>
            </w:pPr>
            <w:r w:rsidRPr="000B4E2C">
              <w:rPr>
                <w:lang w:eastAsia="en-GB"/>
              </w:rPr>
              <w:t>AKI 65.4 (14.8)</w:t>
            </w:r>
          </w:p>
          <w:p w14:paraId="58430C03" w14:textId="77777777" w:rsidR="002F0133" w:rsidRPr="000B4E2C" w:rsidRDefault="002F0133" w:rsidP="008A7464">
            <w:pPr>
              <w:spacing w:line="276" w:lineRule="auto"/>
              <w:jc w:val="center"/>
              <w:rPr>
                <w:lang w:eastAsia="en-GB"/>
              </w:rPr>
            </w:pPr>
            <w:r w:rsidRPr="000B4E2C">
              <w:rPr>
                <w:lang w:eastAsia="en-GB"/>
              </w:rPr>
              <w:t>No AKI 60.4 (17.4)</w:t>
            </w:r>
          </w:p>
        </w:tc>
        <w:tc>
          <w:tcPr>
            <w:tcW w:w="0" w:type="auto"/>
            <w:shd w:val="clear" w:color="auto" w:fill="auto"/>
            <w:vAlign w:val="center"/>
          </w:tcPr>
          <w:p w14:paraId="1F30C661" w14:textId="77777777" w:rsidR="002F0133" w:rsidRPr="000B4E2C" w:rsidRDefault="002F0133" w:rsidP="008A7464">
            <w:pPr>
              <w:spacing w:line="276" w:lineRule="auto"/>
              <w:jc w:val="center"/>
              <w:rPr>
                <w:lang w:eastAsia="en-GB"/>
              </w:rPr>
            </w:pPr>
            <w:r w:rsidRPr="000B4E2C">
              <w:rPr>
                <w:lang w:eastAsia="en-GB"/>
              </w:rPr>
              <w:t>145</w:t>
            </w:r>
          </w:p>
        </w:tc>
        <w:tc>
          <w:tcPr>
            <w:tcW w:w="0" w:type="auto"/>
            <w:shd w:val="clear" w:color="auto" w:fill="auto"/>
            <w:vAlign w:val="center"/>
          </w:tcPr>
          <w:p w14:paraId="2D37314F" w14:textId="77777777" w:rsidR="002F0133" w:rsidRPr="000B4E2C" w:rsidRDefault="002F0133" w:rsidP="008A7464">
            <w:pPr>
              <w:spacing w:line="276" w:lineRule="auto"/>
              <w:jc w:val="center"/>
              <w:rPr>
                <w:lang w:eastAsia="en-GB"/>
              </w:rPr>
            </w:pPr>
            <w:r w:rsidRPr="000B4E2C">
              <w:rPr>
                <w:lang w:eastAsia="en-GB"/>
              </w:rPr>
              <w:t>54</w:t>
            </w:r>
          </w:p>
        </w:tc>
        <w:tc>
          <w:tcPr>
            <w:tcW w:w="0" w:type="auto"/>
            <w:shd w:val="clear" w:color="auto" w:fill="auto"/>
            <w:vAlign w:val="center"/>
          </w:tcPr>
          <w:p w14:paraId="396B74C6" w14:textId="77777777" w:rsidR="002F0133" w:rsidRPr="000B4E2C" w:rsidRDefault="002F0133" w:rsidP="008A7464">
            <w:pPr>
              <w:spacing w:line="276" w:lineRule="auto"/>
              <w:jc w:val="center"/>
              <w:rPr>
                <w:lang w:eastAsia="en-GB"/>
              </w:rPr>
            </w:pPr>
            <w:r w:rsidRPr="000B4E2C">
              <w:rPr>
                <w:lang w:eastAsia="en-GB"/>
              </w:rPr>
              <w:t>AKIN</w:t>
            </w:r>
          </w:p>
        </w:tc>
        <w:tc>
          <w:tcPr>
            <w:tcW w:w="0" w:type="auto"/>
            <w:shd w:val="clear" w:color="auto" w:fill="auto"/>
          </w:tcPr>
          <w:p w14:paraId="6A6B97EF" w14:textId="77777777" w:rsidR="002F0133" w:rsidRPr="000B4E2C" w:rsidRDefault="002F0133" w:rsidP="008A7464">
            <w:pPr>
              <w:spacing w:line="276" w:lineRule="auto"/>
              <w:jc w:val="center"/>
              <w:rPr>
                <w:lang w:eastAsia="en-GB"/>
              </w:rPr>
            </w:pPr>
            <w:r w:rsidRPr="000B4E2C">
              <w:rPr>
                <w:lang w:eastAsia="en-GB"/>
              </w:rPr>
              <w:t>Within 24 hours of surgery</w:t>
            </w:r>
          </w:p>
        </w:tc>
      </w:tr>
      <w:tr w:rsidR="002F0133" w:rsidRPr="000B4E2C" w14:paraId="7D2CE5BE" w14:textId="77777777" w:rsidTr="000B4E2C">
        <w:trPr>
          <w:cantSplit/>
        </w:trPr>
        <w:tc>
          <w:tcPr>
            <w:tcW w:w="0" w:type="auto"/>
            <w:shd w:val="clear" w:color="auto" w:fill="auto"/>
            <w:vAlign w:val="center"/>
          </w:tcPr>
          <w:p w14:paraId="2129D553" w14:textId="77777777" w:rsidR="000B4E2C" w:rsidRPr="000B4E2C" w:rsidRDefault="002F0133" w:rsidP="008A7464">
            <w:pPr>
              <w:spacing w:line="276" w:lineRule="auto"/>
              <w:rPr>
                <w:lang w:eastAsia="en-GB"/>
              </w:rPr>
            </w:pPr>
            <w:r w:rsidRPr="000B4E2C">
              <w:rPr>
                <w:lang w:eastAsia="en-GB"/>
              </w:rPr>
              <w:t>Doi 2014</w:t>
            </w:r>
            <w:r w:rsidR="00024FA4" w:rsidRPr="000B4E2C">
              <w:rPr>
                <w:lang w:eastAsia="en-GB"/>
              </w:rPr>
              <w:t>,</w:t>
            </w:r>
            <w:r w:rsidR="005B5026" w:rsidRPr="000B4E2C">
              <w:rPr>
                <w:noProof/>
                <w:vertAlign w:val="superscript"/>
                <w:lang w:eastAsia="en-GB"/>
              </w:rPr>
              <w:t>72</w:t>
            </w:r>
            <w:r w:rsidRPr="000B4E2C">
              <w:rPr>
                <w:lang w:eastAsia="en-GB"/>
              </w:rPr>
              <w:t xml:space="preserve"> Japan</w:t>
            </w:r>
          </w:p>
          <w:p w14:paraId="3D1FF1B6" w14:textId="319AF806" w:rsidR="002F0133" w:rsidRPr="000B4E2C" w:rsidRDefault="002F0133" w:rsidP="002F0133">
            <w:pPr>
              <w:numPr>
                <w:ilvl w:val="0"/>
                <w:numId w:val="35"/>
              </w:numPr>
              <w:spacing w:line="276" w:lineRule="auto"/>
              <w:contextualSpacing/>
              <w:rPr>
                <w:lang w:eastAsia="en-GB"/>
              </w:rPr>
            </w:pPr>
            <w:r w:rsidRPr="000B4E2C">
              <w:rPr>
                <w:lang w:eastAsia="en-GB"/>
              </w:rPr>
              <w:t>Doi 2011</w:t>
            </w:r>
            <w:r w:rsidR="005B5026" w:rsidRPr="000B4E2C">
              <w:rPr>
                <w:noProof/>
                <w:vertAlign w:val="superscript"/>
                <w:lang w:eastAsia="en-GB"/>
              </w:rPr>
              <w:t>73</w:t>
            </w:r>
          </w:p>
        </w:tc>
        <w:tc>
          <w:tcPr>
            <w:tcW w:w="0" w:type="auto"/>
            <w:shd w:val="clear" w:color="auto" w:fill="auto"/>
            <w:vAlign w:val="center"/>
          </w:tcPr>
          <w:p w14:paraId="0D8898A7" w14:textId="3A1E3911" w:rsidR="002F0133" w:rsidRPr="000B4E2C" w:rsidRDefault="002F0133" w:rsidP="008A7464">
            <w:pPr>
              <w:spacing w:line="276" w:lineRule="auto"/>
              <w:jc w:val="center"/>
              <w:rPr>
                <w:lang w:eastAsia="en-GB"/>
              </w:rPr>
            </w:pPr>
            <w:r w:rsidRPr="000B4E2C">
              <w:rPr>
                <w:lang w:eastAsia="en-GB"/>
              </w:rPr>
              <w:t xml:space="preserve">uNGAL, </w:t>
            </w:r>
            <w:r w:rsidR="009D7F5A" w:rsidRPr="000B4E2C">
              <w:rPr>
                <w:lang w:eastAsia="en-GB"/>
              </w:rPr>
              <w:t>BioPorto</w:t>
            </w:r>
          </w:p>
        </w:tc>
        <w:tc>
          <w:tcPr>
            <w:tcW w:w="0" w:type="auto"/>
            <w:shd w:val="clear" w:color="auto" w:fill="auto"/>
            <w:vAlign w:val="center"/>
          </w:tcPr>
          <w:p w14:paraId="4C5507B9" w14:textId="2E1B57AB"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(ICU/ITU)</w:t>
            </w:r>
          </w:p>
        </w:tc>
        <w:tc>
          <w:tcPr>
            <w:tcW w:w="0" w:type="auto"/>
            <w:shd w:val="clear" w:color="auto" w:fill="auto"/>
            <w:vAlign w:val="center"/>
          </w:tcPr>
          <w:p w14:paraId="751621DD" w14:textId="77777777" w:rsidR="002F0133" w:rsidRPr="000B4E2C" w:rsidRDefault="002F0133" w:rsidP="008A7464">
            <w:pPr>
              <w:spacing w:line="276" w:lineRule="auto"/>
              <w:jc w:val="center"/>
              <w:rPr>
                <w:lang w:eastAsia="en-GB"/>
              </w:rPr>
            </w:pPr>
            <w:r w:rsidRPr="000B4E2C">
              <w:rPr>
                <w:lang w:eastAsia="en-GB"/>
              </w:rPr>
              <w:t>AKI 66 (55,73)</w:t>
            </w:r>
          </w:p>
          <w:p w14:paraId="6D1E1D6F" w14:textId="77777777" w:rsidR="002F0133" w:rsidRPr="000B4E2C" w:rsidRDefault="002F0133" w:rsidP="008A7464">
            <w:pPr>
              <w:spacing w:line="276" w:lineRule="auto"/>
              <w:jc w:val="center"/>
              <w:rPr>
                <w:lang w:eastAsia="en-GB"/>
              </w:rPr>
            </w:pPr>
            <w:r w:rsidRPr="000B4E2C">
              <w:rPr>
                <w:lang w:eastAsia="en-GB"/>
              </w:rPr>
              <w:t>No AKI 65 (53, 74) *</w:t>
            </w:r>
          </w:p>
        </w:tc>
        <w:tc>
          <w:tcPr>
            <w:tcW w:w="0" w:type="auto"/>
            <w:shd w:val="clear" w:color="auto" w:fill="auto"/>
            <w:vAlign w:val="center"/>
          </w:tcPr>
          <w:p w14:paraId="375C18CC" w14:textId="77777777" w:rsidR="002F0133" w:rsidRPr="000B4E2C" w:rsidRDefault="002F0133" w:rsidP="008A7464">
            <w:pPr>
              <w:spacing w:line="276" w:lineRule="auto"/>
              <w:jc w:val="center"/>
              <w:rPr>
                <w:lang w:eastAsia="en-GB"/>
              </w:rPr>
            </w:pPr>
            <w:r w:rsidRPr="000B4E2C">
              <w:rPr>
                <w:lang w:eastAsia="en-GB"/>
              </w:rPr>
              <w:t>339</w:t>
            </w:r>
          </w:p>
        </w:tc>
        <w:tc>
          <w:tcPr>
            <w:tcW w:w="0" w:type="auto"/>
            <w:shd w:val="clear" w:color="auto" w:fill="auto"/>
            <w:vAlign w:val="center"/>
          </w:tcPr>
          <w:p w14:paraId="63300C1F" w14:textId="77777777" w:rsidR="002F0133" w:rsidRPr="000B4E2C" w:rsidRDefault="002F0133" w:rsidP="008A7464">
            <w:pPr>
              <w:spacing w:line="276" w:lineRule="auto"/>
              <w:jc w:val="center"/>
              <w:rPr>
                <w:lang w:eastAsia="en-GB"/>
              </w:rPr>
            </w:pPr>
            <w:r w:rsidRPr="000B4E2C">
              <w:rPr>
                <w:lang w:eastAsia="en-GB"/>
              </w:rPr>
              <w:t>131</w:t>
            </w:r>
          </w:p>
        </w:tc>
        <w:tc>
          <w:tcPr>
            <w:tcW w:w="0" w:type="auto"/>
            <w:shd w:val="clear" w:color="auto" w:fill="auto"/>
            <w:vAlign w:val="center"/>
          </w:tcPr>
          <w:p w14:paraId="454DDC13" w14:textId="77777777" w:rsidR="002F0133" w:rsidRPr="000B4E2C" w:rsidRDefault="002F0133" w:rsidP="008A7464">
            <w:pPr>
              <w:spacing w:line="276" w:lineRule="auto"/>
              <w:jc w:val="center"/>
              <w:rPr>
                <w:lang w:eastAsia="en-GB"/>
              </w:rPr>
            </w:pPr>
            <w:r w:rsidRPr="000B4E2C">
              <w:rPr>
                <w:lang w:eastAsia="en-GB"/>
              </w:rPr>
              <w:t>RIFLE</w:t>
            </w:r>
          </w:p>
        </w:tc>
        <w:tc>
          <w:tcPr>
            <w:tcW w:w="0" w:type="auto"/>
            <w:shd w:val="clear" w:color="auto" w:fill="auto"/>
          </w:tcPr>
          <w:p w14:paraId="5700A46F" w14:textId="77777777" w:rsidR="002F0133" w:rsidRPr="000B4E2C" w:rsidRDefault="002F0133" w:rsidP="008A7464">
            <w:pPr>
              <w:spacing w:line="276" w:lineRule="auto"/>
              <w:jc w:val="center"/>
              <w:rPr>
                <w:lang w:eastAsia="en-GB"/>
              </w:rPr>
            </w:pPr>
          </w:p>
          <w:p w14:paraId="4EB126DE" w14:textId="77777777" w:rsidR="002F0133" w:rsidRPr="000B4E2C" w:rsidRDefault="002F0133" w:rsidP="008A7464">
            <w:pPr>
              <w:spacing w:line="276" w:lineRule="auto"/>
              <w:jc w:val="center"/>
              <w:rPr>
                <w:lang w:eastAsia="en-GB"/>
              </w:rPr>
            </w:pPr>
            <w:r w:rsidRPr="000B4E2C">
              <w:rPr>
                <w:lang w:eastAsia="en-GB"/>
              </w:rPr>
              <w:t>NR</w:t>
            </w:r>
          </w:p>
        </w:tc>
      </w:tr>
      <w:tr w:rsidR="002F0133" w:rsidRPr="000B4E2C" w14:paraId="1E1BE976" w14:textId="77777777" w:rsidTr="000B4E2C">
        <w:trPr>
          <w:cantSplit/>
        </w:trPr>
        <w:tc>
          <w:tcPr>
            <w:tcW w:w="0" w:type="auto"/>
            <w:shd w:val="clear" w:color="auto" w:fill="auto"/>
            <w:vAlign w:val="center"/>
          </w:tcPr>
          <w:p w14:paraId="3E7694B9" w14:textId="608BA679" w:rsidR="002F0133" w:rsidRPr="000B4E2C" w:rsidRDefault="002F0133" w:rsidP="008A7464">
            <w:pPr>
              <w:spacing w:line="276" w:lineRule="auto"/>
              <w:rPr>
                <w:lang w:eastAsia="en-GB"/>
              </w:rPr>
            </w:pPr>
            <w:r w:rsidRPr="000B4E2C">
              <w:rPr>
                <w:lang w:eastAsia="en-GB"/>
              </w:rPr>
              <w:t>Hjortrup 2015</w:t>
            </w:r>
            <w:r w:rsidR="00024FA4" w:rsidRPr="000B4E2C">
              <w:rPr>
                <w:lang w:eastAsia="en-GB"/>
              </w:rPr>
              <w:t>,</w:t>
            </w:r>
            <w:r w:rsidR="005B5026" w:rsidRPr="000B4E2C">
              <w:rPr>
                <w:noProof/>
                <w:vertAlign w:val="superscript"/>
                <w:lang w:eastAsia="en-GB"/>
              </w:rPr>
              <w:t>74</w:t>
            </w:r>
            <w:r w:rsidRPr="000B4E2C">
              <w:rPr>
                <w:lang w:eastAsia="en-GB"/>
              </w:rPr>
              <w:t xml:space="preserve"> Denmark</w:t>
            </w:r>
          </w:p>
        </w:tc>
        <w:tc>
          <w:tcPr>
            <w:tcW w:w="0" w:type="auto"/>
            <w:shd w:val="clear" w:color="auto" w:fill="auto"/>
            <w:vAlign w:val="center"/>
          </w:tcPr>
          <w:p w14:paraId="663449DB" w14:textId="41CD7073" w:rsidR="002F0133" w:rsidRPr="000B4E2C" w:rsidRDefault="002F0133" w:rsidP="008A7464">
            <w:pPr>
              <w:spacing w:line="276" w:lineRule="auto"/>
              <w:jc w:val="center"/>
              <w:rPr>
                <w:lang w:eastAsia="en-GB"/>
              </w:rPr>
            </w:pPr>
            <w:r w:rsidRPr="000B4E2C">
              <w:rPr>
                <w:lang w:eastAsia="en-GB"/>
              </w:rPr>
              <w:t xml:space="preserve">uNGAL, </w:t>
            </w:r>
            <w:r w:rsidR="009D7F5A" w:rsidRPr="000B4E2C">
              <w:rPr>
                <w:lang w:eastAsia="en-GB"/>
              </w:rPr>
              <w:t>BioPorto</w:t>
            </w:r>
            <w:r w:rsidRPr="000B4E2C">
              <w:rPr>
                <w:lang w:eastAsia="en-GB"/>
              </w:rPr>
              <w:t xml:space="preserve"> &amp; pNGAL </w:t>
            </w:r>
            <w:r w:rsidR="009D7F5A" w:rsidRPr="000B4E2C">
              <w:rPr>
                <w:lang w:eastAsia="en-GB"/>
              </w:rPr>
              <w:t>BioPorto</w:t>
            </w:r>
          </w:p>
        </w:tc>
        <w:tc>
          <w:tcPr>
            <w:tcW w:w="0" w:type="auto"/>
            <w:shd w:val="clear" w:color="auto" w:fill="auto"/>
            <w:vAlign w:val="center"/>
          </w:tcPr>
          <w:p w14:paraId="51301DCA" w14:textId="75C92198" w:rsidR="000B4E2C" w:rsidRPr="000B4E2C" w:rsidRDefault="002F0133" w:rsidP="008A7464">
            <w:pPr>
              <w:spacing w:line="276" w:lineRule="auto"/>
              <w:jc w:val="center"/>
            </w:pPr>
            <w:r w:rsidRPr="000B4E2C">
              <w:t>Critical care</w:t>
            </w:r>
            <w:r w:rsidR="000B4E2C" w:rsidRPr="000B4E2C">
              <w:rPr>
                <w:color w:val="00B0F0"/>
              </w:rPr>
              <w:t xml:space="preserve"> – </w:t>
            </w:r>
            <w:r w:rsidRPr="000B4E2C">
              <w:t>mixed population</w:t>
            </w:r>
          </w:p>
          <w:p w14:paraId="16BBF48B" w14:textId="2F2FA094" w:rsidR="002F0133" w:rsidRPr="000B4E2C" w:rsidRDefault="002F0133" w:rsidP="008A7464">
            <w:pPr>
              <w:spacing w:line="276" w:lineRule="auto"/>
              <w:jc w:val="center"/>
              <w:rPr>
                <w:lang w:eastAsia="en-GB"/>
              </w:rPr>
            </w:pPr>
            <w:r w:rsidRPr="000B4E2C">
              <w:t>(ICU/ITU sepsis)</w:t>
            </w:r>
          </w:p>
        </w:tc>
        <w:tc>
          <w:tcPr>
            <w:tcW w:w="0" w:type="auto"/>
            <w:shd w:val="clear" w:color="auto" w:fill="auto"/>
            <w:vAlign w:val="center"/>
          </w:tcPr>
          <w:p w14:paraId="43A12B39" w14:textId="77777777" w:rsidR="002F0133" w:rsidRPr="000B4E2C" w:rsidRDefault="002F0133" w:rsidP="008A7464">
            <w:pPr>
              <w:spacing w:line="276" w:lineRule="auto"/>
              <w:jc w:val="center"/>
              <w:rPr>
                <w:lang w:eastAsia="en-GB"/>
              </w:rPr>
            </w:pPr>
            <w:r w:rsidRPr="000B4E2C">
              <w:rPr>
                <w:lang w:eastAsia="en-GB"/>
              </w:rPr>
              <w:t>66 (57, 75) *</w:t>
            </w:r>
          </w:p>
        </w:tc>
        <w:tc>
          <w:tcPr>
            <w:tcW w:w="0" w:type="auto"/>
            <w:shd w:val="clear" w:color="auto" w:fill="auto"/>
            <w:vAlign w:val="center"/>
          </w:tcPr>
          <w:p w14:paraId="1904026D" w14:textId="77777777" w:rsidR="002F0133" w:rsidRPr="000B4E2C" w:rsidRDefault="002F0133" w:rsidP="008A7464">
            <w:pPr>
              <w:spacing w:line="276" w:lineRule="auto"/>
              <w:jc w:val="center"/>
              <w:rPr>
                <w:lang w:eastAsia="en-GB"/>
              </w:rPr>
            </w:pPr>
            <w:r w:rsidRPr="000B4E2C">
              <w:rPr>
                <w:lang w:eastAsia="en-GB"/>
              </w:rPr>
              <w:t>151</w:t>
            </w:r>
          </w:p>
        </w:tc>
        <w:tc>
          <w:tcPr>
            <w:tcW w:w="0" w:type="auto"/>
            <w:shd w:val="clear" w:color="auto" w:fill="auto"/>
            <w:vAlign w:val="center"/>
          </w:tcPr>
          <w:p w14:paraId="49DDC579" w14:textId="77777777" w:rsidR="002F0133" w:rsidRPr="000B4E2C" w:rsidRDefault="002F0133" w:rsidP="008A7464">
            <w:pPr>
              <w:spacing w:line="276" w:lineRule="auto"/>
              <w:jc w:val="center"/>
              <w:rPr>
                <w:lang w:eastAsia="en-GB"/>
              </w:rPr>
            </w:pPr>
            <w:r w:rsidRPr="000B4E2C">
              <w:rPr>
                <w:lang w:eastAsia="en-GB"/>
              </w:rPr>
              <w:t>91</w:t>
            </w:r>
          </w:p>
        </w:tc>
        <w:tc>
          <w:tcPr>
            <w:tcW w:w="0" w:type="auto"/>
            <w:shd w:val="clear" w:color="auto" w:fill="auto"/>
            <w:vAlign w:val="center"/>
          </w:tcPr>
          <w:p w14:paraId="5BED7D6F" w14:textId="77777777" w:rsidR="002F0133" w:rsidRPr="000B4E2C" w:rsidRDefault="002F0133" w:rsidP="008A7464">
            <w:pPr>
              <w:spacing w:line="276" w:lineRule="auto"/>
              <w:jc w:val="center"/>
              <w:rPr>
                <w:lang w:eastAsia="en-GB"/>
              </w:rPr>
            </w:pPr>
            <w:r w:rsidRPr="000B4E2C">
              <w:rPr>
                <w:lang w:eastAsia="en-GB"/>
              </w:rPr>
              <w:t>KDIGO</w:t>
            </w:r>
          </w:p>
        </w:tc>
        <w:tc>
          <w:tcPr>
            <w:tcW w:w="0" w:type="auto"/>
            <w:shd w:val="clear" w:color="auto" w:fill="auto"/>
          </w:tcPr>
          <w:p w14:paraId="40F1FA4B" w14:textId="77777777" w:rsidR="002F0133" w:rsidRPr="000B4E2C" w:rsidRDefault="002F0133" w:rsidP="008A7464">
            <w:pPr>
              <w:spacing w:line="276" w:lineRule="auto"/>
              <w:jc w:val="center"/>
              <w:rPr>
                <w:lang w:eastAsia="en-GB"/>
              </w:rPr>
            </w:pPr>
            <w:r w:rsidRPr="000B4E2C">
              <w:rPr>
                <w:lang w:eastAsia="en-GB"/>
              </w:rPr>
              <w:t>Within 48 hours of admission</w:t>
            </w:r>
          </w:p>
        </w:tc>
      </w:tr>
      <w:tr w:rsidR="002F0133" w:rsidRPr="000B4E2C" w14:paraId="176683E5" w14:textId="77777777" w:rsidTr="000B4E2C">
        <w:trPr>
          <w:cantSplit/>
        </w:trPr>
        <w:tc>
          <w:tcPr>
            <w:tcW w:w="0" w:type="auto"/>
            <w:shd w:val="clear" w:color="auto" w:fill="auto"/>
            <w:vAlign w:val="center"/>
          </w:tcPr>
          <w:p w14:paraId="2FD82205" w14:textId="74F74F03" w:rsidR="002F0133" w:rsidRPr="000B4E2C" w:rsidRDefault="002F0133" w:rsidP="008A7464">
            <w:pPr>
              <w:spacing w:line="276" w:lineRule="auto"/>
              <w:rPr>
                <w:lang w:eastAsia="en-GB"/>
              </w:rPr>
            </w:pPr>
            <w:r w:rsidRPr="000B4E2C">
              <w:rPr>
                <w:lang w:eastAsia="en-GB"/>
              </w:rPr>
              <w:t>Matsa 2014</w:t>
            </w:r>
            <w:r w:rsidR="00024FA4" w:rsidRPr="000B4E2C">
              <w:rPr>
                <w:lang w:eastAsia="en-GB"/>
              </w:rPr>
              <w:t>,</w:t>
            </w:r>
            <w:r w:rsidR="005B5026" w:rsidRPr="000B4E2C">
              <w:rPr>
                <w:noProof/>
                <w:vertAlign w:val="superscript"/>
                <w:lang w:eastAsia="en-GB"/>
              </w:rPr>
              <w:t>75</w:t>
            </w:r>
            <w:r w:rsidRPr="000B4E2C">
              <w:rPr>
                <w:lang w:eastAsia="en-GB"/>
              </w:rPr>
              <w:t xml:space="preserve"> UK</w:t>
            </w:r>
          </w:p>
        </w:tc>
        <w:tc>
          <w:tcPr>
            <w:tcW w:w="0" w:type="auto"/>
            <w:shd w:val="clear" w:color="auto" w:fill="auto"/>
            <w:vAlign w:val="center"/>
          </w:tcPr>
          <w:p w14:paraId="119DDE9B" w14:textId="1D1C3E0C" w:rsidR="002F0133" w:rsidRPr="000B4E2C" w:rsidRDefault="002F0133" w:rsidP="008A7464">
            <w:pPr>
              <w:spacing w:line="276" w:lineRule="auto"/>
              <w:jc w:val="center"/>
              <w:rPr>
                <w:lang w:eastAsia="en-GB"/>
              </w:rPr>
            </w:pPr>
            <w:r w:rsidRPr="000B4E2C">
              <w:rPr>
                <w:lang w:eastAsia="en-GB"/>
              </w:rPr>
              <w:t xml:space="preserve">uNGAL, </w:t>
            </w:r>
            <w:r w:rsidR="009D7F5A" w:rsidRPr="000B4E2C">
              <w:rPr>
                <w:lang w:eastAsia="en-GB"/>
              </w:rPr>
              <w:t>BioPorto</w:t>
            </w:r>
            <w:r w:rsidRPr="000B4E2C">
              <w:rPr>
                <w:lang w:eastAsia="en-GB"/>
              </w:rPr>
              <w:t xml:space="preserve"> &amp; pNGAL </w:t>
            </w:r>
            <w:r w:rsidR="009D7F5A" w:rsidRPr="000B4E2C">
              <w:rPr>
                <w:lang w:eastAsia="en-GB"/>
              </w:rPr>
              <w:t>BioPorto</w:t>
            </w:r>
          </w:p>
        </w:tc>
        <w:tc>
          <w:tcPr>
            <w:tcW w:w="0" w:type="auto"/>
            <w:shd w:val="clear" w:color="auto" w:fill="auto"/>
            <w:vAlign w:val="center"/>
          </w:tcPr>
          <w:p w14:paraId="477DE4E5" w14:textId="5BFA0B7C" w:rsidR="000B4E2C" w:rsidRPr="000B4E2C" w:rsidRDefault="002F0133" w:rsidP="008A7464">
            <w:pPr>
              <w:spacing w:line="276" w:lineRule="auto"/>
              <w:jc w:val="center"/>
            </w:pPr>
            <w:r w:rsidRPr="000B4E2C">
              <w:t>Critical care</w:t>
            </w:r>
            <w:r w:rsidR="000B4E2C" w:rsidRPr="000B4E2C">
              <w:rPr>
                <w:color w:val="00B0F0"/>
              </w:rPr>
              <w:t xml:space="preserve"> – </w:t>
            </w:r>
            <w:r w:rsidRPr="000B4E2C">
              <w:t>mixed population</w:t>
            </w:r>
          </w:p>
          <w:p w14:paraId="4EC9A881" w14:textId="3DF3A7EC" w:rsidR="002F0133" w:rsidRPr="000B4E2C" w:rsidRDefault="002F0133" w:rsidP="008A7464">
            <w:pPr>
              <w:spacing w:line="276" w:lineRule="auto"/>
              <w:jc w:val="center"/>
              <w:rPr>
                <w:lang w:eastAsia="en-GB"/>
              </w:rPr>
            </w:pPr>
            <w:r w:rsidRPr="000B4E2C">
              <w:t>(ICU/ITU medical or surgical)</w:t>
            </w:r>
          </w:p>
        </w:tc>
        <w:tc>
          <w:tcPr>
            <w:tcW w:w="0" w:type="auto"/>
            <w:shd w:val="clear" w:color="auto" w:fill="auto"/>
            <w:vAlign w:val="center"/>
          </w:tcPr>
          <w:p w14:paraId="295234E8" w14:textId="77777777" w:rsidR="002F0133" w:rsidRPr="000B4E2C" w:rsidRDefault="002F0133" w:rsidP="008A7464">
            <w:pPr>
              <w:spacing w:line="276" w:lineRule="auto"/>
              <w:jc w:val="center"/>
              <w:rPr>
                <w:lang w:eastAsia="en-GB"/>
              </w:rPr>
            </w:pPr>
            <w:r w:rsidRPr="000B4E2C">
              <w:rPr>
                <w:lang w:eastAsia="en-GB"/>
              </w:rPr>
              <w:t>60 (15)</w:t>
            </w:r>
          </w:p>
        </w:tc>
        <w:tc>
          <w:tcPr>
            <w:tcW w:w="0" w:type="auto"/>
            <w:shd w:val="clear" w:color="auto" w:fill="auto"/>
            <w:vAlign w:val="center"/>
          </w:tcPr>
          <w:p w14:paraId="51C46C2A" w14:textId="77777777" w:rsidR="002F0133" w:rsidRPr="000B4E2C" w:rsidRDefault="002F0133" w:rsidP="008A7464">
            <w:pPr>
              <w:spacing w:line="276" w:lineRule="auto"/>
              <w:jc w:val="center"/>
              <w:rPr>
                <w:lang w:eastAsia="en-GB"/>
              </w:rPr>
            </w:pPr>
            <w:r w:rsidRPr="000B4E2C">
              <w:rPr>
                <w:lang w:eastAsia="en-GB"/>
              </w:rPr>
              <w:t>194</w:t>
            </w:r>
          </w:p>
        </w:tc>
        <w:tc>
          <w:tcPr>
            <w:tcW w:w="0" w:type="auto"/>
            <w:shd w:val="clear" w:color="auto" w:fill="auto"/>
            <w:vAlign w:val="center"/>
          </w:tcPr>
          <w:p w14:paraId="777676D3" w14:textId="77777777" w:rsidR="002F0133" w:rsidRPr="000B4E2C" w:rsidRDefault="002F0133" w:rsidP="008A7464">
            <w:pPr>
              <w:spacing w:line="276" w:lineRule="auto"/>
              <w:jc w:val="center"/>
              <w:rPr>
                <w:lang w:eastAsia="en-GB"/>
              </w:rPr>
            </w:pPr>
            <w:r w:rsidRPr="000B4E2C">
              <w:rPr>
                <w:lang w:eastAsia="en-GB"/>
              </w:rPr>
              <w:t>59</w:t>
            </w:r>
          </w:p>
        </w:tc>
        <w:tc>
          <w:tcPr>
            <w:tcW w:w="0" w:type="auto"/>
            <w:shd w:val="clear" w:color="auto" w:fill="auto"/>
            <w:vAlign w:val="center"/>
          </w:tcPr>
          <w:p w14:paraId="16B96841" w14:textId="77777777" w:rsidR="002F0133" w:rsidRPr="000B4E2C" w:rsidRDefault="002F0133" w:rsidP="008A7464">
            <w:pPr>
              <w:spacing w:line="276" w:lineRule="auto"/>
              <w:jc w:val="center"/>
              <w:rPr>
                <w:lang w:eastAsia="en-GB"/>
              </w:rPr>
            </w:pPr>
            <w:r w:rsidRPr="000B4E2C">
              <w:rPr>
                <w:lang w:eastAsia="en-GB"/>
              </w:rPr>
              <w:t>RIFLE</w:t>
            </w:r>
          </w:p>
        </w:tc>
        <w:tc>
          <w:tcPr>
            <w:tcW w:w="0" w:type="auto"/>
            <w:shd w:val="clear" w:color="auto" w:fill="auto"/>
          </w:tcPr>
          <w:p w14:paraId="61E132CB" w14:textId="77777777" w:rsidR="002F0133" w:rsidRPr="000B4E2C" w:rsidRDefault="002F0133" w:rsidP="008A7464">
            <w:pPr>
              <w:spacing w:line="276" w:lineRule="auto"/>
              <w:jc w:val="center"/>
              <w:rPr>
                <w:lang w:eastAsia="en-GB"/>
              </w:rPr>
            </w:pPr>
            <w:r w:rsidRPr="000B4E2C">
              <w:rPr>
                <w:lang w:eastAsia="en-GB"/>
              </w:rPr>
              <w:t>Within 72 hours of admission</w:t>
            </w:r>
          </w:p>
        </w:tc>
      </w:tr>
      <w:tr w:rsidR="002F0133" w:rsidRPr="000B4E2C" w14:paraId="1A4413EB" w14:textId="77777777" w:rsidTr="000B4E2C">
        <w:trPr>
          <w:cantSplit/>
        </w:trPr>
        <w:tc>
          <w:tcPr>
            <w:tcW w:w="0" w:type="auto"/>
            <w:shd w:val="clear" w:color="auto" w:fill="auto"/>
            <w:vAlign w:val="center"/>
          </w:tcPr>
          <w:p w14:paraId="52DE9C1E" w14:textId="08709730" w:rsidR="002F0133" w:rsidRPr="000B4E2C" w:rsidRDefault="002F0133" w:rsidP="008A7464">
            <w:pPr>
              <w:spacing w:line="276" w:lineRule="auto"/>
              <w:rPr>
                <w:lang w:eastAsia="en-GB"/>
              </w:rPr>
            </w:pPr>
            <w:r w:rsidRPr="000B4E2C">
              <w:rPr>
                <w:lang w:eastAsia="en-GB"/>
              </w:rPr>
              <w:lastRenderedPageBreak/>
              <w:t>Nickolas 2008</w:t>
            </w:r>
            <w:r w:rsidR="00024FA4" w:rsidRPr="000B4E2C">
              <w:rPr>
                <w:lang w:eastAsia="en-GB"/>
              </w:rPr>
              <w:t>,</w:t>
            </w:r>
            <w:r w:rsidR="005B5026" w:rsidRPr="000B4E2C">
              <w:rPr>
                <w:noProof/>
                <w:vertAlign w:val="superscript"/>
                <w:lang w:eastAsia="en-GB"/>
              </w:rPr>
              <w:t>76</w:t>
            </w:r>
            <w:r w:rsidRPr="000B4E2C">
              <w:rPr>
                <w:lang w:eastAsia="en-GB"/>
              </w:rPr>
              <w:t xml:space="preserve"> USA</w:t>
            </w:r>
          </w:p>
        </w:tc>
        <w:tc>
          <w:tcPr>
            <w:tcW w:w="0" w:type="auto"/>
            <w:shd w:val="clear" w:color="auto" w:fill="auto"/>
            <w:vAlign w:val="center"/>
          </w:tcPr>
          <w:p w14:paraId="41180004" w14:textId="0E8565AD" w:rsidR="002F0133" w:rsidRPr="000B4E2C" w:rsidRDefault="002F0133" w:rsidP="008A7464">
            <w:pPr>
              <w:spacing w:line="276" w:lineRule="auto"/>
              <w:jc w:val="center"/>
              <w:rPr>
                <w:lang w:eastAsia="en-GB"/>
              </w:rPr>
            </w:pPr>
            <w:r w:rsidRPr="000B4E2C">
              <w:rPr>
                <w:lang w:eastAsia="en-GB"/>
              </w:rPr>
              <w:t xml:space="preserve">uNGAL, </w:t>
            </w:r>
            <w:r w:rsidR="009D7F5A" w:rsidRPr="000B4E2C">
              <w:rPr>
                <w:lang w:eastAsia="en-GB"/>
              </w:rPr>
              <w:t>BioPorto</w:t>
            </w:r>
          </w:p>
        </w:tc>
        <w:tc>
          <w:tcPr>
            <w:tcW w:w="0" w:type="auto"/>
            <w:shd w:val="clear" w:color="auto" w:fill="auto"/>
            <w:vAlign w:val="center"/>
          </w:tcPr>
          <w:p w14:paraId="50C5807B" w14:textId="25935852"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(emergency department)</w:t>
            </w:r>
          </w:p>
        </w:tc>
        <w:tc>
          <w:tcPr>
            <w:tcW w:w="0" w:type="auto"/>
            <w:shd w:val="clear" w:color="auto" w:fill="auto"/>
            <w:vAlign w:val="center"/>
          </w:tcPr>
          <w:p w14:paraId="43DEBF28" w14:textId="77777777" w:rsidR="002F0133" w:rsidRPr="000B4E2C" w:rsidRDefault="002F0133" w:rsidP="008A7464">
            <w:pPr>
              <w:spacing w:line="276" w:lineRule="auto"/>
              <w:jc w:val="center"/>
              <w:rPr>
                <w:lang w:eastAsia="en-GB"/>
              </w:rPr>
            </w:pPr>
            <w:r w:rsidRPr="000B4E2C">
              <w:rPr>
                <w:lang w:eastAsia="en-GB"/>
              </w:rPr>
              <w:t>60 (18)</w:t>
            </w:r>
          </w:p>
        </w:tc>
        <w:tc>
          <w:tcPr>
            <w:tcW w:w="0" w:type="auto"/>
            <w:shd w:val="clear" w:color="auto" w:fill="auto"/>
            <w:vAlign w:val="center"/>
          </w:tcPr>
          <w:p w14:paraId="53583E84" w14:textId="77777777" w:rsidR="002F0133" w:rsidRPr="000B4E2C" w:rsidRDefault="002F0133" w:rsidP="008A7464">
            <w:pPr>
              <w:spacing w:line="276" w:lineRule="auto"/>
              <w:jc w:val="center"/>
              <w:rPr>
                <w:lang w:eastAsia="en-GB"/>
              </w:rPr>
            </w:pPr>
            <w:r w:rsidRPr="000B4E2C">
              <w:rPr>
                <w:lang w:eastAsia="en-GB"/>
              </w:rPr>
              <w:t>635</w:t>
            </w:r>
          </w:p>
        </w:tc>
        <w:tc>
          <w:tcPr>
            <w:tcW w:w="0" w:type="auto"/>
            <w:shd w:val="clear" w:color="auto" w:fill="auto"/>
            <w:vAlign w:val="center"/>
          </w:tcPr>
          <w:p w14:paraId="7B6337C0" w14:textId="77777777" w:rsidR="002F0133" w:rsidRPr="000B4E2C" w:rsidRDefault="002F0133" w:rsidP="008A7464">
            <w:pPr>
              <w:spacing w:line="276" w:lineRule="auto"/>
              <w:jc w:val="center"/>
              <w:rPr>
                <w:lang w:eastAsia="en-GB"/>
              </w:rPr>
            </w:pPr>
            <w:r w:rsidRPr="000B4E2C">
              <w:rPr>
                <w:lang w:eastAsia="en-GB"/>
              </w:rPr>
              <w:t>30</w:t>
            </w:r>
          </w:p>
        </w:tc>
        <w:tc>
          <w:tcPr>
            <w:tcW w:w="0" w:type="auto"/>
            <w:shd w:val="clear" w:color="auto" w:fill="auto"/>
            <w:vAlign w:val="center"/>
          </w:tcPr>
          <w:p w14:paraId="285EACE0" w14:textId="77777777" w:rsidR="002F0133" w:rsidRPr="000B4E2C" w:rsidRDefault="002F0133" w:rsidP="008A7464">
            <w:pPr>
              <w:spacing w:line="276" w:lineRule="auto"/>
              <w:jc w:val="center"/>
              <w:rPr>
                <w:lang w:eastAsia="en-GB"/>
              </w:rPr>
            </w:pPr>
            <w:r w:rsidRPr="000B4E2C">
              <w:rPr>
                <w:lang w:eastAsia="en-GB"/>
              </w:rPr>
              <w:t>RIFLE</w:t>
            </w:r>
          </w:p>
        </w:tc>
        <w:tc>
          <w:tcPr>
            <w:tcW w:w="0" w:type="auto"/>
            <w:shd w:val="clear" w:color="auto" w:fill="auto"/>
          </w:tcPr>
          <w:p w14:paraId="531AC50C" w14:textId="77777777" w:rsidR="002F0133" w:rsidRPr="000B4E2C" w:rsidRDefault="002F0133" w:rsidP="008A7464">
            <w:pPr>
              <w:spacing w:line="276" w:lineRule="auto"/>
              <w:jc w:val="center"/>
              <w:rPr>
                <w:lang w:eastAsia="en-GB"/>
              </w:rPr>
            </w:pPr>
          </w:p>
          <w:p w14:paraId="450635A0" w14:textId="77777777" w:rsidR="002F0133" w:rsidRPr="000B4E2C" w:rsidRDefault="002F0133" w:rsidP="008A7464">
            <w:pPr>
              <w:spacing w:line="276" w:lineRule="auto"/>
              <w:jc w:val="center"/>
              <w:rPr>
                <w:lang w:eastAsia="en-GB"/>
              </w:rPr>
            </w:pPr>
            <w:r w:rsidRPr="000B4E2C">
              <w:rPr>
                <w:lang w:eastAsia="en-GB"/>
              </w:rPr>
              <w:t>NR</w:t>
            </w:r>
          </w:p>
        </w:tc>
      </w:tr>
      <w:tr w:rsidR="002F0133" w:rsidRPr="000B4E2C" w14:paraId="4B98F793" w14:textId="77777777" w:rsidTr="000B4E2C">
        <w:trPr>
          <w:cantSplit/>
        </w:trPr>
        <w:tc>
          <w:tcPr>
            <w:tcW w:w="0" w:type="auto"/>
            <w:shd w:val="clear" w:color="auto" w:fill="auto"/>
            <w:vAlign w:val="center"/>
          </w:tcPr>
          <w:p w14:paraId="06FEF5BD" w14:textId="77777777" w:rsidR="000B4E2C" w:rsidRPr="000B4E2C" w:rsidRDefault="002F0133" w:rsidP="008A7464">
            <w:pPr>
              <w:spacing w:line="276" w:lineRule="auto"/>
              <w:rPr>
                <w:lang w:eastAsia="en-GB"/>
              </w:rPr>
            </w:pPr>
            <w:r w:rsidRPr="000B4E2C">
              <w:rPr>
                <w:lang w:eastAsia="en-GB"/>
              </w:rPr>
              <w:t>Nisula 2015</w:t>
            </w:r>
            <w:r w:rsidR="00024FA4" w:rsidRPr="000B4E2C">
              <w:rPr>
                <w:lang w:eastAsia="en-GB"/>
              </w:rPr>
              <w:t>,</w:t>
            </w:r>
            <w:r w:rsidR="005B5026" w:rsidRPr="000B4E2C">
              <w:rPr>
                <w:noProof/>
                <w:vertAlign w:val="superscript"/>
                <w:lang w:eastAsia="en-GB"/>
              </w:rPr>
              <w:t>77</w:t>
            </w:r>
            <w:r w:rsidRPr="000B4E2C">
              <w:rPr>
                <w:lang w:eastAsia="en-GB"/>
              </w:rPr>
              <w:t xml:space="preserve"> Finland</w:t>
            </w:r>
          </w:p>
          <w:p w14:paraId="374B3996" w14:textId="5CE98E24" w:rsidR="002F0133" w:rsidRPr="000B4E2C" w:rsidRDefault="002F0133" w:rsidP="002F0133">
            <w:pPr>
              <w:numPr>
                <w:ilvl w:val="0"/>
                <w:numId w:val="35"/>
              </w:numPr>
              <w:spacing w:line="276" w:lineRule="auto"/>
              <w:contextualSpacing/>
              <w:rPr>
                <w:lang w:eastAsia="en-GB"/>
              </w:rPr>
            </w:pPr>
            <w:r w:rsidRPr="000B4E2C">
              <w:rPr>
                <w:lang w:eastAsia="en-GB"/>
              </w:rPr>
              <w:t>Nisula 2014</w:t>
            </w:r>
            <w:r w:rsidR="005B5026" w:rsidRPr="000B4E2C">
              <w:rPr>
                <w:noProof/>
                <w:vertAlign w:val="superscript"/>
                <w:lang w:eastAsia="en-GB"/>
              </w:rPr>
              <w:t>78</w:t>
            </w:r>
          </w:p>
        </w:tc>
        <w:tc>
          <w:tcPr>
            <w:tcW w:w="0" w:type="auto"/>
            <w:shd w:val="clear" w:color="auto" w:fill="auto"/>
            <w:vAlign w:val="center"/>
          </w:tcPr>
          <w:p w14:paraId="5BED062F" w14:textId="6FB33FE5" w:rsidR="002F0133" w:rsidRPr="000B4E2C" w:rsidRDefault="002F0133" w:rsidP="008A7464">
            <w:pPr>
              <w:spacing w:line="276" w:lineRule="auto"/>
              <w:jc w:val="center"/>
              <w:rPr>
                <w:lang w:eastAsia="en-GB"/>
              </w:rPr>
            </w:pPr>
            <w:r w:rsidRPr="000B4E2C">
              <w:rPr>
                <w:lang w:eastAsia="en-GB"/>
              </w:rPr>
              <w:t xml:space="preserve">uNGAL, </w:t>
            </w:r>
            <w:r w:rsidR="009D7F5A" w:rsidRPr="000B4E2C">
              <w:rPr>
                <w:lang w:eastAsia="en-GB"/>
              </w:rPr>
              <w:t>BioPorto</w:t>
            </w:r>
          </w:p>
        </w:tc>
        <w:tc>
          <w:tcPr>
            <w:tcW w:w="0" w:type="auto"/>
            <w:shd w:val="clear" w:color="auto" w:fill="auto"/>
            <w:vAlign w:val="center"/>
          </w:tcPr>
          <w:p w14:paraId="2F1318FC" w14:textId="1CEA7AA4"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(post-operative)</w:t>
            </w:r>
          </w:p>
        </w:tc>
        <w:tc>
          <w:tcPr>
            <w:tcW w:w="0" w:type="auto"/>
            <w:shd w:val="clear" w:color="auto" w:fill="auto"/>
            <w:vAlign w:val="center"/>
          </w:tcPr>
          <w:p w14:paraId="0AB24235" w14:textId="77777777" w:rsidR="002F0133" w:rsidRPr="000B4E2C" w:rsidRDefault="002F0133" w:rsidP="008A7464">
            <w:pPr>
              <w:spacing w:line="276" w:lineRule="auto"/>
              <w:jc w:val="center"/>
              <w:rPr>
                <w:lang w:eastAsia="en-GB"/>
              </w:rPr>
            </w:pPr>
            <w:r w:rsidRPr="000B4E2C">
              <w:rPr>
                <w:lang w:eastAsia="en-GB"/>
              </w:rPr>
              <w:t>62 (50,73) *</w:t>
            </w:r>
          </w:p>
        </w:tc>
        <w:tc>
          <w:tcPr>
            <w:tcW w:w="0" w:type="auto"/>
            <w:shd w:val="clear" w:color="auto" w:fill="auto"/>
            <w:vAlign w:val="center"/>
          </w:tcPr>
          <w:p w14:paraId="73A2A9BE" w14:textId="77777777" w:rsidR="002F0133" w:rsidRPr="000B4E2C" w:rsidRDefault="002F0133" w:rsidP="008A7464">
            <w:pPr>
              <w:spacing w:line="276" w:lineRule="auto"/>
              <w:jc w:val="center"/>
              <w:rPr>
                <w:lang w:eastAsia="en-GB"/>
              </w:rPr>
            </w:pPr>
            <w:r w:rsidRPr="000B4E2C">
              <w:rPr>
                <w:lang w:eastAsia="en-GB"/>
              </w:rPr>
              <w:t>855</w:t>
            </w:r>
          </w:p>
        </w:tc>
        <w:tc>
          <w:tcPr>
            <w:tcW w:w="0" w:type="auto"/>
            <w:shd w:val="clear" w:color="auto" w:fill="auto"/>
            <w:vAlign w:val="center"/>
          </w:tcPr>
          <w:p w14:paraId="4256CA98" w14:textId="77777777" w:rsidR="002F0133" w:rsidRPr="000B4E2C" w:rsidRDefault="002F0133" w:rsidP="008A7464">
            <w:pPr>
              <w:spacing w:line="276" w:lineRule="auto"/>
              <w:jc w:val="center"/>
              <w:rPr>
                <w:lang w:eastAsia="en-GB"/>
              </w:rPr>
            </w:pPr>
            <w:r w:rsidRPr="000B4E2C">
              <w:rPr>
                <w:lang w:eastAsia="en-GB"/>
              </w:rPr>
              <w:t>379</w:t>
            </w:r>
          </w:p>
        </w:tc>
        <w:tc>
          <w:tcPr>
            <w:tcW w:w="0" w:type="auto"/>
            <w:shd w:val="clear" w:color="auto" w:fill="auto"/>
            <w:vAlign w:val="center"/>
          </w:tcPr>
          <w:p w14:paraId="16A70AB4" w14:textId="77777777" w:rsidR="002F0133" w:rsidRPr="000B4E2C" w:rsidRDefault="002F0133" w:rsidP="008A7464">
            <w:pPr>
              <w:spacing w:line="276" w:lineRule="auto"/>
              <w:jc w:val="center"/>
              <w:rPr>
                <w:lang w:eastAsia="en-GB"/>
              </w:rPr>
            </w:pPr>
            <w:r w:rsidRPr="000B4E2C">
              <w:rPr>
                <w:lang w:eastAsia="en-GB"/>
              </w:rPr>
              <w:t>KDIGO</w:t>
            </w:r>
          </w:p>
        </w:tc>
        <w:tc>
          <w:tcPr>
            <w:tcW w:w="0" w:type="auto"/>
            <w:shd w:val="clear" w:color="auto" w:fill="auto"/>
          </w:tcPr>
          <w:p w14:paraId="21525AEF" w14:textId="77777777" w:rsidR="002F0133" w:rsidRPr="000B4E2C" w:rsidRDefault="002F0133" w:rsidP="008A7464">
            <w:pPr>
              <w:spacing w:line="276" w:lineRule="auto"/>
              <w:jc w:val="center"/>
              <w:rPr>
                <w:lang w:eastAsia="en-GB"/>
              </w:rPr>
            </w:pPr>
          </w:p>
          <w:p w14:paraId="6F77377F" w14:textId="77777777" w:rsidR="002F0133" w:rsidRPr="000B4E2C" w:rsidRDefault="002F0133" w:rsidP="008A7464">
            <w:pPr>
              <w:spacing w:line="276" w:lineRule="auto"/>
              <w:jc w:val="center"/>
              <w:rPr>
                <w:lang w:eastAsia="en-GB"/>
              </w:rPr>
            </w:pPr>
            <w:r w:rsidRPr="000B4E2C">
              <w:rPr>
                <w:lang w:eastAsia="en-GB"/>
              </w:rPr>
              <w:t>NR</w:t>
            </w:r>
          </w:p>
        </w:tc>
      </w:tr>
      <w:tr w:rsidR="002F0133" w:rsidRPr="000B4E2C" w14:paraId="0EA7C700" w14:textId="77777777" w:rsidTr="000B4E2C">
        <w:trPr>
          <w:cantSplit/>
        </w:trPr>
        <w:tc>
          <w:tcPr>
            <w:tcW w:w="0" w:type="auto"/>
            <w:shd w:val="clear" w:color="auto" w:fill="auto"/>
            <w:vAlign w:val="center"/>
          </w:tcPr>
          <w:p w14:paraId="465EA6BB" w14:textId="0A49DCA0" w:rsidR="002F0133" w:rsidRPr="000B4E2C" w:rsidRDefault="002F0133" w:rsidP="008A7464">
            <w:pPr>
              <w:spacing w:line="276" w:lineRule="auto"/>
              <w:rPr>
                <w:lang w:eastAsia="en-GB"/>
              </w:rPr>
            </w:pPr>
            <w:r w:rsidRPr="000B4E2C">
              <w:rPr>
                <w:lang w:eastAsia="en-GB"/>
              </w:rPr>
              <w:t>Smith 2013</w:t>
            </w:r>
            <w:r w:rsidR="00024FA4" w:rsidRPr="000B4E2C">
              <w:rPr>
                <w:lang w:eastAsia="en-GB"/>
              </w:rPr>
              <w:t>,</w:t>
            </w:r>
            <w:r w:rsidR="005B5026" w:rsidRPr="000B4E2C">
              <w:rPr>
                <w:noProof/>
                <w:vertAlign w:val="superscript"/>
                <w:lang w:eastAsia="en-GB"/>
              </w:rPr>
              <w:t>79</w:t>
            </w:r>
            <w:r w:rsidRPr="000B4E2C">
              <w:rPr>
                <w:lang w:eastAsia="en-GB"/>
              </w:rPr>
              <w:t xml:space="preserve"> UK</w:t>
            </w:r>
          </w:p>
        </w:tc>
        <w:tc>
          <w:tcPr>
            <w:tcW w:w="0" w:type="auto"/>
            <w:shd w:val="clear" w:color="auto" w:fill="auto"/>
            <w:vAlign w:val="center"/>
          </w:tcPr>
          <w:p w14:paraId="382F3617" w14:textId="06C94F89" w:rsidR="002F0133" w:rsidRPr="000B4E2C" w:rsidRDefault="002F0133" w:rsidP="008A7464">
            <w:pPr>
              <w:spacing w:line="276" w:lineRule="auto"/>
              <w:jc w:val="center"/>
              <w:rPr>
                <w:lang w:eastAsia="en-GB"/>
              </w:rPr>
            </w:pPr>
            <w:r w:rsidRPr="000B4E2C">
              <w:rPr>
                <w:lang w:eastAsia="en-GB"/>
              </w:rPr>
              <w:t xml:space="preserve">uNGAL, </w:t>
            </w:r>
            <w:r w:rsidR="009D7F5A" w:rsidRPr="000B4E2C">
              <w:rPr>
                <w:lang w:eastAsia="en-GB"/>
              </w:rPr>
              <w:t>BioPorto</w:t>
            </w:r>
          </w:p>
        </w:tc>
        <w:tc>
          <w:tcPr>
            <w:tcW w:w="0" w:type="auto"/>
            <w:shd w:val="clear" w:color="auto" w:fill="auto"/>
            <w:vAlign w:val="center"/>
          </w:tcPr>
          <w:p w14:paraId="2D25CBE7" w14:textId="572CD5CC" w:rsidR="000B4E2C" w:rsidRPr="000B4E2C" w:rsidRDefault="002F0133" w:rsidP="008A7464">
            <w:pPr>
              <w:spacing w:line="276" w:lineRule="auto"/>
              <w:jc w:val="center"/>
            </w:pPr>
            <w:r w:rsidRPr="000B4E2C">
              <w:t>Critical care</w:t>
            </w:r>
            <w:r w:rsidR="000B4E2C" w:rsidRPr="000B4E2C">
              <w:rPr>
                <w:color w:val="00B0F0"/>
              </w:rPr>
              <w:t xml:space="preserve"> – </w:t>
            </w:r>
            <w:r w:rsidRPr="000B4E2C">
              <w:t>mixed population</w:t>
            </w:r>
          </w:p>
          <w:p w14:paraId="1CEC9533" w14:textId="43C30F11" w:rsidR="002F0133" w:rsidRPr="000B4E2C" w:rsidRDefault="002F0133" w:rsidP="008A7464">
            <w:pPr>
              <w:spacing w:line="276" w:lineRule="auto"/>
              <w:jc w:val="center"/>
              <w:rPr>
                <w:lang w:eastAsia="en-GB"/>
              </w:rPr>
            </w:pPr>
            <w:r w:rsidRPr="000B4E2C">
              <w:t>(CKD)</w:t>
            </w:r>
          </w:p>
        </w:tc>
        <w:tc>
          <w:tcPr>
            <w:tcW w:w="0" w:type="auto"/>
            <w:shd w:val="clear" w:color="auto" w:fill="auto"/>
            <w:vAlign w:val="center"/>
          </w:tcPr>
          <w:p w14:paraId="3B2496FA" w14:textId="77777777" w:rsidR="002F0133" w:rsidRPr="000B4E2C" w:rsidRDefault="002F0133" w:rsidP="008A7464">
            <w:pPr>
              <w:spacing w:line="276" w:lineRule="auto"/>
              <w:jc w:val="center"/>
              <w:rPr>
                <w:lang w:eastAsia="en-GB"/>
              </w:rPr>
            </w:pPr>
            <w:r w:rsidRPr="000B4E2C">
              <w:rPr>
                <w:lang w:eastAsia="en-GB"/>
              </w:rPr>
              <w:t>69 (12)</w:t>
            </w:r>
          </w:p>
        </w:tc>
        <w:tc>
          <w:tcPr>
            <w:tcW w:w="0" w:type="auto"/>
            <w:shd w:val="clear" w:color="auto" w:fill="auto"/>
            <w:vAlign w:val="center"/>
          </w:tcPr>
          <w:p w14:paraId="05C0B94F" w14:textId="77777777" w:rsidR="002F0133" w:rsidRPr="000B4E2C" w:rsidRDefault="002F0133" w:rsidP="008A7464">
            <w:pPr>
              <w:spacing w:line="276" w:lineRule="auto"/>
              <w:jc w:val="center"/>
              <w:rPr>
                <w:lang w:eastAsia="en-GB"/>
              </w:rPr>
            </w:pPr>
            <w:r w:rsidRPr="000B4E2C">
              <w:rPr>
                <w:lang w:eastAsia="en-GB"/>
              </w:rPr>
              <w:t>158</w:t>
            </w:r>
          </w:p>
        </w:tc>
        <w:tc>
          <w:tcPr>
            <w:tcW w:w="0" w:type="auto"/>
            <w:shd w:val="clear" w:color="auto" w:fill="auto"/>
            <w:vAlign w:val="center"/>
          </w:tcPr>
          <w:p w14:paraId="4D91BFEC" w14:textId="77777777" w:rsidR="002F0133" w:rsidRPr="000B4E2C" w:rsidRDefault="002F0133" w:rsidP="008A7464">
            <w:pPr>
              <w:spacing w:line="276" w:lineRule="auto"/>
              <w:jc w:val="center"/>
              <w:rPr>
                <w:lang w:eastAsia="en-GB"/>
              </w:rPr>
            </w:pPr>
            <w:r w:rsidRPr="000B4E2C">
              <w:rPr>
                <w:lang w:eastAsia="en-GB"/>
              </w:rPr>
              <w:t>40</w:t>
            </w:r>
          </w:p>
        </w:tc>
        <w:tc>
          <w:tcPr>
            <w:tcW w:w="0" w:type="auto"/>
            <w:shd w:val="clear" w:color="auto" w:fill="auto"/>
            <w:vAlign w:val="center"/>
          </w:tcPr>
          <w:p w14:paraId="6B7CB1B9" w14:textId="77777777" w:rsidR="002F0133" w:rsidRPr="000B4E2C" w:rsidRDefault="002F0133" w:rsidP="008A7464">
            <w:pPr>
              <w:spacing w:line="276" w:lineRule="auto"/>
              <w:jc w:val="center"/>
              <w:rPr>
                <w:lang w:eastAsia="en-GB"/>
              </w:rPr>
            </w:pPr>
            <w:r w:rsidRPr="000B4E2C">
              <w:rPr>
                <w:lang w:eastAsia="en-GB"/>
              </w:rPr>
              <w:t>KDIGO</w:t>
            </w:r>
          </w:p>
        </w:tc>
        <w:tc>
          <w:tcPr>
            <w:tcW w:w="0" w:type="auto"/>
            <w:shd w:val="clear" w:color="auto" w:fill="auto"/>
          </w:tcPr>
          <w:p w14:paraId="29BB031D" w14:textId="77777777" w:rsidR="002F0133" w:rsidRPr="000B4E2C" w:rsidRDefault="002F0133" w:rsidP="008A7464">
            <w:pPr>
              <w:spacing w:line="276" w:lineRule="auto"/>
              <w:jc w:val="center"/>
              <w:rPr>
                <w:lang w:eastAsia="en-GB"/>
              </w:rPr>
            </w:pPr>
          </w:p>
          <w:p w14:paraId="06734196" w14:textId="77777777" w:rsidR="002F0133" w:rsidRPr="000B4E2C" w:rsidRDefault="002F0133" w:rsidP="008A7464">
            <w:pPr>
              <w:spacing w:line="276" w:lineRule="auto"/>
              <w:jc w:val="center"/>
              <w:rPr>
                <w:lang w:eastAsia="en-GB"/>
              </w:rPr>
            </w:pPr>
            <w:r w:rsidRPr="000B4E2C">
              <w:rPr>
                <w:lang w:eastAsia="en-GB"/>
              </w:rPr>
              <w:t>NR</w:t>
            </w:r>
          </w:p>
        </w:tc>
      </w:tr>
      <w:tr w:rsidR="002F0133" w:rsidRPr="000B4E2C" w14:paraId="1AFEC17E" w14:textId="77777777" w:rsidTr="000B4E2C">
        <w:trPr>
          <w:cantSplit/>
        </w:trPr>
        <w:tc>
          <w:tcPr>
            <w:tcW w:w="0" w:type="auto"/>
            <w:shd w:val="clear" w:color="auto" w:fill="auto"/>
            <w:vAlign w:val="center"/>
          </w:tcPr>
          <w:p w14:paraId="558A049E" w14:textId="73AB3FE7" w:rsidR="002F0133" w:rsidRPr="000B4E2C" w:rsidRDefault="002F0133" w:rsidP="008A7464">
            <w:pPr>
              <w:spacing w:line="276" w:lineRule="auto"/>
              <w:rPr>
                <w:lang w:eastAsia="en-GB"/>
              </w:rPr>
            </w:pPr>
            <w:r w:rsidRPr="000B4E2C">
              <w:rPr>
                <w:lang w:eastAsia="en-GB"/>
              </w:rPr>
              <w:t>Tecson 2017</w:t>
            </w:r>
            <w:r w:rsidR="00024FA4" w:rsidRPr="000B4E2C">
              <w:rPr>
                <w:lang w:eastAsia="en-GB"/>
              </w:rPr>
              <w:t>,</w:t>
            </w:r>
            <w:r w:rsidR="005B5026" w:rsidRPr="000B4E2C">
              <w:rPr>
                <w:noProof/>
                <w:vertAlign w:val="superscript"/>
                <w:lang w:eastAsia="en-GB"/>
              </w:rPr>
              <w:t>80</w:t>
            </w:r>
            <w:r w:rsidRPr="000B4E2C">
              <w:rPr>
                <w:lang w:eastAsia="en-GB"/>
              </w:rPr>
              <w:t xml:space="preserve"> USA</w:t>
            </w:r>
          </w:p>
        </w:tc>
        <w:tc>
          <w:tcPr>
            <w:tcW w:w="0" w:type="auto"/>
            <w:shd w:val="clear" w:color="auto" w:fill="auto"/>
            <w:vAlign w:val="center"/>
          </w:tcPr>
          <w:p w14:paraId="2AE01564" w14:textId="12C0039C" w:rsidR="002F0133" w:rsidRPr="000B4E2C" w:rsidRDefault="002F0133" w:rsidP="008A7464">
            <w:pPr>
              <w:spacing w:line="276" w:lineRule="auto"/>
              <w:jc w:val="center"/>
              <w:rPr>
                <w:lang w:eastAsia="en-GB"/>
              </w:rPr>
            </w:pPr>
            <w:r w:rsidRPr="000B4E2C">
              <w:rPr>
                <w:lang w:eastAsia="en-GB"/>
              </w:rPr>
              <w:t xml:space="preserve">uNGAL, </w:t>
            </w:r>
            <w:r w:rsidR="009D7F5A" w:rsidRPr="000B4E2C">
              <w:rPr>
                <w:lang w:eastAsia="en-GB"/>
              </w:rPr>
              <w:t>BioPorto</w:t>
            </w:r>
            <w:r w:rsidRPr="000B4E2C">
              <w:rPr>
                <w:lang w:eastAsia="en-GB"/>
              </w:rPr>
              <w:t xml:space="preserve"> &amp; pNGAL </w:t>
            </w:r>
            <w:r w:rsidR="009D7F5A" w:rsidRPr="000B4E2C">
              <w:rPr>
                <w:lang w:eastAsia="en-GB"/>
              </w:rPr>
              <w:t>BioPorto</w:t>
            </w:r>
          </w:p>
        </w:tc>
        <w:tc>
          <w:tcPr>
            <w:tcW w:w="0" w:type="auto"/>
            <w:shd w:val="clear" w:color="auto" w:fill="auto"/>
            <w:vAlign w:val="center"/>
          </w:tcPr>
          <w:p w14:paraId="71A157B2" w14:textId="666C487C"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(ICU/ITU)</w:t>
            </w:r>
          </w:p>
        </w:tc>
        <w:tc>
          <w:tcPr>
            <w:tcW w:w="0" w:type="auto"/>
            <w:shd w:val="clear" w:color="auto" w:fill="auto"/>
            <w:vAlign w:val="center"/>
          </w:tcPr>
          <w:p w14:paraId="55AE349C" w14:textId="77777777" w:rsidR="002F0133" w:rsidRPr="000B4E2C" w:rsidRDefault="002F0133" w:rsidP="008A7464">
            <w:pPr>
              <w:spacing w:line="276" w:lineRule="auto"/>
              <w:jc w:val="center"/>
              <w:rPr>
                <w:lang w:eastAsia="en-GB"/>
              </w:rPr>
            </w:pPr>
            <w:r w:rsidRPr="000B4E2C">
              <w:rPr>
                <w:lang w:eastAsia="en-GB"/>
              </w:rPr>
              <w:t>AKI (stage2/3)</w:t>
            </w:r>
          </w:p>
          <w:p w14:paraId="172522B6" w14:textId="77777777" w:rsidR="002F0133" w:rsidRPr="000B4E2C" w:rsidRDefault="002F0133" w:rsidP="008A7464">
            <w:pPr>
              <w:spacing w:line="276" w:lineRule="auto"/>
              <w:jc w:val="center"/>
              <w:rPr>
                <w:lang w:eastAsia="en-GB"/>
              </w:rPr>
            </w:pPr>
            <w:r w:rsidRPr="000B4E2C">
              <w:rPr>
                <w:lang w:eastAsia="en-GB"/>
              </w:rPr>
              <w:t>68 (56, 74);</w:t>
            </w:r>
          </w:p>
          <w:p w14:paraId="559D8226" w14:textId="77777777" w:rsidR="000B4E2C" w:rsidRPr="000B4E2C" w:rsidRDefault="002F0133" w:rsidP="008A7464">
            <w:pPr>
              <w:spacing w:line="276" w:lineRule="auto"/>
              <w:jc w:val="center"/>
              <w:rPr>
                <w:lang w:eastAsia="en-GB"/>
              </w:rPr>
            </w:pPr>
            <w:r w:rsidRPr="000B4E2C">
              <w:rPr>
                <w:lang w:eastAsia="en-GB"/>
              </w:rPr>
              <w:t>No AKI</w:t>
            </w:r>
          </w:p>
          <w:p w14:paraId="5BA4629B" w14:textId="1E0C36C2" w:rsidR="002F0133" w:rsidRPr="000B4E2C" w:rsidRDefault="002F0133" w:rsidP="008A7464">
            <w:pPr>
              <w:spacing w:line="276" w:lineRule="auto"/>
              <w:jc w:val="center"/>
              <w:rPr>
                <w:lang w:eastAsia="en-GB"/>
              </w:rPr>
            </w:pPr>
            <w:r w:rsidRPr="000B4E2C">
              <w:rPr>
                <w:lang w:eastAsia="en-GB"/>
              </w:rPr>
              <w:t>(stage 0/1)</w:t>
            </w:r>
          </w:p>
          <w:p w14:paraId="4C67B783" w14:textId="77777777" w:rsidR="002F0133" w:rsidRPr="000B4E2C" w:rsidRDefault="002F0133" w:rsidP="008A7464">
            <w:pPr>
              <w:spacing w:line="276" w:lineRule="auto"/>
              <w:jc w:val="center"/>
              <w:rPr>
                <w:lang w:eastAsia="en-GB"/>
              </w:rPr>
            </w:pPr>
            <w:r w:rsidRPr="000B4E2C">
              <w:rPr>
                <w:lang w:eastAsia="en-GB"/>
              </w:rPr>
              <w:t>63 (54,73) *</w:t>
            </w:r>
          </w:p>
        </w:tc>
        <w:tc>
          <w:tcPr>
            <w:tcW w:w="0" w:type="auto"/>
            <w:shd w:val="clear" w:color="auto" w:fill="auto"/>
            <w:vAlign w:val="center"/>
          </w:tcPr>
          <w:p w14:paraId="41F80950" w14:textId="77777777" w:rsidR="002F0133" w:rsidRPr="000B4E2C" w:rsidRDefault="002F0133" w:rsidP="008A7464">
            <w:pPr>
              <w:spacing w:line="276" w:lineRule="auto"/>
              <w:jc w:val="center"/>
              <w:rPr>
                <w:lang w:eastAsia="en-GB"/>
              </w:rPr>
            </w:pPr>
            <w:r w:rsidRPr="000B4E2C">
              <w:rPr>
                <w:lang w:eastAsia="en-GB"/>
              </w:rPr>
              <w:t>245</w:t>
            </w:r>
          </w:p>
        </w:tc>
        <w:tc>
          <w:tcPr>
            <w:tcW w:w="0" w:type="auto"/>
            <w:shd w:val="clear" w:color="auto" w:fill="auto"/>
            <w:vAlign w:val="center"/>
          </w:tcPr>
          <w:p w14:paraId="638A0B0A" w14:textId="77777777" w:rsidR="002F0133" w:rsidRPr="000B4E2C" w:rsidRDefault="002F0133" w:rsidP="008A7464">
            <w:pPr>
              <w:spacing w:line="276" w:lineRule="auto"/>
              <w:jc w:val="center"/>
              <w:rPr>
                <w:lang w:eastAsia="en-GB"/>
              </w:rPr>
            </w:pPr>
            <w:r w:rsidRPr="000B4E2C">
              <w:rPr>
                <w:lang w:eastAsia="en-GB"/>
              </w:rPr>
              <w:t>33</w:t>
            </w:r>
          </w:p>
        </w:tc>
        <w:tc>
          <w:tcPr>
            <w:tcW w:w="0" w:type="auto"/>
            <w:shd w:val="clear" w:color="auto" w:fill="auto"/>
            <w:vAlign w:val="center"/>
          </w:tcPr>
          <w:p w14:paraId="41D67BB0" w14:textId="77777777" w:rsidR="002F0133" w:rsidRPr="000B4E2C" w:rsidRDefault="002F0133" w:rsidP="008A7464">
            <w:pPr>
              <w:spacing w:line="276" w:lineRule="auto"/>
              <w:jc w:val="center"/>
              <w:rPr>
                <w:lang w:eastAsia="en-GB"/>
              </w:rPr>
            </w:pPr>
            <w:r w:rsidRPr="000B4E2C">
              <w:rPr>
                <w:lang w:eastAsia="en-GB"/>
              </w:rPr>
              <w:t>KDIGO stage 2/3</w:t>
            </w:r>
          </w:p>
        </w:tc>
        <w:tc>
          <w:tcPr>
            <w:tcW w:w="0" w:type="auto"/>
            <w:shd w:val="clear" w:color="auto" w:fill="auto"/>
          </w:tcPr>
          <w:p w14:paraId="5C53EED8" w14:textId="77777777" w:rsidR="002F0133" w:rsidRPr="000B4E2C" w:rsidRDefault="002F0133" w:rsidP="008A7464">
            <w:pPr>
              <w:spacing w:line="276" w:lineRule="auto"/>
              <w:jc w:val="center"/>
              <w:rPr>
                <w:lang w:eastAsia="en-GB"/>
              </w:rPr>
            </w:pPr>
            <w:r w:rsidRPr="000B4E2C">
              <w:rPr>
                <w:lang w:eastAsia="en-GB"/>
              </w:rPr>
              <w:t>Within 8 days of admission</w:t>
            </w:r>
          </w:p>
        </w:tc>
      </w:tr>
      <w:tr w:rsidR="002F0133" w:rsidRPr="000B4E2C" w14:paraId="14E61335" w14:textId="77777777" w:rsidTr="000B4E2C">
        <w:trPr>
          <w:cantSplit/>
        </w:trPr>
        <w:tc>
          <w:tcPr>
            <w:tcW w:w="0" w:type="auto"/>
            <w:shd w:val="clear" w:color="auto" w:fill="auto"/>
            <w:vAlign w:val="center"/>
          </w:tcPr>
          <w:p w14:paraId="3A51BD44" w14:textId="48323AA4" w:rsidR="002F0133" w:rsidRPr="000B4E2C" w:rsidRDefault="002F0133" w:rsidP="008A7464">
            <w:pPr>
              <w:spacing w:line="276" w:lineRule="auto"/>
              <w:rPr>
                <w:lang w:eastAsia="en-GB"/>
              </w:rPr>
            </w:pPr>
            <w:r w:rsidRPr="000B4E2C">
              <w:rPr>
                <w:lang w:eastAsia="en-GB"/>
              </w:rPr>
              <w:t>Verna 2012</w:t>
            </w:r>
            <w:r w:rsidR="00024FA4" w:rsidRPr="000B4E2C">
              <w:rPr>
                <w:lang w:eastAsia="en-GB"/>
              </w:rPr>
              <w:t>,</w:t>
            </w:r>
            <w:r w:rsidR="005B5026" w:rsidRPr="000B4E2C">
              <w:rPr>
                <w:noProof/>
                <w:vertAlign w:val="superscript"/>
                <w:lang w:eastAsia="en-GB"/>
              </w:rPr>
              <w:t>81</w:t>
            </w:r>
            <w:r w:rsidRPr="000B4E2C">
              <w:rPr>
                <w:lang w:eastAsia="en-GB"/>
              </w:rPr>
              <w:t xml:space="preserve"> USA</w:t>
            </w:r>
          </w:p>
        </w:tc>
        <w:tc>
          <w:tcPr>
            <w:tcW w:w="0" w:type="auto"/>
            <w:shd w:val="clear" w:color="auto" w:fill="auto"/>
            <w:vAlign w:val="center"/>
          </w:tcPr>
          <w:p w14:paraId="6CD69FE9" w14:textId="089DF3CF" w:rsidR="002F0133" w:rsidRPr="000B4E2C" w:rsidRDefault="002F0133" w:rsidP="008A7464">
            <w:pPr>
              <w:spacing w:line="276" w:lineRule="auto"/>
              <w:jc w:val="center"/>
              <w:rPr>
                <w:lang w:eastAsia="en-GB"/>
              </w:rPr>
            </w:pPr>
            <w:r w:rsidRPr="000B4E2C">
              <w:rPr>
                <w:lang w:eastAsia="en-GB"/>
              </w:rPr>
              <w:t xml:space="preserve">uNGAL, </w:t>
            </w:r>
            <w:r w:rsidR="009D7F5A" w:rsidRPr="000B4E2C">
              <w:rPr>
                <w:lang w:eastAsia="en-GB"/>
              </w:rPr>
              <w:t>BioPorto</w:t>
            </w:r>
          </w:p>
        </w:tc>
        <w:tc>
          <w:tcPr>
            <w:tcW w:w="0" w:type="auto"/>
            <w:shd w:val="clear" w:color="auto" w:fill="auto"/>
            <w:vAlign w:val="center"/>
          </w:tcPr>
          <w:p w14:paraId="00C18F0E" w14:textId="375BEEA2"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(cirrhosis)</w:t>
            </w:r>
          </w:p>
        </w:tc>
        <w:tc>
          <w:tcPr>
            <w:tcW w:w="0" w:type="auto"/>
            <w:shd w:val="clear" w:color="auto" w:fill="auto"/>
            <w:vAlign w:val="center"/>
          </w:tcPr>
          <w:p w14:paraId="1C99C4A9" w14:textId="77777777" w:rsidR="002F0133" w:rsidRPr="000B4E2C" w:rsidRDefault="002F0133" w:rsidP="008A7464">
            <w:pPr>
              <w:spacing w:line="276" w:lineRule="auto"/>
              <w:jc w:val="center"/>
              <w:rPr>
                <w:lang w:eastAsia="en-GB"/>
              </w:rPr>
            </w:pPr>
            <w:r w:rsidRPr="000B4E2C">
              <w:rPr>
                <w:lang w:eastAsia="en-GB"/>
              </w:rPr>
              <w:t>56 (49, 62)</w:t>
            </w:r>
          </w:p>
        </w:tc>
        <w:tc>
          <w:tcPr>
            <w:tcW w:w="0" w:type="auto"/>
            <w:shd w:val="clear" w:color="auto" w:fill="auto"/>
            <w:vAlign w:val="center"/>
          </w:tcPr>
          <w:p w14:paraId="521A4031" w14:textId="77777777" w:rsidR="002F0133" w:rsidRPr="000B4E2C" w:rsidRDefault="002F0133" w:rsidP="008A7464">
            <w:pPr>
              <w:spacing w:line="276" w:lineRule="auto"/>
              <w:jc w:val="center"/>
              <w:rPr>
                <w:lang w:eastAsia="en-GB"/>
              </w:rPr>
            </w:pPr>
            <w:r w:rsidRPr="000B4E2C">
              <w:rPr>
                <w:lang w:eastAsia="en-GB"/>
              </w:rPr>
              <w:t>118</w:t>
            </w:r>
          </w:p>
        </w:tc>
        <w:tc>
          <w:tcPr>
            <w:tcW w:w="0" w:type="auto"/>
            <w:shd w:val="clear" w:color="auto" w:fill="auto"/>
            <w:vAlign w:val="center"/>
          </w:tcPr>
          <w:p w14:paraId="541D7101" w14:textId="77777777" w:rsidR="002F0133" w:rsidRPr="000B4E2C" w:rsidRDefault="002F0133" w:rsidP="008A7464">
            <w:pPr>
              <w:spacing w:line="276" w:lineRule="auto"/>
              <w:jc w:val="center"/>
              <w:rPr>
                <w:lang w:eastAsia="en-GB"/>
              </w:rPr>
            </w:pPr>
            <w:r w:rsidRPr="000B4E2C">
              <w:rPr>
                <w:lang w:eastAsia="en-GB"/>
              </w:rPr>
              <w:t>52</w:t>
            </w:r>
          </w:p>
        </w:tc>
        <w:tc>
          <w:tcPr>
            <w:tcW w:w="0" w:type="auto"/>
            <w:shd w:val="clear" w:color="auto" w:fill="auto"/>
            <w:vAlign w:val="center"/>
          </w:tcPr>
          <w:p w14:paraId="08850364" w14:textId="4F69E216" w:rsidR="002F0133" w:rsidRPr="000B4E2C" w:rsidRDefault="002F0133" w:rsidP="008A7464">
            <w:pPr>
              <w:spacing w:line="276" w:lineRule="auto"/>
              <w:jc w:val="center"/>
              <w:rPr>
                <w:lang w:eastAsia="en-GB"/>
              </w:rPr>
            </w:pPr>
            <w:r w:rsidRPr="000B4E2C">
              <w:rPr>
                <w:lang w:eastAsia="en-GB"/>
              </w:rPr>
              <w:t xml:space="preserve">Increase in sCr </w:t>
            </w:r>
            <w:r w:rsidR="000B4E2C" w:rsidRPr="000B4E2C">
              <w:rPr>
                <w:color w:val="00B0F0"/>
                <w:lang w:eastAsia="en-GB"/>
              </w:rPr>
              <w:t>&gt;</w:t>
            </w:r>
            <w:r w:rsidR="000B4E2C" w:rsidRPr="000B4E2C">
              <w:rPr>
                <w:color w:val="00B0F0"/>
                <w:lang w:eastAsia="en-GB"/>
              </w:rPr>
              <w:t> </w:t>
            </w:r>
            <w:r w:rsidR="000B4E2C" w:rsidRPr="000B4E2C">
              <w:rPr>
                <w:color w:val="00B0F0"/>
                <w:lang w:eastAsia="en-GB"/>
              </w:rPr>
              <w:t>1</w:t>
            </w:r>
            <w:r w:rsidRPr="000B4E2C">
              <w:rPr>
                <w:lang w:eastAsia="en-GB"/>
              </w:rPr>
              <w:t>.5 and</w:t>
            </w:r>
          </w:p>
          <w:p w14:paraId="71DFC680" w14:textId="77777777" w:rsidR="002F0133" w:rsidRPr="000B4E2C" w:rsidRDefault="002F0133" w:rsidP="008A7464">
            <w:pPr>
              <w:spacing w:line="276" w:lineRule="auto"/>
              <w:jc w:val="center"/>
              <w:rPr>
                <w:lang w:eastAsia="en-GB"/>
              </w:rPr>
            </w:pPr>
            <w:r w:rsidRPr="000B4E2C">
              <w:rPr>
                <w:lang w:eastAsia="en-GB"/>
              </w:rPr>
              <w:t>0.3 mg/dL from baseline value</w:t>
            </w:r>
          </w:p>
        </w:tc>
        <w:tc>
          <w:tcPr>
            <w:tcW w:w="0" w:type="auto"/>
            <w:shd w:val="clear" w:color="auto" w:fill="auto"/>
          </w:tcPr>
          <w:p w14:paraId="30CF1F07" w14:textId="77777777" w:rsidR="002F0133" w:rsidRPr="000B4E2C" w:rsidRDefault="002F0133" w:rsidP="008A7464">
            <w:pPr>
              <w:spacing w:line="276" w:lineRule="auto"/>
              <w:jc w:val="center"/>
              <w:rPr>
                <w:lang w:eastAsia="en-GB"/>
              </w:rPr>
            </w:pPr>
            <w:r w:rsidRPr="000B4E2C">
              <w:rPr>
                <w:lang w:eastAsia="en-GB"/>
              </w:rPr>
              <w:t>NR</w:t>
            </w:r>
          </w:p>
        </w:tc>
      </w:tr>
      <w:tr w:rsidR="002F0133" w:rsidRPr="000B4E2C" w14:paraId="3E48040C" w14:textId="77777777" w:rsidTr="000B4E2C">
        <w:trPr>
          <w:cantSplit/>
        </w:trPr>
        <w:tc>
          <w:tcPr>
            <w:tcW w:w="0" w:type="auto"/>
            <w:shd w:val="clear" w:color="auto" w:fill="auto"/>
            <w:vAlign w:val="center"/>
          </w:tcPr>
          <w:p w14:paraId="597B8C8D" w14:textId="207D445D" w:rsidR="002F0133" w:rsidRPr="000B4E2C" w:rsidRDefault="002F0133" w:rsidP="008A7464">
            <w:pPr>
              <w:spacing w:line="276" w:lineRule="auto"/>
              <w:rPr>
                <w:lang w:eastAsia="en-GB"/>
              </w:rPr>
            </w:pPr>
            <w:r w:rsidRPr="000B4E2C">
              <w:rPr>
                <w:lang w:eastAsia="en-GB"/>
              </w:rPr>
              <w:t>Zelt 2018</w:t>
            </w:r>
            <w:r w:rsidR="00024FA4" w:rsidRPr="000B4E2C">
              <w:rPr>
                <w:lang w:eastAsia="en-GB"/>
              </w:rPr>
              <w:t>,</w:t>
            </w:r>
            <w:r w:rsidR="005B5026" w:rsidRPr="000B4E2C">
              <w:rPr>
                <w:noProof/>
                <w:vertAlign w:val="superscript"/>
                <w:lang w:eastAsia="en-GB"/>
              </w:rPr>
              <w:t>82</w:t>
            </w:r>
            <w:r w:rsidRPr="000B4E2C">
              <w:rPr>
                <w:lang w:eastAsia="en-GB"/>
              </w:rPr>
              <w:t xml:space="preserve"> USA</w:t>
            </w:r>
          </w:p>
        </w:tc>
        <w:tc>
          <w:tcPr>
            <w:tcW w:w="0" w:type="auto"/>
            <w:shd w:val="clear" w:color="auto" w:fill="auto"/>
            <w:vAlign w:val="center"/>
          </w:tcPr>
          <w:p w14:paraId="73CBF52E" w14:textId="26F6C82C" w:rsidR="002F0133" w:rsidRPr="000B4E2C" w:rsidRDefault="002F0133" w:rsidP="008A7464">
            <w:pPr>
              <w:spacing w:line="276" w:lineRule="auto"/>
              <w:jc w:val="center"/>
              <w:rPr>
                <w:lang w:eastAsia="en-GB"/>
              </w:rPr>
            </w:pPr>
            <w:r w:rsidRPr="000B4E2C">
              <w:rPr>
                <w:lang w:eastAsia="en-GB"/>
              </w:rPr>
              <w:t xml:space="preserve">pNGAL, </w:t>
            </w:r>
            <w:r w:rsidR="009D7F5A" w:rsidRPr="000B4E2C">
              <w:rPr>
                <w:lang w:eastAsia="en-GB"/>
              </w:rPr>
              <w:t>BioPorto</w:t>
            </w:r>
          </w:p>
        </w:tc>
        <w:tc>
          <w:tcPr>
            <w:tcW w:w="0" w:type="auto"/>
            <w:shd w:val="clear" w:color="auto" w:fill="auto"/>
            <w:vAlign w:val="center"/>
          </w:tcPr>
          <w:p w14:paraId="7289DE7E" w14:textId="77777777" w:rsidR="002F0133" w:rsidRPr="000B4E2C" w:rsidRDefault="002F0133" w:rsidP="008A7464">
            <w:pPr>
              <w:spacing w:line="276" w:lineRule="auto"/>
              <w:jc w:val="center"/>
              <w:rPr>
                <w:lang w:eastAsia="en-GB"/>
              </w:rPr>
            </w:pPr>
            <w:r w:rsidRPr="000B4E2C">
              <w:t>Cardiac Surgery (major elective cardiac surgery requiring CPB)</w:t>
            </w:r>
          </w:p>
        </w:tc>
        <w:tc>
          <w:tcPr>
            <w:tcW w:w="0" w:type="auto"/>
            <w:shd w:val="clear" w:color="auto" w:fill="auto"/>
            <w:vAlign w:val="center"/>
          </w:tcPr>
          <w:p w14:paraId="2E29807C" w14:textId="77777777" w:rsidR="002F0133" w:rsidRPr="000B4E2C" w:rsidRDefault="002F0133" w:rsidP="008A7464">
            <w:pPr>
              <w:spacing w:line="276" w:lineRule="auto"/>
              <w:jc w:val="center"/>
              <w:rPr>
                <w:lang w:eastAsia="en-GB"/>
              </w:rPr>
            </w:pPr>
            <w:r w:rsidRPr="000B4E2C">
              <w:rPr>
                <w:lang w:eastAsia="en-GB"/>
              </w:rPr>
              <w:t>67 (61,73) *</w:t>
            </w:r>
          </w:p>
        </w:tc>
        <w:tc>
          <w:tcPr>
            <w:tcW w:w="0" w:type="auto"/>
            <w:shd w:val="clear" w:color="auto" w:fill="auto"/>
            <w:vAlign w:val="center"/>
          </w:tcPr>
          <w:p w14:paraId="0932E081" w14:textId="77777777" w:rsidR="002F0133" w:rsidRPr="000B4E2C" w:rsidRDefault="002F0133" w:rsidP="008A7464">
            <w:pPr>
              <w:spacing w:line="276" w:lineRule="auto"/>
              <w:jc w:val="center"/>
              <w:rPr>
                <w:lang w:eastAsia="en-GB"/>
              </w:rPr>
            </w:pPr>
            <w:r w:rsidRPr="000B4E2C">
              <w:rPr>
                <w:lang w:eastAsia="en-GB"/>
              </w:rPr>
              <w:t>178</w:t>
            </w:r>
          </w:p>
        </w:tc>
        <w:tc>
          <w:tcPr>
            <w:tcW w:w="0" w:type="auto"/>
            <w:shd w:val="clear" w:color="auto" w:fill="auto"/>
            <w:vAlign w:val="center"/>
          </w:tcPr>
          <w:p w14:paraId="7FDB64F7" w14:textId="77777777" w:rsidR="002F0133" w:rsidRPr="000B4E2C" w:rsidRDefault="002F0133" w:rsidP="008A7464">
            <w:pPr>
              <w:spacing w:line="276" w:lineRule="auto"/>
              <w:jc w:val="center"/>
              <w:rPr>
                <w:lang w:eastAsia="en-GB"/>
              </w:rPr>
            </w:pPr>
            <w:r w:rsidRPr="000B4E2C">
              <w:rPr>
                <w:lang w:eastAsia="en-GB"/>
              </w:rPr>
              <w:t>35</w:t>
            </w:r>
          </w:p>
        </w:tc>
        <w:tc>
          <w:tcPr>
            <w:tcW w:w="0" w:type="auto"/>
            <w:shd w:val="clear" w:color="auto" w:fill="auto"/>
            <w:vAlign w:val="center"/>
          </w:tcPr>
          <w:p w14:paraId="1EBD4919" w14:textId="77777777" w:rsidR="002F0133" w:rsidRPr="000B4E2C" w:rsidRDefault="002F0133" w:rsidP="008A7464">
            <w:pPr>
              <w:spacing w:line="276" w:lineRule="auto"/>
              <w:jc w:val="center"/>
              <w:rPr>
                <w:lang w:eastAsia="en-GB"/>
              </w:rPr>
            </w:pPr>
            <w:r w:rsidRPr="000B4E2C">
              <w:rPr>
                <w:lang w:eastAsia="en-GB"/>
              </w:rPr>
              <w:t>AKIN</w:t>
            </w:r>
          </w:p>
        </w:tc>
        <w:tc>
          <w:tcPr>
            <w:tcW w:w="0" w:type="auto"/>
            <w:shd w:val="clear" w:color="auto" w:fill="auto"/>
          </w:tcPr>
          <w:p w14:paraId="5EAA172D" w14:textId="77777777" w:rsidR="002F0133" w:rsidRPr="000B4E2C" w:rsidRDefault="002F0133" w:rsidP="008A7464">
            <w:pPr>
              <w:spacing w:line="276" w:lineRule="auto"/>
              <w:jc w:val="center"/>
              <w:rPr>
                <w:lang w:eastAsia="en-GB"/>
              </w:rPr>
            </w:pPr>
            <w:r w:rsidRPr="000B4E2C">
              <w:rPr>
                <w:lang w:eastAsia="en-GB"/>
              </w:rPr>
              <w:t>Within 48 hours of surgery</w:t>
            </w:r>
          </w:p>
        </w:tc>
      </w:tr>
      <w:tr w:rsidR="002F0133" w:rsidRPr="000B4E2C" w14:paraId="510CE177" w14:textId="77777777" w:rsidTr="000B4E2C">
        <w:trPr>
          <w:cantSplit/>
        </w:trPr>
        <w:tc>
          <w:tcPr>
            <w:tcW w:w="0" w:type="auto"/>
            <w:shd w:val="clear" w:color="auto" w:fill="auto"/>
            <w:vAlign w:val="center"/>
          </w:tcPr>
          <w:p w14:paraId="6BD00D02" w14:textId="762D79CE" w:rsidR="002F0133" w:rsidRPr="000B4E2C" w:rsidRDefault="002F0133" w:rsidP="008A7464">
            <w:pPr>
              <w:spacing w:line="276" w:lineRule="auto"/>
              <w:rPr>
                <w:lang w:eastAsia="en-GB"/>
              </w:rPr>
            </w:pPr>
            <w:r w:rsidRPr="000B4E2C">
              <w:rPr>
                <w:lang w:eastAsia="en-GB"/>
              </w:rPr>
              <w:t>Itenov 2017</w:t>
            </w:r>
            <w:r w:rsidR="00024FA4" w:rsidRPr="000B4E2C">
              <w:rPr>
                <w:lang w:eastAsia="en-GB"/>
              </w:rPr>
              <w:t>,</w:t>
            </w:r>
            <w:r w:rsidR="005B5026" w:rsidRPr="000B4E2C">
              <w:rPr>
                <w:noProof/>
                <w:vertAlign w:val="superscript"/>
                <w:lang w:eastAsia="en-GB"/>
              </w:rPr>
              <w:t>83</w:t>
            </w:r>
            <w:r w:rsidRPr="000B4E2C">
              <w:rPr>
                <w:lang w:eastAsia="en-GB"/>
              </w:rPr>
              <w:t xml:space="preserve"> Denmark</w:t>
            </w:r>
          </w:p>
        </w:tc>
        <w:tc>
          <w:tcPr>
            <w:tcW w:w="0" w:type="auto"/>
            <w:shd w:val="clear" w:color="auto" w:fill="auto"/>
            <w:vAlign w:val="center"/>
          </w:tcPr>
          <w:p w14:paraId="278FFEF6" w14:textId="550BC9B8" w:rsidR="002F0133" w:rsidRPr="000B4E2C" w:rsidRDefault="002F0133" w:rsidP="008A7464">
            <w:pPr>
              <w:spacing w:line="276" w:lineRule="auto"/>
              <w:jc w:val="center"/>
              <w:rPr>
                <w:lang w:eastAsia="en-GB"/>
              </w:rPr>
            </w:pPr>
            <w:r w:rsidRPr="000B4E2C">
              <w:rPr>
                <w:lang w:eastAsia="en-GB"/>
              </w:rPr>
              <w:t xml:space="preserve">pNGAL, </w:t>
            </w:r>
            <w:r w:rsidR="009D7F5A" w:rsidRPr="000B4E2C">
              <w:rPr>
                <w:lang w:eastAsia="en-GB"/>
              </w:rPr>
              <w:t>BioPorto</w:t>
            </w:r>
          </w:p>
        </w:tc>
        <w:tc>
          <w:tcPr>
            <w:tcW w:w="0" w:type="auto"/>
            <w:shd w:val="clear" w:color="auto" w:fill="auto"/>
            <w:vAlign w:val="center"/>
          </w:tcPr>
          <w:p w14:paraId="5A34F94F" w14:textId="615660D6"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(ICU/ITU)</w:t>
            </w:r>
          </w:p>
        </w:tc>
        <w:tc>
          <w:tcPr>
            <w:tcW w:w="0" w:type="auto"/>
            <w:shd w:val="clear" w:color="auto" w:fill="auto"/>
            <w:vAlign w:val="center"/>
          </w:tcPr>
          <w:p w14:paraId="3D4D32A7" w14:textId="77777777" w:rsidR="002F0133" w:rsidRPr="000B4E2C" w:rsidRDefault="002F0133" w:rsidP="008A7464">
            <w:pPr>
              <w:spacing w:line="276" w:lineRule="auto"/>
              <w:jc w:val="center"/>
              <w:rPr>
                <w:lang w:eastAsia="en-GB"/>
              </w:rPr>
            </w:pPr>
            <w:r w:rsidRPr="000B4E2C">
              <w:rPr>
                <w:lang w:eastAsia="en-GB"/>
              </w:rPr>
              <w:t>67 (60, 76) *</w:t>
            </w:r>
          </w:p>
        </w:tc>
        <w:tc>
          <w:tcPr>
            <w:tcW w:w="0" w:type="auto"/>
            <w:shd w:val="clear" w:color="auto" w:fill="auto"/>
            <w:vAlign w:val="center"/>
          </w:tcPr>
          <w:p w14:paraId="559CFA2C" w14:textId="77777777" w:rsidR="002F0133" w:rsidRPr="000B4E2C" w:rsidRDefault="002F0133" w:rsidP="008A7464">
            <w:pPr>
              <w:spacing w:line="276" w:lineRule="auto"/>
              <w:jc w:val="center"/>
              <w:rPr>
                <w:lang w:eastAsia="en-GB"/>
              </w:rPr>
            </w:pPr>
            <w:r w:rsidRPr="000B4E2C">
              <w:rPr>
                <w:lang w:eastAsia="en-GB"/>
              </w:rPr>
              <w:t>454</w:t>
            </w:r>
          </w:p>
        </w:tc>
        <w:tc>
          <w:tcPr>
            <w:tcW w:w="0" w:type="auto"/>
            <w:shd w:val="clear" w:color="auto" w:fill="auto"/>
            <w:vAlign w:val="center"/>
          </w:tcPr>
          <w:p w14:paraId="02364B18" w14:textId="77777777" w:rsidR="002F0133" w:rsidRPr="000B4E2C" w:rsidRDefault="002F0133" w:rsidP="008A7464">
            <w:pPr>
              <w:spacing w:line="276" w:lineRule="auto"/>
              <w:jc w:val="center"/>
              <w:rPr>
                <w:lang w:eastAsia="en-GB"/>
              </w:rPr>
            </w:pPr>
            <w:r w:rsidRPr="000B4E2C">
              <w:rPr>
                <w:lang w:eastAsia="en-GB"/>
              </w:rPr>
              <w:t>87</w:t>
            </w:r>
          </w:p>
        </w:tc>
        <w:tc>
          <w:tcPr>
            <w:tcW w:w="0" w:type="auto"/>
            <w:shd w:val="clear" w:color="auto" w:fill="auto"/>
            <w:vAlign w:val="center"/>
          </w:tcPr>
          <w:p w14:paraId="77EB9AC7" w14:textId="77777777" w:rsidR="002F0133" w:rsidRPr="000B4E2C" w:rsidRDefault="002F0133" w:rsidP="008A7464">
            <w:pPr>
              <w:spacing w:line="276" w:lineRule="auto"/>
              <w:jc w:val="center"/>
              <w:rPr>
                <w:lang w:eastAsia="en-GB"/>
              </w:rPr>
            </w:pPr>
            <w:r w:rsidRPr="000B4E2C">
              <w:rPr>
                <w:lang w:eastAsia="en-GB"/>
              </w:rPr>
              <w:t>KDIGO</w:t>
            </w:r>
          </w:p>
        </w:tc>
        <w:tc>
          <w:tcPr>
            <w:tcW w:w="0" w:type="auto"/>
            <w:shd w:val="clear" w:color="auto" w:fill="auto"/>
          </w:tcPr>
          <w:p w14:paraId="249DB3F1" w14:textId="77777777" w:rsidR="002F0133" w:rsidRPr="000B4E2C" w:rsidRDefault="002F0133" w:rsidP="008A7464">
            <w:pPr>
              <w:spacing w:line="276" w:lineRule="auto"/>
              <w:jc w:val="center"/>
              <w:rPr>
                <w:lang w:eastAsia="en-GB"/>
              </w:rPr>
            </w:pPr>
            <w:r w:rsidRPr="000B4E2C">
              <w:rPr>
                <w:lang w:eastAsia="en-GB"/>
              </w:rPr>
              <w:t>NR</w:t>
            </w:r>
          </w:p>
        </w:tc>
      </w:tr>
      <w:tr w:rsidR="002F0133" w:rsidRPr="000B4E2C" w14:paraId="6E7796EA" w14:textId="77777777" w:rsidTr="000B4E2C">
        <w:trPr>
          <w:cantSplit/>
        </w:trPr>
        <w:tc>
          <w:tcPr>
            <w:tcW w:w="0" w:type="auto"/>
            <w:shd w:val="clear" w:color="auto" w:fill="auto"/>
            <w:vAlign w:val="center"/>
          </w:tcPr>
          <w:p w14:paraId="763285EB" w14:textId="4A232C3D" w:rsidR="002F0133" w:rsidRPr="000B4E2C" w:rsidRDefault="002F0133" w:rsidP="008A7464">
            <w:pPr>
              <w:spacing w:line="276" w:lineRule="auto"/>
              <w:rPr>
                <w:lang w:eastAsia="en-GB"/>
              </w:rPr>
            </w:pPr>
            <w:r w:rsidRPr="000B4E2C">
              <w:rPr>
                <w:lang w:eastAsia="en-GB"/>
              </w:rPr>
              <w:lastRenderedPageBreak/>
              <w:t>Lee 2018</w:t>
            </w:r>
            <w:r w:rsidR="00024FA4" w:rsidRPr="000B4E2C">
              <w:rPr>
                <w:lang w:eastAsia="en-GB"/>
              </w:rPr>
              <w:t>,</w:t>
            </w:r>
            <w:r w:rsidR="005B5026" w:rsidRPr="000B4E2C">
              <w:rPr>
                <w:noProof/>
                <w:vertAlign w:val="superscript"/>
                <w:lang w:eastAsia="en-GB"/>
              </w:rPr>
              <w:t>84</w:t>
            </w:r>
            <w:r w:rsidR="00024FA4" w:rsidRPr="000B4E2C">
              <w:rPr>
                <w:lang w:eastAsia="en-GB"/>
              </w:rPr>
              <w:t xml:space="preserve"> </w:t>
            </w:r>
            <w:r w:rsidRPr="000B4E2C">
              <w:rPr>
                <w:lang w:eastAsia="en-GB"/>
              </w:rPr>
              <w:t>South Korea</w:t>
            </w:r>
          </w:p>
        </w:tc>
        <w:tc>
          <w:tcPr>
            <w:tcW w:w="0" w:type="auto"/>
            <w:shd w:val="clear" w:color="auto" w:fill="auto"/>
            <w:vAlign w:val="center"/>
          </w:tcPr>
          <w:p w14:paraId="0B487399" w14:textId="6D32EDD3" w:rsidR="002F0133" w:rsidRPr="000B4E2C" w:rsidRDefault="002F0133" w:rsidP="008A7464">
            <w:pPr>
              <w:spacing w:line="276" w:lineRule="auto"/>
              <w:jc w:val="center"/>
              <w:rPr>
                <w:lang w:eastAsia="en-GB"/>
              </w:rPr>
            </w:pPr>
            <w:r w:rsidRPr="000B4E2C">
              <w:rPr>
                <w:lang w:eastAsia="en-GB"/>
              </w:rPr>
              <w:t xml:space="preserve">pNGAL, </w:t>
            </w:r>
            <w:r w:rsidR="009D7F5A" w:rsidRPr="000B4E2C">
              <w:rPr>
                <w:lang w:eastAsia="en-GB"/>
              </w:rPr>
              <w:t>BioPorto</w:t>
            </w:r>
          </w:p>
        </w:tc>
        <w:tc>
          <w:tcPr>
            <w:tcW w:w="0" w:type="auto"/>
            <w:shd w:val="clear" w:color="auto" w:fill="auto"/>
            <w:vAlign w:val="center"/>
          </w:tcPr>
          <w:p w14:paraId="7587655B" w14:textId="77192406" w:rsidR="002F0133" w:rsidRPr="000B4E2C" w:rsidRDefault="002F0133" w:rsidP="008A7464">
            <w:pPr>
              <w:spacing w:line="276" w:lineRule="auto"/>
              <w:jc w:val="center"/>
              <w:rPr>
                <w:lang w:eastAsia="en-GB"/>
              </w:rPr>
            </w:pPr>
            <w:r w:rsidRPr="000B4E2C">
              <w:t>Critical care</w:t>
            </w:r>
            <w:r w:rsidR="000B4E2C" w:rsidRPr="000B4E2C">
              <w:rPr>
                <w:color w:val="00B0F0"/>
              </w:rPr>
              <w:t xml:space="preserve"> – </w:t>
            </w:r>
            <w:r w:rsidRPr="000B4E2C">
              <w:t>mixed population (comatose cardiac arrest survivors treated with therapeutic hypothermia)</w:t>
            </w:r>
          </w:p>
        </w:tc>
        <w:tc>
          <w:tcPr>
            <w:tcW w:w="0" w:type="auto"/>
            <w:shd w:val="clear" w:color="auto" w:fill="auto"/>
            <w:vAlign w:val="center"/>
          </w:tcPr>
          <w:p w14:paraId="66485DC6" w14:textId="77777777" w:rsidR="002F0133" w:rsidRPr="000B4E2C" w:rsidRDefault="002F0133" w:rsidP="008A7464">
            <w:pPr>
              <w:spacing w:line="276" w:lineRule="auto"/>
              <w:jc w:val="center"/>
              <w:rPr>
                <w:lang w:eastAsia="en-GB"/>
              </w:rPr>
            </w:pPr>
            <w:r w:rsidRPr="000B4E2C">
              <w:rPr>
                <w:lang w:eastAsia="en-GB"/>
              </w:rPr>
              <w:t>59 (50, 71) *</w:t>
            </w:r>
          </w:p>
        </w:tc>
        <w:tc>
          <w:tcPr>
            <w:tcW w:w="0" w:type="auto"/>
            <w:shd w:val="clear" w:color="auto" w:fill="auto"/>
            <w:vAlign w:val="center"/>
          </w:tcPr>
          <w:p w14:paraId="01426FBE" w14:textId="77777777" w:rsidR="002F0133" w:rsidRPr="000B4E2C" w:rsidRDefault="002F0133" w:rsidP="008A7464">
            <w:pPr>
              <w:spacing w:line="276" w:lineRule="auto"/>
              <w:jc w:val="center"/>
              <w:rPr>
                <w:lang w:eastAsia="en-GB"/>
              </w:rPr>
            </w:pPr>
            <w:r w:rsidRPr="000B4E2C">
              <w:rPr>
                <w:lang w:eastAsia="en-GB"/>
              </w:rPr>
              <w:t>279</w:t>
            </w:r>
          </w:p>
        </w:tc>
        <w:tc>
          <w:tcPr>
            <w:tcW w:w="0" w:type="auto"/>
            <w:shd w:val="clear" w:color="auto" w:fill="auto"/>
            <w:vAlign w:val="center"/>
          </w:tcPr>
          <w:p w14:paraId="6CC57455" w14:textId="77777777" w:rsidR="002F0133" w:rsidRPr="000B4E2C" w:rsidRDefault="002F0133" w:rsidP="008A7464">
            <w:pPr>
              <w:spacing w:line="276" w:lineRule="auto"/>
              <w:jc w:val="center"/>
              <w:rPr>
                <w:lang w:eastAsia="en-GB"/>
              </w:rPr>
            </w:pPr>
            <w:r w:rsidRPr="000B4E2C">
              <w:rPr>
                <w:lang w:eastAsia="en-GB"/>
              </w:rPr>
              <w:t>111</w:t>
            </w:r>
          </w:p>
        </w:tc>
        <w:tc>
          <w:tcPr>
            <w:tcW w:w="0" w:type="auto"/>
            <w:shd w:val="clear" w:color="auto" w:fill="auto"/>
            <w:vAlign w:val="center"/>
          </w:tcPr>
          <w:p w14:paraId="6E0CD671" w14:textId="77777777" w:rsidR="002F0133" w:rsidRPr="000B4E2C" w:rsidRDefault="002F0133" w:rsidP="008A7464">
            <w:pPr>
              <w:spacing w:line="276" w:lineRule="auto"/>
              <w:jc w:val="center"/>
              <w:rPr>
                <w:lang w:eastAsia="en-GB"/>
              </w:rPr>
            </w:pPr>
            <w:r w:rsidRPr="000B4E2C">
              <w:rPr>
                <w:lang w:eastAsia="en-GB"/>
              </w:rPr>
              <w:t>KDIGO stage 3</w:t>
            </w:r>
          </w:p>
        </w:tc>
        <w:tc>
          <w:tcPr>
            <w:tcW w:w="0" w:type="auto"/>
            <w:shd w:val="clear" w:color="auto" w:fill="auto"/>
          </w:tcPr>
          <w:p w14:paraId="7D8B9247" w14:textId="77777777" w:rsidR="002F0133" w:rsidRPr="000B4E2C" w:rsidRDefault="002F0133" w:rsidP="008A7464">
            <w:pPr>
              <w:spacing w:line="276" w:lineRule="auto"/>
              <w:jc w:val="center"/>
              <w:rPr>
                <w:lang w:eastAsia="en-GB"/>
              </w:rPr>
            </w:pPr>
            <w:r w:rsidRPr="000B4E2C">
              <w:rPr>
                <w:lang w:eastAsia="en-GB"/>
              </w:rPr>
              <w:t>Within 7 days of return of spontaneous circulation</w:t>
            </w:r>
          </w:p>
        </w:tc>
      </w:tr>
      <w:tr w:rsidR="002F0133" w:rsidRPr="000B4E2C" w14:paraId="3BCBFECE" w14:textId="77777777" w:rsidTr="000B4E2C">
        <w:trPr>
          <w:cantSplit/>
        </w:trPr>
        <w:tc>
          <w:tcPr>
            <w:tcW w:w="0" w:type="auto"/>
            <w:shd w:val="clear" w:color="auto" w:fill="auto"/>
            <w:vAlign w:val="center"/>
          </w:tcPr>
          <w:p w14:paraId="7CE58936" w14:textId="7C42DB6A" w:rsidR="002F0133" w:rsidRPr="000B4E2C" w:rsidRDefault="002F0133" w:rsidP="008A7464">
            <w:pPr>
              <w:spacing w:line="276" w:lineRule="auto"/>
              <w:rPr>
                <w:lang w:eastAsia="en-GB"/>
              </w:rPr>
            </w:pPr>
            <w:r w:rsidRPr="000B4E2C">
              <w:rPr>
                <w:lang w:eastAsia="en-GB"/>
              </w:rPr>
              <w:t>Marino 2015</w:t>
            </w:r>
            <w:r w:rsidR="00024FA4" w:rsidRPr="000B4E2C">
              <w:rPr>
                <w:lang w:eastAsia="en-GB"/>
              </w:rPr>
              <w:t>,</w:t>
            </w:r>
            <w:r w:rsidR="005B5026" w:rsidRPr="000B4E2C">
              <w:rPr>
                <w:noProof/>
                <w:vertAlign w:val="superscript"/>
                <w:lang w:eastAsia="en-GB"/>
              </w:rPr>
              <w:t>85</w:t>
            </w:r>
            <w:r w:rsidRPr="000B4E2C">
              <w:rPr>
                <w:lang w:eastAsia="en-GB"/>
              </w:rPr>
              <w:t xml:space="preserve"> Italy</w:t>
            </w:r>
          </w:p>
        </w:tc>
        <w:tc>
          <w:tcPr>
            <w:tcW w:w="0" w:type="auto"/>
            <w:shd w:val="clear" w:color="auto" w:fill="auto"/>
            <w:vAlign w:val="center"/>
          </w:tcPr>
          <w:p w14:paraId="0CCDE6B7" w14:textId="4161EE9A" w:rsidR="002F0133" w:rsidRPr="000B4E2C" w:rsidRDefault="002F0133" w:rsidP="008A7464">
            <w:pPr>
              <w:spacing w:line="276" w:lineRule="auto"/>
              <w:jc w:val="center"/>
              <w:rPr>
                <w:lang w:eastAsia="en-GB"/>
              </w:rPr>
            </w:pPr>
            <w:r w:rsidRPr="000B4E2C">
              <w:rPr>
                <w:lang w:eastAsia="en-GB"/>
              </w:rPr>
              <w:t xml:space="preserve">pNGAL, </w:t>
            </w:r>
            <w:r w:rsidR="009D7F5A" w:rsidRPr="000B4E2C">
              <w:rPr>
                <w:lang w:eastAsia="en-GB"/>
              </w:rPr>
              <w:t>BioPorto</w:t>
            </w:r>
          </w:p>
        </w:tc>
        <w:tc>
          <w:tcPr>
            <w:tcW w:w="0" w:type="auto"/>
            <w:shd w:val="clear" w:color="auto" w:fill="auto"/>
            <w:vAlign w:val="center"/>
          </w:tcPr>
          <w:p w14:paraId="3117DD64" w14:textId="69D77ECD" w:rsidR="000B4E2C" w:rsidRPr="000B4E2C" w:rsidRDefault="002F0133" w:rsidP="008A7464">
            <w:pPr>
              <w:spacing w:line="276" w:lineRule="auto"/>
              <w:jc w:val="center"/>
            </w:pPr>
            <w:r w:rsidRPr="000B4E2C">
              <w:t>Critical care</w:t>
            </w:r>
            <w:r w:rsidR="000B4E2C" w:rsidRPr="000B4E2C">
              <w:rPr>
                <w:color w:val="00B0F0"/>
              </w:rPr>
              <w:t xml:space="preserve"> – </w:t>
            </w:r>
            <w:r w:rsidRPr="000B4E2C">
              <w:t>mixed population</w:t>
            </w:r>
          </w:p>
          <w:p w14:paraId="167D7133" w14:textId="1696C532" w:rsidR="002F0133" w:rsidRPr="000B4E2C" w:rsidRDefault="002F0133" w:rsidP="008A7464">
            <w:pPr>
              <w:spacing w:line="276" w:lineRule="auto"/>
              <w:jc w:val="center"/>
              <w:rPr>
                <w:lang w:eastAsia="en-GB"/>
              </w:rPr>
            </w:pPr>
            <w:r w:rsidRPr="000B4E2C">
              <w:t>(sepsis)</w:t>
            </w:r>
          </w:p>
        </w:tc>
        <w:tc>
          <w:tcPr>
            <w:tcW w:w="0" w:type="auto"/>
            <w:shd w:val="clear" w:color="auto" w:fill="auto"/>
            <w:vAlign w:val="center"/>
          </w:tcPr>
          <w:p w14:paraId="656C605B" w14:textId="77777777" w:rsidR="002F0133" w:rsidRPr="000B4E2C" w:rsidRDefault="002F0133" w:rsidP="008A7464">
            <w:pPr>
              <w:spacing w:line="276" w:lineRule="auto"/>
              <w:jc w:val="center"/>
              <w:rPr>
                <w:lang w:eastAsia="en-GB"/>
              </w:rPr>
            </w:pPr>
            <w:r w:rsidRPr="000B4E2C">
              <w:rPr>
                <w:lang w:eastAsia="en-GB"/>
              </w:rPr>
              <w:t>77 (72, 83) *</w:t>
            </w:r>
          </w:p>
        </w:tc>
        <w:tc>
          <w:tcPr>
            <w:tcW w:w="0" w:type="auto"/>
            <w:shd w:val="clear" w:color="auto" w:fill="auto"/>
            <w:vAlign w:val="center"/>
          </w:tcPr>
          <w:p w14:paraId="09B9710F" w14:textId="77777777" w:rsidR="002F0133" w:rsidRPr="000B4E2C" w:rsidRDefault="002F0133" w:rsidP="008A7464">
            <w:pPr>
              <w:spacing w:line="276" w:lineRule="auto"/>
              <w:jc w:val="center"/>
              <w:rPr>
                <w:lang w:eastAsia="en-GB"/>
              </w:rPr>
            </w:pPr>
            <w:r w:rsidRPr="000B4E2C">
              <w:rPr>
                <w:lang w:eastAsia="en-GB"/>
              </w:rPr>
              <w:t>101</w:t>
            </w:r>
          </w:p>
        </w:tc>
        <w:tc>
          <w:tcPr>
            <w:tcW w:w="0" w:type="auto"/>
            <w:shd w:val="clear" w:color="auto" w:fill="auto"/>
            <w:vAlign w:val="center"/>
          </w:tcPr>
          <w:p w14:paraId="2A32F271" w14:textId="77777777" w:rsidR="002F0133" w:rsidRPr="000B4E2C" w:rsidRDefault="002F0133" w:rsidP="008A7464">
            <w:pPr>
              <w:spacing w:line="276" w:lineRule="auto"/>
              <w:jc w:val="center"/>
              <w:rPr>
                <w:lang w:eastAsia="en-GB"/>
              </w:rPr>
            </w:pPr>
            <w:r w:rsidRPr="000B4E2C">
              <w:rPr>
                <w:lang w:eastAsia="en-GB"/>
              </w:rPr>
              <w:t>49</w:t>
            </w:r>
          </w:p>
        </w:tc>
        <w:tc>
          <w:tcPr>
            <w:tcW w:w="0" w:type="auto"/>
            <w:shd w:val="clear" w:color="auto" w:fill="auto"/>
            <w:vAlign w:val="center"/>
          </w:tcPr>
          <w:p w14:paraId="7F8B900B" w14:textId="77777777" w:rsidR="002F0133" w:rsidRPr="000B4E2C" w:rsidRDefault="002F0133" w:rsidP="008A7464">
            <w:pPr>
              <w:spacing w:line="276" w:lineRule="auto"/>
              <w:jc w:val="center"/>
              <w:rPr>
                <w:lang w:eastAsia="en-GB"/>
              </w:rPr>
            </w:pPr>
            <w:r w:rsidRPr="000B4E2C">
              <w:rPr>
                <w:lang w:eastAsia="en-GB"/>
              </w:rPr>
              <w:t>RIFLE</w:t>
            </w:r>
          </w:p>
        </w:tc>
        <w:tc>
          <w:tcPr>
            <w:tcW w:w="0" w:type="auto"/>
            <w:shd w:val="clear" w:color="auto" w:fill="auto"/>
          </w:tcPr>
          <w:p w14:paraId="282202A3" w14:textId="77777777" w:rsidR="002F0133" w:rsidRPr="000B4E2C" w:rsidRDefault="002F0133" w:rsidP="008A7464">
            <w:pPr>
              <w:spacing w:line="276" w:lineRule="auto"/>
              <w:jc w:val="center"/>
              <w:rPr>
                <w:lang w:eastAsia="en-GB"/>
              </w:rPr>
            </w:pPr>
            <w:r w:rsidRPr="000B4E2C">
              <w:rPr>
                <w:lang w:eastAsia="en-GB"/>
              </w:rPr>
              <w:t>Within 7 days of admission</w:t>
            </w:r>
          </w:p>
        </w:tc>
      </w:tr>
    </w:tbl>
    <w:p w14:paraId="1BFB0BA4" w14:textId="77777777" w:rsidR="002F0133" w:rsidRPr="000B4E2C" w:rsidRDefault="002F0133" w:rsidP="008A7464">
      <w:pPr>
        <w:rPr>
          <w:b/>
          <w:szCs w:val="24"/>
        </w:rPr>
      </w:pPr>
    </w:p>
    <w:p w14:paraId="560373EA" w14:textId="42250326" w:rsidR="000B4E2C" w:rsidRPr="000B4E2C" w:rsidRDefault="002F0133" w:rsidP="008A7464">
      <w:pPr>
        <w:rPr>
          <w:lang w:eastAsia="en-GB"/>
        </w:rPr>
      </w:pPr>
      <w:r w:rsidRPr="000B4E2C">
        <w:rPr>
          <w:lang w:eastAsia="en-GB"/>
        </w:rPr>
        <w:t>AKI</w:t>
      </w:r>
      <w:r w:rsidR="000B4E2C" w:rsidRPr="000B4E2C">
        <w:rPr>
          <w:color w:val="00B0F0"/>
          <w:lang w:eastAsia="en-GB"/>
        </w:rPr>
        <w:t> = </w:t>
      </w:r>
      <w:r w:rsidRPr="000B4E2C">
        <w:rPr>
          <w:lang w:eastAsia="en-GB"/>
        </w:rPr>
        <w:t>Acute Kidney Injury; NephC</w:t>
      </w:r>
      <w:r w:rsidR="000B4E2C" w:rsidRPr="000B4E2C">
        <w:rPr>
          <w:color w:val="00B0F0"/>
          <w:lang w:eastAsia="en-GB"/>
        </w:rPr>
        <w:t> = </w:t>
      </w:r>
      <w:r w:rsidRPr="000B4E2C">
        <w:rPr>
          <w:lang w:eastAsia="en-GB"/>
        </w:rPr>
        <w:t>NephroCheck test; uNGAL</w:t>
      </w:r>
      <w:r w:rsidR="000B4E2C" w:rsidRPr="000B4E2C">
        <w:rPr>
          <w:color w:val="00B0F0"/>
          <w:lang w:eastAsia="en-GB"/>
        </w:rPr>
        <w:t> = </w:t>
      </w:r>
      <w:r w:rsidRPr="000B4E2C">
        <w:rPr>
          <w:lang w:eastAsia="en-GB"/>
        </w:rPr>
        <w:t>urine NGAL, pNGAL</w:t>
      </w:r>
      <w:r w:rsidR="000B4E2C" w:rsidRPr="000B4E2C">
        <w:rPr>
          <w:color w:val="00B0F0"/>
          <w:lang w:eastAsia="en-GB"/>
        </w:rPr>
        <w:t> = </w:t>
      </w:r>
      <w:r w:rsidRPr="000B4E2C">
        <w:rPr>
          <w:lang w:eastAsia="en-GB"/>
        </w:rPr>
        <w:t>plasma NGAL; KDIGO</w:t>
      </w:r>
      <w:r w:rsidR="000B4E2C" w:rsidRPr="000B4E2C">
        <w:rPr>
          <w:color w:val="00B0F0"/>
          <w:lang w:eastAsia="en-GB"/>
        </w:rPr>
        <w:t> = </w:t>
      </w:r>
      <w:r w:rsidRPr="000B4E2C">
        <w:rPr>
          <w:lang w:eastAsia="en-GB"/>
        </w:rPr>
        <w:t>Kidney Disease: Improving Global Outcomes; AKIN</w:t>
      </w:r>
      <w:r w:rsidR="000B4E2C" w:rsidRPr="000B4E2C">
        <w:rPr>
          <w:color w:val="00B0F0"/>
          <w:lang w:eastAsia="en-GB"/>
        </w:rPr>
        <w:t> = </w:t>
      </w:r>
      <w:r w:rsidRPr="000B4E2C">
        <w:rPr>
          <w:lang w:eastAsia="en-GB"/>
        </w:rPr>
        <w:t>Acute Kidney Injury Network; RIFLE</w:t>
      </w:r>
      <w:r w:rsidR="000B4E2C" w:rsidRPr="000B4E2C">
        <w:rPr>
          <w:color w:val="00B0F0"/>
          <w:lang w:eastAsia="en-GB"/>
        </w:rPr>
        <w:t> = </w:t>
      </w:r>
      <w:r w:rsidRPr="000B4E2C">
        <w:rPr>
          <w:lang w:eastAsia="en-GB"/>
        </w:rPr>
        <w:t xml:space="preserve">Risk, Injury, Failure; Loss, End-Stage Renal Disease; </w:t>
      </w:r>
      <w:r w:rsidRPr="000B4E2C">
        <w:rPr>
          <w:bCs/>
          <w:lang w:eastAsia="en-GB"/>
        </w:rPr>
        <w:t>sCr</w:t>
      </w:r>
      <w:r w:rsidR="000B4E2C" w:rsidRPr="000B4E2C">
        <w:rPr>
          <w:color w:val="00B0F0"/>
          <w:lang w:eastAsia="en-GB"/>
        </w:rPr>
        <w:t> = </w:t>
      </w:r>
      <w:r w:rsidRPr="000B4E2C">
        <w:rPr>
          <w:lang w:eastAsia="en-GB"/>
        </w:rPr>
        <w:t>Serum creatinine; * Median (IQR);</w:t>
      </w:r>
    </w:p>
    <w:p w14:paraId="3834900F" w14:textId="6D73A15F" w:rsidR="002F0133" w:rsidRPr="000B4E2C" w:rsidRDefault="000B4E2C" w:rsidP="008A7464">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4</w:t>
      </w:r>
      <w:r w:rsidRPr="000B4E2C">
        <w:t xml:space="preserve"> </w:t>
      </w:r>
      <w:r w:rsidR="002F0133" w:rsidRPr="000B4E2C">
        <w:t>General characteristics of included studies</w:t>
      </w:r>
      <w:r w:rsidRPr="000B4E2C">
        <w:rPr>
          <w:color w:val="00B0F0"/>
        </w:rPr>
        <w:t xml:space="preserve"> – </w:t>
      </w:r>
      <w:r w:rsidR="002F0133" w:rsidRPr="000B4E2C">
        <w:t>child population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572"/>
        <w:gridCol w:w="1256"/>
        <w:gridCol w:w="1691"/>
        <w:gridCol w:w="798"/>
        <w:gridCol w:w="798"/>
        <w:gridCol w:w="798"/>
        <w:gridCol w:w="949"/>
        <w:gridCol w:w="1164"/>
      </w:tblGrid>
      <w:tr w:rsidR="002F0133" w:rsidRPr="000B4E2C" w14:paraId="4B1E21F5" w14:textId="77777777" w:rsidTr="000B4E2C">
        <w:trPr>
          <w:cantSplit/>
        </w:trPr>
        <w:tc>
          <w:tcPr>
            <w:tcW w:w="0" w:type="auto"/>
            <w:shd w:val="clear" w:color="auto" w:fill="auto"/>
            <w:hideMark/>
          </w:tcPr>
          <w:p w14:paraId="53875FC5" w14:textId="77777777" w:rsidR="002F0133" w:rsidRPr="000B4E2C" w:rsidRDefault="002F0133" w:rsidP="008A7464">
            <w:pPr>
              <w:spacing w:line="276" w:lineRule="auto"/>
              <w:jc w:val="center"/>
              <w:rPr>
                <w:b/>
                <w:bCs/>
                <w:color w:val="000000"/>
                <w:lang w:eastAsia="en-GB"/>
              </w:rPr>
            </w:pPr>
            <w:r w:rsidRPr="000B4E2C">
              <w:rPr>
                <w:b/>
                <w:bCs/>
                <w:lang w:eastAsia="en-GB"/>
              </w:rPr>
              <w:t>First author, year of publication, country, linked publications</w:t>
            </w:r>
          </w:p>
        </w:tc>
        <w:tc>
          <w:tcPr>
            <w:tcW w:w="0" w:type="auto"/>
            <w:shd w:val="clear" w:color="auto" w:fill="auto"/>
            <w:hideMark/>
          </w:tcPr>
          <w:p w14:paraId="0B71FDFC" w14:textId="77777777" w:rsidR="002F0133" w:rsidRPr="000B4E2C" w:rsidRDefault="002F0133" w:rsidP="008A7464">
            <w:pPr>
              <w:spacing w:line="276" w:lineRule="auto"/>
              <w:jc w:val="center"/>
              <w:rPr>
                <w:b/>
                <w:bCs/>
                <w:color w:val="000000"/>
                <w:lang w:eastAsia="en-GB"/>
              </w:rPr>
            </w:pPr>
            <w:r w:rsidRPr="000B4E2C">
              <w:rPr>
                <w:b/>
                <w:bCs/>
                <w:lang w:eastAsia="en-GB"/>
              </w:rPr>
              <w:t>Assay</w:t>
            </w:r>
          </w:p>
        </w:tc>
        <w:tc>
          <w:tcPr>
            <w:tcW w:w="0" w:type="auto"/>
            <w:shd w:val="clear" w:color="auto" w:fill="auto"/>
            <w:hideMark/>
          </w:tcPr>
          <w:p w14:paraId="08DC4911" w14:textId="77777777" w:rsidR="000B4E2C" w:rsidRPr="000B4E2C" w:rsidRDefault="002F0133" w:rsidP="008A7464">
            <w:pPr>
              <w:spacing w:line="276" w:lineRule="auto"/>
              <w:jc w:val="center"/>
              <w:rPr>
                <w:b/>
                <w:bCs/>
                <w:lang w:eastAsia="en-GB"/>
              </w:rPr>
            </w:pPr>
            <w:r w:rsidRPr="000B4E2C">
              <w:rPr>
                <w:b/>
                <w:bCs/>
                <w:lang w:eastAsia="en-GB"/>
              </w:rPr>
              <w:t>Population</w:t>
            </w:r>
          </w:p>
          <w:p w14:paraId="5F36504B" w14:textId="124C0158" w:rsidR="002F0133" w:rsidRPr="000B4E2C" w:rsidRDefault="002F0133" w:rsidP="008A7464">
            <w:pPr>
              <w:spacing w:line="276" w:lineRule="auto"/>
              <w:jc w:val="center"/>
              <w:rPr>
                <w:b/>
                <w:bCs/>
                <w:color w:val="000000"/>
                <w:lang w:eastAsia="en-GB"/>
              </w:rPr>
            </w:pPr>
            <w:r w:rsidRPr="000B4E2C">
              <w:rPr>
                <w:b/>
                <w:bCs/>
                <w:lang w:eastAsia="en-GB"/>
              </w:rPr>
              <w:t>(setting)</w:t>
            </w:r>
          </w:p>
        </w:tc>
        <w:tc>
          <w:tcPr>
            <w:tcW w:w="0" w:type="auto"/>
            <w:shd w:val="clear" w:color="auto" w:fill="auto"/>
            <w:hideMark/>
          </w:tcPr>
          <w:p w14:paraId="3F06E1CF" w14:textId="77777777" w:rsidR="000B4E2C" w:rsidRPr="000B4E2C" w:rsidRDefault="002F0133" w:rsidP="008A7464">
            <w:pPr>
              <w:spacing w:line="276" w:lineRule="auto"/>
              <w:jc w:val="center"/>
              <w:rPr>
                <w:b/>
                <w:bCs/>
                <w:lang w:eastAsia="en-GB"/>
              </w:rPr>
            </w:pPr>
            <w:r w:rsidRPr="000B4E2C">
              <w:rPr>
                <w:b/>
                <w:bCs/>
                <w:lang w:eastAsia="en-GB"/>
              </w:rPr>
              <w:t>Mean age</w:t>
            </w:r>
          </w:p>
          <w:p w14:paraId="129B9566" w14:textId="05EBB838" w:rsidR="002F0133" w:rsidRPr="000B4E2C" w:rsidRDefault="002F0133" w:rsidP="008A7464">
            <w:pPr>
              <w:spacing w:line="276" w:lineRule="auto"/>
              <w:jc w:val="center"/>
              <w:rPr>
                <w:b/>
                <w:bCs/>
                <w:color w:val="000000"/>
                <w:lang w:eastAsia="en-GB"/>
              </w:rPr>
            </w:pPr>
            <w:r w:rsidRPr="000B4E2C">
              <w:rPr>
                <w:b/>
                <w:bCs/>
                <w:lang w:eastAsia="en-GB"/>
              </w:rPr>
              <w:t>(range or SD)</w:t>
            </w:r>
          </w:p>
        </w:tc>
        <w:tc>
          <w:tcPr>
            <w:tcW w:w="0" w:type="auto"/>
            <w:shd w:val="clear" w:color="auto" w:fill="auto"/>
            <w:hideMark/>
          </w:tcPr>
          <w:p w14:paraId="75BF1CDA" w14:textId="77777777" w:rsidR="002F0133" w:rsidRPr="000B4E2C" w:rsidRDefault="002F0133" w:rsidP="008A7464">
            <w:pPr>
              <w:spacing w:line="276" w:lineRule="auto"/>
              <w:jc w:val="center"/>
              <w:rPr>
                <w:b/>
                <w:bCs/>
                <w:color w:val="000000"/>
                <w:lang w:eastAsia="en-GB"/>
              </w:rPr>
            </w:pPr>
            <w:r w:rsidRPr="000B4E2C">
              <w:rPr>
                <w:b/>
                <w:bCs/>
                <w:lang w:eastAsia="en-GB"/>
              </w:rPr>
              <w:t>Sample size</w:t>
            </w:r>
          </w:p>
        </w:tc>
        <w:tc>
          <w:tcPr>
            <w:tcW w:w="0" w:type="auto"/>
            <w:shd w:val="clear" w:color="auto" w:fill="auto"/>
            <w:hideMark/>
          </w:tcPr>
          <w:p w14:paraId="3FC2DD3E" w14:textId="77777777" w:rsidR="002F0133" w:rsidRPr="000B4E2C" w:rsidRDefault="002F0133" w:rsidP="008A7464">
            <w:pPr>
              <w:spacing w:line="276" w:lineRule="auto"/>
              <w:jc w:val="center"/>
              <w:rPr>
                <w:b/>
                <w:bCs/>
                <w:color w:val="000000"/>
                <w:lang w:eastAsia="en-GB"/>
              </w:rPr>
            </w:pPr>
            <w:r w:rsidRPr="000B4E2C">
              <w:rPr>
                <w:b/>
                <w:bCs/>
                <w:lang w:eastAsia="en-GB"/>
              </w:rPr>
              <w:t>AKI events</w:t>
            </w:r>
          </w:p>
        </w:tc>
        <w:tc>
          <w:tcPr>
            <w:tcW w:w="0" w:type="auto"/>
            <w:shd w:val="clear" w:color="auto" w:fill="auto"/>
            <w:hideMark/>
          </w:tcPr>
          <w:p w14:paraId="6B938933" w14:textId="77777777" w:rsidR="000B4E2C" w:rsidRPr="000B4E2C" w:rsidRDefault="002F0133" w:rsidP="008A7464">
            <w:pPr>
              <w:spacing w:line="276" w:lineRule="auto"/>
              <w:jc w:val="center"/>
              <w:rPr>
                <w:b/>
                <w:bCs/>
                <w:lang w:eastAsia="en-GB"/>
              </w:rPr>
            </w:pPr>
            <w:r w:rsidRPr="000B4E2C">
              <w:rPr>
                <w:b/>
                <w:bCs/>
                <w:lang w:eastAsia="en-GB"/>
              </w:rPr>
              <w:t>AKI</w:t>
            </w:r>
          </w:p>
          <w:p w14:paraId="0B671D4E" w14:textId="06119526" w:rsidR="002F0133" w:rsidRPr="000B4E2C" w:rsidRDefault="002F0133" w:rsidP="008A7464">
            <w:pPr>
              <w:spacing w:line="276" w:lineRule="auto"/>
              <w:jc w:val="center"/>
              <w:rPr>
                <w:b/>
                <w:bCs/>
                <w:color w:val="000000"/>
                <w:lang w:eastAsia="en-GB"/>
              </w:rPr>
            </w:pPr>
            <w:r w:rsidRPr="000B4E2C">
              <w:rPr>
                <w:b/>
                <w:bCs/>
                <w:lang w:eastAsia="en-GB"/>
              </w:rPr>
              <w:t>Definition</w:t>
            </w:r>
          </w:p>
        </w:tc>
        <w:tc>
          <w:tcPr>
            <w:tcW w:w="0" w:type="auto"/>
            <w:shd w:val="clear" w:color="auto" w:fill="auto"/>
          </w:tcPr>
          <w:p w14:paraId="0DDBFA4D" w14:textId="77777777" w:rsidR="002F0133" w:rsidRPr="000B4E2C" w:rsidRDefault="002F0133" w:rsidP="008A7464">
            <w:pPr>
              <w:spacing w:line="276" w:lineRule="auto"/>
              <w:jc w:val="center"/>
              <w:rPr>
                <w:b/>
                <w:bCs/>
                <w:lang w:eastAsia="en-GB"/>
              </w:rPr>
            </w:pPr>
            <w:r w:rsidRPr="000B4E2C">
              <w:rPr>
                <w:b/>
                <w:bCs/>
                <w:lang w:eastAsia="en-GB"/>
              </w:rPr>
              <w:t>Timeframe for AKI diagnosis</w:t>
            </w:r>
          </w:p>
        </w:tc>
      </w:tr>
      <w:tr w:rsidR="002F0133" w:rsidRPr="000B4E2C" w14:paraId="51A6D118" w14:textId="77777777" w:rsidTr="000B4E2C">
        <w:trPr>
          <w:cantSplit/>
        </w:trPr>
        <w:tc>
          <w:tcPr>
            <w:tcW w:w="0" w:type="auto"/>
            <w:shd w:val="clear" w:color="auto" w:fill="auto"/>
            <w:hideMark/>
          </w:tcPr>
          <w:p w14:paraId="5E098081" w14:textId="0B14F816" w:rsidR="002F0133" w:rsidRPr="000B4E2C" w:rsidRDefault="002F0133" w:rsidP="008A7464">
            <w:pPr>
              <w:spacing w:line="276" w:lineRule="auto"/>
              <w:rPr>
                <w:bCs/>
                <w:lang w:eastAsia="en-GB"/>
              </w:rPr>
            </w:pPr>
            <w:r w:rsidRPr="000B4E2C">
              <w:rPr>
                <w:bCs/>
                <w:lang w:eastAsia="en-GB"/>
              </w:rPr>
              <w:t>Parikh 2011</w:t>
            </w:r>
            <w:r w:rsidR="0012380C" w:rsidRPr="000B4E2C">
              <w:rPr>
                <w:bCs/>
                <w:lang w:eastAsia="en-GB"/>
              </w:rPr>
              <w:t>,</w:t>
            </w:r>
            <w:r w:rsidR="005B5026" w:rsidRPr="000B4E2C">
              <w:rPr>
                <w:bCs/>
                <w:noProof/>
                <w:vertAlign w:val="superscript"/>
                <w:lang w:eastAsia="en-GB"/>
              </w:rPr>
              <w:t>86</w:t>
            </w:r>
            <w:r w:rsidR="0012380C" w:rsidRPr="000B4E2C">
              <w:rPr>
                <w:bCs/>
                <w:lang w:eastAsia="en-GB"/>
              </w:rPr>
              <w:t xml:space="preserve"> </w:t>
            </w:r>
            <w:r w:rsidRPr="000B4E2C">
              <w:rPr>
                <w:bCs/>
                <w:lang w:eastAsia="en-GB"/>
              </w:rPr>
              <w:t>North America</w:t>
            </w:r>
          </w:p>
          <w:p w14:paraId="2D93C029" w14:textId="5EA8A581" w:rsidR="002F0133" w:rsidRPr="000B4E2C" w:rsidRDefault="002F0133" w:rsidP="002F0133">
            <w:pPr>
              <w:pStyle w:val="ListParagraph"/>
              <w:numPr>
                <w:ilvl w:val="0"/>
                <w:numId w:val="36"/>
              </w:numPr>
              <w:spacing w:line="276" w:lineRule="auto"/>
              <w:rPr>
                <w:bCs/>
                <w:color w:val="000000"/>
                <w:lang w:eastAsia="en-GB"/>
              </w:rPr>
            </w:pPr>
            <w:r w:rsidRPr="000B4E2C">
              <w:rPr>
                <w:bCs/>
                <w:lang w:eastAsia="en-GB"/>
              </w:rPr>
              <w:t>Zappitelli 2015</w:t>
            </w:r>
            <w:r w:rsidR="005B5026" w:rsidRPr="000B4E2C">
              <w:rPr>
                <w:bCs/>
                <w:noProof/>
                <w:vertAlign w:val="superscript"/>
                <w:lang w:eastAsia="en-GB"/>
              </w:rPr>
              <w:t>87</w:t>
            </w:r>
          </w:p>
        </w:tc>
        <w:tc>
          <w:tcPr>
            <w:tcW w:w="0" w:type="auto"/>
            <w:shd w:val="clear" w:color="auto" w:fill="auto"/>
            <w:hideMark/>
          </w:tcPr>
          <w:p w14:paraId="183FC2EF" w14:textId="77777777" w:rsidR="002F0133" w:rsidRPr="000B4E2C" w:rsidRDefault="002F0133" w:rsidP="008A7464">
            <w:pPr>
              <w:spacing w:line="276" w:lineRule="auto"/>
              <w:jc w:val="center"/>
              <w:rPr>
                <w:bCs/>
                <w:color w:val="000000"/>
                <w:lang w:eastAsia="en-GB"/>
              </w:rPr>
            </w:pPr>
            <w:r w:rsidRPr="000B4E2C">
              <w:rPr>
                <w:bCs/>
                <w:lang w:eastAsia="en-GB"/>
              </w:rPr>
              <w:t>uNGAL, ARCHITECT, Abbott</w:t>
            </w:r>
          </w:p>
        </w:tc>
        <w:tc>
          <w:tcPr>
            <w:tcW w:w="0" w:type="auto"/>
            <w:shd w:val="clear" w:color="auto" w:fill="auto"/>
            <w:hideMark/>
          </w:tcPr>
          <w:p w14:paraId="1B3E4538" w14:textId="77777777" w:rsidR="000B4E2C" w:rsidRPr="000B4E2C" w:rsidRDefault="002F0133" w:rsidP="008A7464">
            <w:pPr>
              <w:spacing w:line="276" w:lineRule="auto"/>
              <w:jc w:val="center"/>
              <w:rPr>
                <w:bCs/>
                <w:lang w:eastAsia="en-GB"/>
              </w:rPr>
            </w:pPr>
            <w:r w:rsidRPr="000B4E2C">
              <w:rPr>
                <w:bCs/>
                <w:lang w:eastAsia="en-GB"/>
              </w:rPr>
              <w:t>Cardiac Surgery</w:t>
            </w:r>
          </w:p>
          <w:p w14:paraId="095D445D" w14:textId="160364CA" w:rsidR="002F0133" w:rsidRPr="000B4E2C" w:rsidRDefault="002F0133" w:rsidP="008A7464">
            <w:pPr>
              <w:spacing w:line="276" w:lineRule="auto"/>
              <w:jc w:val="center"/>
              <w:rPr>
                <w:bCs/>
                <w:color w:val="000000"/>
                <w:lang w:eastAsia="en-GB"/>
              </w:rPr>
            </w:pPr>
            <w:r w:rsidRPr="000B4E2C">
              <w:rPr>
                <w:bCs/>
                <w:lang w:eastAsia="en-GB"/>
              </w:rPr>
              <w:t>(congenital cardiac lesions)</w:t>
            </w:r>
          </w:p>
        </w:tc>
        <w:tc>
          <w:tcPr>
            <w:tcW w:w="0" w:type="auto"/>
            <w:shd w:val="clear" w:color="auto" w:fill="auto"/>
            <w:hideMark/>
          </w:tcPr>
          <w:p w14:paraId="6C9320C2" w14:textId="77777777" w:rsidR="000B4E2C" w:rsidRPr="000B4E2C" w:rsidRDefault="002F0133" w:rsidP="008A7464">
            <w:pPr>
              <w:spacing w:line="276" w:lineRule="auto"/>
              <w:jc w:val="center"/>
              <w:rPr>
                <w:bCs/>
                <w:lang w:eastAsia="en-GB"/>
              </w:rPr>
            </w:pPr>
            <w:r w:rsidRPr="000B4E2C">
              <w:rPr>
                <w:bCs/>
                <w:lang w:eastAsia="en-GB"/>
              </w:rPr>
              <w:t>4 years</w:t>
            </w:r>
          </w:p>
          <w:p w14:paraId="5ACBC6D8" w14:textId="3EF232C9" w:rsidR="002F0133" w:rsidRPr="000B4E2C" w:rsidRDefault="002F0133" w:rsidP="008A7464">
            <w:pPr>
              <w:spacing w:line="276" w:lineRule="auto"/>
              <w:jc w:val="center"/>
              <w:rPr>
                <w:bCs/>
                <w:color w:val="000000"/>
                <w:lang w:eastAsia="en-GB"/>
              </w:rPr>
            </w:pPr>
            <w:r w:rsidRPr="000B4E2C">
              <w:rPr>
                <w:bCs/>
                <w:lang w:eastAsia="en-GB"/>
              </w:rPr>
              <w:t>(5)</w:t>
            </w:r>
          </w:p>
        </w:tc>
        <w:tc>
          <w:tcPr>
            <w:tcW w:w="0" w:type="auto"/>
            <w:shd w:val="clear" w:color="auto" w:fill="auto"/>
            <w:hideMark/>
          </w:tcPr>
          <w:p w14:paraId="56983BD0" w14:textId="77777777" w:rsidR="002F0133" w:rsidRPr="000B4E2C" w:rsidRDefault="002F0133" w:rsidP="008A7464">
            <w:pPr>
              <w:spacing w:line="276" w:lineRule="auto"/>
              <w:jc w:val="center"/>
              <w:rPr>
                <w:bCs/>
                <w:color w:val="000000"/>
                <w:lang w:eastAsia="en-GB"/>
              </w:rPr>
            </w:pPr>
            <w:r w:rsidRPr="000B4E2C">
              <w:rPr>
                <w:bCs/>
                <w:lang w:eastAsia="en-GB"/>
              </w:rPr>
              <w:t>311</w:t>
            </w:r>
          </w:p>
        </w:tc>
        <w:tc>
          <w:tcPr>
            <w:tcW w:w="0" w:type="auto"/>
            <w:shd w:val="clear" w:color="auto" w:fill="auto"/>
            <w:hideMark/>
          </w:tcPr>
          <w:p w14:paraId="293B7142" w14:textId="77777777" w:rsidR="002F0133" w:rsidRPr="000B4E2C" w:rsidRDefault="002F0133" w:rsidP="008A7464">
            <w:pPr>
              <w:spacing w:line="276" w:lineRule="auto"/>
              <w:jc w:val="center"/>
              <w:rPr>
                <w:bCs/>
                <w:color w:val="000000"/>
                <w:lang w:eastAsia="en-GB"/>
              </w:rPr>
            </w:pPr>
            <w:r w:rsidRPr="000B4E2C">
              <w:rPr>
                <w:bCs/>
                <w:lang w:eastAsia="en-GB"/>
              </w:rPr>
              <w:t>53</w:t>
            </w:r>
          </w:p>
        </w:tc>
        <w:tc>
          <w:tcPr>
            <w:tcW w:w="0" w:type="auto"/>
            <w:shd w:val="clear" w:color="auto" w:fill="auto"/>
            <w:hideMark/>
          </w:tcPr>
          <w:p w14:paraId="6874AA85" w14:textId="77777777" w:rsidR="002F0133" w:rsidRPr="000B4E2C" w:rsidRDefault="002F0133" w:rsidP="008A7464">
            <w:pPr>
              <w:spacing w:line="276" w:lineRule="auto"/>
              <w:jc w:val="center"/>
              <w:rPr>
                <w:bCs/>
                <w:color w:val="000000"/>
                <w:lang w:eastAsia="en-GB"/>
              </w:rPr>
            </w:pPr>
            <w:r w:rsidRPr="000B4E2C">
              <w:rPr>
                <w:bCs/>
                <w:lang w:eastAsia="en-GB"/>
              </w:rPr>
              <w:t xml:space="preserve">Acute dialysis, or doubling of sCr from baseline </w:t>
            </w:r>
          </w:p>
        </w:tc>
        <w:tc>
          <w:tcPr>
            <w:tcW w:w="0" w:type="auto"/>
            <w:shd w:val="clear" w:color="auto" w:fill="auto"/>
          </w:tcPr>
          <w:p w14:paraId="5EBE9D56" w14:textId="77777777" w:rsidR="002F0133" w:rsidRPr="000B4E2C" w:rsidRDefault="002F0133" w:rsidP="008A7464">
            <w:pPr>
              <w:spacing w:line="276" w:lineRule="auto"/>
              <w:jc w:val="center"/>
              <w:rPr>
                <w:bCs/>
                <w:lang w:eastAsia="en-GB"/>
              </w:rPr>
            </w:pPr>
            <w:r w:rsidRPr="000B4E2C">
              <w:rPr>
                <w:bCs/>
                <w:lang w:eastAsia="en-GB"/>
              </w:rPr>
              <w:t>During hospital stay</w:t>
            </w:r>
          </w:p>
        </w:tc>
      </w:tr>
      <w:tr w:rsidR="002F0133" w:rsidRPr="000B4E2C" w14:paraId="423825D1" w14:textId="77777777" w:rsidTr="000B4E2C">
        <w:trPr>
          <w:cantSplit/>
        </w:trPr>
        <w:tc>
          <w:tcPr>
            <w:tcW w:w="0" w:type="auto"/>
            <w:shd w:val="clear" w:color="auto" w:fill="auto"/>
            <w:hideMark/>
          </w:tcPr>
          <w:p w14:paraId="07B0724B" w14:textId="6FDF16BB" w:rsidR="002F0133" w:rsidRPr="000B4E2C" w:rsidRDefault="002F0133" w:rsidP="008A7464">
            <w:pPr>
              <w:spacing w:line="276" w:lineRule="auto"/>
              <w:rPr>
                <w:bCs/>
                <w:color w:val="000000"/>
                <w:lang w:eastAsia="en-GB"/>
              </w:rPr>
            </w:pPr>
            <w:r w:rsidRPr="000B4E2C">
              <w:rPr>
                <w:bCs/>
                <w:lang w:eastAsia="en-GB"/>
              </w:rPr>
              <w:t>Bojan 2014</w:t>
            </w:r>
            <w:r w:rsidR="0012380C" w:rsidRPr="000B4E2C">
              <w:rPr>
                <w:bCs/>
                <w:lang w:eastAsia="en-GB"/>
              </w:rPr>
              <w:t>,</w:t>
            </w:r>
            <w:r w:rsidR="005B5026" w:rsidRPr="000B4E2C">
              <w:rPr>
                <w:bCs/>
                <w:noProof/>
                <w:vertAlign w:val="superscript"/>
                <w:lang w:eastAsia="en-GB"/>
              </w:rPr>
              <w:t>88</w:t>
            </w:r>
            <w:r w:rsidRPr="000B4E2C">
              <w:rPr>
                <w:bCs/>
                <w:lang w:eastAsia="en-GB"/>
              </w:rPr>
              <w:t xml:space="preserve"> France</w:t>
            </w:r>
          </w:p>
        </w:tc>
        <w:tc>
          <w:tcPr>
            <w:tcW w:w="0" w:type="auto"/>
            <w:shd w:val="clear" w:color="auto" w:fill="auto"/>
            <w:hideMark/>
          </w:tcPr>
          <w:p w14:paraId="171D624B" w14:textId="77777777" w:rsidR="002F0133" w:rsidRPr="000B4E2C" w:rsidRDefault="002F0133" w:rsidP="008A7464">
            <w:pPr>
              <w:spacing w:line="276" w:lineRule="auto"/>
              <w:jc w:val="center"/>
              <w:rPr>
                <w:bCs/>
                <w:color w:val="000000"/>
                <w:lang w:eastAsia="en-GB"/>
              </w:rPr>
            </w:pPr>
            <w:r w:rsidRPr="000B4E2C">
              <w:rPr>
                <w:bCs/>
                <w:lang w:eastAsia="en-GB"/>
              </w:rPr>
              <w:t>uNGAL, ARCHITECT, Abbott</w:t>
            </w:r>
          </w:p>
        </w:tc>
        <w:tc>
          <w:tcPr>
            <w:tcW w:w="0" w:type="auto"/>
            <w:shd w:val="clear" w:color="auto" w:fill="auto"/>
            <w:hideMark/>
          </w:tcPr>
          <w:p w14:paraId="7487C2D1" w14:textId="77777777" w:rsidR="000B4E2C" w:rsidRPr="000B4E2C" w:rsidRDefault="002F0133" w:rsidP="008A7464">
            <w:pPr>
              <w:spacing w:line="276" w:lineRule="auto"/>
              <w:jc w:val="center"/>
              <w:rPr>
                <w:bCs/>
                <w:lang w:eastAsia="en-GB"/>
              </w:rPr>
            </w:pPr>
            <w:r w:rsidRPr="000B4E2C">
              <w:rPr>
                <w:bCs/>
                <w:lang w:eastAsia="en-GB"/>
              </w:rPr>
              <w:t>Cardiac Surgery</w:t>
            </w:r>
          </w:p>
          <w:p w14:paraId="76AA2415" w14:textId="635CA737" w:rsidR="002F0133" w:rsidRPr="000B4E2C" w:rsidRDefault="002F0133" w:rsidP="008A7464">
            <w:pPr>
              <w:spacing w:line="276" w:lineRule="auto"/>
              <w:jc w:val="center"/>
              <w:rPr>
                <w:bCs/>
                <w:color w:val="000000"/>
                <w:lang w:eastAsia="en-GB"/>
              </w:rPr>
            </w:pPr>
            <w:r w:rsidRPr="000B4E2C">
              <w:rPr>
                <w:bCs/>
                <w:lang w:eastAsia="en-GB"/>
              </w:rPr>
              <w:t>(CPB for surgical correction or palliation of congenital heart lesions)</w:t>
            </w:r>
          </w:p>
        </w:tc>
        <w:tc>
          <w:tcPr>
            <w:tcW w:w="0" w:type="auto"/>
            <w:shd w:val="clear" w:color="auto" w:fill="auto"/>
            <w:hideMark/>
          </w:tcPr>
          <w:p w14:paraId="78372DB1" w14:textId="573D2FCD" w:rsidR="002F0133" w:rsidRPr="000B4E2C" w:rsidRDefault="000B4E2C" w:rsidP="008A7464">
            <w:pPr>
              <w:spacing w:line="276" w:lineRule="auto"/>
              <w:jc w:val="center"/>
              <w:rPr>
                <w:bCs/>
                <w:color w:val="000000"/>
                <w:lang w:eastAsia="en-GB"/>
              </w:rPr>
            </w:pPr>
            <w:r w:rsidRPr="000B4E2C">
              <w:rPr>
                <w:bCs/>
                <w:color w:val="00B0F0"/>
                <w:lang w:eastAsia="en-GB"/>
              </w:rPr>
              <w:t>&lt;</w:t>
            </w:r>
            <w:r w:rsidRPr="000B4E2C">
              <w:rPr>
                <w:bCs/>
                <w:color w:val="00B0F0"/>
                <w:lang w:eastAsia="en-GB"/>
              </w:rPr>
              <w:t> </w:t>
            </w:r>
            <w:r w:rsidRPr="000B4E2C">
              <w:rPr>
                <w:bCs/>
                <w:color w:val="00B0F0"/>
                <w:lang w:eastAsia="en-GB"/>
              </w:rPr>
              <w:t>1</w:t>
            </w:r>
            <w:r w:rsidR="002F0133" w:rsidRPr="000B4E2C">
              <w:rPr>
                <w:bCs/>
                <w:lang w:eastAsia="en-GB"/>
              </w:rPr>
              <w:t xml:space="preserve"> year</w:t>
            </w:r>
          </w:p>
        </w:tc>
        <w:tc>
          <w:tcPr>
            <w:tcW w:w="0" w:type="auto"/>
            <w:shd w:val="clear" w:color="auto" w:fill="auto"/>
            <w:hideMark/>
          </w:tcPr>
          <w:p w14:paraId="77E0C713" w14:textId="77777777" w:rsidR="002F0133" w:rsidRPr="000B4E2C" w:rsidRDefault="002F0133" w:rsidP="008A7464">
            <w:pPr>
              <w:spacing w:line="276" w:lineRule="auto"/>
              <w:jc w:val="center"/>
              <w:rPr>
                <w:bCs/>
                <w:color w:val="000000"/>
                <w:lang w:eastAsia="en-GB"/>
              </w:rPr>
            </w:pPr>
            <w:r w:rsidRPr="000B4E2C">
              <w:rPr>
                <w:bCs/>
                <w:lang w:eastAsia="en-GB"/>
              </w:rPr>
              <w:t>100</w:t>
            </w:r>
          </w:p>
        </w:tc>
        <w:tc>
          <w:tcPr>
            <w:tcW w:w="0" w:type="auto"/>
            <w:shd w:val="clear" w:color="auto" w:fill="auto"/>
            <w:hideMark/>
          </w:tcPr>
          <w:p w14:paraId="054213C6" w14:textId="77777777" w:rsidR="002F0133" w:rsidRPr="000B4E2C" w:rsidRDefault="002F0133" w:rsidP="008A7464">
            <w:pPr>
              <w:spacing w:line="276" w:lineRule="auto"/>
              <w:jc w:val="center"/>
              <w:rPr>
                <w:bCs/>
                <w:color w:val="000000"/>
                <w:lang w:eastAsia="en-GB"/>
              </w:rPr>
            </w:pPr>
            <w:r w:rsidRPr="000B4E2C">
              <w:rPr>
                <w:bCs/>
                <w:lang w:eastAsia="en-GB"/>
              </w:rPr>
              <w:t>NR</w:t>
            </w:r>
          </w:p>
        </w:tc>
        <w:tc>
          <w:tcPr>
            <w:tcW w:w="0" w:type="auto"/>
            <w:shd w:val="clear" w:color="auto" w:fill="auto"/>
            <w:hideMark/>
          </w:tcPr>
          <w:p w14:paraId="52FD4DBF" w14:textId="77777777" w:rsidR="002F0133" w:rsidRPr="000B4E2C" w:rsidRDefault="002F0133" w:rsidP="008A7464">
            <w:pPr>
              <w:spacing w:line="276" w:lineRule="auto"/>
              <w:jc w:val="center"/>
              <w:rPr>
                <w:bCs/>
                <w:color w:val="000000"/>
                <w:lang w:eastAsia="en-GB"/>
              </w:rPr>
            </w:pPr>
            <w:r w:rsidRPr="000B4E2C">
              <w:rPr>
                <w:bCs/>
                <w:lang w:eastAsia="en-GB"/>
              </w:rPr>
              <w:t>AKIN</w:t>
            </w:r>
          </w:p>
        </w:tc>
        <w:tc>
          <w:tcPr>
            <w:tcW w:w="0" w:type="auto"/>
            <w:shd w:val="clear" w:color="auto" w:fill="auto"/>
          </w:tcPr>
          <w:p w14:paraId="5A9C88C7" w14:textId="77777777" w:rsidR="002F0133" w:rsidRPr="000B4E2C" w:rsidRDefault="002F0133" w:rsidP="008A7464">
            <w:pPr>
              <w:spacing w:line="276" w:lineRule="auto"/>
              <w:jc w:val="center"/>
              <w:rPr>
                <w:bCs/>
                <w:lang w:eastAsia="en-GB"/>
              </w:rPr>
            </w:pPr>
            <w:r w:rsidRPr="000B4E2C">
              <w:rPr>
                <w:bCs/>
                <w:lang w:eastAsia="en-GB"/>
              </w:rPr>
              <w:t>NR</w:t>
            </w:r>
          </w:p>
        </w:tc>
      </w:tr>
      <w:tr w:rsidR="002F0133" w:rsidRPr="000B4E2C" w14:paraId="71558D27" w14:textId="77777777" w:rsidTr="000B4E2C">
        <w:trPr>
          <w:cantSplit/>
        </w:trPr>
        <w:tc>
          <w:tcPr>
            <w:tcW w:w="0" w:type="auto"/>
            <w:shd w:val="clear" w:color="auto" w:fill="auto"/>
            <w:hideMark/>
          </w:tcPr>
          <w:p w14:paraId="7F0F8F80" w14:textId="2E905488" w:rsidR="002F0133" w:rsidRPr="000B4E2C" w:rsidRDefault="002F0133" w:rsidP="008A7464">
            <w:pPr>
              <w:spacing w:line="276" w:lineRule="auto"/>
              <w:rPr>
                <w:bCs/>
                <w:color w:val="000000"/>
                <w:lang w:eastAsia="en-GB"/>
              </w:rPr>
            </w:pPr>
            <w:r w:rsidRPr="000B4E2C">
              <w:rPr>
                <w:bCs/>
                <w:lang w:eastAsia="en-GB"/>
              </w:rPr>
              <w:t>Bennett 2013</w:t>
            </w:r>
            <w:r w:rsidR="0012380C" w:rsidRPr="000B4E2C">
              <w:rPr>
                <w:bCs/>
                <w:lang w:eastAsia="en-GB"/>
              </w:rPr>
              <w:t>,</w:t>
            </w:r>
            <w:r w:rsidR="005B5026" w:rsidRPr="000B4E2C">
              <w:rPr>
                <w:bCs/>
                <w:noProof/>
                <w:vertAlign w:val="superscript"/>
                <w:lang w:eastAsia="en-GB"/>
              </w:rPr>
              <w:t>89</w:t>
            </w:r>
            <w:r w:rsidRPr="000B4E2C">
              <w:rPr>
                <w:bCs/>
                <w:lang w:eastAsia="en-GB"/>
              </w:rPr>
              <w:t xml:space="preserve"> USA</w:t>
            </w:r>
          </w:p>
        </w:tc>
        <w:tc>
          <w:tcPr>
            <w:tcW w:w="0" w:type="auto"/>
            <w:shd w:val="clear" w:color="auto" w:fill="auto"/>
            <w:hideMark/>
          </w:tcPr>
          <w:p w14:paraId="130113C5" w14:textId="77777777" w:rsidR="002F0133" w:rsidRPr="000B4E2C" w:rsidRDefault="002F0133" w:rsidP="008A7464">
            <w:pPr>
              <w:spacing w:line="276" w:lineRule="auto"/>
              <w:jc w:val="center"/>
              <w:rPr>
                <w:bCs/>
                <w:color w:val="000000"/>
                <w:lang w:eastAsia="en-GB"/>
              </w:rPr>
            </w:pPr>
            <w:r w:rsidRPr="000B4E2C">
              <w:rPr>
                <w:bCs/>
                <w:lang w:eastAsia="en-GB"/>
              </w:rPr>
              <w:t>uNGAL, ARCHITECT, Abbott</w:t>
            </w:r>
          </w:p>
        </w:tc>
        <w:tc>
          <w:tcPr>
            <w:tcW w:w="0" w:type="auto"/>
            <w:shd w:val="clear" w:color="auto" w:fill="auto"/>
            <w:hideMark/>
          </w:tcPr>
          <w:p w14:paraId="03EF8DE9" w14:textId="77777777" w:rsidR="000B4E2C" w:rsidRPr="000B4E2C" w:rsidRDefault="002F0133" w:rsidP="008A7464">
            <w:pPr>
              <w:spacing w:line="276" w:lineRule="auto"/>
              <w:jc w:val="center"/>
              <w:rPr>
                <w:bCs/>
                <w:lang w:eastAsia="en-GB"/>
              </w:rPr>
            </w:pPr>
            <w:r w:rsidRPr="000B4E2C">
              <w:rPr>
                <w:bCs/>
                <w:lang w:eastAsia="en-GB"/>
              </w:rPr>
              <w:t>Cardiac Surgery</w:t>
            </w:r>
          </w:p>
          <w:p w14:paraId="21BFD769" w14:textId="1749C3F7" w:rsidR="002F0133" w:rsidRPr="000B4E2C" w:rsidRDefault="002F0133" w:rsidP="008A7464">
            <w:pPr>
              <w:spacing w:line="276" w:lineRule="auto"/>
              <w:jc w:val="center"/>
              <w:rPr>
                <w:bCs/>
                <w:color w:val="000000"/>
                <w:lang w:eastAsia="en-GB"/>
              </w:rPr>
            </w:pPr>
            <w:r w:rsidRPr="000B4E2C">
              <w:rPr>
                <w:bCs/>
                <w:lang w:eastAsia="en-GB"/>
              </w:rPr>
              <w:t>(CPB for surgical correction or palliation of congenital heart lesions)</w:t>
            </w:r>
          </w:p>
        </w:tc>
        <w:tc>
          <w:tcPr>
            <w:tcW w:w="0" w:type="auto"/>
            <w:shd w:val="clear" w:color="auto" w:fill="auto"/>
            <w:hideMark/>
          </w:tcPr>
          <w:p w14:paraId="57B7A84A" w14:textId="77777777" w:rsidR="002F0133" w:rsidRPr="000B4E2C" w:rsidRDefault="002F0133" w:rsidP="008A7464">
            <w:pPr>
              <w:spacing w:line="276" w:lineRule="auto"/>
              <w:jc w:val="center"/>
              <w:rPr>
                <w:bCs/>
                <w:color w:val="000000"/>
                <w:lang w:eastAsia="en-GB"/>
              </w:rPr>
            </w:pPr>
            <w:r w:rsidRPr="000B4E2C">
              <w:rPr>
                <w:bCs/>
                <w:lang w:eastAsia="en-GB"/>
              </w:rPr>
              <w:t>4 years</w:t>
            </w:r>
          </w:p>
        </w:tc>
        <w:tc>
          <w:tcPr>
            <w:tcW w:w="0" w:type="auto"/>
            <w:shd w:val="clear" w:color="auto" w:fill="auto"/>
            <w:hideMark/>
          </w:tcPr>
          <w:p w14:paraId="3BC01439" w14:textId="77777777" w:rsidR="002F0133" w:rsidRPr="000B4E2C" w:rsidRDefault="002F0133" w:rsidP="008A7464">
            <w:pPr>
              <w:spacing w:line="276" w:lineRule="auto"/>
              <w:jc w:val="center"/>
              <w:rPr>
                <w:bCs/>
                <w:color w:val="000000"/>
                <w:lang w:eastAsia="en-GB"/>
              </w:rPr>
            </w:pPr>
            <w:r w:rsidRPr="000B4E2C">
              <w:rPr>
                <w:bCs/>
                <w:lang w:eastAsia="en-GB"/>
              </w:rPr>
              <w:t>196</w:t>
            </w:r>
          </w:p>
        </w:tc>
        <w:tc>
          <w:tcPr>
            <w:tcW w:w="0" w:type="auto"/>
            <w:shd w:val="clear" w:color="auto" w:fill="auto"/>
            <w:hideMark/>
          </w:tcPr>
          <w:p w14:paraId="52D4936A" w14:textId="77777777" w:rsidR="002F0133" w:rsidRPr="000B4E2C" w:rsidRDefault="002F0133" w:rsidP="008A7464">
            <w:pPr>
              <w:spacing w:line="276" w:lineRule="auto"/>
              <w:jc w:val="center"/>
              <w:rPr>
                <w:bCs/>
                <w:color w:val="000000"/>
                <w:lang w:eastAsia="en-GB"/>
              </w:rPr>
            </w:pPr>
            <w:r w:rsidRPr="000B4E2C">
              <w:rPr>
                <w:bCs/>
                <w:lang w:eastAsia="en-GB"/>
              </w:rPr>
              <w:t>99</w:t>
            </w:r>
          </w:p>
        </w:tc>
        <w:tc>
          <w:tcPr>
            <w:tcW w:w="0" w:type="auto"/>
            <w:shd w:val="clear" w:color="auto" w:fill="auto"/>
            <w:hideMark/>
          </w:tcPr>
          <w:p w14:paraId="40283900" w14:textId="77777777" w:rsidR="002F0133" w:rsidRPr="000B4E2C" w:rsidRDefault="002F0133" w:rsidP="008A7464">
            <w:pPr>
              <w:spacing w:line="276" w:lineRule="auto"/>
              <w:jc w:val="center"/>
              <w:rPr>
                <w:bCs/>
                <w:color w:val="000000"/>
                <w:lang w:eastAsia="en-GB"/>
              </w:rPr>
            </w:pPr>
            <w:r w:rsidRPr="000B4E2C">
              <w:rPr>
                <w:bCs/>
                <w:lang w:eastAsia="en-GB"/>
              </w:rPr>
              <w:t>50% or greater increase in sCr from baseline within 72 hours</w:t>
            </w:r>
          </w:p>
        </w:tc>
        <w:tc>
          <w:tcPr>
            <w:tcW w:w="0" w:type="auto"/>
            <w:shd w:val="clear" w:color="auto" w:fill="auto"/>
          </w:tcPr>
          <w:p w14:paraId="621F99A0" w14:textId="77777777" w:rsidR="002F0133" w:rsidRPr="000B4E2C" w:rsidRDefault="002F0133" w:rsidP="008A7464">
            <w:pPr>
              <w:spacing w:line="276" w:lineRule="auto"/>
              <w:jc w:val="center"/>
              <w:rPr>
                <w:bCs/>
                <w:lang w:eastAsia="en-GB"/>
              </w:rPr>
            </w:pPr>
            <w:r w:rsidRPr="000B4E2C">
              <w:rPr>
                <w:bCs/>
                <w:lang w:eastAsia="en-GB"/>
              </w:rPr>
              <w:t>NR</w:t>
            </w:r>
          </w:p>
        </w:tc>
      </w:tr>
      <w:tr w:rsidR="002F0133" w:rsidRPr="000B4E2C" w14:paraId="390DC291" w14:textId="77777777" w:rsidTr="000B4E2C">
        <w:trPr>
          <w:cantSplit/>
        </w:trPr>
        <w:tc>
          <w:tcPr>
            <w:tcW w:w="0" w:type="auto"/>
            <w:shd w:val="clear" w:color="auto" w:fill="auto"/>
            <w:hideMark/>
          </w:tcPr>
          <w:p w14:paraId="7A14FEEF" w14:textId="15D40FCC" w:rsidR="002F0133" w:rsidRPr="000B4E2C" w:rsidRDefault="002F0133" w:rsidP="008A7464">
            <w:pPr>
              <w:spacing w:line="276" w:lineRule="auto"/>
              <w:rPr>
                <w:bCs/>
                <w:color w:val="000000"/>
                <w:lang w:eastAsia="en-GB"/>
              </w:rPr>
            </w:pPr>
            <w:r w:rsidRPr="000B4E2C">
              <w:rPr>
                <w:bCs/>
                <w:lang w:eastAsia="en-GB"/>
              </w:rPr>
              <w:lastRenderedPageBreak/>
              <w:t>Cantinotti 2012</w:t>
            </w:r>
            <w:r w:rsidR="0012380C" w:rsidRPr="000B4E2C">
              <w:rPr>
                <w:bCs/>
                <w:lang w:eastAsia="en-GB"/>
              </w:rPr>
              <w:t>,</w:t>
            </w:r>
            <w:r w:rsidR="005B5026" w:rsidRPr="000B4E2C">
              <w:rPr>
                <w:bCs/>
                <w:noProof/>
                <w:vertAlign w:val="superscript"/>
                <w:lang w:eastAsia="en-GB"/>
              </w:rPr>
              <w:t>90</w:t>
            </w:r>
            <w:r w:rsidR="0012380C" w:rsidRPr="000B4E2C">
              <w:rPr>
                <w:bCs/>
                <w:lang w:eastAsia="en-GB"/>
              </w:rPr>
              <w:t xml:space="preserve"> </w:t>
            </w:r>
            <w:r w:rsidRPr="000B4E2C">
              <w:rPr>
                <w:bCs/>
                <w:lang w:eastAsia="en-GB"/>
              </w:rPr>
              <w:t>Italy</w:t>
            </w:r>
          </w:p>
        </w:tc>
        <w:tc>
          <w:tcPr>
            <w:tcW w:w="0" w:type="auto"/>
            <w:shd w:val="clear" w:color="auto" w:fill="auto"/>
            <w:hideMark/>
          </w:tcPr>
          <w:p w14:paraId="12851B13" w14:textId="77777777" w:rsidR="002F0133" w:rsidRPr="000B4E2C" w:rsidRDefault="002F0133" w:rsidP="008A7464">
            <w:pPr>
              <w:spacing w:line="276" w:lineRule="auto"/>
              <w:jc w:val="center"/>
              <w:rPr>
                <w:bCs/>
                <w:color w:val="000000"/>
                <w:lang w:eastAsia="en-GB"/>
              </w:rPr>
            </w:pPr>
            <w:r w:rsidRPr="000B4E2C">
              <w:rPr>
                <w:bCs/>
                <w:lang w:eastAsia="en-GB"/>
              </w:rPr>
              <w:t>uNGAL, ARCHITECT, Abbott</w:t>
            </w:r>
          </w:p>
        </w:tc>
        <w:tc>
          <w:tcPr>
            <w:tcW w:w="0" w:type="auto"/>
            <w:shd w:val="clear" w:color="auto" w:fill="auto"/>
            <w:hideMark/>
          </w:tcPr>
          <w:p w14:paraId="3259ADED" w14:textId="77777777" w:rsidR="000B4E2C" w:rsidRPr="000B4E2C" w:rsidRDefault="002F0133" w:rsidP="008A7464">
            <w:pPr>
              <w:spacing w:line="276" w:lineRule="auto"/>
              <w:jc w:val="center"/>
              <w:rPr>
                <w:bCs/>
                <w:lang w:eastAsia="en-GB"/>
              </w:rPr>
            </w:pPr>
            <w:r w:rsidRPr="000B4E2C">
              <w:rPr>
                <w:bCs/>
                <w:lang w:eastAsia="en-GB"/>
              </w:rPr>
              <w:t>Cardiac Surgery</w:t>
            </w:r>
          </w:p>
          <w:p w14:paraId="366A0256" w14:textId="1823D972" w:rsidR="002F0133" w:rsidRPr="000B4E2C" w:rsidRDefault="002F0133" w:rsidP="008A7464">
            <w:pPr>
              <w:spacing w:line="276" w:lineRule="auto"/>
              <w:jc w:val="center"/>
              <w:rPr>
                <w:bCs/>
                <w:color w:val="000000"/>
                <w:lang w:eastAsia="en-GB"/>
              </w:rPr>
            </w:pPr>
            <w:r w:rsidRPr="000B4E2C">
              <w:rPr>
                <w:bCs/>
                <w:lang w:eastAsia="en-GB"/>
              </w:rPr>
              <w:t>(cardiac surgery for correction</w:t>
            </w:r>
            <w:r w:rsidR="000B4E2C" w:rsidRPr="000B4E2C">
              <w:rPr>
                <w:bCs/>
                <w:color w:val="00B0F0"/>
                <w:lang w:eastAsia="en-GB"/>
              </w:rPr>
              <w:t>/</w:t>
            </w:r>
            <w:r w:rsidRPr="000B4E2C">
              <w:rPr>
                <w:bCs/>
                <w:lang w:eastAsia="en-GB"/>
              </w:rPr>
              <w:t>palliation of congenital heart defects)</w:t>
            </w:r>
          </w:p>
        </w:tc>
        <w:tc>
          <w:tcPr>
            <w:tcW w:w="0" w:type="auto"/>
            <w:shd w:val="clear" w:color="auto" w:fill="auto"/>
            <w:hideMark/>
          </w:tcPr>
          <w:p w14:paraId="77BB5D7D" w14:textId="77777777" w:rsidR="000B4E2C" w:rsidRPr="000B4E2C" w:rsidRDefault="002F0133" w:rsidP="008A7464">
            <w:pPr>
              <w:spacing w:line="276" w:lineRule="auto"/>
              <w:jc w:val="center"/>
              <w:rPr>
                <w:bCs/>
                <w:lang w:eastAsia="en-GB"/>
              </w:rPr>
            </w:pPr>
            <w:r w:rsidRPr="000B4E2C">
              <w:rPr>
                <w:bCs/>
                <w:lang w:eastAsia="en-GB"/>
              </w:rPr>
              <w:t>6 months</w:t>
            </w:r>
          </w:p>
          <w:p w14:paraId="40D9AA8B" w14:textId="357229D3" w:rsidR="002F0133" w:rsidRPr="000B4E2C" w:rsidRDefault="002F0133" w:rsidP="008A7464">
            <w:pPr>
              <w:spacing w:line="276" w:lineRule="auto"/>
              <w:jc w:val="center"/>
              <w:rPr>
                <w:bCs/>
                <w:color w:val="000000"/>
                <w:lang w:eastAsia="en-GB"/>
              </w:rPr>
            </w:pPr>
            <w:r w:rsidRPr="000B4E2C">
              <w:rPr>
                <w:bCs/>
                <w:lang w:eastAsia="en-GB"/>
              </w:rPr>
              <w:t xml:space="preserve">(1, 49) </w:t>
            </w:r>
          </w:p>
        </w:tc>
        <w:tc>
          <w:tcPr>
            <w:tcW w:w="0" w:type="auto"/>
            <w:shd w:val="clear" w:color="auto" w:fill="auto"/>
            <w:hideMark/>
          </w:tcPr>
          <w:p w14:paraId="79705ECC" w14:textId="77777777" w:rsidR="002F0133" w:rsidRPr="000B4E2C" w:rsidRDefault="002F0133" w:rsidP="008A7464">
            <w:pPr>
              <w:spacing w:line="276" w:lineRule="auto"/>
              <w:jc w:val="center"/>
              <w:rPr>
                <w:bCs/>
                <w:color w:val="000000"/>
                <w:lang w:eastAsia="en-GB"/>
              </w:rPr>
            </w:pPr>
            <w:r w:rsidRPr="000B4E2C">
              <w:rPr>
                <w:bCs/>
                <w:lang w:eastAsia="en-GB"/>
              </w:rPr>
              <w:t>135</w:t>
            </w:r>
          </w:p>
        </w:tc>
        <w:tc>
          <w:tcPr>
            <w:tcW w:w="0" w:type="auto"/>
            <w:shd w:val="clear" w:color="auto" w:fill="auto"/>
            <w:hideMark/>
          </w:tcPr>
          <w:p w14:paraId="66F1C32D" w14:textId="77777777" w:rsidR="002F0133" w:rsidRPr="000B4E2C" w:rsidRDefault="002F0133" w:rsidP="008A7464">
            <w:pPr>
              <w:spacing w:line="276" w:lineRule="auto"/>
              <w:jc w:val="center"/>
              <w:rPr>
                <w:bCs/>
                <w:color w:val="000000"/>
                <w:lang w:eastAsia="en-GB"/>
              </w:rPr>
            </w:pPr>
            <w:r w:rsidRPr="000B4E2C">
              <w:rPr>
                <w:bCs/>
                <w:lang w:eastAsia="en-GB"/>
              </w:rPr>
              <w:t>52</w:t>
            </w:r>
          </w:p>
        </w:tc>
        <w:tc>
          <w:tcPr>
            <w:tcW w:w="0" w:type="auto"/>
            <w:shd w:val="clear" w:color="auto" w:fill="auto"/>
            <w:hideMark/>
          </w:tcPr>
          <w:p w14:paraId="63D973FB" w14:textId="77777777" w:rsidR="002F0133" w:rsidRPr="000B4E2C" w:rsidRDefault="002F0133" w:rsidP="008A7464">
            <w:pPr>
              <w:spacing w:line="276" w:lineRule="auto"/>
              <w:jc w:val="center"/>
              <w:rPr>
                <w:bCs/>
                <w:color w:val="000000"/>
                <w:lang w:eastAsia="en-GB"/>
              </w:rPr>
            </w:pPr>
            <w:r w:rsidRPr="000B4E2C">
              <w:rPr>
                <w:bCs/>
                <w:lang w:eastAsia="en-GB"/>
              </w:rPr>
              <w:t>pRIFLE</w:t>
            </w:r>
          </w:p>
        </w:tc>
        <w:tc>
          <w:tcPr>
            <w:tcW w:w="0" w:type="auto"/>
            <w:shd w:val="clear" w:color="auto" w:fill="auto"/>
          </w:tcPr>
          <w:p w14:paraId="28434DD6" w14:textId="77777777" w:rsidR="002F0133" w:rsidRPr="000B4E2C" w:rsidRDefault="002F0133" w:rsidP="008A7464">
            <w:pPr>
              <w:spacing w:line="276" w:lineRule="auto"/>
              <w:jc w:val="center"/>
              <w:rPr>
                <w:bCs/>
                <w:lang w:eastAsia="en-GB"/>
              </w:rPr>
            </w:pPr>
            <w:r w:rsidRPr="000B4E2C">
              <w:rPr>
                <w:bCs/>
                <w:lang w:eastAsia="en-GB"/>
              </w:rPr>
              <w:t>NR</w:t>
            </w:r>
          </w:p>
        </w:tc>
      </w:tr>
      <w:tr w:rsidR="002F0133" w:rsidRPr="000B4E2C" w14:paraId="04D4E5DA" w14:textId="77777777" w:rsidTr="000B4E2C">
        <w:trPr>
          <w:cantSplit/>
        </w:trPr>
        <w:tc>
          <w:tcPr>
            <w:tcW w:w="0" w:type="auto"/>
            <w:shd w:val="clear" w:color="auto" w:fill="auto"/>
            <w:hideMark/>
          </w:tcPr>
          <w:p w14:paraId="5FEDF483" w14:textId="31A9F675" w:rsidR="002F0133" w:rsidRPr="000B4E2C" w:rsidRDefault="002F0133" w:rsidP="008A7464">
            <w:pPr>
              <w:spacing w:line="276" w:lineRule="auto"/>
              <w:rPr>
                <w:bCs/>
                <w:color w:val="000000"/>
                <w:lang w:eastAsia="en-GB"/>
              </w:rPr>
            </w:pPr>
            <w:r w:rsidRPr="000B4E2C">
              <w:rPr>
                <w:bCs/>
                <w:lang w:eastAsia="en-GB"/>
              </w:rPr>
              <w:t>Alcaraz 2014</w:t>
            </w:r>
            <w:r w:rsidR="0012380C" w:rsidRPr="000B4E2C">
              <w:rPr>
                <w:bCs/>
                <w:lang w:eastAsia="en-GB"/>
              </w:rPr>
              <w:t>,</w:t>
            </w:r>
            <w:r w:rsidR="005B5026" w:rsidRPr="000B4E2C">
              <w:rPr>
                <w:bCs/>
                <w:noProof/>
                <w:vertAlign w:val="superscript"/>
                <w:lang w:eastAsia="en-GB"/>
              </w:rPr>
              <w:t>91</w:t>
            </w:r>
            <w:r w:rsidR="0012380C" w:rsidRPr="000B4E2C">
              <w:rPr>
                <w:bCs/>
                <w:lang w:eastAsia="en-GB"/>
              </w:rPr>
              <w:t xml:space="preserve"> </w:t>
            </w:r>
            <w:r w:rsidRPr="000B4E2C">
              <w:rPr>
                <w:bCs/>
                <w:lang w:eastAsia="en-GB"/>
              </w:rPr>
              <w:t>Spain</w:t>
            </w:r>
          </w:p>
        </w:tc>
        <w:tc>
          <w:tcPr>
            <w:tcW w:w="0" w:type="auto"/>
            <w:shd w:val="clear" w:color="auto" w:fill="auto"/>
            <w:hideMark/>
          </w:tcPr>
          <w:p w14:paraId="46CA3C80" w14:textId="77777777" w:rsidR="002F0133" w:rsidRPr="000B4E2C" w:rsidRDefault="002F0133" w:rsidP="008A7464">
            <w:pPr>
              <w:spacing w:line="276" w:lineRule="auto"/>
              <w:jc w:val="center"/>
              <w:rPr>
                <w:bCs/>
                <w:color w:val="000000"/>
                <w:lang w:eastAsia="en-GB"/>
              </w:rPr>
            </w:pPr>
            <w:r w:rsidRPr="000B4E2C">
              <w:rPr>
                <w:bCs/>
                <w:lang w:eastAsia="en-GB"/>
              </w:rPr>
              <w:t>uNGAL, ARCHITECT, Abbott</w:t>
            </w:r>
          </w:p>
        </w:tc>
        <w:tc>
          <w:tcPr>
            <w:tcW w:w="0" w:type="auto"/>
            <w:shd w:val="clear" w:color="auto" w:fill="auto"/>
            <w:hideMark/>
          </w:tcPr>
          <w:p w14:paraId="62F8FAF4" w14:textId="77777777" w:rsidR="000B4E2C" w:rsidRPr="000B4E2C" w:rsidRDefault="002F0133" w:rsidP="008A7464">
            <w:pPr>
              <w:spacing w:line="276" w:lineRule="auto"/>
              <w:jc w:val="center"/>
              <w:rPr>
                <w:bCs/>
                <w:lang w:eastAsia="en-GB"/>
              </w:rPr>
            </w:pPr>
            <w:r w:rsidRPr="000B4E2C">
              <w:rPr>
                <w:bCs/>
                <w:lang w:eastAsia="en-GB"/>
              </w:rPr>
              <w:t>Cardiac Surgery</w:t>
            </w:r>
          </w:p>
          <w:p w14:paraId="5F85EDD1" w14:textId="69FE7C71" w:rsidR="002F0133" w:rsidRPr="000B4E2C" w:rsidRDefault="002F0133" w:rsidP="008A7464">
            <w:pPr>
              <w:spacing w:line="276" w:lineRule="auto"/>
              <w:jc w:val="center"/>
              <w:rPr>
                <w:bCs/>
                <w:color w:val="000000"/>
                <w:lang w:eastAsia="en-GB"/>
              </w:rPr>
            </w:pPr>
            <w:r w:rsidRPr="000B4E2C">
              <w:rPr>
                <w:bCs/>
                <w:lang w:eastAsia="en-GB"/>
              </w:rPr>
              <w:t>(cardiac surgery, mainly CPB, for congenital cardiac lesions)</w:t>
            </w:r>
          </w:p>
        </w:tc>
        <w:tc>
          <w:tcPr>
            <w:tcW w:w="0" w:type="auto"/>
            <w:shd w:val="clear" w:color="auto" w:fill="auto"/>
            <w:hideMark/>
          </w:tcPr>
          <w:p w14:paraId="5E362858" w14:textId="77777777" w:rsidR="000B4E2C" w:rsidRPr="000B4E2C" w:rsidRDefault="002F0133" w:rsidP="008A7464">
            <w:pPr>
              <w:spacing w:line="276" w:lineRule="auto"/>
              <w:jc w:val="center"/>
              <w:rPr>
                <w:bCs/>
                <w:lang w:eastAsia="en-GB"/>
              </w:rPr>
            </w:pPr>
            <w:r w:rsidRPr="000B4E2C">
              <w:rPr>
                <w:bCs/>
                <w:lang w:eastAsia="en-GB"/>
              </w:rPr>
              <w:t>25 months</w:t>
            </w:r>
          </w:p>
          <w:p w14:paraId="3E83A4AC" w14:textId="5D3542FE" w:rsidR="002F0133" w:rsidRPr="000B4E2C" w:rsidRDefault="002F0133" w:rsidP="008A7464">
            <w:pPr>
              <w:spacing w:line="276" w:lineRule="auto"/>
              <w:jc w:val="center"/>
              <w:rPr>
                <w:bCs/>
                <w:color w:val="000000"/>
                <w:lang w:eastAsia="en-GB"/>
              </w:rPr>
            </w:pPr>
            <w:r w:rsidRPr="000B4E2C">
              <w:rPr>
                <w:bCs/>
                <w:lang w:eastAsia="en-GB"/>
              </w:rPr>
              <w:t>(6.0</w:t>
            </w:r>
            <w:r w:rsidR="000B4E2C" w:rsidRPr="000B4E2C">
              <w:rPr>
                <w:bCs/>
                <w:color w:val="00B0F0"/>
                <w:lang w:eastAsia="en-GB"/>
              </w:rPr>
              <w:t>–</w:t>
            </w:r>
            <w:r w:rsidR="000B4E2C" w:rsidRPr="000B4E2C">
              <w:rPr>
                <w:bCs/>
                <w:color w:val="00B0F0"/>
                <w:lang w:eastAsia="en-GB"/>
              </w:rPr>
              <w:t>7</w:t>
            </w:r>
            <w:r w:rsidRPr="000B4E2C">
              <w:rPr>
                <w:bCs/>
                <w:lang w:eastAsia="en-GB"/>
              </w:rPr>
              <w:t xml:space="preserve">2.0)** </w:t>
            </w:r>
          </w:p>
        </w:tc>
        <w:tc>
          <w:tcPr>
            <w:tcW w:w="0" w:type="auto"/>
            <w:shd w:val="clear" w:color="auto" w:fill="auto"/>
            <w:hideMark/>
          </w:tcPr>
          <w:p w14:paraId="5B513D8A" w14:textId="77777777" w:rsidR="002F0133" w:rsidRPr="000B4E2C" w:rsidRDefault="002F0133" w:rsidP="008A7464">
            <w:pPr>
              <w:spacing w:line="276" w:lineRule="auto"/>
              <w:jc w:val="center"/>
              <w:rPr>
                <w:bCs/>
                <w:color w:val="000000"/>
                <w:lang w:eastAsia="en-GB"/>
              </w:rPr>
            </w:pPr>
            <w:r w:rsidRPr="000B4E2C">
              <w:rPr>
                <w:bCs/>
                <w:lang w:eastAsia="en-GB"/>
              </w:rPr>
              <w:t>106</w:t>
            </w:r>
          </w:p>
        </w:tc>
        <w:tc>
          <w:tcPr>
            <w:tcW w:w="0" w:type="auto"/>
            <w:shd w:val="clear" w:color="auto" w:fill="auto"/>
            <w:hideMark/>
          </w:tcPr>
          <w:p w14:paraId="56B2B5EB" w14:textId="77777777" w:rsidR="002F0133" w:rsidRPr="000B4E2C" w:rsidRDefault="002F0133" w:rsidP="008A7464">
            <w:pPr>
              <w:spacing w:line="276" w:lineRule="auto"/>
              <w:jc w:val="center"/>
              <w:rPr>
                <w:bCs/>
                <w:color w:val="000000"/>
                <w:lang w:eastAsia="en-GB"/>
              </w:rPr>
            </w:pPr>
            <w:r w:rsidRPr="000B4E2C">
              <w:rPr>
                <w:bCs/>
                <w:lang w:eastAsia="en-GB"/>
              </w:rPr>
              <w:t>36</w:t>
            </w:r>
          </w:p>
        </w:tc>
        <w:tc>
          <w:tcPr>
            <w:tcW w:w="0" w:type="auto"/>
            <w:shd w:val="clear" w:color="auto" w:fill="auto"/>
            <w:hideMark/>
          </w:tcPr>
          <w:p w14:paraId="20F9C998" w14:textId="77777777" w:rsidR="002F0133" w:rsidRPr="000B4E2C" w:rsidRDefault="002F0133" w:rsidP="008A7464">
            <w:pPr>
              <w:spacing w:line="276" w:lineRule="auto"/>
              <w:jc w:val="center"/>
              <w:rPr>
                <w:bCs/>
                <w:color w:val="000000"/>
                <w:lang w:eastAsia="en-GB"/>
              </w:rPr>
            </w:pPr>
            <w:r w:rsidRPr="000B4E2C">
              <w:rPr>
                <w:bCs/>
                <w:lang w:eastAsia="en-GB"/>
              </w:rPr>
              <w:t>pRIFLE</w:t>
            </w:r>
          </w:p>
        </w:tc>
        <w:tc>
          <w:tcPr>
            <w:tcW w:w="0" w:type="auto"/>
            <w:shd w:val="clear" w:color="auto" w:fill="auto"/>
          </w:tcPr>
          <w:p w14:paraId="29B7A22A" w14:textId="7DA96B70" w:rsidR="002F0133" w:rsidRPr="000B4E2C" w:rsidRDefault="002F0133" w:rsidP="008A7464">
            <w:pPr>
              <w:spacing w:line="276" w:lineRule="auto"/>
              <w:jc w:val="center"/>
              <w:rPr>
                <w:bCs/>
                <w:lang w:eastAsia="en-GB"/>
              </w:rPr>
            </w:pPr>
            <w:r w:rsidRPr="000B4E2C">
              <w:rPr>
                <w:bCs/>
                <w:lang w:eastAsia="en-GB"/>
              </w:rPr>
              <w:t xml:space="preserve">Early AKI defined as renal dysfunction in the first postoperative 72 hours. Late AKI defined as occurring after the </w:t>
            </w:r>
            <w:r w:rsidR="000B4E2C" w:rsidRPr="000B4E2C">
              <w:rPr>
                <w:bCs/>
                <w:color w:val="00B0F0"/>
                <w:lang w:eastAsia="en-GB"/>
              </w:rPr>
              <w:t>4th</w:t>
            </w:r>
            <w:r w:rsidRPr="000B4E2C">
              <w:rPr>
                <w:bCs/>
                <w:lang w:eastAsia="en-GB"/>
              </w:rPr>
              <w:t xml:space="preserve"> postoperative day</w:t>
            </w:r>
          </w:p>
        </w:tc>
      </w:tr>
      <w:tr w:rsidR="002F0133" w:rsidRPr="000B4E2C" w14:paraId="3D20315B" w14:textId="77777777" w:rsidTr="000B4E2C">
        <w:trPr>
          <w:cantSplit/>
        </w:trPr>
        <w:tc>
          <w:tcPr>
            <w:tcW w:w="0" w:type="auto"/>
            <w:shd w:val="clear" w:color="auto" w:fill="auto"/>
          </w:tcPr>
          <w:p w14:paraId="76827F55" w14:textId="2ADDF4AE" w:rsidR="002F0133" w:rsidRPr="000B4E2C" w:rsidRDefault="002F0133" w:rsidP="008A7464">
            <w:pPr>
              <w:spacing w:line="276" w:lineRule="auto"/>
              <w:rPr>
                <w:bCs/>
                <w:color w:val="000000"/>
                <w:lang w:eastAsia="en-GB"/>
              </w:rPr>
            </w:pPr>
            <w:r w:rsidRPr="000B4E2C">
              <w:rPr>
                <w:bCs/>
                <w:lang w:eastAsia="en-GB"/>
              </w:rPr>
              <w:t>Seitz 2013</w:t>
            </w:r>
            <w:r w:rsidR="0012380C" w:rsidRPr="000B4E2C">
              <w:rPr>
                <w:bCs/>
                <w:lang w:eastAsia="en-GB"/>
              </w:rPr>
              <w:t>,</w:t>
            </w:r>
            <w:r w:rsidR="005B5026" w:rsidRPr="000B4E2C">
              <w:rPr>
                <w:bCs/>
                <w:noProof/>
                <w:vertAlign w:val="superscript"/>
                <w:lang w:eastAsia="en-GB"/>
              </w:rPr>
              <w:t>92</w:t>
            </w:r>
            <w:r w:rsidR="001C4BC3" w:rsidRPr="000B4E2C">
              <w:rPr>
                <w:bCs/>
                <w:lang w:eastAsia="en-GB"/>
              </w:rPr>
              <w:t xml:space="preserve"> ‡</w:t>
            </w:r>
            <w:r w:rsidRPr="000B4E2C">
              <w:rPr>
                <w:bCs/>
                <w:lang w:eastAsia="en-GB"/>
              </w:rPr>
              <w:t xml:space="preserve"> NR</w:t>
            </w:r>
          </w:p>
        </w:tc>
        <w:tc>
          <w:tcPr>
            <w:tcW w:w="0" w:type="auto"/>
            <w:shd w:val="clear" w:color="auto" w:fill="auto"/>
          </w:tcPr>
          <w:p w14:paraId="075BE75A" w14:textId="77777777" w:rsidR="002F0133" w:rsidRPr="000B4E2C" w:rsidRDefault="002F0133" w:rsidP="008A7464">
            <w:pPr>
              <w:spacing w:line="276" w:lineRule="auto"/>
              <w:jc w:val="center"/>
              <w:rPr>
                <w:bCs/>
                <w:color w:val="000000"/>
                <w:lang w:eastAsia="en-GB"/>
              </w:rPr>
            </w:pPr>
            <w:r w:rsidRPr="000B4E2C">
              <w:rPr>
                <w:bCs/>
                <w:lang w:eastAsia="en-GB"/>
              </w:rPr>
              <w:t>uNGAL, ARCHITECT, Abbott</w:t>
            </w:r>
          </w:p>
        </w:tc>
        <w:tc>
          <w:tcPr>
            <w:tcW w:w="0" w:type="auto"/>
            <w:shd w:val="clear" w:color="auto" w:fill="auto"/>
          </w:tcPr>
          <w:p w14:paraId="20CD384A" w14:textId="77777777" w:rsidR="000B4E2C" w:rsidRPr="000B4E2C" w:rsidRDefault="002F0133" w:rsidP="008A7464">
            <w:pPr>
              <w:spacing w:line="276" w:lineRule="auto"/>
              <w:jc w:val="center"/>
              <w:rPr>
                <w:bCs/>
                <w:lang w:eastAsia="en-GB"/>
              </w:rPr>
            </w:pPr>
            <w:r w:rsidRPr="000B4E2C">
              <w:rPr>
                <w:bCs/>
                <w:lang w:eastAsia="en-GB"/>
              </w:rPr>
              <w:t>Cardiac Surgery</w:t>
            </w:r>
          </w:p>
          <w:p w14:paraId="52C01DC1" w14:textId="5EB6AB0F" w:rsidR="002F0133" w:rsidRPr="000B4E2C" w:rsidRDefault="002F0133" w:rsidP="008A7464">
            <w:pPr>
              <w:spacing w:line="276" w:lineRule="auto"/>
              <w:jc w:val="center"/>
              <w:rPr>
                <w:bCs/>
                <w:color w:val="000000"/>
                <w:lang w:eastAsia="en-GB"/>
              </w:rPr>
            </w:pPr>
            <w:r w:rsidRPr="000B4E2C">
              <w:rPr>
                <w:bCs/>
                <w:lang w:eastAsia="en-GB"/>
              </w:rPr>
              <w:t>(CPB for surgical correction of congenital heart disease)</w:t>
            </w:r>
          </w:p>
        </w:tc>
        <w:tc>
          <w:tcPr>
            <w:tcW w:w="0" w:type="auto"/>
            <w:shd w:val="clear" w:color="auto" w:fill="auto"/>
          </w:tcPr>
          <w:p w14:paraId="0ABA60FB" w14:textId="77777777" w:rsidR="000B4E2C" w:rsidRPr="000B4E2C" w:rsidRDefault="002F0133" w:rsidP="008A7464">
            <w:pPr>
              <w:spacing w:line="276" w:lineRule="auto"/>
              <w:jc w:val="center"/>
              <w:rPr>
                <w:bCs/>
                <w:lang w:eastAsia="en-GB"/>
              </w:rPr>
            </w:pPr>
            <w:r w:rsidRPr="000B4E2C">
              <w:rPr>
                <w:bCs/>
                <w:lang w:eastAsia="en-GB"/>
              </w:rPr>
              <w:t>0 years</w:t>
            </w:r>
          </w:p>
          <w:p w14:paraId="21960D61" w14:textId="4D68A4C7" w:rsidR="002F0133" w:rsidRPr="000B4E2C" w:rsidRDefault="002F0133" w:rsidP="008A7464">
            <w:pPr>
              <w:spacing w:line="276" w:lineRule="auto"/>
              <w:jc w:val="center"/>
              <w:rPr>
                <w:bCs/>
                <w:color w:val="000000"/>
                <w:lang w:eastAsia="en-GB"/>
              </w:rPr>
            </w:pPr>
            <w:r w:rsidRPr="000B4E2C">
              <w:rPr>
                <w:bCs/>
                <w:lang w:eastAsia="en-GB"/>
              </w:rPr>
              <w:t>(0</w:t>
            </w:r>
            <w:r w:rsidR="000B4E2C" w:rsidRPr="000B4E2C">
              <w:rPr>
                <w:bCs/>
                <w:color w:val="00B0F0"/>
                <w:lang w:eastAsia="en-GB"/>
              </w:rPr>
              <w:t>–</w:t>
            </w:r>
            <w:r w:rsidR="000B4E2C" w:rsidRPr="000B4E2C">
              <w:rPr>
                <w:bCs/>
                <w:color w:val="00B0F0"/>
                <w:lang w:eastAsia="en-GB"/>
              </w:rPr>
              <w:t>8</w:t>
            </w:r>
            <w:r w:rsidRPr="000B4E2C">
              <w:rPr>
                <w:bCs/>
                <w:lang w:eastAsia="en-GB"/>
              </w:rPr>
              <w:t xml:space="preserve">)* </w:t>
            </w:r>
          </w:p>
        </w:tc>
        <w:tc>
          <w:tcPr>
            <w:tcW w:w="0" w:type="auto"/>
            <w:shd w:val="clear" w:color="auto" w:fill="auto"/>
          </w:tcPr>
          <w:p w14:paraId="148C0228" w14:textId="77777777" w:rsidR="002F0133" w:rsidRPr="000B4E2C" w:rsidRDefault="002F0133" w:rsidP="008A7464">
            <w:pPr>
              <w:spacing w:line="276" w:lineRule="auto"/>
              <w:jc w:val="center"/>
              <w:rPr>
                <w:bCs/>
                <w:color w:val="000000"/>
                <w:lang w:eastAsia="en-GB"/>
              </w:rPr>
            </w:pPr>
            <w:r w:rsidRPr="000B4E2C">
              <w:rPr>
                <w:bCs/>
                <w:lang w:eastAsia="en-GB"/>
              </w:rPr>
              <w:t>139</w:t>
            </w:r>
          </w:p>
        </w:tc>
        <w:tc>
          <w:tcPr>
            <w:tcW w:w="0" w:type="auto"/>
            <w:shd w:val="clear" w:color="auto" w:fill="auto"/>
          </w:tcPr>
          <w:p w14:paraId="5A3B69AF" w14:textId="77777777" w:rsidR="002F0133" w:rsidRPr="000B4E2C" w:rsidRDefault="002F0133" w:rsidP="008A7464">
            <w:pPr>
              <w:spacing w:line="276" w:lineRule="auto"/>
              <w:jc w:val="center"/>
              <w:rPr>
                <w:bCs/>
                <w:color w:val="000000"/>
                <w:lang w:eastAsia="en-GB"/>
              </w:rPr>
            </w:pPr>
            <w:r w:rsidRPr="000B4E2C">
              <w:rPr>
                <w:bCs/>
                <w:lang w:eastAsia="en-GB"/>
              </w:rPr>
              <w:t>76</w:t>
            </w:r>
          </w:p>
        </w:tc>
        <w:tc>
          <w:tcPr>
            <w:tcW w:w="0" w:type="auto"/>
            <w:shd w:val="clear" w:color="auto" w:fill="auto"/>
          </w:tcPr>
          <w:p w14:paraId="34523E69" w14:textId="77777777" w:rsidR="002F0133" w:rsidRPr="000B4E2C" w:rsidRDefault="002F0133" w:rsidP="008A7464">
            <w:pPr>
              <w:spacing w:line="276" w:lineRule="auto"/>
              <w:jc w:val="center"/>
              <w:rPr>
                <w:bCs/>
                <w:color w:val="000000"/>
                <w:lang w:eastAsia="en-GB"/>
              </w:rPr>
            </w:pPr>
            <w:r w:rsidRPr="000B4E2C">
              <w:rPr>
                <w:bCs/>
                <w:lang w:eastAsia="en-GB"/>
              </w:rPr>
              <w:t>pRIFLE</w:t>
            </w:r>
          </w:p>
        </w:tc>
        <w:tc>
          <w:tcPr>
            <w:tcW w:w="0" w:type="auto"/>
            <w:shd w:val="clear" w:color="auto" w:fill="auto"/>
          </w:tcPr>
          <w:p w14:paraId="523101D5" w14:textId="77777777" w:rsidR="002F0133" w:rsidRPr="000B4E2C" w:rsidRDefault="002F0133" w:rsidP="008A7464">
            <w:pPr>
              <w:spacing w:line="276" w:lineRule="auto"/>
              <w:jc w:val="center"/>
              <w:rPr>
                <w:bCs/>
                <w:lang w:eastAsia="en-GB"/>
              </w:rPr>
            </w:pPr>
            <w:r w:rsidRPr="000B4E2C">
              <w:rPr>
                <w:bCs/>
                <w:lang w:eastAsia="en-GB"/>
              </w:rPr>
              <w:t>NR</w:t>
            </w:r>
          </w:p>
        </w:tc>
      </w:tr>
      <w:tr w:rsidR="002F0133" w:rsidRPr="000B4E2C" w14:paraId="174B1789" w14:textId="77777777" w:rsidTr="000B4E2C">
        <w:trPr>
          <w:cantSplit/>
        </w:trPr>
        <w:tc>
          <w:tcPr>
            <w:tcW w:w="0" w:type="auto"/>
            <w:shd w:val="clear" w:color="auto" w:fill="auto"/>
          </w:tcPr>
          <w:p w14:paraId="171235E5" w14:textId="1AA27EBD" w:rsidR="002F0133" w:rsidRPr="000B4E2C" w:rsidRDefault="002F0133" w:rsidP="008A7464">
            <w:pPr>
              <w:spacing w:line="276" w:lineRule="auto"/>
              <w:rPr>
                <w:bCs/>
                <w:color w:val="000000"/>
                <w:lang w:eastAsia="en-GB"/>
              </w:rPr>
            </w:pPr>
            <w:r w:rsidRPr="000B4E2C">
              <w:rPr>
                <w:bCs/>
                <w:lang w:eastAsia="en-GB"/>
              </w:rPr>
              <w:t>Zwiers 2015</w:t>
            </w:r>
            <w:r w:rsidR="0012380C" w:rsidRPr="000B4E2C">
              <w:rPr>
                <w:bCs/>
                <w:lang w:eastAsia="en-GB"/>
              </w:rPr>
              <w:t>,</w:t>
            </w:r>
            <w:r w:rsidR="005B5026" w:rsidRPr="000B4E2C">
              <w:rPr>
                <w:bCs/>
                <w:noProof/>
                <w:vertAlign w:val="superscript"/>
                <w:lang w:eastAsia="en-GB"/>
              </w:rPr>
              <w:t>93</w:t>
            </w:r>
            <w:r w:rsidRPr="000B4E2C">
              <w:rPr>
                <w:bCs/>
                <w:lang w:eastAsia="en-GB"/>
              </w:rPr>
              <w:t xml:space="preserve"> Netherlands</w:t>
            </w:r>
          </w:p>
        </w:tc>
        <w:tc>
          <w:tcPr>
            <w:tcW w:w="0" w:type="auto"/>
            <w:shd w:val="clear" w:color="auto" w:fill="auto"/>
          </w:tcPr>
          <w:p w14:paraId="30AA50C2" w14:textId="77777777" w:rsidR="002F0133" w:rsidRPr="000B4E2C" w:rsidRDefault="002F0133" w:rsidP="008A7464">
            <w:pPr>
              <w:spacing w:line="276" w:lineRule="auto"/>
              <w:jc w:val="center"/>
              <w:rPr>
                <w:bCs/>
                <w:color w:val="000000"/>
                <w:lang w:eastAsia="en-GB"/>
              </w:rPr>
            </w:pPr>
            <w:r w:rsidRPr="000B4E2C">
              <w:rPr>
                <w:bCs/>
                <w:lang w:eastAsia="en-GB"/>
              </w:rPr>
              <w:t>uNGAL, ARCHITECT, Abbott</w:t>
            </w:r>
          </w:p>
        </w:tc>
        <w:tc>
          <w:tcPr>
            <w:tcW w:w="0" w:type="auto"/>
            <w:shd w:val="clear" w:color="auto" w:fill="auto"/>
          </w:tcPr>
          <w:p w14:paraId="10E8EFA8" w14:textId="5A23C089" w:rsidR="002F0133" w:rsidRPr="000B4E2C" w:rsidRDefault="002F0133" w:rsidP="008A7464">
            <w:pPr>
              <w:spacing w:line="276" w:lineRule="auto"/>
              <w:jc w:val="center"/>
              <w:rPr>
                <w:bCs/>
                <w:lang w:eastAsia="en-GB"/>
              </w:rPr>
            </w:pPr>
            <w:r w:rsidRPr="000B4E2C">
              <w:rPr>
                <w:bCs/>
                <w:lang w:eastAsia="en-GB"/>
              </w:rPr>
              <w:t>Critical care</w:t>
            </w:r>
            <w:r w:rsidR="000B4E2C" w:rsidRPr="000B4E2C">
              <w:rPr>
                <w:bCs/>
                <w:color w:val="00B0F0"/>
                <w:lang w:eastAsia="en-GB"/>
              </w:rPr>
              <w:t xml:space="preserve"> – </w:t>
            </w:r>
            <w:r w:rsidRPr="000B4E2C">
              <w:rPr>
                <w:bCs/>
                <w:lang w:eastAsia="en-GB"/>
              </w:rPr>
              <w:t>mixed population</w:t>
            </w:r>
          </w:p>
          <w:p w14:paraId="533EB6F4" w14:textId="77777777" w:rsidR="002F0133" w:rsidRPr="000B4E2C" w:rsidRDefault="002F0133" w:rsidP="008A7464">
            <w:pPr>
              <w:spacing w:line="276" w:lineRule="auto"/>
              <w:jc w:val="center"/>
              <w:rPr>
                <w:bCs/>
                <w:color w:val="000000"/>
                <w:lang w:eastAsia="en-GB"/>
              </w:rPr>
            </w:pPr>
            <w:r w:rsidRPr="000B4E2C">
              <w:rPr>
                <w:bCs/>
                <w:lang w:eastAsia="en-GB"/>
              </w:rPr>
              <w:t>(ICU/ITU)</w:t>
            </w:r>
          </w:p>
        </w:tc>
        <w:tc>
          <w:tcPr>
            <w:tcW w:w="0" w:type="auto"/>
            <w:shd w:val="clear" w:color="auto" w:fill="auto"/>
          </w:tcPr>
          <w:p w14:paraId="17C7E8FC" w14:textId="77777777" w:rsidR="000B4E2C" w:rsidRPr="000B4E2C" w:rsidRDefault="002F0133" w:rsidP="008A7464">
            <w:pPr>
              <w:spacing w:line="276" w:lineRule="auto"/>
              <w:jc w:val="center"/>
              <w:rPr>
                <w:bCs/>
                <w:lang w:eastAsia="en-GB"/>
              </w:rPr>
            </w:pPr>
            <w:r w:rsidRPr="000B4E2C">
              <w:rPr>
                <w:bCs/>
                <w:lang w:eastAsia="en-GB"/>
              </w:rPr>
              <w:t>27 days</w:t>
            </w:r>
          </w:p>
          <w:p w14:paraId="453B7EEA" w14:textId="2B27251F" w:rsidR="002F0133" w:rsidRPr="000B4E2C" w:rsidRDefault="002F0133" w:rsidP="008A7464">
            <w:pPr>
              <w:spacing w:line="276" w:lineRule="auto"/>
              <w:jc w:val="center"/>
              <w:rPr>
                <w:bCs/>
                <w:color w:val="000000"/>
                <w:lang w:eastAsia="en-GB"/>
              </w:rPr>
            </w:pPr>
            <w:r w:rsidRPr="000B4E2C">
              <w:rPr>
                <w:bCs/>
                <w:lang w:eastAsia="en-GB"/>
              </w:rPr>
              <w:t xml:space="preserve">(1, 85)* </w:t>
            </w:r>
          </w:p>
        </w:tc>
        <w:tc>
          <w:tcPr>
            <w:tcW w:w="0" w:type="auto"/>
            <w:shd w:val="clear" w:color="auto" w:fill="auto"/>
          </w:tcPr>
          <w:p w14:paraId="1680B678" w14:textId="77777777" w:rsidR="002F0133" w:rsidRPr="000B4E2C" w:rsidRDefault="002F0133" w:rsidP="008A7464">
            <w:pPr>
              <w:spacing w:line="276" w:lineRule="auto"/>
              <w:jc w:val="center"/>
              <w:rPr>
                <w:bCs/>
                <w:color w:val="000000"/>
                <w:lang w:eastAsia="en-GB"/>
              </w:rPr>
            </w:pPr>
            <w:r w:rsidRPr="000B4E2C">
              <w:rPr>
                <w:bCs/>
                <w:lang w:eastAsia="en-GB"/>
              </w:rPr>
              <w:t>100</w:t>
            </w:r>
          </w:p>
        </w:tc>
        <w:tc>
          <w:tcPr>
            <w:tcW w:w="0" w:type="auto"/>
            <w:shd w:val="clear" w:color="auto" w:fill="auto"/>
          </w:tcPr>
          <w:p w14:paraId="62E4DCCD" w14:textId="77777777" w:rsidR="002F0133" w:rsidRPr="000B4E2C" w:rsidRDefault="002F0133" w:rsidP="008A7464">
            <w:pPr>
              <w:spacing w:line="276" w:lineRule="auto"/>
              <w:jc w:val="center"/>
              <w:rPr>
                <w:bCs/>
                <w:color w:val="000000"/>
                <w:lang w:eastAsia="en-GB"/>
              </w:rPr>
            </w:pPr>
            <w:r w:rsidRPr="000B4E2C">
              <w:rPr>
                <w:bCs/>
                <w:lang w:eastAsia="en-GB"/>
              </w:rPr>
              <w:t>35</w:t>
            </w:r>
          </w:p>
        </w:tc>
        <w:tc>
          <w:tcPr>
            <w:tcW w:w="0" w:type="auto"/>
            <w:shd w:val="clear" w:color="auto" w:fill="auto"/>
          </w:tcPr>
          <w:p w14:paraId="00F7A20F" w14:textId="77777777" w:rsidR="002F0133" w:rsidRPr="000B4E2C" w:rsidRDefault="002F0133" w:rsidP="008A7464">
            <w:pPr>
              <w:spacing w:line="276" w:lineRule="auto"/>
              <w:jc w:val="center"/>
              <w:rPr>
                <w:bCs/>
                <w:color w:val="000000"/>
                <w:lang w:eastAsia="en-GB"/>
              </w:rPr>
            </w:pPr>
            <w:r w:rsidRPr="000B4E2C">
              <w:rPr>
                <w:bCs/>
                <w:lang w:eastAsia="en-GB"/>
              </w:rPr>
              <w:t>RIFLE</w:t>
            </w:r>
          </w:p>
        </w:tc>
        <w:tc>
          <w:tcPr>
            <w:tcW w:w="0" w:type="auto"/>
            <w:shd w:val="clear" w:color="auto" w:fill="auto"/>
          </w:tcPr>
          <w:p w14:paraId="3710B70C" w14:textId="77777777" w:rsidR="002F0133" w:rsidRPr="000B4E2C" w:rsidRDefault="002F0133" w:rsidP="008A7464">
            <w:pPr>
              <w:tabs>
                <w:tab w:val="left" w:pos="240"/>
              </w:tabs>
              <w:spacing w:line="276" w:lineRule="auto"/>
              <w:jc w:val="center"/>
              <w:rPr>
                <w:bCs/>
                <w:lang w:eastAsia="en-GB"/>
              </w:rPr>
            </w:pPr>
            <w:r w:rsidRPr="000B4E2C">
              <w:rPr>
                <w:bCs/>
                <w:lang w:eastAsia="en-GB"/>
              </w:rPr>
              <w:t>Within 48 hours of admission</w:t>
            </w:r>
          </w:p>
        </w:tc>
      </w:tr>
      <w:tr w:rsidR="002F0133" w:rsidRPr="000B4E2C" w14:paraId="5C22EF9B" w14:textId="77777777" w:rsidTr="000B4E2C">
        <w:trPr>
          <w:cantSplit/>
        </w:trPr>
        <w:tc>
          <w:tcPr>
            <w:tcW w:w="0" w:type="auto"/>
            <w:shd w:val="clear" w:color="auto" w:fill="auto"/>
          </w:tcPr>
          <w:p w14:paraId="36D2AF59" w14:textId="5B30F447" w:rsidR="002F0133" w:rsidRPr="000B4E2C" w:rsidRDefault="002F0133" w:rsidP="008A7464">
            <w:pPr>
              <w:spacing w:line="276" w:lineRule="auto"/>
              <w:rPr>
                <w:bCs/>
                <w:color w:val="000000"/>
                <w:lang w:eastAsia="en-GB"/>
              </w:rPr>
            </w:pPr>
            <w:r w:rsidRPr="000B4E2C">
              <w:rPr>
                <w:bCs/>
                <w:lang w:eastAsia="en-GB"/>
              </w:rPr>
              <w:t>Dong 2017</w:t>
            </w:r>
            <w:r w:rsidR="0012380C" w:rsidRPr="000B4E2C">
              <w:rPr>
                <w:bCs/>
                <w:lang w:eastAsia="en-GB"/>
              </w:rPr>
              <w:t>,</w:t>
            </w:r>
            <w:r w:rsidR="005B5026" w:rsidRPr="000B4E2C">
              <w:rPr>
                <w:bCs/>
                <w:noProof/>
                <w:vertAlign w:val="superscript"/>
                <w:lang w:eastAsia="en-GB"/>
              </w:rPr>
              <w:t>94</w:t>
            </w:r>
            <w:r w:rsidRPr="000B4E2C">
              <w:rPr>
                <w:bCs/>
                <w:lang w:eastAsia="en-GB"/>
              </w:rPr>
              <w:t xml:space="preserve"> USA</w:t>
            </w:r>
          </w:p>
        </w:tc>
        <w:tc>
          <w:tcPr>
            <w:tcW w:w="0" w:type="auto"/>
            <w:shd w:val="clear" w:color="auto" w:fill="auto"/>
          </w:tcPr>
          <w:p w14:paraId="4B9DB53C" w14:textId="7F4DDB37" w:rsidR="002F0133" w:rsidRPr="000B4E2C" w:rsidRDefault="002F0133" w:rsidP="008A7464">
            <w:pPr>
              <w:spacing w:line="276" w:lineRule="auto"/>
              <w:jc w:val="center"/>
              <w:rPr>
                <w:bCs/>
                <w:color w:val="000000"/>
                <w:lang w:eastAsia="en-GB"/>
              </w:rPr>
            </w:pPr>
            <w:r w:rsidRPr="000B4E2C">
              <w:rPr>
                <w:bCs/>
                <w:lang w:eastAsia="en-GB"/>
              </w:rPr>
              <w:t xml:space="preserve">uNGAL, </w:t>
            </w:r>
            <w:r w:rsidR="009D7F5A" w:rsidRPr="000B4E2C">
              <w:rPr>
                <w:bCs/>
                <w:lang w:eastAsia="en-GB"/>
              </w:rPr>
              <w:t>BioPorto</w:t>
            </w:r>
          </w:p>
        </w:tc>
        <w:tc>
          <w:tcPr>
            <w:tcW w:w="0" w:type="auto"/>
            <w:shd w:val="clear" w:color="auto" w:fill="auto"/>
          </w:tcPr>
          <w:p w14:paraId="7C3E98B5" w14:textId="77777777" w:rsidR="002F0133" w:rsidRPr="000B4E2C" w:rsidRDefault="002F0133" w:rsidP="008A7464">
            <w:pPr>
              <w:spacing w:line="276" w:lineRule="auto"/>
              <w:jc w:val="center"/>
              <w:rPr>
                <w:bCs/>
                <w:color w:val="000000"/>
                <w:lang w:eastAsia="en-GB"/>
              </w:rPr>
            </w:pPr>
            <w:r w:rsidRPr="000B4E2C">
              <w:rPr>
                <w:bCs/>
                <w:lang w:eastAsia="en-GB"/>
              </w:rPr>
              <w:t>Cardiac Surgery</w:t>
            </w:r>
          </w:p>
        </w:tc>
        <w:tc>
          <w:tcPr>
            <w:tcW w:w="0" w:type="auto"/>
            <w:shd w:val="clear" w:color="auto" w:fill="auto"/>
          </w:tcPr>
          <w:p w14:paraId="5757F7AC" w14:textId="4661FC37" w:rsidR="000B4E2C" w:rsidRPr="000B4E2C" w:rsidRDefault="002F0133" w:rsidP="008A7464">
            <w:pPr>
              <w:spacing w:line="276" w:lineRule="auto"/>
              <w:jc w:val="center"/>
              <w:rPr>
                <w:bCs/>
                <w:lang w:eastAsia="en-GB"/>
              </w:rPr>
            </w:pPr>
            <w:r w:rsidRPr="000B4E2C">
              <w:rPr>
                <w:bCs/>
                <w:lang w:eastAsia="en-GB"/>
              </w:rPr>
              <w:t>AKI 1.4 years (0.2</w:t>
            </w:r>
            <w:r w:rsidR="000B4E2C" w:rsidRPr="000B4E2C">
              <w:rPr>
                <w:bCs/>
                <w:color w:val="00B0F0"/>
                <w:lang w:eastAsia="en-GB"/>
              </w:rPr>
              <w:t>–</w:t>
            </w:r>
            <w:r w:rsidR="000B4E2C" w:rsidRPr="000B4E2C">
              <w:rPr>
                <w:bCs/>
                <w:color w:val="00B0F0"/>
                <w:lang w:eastAsia="en-GB"/>
              </w:rPr>
              <w:t>2</w:t>
            </w:r>
            <w:r w:rsidRPr="000B4E2C">
              <w:rPr>
                <w:bCs/>
                <w:lang w:eastAsia="en-GB"/>
              </w:rPr>
              <w:t>.7);</w:t>
            </w:r>
          </w:p>
          <w:p w14:paraId="188E25D3" w14:textId="69FCEBDE" w:rsidR="002F0133" w:rsidRPr="000B4E2C" w:rsidRDefault="002F0133" w:rsidP="008A7464">
            <w:pPr>
              <w:spacing w:line="276" w:lineRule="auto"/>
              <w:jc w:val="center"/>
              <w:rPr>
                <w:bCs/>
                <w:color w:val="000000"/>
                <w:lang w:eastAsia="en-GB"/>
              </w:rPr>
            </w:pPr>
            <w:r w:rsidRPr="000B4E2C">
              <w:rPr>
                <w:bCs/>
                <w:lang w:eastAsia="en-GB"/>
              </w:rPr>
              <w:t>No AKI 5 years (4.1</w:t>
            </w:r>
            <w:r w:rsidR="000B4E2C" w:rsidRPr="000B4E2C">
              <w:rPr>
                <w:bCs/>
                <w:color w:val="00B0F0"/>
                <w:lang w:eastAsia="en-GB"/>
              </w:rPr>
              <w:t>–</w:t>
            </w:r>
            <w:r w:rsidR="000B4E2C" w:rsidRPr="000B4E2C">
              <w:rPr>
                <w:bCs/>
                <w:color w:val="00B0F0"/>
                <w:lang w:eastAsia="en-GB"/>
              </w:rPr>
              <w:t>5</w:t>
            </w:r>
            <w:r w:rsidRPr="000B4E2C">
              <w:rPr>
                <w:bCs/>
                <w:lang w:eastAsia="en-GB"/>
              </w:rPr>
              <w:t xml:space="preserve">.9) </w:t>
            </w:r>
          </w:p>
        </w:tc>
        <w:tc>
          <w:tcPr>
            <w:tcW w:w="0" w:type="auto"/>
            <w:shd w:val="clear" w:color="auto" w:fill="auto"/>
          </w:tcPr>
          <w:p w14:paraId="204DBEDC" w14:textId="77777777" w:rsidR="002F0133" w:rsidRPr="000B4E2C" w:rsidRDefault="002F0133" w:rsidP="008A7464">
            <w:pPr>
              <w:spacing w:line="276" w:lineRule="auto"/>
              <w:jc w:val="center"/>
              <w:rPr>
                <w:bCs/>
                <w:color w:val="000000"/>
                <w:lang w:eastAsia="en-GB"/>
              </w:rPr>
            </w:pPr>
            <w:r w:rsidRPr="000B4E2C">
              <w:rPr>
                <w:bCs/>
                <w:lang w:eastAsia="en-GB"/>
              </w:rPr>
              <w:t>150</w:t>
            </w:r>
          </w:p>
        </w:tc>
        <w:tc>
          <w:tcPr>
            <w:tcW w:w="0" w:type="auto"/>
            <w:shd w:val="clear" w:color="auto" w:fill="auto"/>
          </w:tcPr>
          <w:p w14:paraId="619FC208" w14:textId="77777777" w:rsidR="002F0133" w:rsidRPr="000B4E2C" w:rsidRDefault="002F0133" w:rsidP="008A7464">
            <w:pPr>
              <w:spacing w:line="276" w:lineRule="auto"/>
              <w:jc w:val="center"/>
              <w:rPr>
                <w:bCs/>
                <w:color w:val="000000"/>
                <w:lang w:eastAsia="en-GB"/>
              </w:rPr>
            </w:pPr>
            <w:r w:rsidRPr="000B4E2C">
              <w:rPr>
                <w:bCs/>
                <w:lang w:eastAsia="en-GB"/>
              </w:rPr>
              <w:t>50</w:t>
            </w:r>
          </w:p>
        </w:tc>
        <w:tc>
          <w:tcPr>
            <w:tcW w:w="0" w:type="auto"/>
            <w:shd w:val="clear" w:color="auto" w:fill="auto"/>
          </w:tcPr>
          <w:p w14:paraId="48E38B04" w14:textId="77777777" w:rsidR="002F0133" w:rsidRPr="000B4E2C" w:rsidRDefault="002F0133" w:rsidP="008A7464">
            <w:pPr>
              <w:spacing w:line="276" w:lineRule="auto"/>
              <w:jc w:val="center"/>
              <w:rPr>
                <w:bCs/>
                <w:color w:val="000000"/>
                <w:lang w:eastAsia="en-GB"/>
              </w:rPr>
            </w:pPr>
            <w:r w:rsidRPr="000B4E2C">
              <w:rPr>
                <w:bCs/>
                <w:lang w:eastAsia="en-GB"/>
              </w:rPr>
              <w:t>KDIGO</w:t>
            </w:r>
          </w:p>
        </w:tc>
        <w:tc>
          <w:tcPr>
            <w:tcW w:w="0" w:type="auto"/>
            <w:shd w:val="clear" w:color="auto" w:fill="auto"/>
          </w:tcPr>
          <w:p w14:paraId="5C58F7B0" w14:textId="77777777" w:rsidR="002F0133" w:rsidRPr="000B4E2C" w:rsidRDefault="002F0133" w:rsidP="008A7464">
            <w:pPr>
              <w:spacing w:line="276" w:lineRule="auto"/>
              <w:jc w:val="center"/>
              <w:rPr>
                <w:bCs/>
                <w:lang w:eastAsia="en-GB"/>
              </w:rPr>
            </w:pPr>
            <w:r w:rsidRPr="000B4E2C">
              <w:rPr>
                <w:bCs/>
                <w:lang w:eastAsia="en-GB"/>
              </w:rPr>
              <w:t>Within 72 hours of surgery</w:t>
            </w:r>
          </w:p>
        </w:tc>
      </w:tr>
      <w:tr w:rsidR="002F0133" w:rsidRPr="000B4E2C" w14:paraId="5BA3981B" w14:textId="77777777" w:rsidTr="000B4E2C">
        <w:trPr>
          <w:cantSplit/>
        </w:trPr>
        <w:tc>
          <w:tcPr>
            <w:tcW w:w="0" w:type="auto"/>
            <w:shd w:val="clear" w:color="auto" w:fill="auto"/>
            <w:hideMark/>
          </w:tcPr>
          <w:p w14:paraId="434EF0E3" w14:textId="6730614A" w:rsidR="002F0133" w:rsidRPr="000B4E2C" w:rsidRDefault="002F0133" w:rsidP="008A7464">
            <w:pPr>
              <w:spacing w:line="276" w:lineRule="auto"/>
              <w:rPr>
                <w:bCs/>
                <w:color w:val="000000"/>
                <w:lang w:eastAsia="en-GB"/>
              </w:rPr>
            </w:pPr>
            <w:r w:rsidRPr="000B4E2C">
              <w:rPr>
                <w:bCs/>
                <w:lang w:eastAsia="en-GB"/>
              </w:rPr>
              <w:t>Lagos-Arevalo 2015</w:t>
            </w:r>
            <w:r w:rsidR="0012380C" w:rsidRPr="000B4E2C">
              <w:rPr>
                <w:bCs/>
                <w:lang w:eastAsia="en-GB"/>
              </w:rPr>
              <w:t>,</w:t>
            </w:r>
            <w:r w:rsidR="005B5026" w:rsidRPr="000B4E2C">
              <w:rPr>
                <w:bCs/>
                <w:noProof/>
                <w:vertAlign w:val="superscript"/>
                <w:lang w:eastAsia="en-GB"/>
              </w:rPr>
              <w:t>95</w:t>
            </w:r>
            <w:r w:rsidR="0012380C" w:rsidRPr="000B4E2C">
              <w:rPr>
                <w:bCs/>
                <w:lang w:eastAsia="en-GB"/>
              </w:rPr>
              <w:t xml:space="preserve"> </w:t>
            </w:r>
            <w:r w:rsidRPr="000B4E2C">
              <w:rPr>
                <w:bCs/>
                <w:lang w:eastAsia="en-GB"/>
              </w:rPr>
              <w:t>Canada</w:t>
            </w:r>
          </w:p>
        </w:tc>
        <w:tc>
          <w:tcPr>
            <w:tcW w:w="0" w:type="auto"/>
            <w:shd w:val="clear" w:color="auto" w:fill="auto"/>
            <w:hideMark/>
          </w:tcPr>
          <w:p w14:paraId="467C1DAA" w14:textId="6E02E80E" w:rsidR="002F0133" w:rsidRPr="000B4E2C" w:rsidRDefault="002F0133" w:rsidP="008A7464">
            <w:pPr>
              <w:spacing w:line="276" w:lineRule="auto"/>
              <w:jc w:val="center"/>
              <w:rPr>
                <w:bCs/>
                <w:color w:val="000000"/>
                <w:lang w:eastAsia="en-GB"/>
              </w:rPr>
            </w:pPr>
            <w:r w:rsidRPr="000B4E2C">
              <w:rPr>
                <w:bCs/>
                <w:lang w:eastAsia="en-GB"/>
              </w:rPr>
              <w:t xml:space="preserve">uNGAL, </w:t>
            </w:r>
            <w:r w:rsidR="009D7F5A" w:rsidRPr="000B4E2C">
              <w:rPr>
                <w:bCs/>
                <w:lang w:eastAsia="en-GB"/>
              </w:rPr>
              <w:t>BioPorto</w:t>
            </w:r>
          </w:p>
        </w:tc>
        <w:tc>
          <w:tcPr>
            <w:tcW w:w="0" w:type="auto"/>
            <w:shd w:val="clear" w:color="auto" w:fill="auto"/>
            <w:hideMark/>
          </w:tcPr>
          <w:p w14:paraId="228ADD80" w14:textId="56E09F4E" w:rsidR="002F0133" w:rsidRPr="000B4E2C" w:rsidRDefault="002F0133" w:rsidP="008A7464">
            <w:pPr>
              <w:spacing w:line="276" w:lineRule="auto"/>
              <w:jc w:val="center"/>
              <w:rPr>
                <w:bCs/>
                <w:color w:val="000000"/>
                <w:lang w:eastAsia="en-GB"/>
              </w:rPr>
            </w:pPr>
            <w:r w:rsidRPr="000B4E2C">
              <w:rPr>
                <w:bCs/>
                <w:lang w:eastAsia="en-GB"/>
              </w:rPr>
              <w:t>Critical care</w:t>
            </w:r>
            <w:r w:rsidR="000B4E2C" w:rsidRPr="000B4E2C">
              <w:rPr>
                <w:bCs/>
                <w:color w:val="00B0F0"/>
                <w:lang w:eastAsia="en-GB"/>
              </w:rPr>
              <w:t xml:space="preserve"> – </w:t>
            </w:r>
            <w:r w:rsidRPr="000B4E2C">
              <w:rPr>
                <w:bCs/>
                <w:lang w:eastAsia="en-GB"/>
              </w:rPr>
              <w:t>mixed population (ICU/ITU)</w:t>
            </w:r>
          </w:p>
        </w:tc>
        <w:tc>
          <w:tcPr>
            <w:tcW w:w="0" w:type="auto"/>
            <w:shd w:val="clear" w:color="auto" w:fill="auto"/>
            <w:hideMark/>
          </w:tcPr>
          <w:p w14:paraId="446029B4" w14:textId="77777777" w:rsidR="002F0133" w:rsidRPr="000B4E2C" w:rsidRDefault="002F0133" w:rsidP="008A7464">
            <w:pPr>
              <w:spacing w:line="276" w:lineRule="auto"/>
              <w:jc w:val="center"/>
              <w:rPr>
                <w:bCs/>
                <w:lang w:eastAsia="en-GB"/>
              </w:rPr>
            </w:pPr>
            <w:r w:rsidRPr="000B4E2C">
              <w:rPr>
                <w:bCs/>
                <w:lang w:eastAsia="en-GB"/>
              </w:rPr>
              <w:t>AKI 5 years (6)</w:t>
            </w:r>
          </w:p>
          <w:p w14:paraId="382CACB1" w14:textId="77777777" w:rsidR="002F0133" w:rsidRPr="000B4E2C" w:rsidRDefault="002F0133" w:rsidP="008A7464">
            <w:pPr>
              <w:spacing w:line="276" w:lineRule="auto"/>
              <w:jc w:val="center"/>
              <w:rPr>
                <w:bCs/>
                <w:color w:val="000000"/>
                <w:lang w:eastAsia="en-GB"/>
              </w:rPr>
            </w:pPr>
            <w:r w:rsidRPr="000B4E2C">
              <w:rPr>
                <w:bCs/>
                <w:lang w:eastAsia="en-GB"/>
              </w:rPr>
              <w:t xml:space="preserve">No AKI 4.0 years (5) </w:t>
            </w:r>
          </w:p>
        </w:tc>
        <w:tc>
          <w:tcPr>
            <w:tcW w:w="0" w:type="auto"/>
            <w:shd w:val="clear" w:color="auto" w:fill="auto"/>
            <w:hideMark/>
          </w:tcPr>
          <w:p w14:paraId="24E9D506" w14:textId="77777777" w:rsidR="002F0133" w:rsidRPr="000B4E2C" w:rsidRDefault="002F0133" w:rsidP="008A7464">
            <w:pPr>
              <w:spacing w:line="276" w:lineRule="auto"/>
              <w:jc w:val="center"/>
              <w:rPr>
                <w:bCs/>
                <w:color w:val="000000"/>
                <w:lang w:eastAsia="en-GB"/>
              </w:rPr>
            </w:pPr>
            <w:r w:rsidRPr="000B4E2C">
              <w:rPr>
                <w:bCs/>
                <w:lang w:eastAsia="en-GB"/>
              </w:rPr>
              <w:t>160</w:t>
            </w:r>
          </w:p>
        </w:tc>
        <w:tc>
          <w:tcPr>
            <w:tcW w:w="0" w:type="auto"/>
            <w:shd w:val="clear" w:color="auto" w:fill="auto"/>
            <w:hideMark/>
          </w:tcPr>
          <w:p w14:paraId="399E0F09" w14:textId="77777777" w:rsidR="002F0133" w:rsidRPr="000B4E2C" w:rsidRDefault="002F0133" w:rsidP="008A7464">
            <w:pPr>
              <w:spacing w:line="276" w:lineRule="auto"/>
              <w:jc w:val="center"/>
              <w:rPr>
                <w:bCs/>
                <w:color w:val="000000"/>
                <w:lang w:eastAsia="en-GB"/>
              </w:rPr>
            </w:pPr>
            <w:r w:rsidRPr="000B4E2C">
              <w:rPr>
                <w:bCs/>
                <w:lang w:eastAsia="en-GB"/>
              </w:rPr>
              <w:t>70</w:t>
            </w:r>
          </w:p>
        </w:tc>
        <w:tc>
          <w:tcPr>
            <w:tcW w:w="0" w:type="auto"/>
            <w:shd w:val="clear" w:color="auto" w:fill="auto"/>
            <w:hideMark/>
          </w:tcPr>
          <w:p w14:paraId="7FB3AD86" w14:textId="77777777" w:rsidR="002F0133" w:rsidRPr="000B4E2C" w:rsidRDefault="002F0133" w:rsidP="008A7464">
            <w:pPr>
              <w:spacing w:line="276" w:lineRule="auto"/>
              <w:jc w:val="center"/>
              <w:rPr>
                <w:bCs/>
                <w:color w:val="000000"/>
                <w:lang w:eastAsia="en-GB"/>
              </w:rPr>
            </w:pPr>
            <w:r w:rsidRPr="000B4E2C">
              <w:rPr>
                <w:bCs/>
                <w:lang w:eastAsia="en-GB"/>
              </w:rPr>
              <w:t>KDIGO</w:t>
            </w:r>
          </w:p>
        </w:tc>
        <w:tc>
          <w:tcPr>
            <w:tcW w:w="0" w:type="auto"/>
            <w:shd w:val="clear" w:color="auto" w:fill="auto"/>
          </w:tcPr>
          <w:p w14:paraId="2B14E50B" w14:textId="77777777" w:rsidR="002F0133" w:rsidRPr="000B4E2C" w:rsidRDefault="002F0133" w:rsidP="008A7464">
            <w:pPr>
              <w:spacing w:line="276" w:lineRule="auto"/>
              <w:jc w:val="center"/>
              <w:rPr>
                <w:bCs/>
                <w:lang w:eastAsia="en-GB"/>
              </w:rPr>
            </w:pPr>
            <w:r w:rsidRPr="000B4E2C">
              <w:rPr>
                <w:bCs/>
                <w:lang w:eastAsia="en-GB"/>
              </w:rPr>
              <w:t>NR</w:t>
            </w:r>
          </w:p>
        </w:tc>
      </w:tr>
      <w:tr w:rsidR="002F0133" w:rsidRPr="000B4E2C" w14:paraId="2931D8B9" w14:textId="77777777" w:rsidTr="000B4E2C">
        <w:trPr>
          <w:cantSplit/>
        </w:trPr>
        <w:tc>
          <w:tcPr>
            <w:tcW w:w="0" w:type="auto"/>
            <w:shd w:val="clear" w:color="auto" w:fill="auto"/>
          </w:tcPr>
          <w:p w14:paraId="2E0F3E18" w14:textId="1FE125A3" w:rsidR="002F0133" w:rsidRPr="000B4E2C" w:rsidRDefault="002F0133" w:rsidP="008A7464">
            <w:pPr>
              <w:spacing w:line="276" w:lineRule="auto"/>
              <w:rPr>
                <w:bCs/>
                <w:color w:val="000000"/>
                <w:lang w:eastAsia="en-GB"/>
              </w:rPr>
            </w:pPr>
            <w:r w:rsidRPr="000B4E2C">
              <w:rPr>
                <w:bCs/>
                <w:lang w:eastAsia="en-GB"/>
              </w:rPr>
              <w:lastRenderedPageBreak/>
              <w:t>Yang 2017</w:t>
            </w:r>
            <w:r w:rsidR="0012380C" w:rsidRPr="000B4E2C">
              <w:rPr>
                <w:bCs/>
                <w:lang w:eastAsia="en-GB"/>
              </w:rPr>
              <w:t>,</w:t>
            </w:r>
            <w:r w:rsidR="005B5026" w:rsidRPr="000B4E2C">
              <w:rPr>
                <w:bCs/>
                <w:noProof/>
                <w:vertAlign w:val="superscript"/>
                <w:lang w:eastAsia="en-GB"/>
              </w:rPr>
              <w:t>67</w:t>
            </w:r>
            <w:r w:rsidRPr="000B4E2C">
              <w:rPr>
                <w:bCs/>
                <w:lang w:eastAsia="en-GB"/>
              </w:rPr>
              <w:t xml:space="preserve"> China</w:t>
            </w:r>
          </w:p>
        </w:tc>
        <w:tc>
          <w:tcPr>
            <w:tcW w:w="0" w:type="auto"/>
            <w:shd w:val="clear" w:color="auto" w:fill="auto"/>
          </w:tcPr>
          <w:p w14:paraId="19CDE2FB" w14:textId="4A084F25" w:rsidR="002F0133" w:rsidRPr="000B4E2C" w:rsidRDefault="002F0133" w:rsidP="008A7464">
            <w:pPr>
              <w:spacing w:line="276" w:lineRule="auto"/>
              <w:jc w:val="center"/>
              <w:rPr>
                <w:bCs/>
                <w:color w:val="000000"/>
                <w:lang w:eastAsia="en-GB"/>
              </w:rPr>
            </w:pPr>
            <w:r w:rsidRPr="000B4E2C">
              <w:rPr>
                <w:bCs/>
                <w:lang w:eastAsia="en-GB"/>
              </w:rPr>
              <w:t xml:space="preserve">uNGAL, </w:t>
            </w:r>
            <w:r w:rsidR="009D7F5A" w:rsidRPr="000B4E2C">
              <w:rPr>
                <w:bCs/>
                <w:lang w:eastAsia="en-GB"/>
              </w:rPr>
              <w:t>BioPorto</w:t>
            </w:r>
          </w:p>
        </w:tc>
        <w:tc>
          <w:tcPr>
            <w:tcW w:w="0" w:type="auto"/>
            <w:shd w:val="clear" w:color="auto" w:fill="auto"/>
          </w:tcPr>
          <w:p w14:paraId="0A897CDF" w14:textId="77777777" w:rsidR="002F0133" w:rsidRPr="000B4E2C" w:rsidRDefault="002F0133" w:rsidP="008A7464">
            <w:pPr>
              <w:spacing w:line="276" w:lineRule="auto"/>
              <w:jc w:val="center"/>
              <w:rPr>
                <w:bCs/>
                <w:color w:val="000000"/>
                <w:lang w:eastAsia="en-GB"/>
              </w:rPr>
            </w:pPr>
            <w:r w:rsidRPr="000B4E2C">
              <w:rPr>
                <w:bCs/>
                <w:lang w:eastAsia="en-GB"/>
              </w:rPr>
              <w:t>Cardiac Surgery</w:t>
            </w:r>
          </w:p>
        </w:tc>
        <w:tc>
          <w:tcPr>
            <w:tcW w:w="0" w:type="auto"/>
            <w:shd w:val="clear" w:color="auto" w:fill="auto"/>
          </w:tcPr>
          <w:p w14:paraId="06BF9D9D" w14:textId="77777777" w:rsidR="000B4E2C" w:rsidRPr="000B4E2C" w:rsidRDefault="002F0133" w:rsidP="008A7464">
            <w:pPr>
              <w:spacing w:line="276" w:lineRule="auto"/>
              <w:jc w:val="center"/>
              <w:rPr>
                <w:bCs/>
                <w:lang w:eastAsia="en-GB"/>
              </w:rPr>
            </w:pPr>
            <w:r w:rsidRPr="000B4E2C">
              <w:rPr>
                <w:bCs/>
                <w:lang w:eastAsia="en-GB"/>
              </w:rPr>
              <w:t>Children 22</w:t>
            </w:r>
          </w:p>
          <w:p w14:paraId="40D5EC84" w14:textId="77777777" w:rsidR="000B4E2C" w:rsidRPr="000B4E2C" w:rsidRDefault="002F0133" w:rsidP="008A7464">
            <w:pPr>
              <w:spacing w:line="276" w:lineRule="auto"/>
              <w:jc w:val="center"/>
              <w:rPr>
                <w:bCs/>
                <w:lang w:eastAsia="en-GB"/>
              </w:rPr>
            </w:pPr>
            <w:r w:rsidRPr="000B4E2C">
              <w:rPr>
                <w:bCs/>
                <w:lang w:eastAsia="en-GB"/>
              </w:rPr>
              <w:t>months (31); Adults 46</w:t>
            </w:r>
          </w:p>
          <w:p w14:paraId="5CEB7A2C" w14:textId="000E54C0" w:rsidR="002F0133" w:rsidRPr="000B4E2C" w:rsidRDefault="002F0133" w:rsidP="008A7464">
            <w:pPr>
              <w:spacing w:line="276" w:lineRule="auto"/>
              <w:jc w:val="center"/>
              <w:rPr>
                <w:bCs/>
                <w:color w:val="000000"/>
                <w:lang w:eastAsia="en-GB"/>
              </w:rPr>
            </w:pPr>
            <w:r w:rsidRPr="000B4E2C">
              <w:rPr>
                <w:bCs/>
                <w:lang w:eastAsia="en-GB"/>
              </w:rPr>
              <w:t>years (15)</w:t>
            </w:r>
          </w:p>
        </w:tc>
        <w:tc>
          <w:tcPr>
            <w:tcW w:w="0" w:type="auto"/>
            <w:shd w:val="clear" w:color="auto" w:fill="auto"/>
          </w:tcPr>
          <w:p w14:paraId="50BAD056" w14:textId="77777777" w:rsidR="002F0133" w:rsidRPr="000B4E2C" w:rsidRDefault="002F0133" w:rsidP="008A7464">
            <w:pPr>
              <w:spacing w:line="276" w:lineRule="auto"/>
              <w:jc w:val="center"/>
              <w:rPr>
                <w:bCs/>
                <w:color w:val="000000"/>
                <w:lang w:eastAsia="en-GB"/>
              </w:rPr>
            </w:pPr>
            <w:r w:rsidRPr="000B4E2C">
              <w:rPr>
                <w:bCs/>
                <w:lang w:eastAsia="en-GB"/>
              </w:rPr>
              <w:t>Children 323; Adults 398</w:t>
            </w:r>
          </w:p>
        </w:tc>
        <w:tc>
          <w:tcPr>
            <w:tcW w:w="0" w:type="auto"/>
            <w:shd w:val="clear" w:color="auto" w:fill="auto"/>
          </w:tcPr>
          <w:p w14:paraId="3ABC016F" w14:textId="77777777" w:rsidR="000B4E2C" w:rsidRPr="000B4E2C" w:rsidRDefault="002F0133" w:rsidP="008A7464">
            <w:pPr>
              <w:spacing w:line="276" w:lineRule="auto"/>
              <w:jc w:val="center"/>
              <w:rPr>
                <w:bCs/>
                <w:lang w:eastAsia="en-GB"/>
              </w:rPr>
            </w:pPr>
            <w:r w:rsidRPr="000B4E2C">
              <w:rPr>
                <w:bCs/>
                <w:lang w:eastAsia="en-GB"/>
              </w:rPr>
              <w:t>Children 126;</w:t>
            </w:r>
          </w:p>
          <w:p w14:paraId="44672848" w14:textId="69DF6895" w:rsidR="002F0133" w:rsidRPr="000B4E2C" w:rsidRDefault="002F0133" w:rsidP="008A7464">
            <w:pPr>
              <w:spacing w:line="276" w:lineRule="auto"/>
              <w:jc w:val="center"/>
              <w:rPr>
                <w:bCs/>
                <w:color w:val="000000"/>
                <w:lang w:eastAsia="en-GB"/>
              </w:rPr>
            </w:pPr>
            <w:r w:rsidRPr="000B4E2C">
              <w:rPr>
                <w:bCs/>
                <w:lang w:eastAsia="en-GB"/>
              </w:rPr>
              <w:t>Adults 164</w:t>
            </w:r>
          </w:p>
        </w:tc>
        <w:tc>
          <w:tcPr>
            <w:tcW w:w="0" w:type="auto"/>
            <w:shd w:val="clear" w:color="auto" w:fill="auto"/>
          </w:tcPr>
          <w:p w14:paraId="44813895" w14:textId="77777777" w:rsidR="002F0133" w:rsidRPr="000B4E2C" w:rsidRDefault="002F0133" w:rsidP="008A7464">
            <w:pPr>
              <w:spacing w:line="276" w:lineRule="auto"/>
              <w:jc w:val="center"/>
              <w:rPr>
                <w:bCs/>
                <w:color w:val="000000"/>
                <w:lang w:eastAsia="en-GB"/>
              </w:rPr>
            </w:pPr>
            <w:r w:rsidRPr="000B4E2C">
              <w:rPr>
                <w:bCs/>
                <w:lang w:eastAsia="en-GB"/>
              </w:rPr>
              <w:t>Acute dialysis or doubling of sCr consistent with KDIGO stage 2 and 3 criteria</w:t>
            </w:r>
          </w:p>
        </w:tc>
        <w:tc>
          <w:tcPr>
            <w:tcW w:w="0" w:type="auto"/>
            <w:shd w:val="clear" w:color="auto" w:fill="auto"/>
          </w:tcPr>
          <w:p w14:paraId="2C649195" w14:textId="77777777" w:rsidR="002F0133" w:rsidRPr="000B4E2C" w:rsidRDefault="002F0133" w:rsidP="008A7464">
            <w:pPr>
              <w:spacing w:line="276" w:lineRule="auto"/>
              <w:jc w:val="center"/>
              <w:rPr>
                <w:bCs/>
                <w:lang w:eastAsia="en-GB"/>
              </w:rPr>
            </w:pPr>
            <w:r w:rsidRPr="000B4E2C">
              <w:rPr>
                <w:bCs/>
                <w:lang w:eastAsia="en-GB"/>
              </w:rPr>
              <w:t>NR</w:t>
            </w:r>
          </w:p>
        </w:tc>
      </w:tr>
    </w:tbl>
    <w:p w14:paraId="7C1E0DDC" w14:textId="03F1599A" w:rsidR="000B4E2C" w:rsidRPr="000B4E2C" w:rsidRDefault="002F0133" w:rsidP="008A7464">
      <w:pPr>
        <w:rPr>
          <w:lang w:eastAsia="en-GB"/>
        </w:rPr>
      </w:pPr>
      <w:r w:rsidRPr="000B4E2C">
        <w:rPr>
          <w:lang w:eastAsia="en-GB"/>
        </w:rPr>
        <w:t>AKI</w:t>
      </w:r>
      <w:r w:rsidR="000B4E2C" w:rsidRPr="000B4E2C">
        <w:rPr>
          <w:color w:val="00B0F0"/>
          <w:lang w:eastAsia="en-GB"/>
        </w:rPr>
        <w:t> = </w:t>
      </w:r>
      <w:r w:rsidRPr="000B4E2C">
        <w:rPr>
          <w:lang w:eastAsia="en-GB"/>
        </w:rPr>
        <w:t>Acute Kidney Injury; NephC</w:t>
      </w:r>
      <w:r w:rsidR="000B4E2C" w:rsidRPr="000B4E2C">
        <w:rPr>
          <w:color w:val="00B0F0"/>
          <w:lang w:eastAsia="en-GB"/>
        </w:rPr>
        <w:t> = </w:t>
      </w:r>
      <w:r w:rsidRPr="000B4E2C">
        <w:rPr>
          <w:lang w:eastAsia="en-GB"/>
        </w:rPr>
        <w:t>NephroCheck test; uNGAL</w:t>
      </w:r>
      <w:r w:rsidR="000B4E2C" w:rsidRPr="000B4E2C">
        <w:rPr>
          <w:color w:val="00B0F0"/>
          <w:lang w:eastAsia="en-GB"/>
        </w:rPr>
        <w:t> = </w:t>
      </w:r>
      <w:r w:rsidRPr="000B4E2C">
        <w:rPr>
          <w:lang w:eastAsia="en-GB"/>
        </w:rPr>
        <w:t>urine NGAL, pNGAL</w:t>
      </w:r>
      <w:r w:rsidR="000B4E2C" w:rsidRPr="000B4E2C">
        <w:rPr>
          <w:color w:val="00B0F0"/>
          <w:lang w:eastAsia="en-GB"/>
        </w:rPr>
        <w:t> = </w:t>
      </w:r>
      <w:r w:rsidRPr="000B4E2C">
        <w:rPr>
          <w:lang w:eastAsia="en-GB"/>
        </w:rPr>
        <w:t>plasma NGAL; KDIGO</w:t>
      </w:r>
      <w:r w:rsidR="000B4E2C" w:rsidRPr="000B4E2C">
        <w:rPr>
          <w:color w:val="00B0F0"/>
          <w:lang w:eastAsia="en-GB"/>
        </w:rPr>
        <w:t> = </w:t>
      </w:r>
      <w:r w:rsidRPr="000B4E2C">
        <w:rPr>
          <w:lang w:eastAsia="en-GB"/>
        </w:rPr>
        <w:t>Kidney Disease: Improving Global Outcomes; AKIN</w:t>
      </w:r>
      <w:r w:rsidR="000B4E2C" w:rsidRPr="000B4E2C">
        <w:rPr>
          <w:color w:val="00B0F0"/>
          <w:lang w:eastAsia="en-GB"/>
        </w:rPr>
        <w:t> = </w:t>
      </w:r>
      <w:r w:rsidRPr="000B4E2C">
        <w:rPr>
          <w:lang w:eastAsia="en-GB"/>
        </w:rPr>
        <w:t>Acute Kidney Injury Network; pRIFLE</w:t>
      </w:r>
      <w:r w:rsidR="000B4E2C" w:rsidRPr="000B4E2C">
        <w:rPr>
          <w:color w:val="00B0F0"/>
          <w:lang w:eastAsia="en-GB"/>
        </w:rPr>
        <w:t> = </w:t>
      </w:r>
      <w:r w:rsidRPr="000B4E2C">
        <w:rPr>
          <w:lang w:eastAsia="en-GB"/>
        </w:rPr>
        <w:t xml:space="preserve">paediatric modified Risk, Injury, Failure; Loss, End-Stage Renal Disease; </w:t>
      </w:r>
      <w:r w:rsidRPr="000B4E2C">
        <w:rPr>
          <w:bCs/>
          <w:lang w:eastAsia="en-GB"/>
        </w:rPr>
        <w:t>sCr</w:t>
      </w:r>
      <w:r w:rsidR="000B4E2C" w:rsidRPr="000B4E2C">
        <w:rPr>
          <w:color w:val="00B0F0"/>
          <w:lang w:eastAsia="en-GB"/>
        </w:rPr>
        <w:t> = </w:t>
      </w:r>
      <w:r w:rsidRPr="000B4E2C">
        <w:rPr>
          <w:lang w:eastAsia="en-GB"/>
        </w:rPr>
        <w:t>Serum creatinine; * Median (IQR);</w:t>
      </w:r>
    </w:p>
    <w:p w14:paraId="15E96480" w14:textId="77777777" w:rsidR="000B4E2C" w:rsidRPr="000B4E2C" w:rsidRDefault="001C4BC3" w:rsidP="008A7464">
      <w:pPr>
        <w:rPr>
          <w:lang w:eastAsia="en-GB"/>
        </w:rPr>
      </w:pPr>
      <w:r w:rsidRPr="000B4E2C">
        <w:rPr>
          <w:lang w:eastAsia="en-GB"/>
        </w:rPr>
        <w:t>‡ The Seitz 2013 study also included 20 adolescents or adults</w:t>
      </w:r>
    </w:p>
    <w:p w14:paraId="24DF9DB3" w14:textId="7E261465" w:rsidR="000B4E2C" w:rsidRPr="000B4E2C" w:rsidRDefault="002F0133" w:rsidP="008A7464">
      <w:pPr>
        <w:pStyle w:val="Heading2"/>
      </w:pPr>
      <w:r w:rsidRPr="000B4E2C">
        <w:t>Study quality</w:t>
      </w:r>
    </w:p>
    <w:p w14:paraId="501E0B0B" w14:textId="3EB0F124" w:rsidR="000B4E2C" w:rsidRPr="000B4E2C" w:rsidRDefault="002F0133" w:rsidP="008A7464">
      <w:pPr>
        <w:rPr>
          <w:szCs w:val="24"/>
        </w:rPr>
      </w:pPr>
      <w:r w:rsidRPr="000B4E2C">
        <w:rPr>
          <w:szCs w:val="24"/>
        </w:rPr>
        <w:t>The risk of bias of studies assessing the accuracy of NephroCheck and NGAL assays in identifying people at risk of developing AKI was assessed using the QUADA</w:t>
      </w:r>
      <w:r w:rsidR="000B4E2C" w:rsidRPr="000B4E2C">
        <w:rPr>
          <w:color w:val="00B0F0"/>
          <w:szCs w:val="24"/>
        </w:rPr>
        <w:t>S</w:t>
      </w:r>
      <w:r w:rsidR="000B4E2C" w:rsidRPr="000B4E2C">
        <w:rPr>
          <w:color w:val="00B0F0"/>
          <w:szCs w:val="24"/>
        </w:rPr>
        <w:t>-</w:t>
      </w:r>
      <w:r w:rsidR="000B4E2C" w:rsidRPr="000B4E2C">
        <w:rPr>
          <w:color w:val="00B0F0"/>
          <w:szCs w:val="24"/>
        </w:rPr>
        <w:t>2</w:t>
      </w:r>
      <w:r w:rsidRPr="000B4E2C">
        <w:rPr>
          <w:szCs w:val="24"/>
        </w:rPr>
        <w:t xml:space="preserve"> tool. Results are summarised in </w:t>
      </w:r>
      <w:r w:rsidR="000B4E2C" w:rsidRPr="000B4E2C">
        <w:rPr>
          <w:i/>
          <w:color w:val="FF0000"/>
          <w:szCs w:val="24"/>
        </w:rPr>
        <w:t>F</w:t>
      </w:r>
      <w:r w:rsidR="000B4E2C" w:rsidRPr="000B4E2C">
        <w:rPr>
          <w:i/>
          <w:color w:val="FF0000"/>
          <w:szCs w:val="24"/>
        </w:rPr>
        <w:t>igure</w:t>
      </w:r>
      <w:r w:rsidR="000B4E2C" w:rsidRPr="000B4E2C">
        <w:rPr>
          <w:i/>
          <w:color w:val="FF0000"/>
          <w:szCs w:val="24"/>
        </w:rPr>
        <w:t xml:space="preserve"> </w:t>
      </w:r>
      <w:r w:rsidR="000B4E2C" w:rsidRPr="000B4E2C">
        <w:rPr>
          <w:i/>
          <w:color w:val="FF0000"/>
          <w:szCs w:val="24"/>
        </w:rPr>
        <w:t>2</w:t>
      </w:r>
      <w:r w:rsidRPr="000B4E2C">
        <w:rPr>
          <w:szCs w:val="24"/>
        </w:rPr>
        <w:t xml:space="preserve"> below and in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28</w:t>
      </w:r>
      <w:r w:rsidRPr="000B4E2C">
        <w:rPr>
          <w:szCs w:val="24"/>
        </w:rPr>
        <w:t xml:space="preserve"> in Appendix </w:t>
      </w:r>
      <w:r w:rsidR="00634CAC" w:rsidRPr="000B4E2C">
        <w:rPr>
          <w:szCs w:val="24"/>
        </w:rPr>
        <w:t>9</w:t>
      </w:r>
      <w:r w:rsidRPr="000B4E2C">
        <w:rPr>
          <w:szCs w:val="24"/>
        </w:rPr>
        <w:t>.</w:t>
      </w:r>
    </w:p>
    <w:p w14:paraId="6298D70C" w14:textId="77777777" w:rsidR="000B4E2C" w:rsidRPr="000B4E2C" w:rsidRDefault="002F0133" w:rsidP="008A7464">
      <w:pPr>
        <w:rPr>
          <w:szCs w:val="24"/>
        </w:rPr>
      </w:pPr>
      <w:r w:rsidRPr="000B4E2C">
        <w:rPr>
          <w:szCs w:val="24"/>
        </w:rPr>
        <w:t>Eleven studies (20%) did not report sufficient information to determine whether a selection of patients could have introduced bias and these studies were assessed t</w:t>
      </w:r>
      <w:r w:rsidR="00A96F4F" w:rsidRPr="000B4E2C">
        <w:rPr>
          <w:szCs w:val="24"/>
        </w:rPr>
        <w:t>o be at unclear risk of bias.</w:t>
      </w:r>
      <w:r w:rsidR="005B5026" w:rsidRPr="000B4E2C">
        <w:rPr>
          <w:noProof/>
          <w:szCs w:val="24"/>
          <w:vertAlign w:val="superscript"/>
        </w:rPr>
        <w:t>52</w:t>
      </w:r>
      <w:r w:rsidR="00A96F4F" w:rsidRPr="000B4E2C">
        <w:rPr>
          <w:szCs w:val="24"/>
          <w:vertAlign w:val="superscript"/>
        </w:rPr>
        <w:t>,</w:t>
      </w:r>
      <w:r w:rsidR="005B5026" w:rsidRPr="000B4E2C">
        <w:rPr>
          <w:noProof/>
          <w:szCs w:val="24"/>
          <w:vertAlign w:val="superscript"/>
        </w:rPr>
        <w:t>51</w:t>
      </w:r>
      <w:r w:rsidR="00A96F4F" w:rsidRPr="000B4E2C">
        <w:rPr>
          <w:szCs w:val="24"/>
          <w:vertAlign w:val="superscript"/>
        </w:rPr>
        <w:t>,</w:t>
      </w:r>
      <w:r w:rsidR="005B5026" w:rsidRPr="000B4E2C">
        <w:rPr>
          <w:noProof/>
          <w:szCs w:val="24"/>
          <w:vertAlign w:val="superscript"/>
        </w:rPr>
        <w:t>34</w:t>
      </w:r>
      <w:r w:rsidR="00A96F4F" w:rsidRPr="000B4E2C">
        <w:rPr>
          <w:szCs w:val="24"/>
          <w:vertAlign w:val="superscript"/>
        </w:rPr>
        <w:t>,</w:t>
      </w:r>
      <w:r w:rsidR="005B5026" w:rsidRPr="000B4E2C">
        <w:rPr>
          <w:noProof/>
          <w:szCs w:val="24"/>
          <w:vertAlign w:val="superscript"/>
        </w:rPr>
        <w:t>62</w:t>
      </w:r>
      <w:r w:rsidR="00A96F4F" w:rsidRPr="000B4E2C">
        <w:rPr>
          <w:szCs w:val="24"/>
          <w:vertAlign w:val="superscript"/>
        </w:rPr>
        <w:t>,</w:t>
      </w:r>
      <w:r w:rsidR="005B5026" w:rsidRPr="000B4E2C">
        <w:rPr>
          <w:noProof/>
          <w:szCs w:val="24"/>
          <w:vertAlign w:val="superscript"/>
        </w:rPr>
        <w:t>74</w:t>
      </w:r>
      <w:r w:rsidR="00A96F4F" w:rsidRPr="000B4E2C">
        <w:rPr>
          <w:szCs w:val="24"/>
          <w:vertAlign w:val="superscript"/>
        </w:rPr>
        <w:t xml:space="preserve">, </w:t>
      </w:r>
      <w:r w:rsidR="005B5026" w:rsidRPr="000B4E2C">
        <w:rPr>
          <w:noProof/>
          <w:szCs w:val="24"/>
          <w:vertAlign w:val="superscript"/>
        </w:rPr>
        <w:t>35</w:t>
      </w:r>
      <w:r w:rsidR="00A96F4F" w:rsidRPr="000B4E2C">
        <w:rPr>
          <w:szCs w:val="24"/>
          <w:vertAlign w:val="superscript"/>
        </w:rPr>
        <w:t>,</w:t>
      </w:r>
      <w:r w:rsidR="005B5026" w:rsidRPr="000B4E2C">
        <w:rPr>
          <w:noProof/>
          <w:szCs w:val="24"/>
          <w:vertAlign w:val="superscript"/>
        </w:rPr>
        <w:t>37</w:t>
      </w:r>
      <w:r w:rsidR="00A96F4F" w:rsidRPr="000B4E2C">
        <w:rPr>
          <w:szCs w:val="24"/>
          <w:vertAlign w:val="superscript"/>
        </w:rPr>
        <w:t>,</w:t>
      </w:r>
      <w:r w:rsidR="005B5026" w:rsidRPr="000B4E2C">
        <w:rPr>
          <w:noProof/>
          <w:szCs w:val="24"/>
          <w:vertAlign w:val="superscript"/>
        </w:rPr>
        <w:t>56</w:t>
      </w:r>
      <w:r w:rsidR="00A96F4F" w:rsidRPr="000B4E2C">
        <w:rPr>
          <w:szCs w:val="24"/>
          <w:vertAlign w:val="superscript"/>
        </w:rPr>
        <w:t xml:space="preserve">, </w:t>
      </w:r>
      <w:r w:rsidR="005B5026" w:rsidRPr="000B4E2C">
        <w:rPr>
          <w:noProof/>
          <w:szCs w:val="24"/>
          <w:vertAlign w:val="superscript"/>
        </w:rPr>
        <w:t>84</w:t>
      </w:r>
      <w:r w:rsidR="00A96F4F" w:rsidRPr="000B4E2C">
        <w:rPr>
          <w:szCs w:val="24"/>
          <w:vertAlign w:val="superscript"/>
        </w:rPr>
        <w:t>,</w:t>
      </w:r>
      <w:r w:rsidR="005B5026" w:rsidRPr="000B4E2C">
        <w:rPr>
          <w:noProof/>
          <w:szCs w:val="24"/>
          <w:vertAlign w:val="superscript"/>
        </w:rPr>
        <w:t>57</w:t>
      </w:r>
      <w:r w:rsidR="00A96F4F" w:rsidRPr="000B4E2C">
        <w:rPr>
          <w:szCs w:val="24"/>
          <w:vertAlign w:val="superscript"/>
        </w:rPr>
        <w:t>,</w:t>
      </w:r>
      <w:r w:rsidR="005B5026" w:rsidRPr="000B4E2C">
        <w:rPr>
          <w:noProof/>
          <w:szCs w:val="24"/>
          <w:vertAlign w:val="superscript"/>
        </w:rPr>
        <w:t>96</w:t>
      </w:r>
      <w:r w:rsidRPr="000B4E2C">
        <w:rPr>
          <w:szCs w:val="24"/>
        </w:rPr>
        <w:t xml:space="preserve"> The remaining studies were judged to be at low risk of bias for the patient selection domain.</w:t>
      </w:r>
    </w:p>
    <w:p w14:paraId="49FF6293" w14:textId="31D9BB03" w:rsidR="000B4E2C" w:rsidRPr="000B4E2C" w:rsidRDefault="002F0133" w:rsidP="008A7464">
      <w:pPr>
        <w:rPr>
          <w:szCs w:val="24"/>
        </w:rPr>
      </w:pPr>
      <w:r w:rsidRPr="000B4E2C">
        <w:rPr>
          <w:szCs w:val="24"/>
        </w:rPr>
        <w:t xml:space="preserve">The main potential source of bias across studies relates to blinding. Most studies (98%) were assessed at unclear risk of bias for the conduct and interpretation of the index test, either </w:t>
      </w:r>
      <w:r w:rsidRPr="000B4E2C">
        <w:rPr>
          <w:szCs w:val="24"/>
          <w:highlight w:val="magenta"/>
        </w:rPr>
        <w:t>due to</w:t>
      </w:r>
      <w:r w:rsidRPr="000B4E2C">
        <w:rPr>
          <w:szCs w:val="24"/>
        </w:rPr>
        <w:t xml:space="preserve"> insufficient information or lack of clarity regarding whether the biomarkers results were interpreted without knowledge of the reference standard results (</w:t>
      </w:r>
      <w:r w:rsidR="003B644E" w:rsidRPr="000B4E2C">
        <w:rPr>
          <w:szCs w:val="24"/>
        </w:rPr>
        <w:t xml:space="preserve">see </w:t>
      </w:r>
      <w:r w:rsidR="000B4E2C" w:rsidRPr="000B4E2C">
        <w:rPr>
          <w:i/>
          <w:color w:val="FF0000"/>
          <w:szCs w:val="24"/>
        </w:rPr>
        <w:t>F</w:t>
      </w:r>
      <w:r w:rsidR="000B4E2C" w:rsidRPr="000B4E2C">
        <w:rPr>
          <w:i/>
          <w:color w:val="FF0000"/>
          <w:szCs w:val="24"/>
        </w:rPr>
        <w:t>igure</w:t>
      </w:r>
      <w:r w:rsidR="000B4E2C" w:rsidRPr="000B4E2C">
        <w:rPr>
          <w:i/>
          <w:color w:val="FF0000"/>
          <w:szCs w:val="24"/>
        </w:rPr>
        <w:t xml:space="preserve"> </w:t>
      </w:r>
      <w:r w:rsidR="000B4E2C" w:rsidRPr="000B4E2C">
        <w:rPr>
          <w:i/>
          <w:color w:val="FF0000"/>
          <w:szCs w:val="24"/>
        </w:rPr>
        <w:t>2</w:t>
      </w:r>
      <w:r w:rsidR="003B644E" w:rsidRPr="000B4E2C">
        <w:rPr>
          <w:szCs w:val="24"/>
        </w:rPr>
        <w:t xml:space="preserve"> below). The </w:t>
      </w:r>
      <w:r w:rsidRPr="000B4E2C">
        <w:rPr>
          <w:szCs w:val="24"/>
        </w:rPr>
        <w:t>st</w:t>
      </w:r>
      <w:r w:rsidR="003B644E" w:rsidRPr="000B4E2C">
        <w:rPr>
          <w:szCs w:val="24"/>
        </w:rPr>
        <w:t xml:space="preserve">udies that used NephroCheck were judged at low risk of bias with regard to </w:t>
      </w:r>
      <w:r w:rsidRPr="000B4E2C">
        <w:rPr>
          <w:szCs w:val="24"/>
        </w:rPr>
        <w:t xml:space="preserve">the interpretation of the test since all of them used a common threshold. However, for NGAL studies the threshold level was </w:t>
      </w:r>
      <w:r w:rsidR="00B81B0C" w:rsidRPr="000B4E2C">
        <w:rPr>
          <w:szCs w:val="24"/>
        </w:rPr>
        <w:t xml:space="preserve">judged to be </w:t>
      </w:r>
      <w:r w:rsidRPr="000B4E2C">
        <w:rPr>
          <w:szCs w:val="24"/>
        </w:rPr>
        <w:t>unclear</w:t>
      </w:r>
      <w:r w:rsidR="00B274E0" w:rsidRPr="000B4E2C">
        <w:rPr>
          <w:szCs w:val="24"/>
        </w:rPr>
        <w:t xml:space="preserve"> as a common hreshold for NGAL has yet to be identified</w:t>
      </w:r>
      <w:r w:rsidRPr="000B4E2C">
        <w:rPr>
          <w:szCs w:val="24"/>
        </w:rPr>
        <w:t xml:space="preserve">. While some studies alluded to the blinding of </w:t>
      </w:r>
      <w:r w:rsidRPr="000B4E2C">
        <w:rPr>
          <w:szCs w:val="24"/>
          <w:highlight w:val="magenta"/>
        </w:rPr>
        <w:t>personnel</w:t>
      </w:r>
      <w:r w:rsidRPr="000B4E2C">
        <w:rPr>
          <w:szCs w:val="24"/>
        </w:rPr>
        <w:t xml:space="preserve"> performing the biomarker measurements to patients</w:t>
      </w:r>
      <w:r w:rsidR="0072128A" w:rsidRPr="000B4E2C">
        <w:rPr>
          <w:color w:val="00B0F0"/>
          <w:szCs w:val="24"/>
        </w:rPr>
        <w:t>$$SingleQuoteE$</w:t>
      </w:r>
      <w:r w:rsidR="000B4E2C" w:rsidRPr="000B4E2C">
        <w:rPr>
          <w:color w:val="00B0F0"/>
          <w:szCs w:val="24"/>
        </w:rPr>
        <w:t>$</w:t>
      </w:r>
      <w:r w:rsidRPr="000B4E2C">
        <w:rPr>
          <w:szCs w:val="24"/>
        </w:rPr>
        <w:t xml:space="preserve">clinical information, it was unclear whether the </w:t>
      </w:r>
      <w:r w:rsidRPr="000B4E2C">
        <w:rPr>
          <w:szCs w:val="24"/>
          <w:highlight w:val="magenta"/>
        </w:rPr>
        <w:t>personnel</w:t>
      </w:r>
      <w:r w:rsidRPr="000B4E2C">
        <w:rPr>
          <w:szCs w:val="24"/>
        </w:rPr>
        <w:t xml:space="preserve"> were indeed blinded to sCr measurements (reference standard). With regard to whether the reference standard, its conduct or interpretation may have introduced bias, two studies (4%) were judged to be at unclear risk of bias because baseline sCr levels were determined by reviewing records of previous 12-month measurements</w:t>
      </w:r>
      <w:r w:rsidR="00A96F4F" w:rsidRPr="000B4E2C">
        <w:rPr>
          <w:szCs w:val="24"/>
        </w:rPr>
        <w:t>.</w:t>
      </w:r>
      <w:r w:rsidR="005B5026" w:rsidRPr="000B4E2C">
        <w:rPr>
          <w:noProof/>
          <w:szCs w:val="24"/>
          <w:vertAlign w:val="superscript"/>
        </w:rPr>
        <w:t>56</w:t>
      </w:r>
      <w:r w:rsidR="00A96F4F" w:rsidRPr="000B4E2C">
        <w:rPr>
          <w:szCs w:val="24"/>
          <w:vertAlign w:val="superscript"/>
        </w:rPr>
        <w:t>,</w:t>
      </w:r>
      <w:r w:rsidR="005B5026" w:rsidRPr="000B4E2C">
        <w:rPr>
          <w:noProof/>
          <w:szCs w:val="24"/>
          <w:vertAlign w:val="superscript"/>
        </w:rPr>
        <w:t>58</w:t>
      </w:r>
      <w:r w:rsidR="00A96F4F" w:rsidRPr="000B4E2C">
        <w:rPr>
          <w:szCs w:val="24"/>
        </w:rPr>
        <w:t xml:space="preserve"> </w:t>
      </w:r>
      <w:r w:rsidRPr="000B4E2C">
        <w:rPr>
          <w:szCs w:val="24"/>
        </w:rPr>
        <w:t>The remaining studies (96%) were judged to be at low risk of bias for the reference standard domain.</w:t>
      </w:r>
    </w:p>
    <w:p w14:paraId="50191F58" w14:textId="1C7EDD60" w:rsidR="002F0133" w:rsidRPr="000B4E2C" w:rsidRDefault="002F0133" w:rsidP="008A7464">
      <w:pPr>
        <w:rPr>
          <w:i/>
          <w:szCs w:val="24"/>
        </w:rPr>
      </w:pPr>
      <w:r w:rsidRPr="000B4E2C">
        <w:rPr>
          <w:szCs w:val="24"/>
        </w:rPr>
        <w:t>Two studies (4%) were judged to be at high risk of bias in terms of the patient flow (e.g., attrition) because more than 50% of the participants were exclud</w:t>
      </w:r>
      <w:r w:rsidR="00A96F4F" w:rsidRPr="000B4E2C">
        <w:rPr>
          <w:szCs w:val="24"/>
        </w:rPr>
        <w:t>ed from the analysis</w:t>
      </w:r>
      <w:r w:rsidR="005B5026" w:rsidRPr="000B4E2C">
        <w:rPr>
          <w:noProof/>
          <w:szCs w:val="24"/>
          <w:vertAlign w:val="superscript"/>
        </w:rPr>
        <w:t>64</w:t>
      </w:r>
      <w:r w:rsidRPr="000B4E2C">
        <w:rPr>
          <w:szCs w:val="24"/>
        </w:rPr>
        <w:t xml:space="preserve"> or because the reporting of the patient selection and flow</w:t>
      </w:r>
      <w:r w:rsidR="00A96F4F" w:rsidRPr="000B4E2C">
        <w:rPr>
          <w:szCs w:val="24"/>
        </w:rPr>
        <w:t xml:space="preserve"> was poorly detailed.</w:t>
      </w:r>
      <w:r w:rsidR="005B5026" w:rsidRPr="000B4E2C">
        <w:rPr>
          <w:noProof/>
          <w:szCs w:val="24"/>
          <w:vertAlign w:val="superscript"/>
        </w:rPr>
        <w:t>52</w:t>
      </w:r>
      <w:r w:rsidRPr="000B4E2C">
        <w:rPr>
          <w:color w:val="0000FF"/>
          <w:sz w:val="22"/>
        </w:rPr>
        <w:t xml:space="preserve"> </w:t>
      </w:r>
      <w:r w:rsidRPr="000B4E2C">
        <w:rPr>
          <w:szCs w:val="24"/>
        </w:rPr>
        <w:t>Four studies (7%) were at unclear risk</w:t>
      </w:r>
      <w:r w:rsidR="00A96F4F" w:rsidRPr="000B4E2C">
        <w:rPr>
          <w:szCs w:val="24"/>
        </w:rPr>
        <w:t>.</w:t>
      </w:r>
      <w:r w:rsidR="005B5026" w:rsidRPr="000B4E2C">
        <w:rPr>
          <w:noProof/>
          <w:szCs w:val="24"/>
          <w:vertAlign w:val="superscript"/>
        </w:rPr>
        <w:t>94</w:t>
      </w:r>
      <w:r w:rsidR="00A96F4F" w:rsidRPr="000B4E2C">
        <w:rPr>
          <w:szCs w:val="24"/>
          <w:vertAlign w:val="superscript"/>
        </w:rPr>
        <w:t>,</w:t>
      </w:r>
      <w:r w:rsidR="005B5026" w:rsidRPr="000B4E2C">
        <w:rPr>
          <w:noProof/>
          <w:szCs w:val="24"/>
          <w:vertAlign w:val="superscript"/>
        </w:rPr>
        <w:t>56</w:t>
      </w:r>
      <w:r w:rsidR="00A96F4F" w:rsidRPr="000B4E2C">
        <w:rPr>
          <w:szCs w:val="24"/>
          <w:vertAlign w:val="superscript"/>
        </w:rPr>
        <w:t>,</w:t>
      </w:r>
      <w:r w:rsidR="005B5026" w:rsidRPr="000B4E2C">
        <w:rPr>
          <w:noProof/>
          <w:szCs w:val="24"/>
          <w:vertAlign w:val="superscript"/>
        </w:rPr>
        <w:t>59</w:t>
      </w:r>
      <w:r w:rsidR="00A96F4F" w:rsidRPr="000B4E2C">
        <w:rPr>
          <w:szCs w:val="24"/>
          <w:vertAlign w:val="superscript"/>
        </w:rPr>
        <w:t>,</w:t>
      </w:r>
      <w:r w:rsidR="005B5026" w:rsidRPr="000B4E2C">
        <w:rPr>
          <w:noProof/>
          <w:szCs w:val="24"/>
          <w:vertAlign w:val="superscript"/>
        </w:rPr>
        <w:t>66</w:t>
      </w:r>
      <w:r w:rsidR="00A96F4F" w:rsidRPr="000B4E2C">
        <w:rPr>
          <w:szCs w:val="24"/>
        </w:rPr>
        <w:t xml:space="preserve"> </w:t>
      </w:r>
      <w:r w:rsidRPr="000B4E2C">
        <w:rPr>
          <w:szCs w:val="24"/>
        </w:rPr>
        <w:t>The remaining studies (89%) were considered to be at low risk of bias regarding the patient flow domain.</w:t>
      </w:r>
    </w:p>
    <w:p w14:paraId="64B5A5D6" w14:textId="77777777" w:rsidR="000B4E2C" w:rsidRPr="000B4E2C" w:rsidRDefault="002F0133" w:rsidP="008A7464">
      <w:pPr>
        <w:rPr>
          <w:szCs w:val="24"/>
        </w:rPr>
      </w:pPr>
      <w:r w:rsidRPr="000B4E2C">
        <w:rPr>
          <w:szCs w:val="24"/>
        </w:rPr>
        <w:t xml:space="preserve">Across studies there was not major concern that the patient population and the conduct and interpretation of reference standard were not applicable to the review question. We observed an expected variation between studies in terms of characteristics of the index tests (biomarker assays) and clinical protocols. In particular, </w:t>
      </w:r>
      <w:r w:rsidRPr="000B4E2C">
        <w:rPr>
          <w:szCs w:val="24"/>
          <w:lang w:val="en-GB"/>
        </w:rPr>
        <w:t xml:space="preserve">applicability of the index test to the review question was judged to be unclear in many studies mainly </w:t>
      </w:r>
      <w:r w:rsidRPr="000B4E2C">
        <w:rPr>
          <w:szCs w:val="24"/>
          <w:highlight w:val="magenta"/>
          <w:lang w:val="en-GB"/>
        </w:rPr>
        <w:t>d</w:t>
      </w:r>
      <w:r w:rsidR="003B644E" w:rsidRPr="000B4E2C">
        <w:rPr>
          <w:szCs w:val="24"/>
          <w:highlight w:val="magenta"/>
          <w:lang w:val="en-GB"/>
        </w:rPr>
        <w:t>ue to</w:t>
      </w:r>
      <w:r w:rsidR="003B644E" w:rsidRPr="000B4E2C">
        <w:rPr>
          <w:szCs w:val="24"/>
          <w:lang w:val="en-GB"/>
        </w:rPr>
        <w:t xml:space="preserve"> the variation with regard to the </w:t>
      </w:r>
      <w:r w:rsidRPr="000B4E2C">
        <w:rPr>
          <w:szCs w:val="24"/>
          <w:lang w:val="en-GB"/>
        </w:rPr>
        <w:t>biomarker thresholds and timing of sample collections.</w:t>
      </w:r>
    </w:p>
    <w:p w14:paraId="1FD9EDF3" w14:textId="77777777" w:rsidR="000B4E2C" w:rsidRPr="000B4E2C" w:rsidRDefault="000B4E2C" w:rsidP="000B4E2C">
      <w:r w:rsidRPr="000B4E2C">
        <w:rPr>
          <w:color w:val="FF0000"/>
        </w:rPr>
        <w:t>&lt;--- Start of text-containing shape ---&gt;</w:t>
      </w:r>
    </w:p>
    <w:p w14:paraId="068A4FDC" w14:textId="77777777" w:rsidR="000B4E2C" w:rsidRPr="000B4E2C" w:rsidRDefault="000B4E2C" w:rsidP="000B4E2C"/>
    <w:p w14:paraId="03265077" w14:textId="77777777" w:rsidR="000B4E2C" w:rsidRPr="000B4E2C" w:rsidRDefault="000B4E2C" w:rsidP="000B4E2C">
      <w:r w:rsidRPr="000B4E2C">
        <w:t>Applicability</w:t>
      </w:r>
    </w:p>
    <w:p w14:paraId="6FE998C7" w14:textId="77777777" w:rsidR="000B4E2C" w:rsidRPr="000B4E2C" w:rsidRDefault="000B4E2C" w:rsidP="000B4E2C"/>
    <w:p w14:paraId="6F97094C" w14:textId="77777777" w:rsidR="000B4E2C" w:rsidRPr="000B4E2C" w:rsidRDefault="000B4E2C" w:rsidP="000B4E2C">
      <w:r w:rsidRPr="000B4E2C">
        <w:rPr>
          <w:color w:val="FF0000"/>
        </w:rPr>
        <w:t>&lt;--- End of text-containing shape ---&gt;</w:t>
      </w:r>
    </w:p>
    <w:p w14:paraId="72D71379" w14:textId="64F867B5" w:rsidR="000B4E2C" w:rsidRPr="000B4E2C" w:rsidRDefault="000B4E2C" w:rsidP="000B4E2C">
      <w:pPr>
        <w:jc w:val="center"/>
      </w:pPr>
      <w:r w:rsidRPr="000B4E2C">
        <w:rPr>
          <w:color w:val="FF0000"/>
        </w:rPr>
        <w:t>&lt;--- Start of text-containing shape ---&gt;</w:t>
      </w:r>
    </w:p>
    <w:p w14:paraId="4012EF62" w14:textId="77777777" w:rsidR="000B4E2C" w:rsidRPr="000B4E2C" w:rsidRDefault="000B4E2C" w:rsidP="000B4E2C">
      <w:pPr>
        <w:jc w:val="center"/>
      </w:pPr>
    </w:p>
    <w:p w14:paraId="31766821" w14:textId="77777777" w:rsidR="000B4E2C" w:rsidRPr="000B4E2C" w:rsidRDefault="000B4E2C" w:rsidP="000B4E2C">
      <w:pPr>
        <w:jc w:val="center"/>
      </w:pPr>
      <w:r w:rsidRPr="000B4E2C">
        <w:t>Risk of Bias</w:t>
      </w:r>
    </w:p>
    <w:p w14:paraId="2685988D" w14:textId="77777777" w:rsidR="000B4E2C" w:rsidRPr="000B4E2C" w:rsidRDefault="000B4E2C" w:rsidP="000B4E2C">
      <w:pPr>
        <w:jc w:val="center"/>
      </w:pPr>
    </w:p>
    <w:p w14:paraId="6E3A158A" w14:textId="77777777" w:rsidR="000B4E2C" w:rsidRPr="000B4E2C" w:rsidRDefault="000B4E2C" w:rsidP="000B4E2C">
      <w:pPr>
        <w:jc w:val="center"/>
      </w:pPr>
      <w:r w:rsidRPr="000B4E2C">
        <w:rPr>
          <w:color w:val="FF0000"/>
        </w:rPr>
        <w:t>&lt;--- End of text-containing shape ---&gt;</w:t>
      </w:r>
    </w:p>
    <w:p w14:paraId="315FE65F" w14:textId="45593170" w:rsidR="002F0133" w:rsidRPr="000B4E2C" w:rsidRDefault="002F0133" w:rsidP="008A7464">
      <w:pPr>
        <w:rPr>
          <w:szCs w:val="24"/>
        </w:rPr>
      </w:pPr>
    </w:p>
    <w:p w14:paraId="6E728A0A" w14:textId="16B0B062" w:rsidR="000B4E2C" w:rsidRPr="000B4E2C" w:rsidRDefault="000B4E2C" w:rsidP="008A7464">
      <w:pPr>
        <w:pStyle w:val="Heading2"/>
        <w:rPr>
          <w:i/>
        </w:rPr>
      </w:pPr>
      <w:r w:rsidRPr="000B4E2C">
        <w:rPr>
          <w:i/>
          <w:color w:val="FF0000"/>
        </w:rPr>
        <w:lastRenderedPageBreak/>
        <w:t>F</w:t>
      </w:r>
      <w:r w:rsidRPr="000B4E2C">
        <w:rPr>
          <w:i/>
          <w:color w:val="FF0000"/>
        </w:rPr>
        <w:t>igure</w:t>
      </w:r>
      <w:r w:rsidRPr="000B4E2C">
        <w:rPr>
          <w:i/>
          <w:color w:val="FF0000"/>
        </w:rPr>
        <w:t xml:space="preserve"> </w:t>
      </w:r>
      <w:r w:rsidRPr="000B4E2C">
        <w:rPr>
          <w:i/>
          <w:color w:val="FF0000"/>
        </w:rPr>
        <w:t>2</w:t>
      </w:r>
      <w:r w:rsidRPr="000B4E2C">
        <w:t xml:space="preserve"> </w:t>
      </w:r>
      <w:r w:rsidR="002F0133" w:rsidRPr="000B4E2C">
        <w:t>Risk of bias assessment of studies assessing the diagnostic performance of the biomarkers using the QUADA</w:t>
      </w:r>
      <w:r w:rsidRPr="000B4E2C">
        <w:rPr>
          <w:color w:val="00B0F0"/>
        </w:rPr>
        <w:t>S</w:t>
      </w:r>
      <w:r w:rsidRPr="000B4E2C">
        <w:rPr>
          <w:color w:val="00B0F0"/>
        </w:rPr>
        <w:t>-</w:t>
      </w:r>
      <w:r w:rsidRPr="000B4E2C">
        <w:rPr>
          <w:color w:val="00B0F0"/>
        </w:rPr>
        <w:t>2</w:t>
      </w:r>
      <w:r w:rsidR="002F0133" w:rsidRPr="000B4E2C">
        <w:t xml:space="preserve"> tool</w:t>
      </w:r>
    </w:p>
    <w:p w14:paraId="517ABEC0" w14:textId="5E02B80C" w:rsidR="000B4E2C" w:rsidRPr="000B4E2C" w:rsidRDefault="002F0133" w:rsidP="008A7464">
      <w:pPr>
        <w:rPr>
          <w:szCs w:val="24"/>
        </w:rPr>
      </w:pPr>
      <w:r w:rsidRPr="000B4E2C">
        <w:rPr>
          <w:szCs w:val="24"/>
        </w:rPr>
        <w:t>The risk of bias of studies assessing the role of NephroCheck and NGAL assays for prediction of relevant clinical outcomes (</w:t>
      </w:r>
      <w:r w:rsidR="003B644E" w:rsidRPr="000B4E2C">
        <w:rPr>
          <w:szCs w:val="24"/>
        </w:rPr>
        <w:t xml:space="preserve">worsening of AKI, </w:t>
      </w:r>
      <w:r w:rsidRPr="000B4E2C">
        <w:rPr>
          <w:szCs w:val="24"/>
        </w:rPr>
        <w:t>mortality and RRT) was assessed using the PROBAST tool</w:t>
      </w:r>
      <w:r w:rsidR="00A96F4F" w:rsidRPr="000B4E2C">
        <w:rPr>
          <w:szCs w:val="24"/>
        </w:rPr>
        <w:t>.</w:t>
      </w:r>
      <w:r w:rsidR="005B5026" w:rsidRPr="000B4E2C">
        <w:rPr>
          <w:noProof/>
          <w:szCs w:val="24"/>
          <w:vertAlign w:val="superscript"/>
        </w:rPr>
        <w:t>22</w:t>
      </w:r>
      <w:r w:rsidR="00030D0C" w:rsidRPr="000B4E2C">
        <w:rPr>
          <w:szCs w:val="24"/>
        </w:rPr>
        <w:t xml:space="preserve"> </w:t>
      </w:r>
      <w:r w:rsidRPr="000B4E2C">
        <w:rPr>
          <w:szCs w:val="24"/>
        </w:rPr>
        <w:t xml:space="preserve">Results are summarised in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5</w:t>
      </w:r>
      <w:r w:rsidRPr="000B4E2C">
        <w:rPr>
          <w:szCs w:val="24"/>
        </w:rPr>
        <w:t xml:space="preserve"> below.</w:t>
      </w:r>
    </w:p>
    <w:p w14:paraId="0244AF3A" w14:textId="77777777" w:rsidR="000B4E2C" w:rsidRPr="000B4E2C" w:rsidRDefault="003B644E" w:rsidP="008A7464">
      <w:pPr>
        <w:rPr>
          <w:szCs w:val="24"/>
        </w:rPr>
      </w:pPr>
      <w:r w:rsidRPr="000B4E2C">
        <w:rPr>
          <w:szCs w:val="24"/>
        </w:rPr>
        <w:t xml:space="preserve">Twelve prediction </w:t>
      </w:r>
      <w:r w:rsidR="002F0133" w:rsidRPr="000B4E2C">
        <w:rPr>
          <w:szCs w:val="24"/>
        </w:rPr>
        <w:t>studies were assessed for risk of bias and applicability.</w:t>
      </w:r>
      <w:r w:rsidR="005B5026" w:rsidRPr="000B4E2C">
        <w:rPr>
          <w:noProof/>
          <w:szCs w:val="24"/>
          <w:vertAlign w:val="superscript"/>
        </w:rPr>
        <w:t>48</w:t>
      </w:r>
      <w:r w:rsidR="00A96F4F" w:rsidRPr="000B4E2C">
        <w:rPr>
          <w:szCs w:val="24"/>
          <w:vertAlign w:val="superscript"/>
        </w:rPr>
        <w:t>,</w:t>
      </w:r>
      <w:r w:rsidR="005B5026" w:rsidRPr="000B4E2C">
        <w:rPr>
          <w:noProof/>
          <w:szCs w:val="24"/>
          <w:vertAlign w:val="superscript"/>
        </w:rPr>
        <w:t>89</w:t>
      </w:r>
      <w:r w:rsidR="00A96F4F" w:rsidRPr="000B4E2C">
        <w:rPr>
          <w:szCs w:val="24"/>
          <w:vertAlign w:val="superscript"/>
        </w:rPr>
        <w:t>,</w:t>
      </w:r>
      <w:r w:rsidR="005B5026" w:rsidRPr="000B4E2C">
        <w:rPr>
          <w:noProof/>
          <w:szCs w:val="24"/>
          <w:vertAlign w:val="superscript"/>
        </w:rPr>
        <w:t>51</w:t>
      </w:r>
      <w:r w:rsidR="00A96F4F" w:rsidRPr="000B4E2C">
        <w:rPr>
          <w:szCs w:val="24"/>
          <w:vertAlign w:val="superscript"/>
        </w:rPr>
        <w:t>,</w:t>
      </w:r>
      <w:r w:rsidR="005B5026" w:rsidRPr="000B4E2C">
        <w:rPr>
          <w:noProof/>
          <w:szCs w:val="24"/>
          <w:vertAlign w:val="superscript"/>
        </w:rPr>
        <w:t>72</w:t>
      </w:r>
      <w:r w:rsidR="00A96F4F" w:rsidRPr="000B4E2C">
        <w:rPr>
          <w:szCs w:val="24"/>
          <w:vertAlign w:val="superscript"/>
        </w:rPr>
        <w:t>,</w:t>
      </w:r>
      <w:r w:rsidR="005B5026" w:rsidRPr="000B4E2C">
        <w:rPr>
          <w:noProof/>
          <w:szCs w:val="24"/>
          <w:vertAlign w:val="superscript"/>
        </w:rPr>
        <w:t>77</w:t>
      </w:r>
      <w:r w:rsidR="00A96F4F" w:rsidRPr="000B4E2C">
        <w:rPr>
          <w:szCs w:val="24"/>
          <w:vertAlign w:val="superscript"/>
        </w:rPr>
        <w:t>,</w:t>
      </w:r>
      <w:r w:rsidR="005B5026" w:rsidRPr="000B4E2C">
        <w:rPr>
          <w:noProof/>
          <w:szCs w:val="24"/>
          <w:vertAlign w:val="superscript"/>
        </w:rPr>
        <w:t>85</w:t>
      </w:r>
      <w:r w:rsidR="00A96F4F" w:rsidRPr="000B4E2C">
        <w:rPr>
          <w:szCs w:val="24"/>
          <w:vertAlign w:val="superscript"/>
        </w:rPr>
        <w:t>,</w:t>
      </w:r>
      <w:r w:rsidR="005B5026" w:rsidRPr="000B4E2C">
        <w:rPr>
          <w:noProof/>
          <w:szCs w:val="24"/>
          <w:vertAlign w:val="superscript"/>
        </w:rPr>
        <w:t>74</w:t>
      </w:r>
      <w:r w:rsidR="00A96F4F" w:rsidRPr="000B4E2C">
        <w:rPr>
          <w:szCs w:val="24"/>
          <w:vertAlign w:val="superscript"/>
        </w:rPr>
        <w:t>,</w:t>
      </w:r>
      <w:r w:rsidR="005B5026" w:rsidRPr="000B4E2C">
        <w:rPr>
          <w:noProof/>
          <w:szCs w:val="24"/>
          <w:vertAlign w:val="superscript"/>
        </w:rPr>
        <w:t>61</w:t>
      </w:r>
      <w:r w:rsidR="00A96F4F" w:rsidRPr="000B4E2C">
        <w:rPr>
          <w:szCs w:val="24"/>
          <w:vertAlign w:val="superscript"/>
        </w:rPr>
        <w:t>,</w:t>
      </w:r>
      <w:r w:rsidR="005B5026" w:rsidRPr="000B4E2C">
        <w:rPr>
          <w:noProof/>
          <w:szCs w:val="24"/>
          <w:vertAlign w:val="superscript"/>
        </w:rPr>
        <w:t>34</w:t>
      </w:r>
      <w:r w:rsidR="00A96F4F" w:rsidRPr="000B4E2C">
        <w:rPr>
          <w:szCs w:val="24"/>
          <w:vertAlign w:val="superscript"/>
        </w:rPr>
        <w:t>,</w:t>
      </w:r>
      <w:r w:rsidR="005B5026" w:rsidRPr="000B4E2C">
        <w:rPr>
          <w:noProof/>
          <w:szCs w:val="24"/>
          <w:vertAlign w:val="superscript"/>
        </w:rPr>
        <w:t>57</w:t>
      </w:r>
      <w:r w:rsidR="00A96F4F" w:rsidRPr="000B4E2C">
        <w:rPr>
          <w:szCs w:val="24"/>
          <w:vertAlign w:val="superscript"/>
        </w:rPr>
        <w:t>,</w:t>
      </w:r>
      <w:r w:rsidR="005B5026" w:rsidRPr="000B4E2C">
        <w:rPr>
          <w:noProof/>
          <w:szCs w:val="24"/>
          <w:vertAlign w:val="superscript"/>
        </w:rPr>
        <w:t>55</w:t>
      </w:r>
      <w:r w:rsidR="00A96F4F" w:rsidRPr="000B4E2C">
        <w:rPr>
          <w:szCs w:val="24"/>
          <w:vertAlign w:val="superscript"/>
        </w:rPr>
        <w:t>,</w:t>
      </w:r>
      <w:r w:rsidR="005B5026" w:rsidRPr="000B4E2C">
        <w:rPr>
          <w:noProof/>
          <w:szCs w:val="24"/>
          <w:vertAlign w:val="superscript"/>
        </w:rPr>
        <w:t>84</w:t>
      </w:r>
      <w:r w:rsidR="00A96F4F" w:rsidRPr="000B4E2C">
        <w:rPr>
          <w:szCs w:val="24"/>
        </w:rPr>
        <w:t xml:space="preserve"> </w:t>
      </w:r>
      <w:r w:rsidR="002F0133" w:rsidRPr="000B4E2C">
        <w:rPr>
          <w:szCs w:val="24"/>
        </w:rPr>
        <w:t xml:space="preserve">Three studies (25%) reported insufficient information to determine whether selection of patients could have introduced bias </w:t>
      </w:r>
      <w:r w:rsidR="00BC4E83" w:rsidRPr="000B4E2C">
        <w:rPr>
          <w:szCs w:val="24"/>
        </w:rPr>
        <w:t xml:space="preserve">and these studies were judged </w:t>
      </w:r>
      <w:r w:rsidR="002F0133" w:rsidRPr="000B4E2C">
        <w:rPr>
          <w:szCs w:val="24"/>
        </w:rPr>
        <w:t>to be at uncl</w:t>
      </w:r>
      <w:r w:rsidR="00A96F4F" w:rsidRPr="000B4E2C">
        <w:rPr>
          <w:szCs w:val="24"/>
        </w:rPr>
        <w:t>ear risk of bias.</w:t>
      </w:r>
      <w:r w:rsidR="005B5026" w:rsidRPr="000B4E2C">
        <w:rPr>
          <w:noProof/>
          <w:szCs w:val="24"/>
          <w:vertAlign w:val="superscript"/>
        </w:rPr>
        <w:t>74</w:t>
      </w:r>
      <w:r w:rsidR="00A96F4F" w:rsidRPr="000B4E2C">
        <w:rPr>
          <w:szCs w:val="24"/>
          <w:vertAlign w:val="superscript"/>
        </w:rPr>
        <w:t>,</w:t>
      </w:r>
      <w:r w:rsidR="005B5026" w:rsidRPr="000B4E2C">
        <w:rPr>
          <w:noProof/>
          <w:szCs w:val="24"/>
          <w:vertAlign w:val="superscript"/>
        </w:rPr>
        <w:t>34</w:t>
      </w:r>
      <w:r w:rsidR="00A96F4F" w:rsidRPr="000B4E2C">
        <w:rPr>
          <w:szCs w:val="24"/>
          <w:vertAlign w:val="superscript"/>
        </w:rPr>
        <w:t>,</w:t>
      </w:r>
      <w:r w:rsidR="005B5026" w:rsidRPr="000B4E2C">
        <w:rPr>
          <w:noProof/>
          <w:szCs w:val="24"/>
          <w:vertAlign w:val="superscript"/>
        </w:rPr>
        <w:t>57</w:t>
      </w:r>
      <w:r w:rsidR="002F0133" w:rsidRPr="000B4E2C">
        <w:rPr>
          <w:szCs w:val="24"/>
        </w:rPr>
        <w:t xml:space="preserve"> The remaining studies were judged to be at low risk of bias for this domain. No studies were judged to have made predictor assessments without the knowledge of outcome </w:t>
      </w:r>
      <w:r w:rsidR="002F0133" w:rsidRPr="000B4E2C">
        <w:rPr>
          <w:szCs w:val="24"/>
          <w:highlight w:val="magenta"/>
        </w:rPr>
        <w:t>data</w:t>
      </w:r>
      <w:r w:rsidR="002F0133" w:rsidRPr="000B4E2C">
        <w:rPr>
          <w:szCs w:val="24"/>
        </w:rPr>
        <w:t xml:space="preserve"> and, therefore, the risk of bias for the predictors domain was judged to be unclear for all studies. The risk of bias in the outcome domain was unclear for all studies, mainly </w:t>
      </w:r>
      <w:r w:rsidR="002F0133" w:rsidRPr="000B4E2C">
        <w:rPr>
          <w:szCs w:val="24"/>
          <w:highlight w:val="magenta"/>
        </w:rPr>
        <w:t>due to</w:t>
      </w:r>
      <w:r w:rsidR="002F0133" w:rsidRPr="000B4E2C">
        <w:rPr>
          <w:szCs w:val="24"/>
        </w:rPr>
        <w:t xml:space="preserve"> inadequate information to assess whether outcomes were determined without knowledge of predictor information. The risk of bias for the analys</w:t>
      </w:r>
      <w:r w:rsidR="00BC4E83" w:rsidRPr="000B4E2C">
        <w:rPr>
          <w:szCs w:val="24"/>
        </w:rPr>
        <w:t>is domain was unclear in 58% of studies and high in 42%</w:t>
      </w:r>
      <w:r w:rsidR="002F0133" w:rsidRPr="000B4E2C">
        <w:rPr>
          <w:szCs w:val="24"/>
        </w:rPr>
        <w:t>.</w:t>
      </w:r>
    </w:p>
    <w:p w14:paraId="2D977F42" w14:textId="77777777" w:rsidR="000B4E2C" w:rsidRPr="000B4E2C" w:rsidRDefault="002F0133" w:rsidP="008A7464">
      <w:pPr>
        <w:rPr>
          <w:szCs w:val="24"/>
        </w:rPr>
      </w:pPr>
      <w:r w:rsidRPr="000B4E2C">
        <w:rPr>
          <w:szCs w:val="24"/>
        </w:rPr>
        <w:t>The ov</w:t>
      </w:r>
      <w:r w:rsidR="00E11CE8" w:rsidRPr="000B4E2C">
        <w:rPr>
          <w:szCs w:val="24"/>
        </w:rPr>
        <w:t>erall risk of bias was considered to be</w:t>
      </w:r>
      <w:r w:rsidRPr="000B4E2C">
        <w:rPr>
          <w:szCs w:val="24"/>
        </w:rPr>
        <w:t xml:space="preserve"> unclear for most studies (70%), mainly </w:t>
      </w:r>
      <w:r w:rsidRPr="000B4E2C">
        <w:rPr>
          <w:szCs w:val="24"/>
          <w:highlight w:val="magenta"/>
        </w:rPr>
        <w:t>due to</w:t>
      </w:r>
      <w:r w:rsidRPr="000B4E2C">
        <w:rPr>
          <w:szCs w:val="24"/>
        </w:rPr>
        <w:t xml:space="preserve"> these studies being assessed as at high risk of bias in the analysis domain. The remaining studies were judged to be at unclear risk of bias.</w:t>
      </w:r>
    </w:p>
    <w:p w14:paraId="368BF69C" w14:textId="1A9F92AF" w:rsidR="000B4E2C" w:rsidRPr="000B4E2C" w:rsidRDefault="002F0133" w:rsidP="008A7464">
      <w:pPr>
        <w:rPr>
          <w:szCs w:val="24"/>
        </w:rPr>
      </w:pPr>
      <w:r w:rsidRPr="000B4E2C">
        <w:rPr>
          <w:szCs w:val="24"/>
        </w:rPr>
        <w:t>Most studies were judged to be at low risk for applicability to the review question in each of the domain categories. Overall</w:t>
      </w:r>
      <w:r w:rsidR="00E11CE8" w:rsidRPr="000B4E2C">
        <w:rPr>
          <w:szCs w:val="24"/>
        </w:rPr>
        <w:t>,</w:t>
      </w:r>
      <w:r w:rsidRPr="000B4E2C">
        <w:rPr>
          <w:szCs w:val="24"/>
        </w:rPr>
        <w:t xml:space="preserve"> applicability was judged to be</w:t>
      </w:r>
      <w:r w:rsidR="00E11CE8" w:rsidRPr="000B4E2C">
        <w:rPr>
          <w:szCs w:val="24"/>
        </w:rPr>
        <w:t xml:space="preserve"> at</w:t>
      </w:r>
      <w:r w:rsidRPr="000B4E2C">
        <w:rPr>
          <w:szCs w:val="24"/>
        </w:rPr>
        <w:t xml:space="preserve"> low risk</w:t>
      </w:r>
      <w:r w:rsidR="00E11CE8" w:rsidRPr="000B4E2C">
        <w:rPr>
          <w:szCs w:val="24"/>
        </w:rPr>
        <w:t xml:space="preserve"> of bias for 75% of the studies</w:t>
      </w:r>
      <w:r w:rsidRPr="000B4E2C">
        <w:rPr>
          <w:szCs w:val="24"/>
        </w:rPr>
        <w:t xml:space="preserve"> </w:t>
      </w:r>
      <w:r w:rsidR="00E11CE8" w:rsidRPr="000B4E2C">
        <w:rPr>
          <w:szCs w:val="24"/>
        </w:rPr>
        <w:t>and at unclear risk for</w:t>
      </w:r>
      <w:r w:rsidRPr="000B4E2C">
        <w:rPr>
          <w:szCs w:val="24"/>
        </w:rPr>
        <w:t xml:space="preserve"> the remain</w:t>
      </w:r>
      <w:r w:rsidR="00E11CE8" w:rsidRPr="000B4E2C">
        <w:rPr>
          <w:szCs w:val="24"/>
        </w:rPr>
        <w:t>ing studies</w:t>
      </w:r>
      <w:r w:rsidRPr="000B4E2C">
        <w:rPr>
          <w:szCs w:val="24"/>
        </w:rPr>
        <w:t>. In general, there was no major concern that the studies w</w:t>
      </w:r>
      <w:r w:rsidR="00E11CE8" w:rsidRPr="000B4E2C">
        <w:rPr>
          <w:szCs w:val="24"/>
        </w:rPr>
        <w:t>ere not applicable to the research</w:t>
      </w:r>
      <w:r w:rsidRPr="000B4E2C">
        <w:rPr>
          <w:szCs w:val="24"/>
        </w:rPr>
        <w:t xml:space="preserve"> question</w:t>
      </w:r>
      <w:r w:rsidR="00E11CE8" w:rsidRPr="000B4E2C">
        <w:rPr>
          <w:szCs w:val="24"/>
        </w:rPr>
        <w:t>s of this assessment</w:t>
      </w:r>
      <w:r w:rsidRPr="000B4E2C">
        <w:rPr>
          <w:szCs w:val="24"/>
        </w:rPr>
        <w:t xml:space="preserve">. Summaries of the results are </w:t>
      </w:r>
      <w:r w:rsidR="00634CAC" w:rsidRPr="000B4E2C">
        <w:rPr>
          <w:szCs w:val="24"/>
        </w:rPr>
        <w:t xml:space="preserve">shown </w:t>
      </w:r>
      <w:r w:rsidRPr="000B4E2C">
        <w:rPr>
          <w:szCs w:val="24"/>
        </w:rPr>
        <w:t xml:space="preserve">in </w:t>
      </w:r>
      <w:r w:rsidR="000B4E2C" w:rsidRPr="000B4E2C">
        <w:rPr>
          <w:i/>
          <w:color w:val="FF0000"/>
          <w:szCs w:val="24"/>
        </w:rPr>
        <w:t>F</w:t>
      </w:r>
      <w:r w:rsidR="000B4E2C" w:rsidRPr="000B4E2C">
        <w:rPr>
          <w:i/>
          <w:color w:val="FF0000"/>
          <w:szCs w:val="24"/>
        </w:rPr>
        <w:t>igures</w:t>
      </w:r>
      <w:r w:rsidR="000B4E2C" w:rsidRPr="000B4E2C">
        <w:rPr>
          <w:i/>
          <w:color w:val="FF0000"/>
          <w:szCs w:val="24"/>
        </w:rPr>
        <w:t xml:space="preserve"> </w:t>
      </w:r>
      <w:r w:rsidR="000B4E2C" w:rsidRPr="000B4E2C">
        <w:rPr>
          <w:i/>
          <w:color w:val="FF0000"/>
          <w:szCs w:val="24"/>
        </w:rPr>
        <w:t>3</w:t>
      </w:r>
      <w:r w:rsidR="00E11CE8" w:rsidRPr="000B4E2C">
        <w:rPr>
          <w:szCs w:val="24"/>
        </w:rPr>
        <w:t xml:space="preserve"> and </w:t>
      </w:r>
      <w:r w:rsidR="00D64893" w:rsidRPr="000B4E2C">
        <w:rPr>
          <w:szCs w:val="24"/>
        </w:rPr>
        <w:t>4</w:t>
      </w:r>
      <w:r w:rsidR="00634CAC" w:rsidRPr="000B4E2C">
        <w:rPr>
          <w:szCs w:val="24"/>
        </w:rPr>
        <w:t xml:space="preserve"> while </w:t>
      </w:r>
      <w:r w:rsidRPr="000B4E2C">
        <w:rPr>
          <w:szCs w:val="24"/>
        </w:rPr>
        <w:t xml:space="preserve">individual study level results are </w:t>
      </w:r>
      <w:r w:rsidR="00634CAC" w:rsidRPr="000B4E2C">
        <w:rPr>
          <w:szCs w:val="24"/>
        </w:rPr>
        <w:t>presen</w:t>
      </w:r>
      <w:r w:rsidR="00D23CB9" w:rsidRPr="000B4E2C">
        <w:rPr>
          <w:szCs w:val="24"/>
        </w:rPr>
        <w:t>ted</w:t>
      </w:r>
      <w:r w:rsidRPr="000B4E2C">
        <w:rPr>
          <w:szCs w:val="24"/>
        </w:rPr>
        <w:t xml:space="preserve"> in Appendix </w:t>
      </w:r>
      <w:r w:rsidR="00242F94" w:rsidRPr="000B4E2C">
        <w:rPr>
          <w:szCs w:val="24"/>
        </w:rPr>
        <w:t>10</w:t>
      </w:r>
      <w:r w:rsidR="00943DC5" w:rsidRPr="000B4E2C">
        <w:rPr>
          <w:szCs w:val="24"/>
        </w:rPr>
        <w:t xml:space="preserve">,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29</w:t>
      </w:r>
      <w:r w:rsidR="00D64893" w:rsidRPr="000B4E2C">
        <w:rPr>
          <w:szCs w:val="24"/>
        </w:rPr>
        <w:t>.</w:t>
      </w:r>
    </w:p>
    <w:p w14:paraId="0922D9E1" w14:textId="004B54E4" w:rsidR="000B4E2C" w:rsidRPr="000B4E2C" w:rsidRDefault="000B4E2C" w:rsidP="008A7464">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3</w:t>
      </w:r>
      <w:r w:rsidRPr="000B4E2C">
        <w:t xml:space="preserve"> </w:t>
      </w:r>
      <w:r w:rsidR="002F0133" w:rsidRPr="000B4E2C">
        <w:t xml:space="preserve">Risk of bias assessment </w:t>
      </w:r>
      <w:r w:rsidR="00E11CE8" w:rsidRPr="000B4E2C">
        <w:t xml:space="preserve">of </w:t>
      </w:r>
      <w:r w:rsidR="002F0133" w:rsidRPr="000B4E2C">
        <w:t>studies that assessed the role of biomarkers for prediction of relevant clinical outcomes using the PROBAST tool</w:t>
      </w:r>
    </w:p>
    <w:p w14:paraId="2D20273F" w14:textId="6EBD3E99" w:rsidR="000B4E2C" w:rsidRPr="000B4E2C" w:rsidRDefault="000B4E2C" w:rsidP="008A7464">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4</w:t>
      </w:r>
      <w:r w:rsidRPr="000B4E2C">
        <w:t xml:space="preserve"> </w:t>
      </w:r>
      <w:r w:rsidR="002F0133" w:rsidRPr="000B4E2C">
        <w:t>Applicability of prediction studies to the research question</w:t>
      </w:r>
      <w:r w:rsidR="00E11CE8" w:rsidRPr="000B4E2C">
        <w:t>s</w:t>
      </w:r>
      <w:r w:rsidR="002F0133" w:rsidRPr="000B4E2C">
        <w:t xml:space="preserve"> using the PROBAST tool</w:t>
      </w:r>
    </w:p>
    <w:p w14:paraId="1CE4D424" w14:textId="190D4516" w:rsidR="000B4E2C" w:rsidRPr="000B4E2C" w:rsidRDefault="002F0133" w:rsidP="008A7464">
      <w:pPr>
        <w:pStyle w:val="Heading2"/>
      </w:pPr>
      <w:r w:rsidRPr="000B4E2C">
        <w:t>Accuracy of the NephroCheck and NGAL assays for identifying AKI</w:t>
      </w:r>
    </w:p>
    <w:p w14:paraId="054FD1DC" w14:textId="77777777" w:rsidR="000B4E2C" w:rsidRPr="000B4E2C" w:rsidRDefault="002F0133" w:rsidP="008A7464">
      <w:pPr>
        <w:rPr>
          <w:szCs w:val="24"/>
        </w:rPr>
      </w:pPr>
      <w:r w:rsidRPr="000B4E2C">
        <w:rPr>
          <w:szCs w:val="24"/>
        </w:rPr>
        <w:t xml:space="preserve">We were able to extract or derive 2x2 </w:t>
      </w:r>
      <w:r w:rsidRPr="000B4E2C">
        <w:rPr>
          <w:szCs w:val="24"/>
          <w:highlight w:val="magenta"/>
        </w:rPr>
        <w:t>data</w:t>
      </w:r>
      <w:r w:rsidRPr="000B4E2C">
        <w:rPr>
          <w:szCs w:val="24"/>
        </w:rPr>
        <w:t xml:space="preserve"> from 33 studies that assessed the performance of NephroCheck, urine NGAL ARCHITECT and urine and plasma </w:t>
      </w:r>
      <w:r w:rsidR="009D7F5A" w:rsidRPr="000B4E2C">
        <w:rPr>
          <w:szCs w:val="24"/>
        </w:rPr>
        <w:t>BioPorto</w:t>
      </w:r>
      <w:r w:rsidRPr="000B4E2C">
        <w:rPr>
          <w:szCs w:val="24"/>
        </w:rPr>
        <w:t xml:space="preserve"> NGAL assays for identifying AKI in critically ill hospitalised patients. These studies are summarised below.</w:t>
      </w:r>
    </w:p>
    <w:p w14:paraId="4821C8D7" w14:textId="77777777" w:rsidR="000B4E2C" w:rsidRPr="000B4E2C" w:rsidRDefault="002F0133" w:rsidP="008A7464">
      <w:pPr>
        <w:rPr>
          <w:szCs w:val="24"/>
        </w:rPr>
      </w:pPr>
      <w:r w:rsidRPr="000B4E2C">
        <w:rPr>
          <w:szCs w:val="24"/>
        </w:rPr>
        <w:t>The summary estimates of accuracy and HSROC are provided separately for each assay, clinical setting, mode of sampling and type of patient population (adults, children). We also present analyses across all settings. Studies that could not be combined in a meta-analysis (less than four) are summarised narratively.</w:t>
      </w:r>
    </w:p>
    <w:p w14:paraId="01E5C12C" w14:textId="48109CCA" w:rsidR="002F0133" w:rsidRPr="000B4E2C" w:rsidRDefault="002F0133" w:rsidP="008A7464">
      <w:pPr>
        <w:pStyle w:val="Heading3"/>
      </w:pPr>
      <w:r w:rsidRPr="000B4E2C">
        <w:t>NephroCheck urine assay (Astute Medical)</w:t>
      </w:r>
      <w:r w:rsidR="000B4E2C" w:rsidRPr="000B4E2C">
        <w:rPr>
          <w:color w:val="00B0F0"/>
        </w:rPr>
        <w:t xml:space="preserve"> – </w:t>
      </w:r>
      <w:r w:rsidRPr="000B4E2C">
        <w:t>adult population</w:t>
      </w:r>
    </w:p>
    <w:p w14:paraId="138D4510" w14:textId="34EAF943" w:rsidR="000B4E2C" w:rsidRPr="000B4E2C" w:rsidRDefault="002F0133" w:rsidP="008A7464">
      <w:pPr>
        <w:rPr>
          <w:szCs w:val="24"/>
        </w:rPr>
      </w:pPr>
      <w:r w:rsidRPr="000B4E2C">
        <w:rPr>
          <w:szCs w:val="24"/>
        </w:rPr>
        <w:t xml:space="preserve">A summary of the diagnostic </w:t>
      </w:r>
      <w:r w:rsidRPr="000B4E2C">
        <w:rPr>
          <w:szCs w:val="24"/>
          <w:highlight w:val="magenta"/>
        </w:rPr>
        <w:t>data</w:t>
      </w:r>
      <w:r w:rsidRPr="000B4E2C">
        <w:rPr>
          <w:szCs w:val="24"/>
        </w:rPr>
        <w:t xml:space="preserve"> for the seven studies that assessed the use of NephroCheck (Astute Medical) for detection of AKI in adults is presented in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5</w:t>
      </w:r>
      <w:r w:rsidRPr="000B4E2C">
        <w:rPr>
          <w:szCs w:val="24"/>
        </w:rPr>
        <w:t>.</w:t>
      </w:r>
    </w:p>
    <w:p w14:paraId="0F631F05" w14:textId="22BACA18" w:rsidR="002F0133" w:rsidRPr="000B4E2C" w:rsidRDefault="000B4E2C" w:rsidP="008A7464">
      <w:pPr>
        <w:pStyle w:val="Heading2"/>
      </w:pPr>
      <w:r w:rsidRPr="000B4E2C">
        <w:rPr>
          <w:i/>
          <w:color w:val="FF0000"/>
        </w:rPr>
        <w:lastRenderedPageBreak/>
        <w:t>T</w:t>
      </w:r>
      <w:r w:rsidRPr="000B4E2C">
        <w:rPr>
          <w:i/>
          <w:color w:val="FF0000"/>
        </w:rPr>
        <w:t>able</w:t>
      </w:r>
      <w:r w:rsidRPr="000B4E2C">
        <w:rPr>
          <w:i/>
          <w:color w:val="FF0000"/>
        </w:rPr>
        <w:t xml:space="preserve"> </w:t>
      </w:r>
      <w:r w:rsidRPr="000B4E2C">
        <w:rPr>
          <w:i/>
          <w:color w:val="FF0000"/>
        </w:rPr>
        <w:t>5</w:t>
      </w:r>
      <w:r w:rsidRPr="000B4E2C">
        <w:t xml:space="preserve"> </w:t>
      </w:r>
      <w:r w:rsidR="002F0133" w:rsidRPr="000B4E2C">
        <w:t xml:space="preserve">Summary of diagnostic </w:t>
      </w:r>
      <w:r w:rsidR="002F0133" w:rsidRPr="000B4E2C">
        <w:rPr>
          <w:highlight w:val="magenta"/>
        </w:rPr>
        <w:t>data</w:t>
      </w:r>
      <w:r w:rsidR="002F0133" w:rsidRPr="000B4E2C">
        <w:t xml:space="preserve"> for NephroCheck for detection of AKI</w:t>
      </w:r>
      <w:r w:rsidRPr="000B4E2C">
        <w:rPr>
          <w:color w:val="00B0F0"/>
        </w:rPr>
        <w:t xml:space="preserve"> – </w:t>
      </w:r>
      <w:r w:rsidR="002F0133" w:rsidRPr="000B4E2C">
        <w:t>adult population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892"/>
        <w:gridCol w:w="668"/>
        <w:gridCol w:w="1407"/>
        <w:gridCol w:w="1929"/>
        <w:gridCol w:w="1568"/>
        <w:gridCol w:w="641"/>
        <w:gridCol w:w="641"/>
        <w:gridCol w:w="613"/>
        <w:gridCol w:w="667"/>
      </w:tblGrid>
      <w:tr w:rsidR="000B4E2C" w:rsidRPr="000B4E2C" w14:paraId="04804224" w14:textId="77777777" w:rsidTr="000B4E2C">
        <w:trPr>
          <w:cantSplit/>
          <w:tblHeader/>
        </w:trPr>
        <w:tc>
          <w:tcPr>
            <w:tcW w:w="0" w:type="auto"/>
            <w:shd w:val="clear" w:color="auto" w:fill="auto"/>
            <w:vAlign w:val="center"/>
            <w:hideMark/>
          </w:tcPr>
          <w:p w14:paraId="68A9C0C8" w14:textId="77777777" w:rsidR="002F0133" w:rsidRPr="000B4E2C" w:rsidRDefault="002F0133" w:rsidP="008A7464">
            <w:pPr>
              <w:jc w:val="center"/>
              <w:rPr>
                <w:b/>
                <w:bCs/>
                <w:color w:val="000000"/>
                <w:lang w:eastAsia="en-GB"/>
              </w:rPr>
            </w:pPr>
            <w:r w:rsidRPr="000B4E2C">
              <w:rPr>
                <w:b/>
                <w:bCs/>
                <w:lang w:eastAsia="en-GB"/>
              </w:rPr>
              <w:t>STUDY ID</w:t>
            </w:r>
          </w:p>
        </w:tc>
        <w:tc>
          <w:tcPr>
            <w:tcW w:w="0" w:type="auto"/>
            <w:shd w:val="clear" w:color="auto" w:fill="auto"/>
            <w:vAlign w:val="center"/>
          </w:tcPr>
          <w:p w14:paraId="53559AD0" w14:textId="77777777" w:rsidR="002F0133" w:rsidRPr="000B4E2C" w:rsidRDefault="002F0133" w:rsidP="008A7464">
            <w:pPr>
              <w:jc w:val="center"/>
              <w:rPr>
                <w:b/>
                <w:bCs/>
                <w:color w:val="000000"/>
                <w:lang w:eastAsia="en-GB"/>
              </w:rPr>
            </w:pPr>
            <w:r w:rsidRPr="000B4E2C">
              <w:rPr>
                <w:b/>
                <w:bCs/>
                <w:lang w:eastAsia="en-GB"/>
              </w:rPr>
              <w:t>Target Population (setting)</w:t>
            </w:r>
          </w:p>
        </w:tc>
        <w:tc>
          <w:tcPr>
            <w:tcW w:w="0" w:type="auto"/>
            <w:shd w:val="clear" w:color="auto" w:fill="auto"/>
            <w:vAlign w:val="center"/>
            <w:hideMark/>
          </w:tcPr>
          <w:p w14:paraId="1620F575" w14:textId="77777777" w:rsidR="002F0133" w:rsidRPr="000B4E2C" w:rsidRDefault="002F0133" w:rsidP="008A7464">
            <w:pPr>
              <w:jc w:val="center"/>
              <w:rPr>
                <w:b/>
                <w:bCs/>
                <w:color w:val="000000"/>
                <w:lang w:eastAsia="en-GB"/>
              </w:rPr>
            </w:pPr>
            <w:r w:rsidRPr="000B4E2C">
              <w:rPr>
                <w:b/>
                <w:bCs/>
                <w:lang w:eastAsia="en-GB"/>
              </w:rPr>
              <w:t>Assay</w:t>
            </w:r>
          </w:p>
        </w:tc>
        <w:tc>
          <w:tcPr>
            <w:tcW w:w="0" w:type="auto"/>
            <w:shd w:val="clear" w:color="auto" w:fill="auto"/>
            <w:vAlign w:val="center"/>
            <w:hideMark/>
          </w:tcPr>
          <w:p w14:paraId="09753F75" w14:textId="77777777" w:rsidR="002F0133" w:rsidRPr="000B4E2C" w:rsidRDefault="002F0133" w:rsidP="008A7464">
            <w:pPr>
              <w:jc w:val="center"/>
              <w:rPr>
                <w:b/>
                <w:bCs/>
                <w:color w:val="000000"/>
                <w:lang w:eastAsia="en-GB"/>
              </w:rPr>
            </w:pPr>
            <w:r w:rsidRPr="000B4E2C">
              <w:rPr>
                <w:b/>
                <w:bCs/>
                <w:lang w:eastAsia="en-GB"/>
              </w:rPr>
              <w:t>Timing of Test</w:t>
            </w:r>
          </w:p>
        </w:tc>
        <w:tc>
          <w:tcPr>
            <w:tcW w:w="0" w:type="auto"/>
            <w:shd w:val="clear" w:color="auto" w:fill="auto"/>
            <w:vAlign w:val="center"/>
            <w:hideMark/>
          </w:tcPr>
          <w:p w14:paraId="72101696" w14:textId="77777777" w:rsidR="002F0133" w:rsidRPr="000B4E2C" w:rsidRDefault="002F0133" w:rsidP="008A7464">
            <w:pPr>
              <w:jc w:val="center"/>
              <w:rPr>
                <w:b/>
                <w:bCs/>
                <w:color w:val="000000"/>
                <w:lang w:eastAsia="en-GB"/>
              </w:rPr>
            </w:pPr>
            <w:r w:rsidRPr="000B4E2C">
              <w:rPr>
                <w:b/>
                <w:bCs/>
                <w:lang w:eastAsia="en-GB"/>
              </w:rPr>
              <w:t xml:space="preserve">Cut off </w:t>
            </w:r>
          </w:p>
        </w:tc>
        <w:tc>
          <w:tcPr>
            <w:tcW w:w="0" w:type="auto"/>
            <w:shd w:val="clear" w:color="auto" w:fill="auto"/>
            <w:vAlign w:val="center"/>
            <w:hideMark/>
          </w:tcPr>
          <w:p w14:paraId="6E3F6356" w14:textId="77777777" w:rsidR="002F0133" w:rsidRPr="000B4E2C" w:rsidRDefault="002F0133" w:rsidP="008A7464">
            <w:pPr>
              <w:jc w:val="center"/>
              <w:rPr>
                <w:b/>
                <w:bCs/>
                <w:lang w:eastAsia="en-GB"/>
              </w:rPr>
            </w:pPr>
            <w:r w:rsidRPr="000B4E2C">
              <w:rPr>
                <w:b/>
                <w:bCs/>
                <w:lang w:eastAsia="en-GB"/>
              </w:rPr>
              <w:t>Sensitivity</w:t>
            </w:r>
          </w:p>
          <w:p w14:paraId="10D2DB59" w14:textId="77777777" w:rsidR="002F0133" w:rsidRPr="000B4E2C" w:rsidRDefault="002F0133" w:rsidP="008A7464">
            <w:pPr>
              <w:jc w:val="center"/>
              <w:rPr>
                <w:b/>
                <w:bCs/>
                <w:color w:val="000000"/>
                <w:lang w:eastAsia="en-GB"/>
              </w:rPr>
            </w:pPr>
            <w:r w:rsidRPr="000B4E2C">
              <w:rPr>
                <w:b/>
                <w:bCs/>
                <w:lang w:eastAsia="en-GB"/>
              </w:rPr>
              <w:t>(95% CI)</w:t>
            </w:r>
          </w:p>
        </w:tc>
        <w:tc>
          <w:tcPr>
            <w:tcW w:w="0" w:type="auto"/>
            <w:shd w:val="clear" w:color="auto" w:fill="auto"/>
            <w:vAlign w:val="center"/>
            <w:hideMark/>
          </w:tcPr>
          <w:p w14:paraId="0435979D" w14:textId="77777777" w:rsidR="002F0133" w:rsidRPr="000B4E2C" w:rsidRDefault="002F0133" w:rsidP="008A7464">
            <w:pPr>
              <w:jc w:val="center"/>
              <w:rPr>
                <w:b/>
                <w:bCs/>
                <w:lang w:eastAsia="en-GB"/>
              </w:rPr>
            </w:pPr>
            <w:r w:rsidRPr="000B4E2C">
              <w:rPr>
                <w:b/>
                <w:bCs/>
                <w:lang w:eastAsia="en-GB"/>
              </w:rPr>
              <w:t>Specificity</w:t>
            </w:r>
          </w:p>
          <w:p w14:paraId="170610F1" w14:textId="77777777" w:rsidR="002F0133" w:rsidRPr="000B4E2C" w:rsidRDefault="002F0133" w:rsidP="008A7464">
            <w:pPr>
              <w:jc w:val="center"/>
              <w:rPr>
                <w:b/>
                <w:bCs/>
                <w:color w:val="000000"/>
                <w:lang w:eastAsia="en-GB"/>
              </w:rPr>
            </w:pPr>
            <w:r w:rsidRPr="000B4E2C">
              <w:rPr>
                <w:b/>
                <w:bCs/>
                <w:lang w:eastAsia="en-GB"/>
              </w:rPr>
              <w:t>(95% CI)</w:t>
            </w:r>
          </w:p>
        </w:tc>
        <w:tc>
          <w:tcPr>
            <w:tcW w:w="0" w:type="auto"/>
            <w:shd w:val="clear" w:color="auto" w:fill="auto"/>
            <w:vAlign w:val="center"/>
            <w:hideMark/>
          </w:tcPr>
          <w:p w14:paraId="5EC4BC26" w14:textId="77777777" w:rsidR="002F0133" w:rsidRPr="000B4E2C" w:rsidRDefault="002F0133" w:rsidP="008A7464">
            <w:pPr>
              <w:jc w:val="center"/>
              <w:rPr>
                <w:b/>
                <w:bCs/>
                <w:lang w:eastAsia="en-GB"/>
              </w:rPr>
            </w:pPr>
            <w:r w:rsidRPr="000B4E2C">
              <w:rPr>
                <w:b/>
                <w:bCs/>
                <w:lang w:eastAsia="en-GB"/>
              </w:rPr>
              <w:t>AUC</w:t>
            </w:r>
          </w:p>
          <w:p w14:paraId="3C72EC66" w14:textId="77777777" w:rsidR="002F0133" w:rsidRPr="000B4E2C" w:rsidRDefault="002F0133" w:rsidP="008A7464">
            <w:pPr>
              <w:jc w:val="center"/>
              <w:rPr>
                <w:b/>
                <w:bCs/>
                <w:color w:val="000000"/>
                <w:lang w:eastAsia="en-GB"/>
              </w:rPr>
            </w:pPr>
            <w:r w:rsidRPr="000B4E2C">
              <w:rPr>
                <w:b/>
                <w:bCs/>
                <w:lang w:eastAsia="en-GB"/>
              </w:rPr>
              <w:t>(95% CI)</w:t>
            </w:r>
          </w:p>
        </w:tc>
        <w:tc>
          <w:tcPr>
            <w:tcW w:w="0" w:type="auto"/>
            <w:shd w:val="clear" w:color="auto" w:fill="auto"/>
            <w:vAlign w:val="center"/>
          </w:tcPr>
          <w:p w14:paraId="1FE3E2CB" w14:textId="77777777" w:rsidR="002F0133" w:rsidRPr="000B4E2C" w:rsidRDefault="002F0133" w:rsidP="008A7464">
            <w:pPr>
              <w:jc w:val="center"/>
              <w:rPr>
                <w:b/>
                <w:bCs/>
                <w:lang w:eastAsia="en-GB"/>
              </w:rPr>
            </w:pPr>
            <w:r w:rsidRPr="000B4E2C">
              <w:rPr>
                <w:b/>
                <w:bCs/>
                <w:lang w:eastAsia="en-GB"/>
              </w:rPr>
              <w:t>Prevalence of AKI</w:t>
            </w:r>
          </w:p>
        </w:tc>
      </w:tr>
      <w:tr w:rsidR="000B4E2C" w:rsidRPr="000B4E2C" w14:paraId="00E97528" w14:textId="77777777" w:rsidTr="000B4E2C">
        <w:trPr>
          <w:cantSplit/>
          <w:tblHeader/>
        </w:trPr>
        <w:tc>
          <w:tcPr>
            <w:tcW w:w="0" w:type="auto"/>
            <w:shd w:val="clear" w:color="auto" w:fill="auto"/>
            <w:noWrap/>
            <w:vAlign w:val="center"/>
          </w:tcPr>
          <w:p w14:paraId="477621FD" w14:textId="2DA696FC" w:rsidR="002F0133" w:rsidRPr="000B4E2C" w:rsidRDefault="002F0133" w:rsidP="008A7464">
            <w:pPr>
              <w:rPr>
                <w:sz w:val="18"/>
                <w:szCs w:val="18"/>
                <w:lang w:eastAsia="en-GB"/>
              </w:rPr>
            </w:pPr>
            <w:r w:rsidRPr="000B4E2C">
              <w:rPr>
                <w:sz w:val="18"/>
                <w:szCs w:val="18"/>
                <w:lang w:eastAsia="en-GB"/>
              </w:rPr>
              <w:t>Oezkur 2017</w:t>
            </w:r>
            <w:r w:rsidR="005B5026" w:rsidRPr="000B4E2C">
              <w:rPr>
                <w:noProof/>
                <w:sz w:val="18"/>
                <w:szCs w:val="18"/>
                <w:vertAlign w:val="superscript"/>
                <w:lang w:eastAsia="en-GB"/>
              </w:rPr>
              <w:t>29</w:t>
            </w:r>
          </w:p>
        </w:tc>
        <w:tc>
          <w:tcPr>
            <w:tcW w:w="0" w:type="auto"/>
            <w:shd w:val="clear" w:color="auto" w:fill="auto"/>
            <w:vAlign w:val="center"/>
          </w:tcPr>
          <w:p w14:paraId="1A02C89F" w14:textId="77777777" w:rsidR="002F0133" w:rsidRPr="000B4E2C" w:rsidRDefault="002F0133" w:rsidP="008A7464">
            <w:pPr>
              <w:jc w:val="center"/>
              <w:rPr>
                <w:sz w:val="18"/>
                <w:szCs w:val="18"/>
              </w:rPr>
            </w:pPr>
            <w:r w:rsidRPr="000B4E2C">
              <w:rPr>
                <w:sz w:val="18"/>
                <w:szCs w:val="18"/>
              </w:rPr>
              <w:t>Cardiac Surgery</w:t>
            </w:r>
          </w:p>
        </w:tc>
        <w:tc>
          <w:tcPr>
            <w:tcW w:w="0" w:type="auto"/>
            <w:shd w:val="clear" w:color="auto" w:fill="auto"/>
            <w:noWrap/>
            <w:vAlign w:val="center"/>
          </w:tcPr>
          <w:p w14:paraId="77D729D7" w14:textId="77777777" w:rsidR="002F0133" w:rsidRPr="000B4E2C" w:rsidRDefault="002F0133" w:rsidP="008A7464">
            <w:pPr>
              <w:jc w:val="center"/>
              <w:rPr>
                <w:color w:val="000000"/>
                <w:sz w:val="18"/>
                <w:szCs w:val="18"/>
                <w:lang w:eastAsia="en-GB"/>
              </w:rPr>
            </w:pPr>
            <w:r w:rsidRPr="000B4E2C">
              <w:rPr>
                <w:sz w:val="18"/>
                <w:szCs w:val="18"/>
                <w:lang w:eastAsia="en-GB"/>
              </w:rPr>
              <w:t>NephroCheck, Astute Medical</w:t>
            </w:r>
          </w:p>
        </w:tc>
        <w:tc>
          <w:tcPr>
            <w:tcW w:w="0" w:type="auto"/>
            <w:shd w:val="clear" w:color="auto" w:fill="auto"/>
            <w:noWrap/>
            <w:vAlign w:val="center"/>
          </w:tcPr>
          <w:p w14:paraId="146D1225" w14:textId="77777777" w:rsidR="002F0133" w:rsidRPr="000B4E2C" w:rsidRDefault="002F0133" w:rsidP="008A7464">
            <w:pPr>
              <w:jc w:val="center"/>
              <w:rPr>
                <w:sz w:val="18"/>
                <w:szCs w:val="18"/>
                <w:lang w:eastAsia="en-GB"/>
              </w:rPr>
            </w:pPr>
          </w:p>
          <w:p w14:paraId="6BD24C7F" w14:textId="77777777" w:rsidR="000B4E2C" w:rsidRPr="000B4E2C" w:rsidRDefault="002F0133" w:rsidP="008A7464">
            <w:pPr>
              <w:jc w:val="center"/>
              <w:rPr>
                <w:sz w:val="18"/>
                <w:szCs w:val="18"/>
                <w:lang w:eastAsia="en-GB"/>
              </w:rPr>
            </w:pPr>
            <w:r w:rsidRPr="000B4E2C">
              <w:rPr>
                <w:sz w:val="18"/>
                <w:szCs w:val="18"/>
                <w:lang w:eastAsia="en-GB"/>
              </w:rPr>
              <w:t>ICU-admission</w:t>
            </w:r>
          </w:p>
          <w:p w14:paraId="281F00EF" w14:textId="11AB185C" w:rsidR="002F0133" w:rsidRPr="000B4E2C" w:rsidRDefault="002F0133" w:rsidP="008A7464">
            <w:pPr>
              <w:jc w:val="center"/>
              <w:rPr>
                <w:color w:val="000000"/>
                <w:sz w:val="18"/>
                <w:szCs w:val="18"/>
                <w:lang w:eastAsia="en-GB"/>
              </w:rPr>
            </w:pPr>
          </w:p>
        </w:tc>
        <w:tc>
          <w:tcPr>
            <w:tcW w:w="0" w:type="auto"/>
            <w:shd w:val="clear" w:color="auto" w:fill="auto"/>
            <w:noWrap/>
            <w:vAlign w:val="center"/>
          </w:tcPr>
          <w:p w14:paraId="4873ABB6" w14:textId="77777777" w:rsidR="002F0133" w:rsidRPr="000B4E2C" w:rsidRDefault="002F0133" w:rsidP="008A7464">
            <w:pPr>
              <w:jc w:val="center"/>
              <w:rPr>
                <w:color w:val="000000"/>
                <w:sz w:val="18"/>
                <w:szCs w:val="18"/>
                <w:lang w:eastAsia="en-GB"/>
              </w:rPr>
            </w:pPr>
            <w:r w:rsidRPr="000B4E2C">
              <w:rPr>
                <w:sz w:val="18"/>
                <w:szCs w:val="18"/>
                <w:lang w:eastAsia="en-GB"/>
              </w:rPr>
              <w:t>0.3 ng/mL</w:t>
            </w:r>
            <w:r w:rsidRPr="000B4E2C">
              <w:rPr>
                <w:sz w:val="18"/>
                <w:szCs w:val="18"/>
                <w:vertAlign w:val="superscript"/>
                <w:lang w:eastAsia="en-GB"/>
              </w:rPr>
              <w:t>2</w:t>
            </w:r>
            <w:r w:rsidRPr="000B4E2C">
              <w:rPr>
                <w:sz w:val="18"/>
                <w:szCs w:val="18"/>
                <w:lang w:eastAsia="en-GB"/>
              </w:rPr>
              <w:t>/1000</w:t>
            </w:r>
          </w:p>
        </w:tc>
        <w:tc>
          <w:tcPr>
            <w:tcW w:w="0" w:type="auto"/>
            <w:shd w:val="clear" w:color="auto" w:fill="auto"/>
            <w:noWrap/>
            <w:vAlign w:val="center"/>
          </w:tcPr>
          <w:p w14:paraId="188F4B9F" w14:textId="77777777" w:rsidR="002F0133" w:rsidRPr="000B4E2C" w:rsidRDefault="002F0133" w:rsidP="008A7464">
            <w:pPr>
              <w:jc w:val="center"/>
              <w:rPr>
                <w:color w:val="000000"/>
                <w:sz w:val="18"/>
                <w:szCs w:val="18"/>
                <w:lang w:eastAsia="en-GB"/>
              </w:rPr>
            </w:pPr>
            <w:r w:rsidRPr="000B4E2C">
              <w:rPr>
                <w:sz w:val="18"/>
                <w:szCs w:val="18"/>
                <w:lang w:eastAsia="en-GB"/>
              </w:rPr>
              <w:t>0.60</w:t>
            </w:r>
          </w:p>
        </w:tc>
        <w:tc>
          <w:tcPr>
            <w:tcW w:w="0" w:type="auto"/>
            <w:shd w:val="clear" w:color="auto" w:fill="auto"/>
            <w:noWrap/>
            <w:vAlign w:val="center"/>
          </w:tcPr>
          <w:p w14:paraId="4C54D8D2" w14:textId="77777777" w:rsidR="002F0133" w:rsidRPr="000B4E2C" w:rsidRDefault="002F0133" w:rsidP="008A7464">
            <w:pPr>
              <w:jc w:val="center"/>
              <w:rPr>
                <w:color w:val="000000"/>
                <w:sz w:val="18"/>
                <w:szCs w:val="18"/>
                <w:lang w:eastAsia="en-GB"/>
              </w:rPr>
            </w:pPr>
            <w:r w:rsidRPr="000B4E2C">
              <w:rPr>
                <w:sz w:val="18"/>
                <w:szCs w:val="18"/>
                <w:lang w:eastAsia="en-GB"/>
              </w:rPr>
              <w:t>0.88</w:t>
            </w:r>
          </w:p>
        </w:tc>
        <w:tc>
          <w:tcPr>
            <w:tcW w:w="0" w:type="auto"/>
            <w:shd w:val="clear" w:color="auto" w:fill="auto"/>
            <w:noWrap/>
            <w:vAlign w:val="center"/>
          </w:tcPr>
          <w:p w14:paraId="6E0EC3C2" w14:textId="77777777" w:rsidR="002F0133" w:rsidRPr="000B4E2C" w:rsidRDefault="002F0133" w:rsidP="008A7464">
            <w:pPr>
              <w:jc w:val="center"/>
              <w:rPr>
                <w:color w:val="000000"/>
                <w:sz w:val="18"/>
                <w:szCs w:val="18"/>
                <w:lang w:eastAsia="en-GB"/>
              </w:rPr>
            </w:pPr>
            <w:r w:rsidRPr="000B4E2C">
              <w:rPr>
                <w:sz w:val="18"/>
                <w:szCs w:val="18"/>
                <w:lang w:eastAsia="en-GB"/>
              </w:rPr>
              <w:t>NR</w:t>
            </w:r>
          </w:p>
        </w:tc>
        <w:tc>
          <w:tcPr>
            <w:tcW w:w="0" w:type="auto"/>
            <w:shd w:val="clear" w:color="auto" w:fill="auto"/>
            <w:vAlign w:val="center"/>
          </w:tcPr>
          <w:p w14:paraId="4778D0A7" w14:textId="77777777" w:rsidR="002F0133" w:rsidRPr="000B4E2C" w:rsidRDefault="002F0133" w:rsidP="008A7464">
            <w:pPr>
              <w:jc w:val="center"/>
              <w:rPr>
                <w:sz w:val="18"/>
                <w:szCs w:val="18"/>
                <w:lang w:eastAsia="en-GB"/>
              </w:rPr>
            </w:pPr>
            <w:r w:rsidRPr="000B4E2C">
              <w:rPr>
                <w:sz w:val="18"/>
                <w:szCs w:val="18"/>
                <w:lang w:eastAsia="en-GB"/>
              </w:rPr>
              <w:t>0.19</w:t>
            </w:r>
          </w:p>
        </w:tc>
      </w:tr>
      <w:tr w:rsidR="000B4E2C" w:rsidRPr="000B4E2C" w14:paraId="466F7649" w14:textId="77777777" w:rsidTr="000B4E2C">
        <w:trPr>
          <w:cantSplit/>
          <w:tblHeader/>
        </w:trPr>
        <w:tc>
          <w:tcPr>
            <w:tcW w:w="0" w:type="auto"/>
            <w:shd w:val="clear" w:color="auto" w:fill="auto"/>
            <w:noWrap/>
            <w:vAlign w:val="center"/>
            <w:hideMark/>
          </w:tcPr>
          <w:p w14:paraId="174034E2" w14:textId="598FC541" w:rsidR="002F0133" w:rsidRPr="000B4E2C" w:rsidRDefault="002F0133" w:rsidP="008A7464">
            <w:pPr>
              <w:rPr>
                <w:sz w:val="18"/>
                <w:szCs w:val="18"/>
                <w:lang w:eastAsia="en-GB"/>
              </w:rPr>
            </w:pPr>
            <w:r w:rsidRPr="000B4E2C">
              <w:rPr>
                <w:sz w:val="18"/>
                <w:szCs w:val="18"/>
                <w:lang w:eastAsia="en-GB"/>
              </w:rPr>
              <w:t>Cummings 2019</w:t>
            </w:r>
            <w:r w:rsidR="005B5026" w:rsidRPr="000B4E2C">
              <w:rPr>
                <w:noProof/>
                <w:sz w:val="18"/>
                <w:szCs w:val="18"/>
                <w:vertAlign w:val="superscript"/>
                <w:lang w:eastAsia="en-GB"/>
              </w:rPr>
              <w:t>28</w:t>
            </w:r>
          </w:p>
        </w:tc>
        <w:tc>
          <w:tcPr>
            <w:tcW w:w="0" w:type="auto"/>
            <w:shd w:val="clear" w:color="auto" w:fill="auto"/>
            <w:vAlign w:val="center"/>
          </w:tcPr>
          <w:p w14:paraId="1539822B" w14:textId="77777777" w:rsidR="002F0133" w:rsidRPr="000B4E2C" w:rsidRDefault="002F0133" w:rsidP="008A7464">
            <w:pPr>
              <w:jc w:val="center"/>
              <w:rPr>
                <w:sz w:val="18"/>
                <w:szCs w:val="18"/>
              </w:rPr>
            </w:pPr>
            <w:r w:rsidRPr="000B4E2C">
              <w:rPr>
                <w:sz w:val="18"/>
                <w:szCs w:val="18"/>
              </w:rPr>
              <w:t>Cardiac Surgery</w:t>
            </w:r>
          </w:p>
        </w:tc>
        <w:tc>
          <w:tcPr>
            <w:tcW w:w="0" w:type="auto"/>
            <w:shd w:val="clear" w:color="auto" w:fill="auto"/>
            <w:noWrap/>
            <w:vAlign w:val="center"/>
            <w:hideMark/>
          </w:tcPr>
          <w:p w14:paraId="5A437636" w14:textId="77777777" w:rsidR="002F0133" w:rsidRPr="000B4E2C" w:rsidRDefault="002F0133" w:rsidP="008A7464">
            <w:pPr>
              <w:jc w:val="center"/>
              <w:rPr>
                <w:color w:val="000000"/>
                <w:sz w:val="18"/>
                <w:szCs w:val="18"/>
                <w:lang w:eastAsia="en-GB"/>
              </w:rPr>
            </w:pPr>
            <w:r w:rsidRPr="000B4E2C">
              <w:rPr>
                <w:sz w:val="18"/>
                <w:szCs w:val="18"/>
                <w:lang w:eastAsia="en-GB"/>
              </w:rPr>
              <w:t>NephroCheck, Astute Medical</w:t>
            </w:r>
          </w:p>
        </w:tc>
        <w:tc>
          <w:tcPr>
            <w:tcW w:w="0" w:type="auto"/>
            <w:shd w:val="clear" w:color="auto" w:fill="auto"/>
            <w:noWrap/>
            <w:vAlign w:val="center"/>
            <w:hideMark/>
          </w:tcPr>
          <w:p w14:paraId="691ADBDB" w14:textId="77777777" w:rsidR="002F0133" w:rsidRPr="000B4E2C" w:rsidRDefault="002F0133" w:rsidP="008A7464">
            <w:pPr>
              <w:jc w:val="center"/>
              <w:rPr>
                <w:color w:val="000000"/>
                <w:sz w:val="18"/>
                <w:szCs w:val="18"/>
                <w:lang w:eastAsia="en-GB"/>
              </w:rPr>
            </w:pPr>
            <w:r w:rsidRPr="000B4E2C">
              <w:rPr>
                <w:sz w:val="18"/>
                <w:szCs w:val="18"/>
                <w:lang w:eastAsia="en-GB"/>
              </w:rPr>
              <w:t>ICU admission</w:t>
            </w:r>
          </w:p>
        </w:tc>
        <w:tc>
          <w:tcPr>
            <w:tcW w:w="0" w:type="auto"/>
            <w:shd w:val="clear" w:color="auto" w:fill="auto"/>
            <w:noWrap/>
            <w:vAlign w:val="center"/>
            <w:hideMark/>
          </w:tcPr>
          <w:p w14:paraId="467147CF" w14:textId="77777777" w:rsidR="002F0133" w:rsidRPr="000B4E2C" w:rsidRDefault="002F0133" w:rsidP="008A7464">
            <w:pPr>
              <w:rPr>
                <w:color w:val="000000"/>
                <w:sz w:val="18"/>
                <w:szCs w:val="18"/>
                <w:lang w:eastAsia="en-GB"/>
              </w:rPr>
            </w:pPr>
            <w:r w:rsidRPr="000B4E2C">
              <w:rPr>
                <w:sz w:val="18"/>
                <w:szCs w:val="18"/>
                <w:lang w:eastAsia="en-GB"/>
              </w:rPr>
              <w:t>0.3 ng/mL</w:t>
            </w:r>
            <w:r w:rsidRPr="000B4E2C">
              <w:rPr>
                <w:sz w:val="18"/>
                <w:szCs w:val="18"/>
                <w:vertAlign w:val="superscript"/>
                <w:lang w:eastAsia="en-GB"/>
              </w:rPr>
              <w:t>2</w:t>
            </w:r>
            <w:r w:rsidRPr="000B4E2C">
              <w:rPr>
                <w:sz w:val="18"/>
                <w:szCs w:val="18"/>
                <w:lang w:eastAsia="en-GB"/>
              </w:rPr>
              <w:t>/1000</w:t>
            </w:r>
          </w:p>
        </w:tc>
        <w:tc>
          <w:tcPr>
            <w:tcW w:w="0" w:type="auto"/>
            <w:shd w:val="clear" w:color="auto" w:fill="auto"/>
            <w:noWrap/>
            <w:vAlign w:val="center"/>
            <w:hideMark/>
          </w:tcPr>
          <w:p w14:paraId="552C2F18" w14:textId="77777777" w:rsidR="000B4E2C" w:rsidRPr="000B4E2C" w:rsidRDefault="002F0133" w:rsidP="008A7464">
            <w:pPr>
              <w:jc w:val="center"/>
              <w:rPr>
                <w:sz w:val="18"/>
                <w:szCs w:val="18"/>
                <w:lang w:eastAsia="en-GB"/>
              </w:rPr>
            </w:pPr>
            <w:r w:rsidRPr="000B4E2C">
              <w:rPr>
                <w:sz w:val="18"/>
                <w:szCs w:val="18"/>
                <w:lang w:eastAsia="en-GB"/>
              </w:rPr>
              <w:t>0.31</w:t>
            </w:r>
          </w:p>
          <w:p w14:paraId="682EBF63" w14:textId="7DCDA47C" w:rsidR="002F0133" w:rsidRPr="000B4E2C" w:rsidRDefault="002F0133" w:rsidP="008A7464">
            <w:pPr>
              <w:jc w:val="center"/>
              <w:rPr>
                <w:color w:val="000000"/>
                <w:sz w:val="18"/>
                <w:szCs w:val="18"/>
                <w:lang w:eastAsia="en-GB"/>
              </w:rPr>
            </w:pPr>
            <w:r w:rsidRPr="000B4E2C">
              <w:rPr>
                <w:sz w:val="18"/>
                <w:szCs w:val="18"/>
                <w:lang w:eastAsia="en-GB"/>
              </w:rPr>
              <w:t>(0.09, 0.61)</w:t>
            </w:r>
          </w:p>
        </w:tc>
        <w:tc>
          <w:tcPr>
            <w:tcW w:w="0" w:type="auto"/>
            <w:shd w:val="clear" w:color="auto" w:fill="auto"/>
            <w:noWrap/>
            <w:vAlign w:val="center"/>
            <w:hideMark/>
          </w:tcPr>
          <w:p w14:paraId="702C5377" w14:textId="77777777" w:rsidR="000B4E2C" w:rsidRPr="000B4E2C" w:rsidRDefault="002F0133" w:rsidP="008A7464">
            <w:pPr>
              <w:jc w:val="center"/>
              <w:rPr>
                <w:sz w:val="18"/>
                <w:szCs w:val="18"/>
                <w:lang w:eastAsia="en-GB"/>
              </w:rPr>
            </w:pPr>
            <w:r w:rsidRPr="000B4E2C">
              <w:rPr>
                <w:sz w:val="18"/>
                <w:szCs w:val="18"/>
                <w:lang w:eastAsia="en-GB"/>
              </w:rPr>
              <w:t>0.78</w:t>
            </w:r>
          </w:p>
          <w:p w14:paraId="637AB406" w14:textId="1B1783E9" w:rsidR="002F0133" w:rsidRPr="000B4E2C" w:rsidRDefault="002F0133" w:rsidP="008A7464">
            <w:pPr>
              <w:jc w:val="center"/>
              <w:rPr>
                <w:color w:val="000000"/>
                <w:sz w:val="18"/>
                <w:szCs w:val="18"/>
                <w:lang w:eastAsia="en-GB"/>
              </w:rPr>
            </w:pPr>
            <w:r w:rsidRPr="000B4E2C">
              <w:rPr>
                <w:sz w:val="18"/>
                <w:szCs w:val="18"/>
                <w:lang w:eastAsia="en-GB"/>
              </w:rPr>
              <w:t>(0.74, 0.82)</w:t>
            </w:r>
          </w:p>
        </w:tc>
        <w:tc>
          <w:tcPr>
            <w:tcW w:w="0" w:type="auto"/>
            <w:shd w:val="clear" w:color="auto" w:fill="auto"/>
            <w:noWrap/>
            <w:vAlign w:val="center"/>
            <w:hideMark/>
          </w:tcPr>
          <w:p w14:paraId="3E48AB02" w14:textId="77777777" w:rsidR="000B4E2C" w:rsidRPr="000B4E2C" w:rsidRDefault="002F0133" w:rsidP="008A7464">
            <w:pPr>
              <w:jc w:val="center"/>
              <w:rPr>
                <w:sz w:val="18"/>
                <w:szCs w:val="18"/>
                <w:lang w:eastAsia="en-GB"/>
              </w:rPr>
            </w:pPr>
            <w:r w:rsidRPr="000B4E2C">
              <w:rPr>
                <w:sz w:val="18"/>
                <w:szCs w:val="18"/>
                <w:lang w:eastAsia="en-GB"/>
              </w:rPr>
              <w:t>0.68</w:t>
            </w:r>
          </w:p>
          <w:p w14:paraId="7945F449" w14:textId="6F8AE38E" w:rsidR="002F0133" w:rsidRPr="000B4E2C" w:rsidRDefault="002F0133" w:rsidP="008A7464">
            <w:pPr>
              <w:jc w:val="center"/>
              <w:rPr>
                <w:color w:val="000000"/>
                <w:sz w:val="18"/>
                <w:szCs w:val="18"/>
                <w:lang w:eastAsia="en-GB"/>
              </w:rPr>
            </w:pPr>
            <w:r w:rsidRPr="000B4E2C">
              <w:rPr>
                <w:sz w:val="18"/>
                <w:szCs w:val="18"/>
                <w:lang w:eastAsia="en-GB"/>
              </w:rPr>
              <w:t>(0.54, 0.81)</w:t>
            </w:r>
          </w:p>
        </w:tc>
        <w:tc>
          <w:tcPr>
            <w:tcW w:w="0" w:type="auto"/>
            <w:shd w:val="clear" w:color="auto" w:fill="auto"/>
            <w:vAlign w:val="center"/>
          </w:tcPr>
          <w:p w14:paraId="0BB98956" w14:textId="77777777" w:rsidR="002F0133" w:rsidRPr="000B4E2C" w:rsidRDefault="002F0133" w:rsidP="008A7464">
            <w:pPr>
              <w:jc w:val="center"/>
              <w:rPr>
                <w:sz w:val="18"/>
                <w:szCs w:val="18"/>
                <w:lang w:eastAsia="en-GB"/>
              </w:rPr>
            </w:pPr>
          </w:p>
          <w:p w14:paraId="67D6629C" w14:textId="77777777" w:rsidR="002F0133" w:rsidRPr="000B4E2C" w:rsidRDefault="002F0133" w:rsidP="008A7464">
            <w:pPr>
              <w:jc w:val="center"/>
              <w:rPr>
                <w:sz w:val="18"/>
                <w:szCs w:val="18"/>
                <w:lang w:eastAsia="en-GB"/>
              </w:rPr>
            </w:pPr>
            <w:r w:rsidRPr="000B4E2C">
              <w:rPr>
                <w:sz w:val="18"/>
                <w:szCs w:val="18"/>
                <w:lang w:eastAsia="en-GB"/>
              </w:rPr>
              <w:t>0.035</w:t>
            </w:r>
          </w:p>
          <w:p w14:paraId="2691E79F" w14:textId="77777777" w:rsidR="002F0133" w:rsidRPr="000B4E2C" w:rsidRDefault="002F0133" w:rsidP="008A7464">
            <w:pPr>
              <w:jc w:val="center"/>
              <w:rPr>
                <w:sz w:val="18"/>
                <w:szCs w:val="18"/>
                <w:lang w:eastAsia="en-GB"/>
              </w:rPr>
            </w:pPr>
          </w:p>
        </w:tc>
      </w:tr>
      <w:tr w:rsidR="000B4E2C" w:rsidRPr="000B4E2C" w14:paraId="0CDCED9E" w14:textId="77777777" w:rsidTr="000B4E2C">
        <w:trPr>
          <w:cantSplit/>
          <w:tblHeader/>
        </w:trPr>
        <w:tc>
          <w:tcPr>
            <w:tcW w:w="0" w:type="auto"/>
            <w:shd w:val="clear" w:color="auto" w:fill="auto"/>
            <w:noWrap/>
            <w:vAlign w:val="center"/>
          </w:tcPr>
          <w:p w14:paraId="3D1998D9" w14:textId="7E08B62E" w:rsidR="002F0133" w:rsidRPr="000B4E2C" w:rsidRDefault="002F0133" w:rsidP="008A7464">
            <w:pPr>
              <w:rPr>
                <w:sz w:val="18"/>
                <w:szCs w:val="18"/>
                <w:lang w:eastAsia="en-GB"/>
              </w:rPr>
            </w:pPr>
            <w:r w:rsidRPr="000B4E2C">
              <w:rPr>
                <w:sz w:val="18"/>
                <w:szCs w:val="18"/>
                <w:lang w:eastAsia="en-GB"/>
              </w:rPr>
              <w:t>Kashani 2013</w:t>
            </w:r>
            <w:r w:rsidR="005B5026" w:rsidRPr="000B4E2C">
              <w:rPr>
                <w:noProof/>
                <w:sz w:val="18"/>
                <w:szCs w:val="18"/>
                <w:vertAlign w:val="superscript"/>
                <w:lang w:eastAsia="en-GB"/>
              </w:rPr>
              <w:t>36</w:t>
            </w:r>
          </w:p>
        </w:tc>
        <w:tc>
          <w:tcPr>
            <w:tcW w:w="0" w:type="auto"/>
            <w:shd w:val="clear" w:color="auto" w:fill="auto"/>
            <w:vAlign w:val="center"/>
          </w:tcPr>
          <w:p w14:paraId="1A099DDE" w14:textId="5F50D219" w:rsidR="002F0133" w:rsidRPr="000B4E2C" w:rsidRDefault="002F0133" w:rsidP="008A7464">
            <w:pPr>
              <w:jc w:val="center"/>
              <w:rPr>
                <w:sz w:val="18"/>
                <w:szCs w:val="18"/>
              </w:rPr>
            </w:pPr>
            <w:r w:rsidRPr="000B4E2C">
              <w:rPr>
                <w:sz w:val="18"/>
                <w:szCs w:val="18"/>
              </w:rPr>
              <w:t>Critical care</w:t>
            </w:r>
            <w:r w:rsidR="000B4E2C" w:rsidRPr="000B4E2C">
              <w:rPr>
                <w:color w:val="00B0F0"/>
                <w:sz w:val="18"/>
                <w:szCs w:val="18"/>
              </w:rPr>
              <w:t xml:space="preserve"> – </w:t>
            </w:r>
            <w:r w:rsidRPr="000B4E2C">
              <w:rPr>
                <w:sz w:val="18"/>
                <w:szCs w:val="18"/>
              </w:rPr>
              <w:t>mixed population (ICU/ITU)</w:t>
            </w:r>
          </w:p>
        </w:tc>
        <w:tc>
          <w:tcPr>
            <w:tcW w:w="0" w:type="auto"/>
            <w:shd w:val="clear" w:color="auto" w:fill="auto"/>
            <w:noWrap/>
            <w:vAlign w:val="center"/>
          </w:tcPr>
          <w:p w14:paraId="7DFA09BD" w14:textId="77777777" w:rsidR="002F0133" w:rsidRPr="000B4E2C" w:rsidRDefault="002F0133" w:rsidP="008A7464">
            <w:pPr>
              <w:jc w:val="center"/>
              <w:rPr>
                <w:color w:val="000000"/>
                <w:sz w:val="18"/>
                <w:szCs w:val="18"/>
                <w:lang w:eastAsia="en-GB"/>
              </w:rPr>
            </w:pPr>
            <w:r w:rsidRPr="000B4E2C">
              <w:rPr>
                <w:sz w:val="18"/>
                <w:szCs w:val="18"/>
                <w:lang w:eastAsia="en-GB"/>
              </w:rPr>
              <w:t>NephroCheck, Astute Medical</w:t>
            </w:r>
          </w:p>
        </w:tc>
        <w:tc>
          <w:tcPr>
            <w:tcW w:w="0" w:type="auto"/>
            <w:shd w:val="clear" w:color="auto" w:fill="auto"/>
            <w:noWrap/>
            <w:vAlign w:val="center"/>
          </w:tcPr>
          <w:p w14:paraId="7C548B6C" w14:textId="77777777" w:rsidR="002F0133" w:rsidRPr="000B4E2C" w:rsidRDefault="002F0133" w:rsidP="008A7464">
            <w:pPr>
              <w:jc w:val="center"/>
              <w:rPr>
                <w:color w:val="000000"/>
                <w:sz w:val="18"/>
                <w:szCs w:val="18"/>
                <w:lang w:eastAsia="en-GB"/>
              </w:rPr>
            </w:pPr>
            <w:r w:rsidRPr="000B4E2C">
              <w:rPr>
                <w:sz w:val="18"/>
                <w:szCs w:val="18"/>
                <w:lang w:eastAsia="en-GB"/>
              </w:rPr>
              <w:t>ICU admission</w:t>
            </w:r>
          </w:p>
        </w:tc>
        <w:tc>
          <w:tcPr>
            <w:tcW w:w="0" w:type="auto"/>
            <w:shd w:val="clear" w:color="auto" w:fill="auto"/>
            <w:noWrap/>
            <w:vAlign w:val="center"/>
          </w:tcPr>
          <w:p w14:paraId="5275A080" w14:textId="77777777" w:rsidR="002F0133" w:rsidRPr="000B4E2C" w:rsidRDefault="002F0133" w:rsidP="008A7464">
            <w:pPr>
              <w:jc w:val="center"/>
              <w:rPr>
                <w:color w:val="000000"/>
                <w:sz w:val="18"/>
                <w:szCs w:val="18"/>
                <w:lang w:eastAsia="en-GB"/>
              </w:rPr>
            </w:pPr>
            <w:r w:rsidRPr="000B4E2C">
              <w:rPr>
                <w:sz w:val="18"/>
                <w:szCs w:val="18"/>
                <w:lang w:eastAsia="en-GB"/>
              </w:rPr>
              <w:t>0.3 ng/mL</w:t>
            </w:r>
            <w:r w:rsidRPr="000B4E2C">
              <w:rPr>
                <w:sz w:val="18"/>
                <w:szCs w:val="18"/>
                <w:vertAlign w:val="superscript"/>
                <w:lang w:eastAsia="en-GB"/>
              </w:rPr>
              <w:t>2</w:t>
            </w:r>
            <w:r w:rsidRPr="000B4E2C">
              <w:rPr>
                <w:sz w:val="18"/>
                <w:szCs w:val="18"/>
                <w:lang w:eastAsia="en-GB"/>
              </w:rPr>
              <w:t>/1000</w:t>
            </w:r>
          </w:p>
        </w:tc>
        <w:tc>
          <w:tcPr>
            <w:tcW w:w="0" w:type="auto"/>
            <w:shd w:val="clear" w:color="auto" w:fill="auto"/>
            <w:noWrap/>
            <w:vAlign w:val="center"/>
          </w:tcPr>
          <w:p w14:paraId="059B287E" w14:textId="77777777" w:rsidR="002F0133" w:rsidRPr="000B4E2C" w:rsidRDefault="002F0133" w:rsidP="008A7464">
            <w:pPr>
              <w:jc w:val="center"/>
              <w:rPr>
                <w:color w:val="000000"/>
                <w:sz w:val="18"/>
                <w:szCs w:val="18"/>
                <w:lang w:eastAsia="en-GB"/>
              </w:rPr>
            </w:pPr>
            <w:r w:rsidRPr="000B4E2C">
              <w:rPr>
                <w:sz w:val="18"/>
                <w:szCs w:val="18"/>
                <w:lang w:eastAsia="en-GB"/>
              </w:rPr>
              <w:t>0.89</w:t>
            </w:r>
          </w:p>
        </w:tc>
        <w:tc>
          <w:tcPr>
            <w:tcW w:w="0" w:type="auto"/>
            <w:shd w:val="clear" w:color="auto" w:fill="auto"/>
            <w:noWrap/>
            <w:vAlign w:val="center"/>
          </w:tcPr>
          <w:p w14:paraId="2C6D2305" w14:textId="77777777" w:rsidR="002F0133" w:rsidRPr="000B4E2C" w:rsidRDefault="002F0133" w:rsidP="008A7464">
            <w:pPr>
              <w:jc w:val="center"/>
              <w:rPr>
                <w:color w:val="000000"/>
                <w:sz w:val="18"/>
                <w:szCs w:val="18"/>
                <w:lang w:eastAsia="en-GB"/>
              </w:rPr>
            </w:pPr>
            <w:r w:rsidRPr="000B4E2C">
              <w:rPr>
                <w:sz w:val="18"/>
                <w:szCs w:val="18"/>
                <w:lang w:eastAsia="en-GB"/>
              </w:rPr>
              <w:t>0.50</w:t>
            </w:r>
          </w:p>
        </w:tc>
        <w:tc>
          <w:tcPr>
            <w:tcW w:w="0" w:type="auto"/>
            <w:shd w:val="clear" w:color="auto" w:fill="auto"/>
            <w:noWrap/>
            <w:vAlign w:val="center"/>
          </w:tcPr>
          <w:p w14:paraId="71E547F6" w14:textId="77777777" w:rsidR="002F0133" w:rsidRPr="000B4E2C" w:rsidRDefault="002F0133" w:rsidP="008A7464">
            <w:pPr>
              <w:jc w:val="center"/>
              <w:rPr>
                <w:color w:val="000000"/>
                <w:sz w:val="18"/>
                <w:szCs w:val="18"/>
                <w:lang w:eastAsia="en-GB"/>
              </w:rPr>
            </w:pPr>
            <w:r w:rsidRPr="000B4E2C">
              <w:rPr>
                <w:sz w:val="18"/>
                <w:szCs w:val="18"/>
                <w:lang w:eastAsia="en-GB"/>
              </w:rPr>
              <w:t>0.8</w:t>
            </w:r>
          </w:p>
        </w:tc>
        <w:tc>
          <w:tcPr>
            <w:tcW w:w="0" w:type="auto"/>
            <w:shd w:val="clear" w:color="auto" w:fill="auto"/>
            <w:vAlign w:val="center"/>
          </w:tcPr>
          <w:p w14:paraId="04069DB5" w14:textId="77777777" w:rsidR="002F0133" w:rsidRPr="000B4E2C" w:rsidRDefault="002F0133" w:rsidP="008A7464">
            <w:pPr>
              <w:jc w:val="center"/>
              <w:rPr>
                <w:sz w:val="18"/>
                <w:szCs w:val="18"/>
                <w:lang w:eastAsia="en-GB"/>
              </w:rPr>
            </w:pPr>
            <w:r w:rsidRPr="000B4E2C">
              <w:rPr>
                <w:sz w:val="18"/>
                <w:szCs w:val="18"/>
                <w:lang w:eastAsia="en-GB"/>
              </w:rPr>
              <w:t>0.14</w:t>
            </w:r>
          </w:p>
        </w:tc>
      </w:tr>
      <w:tr w:rsidR="000B4E2C" w:rsidRPr="000B4E2C" w14:paraId="7C2A27AF" w14:textId="77777777" w:rsidTr="000B4E2C">
        <w:trPr>
          <w:cantSplit/>
          <w:tblHeader/>
        </w:trPr>
        <w:tc>
          <w:tcPr>
            <w:tcW w:w="0" w:type="auto"/>
            <w:shd w:val="clear" w:color="auto" w:fill="auto"/>
            <w:noWrap/>
            <w:vAlign w:val="center"/>
          </w:tcPr>
          <w:p w14:paraId="1294771B" w14:textId="12B4DDF3" w:rsidR="002F0133" w:rsidRPr="000B4E2C" w:rsidRDefault="002F0133" w:rsidP="008A7464">
            <w:pPr>
              <w:rPr>
                <w:sz w:val="18"/>
                <w:szCs w:val="18"/>
                <w:lang w:eastAsia="en-GB"/>
              </w:rPr>
            </w:pPr>
            <w:r w:rsidRPr="000B4E2C">
              <w:rPr>
                <w:sz w:val="18"/>
                <w:szCs w:val="18"/>
                <w:lang w:eastAsia="en-GB"/>
              </w:rPr>
              <w:t>Bihorac 2014</w:t>
            </w:r>
            <w:r w:rsidR="005B5026" w:rsidRPr="000B4E2C">
              <w:rPr>
                <w:noProof/>
                <w:sz w:val="18"/>
                <w:szCs w:val="18"/>
                <w:vertAlign w:val="superscript"/>
                <w:lang w:eastAsia="en-GB"/>
              </w:rPr>
              <w:t>31</w:t>
            </w:r>
          </w:p>
        </w:tc>
        <w:tc>
          <w:tcPr>
            <w:tcW w:w="0" w:type="auto"/>
            <w:shd w:val="clear" w:color="auto" w:fill="auto"/>
            <w:vAlign w:val="center"/>
          </w:tcPr>
          <w:p w14:paraId="64A9FCD4" w14:textId="1B56AF15" w:rsidR="002F0133" w:rsidRPr="000B4E2C" w:rsidRDefault="002F0133" w:rsidP="008A7464">
            <w:pPr>
              <w:jc w:val="center"/>
              <w:rPr>
                <w:sz w:val="18"/>
                <w:szCs w:val="18"/>
              </w:rPr>
            </w:pPr>
            <w:r w:rsidRPr="000B4E2C">
              <w:rPr>
                <w:sz w:val="18"/>
                <w:szCs w:val="18"/>
              </w:rPr>
              <w:t>Critical care</w:t>
            </w:r>
            <w:r w:rsidR="000B4E2C" w:rsidRPr="000B4E2C">
              <w:rPr>
                <w:color w:val="00B0F0"/>
                <w:sz w:val="18"/>
                <w:szCs w:val="18"/>
              </w:rPr>
              <w:t xml:space="preserve"> – </w:t>
            </w:r>
            <w:r w:rsidRPr="000B4E2C">
              <w:rPr>
                <w:sz w:val="18"/>
                <w:szCs w:val="18"/>
              </w:rPr>
              <w:t>mixed population (ICU/ITU)</w:t>
            </w:r>
          </w:p>
        </w:tc>
        <w:tc>
          <w:tcPr>
            <w:tcW w:w="0" w:type="auto"/>
            <w:shd w:val="clear" w:color="auto" w:fill="auto"/>
            <w:noWrap/>
            <w:vAlign w:val="center"/>
          </w:tcPr>
          <w:p w14:paraId="68554FCB" w14:textId="77777777" w:rsidR="002F0133" w:rsidRPr="000B4E2C" w:rsidRDefault="002F0133" w:rsidP="008A7464">
            <w:pPr>
              <w:jc w:val="center"/>
              <w:rPr>
                <w:color w:val="000000"/>
                <w:sz w:val="18"/>
                <w:szCs w:val="18"/>
                <w:lang w:eastAsia="en-GB"/>
              </w:rPr>
            </w:pPr>
            <w:r w:rsidRPr="000B4E2C">
              <w:rPr>
                <w:sz w:val="18"/>
                <w:szCs w:val="18"/>
                <w:lang w:eastAsia="en-GB"/>
              </w:rPr>
              <w:t>NephroCheck, Astute Medical</w:t>
            </w:r>
          </w:p>
        </w:tc>
        <w:tc>
          <w:tcPr>
            <w:tcW w:w="0" w:type="auto"/>
            <w:shd w:val="clear" w:color="auto" w:fill="auto"/>
            <w:noWrap/>
            <w:vAlign w:val="center"/>
          </w:tcPr>
          <w:p w14:paraId="2BE30579" w14:textId="05A0E57E" w:rsidR="002F0133" w:rsidRPr="000B4E2C" w:rsidRDefault="002F0133" w:rsidP="008A7464">
            <w:pPr>
              <w:jc w:val="center"/>
              <w:rPr>
                <w:color w:val="000000"/>
                <w:sz w:val="18"/>
                <w:szCs w:val="18"/>
                <w:lang w:eastAsia="en-GB"/>
              </w:rPr>
            </w:pPr>
            <w:r w:rsidRPr="000B4E2C">
              <w:rPr>
                <w:sz w:val="18"/>
                <w:szCs w:val="18"/>
                <w:lang w:eastAsia="en-GB"/>
              </w:rPr>
              <w:t>Within 2</w:t>
            </w:r>
            <w:r w:rsidR="000B4E2C" w:rsidRPr="000B4E2C">
              <w:rPr>
                <w:color w:val="00B0F0"/>
                <w:sz w:val="18"/>
                <w:szCs w:val="18"/>
                <w:lang w:eastAsia="en-GB"/>
              </w:rPr>
              <w:t>4</w:t>
            </w:r>
            <w:r w:rsidR="000B4E2C" w:rsidRPr="000B4E2C">
              <w:rPr>
                <w:color w:val="00B0F0"/>
                <w:sz w:val="18"/>
                <w:szCs w:val="18"/>
                <w:lang w:eastAsia="en-GB"/>
              </w:rPr>
              <w:t> </w:t>
            </w:r>
            <w:r w:rsidR="000B4E2C" w:rsidRPr="000B4E2C">
              <w:rPr>
                <w:color w:val="00B0F0"/>
                <w:sz w:val="18"/>
                <w:szCs w:val="18"/>
                <w:lang w:eastAsia="en-GB"/>
              </w:rPr>
              <w:t xml:space="preserve">h </w:t>
            </w:r>
            <w:r w:rsidRPr="000B4E2C">
              <w:rPr>
                <w:sz w:val="18"/>
                <w:szCs w:val="18"/>
                <w:lang w:eastAsia="en-GB"/>
              </w:rPr>
              <w:t>of admission to ICU</w:t>
            </w:r>
          </w:p>
        </w:tc>
        <w:tc>
          <w:tcPr>
            <w:tcW w:w="0" w:type="auto"/>
            <w:shd w:val="clear" w:color="auto" w:fill="auto"/>
            <w:noWrap/>
            <w:vAlign w:val="center"/>
          </w:tcPr>
          <w:p w14:paraId="3F55CDEC" w14:textId="77777777" w:rsidR="002F0133" w:rsidRPr="000B4E2C" w:rsidRDefault="002F0133" w:rsidP="008A7464">
            <w:pPr>
              <w:jc w:val="center"/>
              <w:rPr>
                <w:color w:val="000000"/>
                <w:sz w:val="18"/>
                <w:szCs w:val="18"/>
                <w:lang w:eastAsia="en-GB"/>
              </w:rPr>
            </w:pPr>
            <w:r w:rsidRPr="000B4E2C">
              <w:rPr>
                <w:sz w:val="18"/>
                <w:szCs w:val="18"/>
                <w:lang w:eastAsia="en-GB"/>
              </w:rPr>
              <w:t>0.3 ng/mL</w:t>
            </w:r>
            <w:r w:rsidRPr="000B4E2C">
              <w:rPr>
                <w:sz w:val="18"/>
                <w:szCs w:val="18"/>
                <w:vertAlign w:val="superscript"/>
                <w:lang w:eastAsia="en-GB"/>
              </w:rPr>
              <w:t>2</w:t>
            </w:r>
            <w:r w:rsidRPr="000B4E2C">
              <w:rPr>
                <w:sz w:val="18"/>
                <w:szCs w:val="18"/>
                <w:lang w:eastAsia="en-GB"/>
              </w:rPr>
              <w:t>/1000</w:t>
            </w:r>
          </w:p>
        </w:tc>
        <w:tc>
          <w:tcPr>
            <w:tcW w:w="0" w:type="auto"/>
            <w:shd w:val="clear" w:color="auto" w:fill="auto"/>
            <w:noWrap/>
            <w:vAlign w:val="center"/>
          </w:tcPr>
          <w:p w14:paraId="03E92837" w14:textId="77777777" w:rsidR="000B4E2C" w:rsidRPr="000B4E2C" w:rsidRDefault="002F0133" w:rsidP="008A7464">
            <w:pPr>
              <w:jc w:val="center"/>
              <w:rPr>
                <w:sz w:val="18"/>
                <w:szCs w:val="18"/>
                <w:lang w:eastAsia="en-GB"/>
              </w:rPr>
            </w:pPr>
            <w:r w:rsidRPr="000B4E2C">
              <w:rPr>
                <w:sz w:val="18"/>
                <w:szCs w:val="18"/>
                <w:lang w:eastAsia="en-GB"/>
              </w:rPr>
              <w:t>0.92</w:t>
            </w:r>
          </w:p>
          <w:p w14:paraId="26B92968" w14:textId="04D53F47" w:rsidR="002F0133" w:rsidRPr="000B4E2C" w:rsidRDefault="002F0133" w:rsidP="008A7464">
            <w:pPr>
              <w:jc w:val="center"/>
              <w:rPr>
                <w:color w:val="000000"/>
                <w:sz w:val="18"/>
                <w:szCs w:val="18"/>
                <w:lang w:eastAsia="en-GB"/>
              </w:rPr>
            </w:pPr>
            <w:r w:rsidRPr="000B4E2C">
              <w:rPr>
                <w:sz w:val="18"/>
                <w:szCs w:val="18"/>
                <w:lang w:eastAsia="en-GB"/>
              </w:rPr>
              <w:t>(0.85, 0.98)</w:t>
            </w:r>
          </w:p>
        </w:tc>
        <w:tc>
          <w:tcPr>
            <w:tcW w:w="0" w:type="auto"/>
            <w:shd w:val="clear" w:color="auto" w:fill="auto"/>
            <w:noWrap/>
            <w:vAlign w:val="center"/>
          </w:tcPr>
          <w:p w14:paraId="1A298E67" w14:textId="77777777" w:rsidR="000B4E2C" w:rsidRPr="000B4E2C" w:rsidRDefault="002F0133" w:rsidP="008A7464">
            <w:pPr>
              <w:jc w:val="center"/>
              <w:rPr>
                <w:sz w:val="18"/>
                <w:szCs w:val="18"/>
                <w:lang w:eastAsia="en-GB"/>
              </w:rPr>
            </w:pPr>
            <w:r w:rsidRPr="000B4E2C">
              <w:rPr>
                <w:sz w:val="18"/>
                <w:szCs w:val="18"/>
                <w:lang w:eastAsia="en-GB"/>
              </w:rPr>
              <w:t>0.46</w:t>
            </w:r>
          </w:p>
          <w:p w14:paraId="5DB333C7" w14:textId="22B879E8" w:rsidR="002F0133" w:rsidRPr="000B4E2C" w:rsidRDefault="002F0133" w:rsidP="008A7464">
            <w:pPr>
              <w:jc w:val="center"/>
              <w:rPr>
                <w:color w:val="000000"/>
                <w:sz w:val="18"/>
                <w:szCs w:val="18"/>
                <w:lang w:eastAsia="en-GB"/>
              </w:rPr>
            </w:pPr>
            <w:r w:rsidRPr="000B4E2C">
              <w:rPr>
                <w:sz w:val="18"/>
                <w:szCs w:val="18"/>
                <w:lang w:eastAsia="en-GB"/>
              </w:rPr>
              <w:t>(0.41, 0.52)</w:t>
            </w:r>
          </w:p>
        </w:tc>
        <w:tc>
          <w:tcPr>
            <w:tcW w:w="0" w:type="auto"/>
            <w:shd w:val="clear" w:color="auto" w:fill="auto"/>
            <w:noWrap/>
            <w:vAlign w:val="center"/>
          </w:tcPr>
          <w:p w14:paraId="4DE3E41A" w14:textId="77777777" w:rsidR="000B4E2C" w:rsidRPr="000B4E2C" w:rsidRDefault="002F0133" w:rsidP="008A7464">
            <w:pPr>
              <w:jc w:val="center"/>
              <w:rPr>
                <w:sz w:val="18"/>
                <w:szCs w:val="18"/>
                <w:lang w:eastAsia="en-GB"/>
              </w:rPr>
            </w:pPr>
            <w:r w:rsidRPr="000B4E2C">
              <w:rPr>
                <w:sz w:val="18"/>
                <w:szCs w:val="18"/>
                <w:lang w:eastAsia="en-GB"/>
              </w:rPr>
              <w:t>0.82</w:t>
            </w:r>
          </w:p>
          <w:p w14:paraId="3DCD0A7C" w14:textId="4748C615" w:rsidR="002F0133" w:rsidRPr="000B4E2C" w:rsidRDefault="002F0133" w:rsidP="008A7464">
            <w:pPr>
              <w:jc w:val="center"/>
              <w:rPr>
                <w:color w:val="000000"/>
                <w:sz w:val="18"/>
                <w:szCs w:val="18"/>
                <w:lang w:eastAsia="en-GB"/>
              </w:rPr>
            </w:pPr>
            <w:r w:rsidRPr="000B4E2C">
              <w:rPr>
                <w:sz w:val="18"/>
                <w:szCs w:val="18"/>
                <w:lang w:eastAsia="en-GB"/>
              </w:rPr>
              <w:t>(0.76, 0.88)</w:t>
            </w:r>
          </w:p>
        </w:tc>
        <w:tc>
          <w:tcPr>
            <w:tcW w:w="0" w:type="auto"/>
            <w:shd w:val="clear" w:color="auto" w:fill="auto"/>
            <w:vAlign w:val="center"/>
          </w:tcPr>
          <w:p w14:paraId="7E180FFC" w14:textId="77777777" w:rsidR="002F0133" w:rsidRPr="000B4E2C" w:rsidRDefault="002F0133" w:rsidP="008A7464">
            <w:pPr>
              <w:jc w:val="center"/>
              <w:rPr>
                <w:sz w:val="18"/>
                <w:szCs w:val="18"/>
                <w:lang w:eastAsia="en-GB"/>
              </w:rPr>
            </w:pPr>
            <w:r w:rsidRPr="000B4E2C">
              <w:rPr>
                <w:sz w:val="18"/>
                <w:szCs w:val="18"/>
                <w:lang w:eastAsia="en-GB"/>
              </w:rPr>
              <w:t>0.17</w:t>
            </w:r>
          </w:p>
        </w:tc>
      </w:tr>
      <w:tr w:rsidR="000B4E2C" w:rsidRPr="000B4E2C" w14:paraId="628CBC0D" w14:textId="77777777" w:rsidTr="000B4E2C">
        <w:trPr>
          <w:cantSplit/>
          <w:tblHeader/>
        </w:trPr>
        <w:tc>
          <w:tcPr>
            <w:tcW w:w="0" w:type="auto"/>
            <w:shd w:val="clear" w:color="auto" w:fill="auto"/>
            <w:noWrap/>
            <w:vAlign w:val="center"/>
          </w:tcPr>
          <w:p w14:paraId="78416F90" w14:textId="20BE82F1" w:rsidR="002F0133" w:rsidRPr="000B4E2C" w:rsidRDefault="002F0133" w:rsidP="008A7464">
            <w:pPr>
              <w:rPr>
                <w:sz w:val="18"/>
                <w:szCs w:val="18"/>
                <w:lang w:eastAsia="en-GB"/>
              </w:rPr>
            </w:pPr>
            <w:r w:rsidRPr="000B4E2C">
              <w:rPr>
                <w:sz w:val="18"/>
                <w:szCs w:val="18"/>
                <w:lang w:eastAsia="en-GB"/>
              </w:rPr>
              <w:t>Hoste 2014</w:t>
            </w:r>
            <w:r w:rsidR="005B5026" w:rsidRPr="000B4E2C">
              <w:rPr>
                <w:noProof/>
                <w:sz w:val="18"/>
                <w:szCs w:val="18"/>
                <w:vertAlign w:val="superscript"/>
                <w:lang w:eastAsia="en-GB"/>
              </w:rPr>
              <w:t>35</w:t>
            </w:r>
          </w:p>
        </w:tc>
        <w:tc>
          <w:tcPr>
            <w:tcW w:w="0" w:type="auto"/>
            <w:shd w:val="clear" w:color="auto" w:fill="auto"/>
            <w:vAlign w:val="center"/>
          </w:tcPr>
          <w:p w14:paraId="0161E56C" w14:textId="546755A8" w:rsidR="002F0133" w:rsidRPr="000B4E2C" w:rsidRDefault="002F0133" w:rsidP="008A7464">
            <w:pPr>
              <w:jc w:val="center"/>
              <w:rPr>
                <w:sz w:val="18"/>
                <w:szCs w:val="18"/>
              </w:rPr>
            </w:pPr>
            <w:r w:rsidRPr="000B4E2C">
              <w:rPr>
                <w:sz w:val="18"/>
                <w:szCs w:val="18"/>
              </w:rPr>
              <w:t>Critical care</w:t>
            </w:r>
            <w:r w:rsidR="000B4E2C" w:rsidRPr="000B4E2C">
              <w:rPr>
                <w:color w:val="00B0F0"/>
                <w:sz w:val="18"/>
                <w:szCs w:val="18"/>
              </w:rPr>
              <w:t xml:space="preserve"> – </w:t>
            </w:r>
            <w:r w:rsidRPr="000B4E2C">
              <w:rPr>
                <w:sz w:val="18"/>
                <w:szCs w:val="18"/>
              </w:rPr>
              <w:t>mixed population (ICU/ITU)</w:t>
            </w:r>
          </w:p>
        </w:tc>
        <w:tc>
          <w:tcPr>
            <w:tcW w:w="0" w:type="auto"/>
            <w:shd w:val="clear" w:color="auto" w:fill="auto"/>
            <w:noWrap/>
            <w:vAlign w:val="center"/>
          </w:tcPr>
          <w:p w14:paraId="23AB0853" w14:textId="77777777" w:rsidR="002F0133" w:rsidRPr="000B4E2C" w:rsidRDefault="002F0133" w:rsidP="008A7464">
            <w:pPr>
              <w:jc w:val="center"/>
              <w:rPr>
                <w:color w:val="000000"/>
                <w:sz w:val="18"/>
                <w:szCs w:val="18"/>
                <w:lang w:eastAsia="en-GB"/>
              </w:rPr>
            </w:pPr>
            <w:r w:rsidRPr="000B4E2C">
              <w:rPr>
                <w:sz w:val="18"/>
                <w:szCs w:val="18"/>
                <w:lang w:eastAsia="en-GB"/>
              </w:rPr>
              <w:t>NephroCheck, Astute Medical</w:t>
            </w:r>
          </w:p>
        </w:tc>
        <w:tc>
          <w:tcPr>
            <w:tcW w:w="0" w:type="auto"/>
            <w:shd w:val="clear" w:color="auto" w:fill="auto"/>
            <w:noWrap/>
            <w:vAlign w:val="center"/>
          </w:tcPr>
          <w:p w14:paraId="736B1272" w14:textId="77777777" w:rsidR="002F0133" w:rsidRPr="000B4E2C" w:rsidRDefault="002F0133" w:rsidP="008A7464">
            <w:pPr>
              <w:jc w:val="center"/>
              <w:rPr>
                <w:color w:val="000000"/>
                <w:sz w:val="18"/>
                <w:szCs w:val="18"/>
                <w:lang w:eastAsia="en-GB"/>
              </w:rPr>
            </w:pPr>
            <w:r w:rsidRPr="000B4E2C">
              <w:rPr>
                <w:sz w:val="18"/>
                <w:szCs w:val="18"/>
                <w:lang w:eastAsia="en-GB"/>
              </w:rPr>
              <w:t>ICU admission</w:t>
            </w:r>
          </w:p>
        </w:tc>
        <w:tc>
          <w:tcPr>
            <w:tcW w:w="0" w:type="auto"/>
            <w:shd w:val="clear" w:color="auto" w:fill="auto"/>
            <w:noWrap/>
            <w:vAlign w:val="center"/>
          </w:tcPr>
          <w:p w14:paraId="6DAF90E4" w14:textId="77777777" w:rsidR="002F0133" w:rsidRPr="000B4E2C" w:rsidRDefault="002F0133" w:rsidP="008A7464">
            <w:pPr>
              <w:jc w:val="center"/>
              <w:rPr>
                <w:color w:val="000000"/>
                <w:sz w:val="18"/>
                <w:szCs w:val="18"/>
                <w:lang w:eastAsia="en-GB"/>
              </w:rPr>
            </w:pPr>
            <w:r w:rsidRPr="000B4E2C">
              <w:rPr>
                <w:sz w:val="18"/>
                <w:szCs w:val="18"/>
                <w:lang w:eastAsia="en-GB"/>
              </w:rPr>
              <w:t>0.3 ng/mL</w:t>
            </w:r>
            <w:r w:rsidRPr="000B4E2C">
              <w:rPr>
                <w:sz w:val="18"/>
                <w:szCs w:val="18"/>
                <w:vertAlign w:val="superscript"/>
                <w:lang w:eastAsia="en-GB"/>
              </w:rPr>
              <w:t>2</w:t>
            </w:r>
            <w:r w:rsidRPr="000B4E2C">
              <w:rPr>
                <w:sz w:val="18"/>
                <w:szCs w:val="18"/>
                <w:lang w:eastAsia="en-GB"/>
              </w:rPr>
              <w:t>/1000</w:t>
            </w:r>
          </w:p>
        </w:tc>
        <w:tc>
          <w:tcPr>
            <w:tcW w:w="0" w:type="auto"/>
            <w:shd w:val="clear" w:color="auto" w:fill="auto"/>
            <w:noWrap/>
            <w:vAlign w:val="center"/>
          </w:tcPr>
          <w:p w14:paraId="03566B99" w14:textId="77777777" w:rsidR="002F0133" w:rsidRPr="000B4E2C" w:rsidRDefault="002F0133" w:rsidP="008A7464">
            <w:pPr>
              <w:jc w:val="center"/>
              <w:rPr>
                <w:color w:val="000000"/>
                <w:sz w:val="18"/>
                <w:szCs w:val="18"/>
                <w:lang w:eastAsia="en-GB"/>
              </w:rPr>
            </w:pPr>
            <w:r w:rsidRPr="000B4E2C">
              <w:rPr>
                <w:sz w:val="18"/>
                <w:szCs w:val="18"/>
                <w:lang w:eastAsia="en-GB"/>
              </w:rPr>
              <w:t>0.89</w:t>
            </w:r>
          </w:p>
        </w:tc>
        <w:tc>
          <w:tcPr>
            <w:tcW w:w="0" w:type="auto"/>
            <w:shd w:val="clear" w:color="auto" w:fill="auto"/>
            <w:noWrap/>
            <w:vAlign w:val="center"/>
          </w:tcPr>
          <w:p w14:paraId="256A8E4C" w14:textId="77777777" w:rsidR="002F0133" w:rsidRPr="000B4E2C" w:rsidRDefault="002F0133" w:rsidP="008A7464">
            <w:pPr>
              <w:jc w:val="center"/>
              <w:rPr>
                <w:color w:val="000000"/>
                <w:sz w:val="18"/>
                <w:szCs w:val="18"/>
                <w:lang w:eastAsia="en-GB"/>
              </w:rPr>
            </w:pPr>
            <w:r w:rsidRPr="000B4E2C">
              <w:rPr>
                <w:sz w:val="18"/>
                <w:szCs w:val="18"/>
                <w:lang w:eastAsia="en-GB"/>
              </w:rPr>
              <w:t>0.53</w:t>
            </w:r>
          </w:p>
        </w:tc>
        <w:tc>
          <w:tcPr>
            <w:tcW w:w="0" w:type="auto"/>
            <w:shd w:val="clear" w:color="auto" w:fill="auto"/>
            <w:noWrap/>
            <w:vAlign w:val="center"/>
          </w:tcPr>
          <w:p w14:paraId="7041E3C2" w14:textId="77777777" w:rsidR="000B4E2C" w:rsidRPr="000B4E2C" w:rsidRDefault="002F0133" w:rsidP="008A7464">
            <w:pPr>
              <w:jc w:val="center"/>
              <w:rPr>
                <w:sz w:val="18"/>
                <w:szCs w:val="18"/>
                <w:lang w:eastAsia="en-GB"/>
              </w:rPr>
            </w:pPr>
            <w:r w:rsidRPr="000B4E2C">
              <w:rPr>
                <w:sz w:val="18"/>
                <w:szCs w:val="18"/>
                <w:lang w:eastAsia="en-GB"/>
              </w:rPr>
              <w:t>0.79</w:t>
            </w:r>
          </w:p>
          <w:p w14:paraId="0571C2E2" w14:textId="3AB2966F" w:rsidR="002F0133" w:rsidRPr="000B4E2C" w:rsidRDefault="002F0133" w:rsidP="008A7464">
            <w:pPr>
              <w:jc w:val="center"/>
              <w:rPr>
                <w:color w:val="000000"/>
                <w:sz w:val="18"/>
                <w:szCs w:val="18"/>
                <w:lang w:eastAsia="en-GB"/>
              </w:rPr>
            </w:pPr>
            <w:r w:rsidRPr="000B4E2C">
              <w:rPr>
                <w:sz w:val="18"/>
                <w:szCs w:val="18"/>
                <w:lang w:eastAsia="en-GB"/>
              </w:rPr>
              <w:t>(0.69, 0.88)</w:t>
            </w:r>
          </w:p>
        </w:tc>
        <w:tc>
          <w:tcPr>
            <w:tcW w:w="0" w:type="auto"/>
            <w:shd w:val="clear" w:color="auto" w:fill="auto"/>
            <w:vAlign w:val="center"/>
          </w:tcPr>
          <w:p w14:paraId="784DFA6A" w14:textId="77777777" w:rsidR="002F0133" w:rsidRPr="000B4E2C" w:rsidRDefault="002F0133" w:rsidP="008A7464">
            <w:pPr>
              <w:jc w:val="center"/>
              <w:rPr>
                <w:sz w:val="18"/>
                <w:szCs w:val="18"/>
                <w:lang w:eastAsia="en-GB"/>
              </w:rPr>
            </w:pPr>
            <w:r w:rsidRPr="000B4E2C">
              <w:rPr>
                <w:sz w:val="18"/>
                <w:szCs w:val="18"/>
                <w:lang w:eastAsia="en-GB"/>
              </w:rPr>
              <w:t>0.18</w:t>
            </w:r>
          </w:p>
        </w:tc>
      </w:tr>
      <w:tr w:rsidR="000B4E2C" w:rsidRPr="000B4E2C" w14:paraId="564676CA" w14:textId="77777777" w:rsidTr="000B4E2C">
        <w:trPr>
          <w:cantSplit/>
          <w:tblHeader/>
        </w:trPr>
        <w:tc>
          <w:tcPr>
            <w:tcW w:w="0" w:type="auto"/>
            <w:shd w:val="clear" w:color="auto" w:fill="auto"/>
            <w:noWrap/>
            <w:vAlign w:val="center"/>
          </w:tcPr>
          <w:p w14:paraId="4C172F31" w14:textId="4D93F544" w:rsidR="002F0133" w:rsidRPr="000B4E2C" w:rsidRDefault="002F0133" w:rsidP="008A7464">
            <w:pPr>
              <w:rPr>
                <w:sz w:val="18"/>
                <w:szCs w:val="18"/>
                <w:lang w:eastAsia="en-GB"/>
              </w:rPr>
            </w:pPr>
            <w:r w:rsidRPr="000B4E2C">
              <w:rPr>
                <w:sz w:val="18"/>
                <w:szCs w:val="18"/>
                <w:lang w:eastAsia="en-GB"/>
              </w:rPr>
              <w:t>Kimmel 2016</w:t>
            </w:r>
            <w:r w:rsidR="005B5026" w:rsidRPr="000B4E2C">
              <w:rPr>
                <w:noProof/>
                <w:sz w:val="18"/>
                <w:szCs w:val="18"/>
                <w:vertAlign w:val="superscript"/>
                <w:lang w:eastAsia="en-GB"/>
              </w:rPr>
              <w:t>38</w:t>
            </w:r>
          </w:p>
        </w:tc>
        <w:tc>
          <w:tcPr>
            <w:tcW w:w="0" w:type="auto"/>
            <w:shd w:val="clear" w:color="auto" w:fill="auto"/>
            <w:vAlign w:val="center"/>
          </w:tcPr>
          <w:p w14:paraId="307A36EE" w14:textId="181B384C" w:rsidR="002F0133" w:rsidRPr="000B4E2C" w:rsidRDefault="002F0133" w:rsidP="008A7464">
            <w:pPr>
              <w:jc w:val="center"/>
              <w:rPr>
                <w:sz w:val="18"/>
                <w:szCs w:val="18"/>
              </w:rPr>
            </w:pPr>
            <w:r w:rsidRPr="000B4E2C">
              <w:rPr>
                <w:sz w:val="18"/>
                <w:szCs w:val="18"/>
              </w:rPr>
              <w:t>Critical care</w:t>
            </w:r>
            <w:r w:rsidR="000B4E2C" w:rsidRPr="000B4E2C">
              <w:rPr>
                <w:color w:val="00B0F0"/>
                <w:sz w:val="18"/>
                <w:szCs w:val="18"/>
              </w:rPr>
              <w:t xml:space="preserve"> – </w:t>
            </w:r>
            <w:r w:rsidRPr="000B4E2C">
              <w:rPr>
                <w:sz w:val="18"/>
                <w:szCs w:val="18"/>
              </w:rPr>
              <w:t>mixed population</w:t>
            </w:r>
          </w:p>
        </w:tc>
        <w:tc>
          <w:tcPr>
            <w:tcW w:w="0" w:type="auto"/>
            <w:shd w:val="clear" w:color="auto" w:fill="auto"/>
            <w:noWrap/>
            <w:vAlign w:val="center"/>
          </w:tcPr>
          <w:p w14:paraId="5B9A10EA" w14:textId="77777777" w:rsidR="002F0133" w:rsidRPr="000B4E2C" w:rsidRDefault="002F0133" w:rsidP="008A7464">
            <w:pPr>
              <w:jc w:val="center"/>
              <w:rPr>
                <w:color w:val="000000"/>
                <w:sz w:val="18"/>
                <w:szCs w:val="18"/>
                <w:lang w:eastAsia="en-GB"/>
              </w:rPr>
            </w:pPr>
            <w:r w:rsidRPr="000B4E2C">
              <w:rPr>
                <w:sz w:val="18"/>
                <w:szCs w:val="18"/>
                <w:lang w:eastAsia="en-GB"/>
              </w:rPr>
              <w:t>NephroCheck, Astute Medical</w:t>
            </w:r>
          </w:p>
        </w:tc>
        <w:tc>
          <w:tcPr>
            <w:tcW w:w="0" w:type="auto"/>
            <w:shd w:val="clear" w:color="auto" w:fill="auto"/>
            <w:noWrap/>
            <w:vAlign w:val="center"/>
          </w:tcPr>
          <w:p w14:paraId="4087D3A6" w14:textId="77777777" w:rsidR="002F0133" w:rsidRPr="000B4E2C" w:rsidRDefault="002F0133" w:rsidP="008A7464">
            <w:pPr>
              <w:jc w:val="center"/>
              <w:rPr>
                <w:color w:val="000000"/>
                <w:sz w:val="18"/>
                <w:szCs w:val="18"/>
                <w:lang w:eastAsia="en-GB"/>
              </w:rPr>
            </w:pPr>
            <w:r w:rsidRPr="000B4E2C">
              <w:rPr>
                <w:sz w:val="18"/>
                <w:szCs w:val="18"/>
                <w:lang w:eastAsia="en-GB"/>
              </w:rPr>
              <w:t>Admission to the internal medicine service</w:t>
            </w:r>
          </w:p>
        </w:tc>
        <w:tc>
          <w:tcPr>
            <w:tcW w:w="0" w:type="auto"/>
            <w:shd w:val="clear" w:color="auto" w:fill="auto"/>
            <w:noWrap/>
            <w:vAlign w:val="center"/>
          </w:tcPr>
          <w:p w14:paraId="35CF5DB3" w14:textId="77777777" w:rsidR="002F0133" w:rsidRPr="000B4E2C" w:rsidRDefault="002F0133" w:rsidP="008A7464">
            <w:pPr>
              <w:jc w:val="center"/>
              <w:rPr>
                <w:color w:val="000000"/>
                <w:sz w:val="18"/>
                <w:szCs w:val="18"/>
                <w:lang w:eastAsia="en-GB"/>
              </w:rPr>
            </w:pPr>
            <w:r w:rsidRPr="000B4E2C">
              <w:rPr>
                <w:sz w:val="18"/>
                <w:szCs w:val="18"/>
                <w:lang w:eastAsia="en-GB"/>
              </w:rPr>
              <w:t>Between 0.3 and 2.0 ng/mL</w:t>
            </w:r>
            <w:r w:rsidRPr="000B4E2C">
              <w:rPr>
                <w:sz w:val="18"/>
                <w:szCs w:val="18"/>
                <w:vertAlign w:val="superscript"/>
                <w:lang w:eastAsia="en-GB"/>
              </w:rPr>
              <w:t>2</w:t>
            </w:r>
            <w:r w:rsidRPr="000B4E2C">
              <w:rPr>
                <w:sz w:val="18"/>
                <w:szCs w:val="18"/>
                <w:lang w:eastAsia="en-GB"/>
              </w:rPr>
              <w:t>/1000</w:t>
            </w:r>
          </w:p>
        </w:tc>
        <w:tc>
          <w:tcPr>
            <w:tcW w:w="0" w:type="auto"/>
            <w:shd w:val="clear" w:color="auto" w:fill="auto"/>
            <w:noWrap/>
            <w:vAlign w:val="center"/>
          </w:tcPr>
          <w:p w14:paraId="5A6B4C9E" w14:textId="77777777" w:rsidR="000B4E2C" w:rsidRPr="000B4E2C" w:rsidRDefault="002F0133" w:rsidP="008A7464">
            <w:pPr>
              <w:jc w:val="center"/>
              <w:rPr>
                <w:sz w:val="18"/>
                <w:szCs w:val="18"/>
                <w:lang w:eastAsia="en-GB"/>
              </w:rPr>
            </w:pPr>
            <w:r w:rsidRPr="000B4E2C">
              <w:rPr>
                <w:sz w:val="18"/>
                <w:szCs w:val="18"/>
                <w:lang w:eastAsia="en-GB"/>
              </w:rPr>
              <w:t>0.76</w:t>
            </w:r>
          </w:p>
          <w:p w14:paraId="13541CF5" w14:textId="2ACB759A" w:rsidR="002F0133" w:rsidRPr="000B4E2C" w:rsidRDefault="002F0133" w:rsidP="008A7464">
            <w:pPr>
              <w:jc w:val="center"/>
              <w:rPr>
                <w:color w:val="000000"/>
                <w:sz w:val="18"/>
                <w:szCs w:val="18"/>
                <w:lang w:eastAsia="en-GB"/>
              </w:rPr>
            </w:pPr>
            <w:r w:rsidRPr="000B4E2C">
              <w:rPr>
                <w:sz w:val="18"/>
                <w:szCs w:val="18"/>
                <w:lang w:eastAsia="en-GB"/>
              </w:rPr>
              <w:t>(0.63, 0.87)</w:t>
            </w:r>
          </w:p>
        </w:tc>
        <w:tc>
          <w:tcPr>
            <w:tcW w:w="0" w:type="auto"/>
            <w:shd w:val="clear" w:color="auto" w:fill="auto"/>
            <w:noWrap/>
            <w:vAlign w:val="center"/>
          </w:tcPr>
          <w:p w14:paraId="4C834F8C" w14:textId="77777777" w:rsidR="000B4E2C" w:rsidRPr="000B4E2C" w:rsidRDefault="002F0133" w:rsidP="008A7464">
            <w:pPr>
              <w:jc w:val="center"/>
              <w:rPr>
                <w:sz w:val="18"/>
                <w:szCs w:val="18"/>
                <w:lang w:eastAsia="en-GB"/>
              </w:rPr>
            </w:pPr>
            <w:r w:rsidRPr="000B4E2C">
              <w:rPr>
                <w:sz w:val="18"/>
                <w:szCs w:val="18"/>
                <w:lang w:eastAsia="en-GB"/>
              </w:rPr>
              <w:t>0.53</w:t>
            </w:r>
          </w:p>
          <w:p w14:paraId="7CF4ADCC" w14:textId="616721AA" w:rsidR="002F0133" w:rsidRPr="000B4E2C" w:rsidRDefault="002F0133" w:rsidP="008A7464">
            <w:pPr>
              <w:jc w:val="center"/>
              <w:rPr>
                <w:color w:val="000000"/>
                <w:sz w:val="18"/>
                <w:szCs w:val="18"/>
                <w:lang w:eastAsia="en-GB"/>
              </w:rPr>
            </w:pPr>
            <w:r w:rsidRPr="000B4E2C">
              <w:rPr>
                <w:sz w:val="18"/>
                <w:szCs w:val="18"/>
                <w:lang w:eastAsia="en-GB"/>
              </w:rPr>
              <w:t>(0.48, 0.57)</w:t>
            </w:r>
          </w:p>
        </w:tc>
        <w:tc>
          <w:tcPr>
            <w:tcW w:w="0" w:type="auto"/>
            <w:shd w:val="clear" w:color="auto" w:fill="auto"/>
            <w:noWrap/>
            <w:vAlign w:val="center"/>
          </w:tcPr>
          <w:p w14:paraId="72BCFF88" w14:textId="77777777" w:rsidR="000B4E2C" w:rsidRPr="000B4E2C" w:rsidRDefault="002F0133" w:rsidP="008A7464">
            <w:pPr>
              <w:jc w:val="center"/>
              <w:rPr>
                <w:sz w:val="18"/>
                <w:szCs w:val="18"/>
                <w:lang w:eastAsia="en-GB"/>
              </w:rPr>
            </w:pPr>
            <w:r w:rsidRPr="000B4E2C">
              <w:rPr>
                <w:sz w:val="18"/>
                <w:szCs w:val="18"/>
                <w:lang w:eastAsia="en-GB"/>
              </w:rPr>
              <w:t>0.74</w:t>
            </w:r>
          </w:p>
          <w:p w14:paraId="45CC5E08" w14:textId="648F9110" w:rsidR="002F0133" w:rsidRPr="000B4E2C" w:rsidRDefault="002F0133" w:rsidP="008A7464">
            <w:pPr>
              <w:jc w:val="center"/>
              <w:rPr>
                <w:color w:val="000000"/>
                <w:sz w:val="18"/>
                <w:szCs w:val="18"/>
                <w:lang w:eastAsia="en-GB"/>
              </w:rPr>
            </w:pPr>
            <w:r w:rsidRPr="000B4E2C">
              <w:rPr>
                <w:sz w:val="18"/>
                <w:szCs w:val="18"/>
                <w:lang w:eastAsia="en-GB"/>
              </w:rPr>
              <w:t>(0.66, 0.81)</w:t>
            </w:r>
          </w:p>
        </w:tc>
        <w:tc>
          <w:tcPr>
            <w:tcW w:w="0" w:type="auto"/>
            <w:shd w:val="clear" w:color="auto" w:fill="auto"/>
            <w:vAlign w:val="center"/>
          </w:tcPr>
          <w:p w14:paraId="4C403538" w14:textId="77777777" w:rsidR="002F0133" w:rsidRPr="000B4E2C" w:rsidRDefault="002F0133" w:rsidP="008A7464">
            <w:pPr>
              <w:jc w:val="center"/>
              <w:rPr>
                <w:sz w:val="18"/>
                <w:szCs w:val="18"/>
                <w:lang w:eastAsia="en-GB"/>
              </w:rPr>
            </w:pPr>
            <w:r w:rsidRPr="000B4E2C">
              <w:rPr>
                <w:sz w:val="18"/>
                <w:szCs w:val="18"/>
                <w:lang w:eastAsia="en-GB"/>
              </w:rPr>
              <w:t>0.15</w:t>
            </w:r>
          </w:p>
        </w:tc>
      </w:tr>
      <w:tr w:rsidR="000B4E2C" w:rsidRPr="000B4E2C" w14:paraId="2DFCB009" w14:textId="77777777" w:rsidTr="000B4E2C">
        <w:trPr>
          <w:cantSplit/>
          <w:tblHeader/>
        </w:trPr>
        <w:tc>
          <w:tcPr>
            <w:tcW w:w="0" w:type="auto"/>
            <w:shd w:val="clear" w:color="auto" w:fill="auto"/>
            <w:noWrap/>
            <w:vAlign w:val="center"/>
            <w:hideMark/>
          </w:tcPr>
          <w:p w14:paraId="68480E3A" w14:textId="4126A67F" w:rsidR="002F0133" w:rsidRPr="000B4E2C" w:rsidRDefault="002F0133" w:rsidP="008A7464">
            <w:pPr>
              <w:rPr>
                <w:sz w:val="18"/>
                <w:szCs w:val="18"/>
                <w:lang w:eastAsia="en-GB"/>
              </w:rPr>
            </w:pPr>
            <w:r w:rsidRPr="000B4E2C">
              <w:rPr>
                <w:sz w:val="18"/>
                <w:szCs w:val="18"/>
                <w:lang w:eastAsia="en-GB"/>
              </w:rPr>
              <w:t>Di Leo 2018</w:t>
            </w:r>
            <w:r w:rsidR="005B5026" w:rsidRPr="000B4E2C">
              <w:rPr>
                <w:noProof/>
                <w:sz w:val="18"/>
                <w:szCs w:val="18"/>
                <w:vertAlign w:val="superscript"/>
                <w:lang w:eastAsia="en-GB"/>
              </w:rPr>
              <w:t>32</w:t>
            </w:r>
          </w:p>
        </w:tc>
        <w:tc>
          <w:tcPr>
            <w:tcW w:w="0" w:type="auto"/>
            <w:shd w:val="clear" w:color="auto" w:fill="auto"/>
            <w:vAlign w:val="center"/>
          </w:tcPr>
          <w:p w14:paraId="2F56C806" w14:textId="551F4315" w:rsidR="002F0133" w:rsidRPr="000B4E2C" w:rsidRDefault="002F0133" w:rsidP="008A7464">
            <w:pPr>
              <w:jc w:val="center"/>
              <w:rPr>
                <w:sz w:val="18"/>
                <w:szCs w:val="18"/>
              </w:rPr>
            </w:pPr>
            <w:r w:rsidRPr="000B4E2C">
              <w:rPr>
                <w:sz w:val="18"/>
                <w:szCs w:val="18"/>
              </w:rPr>
              <w:t>Critical care</w:t>
            </w:r>
            <w:r w:rsidR="000B4E2C" w:rsidRPr="000B4E2C">
              <w:rPr>
                <w:color w:val="00B0F0"/>
                <w:sz w:val="18"/>
                <w:szCs w:val="18"/>
              </w:rPr>
              <w:t xml:space="preserve"> – </w:t>
            </w:r>
            <w:r w:rsidRPr="000B4E2C">
              <w:rPr>
                <w:sz w:val="18"/>
                <w:szCs w:val="18"/>
              </w:rPr>
              <w:t>mixed population (ICU/ITU)</w:t>
            </w:r>
          </w:p>
        </w:tc>
        <w:tc>
          <w:tcPr>
            <w:tcW w:w="0" w:type="auto"/>
            <w:shd w:val="clear" w:color="auto" w:fill="auto"/>
            <w:noWrap/>
            <w:vAlign w:val="center"/>
            <w:hideMark/>
          </w:tcPr>
          <w:p w14:paraId="2F4458CF" w14:textId="77777777" w:rsidR="002F0133" w:rsidRPr="000B4E2C" w:rsidRDefault="002F0133" w:rsidP="008A7464">
            <w:pPr>
              <w:jc w:val="center"/>
              <w:rPr>
                <w:color w:val="000000"/>
                <w:sz w:val="18"/>
                <w:szCs w:val="18"/>
                <w:lang w:eastAsia="en-GB"/>
              </w:rPr>
            </w:pPr>
            <w:r w:rsidRPr="000B4E2C">
              <w:rPr>
                <w:sz w:val="18"/>
                <w:szCs w:val="18"/>
                <w:lang w:eastAsia="en-GB"/>
              </w:rPr>
              <w:t>NephroCheck, Astute Medical</w:t>
            </w:r>
          </w:p>
        </w:tc>
        <w:tc>
          <w:tcPr>
            <w:tcW w:w="0" w:type="auto"/>
            <w:shd w:val="clear" w:color="auto" w:fill="auto"/>
            <w:noWrap/>
            <w:vAlign w:val="center"/>
            <w:hideMark/>
          </w:tcPr>
          <w:p w14:paraId="6C0FD3BD" w14:textId="77777777" w:rsidR="002F0133" w:rsidRPr="000B4E2C" w:rsidRDefault="002F0133" w:rsidP="008A7464">
            <w:pPr>
              <w:jc w:val="center"/>
              <w:rPr>
                <w:color w:val="000000"/>
                <w:sz w:val="18"/>
                <w:szCs w:val="18"/>
                <w:lang w:eastAsia="en-GB"/>
              </w:rPr>
            </w:pPr>
            <w:r w:rsidRPr="000B4E2C">
              <w:rPr>
                <w:sz w:val="18"/>
                <w:szCs w:val="18"/>
                <w:lang w:eastAsia="en-GB"/>
              </w:rPr>
              <w:t>ICU admission</w:t>
            </w:r>
          </w:p>
        </w:tc>
        <w:tc>
          <w:tcPr>
            <w:tcW w:w="0" w:type="auto"/>
            <w:shd w:val="clear" w:color="auto" w:fill="auto"/>
            <w:noWrap/>
            <w:vAlign w:val="center"/>
            <w:hideMark/>
          </w:tcPr>
          <w:p w14:paraId="363AF1FF" w14:textId="77777777" w:rsidR="002F0133" w:rsidRPr="000B4E2C" w:rsidRDefault="002F0133" w:rsidP="008A7464">
            <w:pPr>
              <w:jc w:val="center"/>
              <w:rPr>
                <w:color w:val="000000"/>
                <w:sz w:val="18"/>
                <w:szCs w:val="18"/>
                <w:lang w:eastAsia="en-GB"/>
              </w:rPr>
            </w:pPr>
            <w:r w:rsidRPr="000B4E2C">
              <w:rPr>
                <w:sz w:val="18"/>
                <w:szCs w:val="18"/>
                <w:lang w:eastAsia="en-GB"/>
              </w:rPr>
              <w:t>0.3 ng/mL</w:t>
            </w:r>
            <w:r w:rsidRPr="000B4E2C">
              <w:rPr>
                <w:sz w:val="18"/>
                <w:szCs w:val="18"/>
                <w:vertAlign w:val="superscript"/>
                <w:lang w:eastAsia="en-GB"/>
              </w:rPr>
              <w:t>2</w:t>
            </w:r>
            <w:r w:rsidRPr="000B4E2C">
              <w:rPr>
                <w:sz w:val="18"/>
                <w:szCs w:val="18"/>
                <w:lang w:eastAsia="en-GB"/>
              </w:rPr>
              <w:t>/1000</w:t>
            </w:r>
          </w:p>
        </w:tc>
        <w:tc>
          <w:tcPr>
            <w:tcW w:w="0" w:type="auto"/>
            <w:shd w:val="clear" w:color="auto" w:fill="auto"/>
            <w:noWrap/>
            <w:vAlign w:val="center"/>
            <w:hideMark/>
          </w:tcPr>
          <w:p w14:paraId="0E6292B0" w14:textId="69FDFBBF" w:rsidR="002F0133" w:rsidRPr="000B4E2C" w:rsidRDefault="002F0133" w:rsidP="00E5352B">
            <w:pPr>
              <w:jc w:val="center"/>
              <w:rPr>
                <w:color w:val="000000"/>
                <w:sz w:val="18"/>
                <w:szCs w:val="18"/>
                <w:lang w:eastAsia="en-GB"/>
              </w:rPr>
            </w:pPr>
            <w:r w:rsidRPr="000B4E2C">
              <w:rPr>
                <w:sz w:val="18"/>
                <w:szCs w:val="18"/>
                <w:lang w:eastAsia="en-GB"/>
              </w:rPr>
              <w:t>0.</w:t>
            </w:r>
            <w:r w:rsidR="00E5352B" w:rsidRPr="000B4E2C">
              <w:rPr>
                <w:sz w:val="18"/>
                <w:szCs w:val="18"/>
                <w:lang w:eastAsia="en-GB"/>
              </w:rPr>
              <w:t>64</w:t>
            </w:r>
          </w:p>
        </w:tc>
        <w:tc>
          <w:tcPr>
            <w:tcW w:w="0" w:type="auto"/>
            <w:shd w:val="clear" w:color="auto" w:fill="auto"/>
            <w:noWrap/>
            <w:vAlign w:val="center"/>
            <w:hideMark/>
          </w:tcPr>
          <w:p w14:paraId="76A2359D" w14:textId="4FAFB051" w:rsidR="002F0133" w:rsidRPr="000B4E2C" w:rsidRDefault="002F0133" w:rsidP="00E5352B">
            <w:pPr>
              <w:jc w:val="center"/>
              <w:rPr>
                <w:color w:val="000000"/>
                <w:sz w:val="18"/>
                <w:szCs w:val="18"/>
                <w:lang w:eastAsia="en-GB"/>
              </w:rPr>
            </w:pPr>
            <w:r w:rsidRPr="000B4E2C">
              <w:rPr>
                <w:sz w:val="18"/>
                <w:szCs w:val="18"/>
                <w:lang w:eastAsia="en-GB"/>
              </w:rPr>
              <w:t>0.</w:t>
            </w:r>
            <w:r w:rsidR="00E5352B" w:rsidRPr="000B4E2C">
              <w:rPr>
                <w:sz w:val="18"/>
                <w:szCs w:val="18"/>
                <w:lang w:eastAsia="en-GB"/>
              </w:rPr>
              <w:t>56</w:t>
            </w:r>
          </w:p>
        </w:tc>
        <w:tc>
          <w:tcPr>
            <w:tcW w:w="0" w:type="auto"/>
            <w:shd w:val="clear" w:color="auto" w:fill="auto"/>
            <w:noWrap/>
            <w:vAlign w:val="center"/>
            <w:hideMark/>
          </w:tcPr>
          <w:p w14:paraId="47EFB368" w14:textId="77777777" w:rsidR="002F0133" w:rsidRPr="000B4E2C" w:rsidRDefault="002F0133" w:rsidP="008A7464">
            <w:pPr>
              <w:jc w:val="center"/>
              <w:rPr>
                <w:color w:val="000000"/>
                <w:sz w:val="18"/>
                <w:szCs w:val="18"/>
                <w:lang w:eastAsia="en-GB"/>
              </w:rPr>
            </w:pPr>
            <w:r w:rsidRPr="000B4E2C">
              <w:rPr>
                <w:sz w:val="18"/>
                <w:szCs w:val="18"/>
                <w:lang w:eastAsia="en-GB"/>
              </w:rPr>
              <w:t>0.63</w:t>
            </w:r>
          </w:p>
        </w:tc>
        <w:tc>
          <w:tcPr>
            <w:tcW w:w="0" w:type="auto"/>
            <w:shd w:val="clear" w:color="auto" w:fill="auto"/>
            <w:vAlign w:val="center"/>
          </w:tcPr>
          <w:p w14:paraId="51C281DC" w14:textId="77777777" w:rsidR="002F0133" w:rsidRPr="000B4E2C" w:rsidRDefault="002F0133" w:rsidP="008A7464">
            <w:pPr>
              <w:jc w:val="center"/>
              <w:rPr>
                <w:sz w:val="18"/>
                <w:szCs w:val="18"/>
                <w:lang w:eastAsia="en-GB"/>
              </w:rPr>
            </w:pPr>
            <w:r w:rsidRPr="000B4E2C">
              <w:rPr>
                <w:sz w:val="18"/>
                <w:szCs w:val="18"/>
                <w:lang w:eastAsia="en-GB"/>
              </w:rPr>
              <w:t>0.34</w:t>
            </w:r>
          </w:p>
        </w:tc>
      </w:tr>
    </w:tbl>
    <w:p w14:paraId="51D50023" w14:textId="77777777" w:rsidR="000B4E2C" w:rsidRPr="000B4E2C" w:rsidRDefault="000B4E2C" w:rsidP="008A7464"/>
    <w:p w14:paraId="47CAE397" w14:textId="2D9F42DE" w:rsidR="000B4E2C" w:rsidRPr="000B4E2C" w:rsidRDefault="002F0133" w:rsidP="008A7464">
      <w:pPr>
        <w:pStyle w:val="Heading4"/>
      </w:pPr>
      <w:r w:rsidRPr="000B4E2C">
        <w:t>Cardiac surgery</w:t>
      </w:r>
    </w:p>
    <w:p w14:paraId="785252EB" w14:textId="12E19507" w:rsidR="000B4E2C" w:rsidRPr="000B4E2C" w:rsidRDefault="002F0133" w:rsidP="007D5F15">
      <w:pPr>
        <w:rPr>
          <w:szCs w:val="24"/>
        </w:rPr>
      </w:pPr>
      <w:r w:rsidRPr="000B4E2C">
        <w:rPr>
          <w:szCs w:val="24"/>
        </w:rPr>
        <w:t>Two studies, Cummings 2019</w:t>
      </w:r>
      <w:r w:rsidR="005B5026" w:rsidRPr="000B4E2C">
        <w:rPr>
          <w:noProof/>
          <w:szCs w:val="24"/>
          <w:vertAlign w:val="superscript"/>
        </w:rPr>
        <w:t>28</w:t>
      </w:r>
      <w:r w:rsidRPr="000B4E2C">
        <w:rPr>
          <w:szCs w:val="24"/>
        </w:rPr>
        <w:t xml:space="preserve"> and Oezkur 2017</w:t>
      </w:r>
      <w:r w:rsidR="00723580" w:rsidRPr="000B4E2C">
        <w:rPr>
          <w:szCs w:val="24"/>
        </w:rPr>
        <w:t>,</w:t>
      </w:r>
      <w:r w:rsidR="005B5026" w:rsidRPr="000B4E2C">
        <w:rPr>
          <w:noProof/>
          <w:szCs w:val="24"/>
          <w:vertAlign w:val="superscript"/>
        </w:rPr>
        <w:t>29</w:t>
      </w:r>
      <w:r w:rsidRPr="000B4E2C">
        <w:rPr>
          <w:szCs w:val="24"/>
        </w:rPr>
        <w:t xml:space="preserve"> assessed the use of NephroCheck for detection </w:t>
      </w:r>
      <w:r w:rsidR="00177EC5" w:rsidRPr="000B4E2C">
        <w:rPr>
          <w:szCs w:val="24"/>
        </w:rPr>
        <w:t xml:space="preserve">of </w:t>
      </w:r>
      <w:r w:rsidRPr="000B4E2C">
        <w:rPr>
          <w:szCs w:val="24"/>
        </w:rPr>
        <w:t>AKI in patients after cardiac surgery (</w:t>
      </w:r>
      <w:r w:rsidR="00B93103" w:rsidRPr="000B4E2C">
        <w:rPr>
          <w:szCs w:val="24"/>
          <w:highlight w:val="magenta"/>
        </w:rPr>
        <w:t>data</w:t>
      </w:r>
      <w:r w:rsidR="00B93103" w:rsidRPr="000B4E2C">
        <w:rPr>
          <w:szCs w:val="24"/>
        </w:rPr>
        <w:t xml:space="preserve"> from a total of </w:t>
      </w:r>
      <w:r w:rsidRPr="000B4E2C">
        <w:rPr>
          <w:szCs w:val="24"/>
        </w:rPr>
        <w:t>5</w:t>
      </w:r>
      <w:r w:rsidR="00B93103" w:rsidRPr="000B4E2C">
        <w:rPr>
          <w:szCs w:val="24"/>
        </w:rPr>
        <w:t>00</w:t>
      </w:r>
      <w:r w:rsidRPr="000B4E2C">
        <w:rPr>
          <w:szCs w:val="24"/>
        </w:rPr>
        <w:t xml:space="preserve"> </w:t>
      </w:r>
      <w:r w:rsidR="00B93103" w:rsidRPr="000B4E2C">
        <w:rPr>
          <w:szCs w:val="24"/>
        </w:rPr>
        <w:t>participants were available foe the analyses</w:t>
      </w:r>
      <w:r w:rsidRPr="000B4E2C">
        <w:rPr>
          <w:szCs w:val="24"/>
        </w:rPr>
        <w:t>). Both studies used the same cut off point (</w:t>
      </w:r>
      <w:r w:rsidRPr="000B4E2C">
        <w:rPr>
          <w:lang w:eastAsia="en-GB"/>
        </w:rPr>
        <w:t>0.3 ng/mL</w:t>
      </w:r>
      <w:r w:rsidRPr="000B4E2C">
        <w:rPr>
          <w:vertAlign w:val="superscript"/>
          <w:lang w:eastAsia="en-GB"/>
        </w:rPr>
        <w:t>2</w:t>
      </w:r>
      <w:r w:rsidRPr="000B4E2C">
        <w:rPr>
          <w:lang w:eastAsia="en-GB"/>
        </w:rPr>
        <w:t>/1000).</w:t>
      </w:r>
      <w:r w:rsidRPr="000B4E2C">
        <w:rPr>
          <w:szCs w:val="24"/>
        </w:rPr>
        <w:t xml:space="preserve"> The study by Cummings</w:t>
      </w:r>
      <w:r w:rsidRPr="000B4E2C">
        <w:rPr>
          <w:i/>
          <w:color w:val="00B0F0"/>
          <w:szCs w:val="24"/>
        </w:rPr>
        <w:t xml:space="preserve"> et al</w:t>
      </w:r>
      <w:r w:rsidRPr="000B4E2C">
        <w:rPr>
          <w:szCs w:val="24"/>
        </w:rPr>
        <w:t>. assessed a total of 400 cardiac patients soon after ICU admission. The sensitivity and specificity values were 0.31 (95% CI 0.09 to 0.61) and 0.78 (95% CI 0.74 to 0.82), respectively. The study was consistent with other cardiac surge</w:t>
      </w:r>
      <w:r w:rsidR="00C956B7" w:rsidRPr="000B4E2C">
        <w:rPr>
          <w:szCs w:val="24"/>
        </w:rPr>
        <w:t>r</w:t>
      </w:r>
      <w:r w:rsidRPr="000B4E2C">
        <w:rPr>
          <w:szCs w:val="24"/>
        </w:rPr>
        <w:t>y cohorts but showed a low prevalence of AKI (4%</w:t>
      </w:r>
      <w:r w:rsidR="008E4B78" w:rsidRPr="000B4E2C">
        <w:rPr>
          <w:szCs w:val="24"/>
        </w:rPr>
        <w:t>). O</w:t>
      </w:r>
      <w:r w:rsidRPr="000B4E2C">
        <w:rPr>
          <w:szCs w:val="24"/>
        </w:rPr>
        <w:t>nly 14 participants de</w:t>
      </w:r>
      <w:r w:rsidR="008E4B78" w:rsidRPr="000B4E2C">
        <w:rPr>
          <w:szCs w:val="24"/>
        </w:rPr>
        <w:t>veloped AKI KDIGO stage 2 and 3</w:t>
      </w:r>
      <w:r w:rsidRPr="000B4E2C">
        <w:rPr>
          <w:szCs w:val="24"/>
        </w:rPr>
        <w:t>. The study by Oezkur</w:t>
      </w:r>
      <w:r w:rsidRPr="000B4E2C">
        <w:rPr>
          <w:i/>
          <w:color w:val="00B0F0"/>
          <w:szCs w:val="24"/>
        </w:rPr>
        <w:t xml:space="preserve"> et al</w:t>
      </w:r>
      <w:r w:rsidRPr="000B4E2C">
        <w:rPr>
          <w:szCs w:val="24"/>
        </w:rPr>
        <w:t>. a</w:t>
      </w:r>
      <w:r w:rsidR="00B93103" w:rsidRPr="000B4E2C">
        <w:rPr>
          <w:szCs w:val="24"/>
        </w:rPr>
        <w:t xml:space="preserve">nalysed </w:t>
      </w:r>
      <w:r w:rsidRPr="000B4E2C">
        <w:rPr>
          <w:szCs w:val="24"/>
        </w:rPr>
        <w:t>1</w:t>
      </w:r>
      <w:r w:rsidR="00B93103" w:rsidRPr="000B4E2C">
        <w:rPr>
          <w:szCs w:val="24"/>
        </w:rPr>
        <w:t>00</w:t>
      </w:r>
      <w:r w:rsidRPr="000B4E2C">
        <w:rPr>
          <w:szCs w:val="24"/>
        </w:rPr>
        <w:t xml:space="preserve"> patients immediately after cardiac surgery. The reported sensitivity and specificity </w:t>
      </w:r>
      <w:r w:rsidRPr="000B4E2C">
        <w:rPr>
          <w:szCs w:val="24"/>
        </w:rPr>
        <w:lastRenderedPageBreak/>
        <w:t xml:space="preserve">values were 0.60 (95% CI 0.36 to 0.81) and 0.89 (95% CI 0.80 to 0.95), respectively. The prevalence of AKI was 19%.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5</w:t>
      </w:r>
      <w:r w:rsidRPr="000B4E2C">
        <w:rPr>
          <w:szCs w:val="24"/>
        </w:rPr>
        <w:t xml:space="preserve"> shows a summary of the diagnostic </w:t>
      </w:r>
      <w:r w:rsidRPr="000B4E2C">
        <w:rPr>
          <w:szCs w:val="24"/>
          <w:highlight w:val="magenta"/>
        </w:rPr>
        <w:t>data</w:t>
      </w:r>
      <w:r w:rsidRPr="000B4E2C">
        <w:rPr>
          <w:szCs w:val="24"/>
        </w:rPr>
        <w:t xml:space="preserve"> for the two studies</w:t>
      </w:r>
      <w:r w:rsidR="00B93103" w:rsidRPr="000B4E2C">
        <w:rPr>
          <w:szCs w:val="24"/>
        </w:rPr>
        <w:t>.</w:t>
      </w:r>
    </w:p>
    <w:p w14:paraId="0D234270" w14:textId="77777777" w:rsidR="000B4E2C" w:rsidRPr="000B4E2C" w:rsidRDefault="002F0133" w:rsidP="004349A8">
      <w:r w:rsidRPr="000B4E2C">
        <w:t xml:space="preserve">No suitable NephroCheck </w:t>
      </w:r>
      <w:r w:rsidRPr="000B4E2C">
        <w:rPr>
          <w:highlight w:val="magenta"/>
        </w:rPr>
        <w:t>data</w:t>
      </w:r>
      <w:r w:rsidRPr="000B4E2C">
        <w:t xml:space="preserve"> in other post-surgical settings (major non-cardiac surgery) were available from the included studies.</w:t>
      </w:r>
    </w:p>
    <w:p w14:paraId="1CFFAA38" w14:textId="3ADE7C52" w:rsidR="000B4E2C" w:rsidRPr="000B4E2C" w:rsidRDefault="002F0133" w:rsidP="008A7464">
      <w:pPr>
        <w:pStyle w:val="Heading4"/>
      </w:pPr>
      <w:r w:rsidRPr="000B4E2C">
        <w:t>Critical care</w:t>
      </w:r>
      <w:r w:rsidR="000B4E2C" w:rsidRPr="000B4E2C">
        <w:rPr>
          <w:color w:val="00B0F0"/>
        </w:rPr>
        <w:t xml:space="preserve"> – </w:t>
      </w:r>
      <w:r w:rsidRPr="000B4E2C">
        <w:t>mixed population</w:t>
      </w:r>
    </w:p>
    <w:p w14:paraId="6AA5A5EC" w14:textId="454331FE" w:rsidR="000B4E2C" w:rsidRPr="000B4E2C" w:rsidRDefault="00177EC5" w:rsidP="008A7464">
      <w:pPr>
        <w:rPr>
          <w:szCs w:val="24"/>
        </w:rPr>
      </w:pPr>
      <w:r w:rsidRPr="000B4E2C">
        <w:rPr>
          <w:szCs w:val="24"/>
        </w:rPr>
        <w:t xml:space="preserve">Five </w:t>
      </w:r>
      <w:r w:rsidR="002F0133" w:rsidRPr="000B4E2C">
        <w:rPr>
          <w:szCs w:val="24"/>
        </w:rPr>
        <w:t>studies</w:t>
      </w:r>
      <w:r w:rsidR="002F0133" w:rsidRPr="000B4E2C">
        <w:rPr>
          <w:i/>
          <w:szCs w:val="24"/>
        </w:rPr>
        <w:t xml:space="preserve"> </w:t>
      </w:r>
      <w:r w:rsidR="002F0133" w:rsidRPr="000B4E2C">
        <w:rPr>
          <w:szCs w:val="24"/>
        </w:rPr>
        <w:t>(2279 participants in total)</w:t>
      </w:r>
      <w:r w:rsidR="002F0133" w:rsidRPr="000B4E2C">
        <w:rPr>
          <w:i/>
          <w:szCs w:val="24"/>
        </w:rPr>
        <w:t xml:space="preserve"> </w:t>
      </w:r>
      <w:r w:rsidR="002F0133" w:rsidRPr="000B4E2C">
        <w:rPr>
          <w:szCs w:val="24"/>
        </w:rPr>
        <w:t>assessed the use of NephroCheck for detection of AKI in hospitalised patients admitted to ICU or critical care for various clinical reasons. The cut off point used was consistent across studies (</w:t>
      </w:r>
      <w:r w:rsidR="002F0133" w:rsidRPr="000B4E2C">
        <w:rPr>
          <w:lang w:eastAsia="en-GB"/>
        </w:rPr>
        <w:t>0.3 ng/mL</w:t>
      </w:r>
      <w:r w:rsidR="002F0133" w:rsidRPr="000B4E2C">
        <w:rPr>
          <w:vertAlign w:val="superscript"/>
          <w:lang w:eastAsia="en-GB"/>
        </w:rPr>
        <w:t>2</w:t>
      </w:r>
      <w:r w:rsidR="002F0133" w:rsidRPr="000B4E2C">
        <w:rPr>
          <w:lang w:eastAsia="en-GB"/>
        </w:rPr>
        <w:t>/1000)</w:t>
      </w:r>
      <w:r w:rsidR="002F0133" w:rsidRPr="000B4E2C">
        <w:rPr>
          <w:szCs w:val="24"/>
        </w:rPr>
        <w:t xml:space="preserve">.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5</w:t>
      </w:r>
      <w:r w:rsidR="002F0133" w:rsidRPr="000B4E2C">
        <w:rPr>
          <w:szCs w:val="24"/>
        </w:rPr>
        <w:t xml:space="preserve"> shows a summary of the diagnostic </w:t>
      </w:r>
      <w:r w:rsidR="002F0133" w:rsidRPr="000B4E2C">
        <w:rPr>
          <w:szCs w:val="24"/>
          <w:highlight w:val="magenta"/>
        </w:rPr>
        <w:t>data</w:t>
      </w:r>
      <w:r w:rsidR="002F0133" w:rsidRPr="000B4E2C">
        <w:rPr>
          <w:szCs w:val="24"/>
        </w:rPr>
        <w:t xml:space="preserve"> for the six studies</w:t>
      </w:r>
      <w:r w:rsidR="00B93103" w:rsidRPr="000B4E2C">
        <w:rPr>
          <w:szCs w:val="24"/>
        </w:rPr>
        <w:t>.</w:t>
      </w:r>
      <w:r w:rsidR="002F0133" w:rsidRPr="000B4E2C">
        <w:rPr>
          <w:szCs w:val="24"/>
        </w:rPr>
        <w:t xml:space="preserve"> Sensitivity values ranged from 0.64 to 0.92; specificity values form 0.46 to 0.56. The summary estimate of sensitivity was 0.83 (95% CI 0.72 to 0.91) and that of specificity 0.51 (95% CI 0.48 to 0.54). </w:t>
      </w:r>
      <w:r w:rsidR="00B93103" w:rsidRPr="000B4E2C">
        <w:rPr>
          <w:szCs w:val="24"/>
        </w:rPr>
        <w:t>T</w:t>
      </w:r>
      <w:r w:rsidR="002F0133" w:rsidRPr="000B4E2C">
        <w:rPr>
          <w:szCs w:val="24"/>
        </w:rPr>
        <w:t>he HSROC with 95% confidence region for the summary operating point and 95% prediction region</w:t>
      </w:r>
      <w:r w:rsidR="00B93103" w:rsidRPr="000B4E2C">
        <w:rPr>
          <w:szCs w:val="24"/>
        </w:rPr>
        <w:t xml:space="preserve"> is presented in </w:t>
      </w:r>
      <w:r w:rsidR="00C44F99" w:rsidRPr="000B4E2C">
        <w:rPr>
          <w:szCs w:val="24"/>
        </w:rPr>
        <w:t>Appendix 11</w:t>
      </w:r>
      <w:r w:rsidR="00B93103" w:rsidRPr="000B4E2C">
        <w:rPr>
          <w:szCs w:val="24"/>
        </w:rPr>
        <w:t xml:space="preserve">, </w:t>
      </w:r>
      <w:r w:rsidR="000B4E2C" w:rsidRPr="000B4E2C">
        <w:rPr>
          <w:i/>
          <w:color w:val="FF0000"/>
          <w:szCs w:val="24"/>
        </w:rPr>
        <w:t>F</w:t>
      </w:r>
      <w:r w:rsidR="000B4E2C" w:rsidRPr="000B4E2C">
        <w:rPr>
          <w:i/>
          <w:color w:val="FF0000"/>
          <w:szCs w:val="24"/>
        </w:rPr>
        <w:t>igure</w:t>
      </w:r>
      <w:r w:rsidR="000B4E2C" w:rsidRPr="000B4E2C">
        <w:rPr>
          <w:i/>
          <w:color w:val="FF0000"/>
          <w:szCs w:val="24"/>
        </w:rPr>
        <w:t xml:space="preserve"> </w:t>
      </w:r>
      <w:r w:rsidR="000B4E2C" w:rsidRPr="000B4E2C">
        <w:rPr>
          <w:i/>
          <w:color w:val="FF0000"/>
          <w:szCs w:val="24"/>
        </w:rPr>
        <w:t>27</w:t>
      </w:r>
      <w:r w:rsidR="00943DC5" w:rsidRPr="000B4E2C">
        <w:rPr>
          <w:szCs w:val="24"/>
        </w:rPr>
        <w:t>.</w:t>
      </w:r>
      <w:r w:rsidR="002F0133" w:rsidRPr="000B4E2C">
        <w:rPr>
          <w:szCs w:val="24"/>
        </w:rPr>
        <w:t xml:space="preserve"> The confidence and prediction regions indicate a greater degree of heterogeneity in sensitivity estimates than in specificity estimates between studies. Specific</w:t>
      </w:r>
      <w:r w:rsidRPr="000B4E2C">
        <w:rPr>
          <w:szCs w:val="24"/>
        </w:rPr>
        <w:t>i</w:t>
      </w:r>
      <w:r w:rsidR="002F0133" w:rsidRPr="000B4E2C">
        <w:rPr>
          <w:szCs w:val="24"/>
        </w:rPr>
        <w:t xml:space="preserve">ty estimates were low but reasonably homogeneous. It is worth noting that all the five studies were of moderate to small sample size (see </w:t>
      </w:r>
      <w:r w:rsidR="000B4E2C" w:rsidRPr="000B4E2C">
        <w:rPr>
          <w:i/>
          <w:color w:val="FF0000"/>
          <w:szCs w:val="24"/>
        </w:rPr>
        <w:t>F</w:t>
      </w:r>
      <w:r w:rsidR="000B4E2C" w:rsidRPr="000B4E2C">
        <w:rPr>
          <w:i/>
          <w:color w:val="FF0000"/>
          <w:szCs w:val="24"/>
        </w:rPr>
        <w:t>igure</w:t>
      </w:r>
      <w:r w:rsidR="000B4E2C" w:rsidRPr="000B4E2C">
        <w:rPr>
          <w:i/>
          <w:color w:val="FF0000"/>
          <w:szCs w:val="24"/>
        </w:rPr>
        <w:t xml:space="preserve"> </w:t>
      </w:r>
      <w:r w:rsidR="000B4E2C" w:rsidRPr="000B4E2C">
        <w:rPr>
          <w:i/>
          <w:color w:val="FF0000"/>
          <w:szCs w:val="24"/>
        </w:rPr>
        <w:t>26</w:t>
      </w:r>
      <w:r w:rsidR="00C44F99" w:rsidRPr="000B4E2C">
        <w:rPr>
          <w:szCs w:val="24"/>
        </w:rPr>
        <w:t xml:space="preserve"> in Appendix 11</w:t>
      </w:r>
      <w:r w:rsidR="002F0133" w:rsidRPr="000B4E2C">
        <w:rPr>
          <w:szCs w:val="24"/>
        </w:rPr>
        <w:t>).</w:t>
      </w:r>
    </w:p>
    <w:p w14:paraId="465FB92F" w14:textId="05116857" w:rsidR="000B4E2C" w:rsidRPr="000B4E2C" w:rsidRDefault="000B4E2C" w:rsidP="008A7464">
      <w:pPr>
        <w:rPr>
          <w:szCs w:val="24"/>
        </w:rPr>
      </w:pPr>
      <w:r w:rsidRPr="000B4E2C">
        <w:rPr>
          <w:i/>
          <w:color w:val="FF0000"/>
          <w:szCs w:val="24"/>
        </w:rPr>
        <w:t>F</w:t>
      </w:r>
      <w:r w:rsidRPr="000B4E2C">
        <w:rPr>
          <w:i/>
          <w:color w:val="FF0000"/>
          <w:szCs w:val="24"/>
        </w:rPr>
        <w:t>igure</w:t>
      </w:r>
      <w:r w:rsidRPr="000B4E2C">
        <w:rPr>
          <w:i/>
          <w:color w:val="FF0000"/>
          <w:szCs w:val="24"/>
        </w:rPr>
        <w:t xml:space="preserve"> </w:t>
      </w:r>
      <w:r w:rsidRPr="000B4E2C">
        <w:rPr>
          <w:i/>
          <w:color w:val="FF0000"/>
          <w:szCs w:val="24"/>
        </w:rPr>
        <w:t>5</w:t>
      </w:r>
      <w:r w:rsidR="002F0133" w:rsidRPr="000B4E2C">
        <w:rPr>
          <w:szCs w:val="24"/>
        </w:rPr>
        <w:t xml:space="preserve"> shows the forest plots of sensitivity and specificity estimates for all NephroCheck studies (</w:t>
      </w:r>
      <w:r w:rsidR="00177EC5" w:rsidRPr="000B4E2C">
        <w:rPr>
          <w:szCs w:val="24"/>
        </w:rPr>
        <w:t xml:space="preserve">2778 </w:t>
      </w:r>
      <w:r w:rsidR="002F0133" w:rsidRPr="000B4E2C">
        <w:rPr>
          <w:szCs w:val="24"/>
        </w:rPr>
        <w:t xml:space="preserve">patients in total) across clinical settings. Sensitivity values ranged from 0.31 to 0.92 and specificity values from 0.46 to 0.89. Summary estimates for sensitivity and specificity were 0.75 (95% CI 0.58 to 0.87) and 0.61 (95% CI 0.49 to 0.72), respectively. </w:t>
      </w:r>
      <w:r w:rsidRPr="000B4E2C">
        <w:rPr>
          <w:i/>
          <w:color w:val="FF0000"/>
          <w:szCs w:val="24"/>
        </w:rPr>
        <w:t>F</w:t>
      </w:r>
      <w:r w:rsidRPr="000B4E2C">
        <w:rPr>
          <w:i/>
          <w:color w:val="FF0000"/>
          <w:szCs w:val="24"/>
        </w:rPr>
        <w:t>igure</w:t>
      </w:r>
      <w:r w:rsidRPr="000B4E2C">
        <w:rPr>
          <w:i/>
          <w:color w:val="FF0000"/>
          <w:szCs w:val="24"/>
        </w:rPr>
        <w:t xml:space="preserve"> </w:t>
      </w:r>
      <w:r w:rsidRPr="000B4E2C">
        <w:rPr>
          <w:i/>
          <w:color w:val="FF0000"/>
          <w:szCs w:val="24"/>
        </w:rPr>
        <w:t>6</w:t>
      </w:r>
      <w:r w:rsidR="002F0133" w:rsidRPr="000B4E2C">
        <w:rPr>
          <w:szCs w:val="24"/>
        </w:rPr>
        <w:t xml:space="preserve"> shows the HSROC with 95% confidence region for the summary operating point and 95% prediction region. The confidence and prediction regions are large indicating considerable heterogeneity between studi</w:t>
      </w:r>
      <w:r w:rsidR="008E4B78" w:rsidRPr="000B4E2C">
        <w:rPr>
          <w:szCs w:val="24"/>
        </w:rPr>
        <w:t xml:space="preserve">es. Across studies, </w:t>
      </w:r>
      <w:r w:rsidR="002F0133" w:rsidRPr="000B4E2C">
        <w:rPr>
          <w:szCs w:val="24"/>
        </w:rPr>
        <w:t xml:space="preserve">estimates </w:t>
      </w:r>
      <w:r w:rsidR="008E4B78" w:rsidRPr="000B4E2C">
        <w:rPr>
          <w:szCs w:val="24"/>
        </w:rPr>
        <w:t xml:space="preserve">of specificity were generally low apart from </w:t>
      </w:r>
      <w:r w:rsidR="002F0133" w:rsidRPr="000B4E2C">
        <w:rPr>
          <w:szCs w:val="24"/>
        </w:rPr>
        <w:t>two studies that showed higher estimates.</w:t>
      </w:r>
      <w:r w:rsidR="00F727EF" w:rsidRPr="000B4E2C">
        <w:rPr>
          <w:szCs w:val="24"/>
        </w:rPr>
        <w:t xml:space="preserve"> </w:t>
      </w:r>
      <w:r w:rsidR="002F0133" w:rsidRPr="000B4E2C">
        <w:rPr>
          <w:szCs w:val="24"/>
        </w:rPr>
        <w:t>Visual inspection of the forest and HSROC pl</w:t>
      </w:r>
      <w:r w:rsidR="008E4B78" w:rsidRPr="000B4E2C">
        <w:rPr>
          <w:szCs w:val="24"/>
        </w:rPr>
        <w:t xml:space="preserve">ots shows that the study by </w:t>
      </w:r>
      <w:r w:rsidR="002F0133" w:rsidRPr="000B4E2C">
        <w:rPr>
          <w:szCs w:val="24"/>
        </w:rPr>
        <w:t>Cummings</w:t>
      </w:r>
      <w:r w:rsidR="002F0133" w:rsidRPr="000B4E2C">
        <w:rPr>
          <w:i/>
          <w:color w:val="00B0F0"/>
          <w:szCs w:val="24"/>
        </w:rPr>
        <w:t xml:space="preserve"> </w:t>
      </w:r>
      <w:r w:rsidR="008E4B78" w:rsidRPr="000B4E2C">
        <w:rPr>
          <w:i/>
          <w:color w:val="00B0F0"/>
          <w:szCs w:val="24"/>
        </w:rPr>
        <w:t>et al</w:t>
      </w:r>
      <w:r w:rsidR="008E4B78" w:rsidRPr="000B4E2C">
        <w:rPr>
          <w:color w:val="00B0F0"/>
          <w:szCs w:val="24"/>
        </w:rPr>
        <w:t>.,</w:t>
      </w:r>
      <w:r w:rsidR="008E4B78" w:rsidRPr="000B4E2C">
        <w:rPr>
          <w:szCs w:val="24"/>
        </w:rPr>
        <w:t xml:space="preserve"> is a</w:t>
      </w:r>
      <w:r w:rsidR="00B01B7D" w:rsidRPr="000B4E2C">
        <w:rPr>
          <w:szCs w:val="24"/>
        </w:rPr>
        <w:t>n</w:t>
      </w:r>
      <w:r w:rsidR="008E4B78" w:rsidRPr="000B4E2C">
        <w:rPr>
          <w:szCs w:val="24"/>
        </w:rPr>
        <w:t xml:space="preserve"> outlier with a very different trend compared with the other studies</w:t>
      </w:r>
      <w:r w:rsidR="002F0133" w:rsidRPr="000B4E2C">
        <w:rPr>
          <w:szCs w:val="24"/>
        </w:rPr>
        <w:t xml:space="preserve"> (outlier).</w:t>
      </w:r>
    </w:p>
    <w:p w14:paraId="5B82DAB6" w14:textId="52BC3870" w:rsidR="000B4E2C" w:rsidRPr="000B4E2C" w:rsidRDefault="000B4E2C" w:rsidP="008A7464">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5</w:t>
      </w:r>
      <w:r w:rsidRPr="000B4E2C">
        <w:t xml:space="preserve"> </w:t>
      </w:r>
      <w:r w:rsidR="002F0133" w:rsidRPr="000B4E2C">
        <w:t>Forest plots of sensitivity and specificity for NephroCheck studies</w:t>
      </w:r>
      <w:r w:rsidRPr="000B4E2C">
        <w:rPr>
          <w:color w:val="00B0F0"/>
        </w:rPr>
        <w:t xml:space="preserve"> – </w:t>
      </w:r>
      <w:r w:rsidR="002F0133" w:rsidRPr="000B4E2C">
        <w:t>all clinical settings</w:t>
      </w:r>
    </w:p>
    <w:p w14:paraId="07A0BA98" w14:textId="02D1243D" w:rsidR="000B4E2C" w:rsidRPr="000B4E2C" w:rsidRDefault="000B4E2C" w:rsidP="008A7464">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6</w:t>
      </w:r>
      <w:r w:rsidR="002F0133" w:rsidRPr="000B4E2C">
        <w:t xml:space="preserve"> HSROC for NephroCheck studies</w:t>
      </w:r>
      <w:r w:rsidRPr="000B4E2C">
        <w:rPr>
          <w:color w:val="00B0F0"/>
        </w:rPr>
        <w:t xml:space="preserve"> – </w:t>
      </w:r>
      <w:r w:rsidR="002F0133" w:rsidRPr="000B4E2C">
        <w:t>all clinical settings</w:t>
      </w:r>
    </w:p>
    <w:p w14:paraId="281255AF" w14:textId="0369C2B2" w:rsidR="000B4E2C" w:rsidRPr="000B4E2C" w:rsidRDefault="002F0133" w:rsidP="008A7464">
      <w:pPr>
        <w:rPr>
          <w:szCs w:val="24"/>
        </w:rPr>
      </w:pPr>
      <w:r w:rsidRPr="000B4E2C">
        <w:rPr>
          <w:szCs w:val="24"/>
        </w:rPr>
        <w:t xml:space="preserve">There were no studies assessing the use of NephroCheck in children as this biomarker is recommended for adult use only (people </w:t>
      </w:r>
      <w:r w:rsidR="000B4E2C" w:rsidRPr="000B4E2C">
        <w:rPr>
          <w:color w:val="00B0F0"/>
          <w:szCs w:val="24"/>
        </w:rPr>
        <w:t>≥ </w:t>
      </w:r>
      <w:r w:rsidR="000B4E2C" w:rsidRPr="000B4E2C">
        <w:rPr>
          <w:color w:val="00B0F0"/>
          <w:szCs w:val="24"/>
        </w:rPr>
        <w:t>2</w:t>
      </w:r>
      <w:r w:rsidRPr="000B4E2C">
        <w:rPr>
          <w:szCs w:val="24"/>
        </w:rPr>
        <w:t>1 years).</w:t>
      </w:r>
    </w:p>
    <w:p w14:paraId="53CF6F10" w14:textId="19818057" w:rsidR="002F0133" w:rsidRPr="000B4E2C" w:rsidRDefault="006376D0" w:rsidP="008A7464">
      <w:pPr>
        <w:pStyle w:val="Heading3"/>
      </w:pPr>
      <w:r w:rsidRPr="000B4E2C">
        <w:t>ARCHITECT u</w:t>
      </w:r>
      <w:r w:rsidR="002F0133" w:rsidRPr="000B4E2C">
        <w:t>rine NGAL assay (Abbott)</w:t>
      </w:r>
      <w:r w:rsidR="000B4E2C" w:rsidRPr="000B4E2C">
        <w:rPr>
          <w:color w:val="00B0F0"/>
        </w:rPr>
        <w:t xml:space="preserve"> – </w:t>
      </w:r>
      <w:r w:rsidR="002F0133" w:rsidRPr="000B4E2C">
        <w:t>adult population</w:t>
      </w:r>
    </w:p>
    <w:p w14:paraId="225F4BAD" w14:textId="77777777" w:rsidR="000B4E2C" w:rsidRPr="000B4E2C" w:rsidRDefault="002F0133" w:rsidP="008A7464">
      <w:pPr>
        <w:pStyle w:val="Heading4"/>
      </w:pPr>
      <w:r w:rsidRPr="000B4E2C">
        <w:t>Cardiac surgery</w:t>
      </w:r>
    </w:p>
    <w:p w14:paraId="2A38D261" w14:textId="3C81C6DA" w:rsidR="000B4E2C" w:rsidRPr="000B4E2C" w:rsidRDefault="002F0133" w:rsidP="008A7464">
      <w:pPr>
        <w:rPr>
          <w:szCs w:val="24"/>
        </w:rPr>
      </w:pPr>
      <w:r w:rsidRPr="000B4E2C">
        <w:rPr>
          <w:szCs w:val="24"/>
        </w:rPr>
        <w:t>Two studies, Parikh 2011</w:t>
      </w:r>
      <w:r w:rsidR="005B5026" w:rsidRPr="000B4E2C">
        <w:rPr>
          <w:noProof/>
          <w:szCs w:val="24"/>
          <w:vertAlign w:val="superscript"/>
        </w:rPr>
        <w:t>39</w:t>
      </w:r>
      <w:r w:rsidRPr="000B4E2C">
        <w:rPr>
          <w:szCs w:val="24"/>
        </w:rPr>
        <w:t xml:space="preserve"> and Thanakitcharu 2014</w:t>
      </w:r>
      <w:r w:rsidR="005B5026" w:rsidRPr="000B4E2C">
        <w:rPr>
          <w:noProof/>
          <w:szCs w:val="24"/>
          <w:vertAlign w:val="superscript"/>
        </w:rPr>
        <w:t>50</w:t>
      </w:r>
      <w:r w:rsidRPr="000B4E2C">
        <w:rPr>
          <w:szCs w:val="24"/>
        </w:rPr>
        <w:t xml:space="preserve">, provide test accuracy </w:t>
      </w:r>
      <w:r w:rsidRPr="000B4E2C">
        <w:rPr>
          <w:szCs w:val="24"/>
          <w:highlight w:val="magenta"/>
        </w:rPr>
        <w:t>data</w:t>
      </w:r>
      <w:r w:rsidRPr="000B4E2C">
        <w:rPr>
          <w:szCs w:val="24"/>
        </w:rPr>
        <w:t xml:space="preserve"> on the use of uNGAL ARCHITECT for detection of AKI in patients who underwent cardiac surgery</w:t>
      </w:r>
      <w:r w:rsidR="0007414A" w:rsidRPr="000B4E2C">
        <w:rPr>
          <w:szCs w:val="24"/>
        </w:rPr>
        <w:t xml:space="preserve"> (see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6</w:t>
      </w:r>
      <w:r w:rsidR="0007414A" w:rsidRPr="000B4E2C">
        <w:rPr>
          <w:szCs w:val="24"/>
        </w:rPr>
        <w:t xml:space="preserve"> below)</w:t>
      </w:r>
      <w:r w:rsidRPr="000B4E2C">
        <w:rPr>
          <w:szCs w:val="24"/>
        </w:rPr>
        <w:t>. The multicentre cohort study by Parikh</w:t>
      </w:r>
      <w:r w:rsidRPr="000B4E2C">
        <w:rPr>
          <w:i/>
          <w:color w:val="00B0F0"/>
          <w:szCs w:val="24"/>
        </w:rPr>
        <w:t xml:space="preserve"> et al</w:t>
      </w:r>
      <w:r w:rsidRPr="000B4E2C">
        <w:rPr>
          <w:szCs w:val="24"/>
        </w:rPr>
        <w:t>. assessed a total of 1219 adults after cardiac surgery. The sensitivity and specificity values for the first urine sample collected soon after ICU admission were 0.46 (95% CI 0.33 to 0.59) and 0.81 (95% CI 0.79 to 0.83), respectively. The prevalence of AKI in the study was 5% similar to that observed earlier for the Cummings</w:t>
      </w:r>
      <w:r w:rsidRPr="000B4E2C">
        <w:rPr>
          <w:i/>
          <w:color w:val="00B0F0"/>
          <w:szCs w:val="24"/>
        </w:rPr>
        <w:t xml:space="preserve"> et al</w:t>
      </w:r>
      <w:r w:rsidRPr="000B4E2C">
        <w:rPr>
          <w:color w:val="00B0F0"/>
          <w:szCs w:val="24"/>
        </w:rPr>
        <w:t>.,</w:t>
      </w:r>
      <w:r w:rsidRPr="000B4E2C">
        <w:rPr>
          <w:szCs w:val="24"/>
        </w:rPr>
        <w:t xml:space="preserve"> study</w:t>
      </w:r>
      <w:r w:rsidR="005B5026" w:rsidRPr="000B4E2C">
        <w:rPr>
          <w:noProof/>
          <w:szCs w:val="24"/>
          <w:vertAlign w:val="superscript"/>
        </w:rPr>
        <w:t>28</w:t>
      </w:r>
      <w:r w:rsidRPr="000B4E2C">
        <w:rPr>
          <w:szCs w:val="24"/>
        </w:rPr>
        <w:t xml:space="preserve"> </w:t>
      </w:r>
      <w:r w:rsidR="005D7421" w:rsidRPr="000B4E2C">
        <w:rPr>
          <w:szCs w:val="24"/>
        </w:rPr>
        <w:t xml:space="preserve">that assessed the role of NephroCheck in 400 participants </w:t>
      </w:r>
      <w:r w:rsidRPr="000B4E2C">
        <w:rPr>
          <w:szCs w:val="24"/>
        </w:rPr>
        <w:t>in the same clinical setting. The single centre study by Thanakitcharu</w:t>
      </w:r>
      <w:r w:rsidRPr="000B4E2C">
        <w:rPr>
          <w:i/>
          <w:color w:val="00B0F0"/>
          <w:szCs w:val="24"/>
        </w:rPr>
        <w:t xml:space="preserve"> et al</w:t>
      </w:r>
      <w:r w:rsidRPr="000B4E2C">
        <w:rPr>
          <w:szCs w:val="24"/>
        </w:rPr>
        <w:t>. assessed 130 patients immediately after cardiac surgery. The sensitivity and specificity values for the urine sample collected immediately after surgery were 0.74 (95% CI 0.49 to 0.91) and 0.6 (95% CI 0.51 to 0.70), respectively. The prevalence of AKI in the study was 35%.</w:t>
      </w:r>
    </w:p>
    <w:p w14:paraId="487ED66D" w14:textId="77777777" w:rsidR="000B4E2C" w:rsidRPr="000B4E2C" w:rsidRDefault="002F0133" w:rsidP="008A7464">
      <w:pPr>
        <w:rPr>
          <w:i/>
        </w:rPr>
      </w:pPr>
      <w:r w:rsidRPr="000B4E2C">
        <w:t xml:space="preserve">No suitable </w:t>
      </w:r>
      <w:r w:rsidR="006376D0" w:rsidRPr="000B4E2C">
        <w:t xml:space="preserve">ARCHITECT </w:t>
      </w:r>
      <w:r w:rsidRPr="000B4E2C">
        <w:t xml:space="preserve">urine NGAL </w:t>
      </w:r>
      <w:r w:rsidRPr="000B4E2C">
        <w:rPr>
          <w:highlight w:val="magenta"/>
        </w:rPr>
        <w:t>data</w:t>
      </w:r>
      <w:r w:rsidRPr="000B4E2C">
        <w:t xml:space="preserve"> in other post-surgical settings (major non-cardiac surgery) were available from the included studies.</w:t>
      </w:r>
    </w:p>
    <w:p w14:paraId="76A960E7" w14:textId="67DBBDD7" w:rsidR="000B4E2C" w:rsidRPr="000B4E2C" w:rsidRDefault="002F0133" w:rsidP="008A7464">
      <w:pPr>
        <w:pStyle w:val="Heading4"/>
      </w:pPr>
      <w:r w:rsidRPr="000B4E2C">
        <w:t>Critical care</w:t>
      </w:r>
      <w:r w:rsidR="000B4E2C" w:rsidRPr="000B4E2C">
        <w:rPr>
          <w:color w:val="00B0F0"/>
        </w:rPr>
        <w:t xml:space="preserve"> – </w:t>
      </w:r>
      <w:r w:rsidRPr="000B4E2C">
        <w:t>mixed population</w:t>
      </w:r>
    </w:p>
    <w:p w14:paraId="62F7A978" w14:textId="735CA180" w:rsidR="002F0133" w:rsidRPr="000B4E2C" w:rsidRDefault="002F0133" w:rsidP="008A7464">
      <w:pPr>
        <w:rPr>
          <w:szCs w:val="24"/>
        </w:rPr>
      </w:pPr>
      <w:r w:rsidRPr="000B4E2C">
        <w:rPr>
          <w:szCs w:val="24"/>
        </w:rPr>
        <w:t>Four studies</w:t>
      </w:r>
      <w:r w:rsidRPr="000B4E2C">
        <w:rPr>
          <w:i/>
          <w:szCs w:val="24"/>
        </w:rPr>
        <w:t xml:space="preserve"> </w:t>
      </w:r>
      <w:r w:rsidRPr="000B4E2C">
        <w:rPr>
          <w:szCs w:val="24"/>
        </w:rPr>
        <w:t>(1998 patients in total)</w:t>
      </w:r>
      <w:r w:rsidRPr="000B4E2C">
        <w:rPr>
          <w:i/>
          <w:szCs w:val="24"/>
        </w:rPr>
        <w:t xml:space="preserve"> </w:t>
      </w:r>
      <w:r w:rsidRPr="000B4E2C">
        <w:rPr>
          <w:szCs w:val="24"/>
        </w:rPr>
        <w:t xml:space="preserve">assessed the use of </w:t>
      </w:r>
      <w:r w:rsidR="006376D0" w:rsidRPr="000B4E2C">
        <w:rPr>
          <w:szCs w:val="24"/>
        </w:rPr>
        <w:t xml:space="preserve">ARCHITECT </w:t>
      </w:r>
      <w:r w:rsidRPr="000B4E2C">
        <w:rPr>
          <w:szCs w:val="24"/>
        </w:rPr>
        <w:t>u</w:t>
      </w:r>
      <w:r w:rsidR="006376D0" w:rsidRPr="000B4E2C">
        <w:rPr>
          <w:szCs w:val="24"/>
        </w:rPr>
        <w:t xml:space="preserve">rine </w:t>
      </w:r>
      <w:r w:rsidRPr="000B4E2C">
        <w:rPr>
          <w:szCs w:val="24"/>
        </w:rPr>
        <w:t>NGAL</w:t>
      </w:r>
      <w:r w:rsidR="006376D0" w:rsidRPr="000B4E2C">
        <w:rPr>
          <w:szCs w:val="24"/>
        </w:rPr>
        <w:t xml:space="preserve"> assay</w:t>
      </w:r>
      <w:r w:rsidRPr="000B4E2C">
        <w:rPr>
          <w:szCs w:val="24"/>
        </w:rPr>
        <w:t xml:space="preserve"> for detection of AKI in patients admitted to ICU or critical care for various clinical reasons. Cut off values varied across studies (see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6</w:t>
      </w:r>
      <w:r w:rsidRPr="000B4E2C">
        <w:rPr>
          <w:szCs w:val="24"/>
        </w:rPr>
        <w:t xml:space="preserve">). In three studies, uNGAL levels were reported as ng/mL (per grams of urine) while in one study uNGAL levels were normalised by units of urine creatinine (per grams of creatinine). Prevalence of AKI ranged from 6% to 36% across studies.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6</w:t>
      </w:r>
      <w:r w:rsidRPr="000B4E2C">
        <w:rPr>
          <w:szCs w:val="24"/>
        </w:rPr>
        <w:t xml:space="preserve"> shows a summary of the diagnostic </w:t>
      </w:r>
      <w:r w:rsidRPr="000B4E2C">
        <w:rPr>
          <w:szCs w:val="24"/>
          <w:highlight w:val="magenta"/>
        </w:rPr>
        <w:t>data</w:t>
      </w:r>
      <w:r w:rsidRPr="000B4E2C">
        <w:rPr>
          <w:szCs w:val="24"/>
        </w:rPr>
        <w:t xml:space="preserve"> as reported by the six studies</w:t>
      </w:r>
      <w:r w:rsidR="00D83058" w:rsidRPr="000B4E2C">
        <w:rPr>
          <w:szCs w:val="24"/>
        </w:rPr>
        <w:t>.</w:t>
      </w:r>
      <w:r w:rsidRPr="000B4E2C">
        <w:rPr>
          <w:szCs w:val="24"/>
        </w:rPr>
        <w:t xml:space="preserve"> Sensitivity values ranged from 0.63 to 0.78 and specificity values from 0.58 to 0.81. The summary estimate of sensitivity was 0.70 (95% CI 0.63 to 0.76) and that of specificity 0.72 (95% CI 0.63 to 0.80). </w:t>
      </w:r>
      <w:r w:rsidR="00D83058" w:rsidRPr="000B4E2C">
        <w:rPr>
          <w:szCs w:val="24"/>
        </w:rPr>
        <w:t xml:space="preserve">The forest plot of sensitivity and specificity estimates and </w:t>
      </w:r>
      <w:r w:rsidRPr="000B4E2C">
        <w:rPr>
          <w:szCs w:val="24"/>
        </w:rPr>
        <w:t>the HSROC with 95% confidence region for the summary operating point and 95% prediction region</w:t>
      </w:r>
      <w:r w:rsidR="00C44F99" w:rsidRPr="000B4E2C">
        <w:rPr>
          <w:szCs w:val="24"/>
        </w:rPr>
        <w:t xml:space="preserve"> are presented in Appendix 11</w:t>
      </w:r>
      <w:r w:rsidR="00D83058" w:rsidRPr="000B4E2C">
        <w:rPr>
          <w:szCs w:val="24"/>
        </w:rPr>
        <w:t xml:space="preserve"> (</w:t>
      </w:r>
      <w:r w:rsidR="000B4E2C" w:rsidRPr="000B4E2C">
        <w:rPr>
          <w:i/>
          <w:color w:val="FF0000"/>
          <w:szCs w:val="24"/>
        </w:rPr>
        <w:t>F</w:t>
      </w:r>
      <w:r w:rsidR="000B4E2C" w:rsidRPr="000B4E2C">
        <w:rPr>
          <w:i/>
          <w:color w:val="FF0000"/>
          <w:szCs w:val="24"/>
        </w:rPr>
        <w:t>igures</w:t>
      </w:r>
      <w:r w:rsidR="000B4E2C" w:rsidRPr="000B4E2C">
        <w:rPr>
          <w:i/>
          <w:color w:val="FF0000"/>
          <w:szCs w:val="24"/>
        </w:rPr>
        <w:t xml:space="preserve"> </w:t>
      </w:r>
      <w:r w:rsidR="000B4E2C" w:rsidRPr="000B4E2C">
        <w:rPr>
          <w:i/>
          <w:color w:val="FF0000"/>
          <w:szCs w:val="24"/>
        </w:rPr>
        <w:t>28</w:t>
      </w:r>
      <w:r w:rsidR="00940C17" w:rsidRPr="000B4E2C">
        <w:rPr>
          <w:szCs w:val="24"/>
        </w:rPr>
        <w:t xml:space="preserve"> and 29</w:t>
      </w:r>
      <w:r w:rsidR="00D83058" w:rsidRPr="000B4E2C">
        <w:rPr>
          <w:szCs w:val="24"/>
        </w:rPr>
        <w:t>)</w:t>
      </w:r>
      <w:r w:rsidRPr="000B4E2C">
        <w:rPr>
          <w:szCs w:val="24"/>
        </w:rPr>
        <w:t xml:space="preserve">. The </w:t>
      </w:r>
      <w:r w:rsidR="00D83058" w:rsidRPr="000B4E2C">
        <w:rPr>
          <w:szCs w:val="24"/>
        </w:rPr>
        <w:t xml:space="preserve">large </w:t>
      </w:r>
      <w:r w:rsidRPr="000B4E2C">
        <w:rPr>
          <w:szCs w:val="24"/>
        </w:rPr>
        <w:t xml:space="preserve">confidence and prediction regions </w:t>
      </w:r>
      <w:r w:rsidR="00940C17" w:rsidRPr="000B4E2C">
        <w:rPr>
          <w:szCs w:val="24"/>
        </w:rPr>
        <w:t xml:space="preserve">of the HSROC </w:t>
      </w:r>
      <w:r w:rsidR="00D83058" w:rsidRPr="000B4E2C">
        <w:rPr>
          <w:szCs w:val="24"/>
        </w:rPr>
        <w:t>indicate</w:t>
      </w:r>
      <w:r w:rsidRPr="000B4E2C">
        <w:rPr>
          <w:szCs w:val="24"/>
        </w:rPr>
        <w:t xml:space="preserve"> considerable heterogeneity</w:t>
      </w:r>
      <w:r w:rsidR="005D7421" w:rsidRPr="000B4E2C">
        <w:rPr>
          <w:szCs w:val="24"/>
        </w:rPr>
        <w:t xml:space="preserve"> in</w:t>
      </w:r>
      <w:r w:rsidRPr="000B4E2C">
        <w:rPr>
          <w:szCs w:val="24"/>
        </w:rPr>
        <w:t xml:space="preserve"> estimates</w:t>
      </w:r>
      <w:r w:rsidR="005D7421" w:rsidRPr="000B4E2C">
        <w:rPr>
          <w:szCs w:val="24"/>
        </w:rPr>
        <w:t xml:space="preserve"> of accuracy</w:t>
      </w:r>
      <w:r w:rsidRPr="000B4E2C">
        <w:rPr>
          <w:szCs w:val="24"/>
        </w:rPr>
        <w:t xml:space="preserve"> </w:t>
      </w:r>
      <w:r w:rsidR="005D7421" w:rsidRPr="000B4E2C">
        <w:rPr>
          <w:szCs w:val="24"/>
        </w:rPr>
        <w:t>across studies, especially for specificity. The analysis appears to be</w:t>
      </w:r>
      <w:r w:rsidRPr="000B4E2C">
        <w:rPr>
          <w:szCs w:val="24"/>
        </w:rPr>
        <w:t xml:space="preserve"> dominated by the </w:t>
      </w:r>
      <w:r w:rsidR="005D7421" w:rsidRPr="000B4E2C">
        <w:rPr>
          <w:szCs w:val="24"/>
        </w:rPr>
        <w:t>Nickolas</w:t>
      </w:r>
      <w:r w:rsidR="005D7421" w:rsidRPr="000B4E2C">
        <w:rPr>
          <w:i/>
          <w:color w:val="00B0F0"/>
          <w:szCs w:val="24"/>
        </w:rPr>
        <w:t xml:space="preserve"> et al</w:t>
      </w:r>
      <w:r w:rsidR="005D7421" w:rsidRPr="000B4E2C">
        <w:rPr>
          <w:szCs w:val="24"/>
        </w:rPr>
        <w:t>.</w:t>
      </w:r>
      <w:r w:rsidR="0072128A" w:rsidRPr="000B4E2C">
        <w:rPr>
          <w:color w:val="00B0F0"/>
          <w:szCs w:val="24"/>
        </w:rPr>
        <w:t>$$SingleQuoteE$$</w:t>
      </w:r>
      <w:r w:rsidR="005D7421" w:rsidRPr="000B4E2C">
        <w:rPr>
          <w:szCs w:val="24"/>
        </w:rPr>
        <w:t>s study</w:t>
      </w:r>
      <w:r w:rsidR="00723580" w:rsidRPr="000B4E2C">
        <w:rPr>
          <w:szCs w:val="24"/>
        </w:rPr>
        <w:t>,</w:t>
      </w:r>
      <w:r w:rsidR="005B5026" w:rsidRPr="000B4E2C">
        <w:rPr>
          <w:noProof/>
          <w:szCs w:val="24"/>
          <w:vertAlign w:val="superscript"/>
        </w:rPr>
        <w:t>58</w:t>
      </w:r>
      <w:r w:rsidR="00D83058" w:rsidRPr="000B4E2C">
        <w:rPr>
          <w:szCs w:val="24"/>
        </w:rPr>
        <w:t xml:space="preserve"> the largest study,</w:t>
      </w:r>
      <w:r w:rsidR="00723580" w:rsidRPr="000B4E2C">
        <w:rPr>
          <w:szCs w:val="24"/>
        </w:rPr>
        <w:t xml:space="preserve"> </w:t>
      </w:r>
      <w:r w:rsidRPr="000B4E2C">
        <w:rPr>
          <w:szCs w:val="24"/>
        </w:rPr>
        <w:t>which shows a small number of true positive cases and subsequently low sensitivity.</w:t>
      </w:r>
    </w:p>
    <w:p w14:paraId="2D977572" w14:textId="662943DC" w:rsidR="002F0133" w:rsidRPr="000B4E2C" w:rsidRDefault="002F0133" w:rsidP="008A7464">
      <w:pPr>
        <w:pStyle w:val="Heading2"/>
        <w:rPr>
          <w:rFonts w:cs="Times New Roman"/>
          <w:szCs w:val="24"/>
        </w:rPr>
      </w:pPr>
      <w:r w:rsidRPr="000B4E2C">
        <w:rPr>
          <w:szCs w:val="24"/>
        </w:rPr>
        <w:lastRenderedPageBreak/>
        <w:t>.</w:t>
      </w:r>
      <w:r w:rsidR="000B4E2C" w:rsidRPr="000B4E2C">
        <w:rPr>
          <w:szCs w:val="24"/>
        </w:rPr>
        <w:t xml:space="preserve">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6</w:t>
      </w:r>
      <w:r w:rsidR="000B4E2C" w:rsidRPr="000B4E2C">
        <w:t xml:space="preserve"> </w:t>
      </w:r>
      <w:r w:rsidRPr="000B4E2C">
        <w:t xml:space="preserve">Summary of diagnostic </w:t>
      </w:r>
      <w:r w:rsidRPr="000B4E2C">
        <w:rPr>
          <w:highlight w:val="magenta"/>
        </w:rPr>
        <w:t>data</w:t>
      </w:r>
      <w:r w:rsidRPr="000B4E2C">
        <w:t xml:space="preserve"> for </w:t>
      </w:r>
      <w:r w:rsidR="006376D0" w:rsidRPr="000B4E2C">
        <w:t xml:space="preserve">ARCHITECT </w:t>
      </w:r>
      <w:r w:rsidRPr="000B4E2C">
        <w:t xml:space="preserve">urine NGAL </w:t>
      </w:r>
      <w:r w:rsidR="006376D0" w:rsidRPr="000B4E2C">
        <w:t xml:space="preserve">assay </w:t>
      </w:r>
      <w:r w:rsidRPr="000B4E2C">
        <w:t xml:space="preserve">for </w:t>
      </w:r>
      <w:r w:rsidR="0007414A" w:rsidRPr="000B4E2C">
        <w:t xml:space="preserve">detection of </w:t>
      </w:r>
      <w:r w:rsidRPr="000B4E2C">
        <w:t xml:space="preserve">AKI in </w:t>
      </w:r>
      <w:r w:rsidR="0007414A" w:rsidRPr="000B4E2C">
        <w:t xml:space="preserve">adults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257"/>
        <w:gridCol w:w="792"/>
        <w:gridCol w:w="1750"/>
        <w:gridCol w:w="1589"/>
        <w:gridCol w:w="755"/>
        <w:gridCol w:w="721"/>
        <w:gridCol w:w="721"/>
        <w:gridCol w:w="721"/>
        <w:gridCol w:w="720"/>
      </w:tblGrid>
      <w:tr w:rsidR="002F0133" w:rsidRPr="000B4E2C" w14:paraId="19B43764" w14:textId="77777777" w:rsidTr="000B4E2C">
        <w:trPr>
          <w:cantSplit/>
        </w:trPr>
        <w:tc>
          <w:tcPr>
            <w:tcW w:w="0" w:type="auto"/>
            <w:shd w:val="clear" w:color="auto" w:fill="auto"/>
            <w:vAlign w:val="center"/>
            <w:hideMark/>
          </w:tcPr>
          <w:p w14:paraId="26815308" w14:textId="77777777" w:rsidR="002F0133" w:rsidRPr="000B4E2C" w:rsidRDefault="002F0133" w:rsidP="008A7464">
            <w:pPr>
              <w:jc w:val="center"/>
              <w:rPr>
                <w:b/>
                <w:bCs/>
                <w:color w:val="000000"/>
                <w:lang w:eastAsia="en-GB"/>
              </w:rPr>
            </w:pPr>
            <w:r w:rsidRPr="000B4E2C">
              <w:rPr>
                <w:b/>
                <w:bCs/>
                <w:lang w:eastAsia="en-GB"/>
              </w:rPr>
              <w:t>STUDY ID</w:t>
            </w:r>
          </w:p>
        </w:tc>
        <w:tc>
          <w:tcPr>
            <w:tcW w:w="0" w:type="auto"/>
            <w:shd w:val="clear" w:color="auto" w:fill="auto"/>
            <w:vAlign w:val="center"/>
          </w:tcPr>
          <w:p w14:paraId="4A5B31B9" w14:textId="77777777" w:rsidR="002F0133" w:rsidRPr="000B4E2C" w:rsidRDefault="002F0133" w:rsidP="008A7464">
            <w:pPr>
              <w:jc w:val="center"/>
              <w:rPr>
                <w:b/>
                <w:bCs/>
                <w:color w:val="000000"/>
                <w:lang w:eastAsia="en-GB"/>
              </w:rPr>
            </w:pPr>
            <w:r w:rsidRPr="000B4E2C">
              <w:rPr>
                <w:b/>
                <w:bCs/>
                <w:lang w:eastAsia="en-GB"/>
              </w:rPr>
              <w:t>Target Population (setting)</w:t>
            </w:r>
          </w:p>
        </w:tc>
        <w:tc>
          <w:tcPr>
            <w:tcW w:w="0" w:type="auto"/>
            <w:shd w:val="clear" w:color="auto" w:fill="auto"/>
            <w:vAlign w:val="center"/>
            <w:hideMark/>
          </w:tcPr>
          <w:p w14:paraId="278F5B8D" w14:textId="77777777" w:rsidR="002F0133" w:rsidRPr="000B4E2C" w:rsidRDefault="002F0133" w:rsidP="008A7464">
            <w:pPr>
              <w:jc w:val="center"/>
              <w:rPr>
                <w:b/>
                <w:bCs/>
                <w:color w:val="000000"/>
                <w:lang w:eastAsia="en-GB"/>
              </w:rPr>
            </w:pPr>
            <w:r w:rsidRPr="000B4E2C">
              <w:rPr>
                <w:b/>
                <w:bCs/>
                <w:lang w:eastAsia="en-GB"/>
              </w:rPr>
              <w:t>Assay</w:t>
            </w:r>
          </w:p>
        </w:tc>
        <w:tc>
          <w:tcPr>
            <w:tcW w:w="0" w:type="auto"/>
            <w:shd w:val="clear" w:color="auto" w:fill="auto"/>
            <w:vAlign w:val="center"/>
            <w:hideMark/>
          </w:tcPr>
          <w:p w14:paraId="41B805CA" w14:textId="77777777" w:rsidR="002F0133" w:rsidRPr="000B4E2C" w:rsidRDefault="002F0133" w:rsidP="008A7464">
            <w:pPr>
              <w:jc w:val="center"/>
              <w:rPr>
                <w:b/>
                <w:bCs/>
                <w:color w:val="000000"/>
                <w:lang w:eastAsia="en-GB"/>
              </w:rPr>
            </w:pPr>
            <w:r w:rsidRPr="000B4E2C">
              <w:rPr>
                <w:b/>
                <w:bCs/>
                <w:lang w:eastAsia="en-GB"/>
              </w:rPr>
              <w:t>Timing of Test</w:t>
            </w:r>
          </w:p>
        </w:tc>
        <w:tc>
          <w:tcPr>
            <w:tcW w:w="0" w:type="auto"/>
            <w:shd w:val="clear" w:color="auto" w:fill="auto"/>
            <w:vAlign w:val="center"/>
            <w:hideMark/>
          </w:tcPr>
          <w:p w14:paraId="4BC300DB" w14:textId="77777777" w:rsidR="002F0133" w:rsidRPr="000B4E2C" w:rsidRDefault="002F0133" w:rsidP="008A7464">
            <w:pPr>
              <w:jc w:val="center"/>
              <w:rPr>
                <w:b/>
                <w:bCs/>
                <w:color w:val="000000"/>
                <w:lang w:eastAsia="en-GB"/>
              </w:rPr>
            </w:pPr>
            <w:r w:rsidRPr="000B4E2C">
              <w:rPr>
                <w:b/>
                <w:bCs/>
                <w:lang w:eastAsia="en-GB"/>
              </w:rPr>
              <w:t xml:space="preserve">Cut off </w:t>
            </w:r>
          </w:p>
        </w:tc>
        <w:tc>
          <w:tcPr>
            <w:tcW w:w="0" w:type="auto"/>
            <w:shd w:val="clear" w:color="auto" w:fill="auto"/>
            <w:vAlign w:val="center"/>
            <w:hideMark/>
          </w:tcPr>
          <w:p w14:paraId="1304AFAC" w14:textId="77777777" w:rsidR="002F0133" w:rsidRPr="000B4E2C" w:rsidRDefault="002F0133" w:rsidP="008A7464">
            <w:pPr>
              <w:jc w:val="center"/>
              <w:rPr>
                <w:b/>
                <w:bCs/>
                <w:lang w:eastAsia="en-GB"/>
              </w:rPr>
            </w:pPr>
            <w:r w:rsidRPr="000B4E2C">
              <w:rPr>
                <w:b/>
                <w:bCs/>
                <w:lang w:eastAsia="en-GB"/>
              </w:rPr>
              <w:t>Sensitivity</w:t>
            </w:r>
          </w:p>
          <w:p w14:paraId="35D4125B" w14:textId="77777777" w:rsidR="002F0133" w:rsidRPr="000B4E2C" w:rsidRDefault="002F0133" w:rsidP="008A7464">
            <w:pPr>
              <w:jc w:val="center"/>
              <w:rPr>
                <w:b/>
                <w:bCs/>
                <w:color w:val="000000"/>
                <w:lang w:eastAsia="en-GB"/>
              </w:rPr>
            </w:pPr>
            <w:r w:rsidRPr="000B4E2C">
              <w:rPr>
                <w:b/>
                <w:bCs/>
                <w:lang w:eastAsia="en-GB"/>
              </w:rPr>
              <w:t>(95% CI)</w:t>
            </w:r>
          </w:p>
        </w:tc>
        <w:tc>
          <w:tcPr>
            <w:tcW w:w="0" w:type="auto"/>
            <w:shd w:val="clear" w:color="auto" w:fill="auto"/>
            <w:vAlign w:val="center"/>
            <w:hideMark/>
          </w:tcPr>
          <w:p w14:paraId="23D101BB" w14:textId="77777777" w:rsidR="002F0133" w:rsidRPr="000B4E2C" w:rsidRDefault="002F0133" w:rsidP="008A7464">
            <w:pPr>
              <w:jc w:val="center"/>
              <w:rPr>
                <w:b/>
                <w:bCs/>
                <w:lang w:eastAsia="en-GB"/>
              </w:rPr>
            </w:pPr>
            <w:r w:rsidRPr="000B4E2C">
              <w:rPr>
                <w:b/>
                <w:bCs/>
                <w:lang w:eastAsia="en-GB"/>
              </w:rPr>
              <w:t>Specificity</w:t>
            </w:r>
          </w:p>
          <w:p w14:paraId="243C2027" w14:textId="77777777" w:rsidR="002F0133" w:rsidRPr="000B4E2C" w:rsidRDefault="002F0133" w:rsidP="008A7464">
            <w:pPr>
              <w:jc w:val="center"/>
              <w:rPr>
                <w:b/>
                <w:bCs/>
                <w:color w:val="000000"/>
                <w:lang w:eastAsia="en-GB"/>
              </w:rPr>
            </w:pPr>
            <w:r w:rsidRPr="000B4E2C">
              <w:rPr>
                <w:b/>
                <w:bCs/>
                <w:lang w:eastAsia="en-GB"/>
              </w:rPr>
              <w:t>(95% CI)</w:t>
            </w:r>
          </w:p>
        </w:tc>
        <w:tc>
          <w:tcPr>
            <w:tcW w:w="0" w:type="auto"/>
            <w:shd w:val="clear" w:color="auto" w:fill="auto"/>
            <w:vAlign w:val="center"/>
            <w:hideMark/>
          </w:tcPr>
          <w:p w14:paraId="31AA3B01" w14:textId="77777777" w:rsidR="002F0133" w:rsidRPr="000B4E2C" w:rsidRDefault="002F0133" w:rsidP="008A7464">
            <w:pPr>
              <w:jc w:val="center"/>
              <w:rPr>
                <w:b/>
                <w:bCs/>
                <w:lang w:eastAsia="en-GB"/>
              </w:rPr>
            </w:pPr>
            <w:r w:rsidRPr="000B4E2C">
              <w:rPr>
                <w:b/>
                <w:bCs/>
                <w:lang w:eastAsia="en-GB"/>
              </w:rPr>
              <w:t>AUC</w:t>
            </w:r>
          </w:p>
          <w:p w14:paraId="6AA67019" w14:textId="77777777" w:rsidR="002F0133" w:rsidRPr="000B4E2C" w:rsidRDefault="002F0133" w:rsidP="008A7464">
            <w:pPr>
              <w:jc w:val="center"/>
              <w:rPr>
                <w:b/>
                <w:bCs/>
                <w:color w:val="000000"/>
                <w:lang w:eastAsia="en-GB"/>
              </w:rPr>
            </w:pPr>
            <w:r w:rsidRPr="000B4E2C">
              <w:rPr>
                <w:b/>
                <w:bCs/>
                <w:lang w:eastAsia="en-GB"/>
              </w:rPr>
              <w:t>(95% CI)</w:t>
            </w:r>
          </w:p>
        </w:tc>
        <w:tc>
          <w:tcPr>
            <w:tcW w:w="0" w:type="auto"/>
            <w:shd w:val="clear" w:color="auto" w:fill="auto"/>
            <w:vAlign w:val="center"/>
          </w:tcPr>
          <w:p w14:paraId="0E276E04" w14:textId="77777777" w:rsidR="002F0133" w:rsidRPr="000B4E2C" w:rsidRDefault="002F0133" w:rsidP="008A7464">
            <w:pPr>
              <w:jc w:val="center"/>
              <w:rPr>
                <w:b/>
                <w:bCs/>
                <w:lang w:eastAsia="en-GB"/>
              </w:rPr>
            </w:pPr>
            <w:r w:rsidRPr="000B4E2C">
              <w:rPr>
                <w:b/>
                <w:bCs/>
                <w:lang w:eastAsia="en-GB"/>
              </w:rPr>
              <w:t>Prevalence of AKI</w:t>
            </w:r>
          </w:p>
        </w:tc>
      </w:tr>
      <w:tr w:rsidR="0007414A" w:rsidRPr="000B4E2C" w14:paraId="11E3CFF8" w14:textId="77777777" w:rsidTr="000B4E2C">
        <w:trPr>
          <w:cantSplit/>
        </w:trPr>
        <w:tc>
          <w:tcPr>
            <w:tcW w:w="0" w:type="auto"/>
            <w:shd w:val="clear" w:color="auto" w:fill="auto"/>
            <w:noWrap/>
            <w:vAlign w:val="center"/>
          </w:tcPr>
          <w:p w14:paraId="3012B347" w14:textId="0B4FBAB5" w:rsidR="0007414A" w:rsidRPr="000B4E2C" w:rsidRDefault="0007414A" w:rsidP="0007414A">
            <w:pPr>
              <w:rPr>
                <w:lang w:eastAsia="en-GB"/>
              </w:rPr>
            </w:pPr>
            <w:r w:rsidRPr="000B4E2C">
              <w:rPr>
                <w:sz w:val="18"/>
                <w:szCs w:val="18"/>
                <w:lang w:eastAsia="en-GB"/>
              </w:rPr>
              <w:t>Parikh 2011</w:t>
            </w:r>
            <w:r w:rsidRPr="000B4E2C">
              <w:rPr>
                <w:noProof/>
                <w:sz w:val="18"/>
                <w:szCs w:val="18"/>
                <w:vertAlign w:val="superscript"/>
                <w:lang w:eastAsia="en-GB"/>
              </w:rPr>
              <w:t>39</w:t>
            </w:r>
          </w:p>
        </w:tc>
        <w:tc>
          <w:tcPr>
            <w:tcW w:w="0" w:type="auto"/>
            <w:shd w:val="clear" w:color="auto" w:fill="auto"/>
            <w:vAlign w:val="center"/>
          </w:tcPr>
          <w:p w14:paraId="5874768B" w14:textId="5A95F932" w:rsidR="0007414A" w:rsidRPr="000B4E2C" w:rsidRDefault="0007414A" w:rsidP="0007414A">
            <w:pPr>
              <w:jc w:val="center"/>
            </w:pPr>
            <w:r w:rsidRPr="000B4E2C">
              <w:rPr>
                <w:sz w:val="18"/>
                <w:szCs w:val="18"/>
              </w:rPr>
              <w:t>Cardiac Surgery</w:t>
            </w:r>
          </w:p>
        </w:tc>
        <w:tc>
          <w:tcPr>
            <w:tcW w:w="0" w:type="auto"/>
            <w:shd w:val="clear" w:color="auto" w:fill="auto"/>
            <w:noWrap/>
            <w:vAlign w:val="center"/>
          </w:tcPr>
          <w:p w14:paraId="06F4A4D7" w14:textId="4685D10D" w:rsidR="0007414A" w:rsidRPr="000B4E2C" w:rsidRDefault="0007414A" w:rsidP="0007414A">
            <w:pPr>
              <w:jc w:val="center"/>
              <w:rPr>
                <w:color w:val="000000"/>
                <w:lang w:eastAsia="en-GB"/>
              </w:rPr>
            </w:pPr>
            <w:r w:rsidRPr="000B4E2C">
              <w:rPr>
                <w:sz w:val="18"/>
                <w:szCs w:val="18"/>
                <w:lang w:eastAsia="en-GB"/>
              </w:rPr>
              <w:t>uNGAL, ARCHITECT, Abbott</w:t>
            </w:r>
          </w:p>
        </w:tc>
        <w:tc>
          <w:tcPr>
            <w:tcW w:w="0" w:type="auto"/>
            <w:shd w:val="clear" w:color="auto" w:fill="auto"/>
            <w:noWrap/>
            <w:vAlign w:val="center"/>
          </w:tcPr>
          <w:p w14:paraId="7264869F" w14:textId="16B1AA0E" w:rsidR="0007414A" w:rsidRPr="000B4E2C" w:rsidRDefault="0007414A" w:rsidP="0007414A">
            <w:pPr>
              <w:jc w:val="center"/>
              <w:rPr>
                <w:color w:val="000000"/>
                <w:lang w:eastAsia="en-GB"/>
              </w:rPr>
            </w:pPr>
            <w:r w:rsidRPr="000B4E2C">
              <w:rPr>
                <w:sz w:val="18"/>
                <w:szCs w:val="18"/>
                <w:lang w:eastAsia="en-GB"/>
              </w:rPr>
              <w:t>ICU admission</w:t>
            </w:r>
          </w:p>
        </w:tc>
        <w:tc>
          <w:tcPr>
            <w:tcW w:w="0" w:type="auto"/>
            <w:shd w:val="clear" w:color="auto" w:fill="auto"/>
            <w:noWrap/>
            <w:vAlign w:val="center"/>
          </w:tcPr>
          <w:p w14:paraId="158D7CA6" w14:textId="67ABB53D" w:rsidR="0007414A" w:rsidRPr="000B4E2C" w:rsidRDefault="000B4E2C" w:rsidP="0007414A">
            <w:pPr>
              <w:jc w:val="center"/>
              <w:rPr>
                <w:color w:val="000000"/>
                <w:lang w:eastAsia="en-GB"/>
              </w:rPr>
            </w:pPr>
            <w:r w:rsidRPr="000B4E2C">
              <w:rPr>
                <w:color w:val="00B0F0"/>
                <w:sz w:val="18"/>
                <w:szCs w:val="18"/>
                <w:lang w:eastAsia="en-GB"/>
              </w:rPr>
              <w:t>&gt;</w:t>
            </w:r>
            <w:r w:rsidRPr="000B4E2C">
              <w:rPr>
                <w:color w:val="00B0F0"/>
                <w:sz w:val="18"/>
                <w:szCs w:val="18"/>
                <w:lang w:eastAsia="en-GB"/>
              </w:rPr>
              <w:t> </w:t>
            </w:r>
            <w:r w:rsidRPr="000B4E2C">
              <w:rPr>
                <w:color w:val="00B0F0"/>
                <w:sz w:val="18"/>
                <w:szCs w:val="18"/>
                <w:lang w:eastAsia="en-GB"/>
              </w:rPr>
              <w:t>1</w:t>
            </w:r>
            <w:r w:rsidR="0007414A" w:rsidRPr="000B4E2C">
              <w:rPr>
                <w:sz w:val="18"/>
                <w:szCs w:val="18"/>
                <w:lang w:eastAsia="en-GB"/>
              </w:rPr>
              <w:t>02 ng/mL</w:t>
            </w:r>
          </w:p>
        </w:tc>
        <w:tc>
          <w:tcPr>
            <w:tcW w:w="0" w:type="auto"/>
            <w:shd w:val="clear" w:color="auto" w:fill="auto"/>
            <w:noWrap/>
            <w:vAlign w:val="center"/>
          </w:tcPr>
          <w:p w14:paraId="6FF39B95" w14:textId="74DEEF91" w:rsidR="0007414A" w:rsidRPr="000B4E2C" w:rsidRDefault="0007414A" w:rsidP="0007414A">
            <w:pPr>
              <w:jc w:val="center"/>
              <w:rPr>
                <w:color w:val="000000"/>
                <w:lang w:eastAsia="en-GB"/>
              </w:rPr>
            </w:pPr>
            <w:r w:rsidRPr="000B4E2C">
              <w:rPr>
                <w:sz w:val="18"/>
                <w:szCs w:val="18"/>
                <w:lang w:eastAsia="en-GB"/>
              </w:rPr>
              <w:t>0.46</w:t>
            </w:r>
          </w:p>
        </w:tc>
        <w:tc>
          <w:tcPr>
            <w:tcW w:w="0" w:type="auto"/>
            <w:shd w:val="clear" w:color="auto" w:fill="auto"/>
            <w:noWrap/>
            <w:vAlign w:val="center"/>
          </w:tcPr>
          <w:p w14:paraId="6FA49491" w14:textId="27998171" w:rsidR="0007414A" w:rsidRPr="000B4E2C" w:rsidRDefault="0007414A" w:rsidP="0007414A">
            <w:pPr>
              <w:jc w:val="center"/>
              <w:rPr>
                <w:color w:val="000000"/>
                <w:lang w:eastAsia="en-GB"/>
              </w:rPr>
            </w:pPr>
            <w:r w:rsidRPr="000B4E2C">
              <w:rPr>
                <w:sz w:val="18"/>
                <w:szCs w:val="18"/>
                <w:lang w:eastAsia="en-GB"/>
              </w:rPr>
              <w:t>0.81</w:t>
            </w:r>
          </w:p>
        </w:tc>
        <w:tc>
          <w:tcPr>
            <w:tcW w:w="0" w:type="auto"/>
            <w:shd w:val="clear" w:color="auto" w:fill="auto"/>
            <w:noWrap/>
            <w:vAlign w:val="center"/>
          </w:tcPr>
          <w:p w14:paraId="17E47F2E" w14:textId="470797F4" w:rsidR="0007414A" w:rsidRPr="000B4E2C" w:rsidRDefault="0007414A" w:rsidP="0007414A">
            <w:pPr>
              <w:jc w:val="center"/>
              <w:rPr>
                <w:color w:val="000000"/>
                <w:lang w:eastAsia="en-GB"/>
              </w:rPr>
            </w:pPr>
            <w:r w:rsidRPr="000B4E2C">
              <w:rPr>
                <w:sz w:val="18"/>
                <w:szCs w:val="18"/>
                <w:lang w:eastAsia="en-GB"/>
              </w:rPr>
              <w:t>0.67</w:t>
            </w:r>
          </w:p>
        </w:tc>
        <w:tc>
          <w:tcPr>
            <w:tcW w:w="0" w:type="auto"/>
            <w:shd w:val="clear" w:color="auto" w:fill="auto"/>
            <w:vAlign w:val="center"/>
          </w:tcPr>
          <w:p w14:paraId="33EFCEF8" w14:textId="095D458F" w:rsidR="0007414A" w:rsidRPr="000B4E2C" w:rsidRDefault="0007414A" w:rsidP="0007414A">
            <w:pPr>
              <w:jc w:val="center"/>
              <w:rPr>
                <w:lang w:eastAsia="en-GB"/>
              </w:rPr>
            </w:pPr>
            <w:r w:rsidRPr="000B4E2C">
              <w:rPr>
                <w:sz w:val="18"/>
                <w:szCs w:val="18"/>
                <w:lang w:eastAsia="en-GB"/>
              </w:rPr>
              <w:t>0.05</w:t>
            </w:r>
          </w:p>
        </w:tc>
      </w:tr>
      <w:tr w:rsidR="0007414A" w:rsidRPr="000B4E2C" w14:paraId="0351337C" w14:textId="77777777" w:rsidTr="000B4E2C">
        <w:trPr>
          <w:cantSplit/>
        </w:trPr>
        <w:tc>
          <w:tcPr>
            <w:tcW w:w="0" w:type="auto"/>
            <w:shd w:val="clear" w:color="auto" w:fill="auto"/>
            <w:noWrap/>
            <w:vAlign w:val="center"/>
          </w:tcPr>
          <w:p w14:paraId="6DEC8872" w14:textId="68D41CD5" w:rsidR="0007414A" w:rsidRPr="000B4E2C" w:rsidRDefault="0007414A" w:rsidP="0007414A">
            <w:pPr>
              <w:rPr>
                <w:lang w:eastAsia="en-GB"/>
              </w:rPr>
            </w:pPr>
            <w:r w:rsidRPr="000B4E2C">
              <w:rPr>
                <w:sz w:val="18"/>
                <w:szCs w:val="18"/>
                <w:lang w:eastAsia="en-GB"/>
              </w:rPr>
              <w:t>Thanakitcharu 2014</w:t>
            </w:r>
            <w:r w:rsidRPr="000B4E2C">
              <w:rPr>
                <w:noProof/>
                <w:sz w:val="18"/>
                <w:szCs w:val="18"/>
                <w:vertAlign w:val="superscript"/>
                <w:lang w:eastAsia="en-GB"/>
              </w:rPr>
              <w:t>50</w:t>
            </w:r>
          </w:p>
        </w:tc>
        <w:tc>
          <w:tcPr>
            <w:tcW w:w="0" w:type="auto"/>
            <w:shd w:val="clear" w:color="auto" w:fill="auto"/>
            <w:vAlign w:val="center"/>
          </w:tcPr>
          <w:p w14:paraId="263B5C5A" w14:textId="38675357" w:rsidR="0007414A" w:rsidRPr="000B4E2C" w:rsidRDefault="0007414A" w:rsidP="0007414A">
            <w:pPr>
              <w:jc w:val="center"/>
            </w:pPr>
            <w:r w:rsidRPr="000B4E2C">
              <w:rPr>
                <w:sz w:val="18"/>
                <w:szCs w:val="18"/>
              </w:rPr>
              <w:t>Cardiac Surgery</w:t>
            </w:r>
          </w:p>
        </w:tc>
        <w:tc>
          <w:tcPr>
            <w:tcW w:w="0" w:type="auto"/>
            <w:shd w:val="clear" w:color="auto" w:fill="auto"/>
            <w:noWrap/>
            <w:vAlign w:val="center"/>
          </w:tcPr>
          <w:p w14:paraId="4E52A191" w14:textId="6EF4FF34" w:rsidR="0007414A" w:rsidRPr="000B4E2C" w:rsidRDefault="0007414A" w:rsidP="0007414A">
            <w:pPr>
              <w:jc w:val="center"/>
              <w:rPr>
                <w:color w:val="000000"/>
                <w:lang w:eastAsia="en-GB"/>
              </w:rPr>
            </w:pPr>
            <w:r w:rsidRPr="000B4E2C">
              <w:rPr>
                <w:sz w:val="18"/>
                <w:szCs w:val="18"/>
                <w:lang w:eastAsia="en-GB"/>
              </w:rPr>
              <w:t>uNGAL, ARCHITECT, Abbott</w:t>
            </w:r>
          </w:p>
        </w:tc>
        <w:tc>
          <w:tcPr>
            <w:tcW w:w="0" w:type="auto"/>
            <w:shd w:val="clear" w:color="auto" w:fill="auto"/>
            <w:noWrap/>
            <w:vAlign w:val="center"/>
          </w:tcPr>
          <w:p w14:paraId="530D0C58" w14:textId="47EF5C7C" w:rsidR="0007414A" w:rsidRPr="000B4E2C" w:rsidRDefault="0007414A" w:rsidP="0007414A">
            <w:pPr>
              <w:jc w:val="center"/>
              <w:rPr>
                <w:color w:val="000000"/>
                <w:lang w:eastAsia="en-GB"/>
              </w:rPr>
            </w:pPr>
            <w:r w:rsidRPr="000B4E2C">
              <w:rPr>
                <w:sz w:val="18"/>
                <w:szCs w:val="18"/>
                <w:lang w:eastAsia="en-GB"/>
              </w:rPr>
              <w:t>Immediately after surgery</w:t>
            </w:r>
          </w:p>
        </w:tc>
        <w:tc>
          <w:tcPr>
            <w:tcW w:w="0" w:type="auto"/>
            <w:shd w:val="clear" w:color="auto" w:fill="auto"/>
            <w:noWrap/>
            <w:vAlign w:val="center"/>
          </w:tcPr>
          <w:p w14:paraId="369F6F8D" w14:textId="750D2801" w:rsidR="0007414A" w:rsidRPr="000B4E2C" w:rsidRDefault="000B4E2C" w:rsidP="0007414A">
            <w:pPr>
              <w:jc w:val="center"/>
              <w:rPr>
                <w:color w:val="000000"/>
                <w:lang w:eastAsia="en-GB"/>
              </w:rPr>
            </w:pPr>
            <w:r w:rsidRPr="000B4E2C">
              <w:rPr>
                <w:color w:val="00B0F0"/>
                <w:sz w:val="18"/>
                <w:szCs w:val="18"/>
                <w:lang w:eastAsia="en-GB"/>
              </w:rPr>
              <w:t>&gt;</w:t>
            </w:r>
            <w:r w:rsidRPr="000B4E2C">
              <w:rPr>
                <w:color w:val="00B0F0"/>
                <w:sz w:val="18"/>
                <w:szCs w:val="18"/>
                <w:lang w:eastAsia="en-GB"/>
              </w:rPr>
              <w:t> </w:t>
            </w:r>
            <w:r w:rsidRPr="000B4E2C">
              <w:rPr>
                <w:color w:val="00B0F0"/>
                <w:sz w:val="18"/>
                <w:szCs w:val="18"/>
                <w:lang w:eastAsia="en-GB"/>
              </w:rPr>
              <w:t>1</w:t>
            </w:r>
            <w:r w:rsidR="0007414A" w:rsidRPr="000B4E2C">
              <w:rPr>
                <w:sz w:val="18"/>
                <w:szCs w:val="18"/>
                <w:lang w:eastAsia="en-GB"/>
              </w:rPr>
              <w:t>1.3 ng/mL</w:t>
            </w:r>
          </w:p>
        </w:tc>
        <w:tc>
          <w:tcPr>
            <w:tcW w:w="0" w:type="auto"/>
            <w:shd w:val="clear" w:color="auto" w:fill="auto"/>
            <w:noWrap/>
            <w:vAlign w:val="center"/>
          </w:tcPr>
          <w:p w14:paraId="1D873710" w14:textId="765E8169" w:rsidR="0007414A" w:rsidRPr="000B4E2C" w:rsidRDefault="0007414A" w:rsidP="0007414A">
            <w:pPr>
              <w:jc w:val="center"/>
              <w:rPr>
                <w:color w:val="000000"/>
                <w:lang w:eastAsia="en-GB"/>
              </w:rPr>
            </w:pPr>
            <w:r w:rsidRPr="000B4E2C">
              <w:rPr>
                <w:sz w:val="18"/>
                <w:szCs w:val="18"/>
                <w:lang w:eastAsia="en-GB"/>
              </w:rPr>
              <w:t>0.74</w:t>
            </w:r>
          </w:p>
        </w:tc>
        <w:tc>
          <w:tcPr>
            <w:tcW w:w="0" w:type="auto"/>
            <w:shd w:val="clear" w:color="auto" w:fill="auto"/>
            <w:noWrap/>
            <w:vAlign w:val="center"/>
          </w:tcPr>
          <w:p w14:paraId="6758152F" w14:textId="2297826C" w:rsidR="0007414A" w:rsidRPr="000B4E2C" w:rsidRDefault="0007414A" w:rsidP="0007414A">
            <w:pPr>
              <w:jc w:val="center"/>
              <w:rPr>
                <w:color w:val="000000"/>
                <w:lang w:eastAsia="en-GB"/>
              </w:rPr>
            </w:pPr>
            <w:r w:rsidRPr="000B4E2C">
              <w:rPr>
                <w:sz w:val="18"/>
                <w:szCs w:val="18"/>
                <w:lang w:eastAsia="en-GB"/>
              </w:rPr>
              <w:t>0.60</w:t>
            </w:r>
          </w:p>
        </w:tc>
        <w:tc>
          <w:tcPr>
            <w:tcW w:w="0" w:type="auto"/>
            <w:shd w:val="clear" w:color="auto" w:fill="auto"/>
            <w:noWrap/>
            <w:vAlign w:val="center"/>
          </w:tcPr>
          <w:p w14:paraId="297324A7" w14:textId="77777777" w:rsidR="0007414A" w:rsidRPr="000B4E2C" w:rsidRDefault="0007414A" w:rsidP="0007414A">
            <w:pPr>
              <w:jc w:val="center"/>
              <w:rPr>
                <w:sz w:val="18"/>
                <w:szCs w:val="18"/>
                <w:lang w:eastAsia="en-GB"/>
              </w:rPr>
            </w:pPr>
            <w:r w:rsidRPr="000B4E2C">
              <w:rPr>
                <w:sz w:val="18"/>
                <w:szCs w:val="18"/>
                <w:lang w:eastAsia="en-GB"/>
              </w:rPr>
              <w:t>0.69</w:t>
            </w:r>
          </w:p>
          <w:p w14:paraId="3931AB01" w14:textId="4151F615" w:rsidR="0007414A" w:rsidRPr="000B4E2C" w:rsidRDefault="0007414A" w:rsidP="0007414A">
            <w:pPr>
              <w:jc w:val="center"/>
              <w:rPr>
                <w:color w:val="000000"/>
                <w:lang w:eastAsia="en-GB"/>
              </w:rPr>
            </w:pPr>
            <w:r w:rsidRPr="000B4E2C">
              <w:rPr>
                <w:sz w:val="18"/>
                <w:szCs w:val="18"/>
                <w:lang w:eastAsia="en-GB"/>
              </w:rPr>
              <w:t>(0.52, 0.72)</w:t>
            </w:r>
          </w:p>
        </w:tc>
        <w:tc>
          <w:tcPr>
            <w:tcW w:w="0" w:type="auto"/>
            <w:shd w:val="clear" w:color="auto" w:fill="auto"/>
            <w:vAlign w:val="center"/>
          </w:tcPr>
          <w:p w14:paraId="417A13AA" w14:textId="005A4E30" w:rsidR="0007414A" w:rsidRPr="000B4E2C" w:rsidRDefault="0007414A" w:rsidP="0007414A">
            <w:pPr>
              <w:jc w:val="center"/>
              <w:rPr>
                <w:lang w:eastAsia="en-GB"/>
              </w:rPr>
            </w:pPr>
            <w:r w:rsidRPr="000B4E2C">
              <w:rPr>
                <w:sz w:val="18"/>
                <w:szCs w:val="18"/>
                <w:lang w:eastAsia="en-GB"/>
              </w:rPr>
              <w:t>0.35</w:t>
            </w:r>
          </w:p>
        </w:tc>
      </w:tr>
      <w:tr w:rsidR="0007414A" w:rsidRPr="000B4E2C" w14:paraId="18A1DB94" w14:textId="77777777" w:rsidTr="000B4E2C">
        <w:trPr>
          <w:cantSplit/>
        </w:trPr>
        <w:tc>
          <w:tcPr>
            <w:tcW w:w="0" w:type="auto"/>
            <w:shd w:val="clear" w:color="auto" w:fill="auto"/>
            <w:noWrap/>
            <w:vAlign w:val="center"/>
          </w:tcPr>
          <w:p w14:paraId="31BDCA0D" w14:textId="31A6B813" w:rsidR="0007414A" w:rsidRPr="000B4E2C" w:rsidRDefault="0007414A" w:rsidP="0007414A">
            <w:pPr>
              <w:rPr>
                <w:lang w:eastAsia="en-GB"/>
              </w:rPr>
            </w:pPr>
            <w:r w:rsidRPr="000B4E2C">
              <w:rPr>
                <w:lang w:eastAsia="en-GB"/>
              </w:rPr>
              <w:t>Dupont 2012</w:t>
            </w:r>
            <w:r w:rsidRPr="000B4E2C">
              <w:rPr>
                <w:noProof/>
                <w:vertAlign w:val="superscript"/>
                <w:lang w:eastAsia="en-GB"/>
              </w:rPr>
              <w:t>54</w:t>
            </w:r>
          </w:p>
        </w:tc>
        <w:tc>
          <w:tcPr>
            <w:tcW w:w="0" w:type="auto"/>
            <w:shd w:val="clear" w:color="auto" w:fill="auto"/>
            <w:vAlign w:val="center"/>
          </w:tcPr>
          <w:p w14:paraId="58FD1C94" w14:textId="7998C8DC" w:rsidR="0007414A" w:rsidRPr="000B4E2C" w:rsidRDefault="0007414A" w:rsidP="0007414A">
            <w:pPr>
              <w:jc w:val="center"/>
            </w:pPr>
            <w:r w:rsidRPr="000B4E2C">
              <w:t>Critical care</w:t>
            </w:r>
            <w:r w:rsidR="000B4E2C" w:rsidRPr="000B4E2C">
              <w:rPr>
                <w:color w:val="00B0F0"/>
              </w:rPr>
              <w:t xml:space="preserve"> – </w:t>
            </w:r>
            <w:r w:rsidRPr="000B4E2C">
              <w:t>mixed population</w:t>
            </w:r>
          </w:p>
          <w:p w14:paraId="013E3B07" w14:textId="77777777" w:rsidR="0007414A" w:rsidRPr="000B4E2C" w:rsidRDefault="0007414A" w:rsidP="0007414A">
            <w:pPr>
              <w:jc w:val="center"/>
            </w:pPr>
            <w:r w:rsidRPr="000B4E2C">
              <w:t>(acute decongestive heart failure)</w:t>
            </w:r>
          </w:p>
        </w:tc>
        <w:tc>
          <w:tcPr>
            <w:tcW w:w="0" w:type="auto"/>
            <w:shd w:val="clear" w:color="auto" w:fill="auto"/>
            <w:noWrap/>
            <w:vAlign w:val="center"/>
          </w:tcPr>
          <w:p w14:paraId="4B6B262D" w14:textId="77777777" w:rsidR="0007414A" w:rsidRPr="000B4E2C" w:rsidRDefault="0007414A" w:rsidP="0007414A">
            <w:pPr>
              <w:jc w:val="center"/>
              <w:rPr>
                <w:color w:val="000000"/>
                <w:lang w:eastAsia="en-GB"/>
              </w:rPr>
            </w:pPr>
            <w:r w:rsidRPr="000B4E2C">
              <w:rPr>
                <w:lang w:eastAsia="en-GB"/>
              </w:rPr>
              <w:t>uNGAL, ARCHITECT, Abbott</w:t>
            </w:r>
          </w:p>
        </w:tc>
        <w:tc>
          <w:tcPr>
            <w:tcW w:w="0" w:type="auto"/>
            <w:shd w:val="clear" w:color="auto" w:fill="auto"/>
            <w:noWrap/>
            <w:vAlign w:val="center"/>
          </w:tcPr>
          <w:p w14:paraId="68A473BF" w14:textId="5343DAEB" w:rsidR="0007414A" w:rsidRPr="000B4E2C" w:rsidRDefault="0007414A" w:rsidP="0007414A">
            <w:pPr>
              <w:jc w:val="center"/>
              <w:rPr>
                <w:color w:val="000000"/>
                <w:lang w:eastAsia="en-GB"/>
              </w:rPr>
            </w:pPr>
            <w:r w:rsidRPr="000B4E2C">
              <w:rPr>
                <w:lang w:eastAsia="en-GB"/>
              </w:rPr>
              <w:t>4</w:t>
            </w:r>
            <w:r w:rsidR="000B4E2C" w:rsidRPr="000B4E2C">
              <w:rPr>
                <w:color w:val="00B0F0"/>
                <w:lang w:eastAsia="en-GB"/>
              </w:rPr>
              <w:t>8</w:t>
            </w:r>
            <w:r w:rsidR="000B4E2C" w:rsidRPr="000B4E2C">
              <w:rPr>
                <w:color w:val="00B0F0"/>
                <w:lang w:eastAsia="en-GB"/>
              </w:rPr>
              <w:t> </w:t>
            </w:r>
            <w:r w:rsidR="000B4E2C" w:rsidRPr="000B4E2C">
              <w:rPr>
                <w:color w:val="00B0F0"/>
                <w:lang w:eastAsia="en-GB"/>
              </w:rPr>
              <w:t xml:space="preserve">h </w:t>
            </w:r>
            <w:r w:rsidRPr="000B4E2C">
              <w:rPr>
                <w:lang w:eastAsia="en-GB"/>
              </w:rPr>
              <w:t>after admission</w:t>
            </w:r>
          </w:p>
        </w:tc>
        <w:tc>
          <w:tcPr>
            <w:tcW w:w="0" w:type="auto"/>
            <w:shd w:val="clear" w:color="auto" w:fill="auto"/>
            <w:noWrap/>
            <w:vAlign w:val="center"/>
          </w:tcPr>
          <w:p w14:paraId="07F9652B" w14:textId="77777777" w:rsidR="0007414A" w:rsidRPr="000B4E2C" w:rsidRDefault="0007414A" w:rsidP="0007414A">
            <w:pPr>
              <w:jc w:val="center"/>
              <w:rPr>
                <w:color w:val="000000"/>
                <w:lang w:eastAsia="en-GB"/>
              </w:rPr>
            </w:pPr>
            <w:r w:rsidRPr="000B4E2C">
              <w:rPr>
                <w:lang w:eastAsia="en-GB"/>
              </w:rPr>
              <w:t>32 µg/g Cr</w:t>
            </w:r>
          </w:p>
        </w:tc>
        <w:tc>
          <w:tcPr>
            <w:tcW w:w="0" w:type="auto"/>
            <w:shd w:val="clear" w:color="auto" w:fill="auto"/>
            <w:noWrap/>
            <w:vAlign w:val="center"/>
          </w:tcPr>
          <w:p w14:paraId="05AAE2FD" w14:textId="77777777" w:rsidR="0007414A" w:rsidRPr="000B4E2C" w:rsidRDefault="0007414A" w:rsidP="0007414A">
            <w:pPr>
              <w:jc w:val="center"/>
              <w:rPr>
                <w:color w:val="000000"/>
                <w:lang w:eastAsia="en-GB"/>
              </w:rPr>
            </w:pPr>
            <w:r w:rsidRPr="000B4E2C">
              <w:rPr>
                <w:lang w:eastAsia="en-GB"/>
              </w:rPr>
              <w:t>0.63</w:t>
            </w:r>
          </w:p>
        </w:tc>
        <w:tc>
          <w:tcPr>
            <w:tcW w:w="0" w:type="auto"/>
            <w:shd w:val="clear" w:color="auto" w:fill="auto"/>
            <w:noWrap/>
            <w:vAlign w:val="center"/>
          </w:tcPr>
          <w:p w14:paraId="07D2B883" w14:textId="77777777" w:rsidR="0007414A" w:rsidRPr="000B4E2C" w:rsidRDefault="0007414A" w:rsidP="0007414A">
            <w:pPr>
              <w:jc w:val="center"/>
              <w:rPr>
                <w:color w:val="000000"/>
                <w:lang w:eastAsia="en-GB"/>
              </w:rPr>
            </w:pPr>
            <w:r w:rsidRPr="000B4E2C">
              <w:rPr>
                <w:lang w:eastAsia="en-GB"/>
              </w:rPr>
              <w:t>0.58</w:t>
            </w:r>
          </w:p>
        </w:tc>
        <w:tc>
          <w:tcPr>
            <w:tcW w:w="0" w:type="auto"/>
            <w:shd w:val="clear" w:color="auto" w:fill="auto"/>
            <w:noWrap/>
            <w:vAlign w:val="center"/>
          </w:tcPr>
          <w:p w14:paraId="39FD40B3" w14:textId="77777777" w:rsidR="0007414A" w:rsidRPr="000B4E2C" w:rsidRDefault="0007414A" w:rsidP="0007414A">
            <w:pPr>
              <w:jc w:val="center"/>
              <w:rPr>
                <w:color w:val="000000"/>
                <w:lang w:eastAsia="en-GB"/>
              </w:rPr>
            </w:pPr>
            <w:r w:rsidRPr="000B4E2C">
              <w:rPr>
                <w:lang w:eastAsia="en-GB"/>
              </w:rPr>
              <w:t>0.61</w:t>
            </w:r>
          </w:p>
        </w:tc>
        <w:tc>
          <w:tcPr>
            <w:tcW w:w="0" w:type="auto"/>
            <w:shd w:val="clear" w:color="auto" w:fill="auto"/>
            <w:vAlign w:val="center"/>
          </w:tcPr>
          <w:p w14:paraId="43A7D4F7" w14:textId="77777777" w:rsidR="0007414A" w:rsidRPr="000B4E2C" w:rsidRDefault="0007414A" w:rsidP="0007414A">
            <w:pPr>
              <w:jc w:val="center"/>
              <w:rPr>
                <w:lang w:eastAsia="en-GB"/>
              </w:rPr>
            </w:pPr>
            <w:r w:rsidRPr="000B4E2C">
              <w:rPr>
                <w:lang w:eastAsia="en-GB"/>
              </w:rPr>
              <w:t>0.25</w:t>
            </w:r>
          </w:p>
        </w:tc>
      </w:tr>
      <w:tr w:rsidR="0007414A" w:rsidRPr="000B4E2C" w14:paraId="259C1300" w14:textId="77777777" w:rsidTr="000B4E2C">
        <w:trPr>
          <w:cantSplit/>
        </w:trPr>
        <w:tc>
          <w:tcPr>
            <w:tcW w:w="0" w:type="auto"/>
            <w:shd w:val="clear" w:color="auto" w:fill="auto"/>
            <w:noWrap/>
            <w:vAlign w:val="center"/>
            <w:hideMark/>
          </w:tcPr>
          <w:p w14:paraId="14717A0F" w14:textId="55828053" w:rsidR="0007414A" w:rsidRPr="000B4E2C" w:rsidRDefault="0007414A" w:rsidP="0007414A">
            <w:pPr>
              <w:rPr>
                <w:lang w:eastAsia="en-GB"/>
              </w:rPr>
            </w:pPr>
            <w:r w:rsidRPr="000B4E2C">
              <w:rPr>
                <w:lang w:eastAsia="en-GB"/>
              </w:rPr>
              <w:t>Kokkoris 2012</w:t>
            </w:r>
            <w:r w:rsidRPr="000B4E2C">
              <w:rPr>
                <w:noProof/>
                <w:vertAlign w:val="superscript"/>
                <w:lang w:eastAsia="en-GB"/>
              </w:rPr>
              <w:t>56</w:t>
            </w:r>
          </w:p>
        </w:tc>
        <w:tc>
          <w:tcPr>
            <w:tcW w:w="0" w:type="auto"/>
            <w:shd w:val="clear" w:color="auto" w:fill="auto"/>
            <w:vAlign w:val="center"/>
          </w:tcPr>
          <w:p w14:paraId="60645B40" w14:textId="4990C49D" w:rsidR="0007414A" w:rsidRPr="000B4E2C" w:rsidRDefault="0007414A" w:rsidP="0007414A">
            <w:pPr>
              <w:jc w:val="center"/>
            </w:pPr>
            <w:r w:rsidRPr="000B4E2C">
              <w:t>Critical care</w:t>
            </w:r>
            <w:r w:rsidR="000B4E2C" w:rsidRPr="000B4E2C">
              <w:rPr>
                <w:color w:val="00B0F0"/>
              </w:rPr>
              <w:t xml:space="preserve"> – </w:t>
            </w:r>
            <w:r w:rsidRPr="000B4E2C">
              <w:t>mixed population (ICU/ITU)</w:t>
            </w:r>
          </w:p>
        </w:tc>
        <w:tc>
          <w:tcPr>
            <w:tcW w:w="0" w:type="auto"/>
            <w:shd w:val="clear" w:color="auto" w:fill="auto"/>
            <w:noWrap/>
            <w:vAlign w:val="center"/>
            <w:hideMark/>
          </w:tcPr>
          <w:p w14:paraId="050DA33C" w14:textId="77777777" w:rsidR="0007414A" w:rsidRPr="000B4E2C" w:rsidRDefault="0007414A" w:rsidP="0007414A">
            <w:pPr>
              <w:jc w:val="center"/>
              <w:rPr>
                <w:color w:val="000000"/>
                <w:lang w:eastAsia="en-GB"/>
              </w:rPr>
            </w:pPr>
            <w:r w:rsidRPr="000B4E2C">
              <w:rPr>
                <w:lang w:eastAsia="en-GB"/>
              </w:rPr>
              <w:t>uNGAL, ARCHITECT, Abbott</w:t>
            </w:r>
          </w:p>
        </w:tc>
        <w:tc>
          <w:tcPr>
            <w:tcW w:w="0" w:type="auto"/>
            <w:shd w:val="clear" w:color="auto" w:fill="auto"/>
            <w:noWrap/>
            <w:vAlign w:val="center"/>
            <w:hideMark/>
          </w:tcPr>
          <w:p w14:paraId="773BE75F" w14:textId="77777777" w:rsidR="0007414A" w:rsidRPr="000B4E2C" w:rsidRDefault="0007414A" w:rsidP="0007414A">
            <w:pPr>
              <w:jc w:val="center"/>
              <w:rPr>
                <w:color w:val="000000"/>
                <w:lang w:eastAsia="en-GB"/>
              </w:rPr>
            </w:pPr>
            <w:r w:rsidRPr="000B4E2C">
              <w:rPr>
                <w:lang w:eastAsia="en-GB"/>
              </w:rPr>
              <w:t>ICU admission</w:t>
            </w:r>
          </w:p>
        </w:tc>
        <w:tc>
          <w:tcPr>
            <w:tcW w:w="0" w:type="auto"/>
            <w:shd w:val="clear" w:color="auto" w:fill="auto"/>
            <w:noWrap/>
            <w:vAlign w:val="center"/>
            <w:hideMark/>
          </w:tcPr>
          <w:p w14:paraId="502818A7" w14:textId="77777777" w:rsidR="0007414A" w:rsidRPr="000B4E2C" w:rsidRDefault="0007414A" w:rsidP="0007414A">
            <w:pPr>
              <w:jc w:val="center"/>
              <w:rPr>
                <w:color w:val="000000"/>
                <w:lang w:eastAsia="en-GB"/>
              </w:rPr>
            </w:pPr>
            <w:r w:rsidRPr="000B4E2C">
              <w:rPr>
                <w:lang w:eastAsia="en-GB"/>
              </w:rPr>
              <w:t>58.5 ng/mL</w:t>
            </w:r>
          </w:p>
        </w:tc>
        <w:tc>
          <w:tcPr>
            <w:tcW w:w="0" w:type="auto"/>
            <w:shd w:val="clear" w:color="auto" w:fill="auto"/>
            <w:noWrap/>
            <w:vAlign w:val="center"/>
            <w:hideMark/>
          </w:tcPr>
          <w:p w14:paraId="5FF10826" w14:textId="77777777" w:rsidR="000B4E2C" w:rsidRPr="000B4E2C" w:rsidRDefault="0007414A" w:rsidP="0007414A">
            <w:pPr>
              <w:jc w:val="center"/>
              <w:rPr>
                <w:lang w:eastAsia="en-GB"/>
              </w:rPr>
            </w:pPr>
            <w:r w:rsidRPr="000B4E2C">
              <w:rPr>
                <w:lang w:eastAsia="en-GB"/>
              </w:rPr>
              <w:t>0.78</w:t>
            </w:r>
          </w:p>
          <w:p w14:paraId="09F37247" w14:textId="5AF7652B" w:rsidR="0007414A" w:rsidRPr="000B4E2C" w:rsidRDefault="0007414A" w:rsidP="0007414A">
            <w:pPr>
              <w:jc w:val="center"/>
              <w:rPr>
                <w:color w:val="000000"/>
                <w:lang w:eastAsia="en-GB"/>
              </w:rPr>
            </w:pPr>
            <w:r w:rsidRPr="000B4E2C">
              <w:rPr>
                <w:lang w:eastAsia="en-GB"/>
              </w:rPr>
              <w:t>(0.61, 0.90)</w:t>
            </w:r>
          </w:p>
        </w:tc>
        <w:tc>
          <w:tcPr>
            <w:tcW w:w="0" w:type="auto"/>
            <w:shd w:val="clear" w:color="auto" w:fill="auto"/>
            <w:noWrap/>
            <w:vAlign w:val="center"/>
            <w:hideMark/>
          </w:tcPr>
          <w:p w14:paraId="71606A77" w14:textId="77777777" w:rsidR="000B4E2C" w:rsidRPr="000B4E2C" w:rsidRDefault="0007414A" w:rsidP="0007414A">
            <w:pPr>
              <w:jc w:val="center"/>
              <w:rPr>
                <w:lang w:eastAsia="en-GB"/>
              </w:rPr>
            </w:pPr>
            <w:r w:rsidRPr="000B4E2C">
              <w:rPr>
                <w:lang w:eastAsia="en-GB"/>
              </w:rPr>
              <w:t>0.72</w:t>
            </w:r>
          </w:p>
          <w:p w14:paraId="05C6E357" w14:textId="3CD2785D" w:rsidR="0007414A" w:rsidRPr="000B4E2C" w:rsidRDefault="0007414A" w:rsidP="0007414A">
            <w:pPr>
              <w:jc w:val="center"/>
              <w:rPr>
                <w:color w:val="000000"/>
                <w:lang w:eastAsia="en-GB"/>
              </w:rPr>
            </w:pPr>
            <w:r w:rsidRPr="000B4E2C">
              <w:rPr>
                <w:lang w:eastAsia="en-GB"/>
              </w:rPr>
              <w:t>(0.59, 0.82)</w:t>
            </w:r>
          </w:p>
        </w:tc>
        <w:tc>
          <w:tcPr>
            <w:tcW w:w="0" w:type="auto"/>
            <w:shd w:val="clear" w:color="auto" w:fill="auto"/>
            <w:noWrap/>
            <w:vAlign w:val="center"/>
            <w:hideMark/>
          </w:tcPr>
          <w:p w14:paraId="4D692299" w14:textId="77777777" w:rsidR="000B4E2C" w:rsidRPr="000B4E2C" w:rsidRDefault="0007414A" w:rsidP="0007414A">
            <w:pPr>
              <w:jc w:val="center"/>
              <w:rPr>
                <w:lang w:eastAsia="en-GB"/>
              </w:rPr>
            </w:pPr>
            <w:r w:rsidRPr="000B4E2C">
              <w:rPr>
                <w:lang w:eastAsia="en-GB"/>
              </w:rPr>
              <w:t>0.74</w:t>
            </w:r>
          </w:p>
          <w:p w14:paraId="03983FE3" w14:textId="1AE1398A" w:rsidR="0007414A" w:rsidRPr="000B4E2C" w:rsidRDefault="0007414A" w:rsidP="0007414A">
            <w:pPr>
              <w:jc w:val="center"/>
              <w:rPr>
                <w:color w:val="000000"/>
                <w:lang w:eastAsia="en-GB"/>
              </w:rPr>
            </w:pPr>
            <w:r w:rsidRPr="000B4E2C">
              <w:rPr>
                <w:lang w:eastAsia="en-GB"/>
              </w:rPr>
              <w:t>(0.64, 0.82)</w:t>
            </w:r>
          </w:p>
        </w:tc>
        <w:tc>
          <w:tcPr>
            <w:tcW w:w="0" w:type="auto"/>
            <w:shd w:val="clear" w:color="auto" w:fill="auto"/>
            <w:vAlign w:val="center"/>
          </w:tcPr>
          <w:p w14:paraId="02D7A330" w14:textId="77777777" w:rsidR="0007414A" w:rsidRPr="000B4E2C" w:rsidRDefault="0007414A" w:rsidP="0007414A">
            <w:pPr>
              <w:jc w:val="center"/>
              <w:rPr>
                <w:lang w:eastAsia="en-GB"/>
              </w:rPr>
            </w:pPr>
            <w:r w:rsidRPr="000B4E2C">
              <w:rPr>
                <w:lang w:eastAsia="en-GB"/>
              </w:rPr>
              <w:t>0.36</w:t>
            </w:r>
          </w:p>
        </w:tc>
      </w:tr>
      <w:tr w:rsidR="0007414A" w:rsidRPr="000B4E2C" w14:paraId="6570BF12" w14:textId="77777777" w:rsidTr="000B4E2C">
        <w:trPr>
          <w:cantSplit/>
        </w:trPr>
        <w:tc>
          <w:tcPr>
            <w:tcW w:w="0" w:type="auto"/>
            <w:shd w:val="clear" w:color="auto" w:fill="auto"/>
            <w:noWrap/>
            <w:vAlign w:val="center"/>
          </w:tcPr>
          <w:p w14:paraId="6F91A112" w14:textId="73BEDF05" w:rsidR="0007414A" w:rsidRPr="000B4E2C" w:rsidRDefault="0007414A" w:rsidP="0007414A">
            <w:pPr>
              <w:rPr>
                <w:lang w:eastAsia="en-GB"/>
              </w:rPr>
            </w:pPr>
            <w:r w:rsidRPr="000B4E2C">
              <w:rPr>
                <w:lang w:eastAsia="en-GB"/>
              </w:rPr>
              <w:t>Nickolas 2012</w:t>
            </w:r>
            <w:r w:rsidRPr="000B4E2C">
              <w:rPr>
                <w:noProof/>
                <w:vertAlign w:val="superscript"/>
                <w:lang w:eastAsia="en-GB"/>
              </w:rPr>
              <w:t>58</w:t>
            </w:r>
          </w:p>
        </w:tc>
        <w:tc>
          <w:tcPr>
            <w:tcW w:w="0" w:type="auto"/>
            <w:shd w:val="clear" w:color="auto" w:fill="auto"/>
            <w:vAlign w:val="center"/>
          </w:tcPr>
          <w:p w14:paraId="40DD179D" w14:textId="3E171AA2" w:rsidR="0007414A" w:rsidRPr="000B4E2C" w:rsidRDefault="0007414A" w:rsidP="0007414A">
            <w:pPr>
              <w:jc w:val="center"/>
            </w:pPr>
            <w:r w:rsidRPr="000B4E2C">
              <w:t>Critical care</w:t>
            </w:r>
            <w:r w:rsidR="000B4E2C" w:rsidRPr="000B4E2C">
              <w:rPr>
                <w:color w:val="00B0F0"/>
              </w:rPr>
              <w:t xml:space="preserve"> – </w:t>
            </w:r>
            <w:r w:rsidRPr="000B4E2C">
              <w:t>mixed population (ICU/ITU)</w:t>
            </w:r>
          </w:p>
        </w:tc>
        <w:tc>
          <w:tcPr>
            <w:tcW w:w="0" w:type="auto"/>
            <w:shd w:val="clear" w:color="auto" w:fill="auto"/>
            <w:noWrap/>
            <w:vAlign w:val="center"/>
          </w:tcPr>
          <w:p w14:paraId="7CDFC769" w14:textId="77777777" w:rsidR="0007414A" w:rsidRPr="000B4E2C" w:rsidRDefault="0007414A" w:rsidP="0007414A">
            <w:pPr>
              <w:jc w:val="center"/>
              <w:rPr>
                <w:color w:val="000000"/>
                <w:lang w:eastAsia="en-GB"/>
              </w:rPr>
            </w:pPr>
            <w:r w:rsidRPr="000B4E2C">
              <w:rPr>
                <w:lang w:eastAsia="en-GB"/>
              </w:rPr>
              <w:t>uNGAL, ARCHITECT, Abbott</w:t>
            </w:r>
          </w:p>
        </w:tc>
        <w:tc>
          <w:tcPr>
            <w:tcW w:w="0" w:type="auto"/>
            <w:shd w:val="clear" w:color="auto" w:fill="auto"/>
            <w:noWrap/>
            <w:vAlign w:val="center"/>
          </w:tcPr>
          <w:p w14:paraId="2FF1FE22" w14:textId="77777777" w:rsidR="0007414A" w:rsidRPr="000B4E2C" w:rsidRDefault="0007414A" w:rsidP="0007414A">
            <w:pPr>
              <w:jc w:val="center"/>
              <w:rPr>
                <w:color w:val="000000"/>
                <w:lang w:eastAsia="en-GB"/>
              </w:rPr>
            </w:pPr>
            <w:r w:rsidRPr="000B4E2C">
              <w:rPr>
                <w:lang w:eastAsia="en-GB"/>
              </w:rPr>
              <w:t>Admission to ED</w:t>
            </w:r>
          </w:p>
        </w:tc>
        <w:tc>
          <w:tcPr>
            <w:tcW w:w="0" w:type="auto"/>
            <w:shd w:val="clear" w:color="auto" w:fill="auto"/>
            <w:noWrap/>
            <w:vAlign w:val="center"/>
          </w:tcPr>
          <w:p w14:paraId="71AF22E9" w14:textId="77777777" w:rsidR="0007414A" w:rsidRPr="000B4E2C" w:rsidRDefault="0007414A" w:rsidP="0007414A">
            <w:pPr>
              <w:jc w:val="center"/>
              <w:rPr>
                <w:color w:val="000000"/>
                <w:lang w:eastAsia="en-GB"/>
              </w:rPr>
            </w:pPr>
            <w:r w:rsidRPr="000B4E2C">
              <w:rPr>
                <w:lang w:eastAsia="en-GB"/>
              </w:rPr>
              <w:t>104 ng/mL</w:t>
            </w:r>
          </w:p>
        </w:tc>
        <w:tc>
          <w:tcPr>
            <w:tcW w:w="0" w:type="auto"/>
            <w:shd w:val="clear" w:color="auto" w:fill="auto"/>
            <w:noWrap/>
            <w:vAlign w:val="center"/>
          </w:tcPr>
          <w:p w14:paraId="66DB2633" w14:textId="77777777" w:rsidR="0007414A" w:rsidRPr="000B4E2C" w:rsidRDefault="0007414A" w:rsidP="0007414A">
            <w:pPr>
              <w:jc w:val="center"/>
              <w:rPr>
                <w:color w:val="000000"/>
                <w:lang w:eastAsia="en-GB"/>
              </w:rPr>
            </w:pPr>
            <w:r w:rsidRPr="000B4E2C">
              <w:rPr>
                <w:lang w:eastAsia="en-GB"/>
              </w:rPr>
              <w:t>0.68</w:t>
            </w:r>
          </w:p>
        </w:tc>
        <w:tc>
          <w:tcPr>
            <w:tcW w:w="0" w:type="auto"/>
            <w:shd w:val="clear" w:color="auto" w:fill="auto"/>
            <w:noWrap/>
            <w:vAlign w:val="center"/>
          </w:tcPr>
          <w:p w14:paraId="00555F8D" w14:textId="77777777" w:rsidR="0007414A" w:rsidRPr="000B4E2C" w:rsidRDefault="0007414A" w:rsidP="0007414A">
            <w:pPr>
              <w:jc w:val="center"/>
              <w:rPr>
                <w:color w:val="000000"/>
                <w:lang w:eastAsia="en-GB"/>
              </w:rPr>
            </w:pPr>
            <w:r w:rsidRPr="000B4E2C">
              <w:rPr>
                <w:lang w:eastAsia="en-GB"/>
              </w:rPr>
              <w:t>0.81</w:t>
            </w:r>
          </w:p>
        </w:tc>
        <w:tc>
          <w:tcPr>
            <w:tcW w:w="0" w:type="auto"/>
            <w:shd w:val="clear" w:color="auto" w:fill="auto"/>
            <w:noWrap/>
            <w:vAlign w:val="center"/>
          </w:tcPr>
          <w:p w14:paraId="096EA7DE" w14:textId="77777777" w:rsidR="000B4E2C" w:rsidRPr="000B4E2C" w:rsidRDefault="0007414A" w:rsidP="0007414A">
            <w:pPr>
              <w:jc w:val="center"/>
              <w:rPr>
                <w:lang w:eastAsia="en-GB"/>
              </w:rPr>
            </w:pPr>
            <w:r w:rsidRPr="000B4E2C">
              <w:rPr>
                <w:lang w:eastAsia="en-GB"/>
              </w:rPr>
              <w:t>0.81</w:t>
            </w:r>
          </w:p>
          <w:p w14:paraId="28BACCB1" w14:textId="55611BA7" w:rsidR="0007414A" w:rsidRPr="000B4E2C" w:rsidRDefault="0007414A" w:rsidP="0007414A">
            <w:pPr>
              <w:jc w:val="center"/>
              <w:rPr>
                <w:color w:val="000000"/>
                <w:lang w:eastAsia="en-GB"/>
              </w:rPr>
            </w:pPr>
            <w:r w:rsidRPr="000B4E2C">
              <w:rPr>
                <w:lang w:eastAsia="en-GB"/>
              </w:rPr>
              <w:t>(0.76, 0.86)</w:t>
            </w:r>
          </w:p>
        </w:tc>
        <w:tc>
          <w:tcPr>
            <w:tcW w:w="0" w:type="auto"/>
            <w:shd w:val="clear" w:color="auto" w:fill="auto"/>
            <w:vAlign w:val="center"/>
          </w:tcPr>
          <w:p w14:paraId="214B6BBC" w14:textId="77777777" w:rsidR="0007414A" w:rsidRPr="000B4E2C" w:rsidRDefault="0007414A" w:rsidP="0007414A">
            <w:pPr>
              <w:jc w:val="center"/>
              <w:rPr>
                <w:lang w:eastAsia="en-GB"/>
              </w:rPr>
            </w:pPr>
            <w:r w:rsidRPr="000B4E2C">
              <w:rPr>
                <w:lang w:eastAsia="en-GB"/>
              </w:rPr>
              <w:t>0.059</w:t>
            </w:r>
          </w:p>
        </w:tc>
      </w:tr>
      <w:tr w:rsidR="0007414A" w:rsidRPr="000B4E2C" w14:paraId="61648BA3" w14:textId="77777777" w:rsidTr="000B4E2C">
        <w:trPr>
          <w:cantSplit/>
        </w:trPr>
        <w:tc>
          <w:tcPr>
            <w:tcW w:w="0" w:type="auto"/>
            <w:shd w:val="clear" w:color="auto" w:fill="auto"/>
            <w:noWrap/>
            <w:vAlign w:val="center"/>
            <w:hideMark/>
          </w:tcPr>
          <w:p w14:paraId="315F0316" w14:textId="3C162421" w:rsidR="0007414A" w:rsidRPr="000B4E2C" w:rsidRDefault="0007414A" w:rsidP="0007414A">
            <w:pPr>
              <w:rPr>
                <w:lang w:eastAsia="en-GB"/>
              </w:rPr>
            </w:pPr>
            <w:r w:rsidRPr="000B4E2C">
              <w:rPr>
                <w:lang w:eastAsia="en-GB"/>
              </w:rPr>
              <w:t>Treeprasertsuk 2015</w:t>
            </w:r>
            <w:r w:rsidRPr="000B4E2C">
              <w:rPr>
                <w:noProof/>
                <w:vertAlign w:val="superscript"/>
                <w:lang w:eastAsia="en-GB"/>
              </w:rPr>
              <w:t>61</w:t>
            </w:r>
          </w:p>
        </w:tc>
        <w:tc>
          <w:tcPr>
            <w:tcW w:w="0" w:type="auto"/>
            <w:shd w:val="clear" w:color="auto" w:fill="auto"/>
            <w:vAlign w:val="center"/>
          </w:tcPr>
          <w:p w14:paraId="013F231A" w14:textId="2CDC3771" w:rsidR="000B4E2C" w:rsidRPr="000B4E2C" w:rsidRDefault="0007414A" w:rsidP="0007414A">
            <w:pPr>
              <w:jc w:val="center"/>
            </w:pPr>
            <w:r w:rsidRPr="000B4E2C">
              <w:t>Critical care</w:t>
            </w:r>
            <w:r w:rsidR="000B4E2C" w:rsidRPr="000B4E2C">
              <w:rPr>
                <w:color w:val="00B0F0"/>
              </w:rPr>
              <w:t xml:space="preserve"> – </w:t>
            </w:r>
            <w:r w:rsidRPr="000B4E2C">
              <w:t>mixed population</w:t>
            </w:r>
          </w:p>
          <w:p w14:paraId="78CEE646" w14:textId="752AAD16" w:rsidR="0007414A" w:rsidRPr="000B4E2C" w:rsidRDefault="0007414A" w:rsidP="0007414A">
            <w:pPr>
              <w:jc w:val="center"/>
            </w:pPr>
            <w:r w:rsidRPr="000B4E2C">
              <w:t>(liver disease)</w:t>
            </w:r>
          </w:p>
        </w:tc>
        <w:tc>
          <w:tcPr>
            <w:tcW w:w="0" w:type="auto"/>
            <w:shd w:val="clear" w:color="auto" w:fill="auto"/>
            <w:noWrap/>
            <w:vAlign w:val="center"/>
            <w:hideMark/>
          </w:tcPr>
          <w:p w14:paraId="346515D3" w14:textId="77777777" w:rsidR="0007414A" w:rsidRPr="000B4E2C" w:rsidRDefault="0007414A" w:rsidP="0007414A">
            <w:pPr>
              <w:jc w:val="center"/>
              <w:rPr>
                <w:color w:val="000000"/>
                <w:lang w:eastAsia="en-GB"/>
              </w:rPr>
            </w:pPr>
            <w:r w:rsidRPr="000B4E2C">
              <w:rPr>
                <w:lang w:eastAsia="en-GB"/>
              </w:rPr>
              <w:t>uNGAL, ARCHITECT, Abbott</w:t>
            </w:r>
          </w:p>
        </w:tc>
        <w:tc>
          <w:tcPr>
            <w:tcW w:w="0" w:type="auto"/>
            <w:shd w:val="clear" w:color="auto" w:fill="auto"/>
            <w:noWrap/>
            <w:vAlign w:val="center"/>
            <w:hideMark/>
          </w:tcPr>
          <w:p w14:paraId="25030603" w14:textId="043CA912" w:rsidR="0007414A" w:rsidRPr="000B4E2C" w:rsidRDefault="0007414A" w:rsidP="0007414A">
            <w:pPr>
              <w:jc w:val="center"/>
              <w:rPr>
                <w:color w:val="000000"/>
                <w:lang w:eastAsia="en-GB"/>
              </w:rPr>
            </w:pPr>
            <w:r w:rsidRPr="000B4E2C">
              <w:rPr>
                <w:lang w:eastAsia="en-GB"/>
              </w:rPr>
              <w:t>Within 7</w:t>
            </w:r>
            <w:r w:rsidR="000B4E2C" w:rsidRPr="000B4E2C">
              <w:rPr>
                <w:color w:val="00B0F0"/>
                <w:lang w:eastAsia="en-GB"/>
              </w:rPr>
              <w:t>2</w:t>
            </w:r>
            <w:r w:rsidR="000B4E2C" w:rsidRPr="000B4E2C">
              <w:rPr>
                <w:color w:val="00B0F0"/>
                <w:lang w:eastAsia="en-GB"/>
              </w:rPr>
              <w:t> </w:t>
            </w:r>
            <w:r w:rsidR="000B4E2C" w:rsidRPr="000B4E2C">
              <w:rPr>
                <w:color w:val="00B0F0"/>
                <w:lang w:eastAsia="en-GB"/>
              </w:rPr>
              <w:t xml:space="preserve">h </w:t>
            </w:r>
            <w:r w:rsidRPr="000B4E2C">
              <w:rPr>
                <w:lang w:eastAsia="en-GB"/>
              </w:rPr>
              <w:t>after admission.</w:t>
            </w:r>
          </w:p>
        </w:tc>
        <w:tc>
          <w:tcPr>
            <w:tcW w:w="0" w:type="auto"/>
            <w:shd w:val="clear" w:color="auto" w:fill="auto"/>
            <w:noWrap/>
            <w:vAlign w:val="center"/>
            <w:hideMark/>
          </w:tcPr>
          <w:p w14:paraId="000A6A13" w14:textId="77777777" w:rsidR="0007414A" w:rsidRPr="000B4E2C" w:rsidRDefault="0007414A" w:rsidP="0007414A">
            <w:pPr>
              <w:jc w:val="center"/>
              <w:rPr>
                <w:color w:val="000000"/>
                <w:lang w:eastAsia="en-GB"/>
              </w:rPr>
            </w:pPr>
            <w:r w:rsidRPr="000B4E2C">
              <w:rPr>
                <w:lang w:eastAsia="en-GB"/>
              </w:rPr>
              <w:t>56 ng/mL</w:t>
            </w:r>
          </w:p>
        </w:tc>
        <w:tc>
          <w:tcPr>
            <w:tcW w:w="0" w:type="auto"/>
            <w:shd w:val="clear" w:color="auto" w:fill="auto"/>
            <w:noWrap/>
            <w:vAlign w:val="center"/>
            <w:hideMark/>
          </w:tcPr>
          <w:p w14:paraId="2A940B3C" w14:textId="77777777" w:rsidR="0007414A" w:rsidRPr="000B4E2C" w:rsidRDefault="0007414A" w:rsidP="0007414A">
            <w:pPr>
              <w:jc w:val="center"/>
              <w:rPr>
                <w:color w:val="000000"/>
                <w:lang w:eastAsia="en-GB"/>
              </w:rPr>
            </w:pPr>
            <w:r w:rsidRPr="000B4E2C">
              <w:rPr>
                <w:lang w:eastAsia="en-GB"/>
              </w:rPr>
              <w:t>0.77</w:t>
            </w:r>
          </w:p>
        </w:tc>
        <w:tc>
          <w:tcPr>
            <w:tcW w:w="0" w:type="auto"/>
            <w:shd w:val="clear" w:color="auto" w:fill="auto"/>
            <w:noWrap/>
            <w:vAlign w:val="center"/>
            <w:hideMark/>
          </w:tcPr>
          <w:p w14:paraId="0C7FB659" w14:textId="77777777" w:rsidR="0007414A" w:rsidRPr="000B4E2C" w:rsidRDefault="0007414A" w:rsidP="0007414A">
            <w:pPr>
              <w:jc w:val="center"/>
              <w:rPr>
                <w:color w:val="000000"/>
                <w:lang w:eastAsia="en-GB"/>
              </w:rPr>
            </w:pPr>
            <w:r w:rsidRPr="000B4E2C">
              <w:rPr>
                <w:lang w:eastAsia="en-GB"/>
              </w:rPr>
              <w:t>0.73</w:t>
            </w:r>
          </w:p>
        </w:tc>
        <w:tc>
          <w:tcPr>
            <w:tcW w:w="0" w:type="auto"/>
            <w:shd w:val="clear" w:color="auto" w:fill="auto"/>
            <w:noWrap/>
            <w:vAlign w:val="center"/>
            <w:hideMark/>
          </w:tcPr>
          <w:p w14:paraId="197BF611" w14:textId="77777777" w:rsidR="000B4E2C" w:rsidRPr="000B4E2C" w:rsidRDefault="0007414A" w:rsidP="0007414A">
            <w:pPr>
              <w:jc w:val="center"/>
              <w:rPr>
                <w:lang w:eastAsia="en-GB"/>
              </w:rPr>
            </w:pPr>
            <w:r w:rsidRPr="000B4E2C">
              <w:rPr>
                <w:lang w:eastAsia="en-GB"/>
              </w:rPr>
              <w:t>0.83</w:t>
            </w:r>
          </w:p>
          <w:p w14:paraId="33C64B71" w14:textId="6E324488" w:rsidR="0007414A" w:rsidRPr="000B4E2C" w:rsidRDefault="0007414A" w:rsidP="0007414A">
            <w:pPr>
              <w:jc w:val="center"/>
              <w:rPr>
                <w:color w:val="000000"/>
                <w:lang w:eastAsia="en-GB"/>
              </w:rPr>
            </w:pPr>
            <w:r w:rsidRPr="000B4E2C">
              <w:rPr>
                <w:lang w:eastAsia="en-GB"/>
              </w:rPr>
              <w:t>(0.76, 0.91)</w:t>
            </w:r>
          </w:p>
        </w:tc>
        <w:tc>
          <w:tcPr>
            <w:tcW w:w="0" w:type="auto"/>
            <w:shd w:val="clear" w:color="auto" w:fill="auto"/>
            <w:vAlign w:val="center"/>
          </w:tcPr>
          <w:p w14:paraId="5949057E" w14:textId="77777777" w:rsidR="0007414A" w:rsidRPr="000B4E2C" w:rsidRDefault="0007414A" w:rsidP="0007414A">
            <w:pPr>
              <w:jc w:val="center"/>
              <w:rPr>
                <w:lang w:eastAsia="en-GB"/>
              </w:rPr>
            </w:pPr>
            <w:r w:rsidRPr="000B4E2C">
              <w:rPr>
                <w:lang w:eastAsia="en-GB"/>
              </w:rPr>
              <w:t>0.29</w:t>
            </w:r>
          </w:p>
        </w:tc>
      </w:tr>
    </w:tbl>
    <w:p w14:paraId="02EF773E" w14:textId="55290E88" w:rsidR="000B4E2C" w:rsidRPr="000B4E2C" w:rsidRDefault="000B4E2C" w:rsidP="008A7464">
      <w:pPr>
        <w:rPr>
          <w:szCs w:val="24"/>
        </w:rPr>
      </w:pPr>
      <w:r w:rsidRPr="000B4E2C">
        <w:rPr>
          <w:szCs w:val="24"/>
        </w:rPr>
        <w:t xml:space="preserve"> </w:t>
      </w:r>
      <w:r w:rsidRPr="000B4E2C">
        <w:rPr>
          <w:i/>
          <w:color w:val="FF0000"/>
          <w:szCs w:val="24"/>
        </w:rPr>
        <w:t>F</w:t>
      </w:r>
      <w:r w:rsidRPr="000B4E2C">
        <w:rPr>
          <w:i/>
          <w:color w:val="FF0000"/>
          <w:szCs w:val="24"/>
        </w:rPr>
        <w:t>igure</w:t>
      </w:r>
      <w:r w:rsidRPr="000B4E2C">
        <w:rPr>
          <w:i/>
          <w:color w:val="FF0000"/>
          <w:szCs w:val="24"/>
        </w:rPr>
        <w:t xml:space="preserve"> </w:t>
      </w:r>
      <w:r w:rsidRPr="000B4E2C">
        <w:rPr>
          <w:i/>
          <w:color w:val="FF0000"/>
          <w:szCs w:val="24"/>
        </w:rPr>
        <w:t>7</w:t>
      </w:r>
      <w:r w:rsidR="002F0133" w:rsidRPr="000B4E2C">
        <w:rPr>
          <w:szCs w:val="24"/>
        </w:rPr>
        <w:t xml:space="preserve"> shows the forest plots of sensitivity and specificity estimates for all </w:t>
      </w:r>
      <w:r w:rsidR="006376D0" w:rsidRPr="000B4E2C">
        <w:rPr>
          <w:szCs w:val="24"/>
        </w:rPr>
        <w:t xml:space="preserve">ARCHITECT </w:t>
      </w:r>
      <w:r w:rsidR="002F0133" w:rsidRPr="000B4E2C">
        <w:rPr>
          <w:szCs w:val="24"/>
        </w:rPr>
        <w:t>u</w:t>
      </w:r>
      <w:r w:rsidR="006376D0" w:rsidRPr="000B4E2C">
        <w:rPr>
          <w:szCs w:val="24"/>
        </w:rPr>
        <w:t xml:space="preserve">rine </w:t>
      </w:r>
      <w:r w:rsidR="002F0133" w:rsidRPr="000B4E2C">
        <w:rPr>
          <w:szCs w:val="24"/>
        </w:rPr>
        <w:t xml:space="preserve">NGAL studies (3347 patients in total) across all clinical settings. Sensitivity values ranged from 0.46 to 0.78 and specificity values from 0.58 to 0.81. Summary estimates for sensitivity and specificity were 0.67 (95% CI 0.58 to 0.76) and 0.72 (95% CI 0.64 to 0.79), respectively. </w:t>
      </w:r>
      <w:r w:rsidRPr="000B4E2C">
        <w:rPr>
          <w:i/>
          <w:color w:val="FF0000"/>
          <w:szCs w:val="24"/>
        </w:rPr>
        <w:t>F</w:t>
      </w:r>
      <w:r w:rsidRPr="000B4E2C">
        <w:rPr>
          <w:i/>
          <w:color w:val="FF0000"/>
          <w:szCs w:val="24"/>
        </w:rPr>
        <w:t>igure</w:t>
      </w:r>
      <w:r w:rsidRPr="000B4E2C">
        <w:rPr>
          <w:i/>
          <w:color w:val="FF0000"/>
          <w:szCs w:val="24"/>
        </w:rPr>
        <w:t xml:space="preserve"> </w:t>
      </w:r>
      <w:r w:rsidRPr="000B4E2C">
        <w:rPr>
          <w:i/>
          <w:color w:val="FF0000"/>
          <w:szCs w:val="24"/>
        </w:rPr>
        <w:t>8</w:t>
      </w:r>
      <w:r w:rsidR="002F0133" w:rsidRPr="000B4E2C">
        <w:rPr>
          <w:szCs w:val="24"/>
        </w:rPr>
        <w:t xml:space="preserve"> shows HSROC with 95% confidence region for the summary operating point and 95% prediction region. The confidence and prediction regions are large</w:t>
      </w:r>
      <w:r w:rsidR="00D83058" w:rsidRPr="000B4E2C">
        <w:rPr>
          <w:szCs w:val="24"/>
        </w:rPr>
        <w:t>,</w:t>
      </w:r>
      <w:r w:rsidR="002F0133" w:rsidRPr="000B4E2C">
        <w:rPr>
          <w:szCs w:val="24"/>
        </w:rPr>
        <w:t xml:space="preserve"> indicating heterogeneity between studies.</w:t>
      </w:r>
    </w:p>
    <w:p w14:paraId="18D3F8B6" w14:textId="0AC3601A" w:rsidR="000B4E2C" w:rsidRPr="000B4E2C" w:rsidRDefault="000B4E2C" w:rsidP="008A7464">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7</w:t>
      </w:r>
      <w:r w:rsidRPr="000B4E2C">
        <w:t xml:space="preserve"> </w:t>
      </w:r>
      <w:r w:rsidR="002F0133" w:rsidRPr="000B4E2C">
        <w:t xml:space="preserve">Forest plots of sensitivity and specificity for </w:t>
      </w:r>
      <w:r w:rsidR="006376D0" w:rsidRPr="000B4E2C">
        <w:t xml:space="preserve">ARCHITECT </w:t>
      </w:r>
      <w:r w:rsidR="002F0133" w:rsidRPr="000B4E2C">
        <w:t xml:space="preserve">urine NGAL </w:t>
      </w:r>
      <w:r w:rsidR="006376D0" w:rsidRPr="000B4E2C">
        <w:t xml:space="preserve">assay </w:t>
      </w:r>
      <w:r w:rsidR="002F0133" w:rsidRPr="000B4E2C">
        <w:t>for detection of AKI in adults across all clinical settings</w:t>
      </w:r>
    </w:p>
    <w:p w14:paraId="6C10A6CB" w14:textId="5C52B72C" w:rsidR="000B4E2C" w:rsidRPr="000B4E2C" w:rsidRDefault="000B4E2C" w:rsidP="008A7464">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8</w:t>
      </w:r>
      <w:r w:rsidRPr="000B4E2C">
        <w:t xml:space="preserve"> </w:t>
      </w:r>
      <w:r w:rsidR="002F0133" w:rsidRPr="000B4E2C">
        <w:t xml:space="preserve">HSROC for </w:t>
      </w:r>
      <w:r w:rsidR="006376D0" w:rsidRPr="000B4E2C">
        <w:t xml:space="preserve">ARCHITECT </w:t>
      </w:r>
      <w:r w:rsidR="002F0133" w:rsidRPr="000B4E2C">
        <w:t>urine NGAL studies – all clinical settings (adult population)</w:t>
      </w:r>
    </w:p>
    <w:p w14:paraId="4F029A31" w14:textId="362A5F66" w:rsidR="002F0133" w:rsidRPr="000B4E2C" w:rsidRDefault="00D83058" w:rsidP="008A7464">
      <w:pPr>
        <w:pStyle w:val="Heading3"/>
      </w:pPr>
      <w:r w:rsidRPr="000B4E2C">
        <w:t>BioPorto u</w:t>
      </w:r>
      <w:r w:rsidR="002F0133" w:rsidRPr="000B4E2C">
        <w:t>rine NGAL assay</w:t>
      </w:r>
      <w:r w:rsidR="000B4E2C" w:rsidRPr="000B4E2C">
        <w:rPr>
          <w:color w:val="00B0F0"/>
        </w:rPr>
        <w:t xml:space="preserve"> – </w:t>
      </w:r>
      <w:r w:rsidR="002F0133" w:rsidRPr="000B4E2C">
        <w:t>adult population</w:t>
      </w:r>
    </w:p>
    <w:p w14:paraId="28F0230C" w14:textId="77777777" w:rsidR="000B4E2C" w:rsidRPr="000B4E2C" w:rsidRDefault="002F0133" w:rsidP="008A7464">
      <w:pPr>
        <w:pStyle w:val="Heading4"/>
      </w:pPr>
      <w:r w:rsidRPr="000B4E2C">
        <w:t>Cardiac surgery</w:t>
      </w:r>
    </w:p>
    <w:p w14:paraId="67FB224C" w14:textId="5FB6166A" w:rsidR="000B4E2C" w:rsidRPr="000B4E2C" w:rsidRDefault="002F0133" w:rsidP="008A7464">
      <w:pPr>
        <w:rPr>
          <w:rFonts w:asciiTheme="majorHAnsi" w:hAnsiTheme="majorHAnsi" w:cstheme="majorHAnsi"/>
          <w:lang w:eastAsia="en-GB"/>
        </w:rPr>
      </w:pPr>
      <w:r w:rsidRPr="000B4E2C">
        <w:rPr>
          <w:szCs w:val="24"/>
        </w:rPr>
        <w:t>One study, Yang 2017</w:t>
      </w:r>
      <w:r w:rsidR="00723580" w:rsidRPr="000B4E2C">
        <w:rPr>
          <w:szCs w:val="24"/>
        </w:rPr>
        <w:t>,</w:t>
      </w:r>
      <w:r w:rsidR="005B5026" w:rsidRPr="000B4E2C">
        <w:rPr>
          <w:noProof/>
          <w:szCs w:val="24"/>
          <w:vertAlign w:val="superscript"/>
        </w:rPr>
        <w:t>67</w:t>
      </w:r>
      <w:r w:rsidRPr="000B4E2C">
        <w:rPr>
          <w:szCs w:val="24"/>
        </w:rPr>
        <w:t xml:space="preserve"> assessed the use of </w:t>
      </w:r>
      <w:r w:rsidR="006376D0" w:rsidRPr="000B4E2C">
        <w:rPr>
          <w:szCs w:val="24"/>
        </w:rPr>
        <w:t xml:space="preserve">BioPorto urine </w:t>
      </w:r>
      <w:r w:rsidRPr="000B4E2C">
        <w:rPr>
          <w:szCs w:val="24"/>
        </w:rPr>
        <w:t>NGAL for detection of AKI in a total of 398 patients, who underwent cardiac surgery</w:t>
      </w:r>
      <w:r w:rsidR="006376D0" w:rsidRPr="000B4E2C">
        <w:rPr>
          <w:szCs w:val="24"/>
        </w:rPr>
        <w:t xml:space="preserve"> (see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7</w:t>
      </w:r>
      <w:r w:rsidR="006376D0" w:rsidRPr="000B4E2C">
        <w:rPr>
          <w:szCs w:val="24"/>
        </w:rPr>
        <w:t>)</w:t>
      </w:r>
      <w:r w:rsidRPr="000B4E2C">
        <w:rPr>
          <w:szCs w:val="24"/>
        </w:rPr>
        <w:t xml:space="preserve">. </w:t>
      </w:r>
      <w:r w:rsidR="006376D0" w:rsidRPr="000B4E2C">
        <w:rPr>
          <w:szCs w:val="24"/>
        </w:rPr>
        <w:t xml:space="preserve">Urine </w:t>
      </w:r>
      <w:r w:rsidRPr="000B4E2C">
        <w:rPr>
          <w:szCs w:val="24"/>
        </w:rPr>
        <w:t xml:space="preserve">NGAL levels were normalised by units of urine </w:t>
      </w:r>
      <w:r w:rsidRPr="000B4E2C">
        <w:rPr>
          <w:szCs w:val="24"/>
        </w:rPr>
        <w:lastRenderedPageBreak/>
        <w:t xml:space="preserve">creatinine (cut off </w:t>
      </w:r>
      <w:r w:rsidRPr="000B4E2C">
        <w:rPr>
          <w:lang w:eastAsia="en-GB"/>
        </w:rPr>
        <w:t>98 µg/g Cr</w:t>
      </w:r>
      <w:r w:rsidRPr="000B4E2C">
        <w:rPr>
          <w:szCs w:val="24"/>
        </w:rPr>
        <w:t>). The sensitivity and specificity values for the urine sample collected 6 hours after surgery were 0.78 (95% CI 0.71 to 0.84) and 0.48 (95% CI 0.41 to 0.54), respectively. The prevalence of AKI in the study was 41%.</w:t>
      </w:r>
    </w:p>
    <w:p w14:paraId="1555C5C0" w14:textId="55DBAFFB" w:rsidR="002F0133" w:rsidRPr="000B4E2C" w:rsidRDefault="002F0133" w:rsidP="008A7464">
      <w:pPr>
        <w:pStyle w:val="Heading4"/>
      </w:pPr>
      <w:r w:rsidRPr="000B4E2C">
        <w:t>Non-cardiac surgery</w:t>
      </w:r>
    </w:p>
    <w:p w14:paraId="79EDDE28" w14:textId="1AD70BC0" w:rsidR="000B4E2C" w:rsidRPr="000B4E2C" w:rsidRDefault="002F0133" w:rsidP="008A7464">
      <w:pPr>
        <w:rPr>
          <w:szCs w:val="24"/>
        </w:rPr>
      </w:pPr>
      <w:r w:rsidRPr="000B4E2C">
        <w:rPr>
          <w:szCs w:val="24"/>
        </w:rPr>
        <w:t>One study, Cho 2014</w:t>
      </w:r>
      <w:r w:rsidR="00723580" w:rsidRPr="000B4E2C">
        <w:rPr>
          <w:szCs w:val="24"/>
        </w:rPr>
        <w:t>,</w:t>
      </w:r>
      <w:r w:rsidR="005B5026" w:rsidRPr="000B4E2C">
        <w:rPr>
          <w:noProof/>
          <w:szCs w:val="24"/>
          <w:vertAlign w:val="superscript"/>
        </w:rPr>
        <w:t>68</w:t>
      </w:r>
      <w:r w:rsidRPr="000B4E2C">
        <w:rPr>
          <w:szCs w:val="24"/>
        </w:rPr>
        <w:t xml:space="preserve"> assessed the use of </w:t>
      </w:r>
      <w:r w:rsidR="006376D0" w:rsidRPr="000B4E2C">
        <w:rPr>
          <w:szCs w:val="24"/>
        </w:rPr>
        <w:t xml:space="preserve">BioPorto urine </w:t>
      </w:r>
      <w:r w:rsidRPr="000B4E2C">
        <w:rPr>
          <w:szCs w:val="24"/>
        </w:rPr>
        <w:t>NGAL for detection of AKI in 131 patients undergoing hepatobiliary surgery</w:t>
      </w:r>
      <w:r w:rsidR="00593545" w:rsidRPr="000B4E2C">
        <w:rPr>
          <w:szCs w:val="24"/>
        </w:rPr>
        <w:t xml:space="preserve"> (see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7</w:t>
      </w:r>
      <w:r w:rsidR="006376D0" w:rsidRPr="000B4E2C">
        <w:rPr>
          <w:szCs w:val="24"/>
        </w:rPr>
        <w:t>)</w:t>
      </w:r>
      <w:r w:rsidRPr="000B4E2C">
        <w:rPr>
          <w:szCs w:val="24"/>
        </w:rPr>
        <w:t xml:space="preserve">. </w:t>
      </w:r>
      <w:r w:rsidR="006376D0" w:rsidRPr="000B4E2C">
        <w:rPr>
          <w:szCs w:val="24"/>
        </w:rPr>
        <w:t xml:space="preserve">Urine </w:t>
      </w:r>
      <w:r w:rsidRPr="000B4E2C">
        <w:rPr>
          <w:szCs w:val="24"/>
        </w:rPr>
        <w:t xml:space="preserve">NGAL cut off was </w:t>
      </w:r>
      <w:r w:rsidRPr="000B4E2C">
        <w:rPr>
          <w:lang w:eastAsia="en-GB"/>
        </w:rPr>
        <w:t>92.85 ng/mL</w:t>
      </w:r>
      <w:r w:rsidRPr="000B4E2C">
        <w:rPr>
          <w:szCs w:val="24"/>
        </w:rPr>
        <w:t xml:space="preserve">. The sensitivity and specificity values for the urine sample collected </w:t>
      </w:r>
      <w:r w:rsidR="00CC1DED" w:rsidRPr="000B4E2C">
        <w:rPr>
          <w:szCs w:val="24"/>
        </w:rPr>
        <w:t>12 hours after</w:t>
      </w:r>
      <w:r w:rsidRPr="000B4E2C">
        <w:rPr>
          <w:szCs w:val="24"/>
        </w:rPr>
        <w:t xml:space="preserve"> surgery were 0.78 (95% CI 0.52 to 1.00) and 0.80 (95% CI 0.73 to 0.87), respectively. The prevalence of AKI in the study was 8%.</w:t>
      </w:r>
    </w:p>
    <w:p w14:paraId="253418CF" w14:textId="511D5C66" w:rsidR="000B4E2C" w:rsidRPr="000B4E2C" w:rsidRDefault="002F0133" w:rsidP="008A7464">
      <w:pPr>
        <w:pStyle w:val="Heading4"/>
      </w:pPr>
      <w:r w:rsidRPr="000B4E2C">
        <w:t>Critical care</w:t>
      </w:r>
      <w:r w:rsidR="000B4E2C" w:rsidRPr="000B4E2C">
        <w:rPr>
          <w:color w:val="00B0F0"/>
        </w:rPr>
        <w:t xml:space="preserve"> – </w:t>
      </w:r>
      <w:r w:rsidRPr="000B4E2C">
        <w:t>mixed population</w:t>
      </w:r>
    </w:p>
    <w:p w14:paraId="3CA07B27" w14:textId="2C16C8D0" w:rsidR="000B4E2C" w:rsidRPr="000B4E2C" w:rsidRDefault="002F0133" w:rsidP="008A7464">
      <w:pPr>
        <w:rPr>
          <w:szCs w:val="24"/>
        </w:rPr>
      </w:pPr>
      <w:r w:rsidRPr="000B4E2C">
        <w:rPr>
          <w:szCs w:val="24"/>
        </w:rPr>
        <w:t>Six studies</w:t>
      </w:r>
      <w:r w:rsidRPr="000B4E2C">
        <w:rPr>
          <w:i/>
          <w:szCs w:val="24"/>
        </w:rPr>
        <w:t xml:space="preserve"> </w:t>
      </w:r>
      <w:r w:rsidRPr="000B4E2C">
        <w:rPr>
          <w:szCs w:val="24"/>
        </w:rPr>
        <w:t>(1442 patients in total)</w:t>
      </w:r>
      <w:r w:rsidRPr="000B4E2C">
        <w:rPr>
          <w:i/>
          <w:szCs w:val="24"/>
        </w:rPr>
        <w:t xml:space="preserve"> </w:t>
      </w:r>
      <w:r w:rsidRPr="000B4E2C">
        <w:rPr>
          <w:szCs w:val="24"/>
        </w:rPr>
        <w:t xml:space="preserve">assessed the use of </w:t>
      </w:r>
      <w:r w:rsidR="006376D0" w:rsidRPr="000B4E2C">
        <w:rPr>
          <w:szCs w:val="24"/>
        </w:rPr>
        <w:t xml:space="preserve">BioPorto urine </w:t>
      </w:r>
      <w:r w:rsidRPr="000B4E2C">
        <w:rPr>
          <w:szCs w:val="24"/>
        </w:rPr>
        <w:t>NGAL for detection of AKI in patients admitted to ICU or critical care for various clinical reasons</w:t>
      </w:r>
      <w:r w:rsidR="00593545" w:rsidRPr="000B4E2C">
        <w:rPr>
          <w:szCs w:val="24"/>
        </w:rPr>
        <w:t xml:space="preserve"> (see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7</w:t>
      </w:r>
      <w:r w:rsidR="00593545" w:rsidRPr="000B4E2C">
        <w:rPr>
          <w:szCs w:val="24"/>
        </w:rPr>
        <w:t>)</w:t>
      </w:r>
      <w:r w:rsidRPr="000B4E2C">
        <w:rPr>
          <w:szCs w:val="24"/>
        </w:rPr>
        <w:t xml:space="preserve">. Some studies </w:t>
      </w:r>
      <w:r w:rsidR="0019057B" w:rsidRPr="000B4E2C">
        <w:rPr>
          <w:szCs w:val="24"/>
        </w:rPr>
        <w:t>reported absolute</w:t>
      </w:r>
      <w:r w:rsidRPr="000B4E2C">
        <w:rPr>
          <w:szCs w:val="24"/>
        </w:rPr>
        <w:t xml:space="preserve"> levels of uNGAL and other</w:t>
      </w:r>
      <w:r w:rsidR="0019057B" w:rsidRPr="000B4E2C">
        <w:rPr>
          <w:szCs w:val="24"/>
        </w:rPr>
        <w:t xml:space="preserve">s levels normalised to urine creatinine. The threshold </w:t>
      </w:r>
      <w:r w:rsidRPr="000B4E2C">
        <w:rPr>
          <w:szCs w:val="24"/>
        </w:rPr>
        <w:t>varied across studies</w:t>
      </w:r>
      <w:r w:rsidR="00593545" w:rsidRPr="000B4E2C">
        <w:rPr>
          <w:szCs w:val="24"/>
        </w:rPr>
        <w:t xml:space="preserve">. </w:t>
      </w:r>
      <w:r w:rsidRPr="000B4E2C">
        <w:rPr>
          <w:szCs w:val="24"/>
        </w:rPr>
        <w:t xml:space="preserve">Prevalence of AKI ranged from 5% to 49% across studies. Sensitivity values ranged from 0.58 to 0.90 and specificity values from 0.70 to 1.00. The summary estimate of sensitivity was 0.72 (95% CI 0.61 to 0.80) and that of specificity 0.87 (95% CI 0.66 to 0.96). </w:t>
      </w:r>
      <w:r w:rsidR="00593545" w:rsidRPr="000B4E2C">
        <w:rPr>
          <w:szCs w:val="24"/>
        </w:rPr>
        <w:t xml:space="preserve">The forest plots of sensitivity and specificity estimates and </w:t>
      </w:r>
      <w:r w:rsidRPr="000B4E2C">
        <w:rPr>
          <w:szCs w:val="24"/>
        </w:rPr>
        <w:t>the HSROC with 95% confidence region for the summary operating point and 95% prediction region</w:t>
      </w:r>
      <w:r w:rsidR="00593545" w:rsidRPr="000B4E2C">
        <w:rPr>
          <w:szCs w:val="24"/>
        </w:rPr>
        <w:t xml:space="preserve"> are presented in Appendix 11</w:t>
      </w:r>
      <w:r w:rsidR="00B37AE9" w:rsidRPr="000B4E2C">
        <w:rPr>
          <w:szCs w:val="24"/>
        </w:rPr>
        <w:t xml:space="preserve"> (</w:t>
      </w:r>
      <w:r w:rsidR="000B4E2C" w:rsidRPr="000B4E2C">
        <w:rPr>
          <w:i/>
          <w:color w:val="FF0000"/>
          <w:szCs w:val="24"/>
        </w:rPr>
        <w:t>F</w:t>
      </w:r>
      <w:r w:rsidR="000B4E2C" w:rsidRPr="000B4E2C">
        <w:rPr>
          <w:i/>
          <w:color w:val="FF0000"/>
          <w:szCs w:val="24"/>
        </w:rPr>
        <w:t>igures</w:t>
      </w:r>
      <w:r w:rsidR="000B4E2C" w:rsidRPr="000B4E2C">
        <w:rPr>
          <w:i/>
          <w:color w:val="FF0000"/>
          <w:szCs w:val="24"/>
        </w:rPr>
        <w:t xml:space="preserve"> </w:t>
      </w:r>
      <w:r w:rsidR="000B4E2C" w:rsidRPr="000B4E2C">
        <w:rPr>
          <w:i/>
          <w:color w:val="FF0000"/>
          <w:szCs w:val="24"/>
        </w:rPr>
        <w:t>30</w:t>
      </w:r>
      <w:r w:rsidR="007E39C0" w:rsidRPr="000B4E2C">
        <w:rPr>
          <w:szCs w:val="24"/>
        </w:rPr>
        <w:t xml:space="preserve"> and 31</w:t>
      </w:r>
      <w:r w:rsidR="00B37AE9" w:rsidRPr="000B4E2C">
        <w:rPr>
          <w:szCs w:val="24"/>
        </w:rPr>
        <w:t>)</w:t>
      </w:r>
      <w:r w:rsidRPr="000B4E2C">
        <w:rPr>
          <w:szCs w:val="24"/>
        </w:rPr>
        <w:t xml:space="preserve">. The confidence and prediction regions </w:t>
      </w:r>
      <w:r w:rsidR="007E39C0" w:rsidRPr="000B4E2C">
        <w:rPr>
          <w:szCs w:val="24"/>
        </w:rPr>
        <w:t xml:space="preserve">of the HSROC </w:t>
      </w:r>
      <w:r w:rsidRPr="000B4E2C">
        <w:rPr>
          <w:szCs w:val="24"/>
        </w:rPr>
        <w:t>are large indicate heterogeneity between studies</w:t>
      </w:r>
      <w:r w:rsidR="002706CD" w:rsidRPr="000B4E2C">
        <w:rPr>
          <w:szCs w:val="24"/>
        </w:rPr>
        <w:t>, especially for specificity</w:t>
      </w:r>
      <w:r w:rsidRPr="000B4E2C">
        <w:rPr>
          <w:szCs w:val="24"/>
        </w:rPr>
        <w:t>.</w:t>
      </w:r>
    </w:p>
    <w:p w14:paraId="721DB98E" w14:textId="54EB545C" w:rsidR="002F0133" w:rsidRPr="000B4E2C" w:rsidRDefault="000B4E2C" w:rsidP="008A7464">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7</w:t>
      </w:r>
      <w:r w:rsidRPr="000B4E2C">
        <w:t xml:space="preserve"> </w:t>
      </w:r>
      <w:r w:rsidR="002F0133" w:rsidRPr="000B4E2C">
        <w:t xml:space="preserve">Summary of diagnostic </w:t>
      </w:r>
      <w:r w:rsidR="002F0133" w:rsidRPr="000B4E2C">
        <w:rPr>
          <w:highlight w:val="magenta"/>
        </w:rPr>
        <w:t>data</w:t>
      </w:r>
      <w:r w:rsidR="002F0133" w:rsidRPr="000B4E2C">
        <w:t xml:space="preserve"> for </w:t>
      </w:r>
      <w:r w:rsidR="006376D0" w:rsidRPr="000B4E2C">
        <w:t xml:space="preserve">BioPorto </w:t>
      </w:r>
      <w:r w:rsidR="002F0133" w:rsidRPr="000B4E2C">
        <w:t xml:space="preserve">urine NGAL </w:t>
      </w:r>
      <w:r w:rsidR="006376D0" w:rsidRPr="000B4E2C">
        <w:t xml:space="preserve">assay </w:t>
      </w:r>
      <w:r w:rsidR="002F0133" w:rsidRPr="000B4E2C">
        <w:t xml:space="preserve">for </w:t>
      </w:r>
      <w:r w:rsidR="006376D0" w:rsidRPr="000B4E2C">
        <w:t xml:space="preserve">detection of </w:t>
      </w:r>
      <w:r w:rsidR="002F0133" w:rsidRPr="000B4E2C">
        <w:t xml:space="preserve">AKI </w:t>
      </w:r>
      <w:r w:rsidR="001126EB" w:rsidRPr="000B4E2C">
        <w:t>in adults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019"/>
        <w:gridCol w:w="771"/>
        <w:gridCol w:w="1150"/>
        <w:gridCol w:w="2117"/>
        <w:gridCol w:w="840"/>
        <w:gridCol w:w="817"/>
        <w:gridCol w:w="771"/>
        <w:gridCol w:w="771"/>
        <w:gridCol w:w="770"/>
      </w:tblGrid>
      <w:tr w:rsidR="002F0133" w:rsidRPr="000B4E2C" w14:paraId="22AFB945" w14:textId="77777777" w:rsidTr="000B4E2C">
        <w:trPr>
          <w:cantSplit/>
        </w:trPr>
        <w:tc>
          <w:tcPr>
            <w:tcW w:w="0" w:type="auto"/>
            <w:shd w:val="clear" w:color="auto" w:fill="auto"/>
            <w:vAlign w:val="center"/>
            <w:hideMark/>
          </w:tcPr>
          <w:p w14:paraId="79646016" w14:textId="77777777" w:rsidR="002F0133" w:rsidRPr="000B4E2C" w:rsidRDefault="002F0133" w:rsidP="008A7464">
            <w:pPr>
              <w:jc w:val="center"/>
              <w:rPr>
                <w:b/>
                <w:bCs/>
                <w:color w:val="000000"/>
                <w:lang w:eastAsia="en-GB"/>
              </w:rPr>
            </w:pPr>
            <w:r w:rsidRPr="000B4E2C">
              <w:rPr>
                <w:b/>
                <w:bCs/>
                <w:lang w:eastAsia="en-GB"/>
              </w:rPr>
              <w:t>STUDY ID</w:t>
            </w:r>
          </w:p>
        </w:tc>
        <w:tc>
          <w:tcPr>
            <w:tcW w:w="0" w:type="auto"/>
            <w:shd w:val="clear" w:color="auto" w:fill="auto"/>
            <w:vAlign w:val="center"/>
          </w:tcPr>
          <w:p w14:paraId="1AC73497" w14:textId="77777777" w:rsidR="002F0133" w:rsidRPr="000B4E2C" w:rsidRDefault="002F0133" w:rsidP="008A7464">
            <w:pPr>
              <w:jc w:val="center"/>
              <w:rPr>
                <w:b/>
                <w:bCs/>
                <w:color w:val="000000"/>
                <w:lang w:eastAsia="en-GB"/>
              </w:rPr>
            </w:pPr>
            <w:r w:rsidRPr="000B4E2C">
              <w:rPr>
                <w:b/>
                <w:bCs/>
                <w:lang w:eastAsia="en-GB"/>
              </w:rPr>
              <w:t>Target Population (setting)</w:t>
            </w:r>
          </w:p>
        </w:tc>
        <w:tc>
          <w:tcPr>
            <w:tcW w:w="0" w:type="auto"/>
            <w:shd w:val="clear" w:color="auto" w:fill="auto"/>
            <w:vAlign w:val="center"/>
            <w:hideMark/>
          </w:tcPr>
          <w:p w14:paraId="67393D6D" w14:textId="77777777" w:rsidR="002F0133" w:rsidRPr="000B4E2C" w:rsidRDefault="002F0133" w:rsidP="008A7464">
            <w:pPr>
              <w:jc w:val="center"/>
              <w:rPr>
                <w:b/>
                <w:bCs/>
                <w:color w:val="000000"/>
                <w:lang w:eastAsia="en-GB"/>
              </w:rPr>
            </w:pPr>
            <w:r w:rsidRPr="000B4E2C">
              <w:rPr>
                <w:b/>
                <w:bCs/>
                <w:lang w:eastAsia="en-GB"/>
              </w:rPr>
              <w:t>Assay</w:t>
            </w:r>
          </w:p>
        </w:tc>
        <w:tc>
          <w:tcPr>
            <w:tcW w:w="0" w:type="auto"/>
            <w:shd w:val="clear" w:color="auto" w:fill="auto"/>
            <w:vAlign w:val="center"/>
            <w:hideMark/>
          </w:tcPr>
          <w:p w14:paraId="19F65DC2" w14:textId="77777777" w:rsidR="002F0133" w:rsidRPr="000B4E2C" w:rsidRDefault="002F0133" w:rsidP="008A7464">
            <w:pPr>
              <w:jc w:val="center"/>
              <w:rPr>
                <w:b/>
                <w:bCs/>
                <w:color w:val="000000"/>
                <w:lang w:eastAsia="en-GB"/>
              </w:rPr>
            </w:pPr>
            <w:r w:rsidRPr="000B4E2C">
              <w:rPr>
                <w:b/>
                <w:bCs/>
                <w:lang w:eastAsia="en-GB"/>
              </w:rPr>
              <w:t>Timing of Test</w:t>
            </w:r>
          </w:p>
        </w:tc>
        <w:tc>
          <w:tcPr>
            <w:tcW w:w="0" w:type="auto"/>
            <w:shd w:val="clear" w:color="auto" w:fill="auto"/>
            <w:vAlign w:val="center"/>
            <w:hideMark/>
          </w:tcPr>
          <w:p w14:paraId="1B77A92E" w14:textId="77777777" w:rsidR="002F0133" w:rsidRPr="000B4E2C" w:rsidRDefault="002F0133" w:rsidP="008A7464">
            <w:pPr>
              <w:jc w:val="center"/>
              <w:rPr>
                <w:b/>
                <w:bCs/>
                <w:color w:val="000000"/>
                <w:lang w:eastAsia="en-GB"/>
              </w:rPr>
            </w:pPr>
            <w:r w:rsidRPr="000B4E2C">
              <w:rPr>
                <w:b/>
                <w:bCs/>
                <w:lang w:eastAsia="en-GB"/>
              </w:rPr>
              <w:t>Cut off</w:t>
            </w:r>
          </w:p>
        </w:tc>
        <w:tc>
          <w:tcPr>
            <w:tcW w:w="0" w:type="auto"/>
            <w:shd w:val="clear" w:color="auto" w:fill="auto"/>
            <w:vAlign w:val="center"/>
            <w:hideMark/>
          </w:tcPr>
          <w:p w14:paraId="58A20B0C" w14:textId="77777777" w:rsidR="002F0133" w:rsidRPr="000B4E2C" w:rsidRDefault="002F0133" w:rsidP="008A7464">
            <w:pPr>
              <w:jc w:val="center"/>
              <w:rPr>
                <w:b/>
                <w:bCs/>
                <w:lang w:eastAsia="en-GB"/>
              </w:rPr>
            </w:pPr>
            <w:r w:rsidRPr="000B4E2C">
              <w:rPr>
                <w:b/>
                <w:bCs/>
                <w:lang w:eastAsia="en-GB"/>
              </w:rPr>
              <w:t>Sensitivity</w:t>
            </w:r>
          </w:p>
          <w:p w14:paraId="5B8EB42F" w14:textId="77777777" w:rsidR="002F0133" w:rsidRPr="000B4E2C" w:rsidRDefault="002F0133" w:rsidP="008A7464">
            <w:pPr>
              <w:jc w:val="center"/>
              <w:rPr>
                <w:b/>
                <w:bCs/>
                <w:color w:val="000000"/>
                <w:lang w:eastAsia="en-GB"/>
              </w:rPr>
            </w:pPr>
            <w:r w:rsidRPr="000B4E2C">
              <w:rPr>
                <w:b/>
                <w:bCs/>
                <w:lang w:eastAsia="en-GB"/>
              </w:rPr>
              <w:t>(95% CI)</w:t>
            </w:r>
          </w:p>
        </w:tc>
        <w:tc>
          <w:tcPr>
            <w:tcW w:w="0" w:type="auto"/>
            <w:shd w:val="clear" w:color="auto" w:fill="auto"/>
            <w:vAlign w:val="center"/>
            <w:hideMark/>
          </w:tcPr>
          <w:p w14:paraId="0CA34D56" w14:textId="77777777" w:rsidR="002F0133" w:rsidRPr="000B4E2C" w:rsidRDefault="002F0133" w:rsidP="008A7464">
            <w:pPr>
              <w:jc w:val="center"/>
              <w:rPr>
                <w:b/>
                <w:bCs/>
                <w:lang w:eastAsia="en-GB"/>
              </w:rPr>
            </w:pPr>
            <w:r w:rsidRPr="000B4E2C">
              <w:rPr>
                <w:b/>
                <w:bCs/>
                <w:lang w:eastAsia="en-GB"/>
              </w:rPr>
              <w:t>Specificity</w:t>
            </w:r>
          </w:p>
          <w:p w14:paraId="6FDAA30C" w14:textId="77777777" w:rsidR="002F0133" w:rsidRPr="000B4E2C" w:rsidRDefault="002F0133" w:rsidP="008A7464">
            <w:pPr>
              <w:jc w:val="center"/>
              <w:rPr>
                <w:b/>
                <w:bCs/>
                <w:color w:val="000000"/>
                <w:lang w:eastAsia="en-GB"/>
              </w:rPr>
            </w:pPr>
            <w:r w:rsidRPr="000B4E2C">
              <w:rPr>
                <w:b/>
                <w:bCs/>
                <w:lang w:eastAsia="en-GB"/>
              </w:rPr>
              <w:t>(95% CI)</w:t>
            </w:r>
          </w:p>
        </w:tc>
        <w:tc>
          <w:tcPr>
            <w:tcW w:w="0" w:type="auto"/>
            <w:shd w:val="clear" w:color="auto" w:fill="auto"/>
            <w:vAlign w:val="center"/>
            <w:hideMark/>
          </w:tcPr>
          <w:p w14:paraId="31ADF627" w14:textId="77777777" w:rsidR="002F0133" w:rsidRPr="000B4E2C" w:rsidRDefault="002F0133" w:rsidP="008A7464">
            <w:pPr>
              <w:jc w:val="center"/>
              <w:rPr>
                <w:b/>
                <w:bCs/>
                <w:lang w:eastAsia="en-GB"/>
              </w:rPr>
            </w:pPr>
            <w:r w:rsidRPr="000B4E2C">
              <w:rPr>
                <w:b/>
                <w:bCs/>
                <w:lang w:eastAsia="en-GB"/>
              </w:rPr>
              <w:t>AUC</w:t>
            </w:r>
          </w:p>
          <w:p w14:paraId="79C8F421" w14:textId="77777777" w:rsidR="002F0133" w:rsidRPr="000B4E2C" w:rsidRDefault="002F0133" w:rsidP="008A7464">
            <w:pPr>
              <w:jc w:val="center"/>
              <w:rPr>
                <w:b/>
                <w:bCs/>
                <w:color w:val="000000"/>
                <w:lang w:eastAsia="en-GB"/>
              </w:rPr>
            </w:pPr>
            <w:r w:rsidRPr="000B4E2C">
              <w:rPr>
                <w:b/>
                <w:bCs/>
                <w:lang w:eastAsia="en-GB"/>
              </w:rPr>
              <w:t>(95% CI)</w:t>
            </w:r>
          </w:p>
        </w:tc>
        <w:tc>
          <w:tcPr>
            <w:tcW w:w="0" w:type="auto"/>
            <w:shd w:val="clear" w:color="auto" w:fill="auto"/>
            <w:vAlign w:val="center"/>
          </w:tcPr>
          <w:p w14:paraId="2D4A9E82" w14:textId="77777777" w:rsidR="002F0133" w:rsidRPr="000B4E2C" w:rsidRDefault="002F0133" w:rsidP="008A7464">
            <w:pPr>
              <w:jc w:val="center"/>
              <w:rPr>
                <w:b/>
                <w:bCs/>
                <w:lang w:eastAsia="en-GB"/>
              </w:rPr>
            </w:pPr>
            <w:r w:rsidRPr="000B4E2C">
              <w:rPr>
                <w:b/>
                <w:bCs/>
                <w:lang w:eastAsia="en-GB"/>
              </w:rPr>
              <w:t>Prevalence of AKI</w:t>
            </w:r>
          </w:p>
        </w:tc>
      </w:tr>
      <w:tr w:rsidR="006376D0" w:rsidRPr="000B4E2C" w14:paraId="75251626" w14:textId="77777777" w:rsidTr="000B4E2C">
        <w:trPr>
          <w:cantSplit/>
        </w:trPr>
        <w:tc>
          <w:tcPr>
            <w:tcW w:w="0" w:type="auto"/>
            <w:shd w:val="clear" w:color="auto" w:fill="auto"/>
            <w:noWrap/>
            <w:vAlign w:val="center"/>
          </w:tcPr>
          <w:p w14:paraId="507AE6D0" w14:textId="257ED64E" w:rsidR="006376D0" w:rsidRPr="000B4E2C" w:rsidRDefault="006376D0" w:rsidP="008A7464">
            <w:pPr>
              <w:rPr>
                <w:lang w:eastAsia="en-GB"/>
              </w:rPr>
            </w:pPr>
            <w:r w:rsidRPr="000B4E2C">
              <w:rPr>
                <w:lang w:eastAsia="en-GB"/>
              </w:rPr>
              <w:t>Yang, 2017</w:t>
            </w:r>
            <w:r w:rsidRPr="000B4E2C">
              <w:rPr>
                <w:vertAlign w:val="superscript"/>
                <w:lang w:eastAsia="en-GB"/>
              </w:rPr>
              <w:t>67</w:t>
            </w:r>
          </w:p>
        </w:tc>
        <w:tc>
          <w:tcPr>
            <w:tcW w:w="0" w:type="auto"/>
            <w:shd w:val="clear" w:color="auto" w:fill="auto"/>
            <w:vAlign w:val="center"/>
          </w:tcPr>
          <w:p w14:paraId="15F5A2FD" w14:textId="059ED259" w:rsidR="006376D0" w:rsidRPr="000B4E2C" w:rsidRDefault="006376D0" w:rsidP="00FE232C">
            <w:pPr>
              <w:jc w:val="center"/>
            </w:pPr>
            <w:r w:rsidRPr="000B4E2C">
              <w:t>Cardiac surgery</w:t>
            </w:r>
          </w:p>
        </w:tc>
        <w:tc>
          <w:tcPr>
            <w:tcW w:w="0" w:type="auto"/>
            <w:shd w:val="clear" w:color="auto" w:fill="auto"/>
            <w:noWrap/>
            <w:vAlign w:val="center"/>
          </w:tcPr>
          <w:p w14:paraId="0B7A8D32" w14:textId="7ADEAE8A" w:rsidR="006376D0" w:rsidRPr="000B4E2C" w:rsidRDefault="006376D0" w:rsidP="008A7464">
            <w:pPr>
              <w:jc w:val="center"/>
              <w:rPr>
                <w:color w:val="000000"/>
                <w:lang w:eastAsia="en-GB"/>
              </w:rPr>
            </w:pPr>
            <w:r w:rsidRPr="000B4E2C">
              <w:rPr>
                <w:lang w:eastAsia="en-GB"/>
              </w:rPr>
              <w:t>uNGAL, BioPorto</w:t>
            </w:r>
          </w:p>
        </w:tc>
        <w:tc>
          <w:tcPr>
            <w:tcW w:w="0" w:type="auto"/>
            <w:shd w:val="clear" w:color="auto" w:fill="auto"/>
            <w:noWrap/>
            <w:vAlign w:val="center"/>
          </w:tcPr>
          <w:p w14:paraId="77875D00" w14:textId="3EB70775" w:rsidR="006376D0" w:rsidRPr="000B4E2C" w:rsidRDefault="006376D0" w:rsidP="008A7464">
            <w:pPr>
              <w:jc w:val="center"/>
              <w:rPr>
                <w:color w:val="000000"/>
                <w:lang w:eastAsia="en-GB"/>
              </w:rPr>
            </w:pPr>
            <w:r w:rsidRPr="000B4E2C">
              <w:rPr>
                <w:lang w:eastAsia="en-GB"/>
              </w:rPr>
              <w:t>6 hours after surgery</w:t>
            </w:r>
          </w:p>
        </w:tc>
        <w:tc>
          <w:tcPr>
            <w:tcW w:w="0" w:type="auto"/>
            <w:shd w:val="clear" w:color="auto" w:fill="auto"/>
            <w:noWrap/>
            <w:vAlign w:val="center"/>
          </w:tcPr>
          <w:p w14:paraId="1F07BECA" w14:textId="2339832C" w:rsidR="006376D0" w:rsidRPr="000B4E2C" w:rsidRDefault="006376D0" w:rsidP="008A7464">
            <w:pPr>
              <w:jc w:val="center"/>
              <w:rPr>
                <w:color w:val="000000"/>
                <w:lang w:eastAsia="en-GB"/>
              </w:rPr>
            </w:pPr>
            <w:r w:rsidRPr="000B4E2C">
              <w:rPr>
                <w:lang w:eastAsia="en-GB"/>
              </w:rPr>
              <w:t>98 µg/g Cr</w:t>
            </w:r>
          </w:p>
        </w:tc>
        <w:tc>
          <w:tcPr>
            <w:tcW w:w="0" w:type="auto"/>
            <w:shd w:val="clear" w:color="auto" w:fill="auto"/>
            <w:noWrap/>
            <w:vAlign w:val="center"/>
          </w:tcPr>
          <w:p w14:paraId="4B6211A1" w14:textId="77777777" w:rsidR="005136B1" w:rsidRPr="000B4E2C" w:rsidRDefault="005136B1" w:rsidP="005136B1">
            <w:pPr>
              <w:jc w:val="center"/>
              <w:rPr>
                <w:lang w:eastAsia="en-GB"/>
              </w:rPr>
            </w:pPr>
            <w:r w:rsidRPr="000B4E2C">
              <w:rPr>
                <w:lang w:eastAsia="en-GB"/>
              </w:rPr>
              <w:t>0.78</w:t>
            </w:r>
          </w:p>
          <w:p w14:paraId="072F138B" w14:textId="0C4B1D84" w:rsidR="006376D0" w:rsidRPr="000B4E2C" w:rsidRDefault="005136B1" w:rsidP="005136B1">
            <w:pPr>
              <w:jc w:val="center"/>
              <w:rPr>
                <w:color w:val="000000"/>
                <w:lang w:eastAsia="en-GB"/>
              </w:rPr>
            </w:pPr>
            <w:r w:rsidRPr="000B4E2C">
              <w:rPr>
                <w:lang w:eastAsia="en-GB"/>
              </w:rPr>
              <w:t>(0.71, 0.84)</w:t>
            </w:r>
            <w:r w:rsidR="006376D0" w:rsidRPr="000B4E2C">
              <w:rPr>
                <w:lang w:eastAsia="en-GB"/>
              </w:rPr>
              <w:t>)</w:t>
            </w:r>
          </w:p>
        </w:tc>
        <w:tc>
          <w:tcPr>
            <w:tcW w:w="0" w:type="auto"/>
            <w:shd w:val="clear" w:color="auto" w:fill="auto"/>
            <w:noWrap/>
            <w:vAlign w:val="center"/>
          </w:tcPr>
          <w:p w14:paraId="2A4F0AC6" w14:textId="305B887D" w:rsidR="006376D0" w:rsidRPr="000B4E2C" w:rsidRDefault="005136B1" w:rsidP="006376D0">
            <w:pPr>
              <w:jc w:val="center"/>
              <w:rPr>
                <w:lang w:eastAsia="en-GB"/>
              </w:rPr>
            </w:pPr>
            <w:r w:rsidRPr="000B4E2C">
              <w:rPr>
                <w:lang w:eastAsia="en-GB"/>
              </w:rPr>
              <w:t>0.48</w:t>
            </w:r>
          </w:p>
          <w:p w14:paraId="340D6BE7" w14:textId="25FF30BA" w:rsidR="006376D0" w:rsidRPr="000B4E2C" w:rsidRDefault="005136B1" w:rsidP="006376D0">
            <w:pPr>
              <w:jc w:val="center"/>
              <w:rPr>
                <w:color w:val="000000"/>
                <w:lang w:eastAsia="en-GB"/>
              </w:rPr>
            </w:pPr>
            <w:r w:rsidRPr="000B4E2C">
              <w:rPr>
                <w:lang w:eastAsia="en-GB"/>
              </w:rPr>
              <w:t>(0.41, 0.54</w:t>
            </w:r>
            <w:r w:rsidR="006376D0" w:rsidRPr="000B4E2C">
              <w:rPr>
                <w:lang w:eastAsia="en-GB"/>
              </w:rPr>
              <w:t>)</w:t>
            </w:r>
          </w:p>
        </w:tc>
        <w:tc>
          <w:tcPr>
            <w:tcW w:w="0" w:type="auto"/>
            <w:shd w:val="clear" w:color="auto" w:fill="auto"/>
            <w:noWrap/>
            <w:vAlign w:val="center"/>
          </w:tcPr>
          <w:p w14:paraId="0C72DD74" w14:textId="77777777" w:rsidR="000B4E2C" w:rsidRPr="000B4E2C" w:rsidRDefault="0004563F" w:rsidP="008A7464">
            <w:pPr>
              <w:jc w:val="center"/>
              <w:rPr>
                <w:lang w:eastAsia="en-GB"/>
              </w:rPr>
            </w:pPr>
            <w:r w:rsidRPr="000B4E2C">
              <w:rPr>
                <w:lang w:eastAsia="en-GB"/>
              </w:rPr>
              <w:t>0.72</w:t>
            </w:r>
          </w:p>
          <w:p w14:paraId="01F13D6F" w14:textId="5AA87A90" w:rsidR="006376D0" w:rsidRPr="000B4E2C" w:rsidRDefault="0004563F" w:rsidP="008A7464">
            <w:pPr>
              <w:jc w:val="center"/>
              <w:rPr>
                <w:color w:val="000000"/>
                <w:lang w:eastAsia="en-GB"/>
              </w:rPr>
            </w:pPr>
            <w:r w:rsidRPr="000B4E2C">
              <w:rPr>
                <w:lang w:eastAsia="en-GB"/>
              </w:rPr>
              <w:t>(0.64, 0.80)</w:t>
            </w:r>
          </w:p>
        </w:tc>
        <w:tc>
          <w:tcPr>
            <w:tcW w:w="0" w:type="auto"/>
            <w:shd w:val="clear" w:color="auto" w:fill="auto"/>
            <w:vAlign w:val="center"/>
          </w:tcPr>
          <w:p w14:paraId="1ECE8DDD" w14:textId="5BCF8350" w:rsidR="006376D0" w:rsidRPr="000B4E2C" w:rsidRDefault="006376D0" w:rsidP="008A7464">
            <w:pPr>
              <w:jc w:val="center"/>
              <w:rPr>
                <w:lang w:eastAsia="en-GB"/>
              </w:rPr>
            </w:pPr>
            <w:r w:rsidRPr="000B4E2C">
              <w:rPr>
                <w:lang w:eastAsia="en-GB"/>
              </w:rPr>
              <w:t>41%</w:t>
            </w:r>
          </w:p>
        </w:tc>
      </w:tr>
      <w:tr w:rsidR="006376D0" w:rsidRPr="000B4E2C" w14:paraId="76F185B0" w14:textId="77777777" w:rsidTr="000B4E2C">
        <w:trPr>
          <w:cantSplit/>
        </w:trPr>
        <w:tc>
          <w:tcPr>
            <w:tcW w:w="0" w:type="auto"/>
            <w:shd w:val="clear" w:color="auto" w:fill="auto"/>
            <w:noWrap/>
            <w:vAlign w:val="center"/>
          </w:tcPr>
          <w:p w14:paraId="76178892" w14:textId="0DFC522E" w:rsidR="006376D0" w:rsidRPr="000B4E2C" w:rsidRDefault="006376D0" w:rsidP="008A7464">
            <w:pPr>
              <w:rPr>
                <w:lang w:eastAsia="en-GB"/>
              </w:rPr>
            </w:pPr>
            <w:r w:rsidRPr="000B4E2C">
              <w:rPr>
                <w:lang w:eastAsia="en-GB"/>
              </w:rPr>
              <w:t>Cho 2014</w:t>
            </w:r>
            <w:r w:rsidRPr="000B4E2C">
              <w:rPr>
                <w:vertAlign w:val="superscript"/>
                <w:lang w:eastAsia="en-GB"/>
              </w:rPr>
              <w:t>68</w:t>
            </w:r>
          </w:p>
        </w:tc>
        <w:tc>
          <w:tcPr>
            <w:tcW w:w="0" w:type="auto"/>
            <w:shd w:val="clear" w:color="auto" w:fill="auto"/>
            <w:vAlign w:val="center"/>
          </w:tcPr>
          <w:p w14:paraId="7FDF451E" w14:textId="7EF7A017" w:rsidR="006376D0" w:rsidRPr="000B4E2C" w:rsidRDefault="006376D0" w:rsidP="008A7464">
            <w:pPr>
              <w:jc w:val="center"/>
            </w:pPr>
            <w:r w:rsidRPr="000B4E2C">
              <w:t>Major non-cardiac surgery</w:t>
            </w:r>
          </w:p>
        </w:tc>
        <w:tc>
          <w:tcPr>
            <w:tcW w:w="0" w:type="auto"/>
            <w:shd w:val="clear" w:color="auto" w:fill="auto"/>
            <w:noWrap/>
            <w:vAlign w:val="center"/>
          </w:tcPr>
          <w:p w14:paraId="336B884F" w14:textId="71F3A3B2" w:rsidR="006376D0" w:rsidRPr="000B4E2C" w:rsidRDefault="006376D0" w:rsidP="008A7464">
            <w:pPr>
              <w:jc w:val="center"/>
              <w:rPr>
                <w:lang w:eastAsia="en-GB"/>
              </w:rPr>
            </w:pPr>
            <w:r w:rsidRPr="000B4E2C">
              <w:rPr>
                <w:lang w:eastAsia="en-GB"/>
              </w:rPr>
              <w:t>uNGAL, BioPorto</w:t>
            </w:r>
          </w:p>
        </w:tc>
        <w:tc>
          <w:tcPr>
            <w:tcW w:w="0" w:type="auto"/>
            <w:shd w:val="clear" w:color="auto" w:fill="auto"/>
            <w:noWrap/>
            <w:vAlign w:val="center"/>
          </w:tcPr>
          <w:p w14:paraId="3F5914A4" w14:textId="6CEA631A" w:rsidR="006376D0" w:rsidRPr="000B4E2C" w:rsidRDefault="006376D0" w:rsidP="008A7464">
            <w:pPr>
              <w:jc w:val="center"/>
              <w:rPr>
                <w:color w:val="000000"/>
                <w:lang w:eastAsia="en-GB"/>
              </w:rPr>
            </w:pPr>
            <w:r w:rsidRPr="000B4E2C">
              <w:t>12 hours after hepatobiliary surgery</w:t>
            </w:r>
          </w:p>
        </w:tc>
        <w:tc>
          <w:tcPr>
            <w:tcW w:w="0" w:type="auto"/>
            <w:shd w:val="clear" w:color="auto" w:fill="auto"/>
            <w:noWrap/>
            <w:vAlign w:val="center"/>
          </w:tcPr>
          <w:p w14:paraId="5779BE87" w14:textId="397235AB" w:rsidR="006376D0" w:rsidRPr="000B4E2C" w:rsidRDefault="006376D0" w:rsidP="008A7464">
            <w:pPr>
              <w:jc w:val="center"/>
              <w:rPr>
                <w:color w:val="000000"/>
                <w:lang w:eastAsia="en-GB"/>
              </w:rPr>
            </w:pPr>
            <w:r w:rsidRPr="000B4E2C">
              <w:rPr>
                <w:lang w:eastAsia="en-GB"/>
              </w:rPr>
              <w:t>92.85 ng/mL</w:t>
            </w:r>
          </w:p>
        </w:tc>
        <w:tc>
          <w:tcPr>
            <w:tcW w:w="0" w:type="auto"/>
            <w:shd w:val="clear" w:color="auto" w:fill="auto"/>
            <w:noWrap/>
            <w:vAlign w:val="center"/>
          </w:tcPr>
          <w:p w14:paraId="25A7D18E" w14:textId="45040B96" w:rsidR="006376D0" w:rsidRPr="000B4E2C" w:rsidRDefault="005136B1" w:rsidP="006376D0">
            <w:pPr>
              <w:jc w:val="center"/>
              <w:rPr>
                <w:lang w:eastAsia="en-GB"/>
              </w:rPr>
            </w:pPr>
            <w:r w:rsidRPr="000B4E2C">
              <w:rPr>
                <w:lang w:eastAsia="en-GB"/>
              </w:rPr>
              <w:t>0.78</w:t>
            </w:r>
          </w:p>
          <w:p w14:paraId="748F30E8" w14:textId="14F51F8B" w:rsidR="006376D0" w:rsidRPr="000B4E2C" w:rsidRDefault="005136B1" w:rsidP="006376D0">
            <w:pPr>
              <w:jc w:val="center"/>
              <w:rPr>
                <w:color w:val="000000"/>
                <w:lang w:eastAsia="en-GB"/>
              </w:rPr>
            </w:pPr>
            <w:r w:rsidRPr="000B4E2C">
              <w:rPr>
                <w:lang w:eastAsia="en-GB"/>
              </w:rPr>
              <w:t>(0.52, 1.00</w:t>
            </w:r>
            <w:r w:rsidR="006376D0" w:rsidRPr="000B4E2C">
              <w:rPr>
                <w:lang w:eastAsia="en-GB"/>
              </w:rPr>
              <w:t>)</w:t>
            </w:r>
          </w:p>
        </w:tc>
        <w:tc>
          <w:tcPr>
            <w:tcW w:w="0" w:type="auto"/>
            <w:shd w:val="clear" w:color="auto" w:fill="auto"/>
            <w:noWrap/>
            <w:vAlign w:val="center"/>
          </w:tcPr>
          <w:p w14:paraId="521301AB" w14:textId="3A5DB456" w:rsidR="006376D0" w:rsidRPr="000B4E2C" w:rsidRDefault="005136B1" w:rsidP="006376D0">
            <w:pPr>
              <w:jc w:val="center"/>
              <w:rPr>
                <w:lang w:eastAsia="en-GB"/>
              </w:rPr>
            </w:pPr>
            <w:r w:rsidRPr="000B4E2C">
              <w:rPr>
                <w:lang w:eastAsia="en-GB"/>
              </w:rPr>
              <w:t>0.80</w:t>
            </w:r>
          </w:p>
          <w:p w14:paraId="34543BC1" w14:textId="6B03F03F" w:rsidR="006376D0" w:rsidRPr="000B4E2C" w:rsidRDefault="005136B1" w:rsidP="006376D0">
            <w:pPr>
              <w:jc w:val="center"/>
              <w:rPr>
                <w:color w:val="000000"/>
                <w:lang w:eastAsia="en-GB"/>
              </w:rPr>
            </w:pPr>
            <w:r w:rsidRPr="000B4E2C">
              <w:rPr>
                <w:lang w:eastAsia="en-GB"/>
              </w:rPr>
              <w:t>(0.73, 0.87</w:t>
            </w:r>
            <w:r w:rsidR="006376D0" w:rsidRPr="000B4E2C">
              <w:rPr>
                <w:lang w:eastAsia="en-GB"/>
              </w:rPr>
              <w:t>)</w:t>
            </w:r>
          </w:p>
        </w:tc>
        <w:tc>
          <w:tcPr>
            <w:tcW w:w="0" w:type="auto"/>
            <w:shd w:val="clear" w:color="auto" w:fill="auto"/>
            <w:noWrap/>
            <w:vAlign w:val="center"/>
          </w:tcPr>
          <w:p w14:paraId="02D1BA21" w14:textId="77777777" w:rsidR="006376D0" w:rsidRPr="000B4E2C" w:rsidRDefault="0004563F" w:rsidP="008A7464">
            <w:pPr>
              <w:jc w:val="center"/>
              <w:rPr>
                <w:lang w:eastAsia="en-GB"/>
              </w:rPr>
            </w:pPr>
            <w:r w:rsidRPr="000B4E2C">
              <w:rPr>
                <w:lang w:eastAsia="en-GB"/>
              </w:rPr>
              <w:t>0.78</w:t>
            </w:r>
          </w:p>
          <w:p w14:paraId="1E851E2D" w14:textId="24EFCE08" w:rsidR="0004563F" w:rsidRPr="000B4E2C" w:rsidRDefault="0004563F" w:rsidP="008A7464">
            <w:pPr>
              <w:jc w:val="center"/>
              <w:rPr>
                <w:color w:val="000000"/>
                <w:lang w:eastAsia="en-GB"/>
              </w:rPr>
            </w:pPr>
            <w:r w:rsidRPr="000B4E2C">
              <w:rPr>
                <w:lang w:eastAsia="en-GB"/>
              </w:rPr>
              <w:t>(0.66, 0.90)</w:t>
            </w:r>
          </w:p>
        </w:tc>
        <w:tc>
          <w:tcPr>
            <w:tcW w:w="0" w:type="auto"/>
            <w:shd w:val="clear" w:color="auto" w:fill="auto"/>
            <w:vAlign w:val="center"/>
          </w:tcPr>
          <w:p w14:paraId="73E36DA0" w14:textId="17CC49BD" w:rsidR="006376D0" w:rsidRPr="000B4E2C" w:rsidRDefault="006376D0" w:rsidP="008A7464">
            <w:pPr>
              <w:jc w:val="center"/>
              <w:rPr>
                <w:lang w:eastAsia="en-GB"/>
              </w:rPr>
            </w:pPr>
            <w:r w:rsidRPr="000B4E2C">
              <w:rPr>
                <w:lang w:eastAsia="en-GB"/>
              </w:rPr>
              <w:t>8%</w:t>
            </w:r>
          </w:p>
        </w:tc>
      </w:tr>
      <w:tr w:rsidR="002F0133" w:rsidRPr="000B4E2C" w14:paraId="4971687E" w14:textId="77777777" w:rsidTr="000B4E2C">
        <w:trPr>
          <w:cantSplit/>
        </w:trPr>
        <w:tc>
          <w:tcPr>
            <w:tcW w:w="0" w:type="auto"/>
            <w:shd w:val="clear" w:color="auto" w:fill="auto"/>
            <w:noWrap/>
            <w:vAlign w:val="center"/>
          </w:tcPr>
          <w:p w14:paraId="4A634FF3" w14:textId="13126F77" w:rsidR="002F0133" w:rsidRPr="000B4E2C" w:rsidRDefault="002F0133" w:rsidP="008A7464">
            <w:pPr>
              <w:rPr>
                <w:lang w:eastAsia="en-GB"/>
              </w:rPr>
            </w:pPr>
            <w:r w:rsidRPr="000B4E2C">
              <w:rPr>
                <w:lang w:eastAsia="en-GB"/>
              </w:rPr>
              <w:t>Nickolas 2008</w:t>
            </w:r>
            <w:r w:rsidR="005B5026" w:rsidRPr="000B4E2C">
              <w:rPr>
                <w:noProof/>
                <w:vertAlign w:val="superscript"/>
                <w:lang w:eastAsia="en-GB"/>
              </w:rPr>
              <w:t>76</w:t>
            </w:r>
          </w:p>
        </w:tc>
        <w:tc>
          <w:tcPr>
            <w:tcW w:w="0" w:type="auto"/>
            <w:shd w:val="clear" w:color="auto" w:fill="auto"/>
            <w:vAlign w:val="center"/>
          </w:tcPr>
          <w:p w14:paraId="5EFF0CD8" w14:textId="22DFB3B1" w:rsidR="002F0133" w:rsidRPr="000B4E2C" w:rsidRDefault="002F0133" w:rsidP="008A7464">
            <w:pPr>
              <w:jc w:val="center"/>
            </w:pPr>
            <w:r w:rsidRPr="000B4E2C">
              <w:t>Critical care</w:t>
            </w:r>
            <w:r w:rsidR="000B4E2C" w:rsidRPr="000B4E2C">
              <w:rPr>
                <w:color w:val="00B0F0"/>
              </w:rPr>
              <w:t xml:space="preserve"> – </w:t>
            </w:r>
            <w:r w:rsidRPr="000B4E2C">
              <w:t>mixed population (ICU/ITU)</w:t>
            </w:r>
          </w:p>
        </w:tc>
        <w:tc>
          <w:tcPr>
            <w:tcW w:w="0" w:type="auto"/>
            <w:shd w:val="clear" w:color="auto" w:fill="auto"/>
            <w:noWrap/>
            <w:vAlign w:val="center"/>
          </w:tcPr>
          <w:p w14:paraId="799CA610" w14:textId="05382F28" w:rsidR="002F0133" w:rsidRPr="000B4E2C" w:rsidRDefault="002F0133" w:rsidP="008A7464">
            <w:pPr>
              <w:jc w:val="center"/>
              <w:rPr>
                <w:color w:val="000000"/>
                <w:lang w:eastAsia="en-GB"/>
              </w:rPr>
            </w:pPr>
            <w:r w:rsidRPr="000B4E2C">
              <w:rPr>
                <w:lang w:eastAsia="en-GB"/>
              </w:rPr>
              <w:t xml:space="preserve">uNGAL, </w:t>
            </w:r>
            <w:r w:rsidR="009D7F5A" w:rsidRPr="000B4E2C">
              <w:rPr>
                <w:lang w:eastAsia="en-GB"/>
              </w:rPr>
              <w:t>BioPorto</w:t>
            </w:r>
          </w:p>
        </w:tc>
        <w:tc>
          <w:tcPr>
            <w:tcW w:w="0" w:type="auto"/>
            <w:shd w:val="clear" w:color="auto" w:fill="auto"/>
            <w:noWrap/>
            <w:vAlign w:val="center"/>
          </w:tcPr>
          <w:p w14:paraId="099BADB9" w14:textId="77777777" w:rsidR="002F0133" w:rsidRPr="000B4E2C" w:rsidRDefault="002F0133" w:rsidP="008A7464">
            <w:pPr>
              <w:jc w:val="center"/>
              <w:rPr>
                <w:color w:val="000000"/>
                <w:lang w:eastAsia="en-GB"/>
              </w:rPr>
            </w:pPr>
            <w:r w:rsidRPr="000B4E2C">
              <w:rPr>
                <w:lang w:eastAsia="en-GB"/>
              </w:rPr>
              <w:t>Admission to ED</w:t>
            </w:r>
          </w:p>
        </w:tc>
        <w:tc>
          <w:tcPr>
            <w:tcW w:w="0" w:type="auto"/>
            <w:shd w:val="clear" w:color="auto" w:fill="auto"/>
            <w:noWrap/>
            <w:vAlign w:val="center"/>
          </w:tcPr>
          <w:p w14:paraId="34645A10" w14:textId="77777777" w:rsidR="002F0133" w:rsidRPr="000B4E2C" w:rsidRDefault="002F0133" w:rsidP="008A7464">
            <w:pPr>
              <w:jc w:val="center"/>
              <w:rPr>
                <w:color w:val="000000"/>
                <w:lang w:eastAsia="en-GB"/>
              </w:rPr>
            </w:pPr>
            <w:r w:rsidRPr="000B4E2C">
              <w:rPr>
                <w:lang w:eastAsia="en-GB"/>
              </w:rPr>
              <w:t>130 µg/g Cr</w:t>
            </w:r>
          </w:p>
        </w:tc>
        <w:tc>
          <w:tcPr>
            <w:tcW w:w="0" w:type="auto"/>
            <w:shd w:val="clear" w:color="auto" w:fill="auto"/>
            <w:noWrap/>
            <w:vAlign w:val="center"/>
          </w:tcPr>
          <w:p w14:paraId="08DFF913" w14:textId="77777777" w:rsidR="002F0133" w:rsidRPr="000B4E2C" w:rsidRDefault="002F0133" w:rsidP="008A7464">
            <w:pPr>
              <w:jc w:val="center"/>
              <w:rPr>
                <w:lang w:eastAsia="en-GB"/>
              </w:rPr>
            </w:pPr>
            <w:r w:rsidRPr="000B4E2C">
              <w:rPr>
                <w:lang w:eastAsia="en-GB"/>
              </w:rPr>
              <w:t>0.90</w:t>
            </w:r>
          </w:p>
          <w:p w14:paraId="1362F88A" w14:textId="77777777" w:rsidR="002F0133" w:rsidRPr="000B4E2C" w:rsidRDefault="002F0133" w:rsidP="008A7464">
            <w:pPr>
              <w:jc w:val="center"/>
              <w:rPr>
                <w:color w:val="000000"/>
                <w:lang w:eastAsia="en-GB"/>
              </w:rPr>
            </w:pPr>
            <w:r w:rsidRPr="000B4E2C">
              <w:rPr>
                <w:lang w:eastAsia="en-GB"/>
              </w:rPr>
              <w:t>(0.73, 0.98)</w:t>
            </w:r>
          </w:p>
        </w:tc>
        <w:tc>
          <w:tcPr>
            <w:tcW w:w="0" w:type="auto"/>
            <w:shd w:val="clear" w:color="auto" w:fill="auto"/>
            <w:noWrap/>
            <w:vAlign w:val="center"/>
          </w:tcPr>
          <w:p w14:paraId="616EF1BE" w14:textId="77777777" w:rsidR="000B4E2C" w:rsidRPr="000B4E2C" w:rsidRDefault="002F0133" w:rsidP="008A7464">
            <w:pPr>
              <w:jc w:val="center"/>
              <w:rPr>
                <w:lang w:eastAsia="en-GB"/>
              </w:rPr>
            </w:pPr>
            <w:r w:rsidRPr="000B4E2C">
              <w:rPr>
                <w:lang w:eastAsia="en-GB"/>
              </w:rPr>
              <w:t>1.00</w:t>
            </w:r>
          </w:p>
          <w:p w14:paraId="3E7F6FF0" w14:textId="2DA65746" w:rsidR="002F0133" w:rsidRPr="000B4E2C" w:rsidRDefault="002F0133" w:rsidP="008A7464">
            <w:pPr>
              <w:jc w:val="center"/>
              <w:rPr>
                <w:color w:val="000000"/>
                <w:lang w:eastAsia="en-GB"/>
              </w:rPr>
            </w:pPr>
            <w:r w:rsidRPr="000B4E2C">
              <w:rPr>
                <w:lang w:eastAsia="en-GB"/>
              </w:rPr>
              <w:t>(0.99, 1.00)</w:t>
            </w:r>
          </w:p>
        </w:tc>
        <w:tc>
          <w:tcPr>
            <w:tcW w:w="0" w:type="auto"/>
            <w:shd w:val="clear" w:color="auto" w:fill="auto"/>
            <w:noWrap/>
            <w:vAlign w:val="center"/>
          </w:tcPr>
          <w:p w14:paraId="555BD0D0" w14:textId="77777777" w:rsidR="000B4E2C" w:rsidRPr="000B4E2C" w:rsidRDefault="002F0133" w:rsidP="008A7464">
            <w:pPr>
              <w:jc w:val="center"/>
              <w:rPr>
                <w:lang w:eastAsia="en-GB"/>
              </w:rPr>
            </w:pPr>
            <w:r w:rsidRPr="000B4E2C">
              <w:rPr>
                <w:lang w:eastAsia="en-GB"/>
              </w:rPr>
              <w:t>0.95</w:t>
            </w:r>
          </w:p>
          <w:p w14:paraId="30333059" w14:textId="783CF3A4" w:rsidR="002F0133" w:rsidRPr="000B4E2C" w:rsidRDefault="002F0133" w:rsidP="008A7464">
            <w:pPr>
              <w:jc w:val="center"/>
              <w:rPr>
                <w:color w:val="000000"/>
                <w:lang w:eastAsia="en-GB"/>
              </w:rPr>
            </w:pPr>
            <w:r w:rsidRPr="000B4E2C">
              <w:rPr>
                <w:lang w:eastAsia="en-GB"/>
              </w:rPr>
              <w:t>(0.88, 1.00)</w:t>
            </w:r>
          </w:p>
        </w:tc>
        <w:tc>
          <w:tcPr>
            <w:tcW w:w="0" w:type="auto"/>
            <w:shd w:val="clear" w:color="auto" w:fill="auto"/>
            <w:vAlign w:val="center"/>
          </w:tcPr>
          <w:p w14:paraId="36D2A0D9" w14:textId="77777777" w:rsidR="002F0133" w:rsidRPr="000B4E2C" w:rsidRDefault="002F0133" w:rsidP="008A7464">
            <w:pPr>
              <w:jc w:val="center"/>
              <w:rPr>
                <w:lang w:eastAsia="en-GB"/>
              </w:rPr>
            </w:pPr>
            <w:r w:rsidRPr="000B4E2C">
              <w:rPr>
                <w:lang w:eastAsia="en-GB"/>
              </w:rPr>
              <w:t>0.047</w:t>
            </w:r>
          </w:p>
        </w:tc>
      </w:tr>
      <w:tr w:rsidR="002F0133" w:rsidRPr="000B4E2C" w14:paraId="1B0C8A31" w14:textId="77777777" w:rsidTr="000B4E2C">
        <w:trPr>
          <w:cantSplit/>
        </w:trPr>
        <w:tc>
          <w:tcPr>
            <w:tcW w:w="0" w:type="auto"/>
            <w:shd w:val="clear" w:color="auto" w:fill="auto"/>
            <w:noWrap/>
            <w:vAlign w:val="center"/>
            <w:hideMark/>
          </w:tcPr>
          <w:p w14:paraId="1EC28470" w14:textId="3B5ABF5E" w:rsidR="002F0133" w:rsidRPr="000B4E2C" w:rsidRDefault="002F0133" w:rsidP="008A7464">
            <w:pPr>
              <w:rPr>
                <w:lang w:eastAsia="en-GB"/>
              </w:rPr>
            </w:pPr>
            <w:r w:rsidRPr="000B4E2C">
              <w:rPr>
                <w:lang w:eastAsia="en-GB"/>
              </w:rPr>
              <w:t>Cho 2013</w:t>
            </w:r>
            <w:r w:rsidR="005B5026" w:rsidRPr="000B4E2C">
              <w:rPr>
                <w:noProof/>
                <w:vertAlign w:val="superscript"/>
                <w:lang w:eastAsia="en-GB"/>
              </w:rPr>
              <w:t>71</w:t>
            </w:r>
          </w:p>
        </w:tc>
        <w:tc>
          <w:tcPr>
            <w:tcW w:w="0" w:type="auto"/>
            <w:shd w:val="clear" w:color="auto" w:fill="auto"/>
            <w:vAlign w:val="center"/>
          </w:tcPr>
          <w:p w14:paraId="275F8E49" w14:textId="64AA35EC" w:rsidR="002F0133" w:rsidRPr="000B4E2C" w:rsidRDefault="002F0133" w:rsidP="008A7464">
            <w:pPr>
              <w:jc w:val="center"/>
            </w:pPr>
            <w:r w:rsidRPr="000B4E2C">
              <w:t>Critical care</w:t>
            </w:r>
            <w:r w:rsidR="000B4E2C" w:rsidRPr="000B4E2C">
              <w:rPr>
                <w:color w:val="00B0F0"/>
              </w:rPr>
              <w:t xml:space="preserve"> – </w:t>
            </w:r>
            <w:r w:rsidRPr="000B4E2C">
              <w:t>mixed population (ICU/ITU)</w:t>
            </w:r>
          </w:p>
        </w:tc>
        <w:tc>
          <w:tcPr>
            <w:tcW w:w="0" w:type="auto"/>
            <w:shd w:val="clear" w:color="auto" w:fill="auto"/>
            <w:noWrap/>
            <w:vAlign w:val="center"/>
            <w:hideMark/>
          </w:tcPr>
          <w:p w14:paraId="17E258F2" w14:textId="5E9A724C" w:rsidR="002F0133" w:rsidRPr="000B4E2C" w:rsidRDefault="002F0133" w:rsidP="008A7464">
            <w:pPr>
              <w:jc w:val="center"/>
              <w:rPr>
                <w:color w:val="000000"/>
                <w:lang w:eastAsia="en-GB"/>
              </w:rPr>
            </w:pPr>
            <w:r w:rsidRPr="000B4E2C">
              <w:rPr>
                <w:lang w:eastAsia="en-GB"/>
              </w:rPr>
              <w:t xml:space="preserve">uNGAL, </w:t>
            </w:r>
            <w:r w:rsidR="009D7F5A" w:rsidRPr="000B4E2C">
              <w:rPr>
                <w:lang w:eastAsia="en-GB"/>
              </w:rPr>
              <w:t>BioPorto</w:t>
            </w:r>
          </w:p>
        </w:tc>
        <w:tc>
          <w:tcPr>
            <w:tcW w:w="0" w:type="auto"/>
            <w:shd w:val="clear" w:color="auto" w:fill="auto"/>
            <w:noWrap/>
            <w:vAlign w:val="center"/>
            <w:hideMark/>
          </w:tcPr>
          <w:p w14:paraId="617AE7E5" w14:textId="77777777" w:rsidR="002F0133" w:rsidRPr="000B4E2C" w:rsidRDefault="002F0133" w:rsidP="008A7464">
            <w:pPr>
              <w:jc w:val="center"/>
              <w:rPr>
                <w:color w:val="000000"/>
                <w:lang w:eastAsia="en-GB"/>
              </w:rPr>
            </w:pPr>
            <w:r w:rsidRPr="000B4E2C">
              <w:rPr>
                <w:lang w:eastAsia="en-GB"/>
              </w:rPr>
              <w:t>ICU admission</w:t>
            </w:r>
          </w:p>
        </w:tc>
        <w:tc>
          <w:tcPr>
            <w:tcW w:w="0" w:type="auto"/>
            <w:shd w:val="clear" w:color="auto" w:fill="auto"/>
            <w:noWrap/>
            <w:vAlign w:val="center"/>
            <w:hideMark/>
          </w:tcPr>
          <w:p w14:paraId="431F2DEF" w14:textId="77777777" w:rsidR="002F0133" w:rsidRPr="000B4E2C" w:rsidRDefault="002F0133" w:rsidP="008A7464">
            <w:pPr>
              <w:jc w:val="center"/>
              <w:rPr>
                <w:color w:val="000000"/>
                <w:lang w:eastAsia="en-GB"/>
              </w:rPr>
            </w:pPr>
            <w:r w:rsidRPr="000B4E2C">
              <w:rPr>
                <w:lang w:eastAsia="en-GB"/>
              </w:rPr>
              <w:t>NR</w:t>
            </w:r>
          </w:p>
        </w:tc>
        <w:tc>
          <w:tcPr>
            <w:tcW w:w="0" w:type="auto"/>
            <w:shd w:val="clear" w:color="auto" w:fill="auto"/>
            <w:noWrap/>
            <w:vAlign w:val="center"/>
            <w:hideMark/>
          </w:tcPr>
          <w:p w14:paraId="1E31F953" w14:textId="77777777" w:rsidR="002F0133" w:rsidRPr="000B4E2C" w:rsidRDefault="002F0133" w:rsidP="008A7464">
            <w:pPr>
              <w:jc w:val="center"/>
              <w:rPr>
                <w:color w:val="000000"/>
                <w:lang w:eastAsia="en-GB"/>
              </w:rPr>
            </w:pPr>
            <w:r w:rsidRPr="000B4E2C">
              <w:rPr>
                <w:lang w:eastAsia="en-GB"/>
              </w:rPr>
              <w:t>0.74</w:t>
            </w:r>
          </w:p>
        </w:tc>
        <w:tc>
          <w:tcPr>
            <w:tcW w:w="0" w:type="auto"/>
            <w:shd w:val="clear" w:color="auto" w:fill="auto"/>
            <w:noWrap/>
            <w:vAlign w:val="center"/>
            <w:hideMark/>
          </w:tcPr>
          <w:p w14:paraId="7E36B446" w14:textId="77777777" w:rsidR="002F0133" w:rsidRPr="000B4E2C" w:rsidRDefault="002F0133" w:rsidP="008A7464">
            <w:pPr>
              <w:jc w:val="center"/>
              <w:rPr>
                <w:color w:val="000000"/>
                <w:lang w:eastAsia="en-GB"/>
              </w:rPr>
            </w:pPr>
            <w:r w:rsidRPr="000B4E2C">
              <w:rPr>
                <w:lang w:eastAsia="en-GB"/>
              </w:rPr>
              <w:t>0.70</w:t>
            </w:r>
          </w:p>
        </w:tc>
        <w:tc>
          <w:tcPr>
            <w:tcW w:w="0" w:type="auto"/>
            <w:shd w:val="clear" w:color="auto" w:fill="auto"/>
            <w:noWrap/>
            <w:vAlign w:val="center"/>
            <w:hideMark/>
          </w:tcPr>
          <w:p w14:paraId="0421B831" w14:textId="77777777" w:rsidR="000B4E2C" w:rsidRPr="000B4E2C" w:rsidRDefault="002F0133" w:rsidP="008A7464">
            <w:pPr>
              <w:jc w:val="center"/>
              <w:rPr>
                <w:lang w:eastAsia="en-GB"/>
              </w:rPr>
            </w:pPr>
            <w:r w:rsidRPr="000B4E2C">
              <w:rPr>
                <w:lang w:eastAsia="en-GB"/>
              </w:rPr>
              <w:t>0.77</w:t>
            </w:r>
          </w:p>
          <w:p w14:paraId="35FEE204" w14:textId="3E66ADAE" w:rsidR="002F0133" w:rsidRPr="000B4E2C" w:rsidRDefault="002F0133" w:rsidP="008A7464">
            <w:pPr>
              <w:jc w:val="center"/>
              <w:rPr>
                <w:color w:val="000000"/>
                <w:lang w:eastAsia="en-GB"/>
              </w:rPr>
            </w:pPr>
            <w:r w:rsidRPr="000B4E2C">
              <w:rPr>
                <w:lang w:eastAsia="en-GB"/>
              </w:rPr>
              <w:t>(0.69, 0.85)</w:t>
            </w:r>
          </w:p>
        </w:tc>
        <w:tc>
          <w:tcPr>
            <w:tcW w:w="0" w:type="auto"/>
            <w:shd w:val="clear" w:color="auto" w:fill="auto"/>
            <w:vAlign w:val="center"/>
          </w:tcPr>
          <w:p w14:paraId="0E317971" w14:textId="77777777" w:rsidR="002F0133" w:rsidRPr="000B4E2C" w:rsidRDefault="002F0133" w:rsidP="008A7464">
            <w:pPr>
              <w:jc w:val="center"/>
              <w:rPr>
                <w:lang w:eastAsia="en-GB"/>
              </w:rPr>
            </w:pPr>
            <w:r w:rsidRPr="000B4E2C">
              <w:rPr>
                <w:lang w:eastAsia="en-GB"/>
              </w:rPr>
              <w:t>0.37</w:t>
            </w:r>
          </w:p>
        </w:tc>
      </w:tr>
      <w:tr w:rsidR="002F0133" w:rsidRPr="000B4E2C" w14:paraId="0066768A" w14:textId="77777777" w:rsidTr="000B4E2C">
        <w:trPr>
          <w:cantSplit/>
        </w:trPr>
        <w:tc>
          <w:tcPr>
            <w:tcW w:w="0" w:type="auto"/>
            <w:shd w:val="clear" w:color="auto" w:fill="auto"/>
            <w:noWrap/>
            <w:vAlign w:val="center"/>
            <w:hideMark/>
          </w:tcPr>
          <w:p w14:paraId="4B1E3EBC" w14:textId="4468B8A1" w:rsidR="002F0133" w:rsidRPr="000B4E2C" w:rsidRDefault="002F0133" w:rsidP="008A7464">
            <w:pPr>
              <w:rPr>
                <w:lang w:eastAsia="en-GB"/>
              </w:rPr>
            </w:pPr>
            <w:r w:rsidRPr="000B4E2C">
              <w:rPr>
                <w:lang w:eastAsia="en-GB"/>
              </w:rPr>
              <w:t>Matsa 2014</w:t>
            </w:r>
            <w:r w:rsidR="005B5026" w:rsidRPr="000B4E2C">
              <w:rPr>
                <w:noProof/>
                <w:vertAlign w:val="superscript"/>
                <w:lang w:eastAsia="en-GB"/>
              </w:rPr>
              <w:t>75</w:t>
            </w:r>
          </w:p>
        </w:tc>
        <w:tc>
          <w:tcPr>
            <w:tcW w:w="0" w:type="auto"/>
            <w:shd w:val="clear" w:color="auto" w:fill="auto"/>
            <w:vAlign w:val="center"/>
          </w:tcPr>
          <w:p w14:paraId="62599055" w14:textId="65E53F69" w:rsidR="002F0133" w:rsidRPr="000B4E2C" w:rsidRDefault="002F0133" w:rsidP="008A7464">
            <w:pPr>
              <w:jc w:val="center"/>
            </w:pPr>
            <w:r w:rsidRPr="000B4E2C">
              <w:t>Critical care</w:t>
            </w:r>
            <w:r w:rsidR="000B4E2C" w:rsidRPr="000B4E2C">
              <w:rPr>
                <w:color w:val="00B0F0"/>
              </w:rPr>
              <w:t xml:space="preserve"> – </w:t>
            </w:r>
            <w:r w:rsidRPr="000B4E2C">
              <w:t>mixed population (ICU/ITU)</w:t>
            </w:r>
          </w:p>
        </w:tc>
        <w:tc>
          <w:tcPr>
            <w:tcW w:w="0" w:type="auto"/>
            <w:shd w:val="clear" w:color="auto" w:fill="auto"/>
            <w:noWrap/>
            <w:vAlign w:val="center"/>
            <w:hideMark/>
          </w:tcPr>
          <w:p w14:paraId="2102E526" w14:textId="6C1C2242" w:rsidR="002F0133" w:rsidRPr="000B4E2C" w:rsidRDefault="002F0133" w:rsidP="008A7464">
            <w:pPr>
              <w:jc w:val="center"/>
              <w:rPr>
                <w:color w:val="000000"/>
                <w:lang w:eastAsia="en-GB"/>
              </w:rPr>
            </w:pPr>
            <w:r w:rsidRPr="000B4E2C">
              <w:rPr>
                <w:lang w:eastAsia="en-GB"/>
              </w:rPr>
              <w:t xml:space="preserve">uNGAL, </w:t>
            </w:r>
            <w:r w:rsidR="009D7F5A" w:rsidRPr="000B4E2C">
              <w:rPr>
                <w:lang w:eastAsia="en-GB"/>
              </w:rPr>
              <w:t>BioPorto</w:t>
            </w:r>
          </w:p>
        </w:tc>
        <w:tc>
          <w:tcPr>
            <w:tcW w:w="0" w:type="auto"/>
            <w:shd w:val="clear" w:color="auto" w:fill="auto"/>
            <w:noWrap/>
            <w:vAlign w:val="center"/>
            <w:hideMark/>
          </w:tcPr>
          <w:p w14:paraId="071D953C" w14:textId="77777777" w:rsidR="002F0133" w:rsidRPr="000B4E2C" w:rsidRDefault="002F0133" w:rsidP="008A7464">
            <w:pPr>
              <w:jc w:val="center"/>
              <w:rPr>
                <w:color w:val="000000"/>
                <w:lang w:eastAsia="en-GB"/>
              </w:rPr>
            </w:pPr>
            <w:r w:rsidRPr="000B4E2C">
              <w:rPr>
                <w:lang w:eastAsia="en-GB"/>
              </w:rPr>
              <w:t>ICU admission</w:t>
            </w:r>
          </w:p>
        </w:tc>
        <w:tc>
          <w:tcPr>
            <w:tcW w:w="0" w:type="auto"/>
            <w:shd w:val="clear" w:color="auto" w:fill="auto"/>
            <w:noWrap/>
            <w:vAlign w:val="center"/>
            <w:hideMark/>
          </w:tcPr>
          <w:p w14:paraId="14F2DBA4" w14:textId="77777777" w:rsidR="002F0133" w:rsidRPr="000B4E2C" w:rsidRDefault="002F0133" w:rsidP="008A7464">
            <w:pPr>
              <w:jc w:val="center"/>
              <w:rPr>
                <w:color w:val="000000"/>
                <w:lang w:eastAsia="en-GB"/>
              </w:rPr>
            </w:pPr>
            <w:r w:rsidRPr="000B4E2C">
              <w:rPr>
                <w:lang w:eastAsia="en-GB"/>
              </w:rPr>
              <w:t>350 ng/mL</w:t>
            </w:r>
          </w:p>
        </w:tc>
        <w:tc>
          <w:tcPr>
            <w:tcW w:w="0" w:type="auto"/>
            <w:shd w:val="clear" w:color="auto" w:fill="auto"/>
            <w:noWrap/>
            <w:vAlign w:val="center"/>
            <w:hideMark/>
          </w:tcPr>
          <w:p w14:paraId="5761204F" w14:textId="77777777" w:rsidR="000B4E2C" w:rsidRPr="000B4E2C" w:rsidRDefault="002F0133" w:rsidP="008A7464">
            <w:pPr>
              <w:jc w:val="center"/>
              <w:rPr>
                <w:lang w:eastAsia="en-GB"/>
              </w:rPr>
            </w:pPr>
            <w:r w:rsidRPr="000B4E2C">
              <w:rPr>
                <w:lang w:eastAsia="en-GB"/>
              </w:rPr>
              <w:t>0.58</w:t>
            </w:r>
          </w:p>
          <w:p w14:paraId="2655082B" w14:textId="1CA3EA52" w:rsidR="002F0133" w:rsidRPr="000B4E2C" w:rsidRDefault="002F0133" w:rsidP="008A7464">
            <w:pPr>
              <w:jc w:val="center"/>
              <w:rPr>
                <w:color w:val="000000"/>
                <w:lang w:eastAsia="en-GB"/>
              </w:rPr>
            </w:pPr>
            <w:r w:rsidRPr="000B4E2C">
              <w:rPr>
                <w:lang w:eastAsia="en-GB"/>
              </w:rPr>
              <w:t>(0.44, 0.70)</w:t>
            </w:r>
          </w:p>
        </w:tc>
        <w:tc>
          <w:tcPr>
            <w:tcW w:w="0" w:type="auto"/>
            <w:shd w:val="clear" w:color="auto" w:fill="auto"/>
            <w:noWrap/>
            <w:vAlign w:val="center"/>
            <w:hideMark/>
          </w:tcPr>
          <w:p w14:paraId="4C7A970C" w14:textId="77777777" w:rsidR="000B4E2C" w:rsidRPr="000B4E2C" w:rsidRDefault="002F0133" w:rsidP="008A7464">
            <w:pPr>
              <w:jc w:val="center"/>
              <w:rPr>
                <w:lang w:eastAsia="en-GB"/>
              </w:rPr>
            </w:pPr>
            <w:r w:rsidRPr="000B4E2C">
              <w:rPr>
                <w:lang w:eastAsia="en-GB"/>
              </w:rPr>
              <w:t>0.84</w:t>
            </w:r>
          </w:p>
          <w:p w14:paraId="25754CF9" w14:textId="44214C58" w:rsidR="002F0133" w:rsidRPr="000B4E2C" w:rsidRDefault="002F0133" w:rsidP="008A7464">
            <w:pPr>
              <w:jc w:val="center"/>
              <w:rPr>
                <w:color w:val="000000"/>
                <w:lang w:eastAsia="en-GB"/>
              </w:rPr>
            </w:pPr>
            <w:r w:rsidRPr="000B4E2C">
              <w:rPr>
                <w:lang w:eastAsia="en-GB"/>
              </w:rPr>
              <w:t>(0.75, 0.91)</w:t>
            </w:r>
          </w:p>
        </w:tc>
        <w:tc>
          <w:tcPr>
            <w:tcW w:w="0" w:type="auto"/>
            <w:shd w:val="clear" w:color="auto" w:fill="auto"/>
            <w:noWrap/>
            <w:vAlign w:val="center"/>
            <w:hideMark/>
          </w:tcPr>
          <w:p w14:paraId="2016B31E" w14:textId="77777777" w:rsidR="002F0133" w:rsidRPr="000B4E2C" w:rsidRDefault="002F0133" w:rsidP="008A7464">
            <w:pPr>
              <w:jc w:val="center"/>
              <w:rPr>
                <w:color w:val="000000"/>
                <w:lang w:eastAsia="en-GB"/>
              </w:rPr>
            </w:pPr>
            <w:r w:rsidRPr="000B4E2C">
              <w:rPr>
                <w:lang w:eastAsia="en-GB"/>
              </w:rPr>
              <w:t>0.79</w:t>
            </w:r>
          </w:p>
        </w:tc>
        <w:tc>
          <w:tcPr>
            <w:tcW w:w="0" w:type="auto"/>
            <w:shd w:val="clear" w:color="auto" w:fill="auto"/>
            <w:vAlign w:val="center"/>
          </w:tcPr>
          <w:p w14:paraId="21E24464" w14:textId="77777777" w:rsidR="002F0133" w:rsidRPr="000B4E2C" w:rsidRDefault="002F0133" w:rsidP="008A7464">
            <w:pPr>
              <w:jc w:val="center"/>
              <w:rPr>
                <w:lang w:eastAsia="en-GB"/>
              </w:rPr>
            </w:pPr>
            <w:r w:rsidRPr="000B4E2C">
              <w:rPr>
                <w:lang w:eastAsia="en-GB"/>
              </w:rPr>
              <w:t>0.38</w:t>
            </w:r>
          </w:p>
        </w:tc>
      </w:tr>
      <w:tr w:rsidR="002F0133" w:rsidRPr="000B4E2C" w14:paraId="0F3C3F81" w14:textId="77777777" w:rsidTr="000B4E2C">
        <w:trPr>
          <w:cantSplit/>
        </w:trPr>
        <w:tc>
          <w:tcPr>
            <w:tcW w:w="0" w:type="auto"/>
            <w:shd w:val="clear" w:color="auto" w:fill="auto"/>
            <w:noWrap/>
            <w:vAlign w:val="center"/>
          </w:tcPr>
          <w:p w14:paraId="75DE472C" w14:textId="2B3C1A0C" w:rsidR="002F0133" w:rsidRPr="000B4E2C" w:rsidRDefault="002F0133" w:rsidP="008A7464">
            <w:pPr>
              <w:rPr>
                <w:lang w:eastAsia="en-GB"/>
              </w:rPr>
            </w:pPr>
            <w:r w:rsidRPr="000B4E2C">
              <w:rPr>
                <w:lang w:eastAsia="en-GB"/>
              </w:rPr>
              <w:lastRenderedPageBreak/>
              <w:t>Barreto 2014</w:t>
            </w:r>
            <w:r w:rsidR="005B5026" w:rsidRPr="000B4E2C">
              <w:rPr>
                <w:noProof/>
                <w:vertAlign w:val="superscript"/>
                <w:lang w:eastAsia="en-GB"/>
              </w:rPr>
              <w:t>70</w:t>
            </w:r>
          </w:p>
        </w:tc>
        <w:tc>
          <w:tcPr>
            <w:tcW w:w="0" w:type="auto"/>
            <w:shd w:val="clear" w:color="auto" w:fill="auto"/>
            <w:vAlign w:val="center"/>
          </w:tcPr>
          <w:p w14:paraId="6B5D6848" w14:textId="78787C12" w:rsidR="002F0133" w:rsidRPr="000B4E2C" w:rsidRDefault="002F0133" w:rsidP="008A7464">
            <w:pPr>
              <w:jc w:val="center"/>
            </w:pPr>
            <w:r w:rsidRPr="000B4E2C">
              <w:t>Critical care</w:t>
            </w:r>
            <w:r w:rsidR="000B4E2C" w:rsidRPr="000B4E2C">
              <w:rPr>
                <w:color w:val="00B0F0"/>
              </w:rPr>
              <w:t xml:space="preserve"> – </w:t>
            </w:r>
            <w:r w:rsidRPr="000B4E2C">
              <w:t>mixed population (liver disease)</w:t>
            </w:r>
          </w:p>
        </w:tc>
        <w:tc>
          <w:tcPr>
            <w:tcW w:w="0" w:type="auto"/>
            <w:shd w:val="clear" w:color="auto" w:fill="auto"/>
            <w:noWrap/>
            <w:vAlign w:val="center"/>
          </w:tcPr>
          <w:p w14:paraId="79767FC6" w14:textId="5D4D9DCE" w:rsidR="002F0133" w:rsidRPr="000B4E2C" w:rsidRDefault="002F0133" w:rsidP="008A7464">
            <w:pPr>
              <w:jc w:val="center"/>
              <w:rPr>
                <w:color w:val="000000"/>
                <w:lang w:eastAsia="en-GB"/>
              </w:rPr>
            </w:pPr>
            <w:r w:rsidRPr="000B4E2C">
              <w:rPr>
                <w:lang w:eastAsia="en-GB"/>
              </w:rPr>
              <w:t xml:space="preserve">uNGAL, </w:t>
            </w:r>
            <w:r w:rsidR="009D7F5A" w:rsidRPr="000B4E2C">
              <w:rPr>
                <w:lang w:eastAsia="en-GB"/>
              </w:rPr>
              <w:t>BioPorto</w:t>
            </w:r>
          </w:p>
        </w:tc>
        <w:tc>
          <w:tcPr>
            <w:tcW w:w="0" w:type="auto"/>
            <w:shd w:val="clear" w:color="auto" w:fill="auto"/>
            <w:noWrap/>
            <w:vAlign w:val="center"/>
          </w:tcPr>
          <w:p w14:paraId="5210C53E" w14:textId="77777777" w:rsidR="002F0133" w:rsidRPr="000B4E2C" w:rsidRDefault="002F0133" w:rsidP="008A7464">
            <w:pPr>
              <w:jc w:val="center"/>
              <w:rPr>
                <w:color w:val="000000"/>
                <w:lang w:eastAsia="en-GB"/>
              </w:rPr>
            </w:pPr>
            <w:r w:rsidRPr="000B4E2C">
              <w:rPr>
                <w:lang w:eastAsia="en-GB"/>
              </w:rPr>
              <w:t>When the infection was detected</w:t>
            </w:r>
          </w:p>
        </w:tc>
        <w:tc>
          <w:tcPr>
            <w:tcW w:w="0" w:type="auto"/>
            <w:shd w:val="clear" w:color="auto" w:fill="auto"/>
            <w:noWrap/>
            <w:vAlign w:val="center"/>
          </w:tcPr>
          <w:p w14:paraId="686BAE2B" w14:textId="77777777" w:rsidR="002F0133" w:rsidRPr="000B4E2C" w:rsidRDefault="002F0133" w:rsidP="008A7464">
            <w:pPr>
              <w:jc w:val="center"/>
              <w:rPr>
                <w:color w:val="000000"/>
                <w:lang w:eastAsia="en-GB"/>
              </w:rPr>
            </w:pPr>
            <w:r w:rsidRPr="000B4E2C">
              <w:rPr>
                <w:lang w:eastAsia="en-GB"/>
              </w:rPr>
              <w:t>51 µg/g Cr</w:t>
            </w:r>
          </w:p>
        </w:tc>
        <w:tc>
          <w:tcPr>
            <w:tcW w:w="0" w:type="auto"/>
            <w:shd w:val="clear" w:color="auto" w:fill="auto"/>
            <w:noWrap/>
            <w:vAlign w:val="center"/>
          </w:tcPr>
          <w:p w14:paraId="06058EE0" w14:textId="77777777" w:rsidR="002F0133" w:rsidRPr="000B4E2C" w:rsidRDefault="002F0133" w:rsidP="008A7464">
            <w:pPr>
              <w:jc w:val="center"/>
              <w:rPr>
                <w:color w:val="000000"/>
                <w:lang w:eastAsia="en-GB"/>
              </w:rPr>
            </w:pPr>
            <w:r w:rsidRPr="000B4E2C">
              <w:rPr>
                <w:lang w:eastAsia="en-GB"/>
              </w:rPr>
              <w:t>0.66</w:t>
            </w:r>
          </w:p>
        </w:tc>
        <w:tc>
          <w:tcPr>
            <w:tcW w:w="0" w:type="auto"/>
            <w:shd w:val="clear" w:color="auto" w:fill="auto"/>
            <w:noWrap/>
            <w:vAlign w:val="center"/>
          </w:tcPr>
          <w:p w14:paraId="1E46E664" w14:textId="77777777" w:rsidR="002F0133" w:rsidRPr="000B4E2C" w:rsidRDefault="002F0133" w:rsidP="008A7464">
            <w:pPr>
              <w:jc w:val="center"/>
              <w:rPr>
                <w:color w:val="000000"/>
                <w:lang w:eastAsia="en-GB"/>
              </w:rPr>
            </w:pPr>
            <w:r w:rsidRPr="000B4E2C">
              <w:rPr>
                <w:lang w:eastAsia="en-GB"/>
              </w:rPr>
              <w:t>0.70</w:t>
            </w:r>
          </w:p>
        </w:tc>
        <w:tc>
          <w:tcPr>
            <w:tcW w:w="0" w:type="auto"/>
            <w:shd w:val="clear" w:color="auto" w:fill="auto"/>
            <w:noWrap/>
            <w:vAlign w:val="center"/>
          </w:tcPr>
          <w:p w14:paraId="52CC12F1" w14:textId="77777777" w:rsidR="000B4E2C" w:rsidRPr="000B4E2C" w:rsidRDefault="002F0133" w:rsidP="008A7464">
            <w:pPr>
              <w:jc w:val="center"/>
              <w:rPr>
                <w:lang w:eastAsia="en-GB"/>
              </w:rPr>
            </w:pPr>
            <w:r w:rsidRPr="000B4E2C">
              <w:rPr>
                <w:lang w:eastAsia="en-GB"/>
              </w:rPr>
              <w:t>0.72</w:t>
            </w:r>
          </w:p>
          <w:p w14:paraId="4C0B0733" w14:textId="1601815A" w:rsidR="002F0133" w:rsidRPr="000B4E2C" w:rsidRDefault="002F0133" w:rsidP="008A7464">
            <w:pPr>
              <w:jc w:val="center"/>
              <w:rPr>
                <w:color w:val="000000"/>
                <w:lang w:eastAsia="en-GB"/>
              </w:rPr>
            </w:pPr>
            <w:r w:rsidRPr="000B4E2C">
              <w:rPr>
                <w:lang w:eastAsia="en-GB"/>
              </w:rPr>
              <w:t>(0.64, 0.81)</w:t>
            </w:r>
          </w:p>
        </w:tc>
        <w:tc>
          <w:tcPr>
            <w:tcW w:w="0" w:type="auto"/>
            <w:shd w:val="clear" w:color="auto" w:fill="auto"/>
            <w:vAlign w:val="center"/>
          </w:tcPr>
          <w:p w14:paraId="5E201115" w14:textId="77777777" w:rsidR="002F0133" w:rsidRPr="000B4E2C" w:rsidRDefault="002F0133" w:rsidP="008A7464">
            <w:pPr>
              <w:jc w:val="center"/>
              <w:rPr>
                <w:lang w:eastAsia="en-GB"/>
              </w:rPr>
            </w:pPr>
            <w:r w:rsidRPr="000B4E2C">
              <w:rPr>
                <w:lang w:eastAsia="en-GB"/>
              </w:rPr>
              <w:t>0.49</w:t>
            </w:r>
          </w:p>
        </w:tc>
      </w:tr>
      <w:tr w:rsidR="002F0133" w:rsidRPr="000B4E2C" w14:paraId="46F8D748" w14:textId="77777777" w:rsidTr="000B4E2C">
        <w:trPr>
          <w:cantSplit/>
        </w:trPr>
        <w:tc>
          <w:tcPr>
            <w:tcW w:w="0" w:type="auto"/>
            <w:shd w:val="clear" w:color="auto" w:fill="auto"/>
            <w:noWrap/>
            <w:vAlign w:val="center"/>
          </w:tcPr>
          <w:p w14:paraId="155CE86B" w14:textId="7A7CA5D0" w:rsidR="002F0133" w:rsidRPr="000B4E2C" w:rsidRDefault="002F0133" w:rsidP="008A7464">
            <w:pPr>
              <w:rPr>
                <w:lang w:eastAsia="en-GB"/>
              </w:rPr>
            </w:pPr>
            <w:r w:rsidRPr="000B4E2C">
              <w:rPr>
                <w:lang w:eastAsia="en-GB"/>
              </w:rPr>
              <w:t>Hjortrup 2015</w:t>
            </w:r>
            <w:r w:rsidR="005B5026" w:rsidRPr="000B4E2C">
              <w:rPr>
                <w:noProof/>
                <w:vertAlign w:val="superscript"/>
                <w:lang w:eastAsia="en-GB"/>
              </w:rPr>
              <w:t>74</w:t>
            </w:r>
          </w:p>
        </w:tc>
        <w:tc>
          <w:tcPr>
            <w:tcW w:w="0" w:type="auto"/>
            <w:shd w:val="clear" w:color="auto" w:fill="auto"/>
            <w:vAlign w:val="center"/>
          </w:tcPr>
          <w:p w14:paraId="284D1F53" w14:textId="536585A6" w:rsidR="002F0133" w:rsidRPr="000B4E2C" w:rsidRDefault="002F0133" w:rsidP="008A7464">
            <w:pPr>
              <w:jc w:val="center"/>
            </w:pPr>
            <w:r w:rsidRPr="000B4E2C">
              <w:t>Critical care</w:t>
            </w:r>
            <w:r w:rsidR="000B4E2C" w:rsidRPr="000B4E2C">
              <w:rPr>
                <w:color w:val="00B0F0"/>
              </w:rPr>
              <w:t xml:space="preserve"> – </w:t>
            </w:r>
            <w:r w:rsidRPr="000B4E2C">
              <w:t>mixed population (ICU/ITU)</w:t>
            </w:r>
          </w:p>
        </w:tc>
        <w:tc>
          <w:tcPr>
            <w:tcW w:w="0" w:type="auto"/>
            <w:shd w:val="clear" w:color="auto" w:fill="auto"/>
            <w:noWrap/>
            <w:vAlign w:val="center"/>
          </w:tcPr>
          <w:p w14:paraId="31B76D73" w14:textId="2A2BF045" w:rsidR="002F0133" w:rsidRPr="000B4E2C" w:rsidRDefault="002F0133" w:rsidP="008A7464">
            <w:pPr>
              <w:jc w:val="center"/>
              <w:rPr>
                <w:color w:val="000000"/>
                <w:lang w:eastAsia="en-GB"/>
              </w:rPr>
            </w:pPr>
            <w:r w:rsidRPr="000B4E2C">
              <w:rPr>
                <w:lang w:eastAsia="en-GB"/>
              </w:rPr>
              <w:t xml:space="preserve">uNGAL, </w:t>
            </w:r>
            <w:r w:rsidR="009D7F5A" w:rsidRPr="000B4E2C">
              <w:rPr>
                <w:lang w:eastAsia="en-GB"/>
              </w:rPr>
              <w:t>BioPorto</w:t>
            </w:r>
          </w:p>
        </w:tc>
        <w:tc>
          <w:tcPr>
            <w:tcW w:w="0" w:type="auto"/>
            <w:shd w:val="clear" w:color="auto" w:fill="auto"/>
            <w:noWrap/>
            <w:vAlign w:val="center"/>
          </w:tcPr>
          <w:p w14:paraId="64EE9464" w14:textId="77777777" w:rsidR="002F0133" w:rsidRPr="000B4E2C" w:rsidRDefault="002F0133" w:rsidP="008A7464">
            <w:pPr>
              <w:jc w:val="center"/>
              <w:rPr>
                <w:color w:val="000000"/>
                <w:lang w:eastAsia="en-GB"/>
              </w:rPr>
            </w:pPr>
            <w:r w:rsidRPr="000B4E2C">
              <w:rPr>
                <w:lang w:eastAsia="en-GB"/>
              </w:rPr>
              <w:t>ICU admission</w:t>
            </w:r>
          </w:p>
        </w:tc>
        <w:tc>
          <w:tcPr>
            <w:tcW w:w="0" w:type="auto"/>
            <w:shd w:val="clear" w:color="auto" w:fill="auto"/>
            <w:noWrap/>
            <w:vAlign w:val="center"/>
          </w:tcPr>
          <w:p w14:paraId="2FBFA256" w14:textId="77777777" w:rsidR="002F0133" w:rsidRPr="000B4E2C" w:rsidRDefault="002F0133" w:rsidP="008A7464">
            <w:pPr>
              <w:jc w:val="center"/>
              <w:rPr>
                <w:color w:val="000000"/>
                <w:lang w:eastAsia="en-GB"/>
              </w:rPr>
            </w:pPr>
            <w:r w:rsidRPr="000B4E2C">
              <w:rPr>
                <w:lang w:eastAsia="en-GB"/>
              </w:rPr>
              <w:t>582 ng/mL</w:t>
            </w:r>
          </w:p>
        </w:tc>
        <w:tc>
          <w:tcPr>
            <w:tcW w:w="0" w:type="auto"/>
            <w:shd w:val="clear" w:color="auto" w:fill="auto"/>
            <w:noWrap/>
            <w:vAlign w:val="center"/>
          </w:tcPr>
          <w:p w14:paraId="65C38732" w14:textId="77777777" w:rsidR="002F0133" w:rsidRPr="000B4E2C" w:rsidRDefault="002F0133" w:rsidP="008A7464">
            <w:pPr>
              <w:jc w:val="center"/>
              <w:rPr>
                <w:color w:val="000000"/>
                <w:lang w:eastAsia="en-GB"/>
              </w:rPr>
            </w:pPr>
            <w:r w:rsidRPr="000B4E2C">
              <w:rPr>
                <w:lang w:eastAsia="en-GB"/>
              </w:rPr>
              <w:t>0.75</w:t>
            </w:r>
          </w:p>
        </w:tc>
        <w:tc>
          <w:tcPr>
            <w:tcW w:w="0" w:type="auto"/>
            <w:shd w:val="clear" w:color="auto" w:fill="auto"/>
            <w:noWrap/>
            <w:vAlign w:val="center"/>
          </w:tcPr>
          <w:p w14:paraId="19266DB8" w14:textId="77777777" w:rsidR="002F0133" w:rsidRPr="000B4E2C" w:rsidRDefault="002F0133" w:rsidP="008A7464">
            <w:pPr>
              <w:jc w:val="center"/>
              <w:rPr>
                <w:color w:val="000000"/>
                <w:lang w:eastAsia="en-GB"/>
              </w:rPr>
            </w:pPr>
            <w:r w:rsidRPr="000B4E2C">
              <w:rPr>
                <w:lang w:eastAsia="en-GB"/>
              </w:rPr>
              <w:t>0.77</w:t>
            </w:r>
          </w:p>
        </w:tc>
        <w:tc>
          <w:tcPr>
            <w:tcW w:w="0" w:type="auto"/>
            <w:shd w:val="clear" w:color="auto" w:fill="auto"/>
            <w:noWrap/>
            <w:vAlign w:val="center"/>
          </w:tcPr>
          <w:p w14:paraId="58C63A00" w14:textId="77777777" w:rsidR="000B4E2C" w:rsidRPr="000B4E2C" w:rsidRDefault="002F0133" w:rsidP="008A7464">
            <w:pPr>
              <w:jc w:val="center"/>
              <w:rPr>
                <w:lang w:eastAsia="en-GB"/>
              </w:rPr>
            </w:pPr>
            <w:r w:rsidRPr="000B4E2C">
              <w:rPr>
                <w:lang w:eastAsia="en-GB"/>
              </w:rPr>
              <w:t>0.71</w:t>
            </w:r>
          </w:p>
          <w:p w14:paraId="68242C06" w14:textId="79FF78B2" w:rsidR="002F0133" w:rsidRPr="000B4E2C" w:rsidRDefault="002F0133" w:rsidP="008A7464">
            <w:pPr>
              <w:jc w:val="center"/>
              <w:rPr>
                <w:color w:val="000000"/>
                <w:lang w:eastAsia="en-GB"/>
              </w:rPr>
            </w:pPr>
            <w:r w:rsidRPr="000B4E2C">
              <w:rPr>
                <w:lang w:eastAsia="en-GB"/>
              </w:rPr>
              <w:t>(0.59, 0.82)</w:t>
            </w:r>
          </w:p>
        </w:tc>
        <w:tc>
          <w:tcPr>
            <w:tcW w:w="0" w:type="auto"/>
            <w:shd w:val="clear" w:color="auto" w:fill="auto"/>
            <w:vAlign w:val="center"/>
          </w:tcPr>
          <w:p w14:paraId="4EB9BF9D" w14:textId="77777777" w:rsidR="002F0133" w:rsidRPr="000B4E2C" w:rsidRDefault="002F0133" w:rsidP="008A7464">
            <w:pPr>
              <w:jc w:val="center"/>
              <w:rPr>
                <w:lang w:eastAsia="en-GB"/>
              </w:rPr>
            </w:pPr>
            <w:r w:rsidRPr="000B4E2C">
              <w:rPr>
                <w:lang w:eastAsia="en-GB"/>
              </w:rPr>
              <w:t>0.24</w:t>
            </w:r>
          </w:p>
        </w:tc>
      </w:tr>
      <w:tr w:rsidR="002F0133" w:rsidRPr="000B4E2C" w14:paraId="036F83B5" w14:textId="77777777" w:rsidTr="000B4E2C">
        <w:trPr>
          <w:cantSplit/>
        </w:trPr>
        <w:tc>
          <w:tcPr>
            <w:tcW w:w="0" w:type="auto"/>
            <w:shd w:val="clear" w:color="auto" w:fill="auto"/>
            <w:noWrap/>
            <w:vAlign w:val="center"/>
          </w:tcPr>
          <w:p w14:paraId="5367B88D" w14:textId="2F820216" w:rsidR="002F0133" w:rsidRPr="000B4E2C" w:rsidRDefault="002F0133" w:rsidP="008A7464">
            <w:pPr>
              <w:rPr>
                <w:lang w:eastAsia="en-GB"/>
              </w:rPr>
            </w:pPr>
            <w:r w:rsidRPr="000B4E2C">
              <w:rPr>
                <w:lang w:eastAsia="en-GB"/>
              </w:rPr>
              <w:t>Tecson 2017</w:t>
            </w:r>
            <w:r w:rsidR="005B5026" w:rsidRPr="000B4E2C">
              <w:rPr>
                <w:noProof/>
                <w:vertAlign w:val="superscript"/>
                <w:lang w:eastAsia="en-GB"/>
              </w:rPr>
              <w:t>80</w:t>
            </w:r>
          </w:p>
        </w:tc>
        <w:tc>
          <w:tcPr>
            <w:tcW w:w="0" w:type="auto"/>
            <w:shd w:val="clear" w:color="auto" w:fill="auto"/>
            <w:vAlign w:val="center"/>
          </w:tcPr>
          <w:p w14:paraId="4D1FD96E" w14:textId="39E4C0A4" w:rsidR="002F0133" w:rsidRPr="000B4E2C" w:rsidRDefault="002F0133" w:rsidP="008A7464">
            <w:pPr>
              <w:jc w:val="center"/>
            </w:pPr>
            <w:r w:rsidRPr="000B4E2C">
              <w:t>Critical care</w:t>
            </w:r>
            <w:r w:rsidR="000B4E2C" w:rsidRPr="000B4E2C">
              <w:rPr>
                <w:color w:val="00B0F0"/>
              </w:rPr>
              <w:t xml:space="preserve"> – </w:t>
            </w:r>
            <w:r w:rsidRPr="000B4E2C">
              <w:t>mixed population (ICU/ITU)</w:t>
            </w:r>
          </w:p>
        </w:tc>
        <w:tc>
          <w:tcPr>
            <w:tcW w:w="0" w:type="auto"/>
            <w:shd w:val="clear" w:color="auto" w:fill="auto"/>
            <w:noWrap/>
            <w:vAlign w:val="center"/>
          </w:tcPr>
          <w:p w14:paraId="59E5337E" w14:textId="7E5D6D9E" w:rsidR="002F0133" w:rsidRPr="000B4E2C" w:rsidRDefault="002F0133" w:rsidP="008A7464">
            <w:pPr>
              <w:jc w:val="center"/>
              <w:rPr>
                <w:color w:val="000000"/>
                <w:lang w:eastAsia="en-GB"/>
              </w:rPr>
            </w:pPr>
            <w:r w:rsidRPr="000B4E2C">
              <w:rPr>
                <w:lang w:eastAsia="en-GB"/>
              </w:rPr>
              <w:t xml:space="preserve">uNGAL, </w:t>
            </w:r>
            <w:r w:rsidR="009D7F5A" w:rsidRPr="000B4E2C">
              <w:rPr>
                <w:lang w:eastAsia="en-GB"/>
              </w:rPr>
              <w:t>BioPorto</w:t>
            </w:r>
          </w:p>
        </w:tc>
        <w:tc>
          <w:tcPr>
            <w:tcW w:w="0" w:type="auto"/>
            <w:shd w:val="clear" w:color="auto" w:fill="auto"/>
            <w:noWrap/>
            <w:vAlign w:val="center"/>
          </w:tcPr>
          <w:p w14:paraId="48F53D24" w14:textId="77777777" w:rsidR="002F0133" w:rsidRPr="000B4E2C" w:rsidRDefault="002F0133" w:rsidP="008A7464">
            <w:pPr>
              <w:jc w:val="center"/>
              <w:rPr>
                <w:color w:val="000000"/>
                <w:lang w:eastAsia="en-GB"/>
              </w:rPr>
            </w:pPr>
            <w:r w:rsidRPr="000B4E2C">
              <w:rPr>
                <w:lang w:eastAsia="en-GB"/>
              </w:rPr>
              <w:t>Within 48 hours of ICU admission</w:t>
            </w:r>
          </w:p>
        </w:tc>
        <w:tc>
          <w:tcPr>
            <w:tcW w:w="0" w:type="auto"/>
            <w:shd w:val="clear" w:color="auto" w:fill="auto"/>
            <w:noWrap/>
            <w:vAlign w:val="center"/>
          </w:tcPr>
          <w:p w14:paraId="03377C27" w14:textId="77777777" w:rsidR="002F0133" w:rsidRPr="000B4E2C" w:rsidRDefault="002F0133" w:rsidP="008A7464">
            <w:pPr>
              <w:jc w:val="center"/>
              <w:rPr>
                <w:color w:val="000000"/>
                <w:lang w:eastAsia="en-GB"/>
              </w:rPr>
            </w:pPr>
            <w:r w:rsidRPr="000B4E2C">
              <w:rPr>
                <w:lang w:eastAsia="en-GB"/>
              </w:rPr>
              <w:t>98 ng/mL</w:t>
            </w:r>
          </w:p>
        </w:tc>
        <w:tc>
          <w:tcPr>
            <w:tcW w:w="0" w:type="auto"/>
            <w:shd w:val="clear" w:color="auto" w:fill="auto"/>
            <w:noWrap/>
            <w:vAlign w:val="center"/>
          </w:tcPr>
          <w:p w14:paraId="02A29121" w14:textId="77777777" w:rsidR="002F0133" w:rsidRPr="000B4E2C" w:rsidRDefault="002F0133" w:rsidP="008A7464">
            <w:pPr>
              <w:jc w:val="center"/>
              <w:rPr>
                <w:lang w:eastAsia="en-GB"/>
              </w:rPr>
            </w:pPr>
            <w:r w:rsidRPr="000B4E2C">
              <w:rPr>
                <w:lang w:eastAsia="en-GB"/>
              </w:rPr>
              <w:t>0.64</w:t>
            </w:r>
          </w:p>
          <w:p w14:paraId="31A651DE" w14:textId="77777777" w:rsidR="002F0133" w:rsidRPr="000B4E2C" w:rsidRDefault="002F0133" w:rsidP="008A7464">
            <w:pPr>
              <w:jc w:val="center"/>
              <w:rPr>
                <w:color w:val="000000"/>
                <w:lang w:eastAsia="en-GB"/>
              </w:rPr>
            </w:pPr>
            <w:r w:rsidRPr="000B4E2C">
              <w:rPr>
                <w:lang w:eastAsia="en-GB"/>
              </w:rPr>
              <w:t>(0.45, 0.80)</w:t>
            </w:r>
          </w:p>
        </w:tc>
        <w:tc>
          <w:tcPr>
            <w:tcW w:w="0" w:type="auto"/>
            <w:shd w:val="clear" w:color="auto" w:fill="auto"/>
            <w:noWrap/>
            <w:vAlign w:val="center"/>
          </w:tcPr>
          <w:p w14:paraId="2C1E4AC6" w14:textId="77777777" w:rsidR="000B4E2C" w:rsidRPr="000B4E2C" w:rsidRDefault="002F0133" w:rsidP="008A7464">
            <w:pPr>
              <w:jc w:val="center"/>
              <w:rPr>
                <w:lang w:eastAsia="en-GB"/>
              </w:rPr>
            </w:pPr>
            <w:r w:rsidRPr="000B4E2C">
              <w:rPr>
                <w:lang w:eastAsia="en-GB"/>
              </w:rPr>
              <w:t>0.81</w:t>
            </w:r>
          </w:p>
          <w:p w14:paraId="0755227A" w14:textId="47ABFD39" w:rsidR="002F0133" w:rsidRPr="000B4E2C" w:rsidRDefault="002F0133" w:rsidP="008A7464">
            <w:pPr>
              <w:jc w:val="center"/>
              <w:rPr>
                <w:color w:val="000000"/>
                <w:lang w:eastAsia="en-GB"/>
              </w:rPr>
            </w:pPr>
            <w:r w:rsidRPr="000B4E2C">
              <w:rPr>
                <w:lang w:eastAsia="en-GB"/>
              </w:rPr>
              <w:t>(0.75, 0.86)</w:t>
            </w:r>
          </w:p>
        </w:tc>
        <w:tc>
          <w:tcPr>
            <w:tcW w:w="0" w:type="auto"/>
            <w:shd w:val="clear" w:color="auto" w:fill="auto"/>
            <w:noWrap/>
            <w:vAlign w:val="center"/>
          </w:tcPr>
          <w:p w14:paraId="68185A24" w14:textId="77777777" w:rsidR="002F0133" w:rsidRPr="000B4E2C" w:rsidRDefault="002F0133" w:rsidP="008A7464">
            <w:pPr>
              <w:jc w:val="center"/>
              <w:rPr>
                <w:color w:val="000000"/>
                <w:lang w:eastAsia="en-GB"/>
              </w:rPr>
            </w:pPr>
            <w:r w:rsidRPr="000B4E2C">
              <w:rPr>
                <w:lang w:eastAsia="en-GB"/>
              </w:rPr>
              <w:t>-</w:t>
            </w:r>
          </w:p>
        </w:tc>
        <w:tc>
          <w:tcPr>
            <w:tcW w:w="0" w:type="auto"/>
            <w:shd w:val="clear" w:color="auto" w:fill="auto"/>
            <w:vAlign w:val="center"/>
          </w:tcPr>
          <w:p w14:paraId="0946FD49" w14:textId="77777777" w:rsidR="002F0133" w:rsidRPr="000B4E2C" w:rsidRDefault="002F0133" w:rsidP="008A7464">
            <w:pPr>
              <w:jc w:val="center"/>
              <w:rPr>
                <w:lang w:eastAsia="en-GB"/>
              </w:rPr>
            </w:pPr>
            <w:r w:rsidRPr="000B4E2C">
              <w:rPr>
                <w:lang w:eastAsia="en-GB"/>
              </w:rPr>
              <w:t>0.13</w:t>
            </w:r>
          </w:p>
        </w:tc>
      </w:tr>
    </w:tbl>
    <w:p w14:paraId="0EDD14E1" w14:textId="00B458E8" w:rsidR="000B4E2C" w:rsidRPr="000B4E2C" w:rsidRDefault="000B4E2C" w:rsidP="008A7464">
      <w:pPr>
        <w:rPr>
          <w:szCs w:val="24"/>
        </w:rPr>
      </w:pPr>
      <w:r w:rsidRPr="000B4E2C">
        <w:rPr>
          <w:b/>
          <w:szCs w:val="24"/>
        </w:rPr>
        <w:t xml:space="preserve"> </w:t>
      </w:r>
      <w:r w:rsidRPr="000B4E2C">
        <w:rPr>
          <w:i/>
          <w:color w:val="FF0000"/>
          <w:szCs w:val="24"/>
        </w:rPr>
        <w:t>F</w:t>
      </w:r>
      <w:r w:rsidRPr="000B4E2C">
        <w:rPr>
          <w:i/>
          <w:color w:val="FF0000"/>
          <w:szCs w:val="24"/>
        </w:rPr>
        <w:t>igure</w:t>
      </w:r>
      <w:r w:rsidRPr="000B4E2C">
        <w:rPr>
          <w:i/>
          <w:color w:val="FF0000"/>
          <w:szCs w:val="24"/>
        </w:rPr>
        <w:t xml:space="preserve"> </w:t>
      </w:r>
      <w:r w:rsidRPr="000B4E2C">
        <w:rPr>
          <w:i/>
          <w:color w:val="FF0000"/>
          <w:szCs w:val="24"/>
        </w:rPr>
        <w:t>9</w:t>
      </w:r>
      <w:r w:rsidR="002F0133" w:rsidRPr="000B4E2C">
        <w:rPr>
          <w:szCs w:val="24"/>
        </w:rPr>
        <w:t xml:space="preserve"> shows the forest plots of sensitivity and specificity estimates for the eight studies (1971 patients in total) assessing </w:t>
      </w:r>
      <w:r w:rsidR="00FE232C" w:rsidRPr="000B4E2C">
        <w:rPr>
          <w:szCs w:val="24"/>
        </w:rPr>
        <w:t xml:space="preserve">BioPorto </w:t>
      </w:r>
      <w:r w:rsidR="002F0133" w:rsidRPr="000B4E2C">
        <w:rPr>
          <w:szCs w:val="24"/>
        </w:rPr>
        <w:t>u</w:t>
      </w:r>
      <w:r w:rsidR="00FE232C" w:rsidRPr="000B4E2C">
        <w:rPr>
          <w:szCs w:val="24"/>
        </w:rPr>
        <w:t xml:space="preserve">rine </w:t>
      </w:r>
      <w:r w:rsidR="002F0133" w:rsidRPr="000B4E2C">
        <w:rPr>
          <w:szCs w:val="24"/>
        </w:rPr>
        <w:t xml:space="preserve">NGAL </w:t>
      </w:r>
      <w:r w:rsidR="00FE232C" w:rsidRPr="000B4E2C">
        <w:rPr>
          <w:szCs w:val="24"/>
        </w:rPr>
        <w:t xml:space="preserve">assay </w:t>
      </w:r>
      <w:r w:rsidR="002F0133" w:rsidRPr="000B4E2C">
        <w:rPr>
          <w:szCs w:val="24"/>
        </w:rPr>
        <w:t xml:space="preserve">for detection of AKI in adults across all clinical settings. Sensitivity values ranged from 0.58 to 0.90 and specificity values from 0.48 to 1.00. Summary estimates for sensitivity and specificity were 0.73 (95% CI 0.65 to 0.80) and 0.83 (95% CI 0.64 to 0.93), respectively. The HSROC together with the 95% confidence region for the summary operating point and the 95% prediction region is shown in </w:t>
      </w:r>
      <w:r w:rsidRPr="000B4E2C">
        <w:rPr>
          <w:i/>
          <w:color w:val="FF0000"/>
          <w:szCs w:val="24"/>
        </w:rPr>
        <w:t>F</w:t>
      </w:r>
      <w:r w:rsidRPr="000B4E2C">
        <w:rPr>
          <w:i/>
          <w:color w:val="FF0000"/>
          <w:szCs w:val="24"/>
        </w:rPr>
        <w:t>igure</w:t>
      </w:r>
      <w:r w:rsidRPr="000B4E2C">
        <w:rPr>
          <w:i/>
          <w:color w:val="FF0000"/>
          <w:szCs w:val="24"/>
        </w:rPr>
        <w:t xml:space="preserve"> </w:t>
      </w:r>
      <w:r w:rsidRPr="000B4E2C">
        <w:rPr>
          <w:i/>
          <w:color w:val="FF0000"/>
          <w:szCs w:val="24"/>
        </w:rPr>
        <w:t>10</w:t>
      </w:r>
      <w:r w:rsidR="002F0133" w:rsidRPr="000B4E2C">
        <w:rPr>
          <w:szCs w:val="24"/>
        </w:rPr>
        <w:t>. The confidence and prediction regions are large indicating considerable heterogeneity between studies.</w:t>
      </w:r>
    </w:p>
    <w:p w14:paraId="2F0CD891" w14:textId="1B5074B8" w:rsidR="000B4E2C" w:rsidRPr="000B4E2C" w:rsidRDefault="000B4E2C" w:rsidP="008A7464">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9</w:t>
      </w:r>
      <w:r w:rsidRPr="000B4E2C">
        <w:t xml:space="preserve"> </w:t>
      </w:r>
      <w:r w:rsidR="002F0133" w:rsidRPr="000B4E2C">
        <w:t>Forest plots of sensitivity and specificity for urine NGAL (</w:t>
      </w:r>
      <w:r w:rsidR="009D7F5A" w:rsidRPr="000B4E2C">
        <w:t>BioPorto</w:t>
      </w:r>
      <w:r w:rsidR="002F0133" w:rsidRPr="000B4E2C">
        <w:t>) for detection of AKI in adults across all clinical settings</w:t>
      </w:r>
    </w:p>
    <w:p w14:paraId="2AF70F7E" w14:textId="00DC9483" w:rsidR="000B4E2C" w:rsidRPr="000B4E2C" w:rsidRDefault="000B4E2C" w:rsidP="008A7464">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10</w:t>
      </w:r>
      <w:r w:rsidRPr="000B4E2C">
        <w:t xml:space="preserve"> </w:t>
      </w:r>
      <w:r w:rsidR="002F0133" w:rsidRPr="000B4E2C">
        <w:t>HSROC for urine NGAL (</w:t>
      </w:r>
      <w:r w:rsidR="009D7F5A" w:rsidRPr="000B4E2C">
        <w:t>BioPorto</w:t>
      </w:r>
      <w:r w:rsidR="002F0133" w:rsidRPr="000B4E2C">
        <w:t>) studies for detection of AKI in adults- all clinical settings</w:t>
      </w:r>
    </w:p>
    <w:p w14:paraId="0E2B68E5" w14:textId="1ADCFD88" w:rsidR="002F0133" w:rsidRPr="000B4E2C" w:rsidRDefault="002F0133" w:rsidP="008A7464">
      <w:pPr>
        <w:rPr>
          <w:b/>
          <w:i/>
        </w:rPr>
      </w:pPr>
      <w:r w:rsidRPr="000B4E2C">
        <w:rPr>
          <w:b/>
          <w:i/>
        </w:rPr>
        <w:t xml:space="preserve">Urine NGAL assays (Abbott and </w:t>
      </w:r>
      <w:r w:rsidR="009D7F5A" w:rsidRPr="000B4E2C">
        <w:rPr>
          <w:b/>
          <w:i/>
        </w:rPr>
        <w:t>BioPorto</w:t>
      </w:r>
      <w:r w:rsidRPr="000B4E2C">
        <w:rPr>
          <w:b/>
          <w:i/>
        </w:rPr>
        <w:t>) critical care</w:t>
      </w:r>
    </w:p>
    <w:p w14:paraId="7B72F19F" w14:textId="0120A9FD" w:rsidR="000B4E2C" w:rsidRPr="000B4E2C" w:rsidRDefault="00242F94" w:rsidP="008A7464">
      <w:pPr>
        <w:rPr>
          <w:szCs w:val="24"/>
        </w:rPr>
      </w:pPr>
      <w:r w:rsidRPr="000B4E2C">
        <w:rPr>
          <w:szCs w:val="24"/>
        </w:rPr>
        <w:t xml:space="preserve">Ten studies (3441 patients in total) assessed urine </w:t>
      </w:r>
      <w:r w:rsidR="002F0133" w:rsidRPr="000B4E2C">
        <w:rPr>
          <w:szCs w:val="24"/>
        </w:rPr>
        <w:t xml:space="preserve">NGAL </w:t>
      </w:r>
      <w:r w:rsidRPr="000B4E2C">
        <w:rPr>
          <w:szCs w:val="24"/>
        </w:rPr>
        <w:t xml:space="preserve">assays </w:t>
      </w:r>
      <w:r w:rsidR="002F0133" w:rsidRPr="000B4E2C">
        <w:rPr>
          <w:szCs w:val="24"/>
        </w:rPr>
        <w:t>(</w:t>
      </w:r>
      <w:r w:rsidR="00B37AE9" w:rsidRPr="000B4E2C">
        <w:rPr>
          <w:szCs w:val="24"/>
        </w:rPr>
        <w:t>both</w:t>
      </w:r>
      <w:r w:rsidRPr="000B4E2C">
        <w:rPr>
          <w:szCs w:val="24"/>
        </w:rPr>
        <w:t xml:space="preserve"> ARCHITECT </w:t>
      </w:r>
      <w:r w:rsidR="002F0133" w:rsidRPr="000B4E2C">
        <w:rPr>
          <w:szCs w:val="24"/>
        </w:rPr>
        <w:t xml:space="preserve">Abbott and </w:t>
      </w:r>
      <w:r w:rsidR="009D7F5A" w:rsidRPr="000B4E2C">
        <w:rPr>
          <w:szCs w:val="24"/>
        </w:rPr>
        <w:t>BioPorto</w:t>
      </w:r>
      <w:r w:rsidR="002F0133" w:rsidRPr="000B4E2C">
        <w:rPr>
          <w:szCs w:val="24"/>
        </w:rPr>
        <w:t xml:space="preserve">) </w:t>
      </w:r>
      <w:r w:rsidRPr="000B4E2C">
        <w:rPr>
          <w:szCs w:val="24"/>
        </w:rPr>
        <w:t>for detection of AKI in</w:t>
      </w:r>
      <w:r w:rsidR="002F0133" w:rsidRPr="000B4E2C">
        <w:rPr>
          <w:szCs w:val="24"/>
        </w:rPr>
        <w:t xml:space="preserve"> patients admitted to critical care. Sensitivity values ranged from 0.58 to 0.90 and specificity values from 0.58 to 1.00. Summary estimates for sensitivity and specificity were 0.71 (95% CI 0.64 to 0.77) and 0.82 (95% CI 0.67 to 0.90), respectively. </w:t>
      </w:r>
      <w:r w:rsidR="000830D9" w:rsidRPr="000B4E2C">
        <w:rPr>
          <w:szCs w:val="24"/>
        </w:rPr>
        <w:t xml:space="preserve">The forest plot of sensitivity and specificity estimates and the </w:t>
      </w:r>
      <w:r w:rsidR="002F0133" w:rsidRPr="000B4E2C">
        <w:rPr>
          <w:szCs w:val="24"/>
        </w:rPr>
        <w:t>HSROC with 95% confidence region for the summary operating point and 95% prediction region</w:t>
      </w:r>
      <w:r w:rsidR="00C44F99" w:rsidRPr="000B4E2C">
        <w:rPr>
          <w:szCs w:val="24"/>
        </w:rPr>
        <w:t xml:space="preserve"> are </w:t>
      </w:r>
      <w:r w:rsidRPr="000B4E2C">
        <w:rPr>
          <w:szCs w:val="24"/>
        </w:rPr>
        <w:t>shown</w:t>
      </w:r>
      <w:r w:rsidR="00C44F99" w:rsidRPr="000B4E2C">
        <w:rPr>
          <w:szCs w:val="24"/>
        </w:rPr>
        <w:t xml:space="preserve"> in Appendix 11</w:t>
      </w:r>
      <w:r w:rsidR="000830D9" w:rsidRPr="000B4E2C">
        <w:rPr>
          <w:szCs w:val="24"/>
        </w:rPr>
        <w:t xml:space="preserve"> (</w:t>
      </w:r>
      <w:r w:rsidR="000B4E2C" w:rsidRPr="000B4E2C">
        <w:rPr>
          <w:i/>
          <w:color w:val="FF0000"/>
          <w:szCs w:val="24"/>
        </w:rPr>
        <w:t>F</w:t>
      </w:r>
      <w:r w:rsidR="000B4E2C" w:rsidRPr="000B4E2C">
        <w:rPr>
          <w:i/>
          <w:color w:val="FF0000"/>
          <w:szCs w:val="24"/>
        </w:rPr>
        <w:t>igures</w:t>
      </w:r>
      <w:r w:rsidR="000B4E2C" w:rsidRPr="000B4E2C">
        <w:rPr>
          <w:i/>
          <w:color w:val="FF0000"/>
          <w:szCs w:val="24"/>
        </w:rPr>
        <w:t xml:space="preserve"> </w:t>
      </w:r>
      <w:r w:rsidR="000B4E2C" w:rsidRPr="000B4E2C">
        <w:rPr>
          <w:i/>
          <w:color w:val="FF0000"/>
          <w:szCs w:val="24"/>
        </w:rPr>
        <w:t>32</w:t>
      </w:r>
      <w:r w:rsidR="007E39C0" w:rsidRPr="000B4E2C">
        <w:rPr>
          <w:szCs w:val="24"/>
        </w:rPr>
        <w:t xml:space="preserve"> and 33</w:t>
      </w:r>
      <w:r w:rsidR="000830D9" w:rsidRPr="000B4E2C">
        <w:rPr>
          <w:szCs w:val="24"/>
        </w:rPr>
        <w:t>)</w:t>
      </w:r>
      <w:r w:rsidR="002F0133" w:rsidRPr="000B4E2C">
        <w:rPr>
          <w:szCs w:val="24"/>
        </w:rPr>
        <w:t xml:space="preserve">. The </w:t>
      </w:r>
      <w:r w:rsidR="000830D9" w:rsidRPr="000B4E2C">
        <w:rPr>
          <w:szCs w:val="24"/>
        </w:rPr>
        <w:t xml:space="preserve">HSROC </w:t>
      </w:r>
      <w:r w:rsidR="002F0133" w:rsidRPr="000B4E2C">
        <w:rPr>
          <w:szCs w:val="24"/>
        </w:rPr>
        <w:t>prediction region is large, especially for specificity, indicating heterogeneity across studies.</w:t>
      </w:r>
    </w:p>
    <w:p w14:paraId="65ED52F9" w14:textId="631A1A61" w:rsidR="002F0133" w:rsidRPr="000B4E2C" w:rsidRDefault="002F0133" w:rsidP="008A7464">
      <w:pPr>
        <w:rPr>
          <w:b/>
          <w:i/>
        </w:rPr>
      </w:pPr>
      <w:r w:rsidRPr="000B4E2C">
        <w:rPr>
          <w:b/>
          <w:i/>
        </w:rPr>
        <w:t xml:space="preserve">Urine NGAL assays (Abbott and </w:t>
      </w:r>
      <w:r w:rsidR="009D7F5A" w:rsidRPr="000B4E2C">
        <w:rPr>
          <w:b/>
          <w:i/>
        </w:rPr>
        <w:t>BioPorto</w:t>
      </w:r>
      <w:r w:rsidRPr="000B4E2C">
        <w:rPr>
          <w:b/>
          <w:i/>
        </w:rPr>
        <w:t>) across all settings</w:t>
      </w:r>
    </w:p>
    <w:p w14:paraId="07053600" w14:textId="76B8D923" w:rsidR="000B4E2C" w:rsidRPr="000B4E2C" w:rsidRDefault="000B4E2C" w:rsidP="008A7464">
      <w:pPr>
        <w:rPr>
          <w:szCs w:val="24"/>
        </w:rPr>
      </w:pPr>
      <w:r w:rsidRPr="000B4E2C">
        <w:rPr>
          <w:i/>
          <w:color w:val="FF0000"/>
          <w:szCs w:val="24"/>
        </w:rPr>
        <w:t>F</w:t>
      </w:r>
      <w:r w:rsidRPr="000B4E2C">
        <w:rPr>
          <w:i/>
          <w:color w:val="FF0000"/>
          <w:szCs w:val="24"/>
        </w:rPr>
        <w:t>igure</w:t>
      </w:r>
      <w:r w:rsidRPr="000B4E2C">
        <w:rPr>
          <w:i/>
          <w:color w:val="FF0000"/>
          <w:szCs w:val="24"/>
        </w:rPr>
        <w:t xml:space="preserve"> </w:t>
      </w:r>
      <w:r w:rsidRPr="000B4E2C">
        <w:rPr>
          <w:i/>
          <w:color w:val="FF0000"/>
          <w:szCs w:val="24"/>
        </w:rPr>
        <w:t>11</w:t>
      </w:r>
      <w:r w:rsidR="002F0133" w:rsidRPr="000B4E2C">
        <w:rPr>
          <w:szCs w:val="24"/>
        </w:rPr>
        <w:t xml:space="preserve"> shows the forest plots of sensitivity and specificity estimates for all 14 </w:t>
      </w:r>
      <w:r w:rsidR="000830D9" w:rsidRPr="000B4E2C">
        <w:rPr>
          <w:szCs w:val="24"/>
        </w:rPr>
        <w:t xml:space="preserve">studies assessing the </w:t>
      </w:r>
      <w:r w:rsidR="002F0133" w:rsidRPr="000B4E2C">
        <w:rPr>
          <w:szCs w:val="24"/>
        </w:rPr>
        <w:t>u</w:t>
      </w:r>
      <w:r w:rsidR="000830D9" w:rsidRPr="000B4E2C">
        <w:rPr>
          <w:szCs w:val="24"/>
        </w:rPr>
        <w:t xml:space="preserve">rine </w:t>
      </w:r>
      <w:r w:rsidR="002F0133" w:rsidRPr="000B4E2C">
        <w:rPr>
          <w:szCs w:val="24"/>
        </w:rPr>
        <w:t xml:space="preserve">NGAL </w:t>
      </w:r>
      <w:r w:rsidR="000830D9" w:rsidRPr="000B4E2C">
        <w:rPr>
          <w:szCs w:val="24"/>
        </w:rPr>
        <w:t xml:space="preserve">assays </w:t>
      </w:r>
      <w:r w:rsidR="002F0133" w:rsidRPr="000B4E2C">
        <w:rPr>
          <w:szCs w:val="24"/>
        </w:rPr>
        <w:t>(</w:t>
      </w:r>
      <w:r w:rsidR="000B78CA" w:rsidRPr="000B4E2C">
        <w:rPr>
          <w:szCs w:val="24"/>
        </w:rPr>
        <w:t>both ARCHITECT A</w:t>
      </w:r>
      <w:r w:rsidR="000830D9" w:rsidRPr="000B4E2C">
        <w:rPr>
          <w:szCs w:val="24"/>
        </w:rPr>
        <w:t xml:space="preserve">bbott and </w:t>
      </w:r>
      <w:r w:rsidR="009D7F5A" w:rsidRPr="000B4E2C">
        <w:rPr>
          <w:szCs w:val="24"/>
        </w:rPr>
        <w:t>BioPorto</w:t>
      </w:r>
      <w:r w:rsidR="002F0133" w:rsidRPr="000B4E2C">
        <w:rPr>
          <w:szCs w:val="24"/>
        </w:rPr>
        <w:t>) across all clinical settings</w:t>
      </w:r>
      <w:r w:rsidR="000B78CA" w:rsidRPr="000B4E2C">
        <w:rPr>
          <w:szCs w:val="24"/>
        </w:rPr>
        <w:t>(5319 patients in total)</w:t>
      </w:r>
      <w:r w:rsidR="002F0133" w:rsidRPr="000B4E2C">
        <w:rPr>
          <w:szCs w:val="24"/>
        </w:rPr>
        <w:t xml:space="preserve">. Sensitivity values ranged from 0.46 to 0.90 and specificity values from 0.48 to 1.00. Summary estimates for sensitivity and specificity were 0.71 (95% CI 0.64 to 0.76) and 0.78 (95% CI 0.67 to 0.87), respectively. </w:t>
      </w:r>
      <w:r w:rsidRPr="000B4E2C">
        <w:rPr>
          <w:i/>
          <w:color w:val="FF0000"/>
          <w:szCs w:val="24"/>
        </w:rPr>
        <w:t>F</w:t>
      </w:r>
      <w:r w:rsidRPr="000B4E2C">
        <w:rPr>
          <w:i/>
          <w:color w:val="FF0000"/>
          <w:szCs w:val="24"/>
        </w:rPr>
        <w:t>igure</w:t>
      </w:r>
      <w:r w:rsidRPr="000B4E2C">
        <w:rPr>
          <w:i/>
          <w:color w:val="FF0000"/>
          <w:szCs w:val="24"/>
        </w:rPr>
        <w:t xml:space="preserve"> </w:t>
      </w:r>
      <w:r w:rsidRPr="000B4E2C">
        <w:rPr>
          <w:i/>
          <w:color w:val="FF0000"/>
          <w:szCs w:val="24"/>
        </w:rPr>
        <w:t>12</w:t>
      </w:r>
      <w:r w:rsidR="002F0133" w:rsidRPr="000B4E2C">
        <w:rPr>
          <w:szCs w:val="24"/>
        </w:rPr>
        <w:t xml:space="preserve"> shows the HSROC with 95% confidence region for the summary operating point and 95% prediction region. The prediction region is large indicating heterogeneity across studies.</w:t>
      </w:r>
    </w:p>
    <w:p w14:paraId="74F64180" w14:textId="07A75A02" w:rsidR="000B4E2C" w:rsidRPr="000B4E2C" w:rsidRDefault="000B4E2C" w:rsidP="007D5F15">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11</w:t>
      </w:r>
      <w:r w:rsidRPr="000B4E2C">
        <w:t xml:space="preserve"> </w:t>
      </w:r>
      <w:r w:rsidR="00831096" w:rsidRPr="000B4E2C">
        <w:t>Forest plots of sensitivity and specificity for all urine NGAL assays (both Abbott and BioPorto) for detection of AKI in adults across all clinical settings</w:t>
      </w:r>
    </w:p>
    <w:p w14:paraId="5F13C95C" w14:textId="46135CD2" w:rsidR="000B4E2C" w:rsidRPr="000B4E2C" w:rsidRDefault="000B4E2C" w:rsidP="008A7464">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12</w:t>
      </w:r>
      <w:r w:rsidRPr="000B4E2C">
        <w:t xml:space="preserve"> </w:t>
      </w:r>
      <w:r w:rsidR="002F0133" w:rsidRPr="000B4E2C">
        <w:t>HSROC for all urine NGAL assays (</w:t>
      </w:r>
      <w:r w:rsidR="000B78CA" w:rsidRPr="000B4E2C">
        <w:t xml:space="preserve">both </w:t>
      </w:r>
      <w:r w:rsidR="002F0133" w:rsidRPr="000B4E2C">
        <w:t xml:space="preserve">Abbott and </w:t>
      </w:r>
      <w:r w:rsidR="009D7F5A" w:rsidRPr="000B4E2C">
        <w:t>BioPorto</w:t>
      </w:r>
      <w:r w:rsidR="002F0133" w:rsidRPr="000B4E2C">
        <w:t>) for detection of AKI in adults- all clinical settings</w:t>
      </w:r>
    </w:p>
    <w:p w14:paraId="445C8E20" w14:textId="263BCC27" w:rsidR="000B4E2C" w:rsidRPr="000B4E2C" w:rsidRDefault="00C5368E" w:rsidP="008A7464">
      <w:pPr>
        <w:pStyle w:val="Heading3"/>
      </w:pPr>
      <w:r w:rsidRPr="000B4E2C">
        <w:t>BioPorto p</w:t>
      </w:r>
      <w:r w:rsidR="002F0133" w:rsidRPr="000B4E2C">
        <w:t>lasma NGAL assay – adult population</w:t>
      </w:r>
    </w:p>
    <w:p w14:paraId="23E9213A" w14:textId="77777777" w:rsidR="000B4E2C" w:rsidRPr="000B4E2C" w:rsidRDefault="002F0133" w:rsidP="00F4123A">
      <w:r w:rsidRPr="000B4E2C">
        <w:t xml:space="preserve">No suitable </w:t>
      </w:r>
      <w:r w:rsidRPr="000B4E2C">
        <w:rPr>
          <w:highlight w:val="magenta"/>
        </w:rPr>
        <w:t>data</w:t>
      </w:r>
      <w:r w:rsidRPr="000B4E2C">
        <w:t xml:space="preserve"> in any post-surgical setting (cardiac surgery or major non-cardiac surgery) were available from the included studies.</w:t>
      </w:r>
    </w:p>
    <w:p w14:paraId="0098AC27" w14:textId="1ACE4419" w:rsidR="000B4E2C" w:rsidRPr="000B4E2C" w:rsidRDefault="002F0133" w:rsidP="008A7464">
      <w:pPr>
        <w:pStyle w:val="Heading4"/>
      </w:pPr>
      <w:r w:rsidRPr="000B4E2C">
        <w:t>Critical care</w:t>
      </w:r>
      <w:r w:rsidR="000B4E2C" w:rsidRPr="000B4E2C">
        <w:rPr>
          <w:color w:val="00B0F0"/>
        </w:rPr>
        <w:t xml:space="preserve"> – </w:t>
      </w:r>
      <w:r w:rsidRPr="000B4E2C">
        <w:t>mixed population</w:t>
      </w:r>
    </w:p>
    <w:p w14:paraId="011EA8AA" w14:textId="4A6019E8" w:rsidR="002F0133" w:rsidRPr="000B4E2C" w:rsidRDefault="002F0133" w:rsidP="008A7464">
      <w:pPr>
        <w:pStyle w:val="Heading2"/>
      </w:pPr>
      <w:r w:rsidRPr="000B4E2C">
        <w:rPr>
          <w:szCs w:val="24"/>
        </w:rPr>
        <w:t>Four studies</w:t>
      </w:r>
      <w:r w:rsidRPr="000B4E2C">
        <w:rPr>
          <w:i/>
          <w:szCs w:val="24"/>
        </w:rPr>
        <w:t xml:space="preserve"> </w:t>
      </w:r>
      <w:r w:rsidRPr="000B4E2C">
        <w:rPr>
          <w:szCs w:val="24"/>
        </w:rPr>
        <w:t>(771 patients in total)</w:t>
      </w:r>
      <w:r w:rsidRPr="000B4E2C">
        <w:rPr>
          <w:i/>
          <w:szCs w:val="24"/>
        </w:rPr>
        <w:t xml:space="preserve"> </w:t>
      </w:r>
      <w:r w:rsidRPr="000B4E2C">
        <w:rPr>
          <w:szCs w:val="24"/>
        </w:rPr>
        <w:t xml:space="preserve">assessed the use of </w:t>
      </w:r>
      <w:r w:rsidR="00C5368E" w:rsidRPr="000B4E2C">
        <w:rPr>
          <w:szCs w:val="24"/>
        </w:rPr>
        <w:t xml:space="preserve">BioPorto </w:t>
      </w:r>
      <w:r w:rsidRPr="000B4E2C">
        <w:rPr>
          <w:szCs w:val="24"/>
        </w:rPr>
        <w:t>plasma NGAL</w:t>
      </w:r>
      <w:r w:rsidR="00C5368E" w:rsidRPr="000B4E2C">
        <w:rPr>
          <w:szCs w:val="24"/>
        </w:rPr>
        <w:t xml:space="preserve"> assay </w:t>
      </w:r>
      <w:r w:rsidRPr="000B4E2C">
        <w:rPr>
          <w:szCs w:val="24"/>
        </w:rPr>
        <w:t>for detection of AKI in patients admitted to ICU or critical care for various clinical reasons</w:t>
      </w:r>
      <w:r w:rsidR="00C5368E" w:rsidRPr="000B4E2C">
        <w:rPr>
          <w:szCs w:val="24"/>
        </w:rPr>
        <w:t xml:space="preserve"> (see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8</w:t>
      </w:r>
      <w:r w:rsidR="00C5368E" w:rsidRPr="000B4E2C">
        <w:rPr>
          <w:szCs w:val="24"/>
        </w:rPr>
        <w:t>).</w:t>
      </w:r>
      <w:r w:rsidRPr="000B4E2C">
        <w:rPr>
          <w:szCs w:val="24"/>
        </w:rPr>
        <w:t xml:space="preserve"> Cut off varied across </w:t>
      </w:r>
      <w:r w:rsidRPr="000B4E2C">
        <w:rPr>
          <w:szCs w:val="24"/>
        </w:rPr>
        <w:lastRenderedPageBreak/>
        <w:t xml:space="preserve">studies Prevalence of AKI ranged from 13% to 38% across studies. </w:t>
      </w:r>
      <w:r w:rsidR="000B4E2C" w:rsidRPr="000B4E2C">
        <w:rPr>
          <w:i/>
          <w:color w:val="FF0000"/>
          <w:szCs w:val="24"/>
        </w:rPr>
        <w:t>F</w:t>
      </w:r>
      <w:r w:rsidR="000B4E2C" w:rsidRPr="000B4E2C">
        <w:rPr>
          <w:i/>
          <w:color w:val="FF0000"/>
          <w:szCs w:val="24"/>
        </w:rPr>
        <w:t>igure</w:t>
      </w:r>
      <w:r w:rsidR="000B4E2C" w:rsidRPr="000B4E2C">
        <w:rPr>
          <w:i/>
          <w:color w:val="FF0000"/>
          <w:szCs w:val="24"/>
        </w:rPr>
        <w:t xml:space="preserve"> </w:t>
      </w:r>
      <w:r w:rsidR="000B4E2C" w:rsidRPr="000B4E2C">
        <w:rPr>
          <w:i/>
          <w:color w:val="FF0000"/>
          <w:szCs w:val="24"/>
        </w:rPr>
        <w:t>13</w:t>
      </w:r>
      <w:r w:rsidRPr="000B4E2C">
        <w:rPr>
          <w:szCs w:val="24"/>
        </w:rPr>
        <w:t xml:space="preserve"> </w:t>
      </w:r>
      <w:r w:rsidR="00C5368E" w:rsidRPr="000B4E2C">
        <w:rPr>
          <w:szCs w:val="24"/>
        </w:rPr>
        <w:t xml:space="preserve">shows </w:t>
      </w:r>
      <w:r w:rsidRPr="000B4E2C">
        <w:rPr>
          <w:szCs w:val="24"/>
        </w:rPr>
        <w:t xml:space="preserve">the forest plots of sensitivity and specificity. Sensitivity values ranged from 0.58 to 0.93 and specificity values from 0.23 to 0.85. The summary estimate of sensitivity was 0.76 (95% CI 0.56 to 0.89) and that of specificity 0.67 (95% CI 0.40 to 0.86). </w:t>
      </w:r>
      <w:r w:rsidR="000B4E2C" w:rsidRPr="000B4E2C">
        <w:rPr>
          <w:i/>
          <w:color w:val="FF0000"/>
          <w:szCs w:val="24"/>
        </w:rPr>
        <w:t>F</w:t>
      </w:r>
      <w:r w:rsidR="000B4E2C" w:rsidRPr="000B4E2C">
        <w:rPr>
          <w:i/>
          <w:color w:val="FF0000"/>
          <w:szCs w:val="24"/>
        </w:rPr>
        <w:t>igure</w:t>
      </w:r>
      <w:r w:rsidR="000B4E2C" w:rsidRPr="000B4E2C">
        <w:rPr>
          <w:i/>
          <w:color w:val="FF0000"/>
          <w:szCs w:val="24"/>
        </w:rPr>
        <w:t xml:space="preserve"> </w:t>
      </w:r>
      <w:r w:rsidR="000B4E2C" w:rsidRPr="000B4E2C">
        <w:rPr>
          <w:i/>
          <w:color w:val="FF0000"/>
          <w:szCs w:val="24"/>
        </w:rPr>
        <w:t>14</w:t>
      </w:r>
      <w:r w:rsidRPr="000B4E2C">
        <w:rPr>
          <w:szCs w:val="24"/>
        </w:rPr>
        <w:t xml:space="preserve"> shows the HSROC with 95% confidence region for the summary operating point and 95% prediction region. Confidence and prediction regions are large and greater for sensitivity than specificity. While this indicates the presence of heterogeneity across studies, it is worth </w:t>
      </w:r>
      <w:r w:rsidR="00C5368E" w:rsidRPr="000B4E2C">
        <w:rPr>
          <w:szCs w:val="24"/>
        </w:rPr>
        <w:t xml:space="preserve">observing </w:t>
      </w:r>
      <w:r w:rsidRPr="000B4E2C">
        <w:rPr>
          <w:szCs w:val="24"/>
        </w:rPr>
        <w:t>that all studies and the</w:t>
      </w:r>
      <w:r w:rsidR="00C5368E" w:rsidRPr="000B4E2C">
        <w:rPr>
          <w:szCs w:val="24"/>
        </w:rPr>
        <w:t>ir</w:t>
      </w:r>
      <w:r w:rsidRPr="000B4E2C">
        <w:rPr>
          <w:szCs w:val="24"/>
        </w:rPr>
        <w:t xml:space="preserve"> confidence and prediction regions are positioned in the left side of the graph, above the</w:t>
      </w:r>
      <w:r w:rsidR="002706CD" w:rsidRPr="000B4E2C">
        <w:rPr>
          <w:szCs w:val="24"/>
        </w:rPr>
        <w:t xml:space="preserve"> diagonal of no effect. It is worth paying attention to the Itenov</w:t>
      </w:r>
      <w:r w:rsidR="002706CD" w:rsidRPr="000B4E2C">
        <w:rPr>
          <w:i/>
          <w:color w:val="00B0F0"/>
          <w:szCs w:val="24"/>
        </w:rPr>
        <w:t xml:space="preserve"> et al</w:t>
      </w:r>
      <w:r w:rsidR="002706CD" w:rsidRPr="000B4E2C">
        <w:rPr>
          <w:szCs w:val="24"/>
        </w:rPr>
        <w:t>.</w:t>
      </w:r>
      <w:r w:rsidR="0072128A" w:rsidRPr="000B4E2C">
        <w:rPr>
          <w:color w:val="00B0F0"/>
          <w:szCs w:val="24"/>
        </w:rPr>
        <w:t>$$SingleQuoteE$$</w:t>
      </w:r>
      <w:r w:rsidR="002706CD" w:rsidRPr="000B4E2C">
        <w:rPr>
          <w:szCs w:val="24"/>
        </w:rPr>
        <w:t>s study, which shows a high sensistivity estimate and a very low specificity estimate</w:t>
      </w:r>
      <w:r w:rsidRPr="000B4E2C">
        <w:rPr>
          <w:szCs w:val="24"/>
        </w:rPr>
        <w:t>.</w:t>
      </w:r>
      <w:r w:rsidR="000B4E2C" w:rsidRPr="000B4E2C">
        <w:rPr>
          <w:szCs w:val="24"/>
        </w:rPr>
        <w:t xml:space="preserve">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8</w:t>
      </w:r>
      <w:r w:rsidR="000B4E2C" w:rsidRPr="000B4E2C">
        <w:t xml:space="preserve"> </w:t>
      </w:r>
      <w:r w:rsidRPr="000B4E2C">
        <w:t xml:space="preserve">Summary of diagnostic accuracy </w:t>
      </w:r>
      <w:r w:rsidRPr="000B4E2C">
        <w:rPr>
          <w:highlight w:val="magenta"/>
        </w:rPr>
        <w:t>data</w:t>
      </w:r>
      <w:r w:rsidRPr="000B4E2C">
        <w:t xml:space="preserve"> for </w:t>
      </w:r>
      <w:r w:rsidR="00C5368E" w:rsidRPr="000B4E2C">
        <w:t xml:space="preserve">BioPorto </w:t>
      </w:r>
      <w:r w:rsidRPr="000B4E2C">
        <w:t xml:space="preserve">plasma NGAL </w:t>
      </w:r>
      <w:r w:rsidR="00C5368E" w:rsidRPr="000B4E2C">
        <w:t xml:space="preserve">assay </w:t>
      </w:r>
      <w:r w:rsidRPr="000B4E2C">
        <w:t xml:space="preserve">for </w:t>
      </w:r>
      <w:r w:rsidR="00C5368E" w:rsidRPr="000B4E2C">
        <w:t xml:space="preserve">detectyion of </w:t>
      </w:r>
      <w:r w:rsidRPr="000B4E2C">
        <w:t xml:space="preserve">AKI in </w:t>
      </w:r>
      <w:r w:rsidR="001126EB" w:rsidRPr="000B4E2C">
        <w:t>adults (</w:t>
      </w:r>
      <w:r w:rsidRPr="000B4E2C">
        <w:t>critical care setting</w:t>
      </w:r>
      <w:r w:rsidR="001126EB" w:rsidRPr="000B4E2C">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031"/>
        <w:gridCol w:w="790"/>
        <w:gridCol w:w="1181"/>
        <w:gridCol w:w="2110"/>
        <w:gridCol w:w="754"/>
        <w:gridCol w:w="790"/>
        <w:gridCol w:w="790"/>
        <w:gridCol w:w="790"/>
        <w:gridCol w:w="790"/>
      </w:tblGrid>
      <w:tr w:rsidR="002F0133" w:rsidRPr="000B4E2C" w14:paraId="21722BB1" w14:textId="77777777" w:rsidTr="000B4E2C">
        <w:trPr>
          <w:cantSplit/>
        </w:trPr>
        <w:tc>
          <w:tcPr>
            <w:tcW w:w="0" w:type="auto"/>
            <w:shd w:val="clear" w:color="auto" w:fill="auto"/>
            <w:vAlign w:val="center"/>
            <w:hideMark/>
          </w:tcPr>
          <w:p w14:paraId="103924C1" w14:textId="77777777" w:rsidR="002F0133" w:rsidRPr="000B4E2C" w:rsidRDefault="002F0133" w:rsidP="008A7464">
            <w:pPr>
              <w:jc w:val="center"/>
              <w:rPr>
                <w:b/>
                <w:bCs/>
                <w:color w:val="000000"/>
                <w:lang w:eastAsia="en-GB"/>
              </w:rPr>
            </w:pPr>
            <w:r w:rsidRPr="000B4E2C">
              <w:rPr>
                <w:b/>
                <w:bCs/>
                <w:lang w:eastAsia="en-GB"/>
              </w:rPr>
              <w:t>STUDY ID</w:t>
            </w:r>
          </w:p>
        </w:tc>
        <w:tc>
          <w:tcPr>
            <w:tcW w:w="0" w:type="auto"/>
            <w:shd w:val="clear" w:color="auto" w:fill="auto"/>
            <w:vAlign w:val="center"/>
          </w:tcPr>
          <w:p w14:paraId="7B43ACEB" w14:textId="77777777" w:rsidR="002F0133" w:rsidRPr="000B4E2C" w:rsidRDefault="002F0133" w:rsidP="008A7464">
            <w:pPr>
              <w:jc w:val="center"/>
              <w:rPr>
                <w:b/>
                <w:bCs/>
                <w:color w:val="000000"/>
                <w:lang w:eastAsia="en-GB"/>
              </w:rPr>
            </w:pPr>
            <w:r w:rsidRPr="000B4E2C">
              <w:rPr>
                <w:b/>
                <w:bCs/>
                <w:lang w:eastAsia="en-GB"/>
              </w:rPr>
              <w:t>Target Population (setting)</w:t>
            </w:r>
          </w:p>
        </w:tc>
        <w:tc>
          <w:tcPr>
            <w:tcW w:w="0" w:type="auto"/>
            <w:shd w:val="clear" w:color="auto" w:fill="auto"/>
            <w:vAlign w:val="center"/>
            <w:hideMark/>
          </w:tcPr>
          <w:p w14:paraId="6E4DB089" w14:textId="77777777" w:rsidR="002F0133" w:rsidRPr="000B4E2C" w:rsidRDefault="002F0133" w:rsidP="008A7464">
            <w:pPr>
              <w:jc w:val="center"/>
              <w:rPr>
                <w:b/>
                <w:bCs/>
                <w:color w:val="000000"/>
                <w:lang w:eastAsia="en-GB"/>
              </w:rPr>
            </w:pPr>
            <w:r w:rsidRPr="000B4E2C">
              <w:rPr>
                <w:b/>
                <w:bCs/>
                <w:lang w:eastAsia="en-GB"/>
              </w:rPr>
              <w:t>Assay</w:t>
            </w:r>
          </w:p>
        </w:tc>
        <w:tc>
          <w:tcPr>
            <w:tcW w:w="0" w:type="auto"/>
            <w:shd w:val="clear" w:color="auto" w:fill="auto"/>
            <w:vAlign w:val="center"/>
            <w:hideMark/>
          </w:tcPr>
          <w:p w14:paraId="357A756D" w14:textId="77777777" w:rsidR="002F0133" w:rsidRPr="000B4E2C" w:rsidRDefault="002F0133" w:rsidP="008A7464">
            <w:pPr>
              <w:jc w:val="center"/>
              <w:rPr>
                <w:b/>
                <w:bCs/>
                <w:color w:val="000000"/>
                <w:lang w:eastAsia="en-GB"/>
              </w:rPr>
            </w:pPr>
            <w:r w:rsidRPr="000B4E2C">
              <w:rPr>
                <w:b/>
                <w:bCs/>
                <w:lang w:eastAsia="en-GB"/>
              </w:rPr>
              <w:t>Timing of Test</w:t>
            </w:r>
          </w:p>
        </w:tc>
        <w:tc>
          <w:tcPr>
            <w:tcW w:w="0" w:type="auto"/>
            <w:shd w:val="clear" w:color="auto" w:fill="auto"/>
            <w:vAlign w:val="center"/>
            <w:hideMark/>
          </w:tcPr>
          <w:p w14:paraId="35F7A19A" w14:textId="77777777" w:rsidR="002F0133" w:rsidRPr="000B4E2C" w:rsidRDefault="002F0133" w:rsidP="008A7464">
            <w:pPr>
              <w:jc w:val="center"/>
              <w:rPr>
                <w:b/>
                <w:bCs/>
                <w:color w:val="000000"/>
                <w:lang w:eastAsia="en-GB"/>
              </w:rPr>
            </w:pPr>
            <w:r w:rsidRPr="000B4E2C">
              <w:rPr>
                <w:b/>
                <w:bCs/>
                <w:lang w:eastAsia="en-GB"/>
              </w:rPr>
              <w:t xml:space="preserve">Cut off </w:t>
            </w:r>
          </w:p>
        </w:tc>
        <w:tc>
          <w:tcPr>
            <w:tcW w:w="0" w:type="auto"/>
            <w:shd w:val="clear" w:color="auto" w:fill="auto"/>
            <w:vAlign w:val="center"/>
            <w:hideMark/>
          </w:tcPr>
          <w:p w14:paraId="77FF63F6" w14:textId="77777777" w:rsidR="002F0133" w:rsidRPr="000B4E2C" w:rsidRDefault="002F0133" w:rsidP="008A7464">
            <w:pPr>
              <w:jc w:val="center"/>
              <w:rPr>
                <w:b/>
                <w:bCs/>
                <w:lang w:eastAsia="en-GB"/>
              </w:rPr>
            </w:pPr>
            <w:r w:rsidRPr="000B4E2C">
              <w:rPr>
                <w:b/>
                <w:bCs/>
                <w:lang w:eastAsia="en-GB"/>
              </w:rPr>
              <w:t>Sensitivity</w:t>
            </w:r>
          </w:p>
          <w:p w14:paraId="1BAADE76" w14:textId="77777777" w:rsidR="002F0133" w:rsidRPr="000B4E2C" w:rsidRDefault="002F0133" w:rsidP="008A7464">
            <w:pPr>
              <w:jc w:val="center"/>
              <w:rPr>
                <w:b/>
                <w:bCs/>
                <w:color w:val="000000"/>
                <w:lang w:eastAsia="en-GB"/>
              </w:rPr>
            </w:pPr>
            <w:r w:rsidRPr="000B4E2C">
              <w:rPr>
                <w:b/>
                <w:bCs/>
                <w:lang w:eastAsia="en-GB"/>
              </w:rPr>
              <w:t>(95% CI)</w:t>
            </w:r>
          </w:p>
        </w:tc>
        <w:tc>
          <w:tcPr>
            <w:tcW w:w="0" w:type="auto"/>
            <w:shd w:val="clear" w:color="auto" w:fill="auto"/>
            <w:vAlign w:val="center"/>
            <w:hideMark/>
          </w:tcPr>
          <w:p w14:paraId="052525B8" w14:textId="77777777" w:rsidR="002F0133" w:rsidRPr="000B4E2C" w:rsidRDefault="002F0133" w:rsidP="008A7464">
            <w:pPr>
              <w:jc w:val="center"/>
              <w:rPr>
                <w:b/>
                <w:bCs/>
                <w:lang w:eastAsia="en-GB"/>
              </w:rPr>
            </w:pPr>
            <w:r w:rsidRPr="000B4E2C">
              <w:rPr>
                <w:b/>
                <w:bCs/>
                <w:lang w:eastAsia="en-GB"/>
              </w:rPr>
              <w:t>Specificity</w:t>
            </w:r>
          </w:p>
          <w:p w14:paraId="7D24B6F1" w14:textId="77777777" w:rsidR="002F0133" w:rsidRPr="000B4E2C" w:rsidRDefault="002F0133" w:rsidP="008A7464">
            <w:pPr>
              <w:jc w:val="center"/>
              <w:rPr>
                <w:b/>
                <w:bCs/>
                <w:color w:val="000000"/>
                <w:lang w:eastAsia="en-GB"/>
              </w:rPr>
            </w:pPr>
            <w:r w:rsidRPr="000B4E2C">
              <w:rPr>
                <w:b/>
                <w:bCs/>
                <w:lang w:eastAsia="en-GB"/>
              </w:rPr>
              <w:t>(95% CI)</w:t>
            </w:r>
          </w:p>
        </w:tc>
        <w:tc>
          <w:tcPr>
            <w:tcW w:w="0" w:type="auto"/>
            <w:shd w:val="clear" w:color="auto" w:fill="auto"/>
            <w:vAlign w:val="center"/>
            <w:hideMark/>
          </w:tcPr>
          <w:p w14:paraId="048B371D" w14:textId="77777777" w:rsidR="002F0133" w:rsidRPr="000B4E2C" w:rsidRDefault="002F0133" w:rsidP="008A7464">
            <w:pPr>
              <w:jc w:val="center"/>
              <w:rPr>
                <w:b/>
                <w:bCs/>
                <w:lang w:eastAsia="en-GB"/>
              </w:rPr>
            </w:pPr>
            <w:r w:rsidRPr="000B4E2C">
              <w:rPr>
                <w:b/>
                <w:bCs/>
                <w:lang w:eastAsia="en-GB"/>
              </w:rPr>
              <w:t>AUC</w:t>
            </w:r>
          </w:p>
          <w:p w14:paraId="6BCDF4E0" w14:textId="77777777" w:rsidR="002F0133" w:rsidRPr="000B4E2C" w:rsidRDefault="002F0133" w:rsidP="008A7464">
            <w:pPr>
              <w:jc w:val="center"/>
              <w:rPr>
                <w:b/>
                <w:bCs/>
                <w:color w:val="000000"/>
                <w:lang w:eastAsia="en-GB"/>
              </w:rPr>
            </w:pPr>
            <w:r w:rsidRPr="000B4E2C">
              <w:rPr>
                <w:b/>
                <w:bCs/>
                <w:lang w:eastAsia="en-GB"/>
              </w:rPr>
              <w:t>(95% CI)</w:t>
            </w:r>
          </w:p>
        </w:tc>
        <w:tc>
          <w:tcPr>
            <w:tcW w:w="0" w:type="auto"/>
            <w:shd w:val="clear" w:color="auto" w:fill="auto"/>
            <w:vAlign w:val="center"/>
          </w:tcPr>
          <w:p w14:paraId="57382F0F" w14:textId="77777777" w:rsidR="002F0133" w:rsidRPr="000B4E2C" w:rsidRDefault="002F0133" w:rsidP="008A7464">
            <w:pPr>
              <w:jc w:val="center"/>
              <w:rPr>
                <w:b/>
                <w:bCs/>
                <w:lang w:eastAsia="en-GB"/>
              </w:rPr>
            </w:pPr>
            <w:r w:rsidRPr="000B4E2C">
              <w:rPr>
                <w:b/>
                <w:bCs/>
                <w:lang w:eastAsia="en-GB"/>
              </w:rPr>
              <w:t>Prevalence of AKI</w:t>
            </w:r>
          </w:p>
        </w:tc>
      </w:tr>
      <w:tr w:rsidR="002F0133" w:rsidRPr="000B4E2C" w14:paraId="1C18DEA5" w14:textId="77777777" w:rsidTr="000B4E2C">
        <w:trPr>
          <w:cantSplit/>
        </w:trPr>
        <w:tc>
          <w:tcPr>
            <w:tcW w:w="0" w:type="auto"/>
            <w:shd w:val="clear" w:color="auto" w:fill="auto"/>
            <w:noWrap/>
            <w:vAlign w:val="center"/>
          </w:tcPr>
          <w:p w14:paraId="3402E597" w14:textId="426455E4" w:rsidR="002F0133" w:rsidRPr="000B4E2C" w:rsidRDefault="002F0133" w:rsidP="008A7464">
            <w:pPr>
              <w:rPr>
                <w:lang w:eastAsia="en-GB"/>
              </w:rPr>
            </w:pPr>
            <w:r w:rsidRPr="000B4E2C">
              <w:rPr>
                <w:lang w:eastAsia="en-GB"/>
              </w:rPr>
              <w:t>Matsa 2014</w:t>
            </w:r>
            <w:r w:rsidR="005B5026" w:rsidRPr="000B4E2C">
              <w:rPr>
                <w:noProof/>
                <w:vertAlign w:val="superscript"/>
                <w:lang w:eastAsia="en-GB"/>
              </w:rPr>
              <w:t>75</w:t>
            </w:r>
          </w:p>
        </w:tc>
        <w:tc>
          <w:tcPr>
            <w:tcW w:w="0" w:type="auto"/>
            <w:shd w:val="clear" w:color="auto" w:fill="auto"/>
            <w:vAlign w:val="center"/>
          </w:tcPr>
          <w:p w14:paraId="6E2EA5D9" w14:textId="756D9CBC" w:rsidR="002F0133" w:rsidRPr="000B4E2C" w:rsidRDefault="002F0133" w:rsidP="008A7464">
            <w:pPr>
              <w:jc w:val="center"/>
            </w:pPr>
            <w:r w:rsidRPr="000B4E2C">
              <w:t>Critical care</w:t>
            </w:r>
            <w:r w:rsidR="000B4E2C" w:rsidRPr="000B4E2C">
              <w:rPr>
                <w:color w:val="00B0F0"/>
              </w:rPr>
              <w:t xml:space="preserve"> – </w:t>
            </w:r>
            <w:r w:rsidRPr="000B4E2C">
              <w:t>mixed population (ICU/ITU)</w:t>
            </w:r>
          </w:p>
        </w:tc>
        <w:tc>
          <w:tcPr>
            <w:tcW w:w="0" w:type="auto"/>
            <w:shd w:val="clear" w:color="auto" w:fill="auto"/>
            <w:noWrap/>
            <w:vAlign w:val="center"/>
          </w:tcPr>
          <w:p w14:paraId="0E9D676D" w14:textId="705682AE" w:rsidR="002F0133" w:rsidRPr="000B4E2C" w:rsidRDefault="002F0133" w:rsidP="008A7464">
            <w:pPr>
              <w:jc w:val="center"/>
              <w:rPr>
                <w:color w:val="000000"/>
                <w:lang w:eastAsia="en-GB"/>
              </w:rPr>
            </w:pPr>
            <w:r w:rsidRPr="000B4E2C">
              <w:rPr>
                <w:lang w:eastAsia="en-GB"/>
              </w:rPr>
              <w:t xml:space="preserve">pNGAL, </w:t>
            </w:r>
            <w:r w:rsidR="009D7F5A" w:rsidRPr="000B4E2C">
              <w:rPr>
                <w:lang w:eastAsia="en-GB"/>
              </w:rPr>
              <w:t>BioPorto</w:t>
            </w:r>
          </w:p>
        </w:tc>
        <w:tc>
          <w:tcPr>
            <w:tcW w:w="0" w:type="auto"/>
            <w:shd w:val="clear" w:color="auto" w:fill="auto"/>
            <w:noWrap/>
            <w:vAlign w:val="center"/>
          </w:tcPr>
          <w:p w14:paraId="47958229" w14:textId="77777777" w:rsidR="002F0133" w:rsidRPr="000B4E2C" w:rsidRDefault="002F0133" w:rsidP="008A7464">
            <w:pPr>
              <w:jc w:val="center"/>
              <w:rPr>
                <w:color w:val="000000"/>
                <w:lang w:eastAsia="en-GB"/>
              </w:rPr>
            </w:pPr>
            <w:r w:rsidRPr="000B4E2C">
              <w:rPr>
                <w:lang w:eastAsia="en-GB"/>
              </w:rPr>
              <w:t>ICU admission</w:t>
            </w:r>
          </w:p>
        </w:tc>
        <w:tc>
          <w:tcPr>
            <w:tcW w:w="0" w:type="auto"/>
            <w:shd w:val="clear" w:color="auto" w:fill="auto"/>
            <w:noWrap/>
            <w:vAlign w:val="center"/>
          </w:tcPr>
          <w:p w14:paraId="4DAF3643" w14:textId="77777777" w:rsidR="002F0133" w:rsidRPr="000B4E2C" w:rsidRDefault="002F0133" w:rsidP="008A7464">
            <w:pPr>
              <w:jc w:val="center"/>
              <w:rPr>
                <w:color w:val="000000"/>
                <w:lang w:eastAsia="en-GB"/>
              </w:rPr>
            </w:pPr>
            <w:r w:rsidRPr="000B4E2C">
              <w:rPr>
                <w:lang w:eastAsia="en-GB"/>
              </w:rPr>
              <w:t>400 ng/mL</w:t>
            </w:r>
          </w:p>
        </w:tc>
        <w:tc>
          <w:tcPr>
            <w:tcW w:w="0" w:type="auto"/>
            <w:shd w:val="clear" w:color="auto" w:fill="auto"/>
            <w:noWrap/>
            <w:vAlign w:val="center"/>
          </w:tcPr>
          <w:p w14:paraId="55C17A3C" w14:textId="77777777" w:rsidR="002F0133" w:rsidRPr="000B4E2C" w:rsidRDefault="002F0133" w:rsidP="008A7464">
            <w:pPr>
              <w:jc w:val="center"/>
              <w:rPr>
                <w:lang w:eastAsia="en-GB"/>
              </w:rPr>
            </w:pPr>
            <w:r w:rsidRPr="000B4E2C">
              <w:rPr>
                <w:lang w:eastAsia="en-GB"/>
              </w:rPr>
              <w:t>0.60</w:t>
            </w:r>
          </w:p>
          <w:p w14:paraId="7A7B3E17" w14:textId="77777777" w:rsidR="002F0133" w:rsidRPr="000B4E2C" w:rsidRDefault="002F0133" w:rsidP="008A7464">
            <w:pPr>
              <w:jc w:val="center"/>
              <w:rPr>
                <w:color w:val="000000"/>
                <w:lang w:eastAsia="en-GB"/>
              </w:rPr>
            </w:pPr>
            <w:r w:rsidRPr="000B4E2C">
              <w:rPr>
                <w:lang w:eastAsia="en-GB"/>
              </w:rPr>
              <w:t>(0.47, 0.73)</w:t>
            </w:r>
          </w:p>
        </w:tc>
        <w:tc>
          <w:tcPr>
            <w:tcW w:w="0" w:type="auto"/>
            <w:shd w:val="clear" w:color="auto" w:fill="auto"/>
            <w:noWrap/>
            <w:vAlign w:val="center"/>
          </w:tcPr>
          <w:p w14:paraId="314B7A0D" w14:textId="77777777" w:rsidR="000B4E2C" w:rsidRPr="000B4E2C" w:rsidRDefault="002F0133" w:rsidP="008A7464">
            <w:pPr>
              <w:jc w:val="center"/>
              <w:rPr>
                <w:lang w:eastAsia="en-GB"/>
              </w:rPr>
            </w:pPr>
            <w:r w:rsidRPr="000B4E2C">
              <w:rPr>
                <w:lang w:eastAsia="en-GB"/>
              </w:rPr>
              <w:t>0.85</w:t>
            </w:r>
          </w:p>
          <w:p w14:paraId="46F98115" w14:textId="7C10F31C" w:rsidR="002F0133" w:rsidRPr="000B4E2C" w:rsidRDefault="002F0133" w:rsidP="008A7464">
            <w:pPr>
              <w:jc w:val="center"/>
              <w:rPr>
                <w:color w:val="000000"/>
                <w:lang w:eastAsia="en-GB"/>
              </w:rPr>
            </w:pPr>
            <w:r w:rsidRPr="000B4E2C">
              <w:rPr>
                <w:lang w:eastAsia="en-GB"/>
              </w:rPr>
              <w:t>(0.77, 0.92)</w:t>
            </w:r>
          </w:p>
        </w:tc>
        <w:tc>
          <w:tcPr>
            <w:tcW w:w="0" w:type="auto"/>
            <w:shd w:val="clear" w:color="auto" w:fill="auto"/>
            <w:noWrap/>
            <w:vAlign w:val="center"/>
          </w:tcPr>
          <w:p w14:paraId="6CD9CB02" w14:textId="77777777" w:rsidR="002F0133" w:rsidRPr="000B4E2C" w:rsidRDefault="002F0133" w:rsidP="008A7464">
            <w:pPr>
              <w:jc w:val="center"/>
              <w:rPr>
                <w:color w:val="000000"/>
                <w:lang w:eastAsia="en-GB"/>
              </w:rPr>
            </w:pPr>
            <w:r w:rsidRPr="000B4E2C">
              <w:rPr>
                <w:lang w:eastAsia="en-GB"/>
              </w:rPr>
              <w:t>0.77</w:t>
            </w:r>
          </w:p>
        </w:tc>
        <w:tc>
          <w:tcPr>
            <w:tcW w:w="0" w:type="auto"/>
            <w:shd w:val="clear" w:color="auto" w:fill="auto"/>
            <w:vAlign w:val="center"/>
          </w:tcPr>
          <w:p w14:paraId="7A4DF765" w14:textId="77777777" w:rsidR="002F0133" w:rsidRPr="000B4E2C" w:rsidRDefault="002F0133" w:rsidP="008A7464">
            <w:pPr>
              <w:jc w:val="center"/>
              <w:rPr>
                <w:lang w:eastAsia="en-GB"/>
              </w:rPr>
            </w:pPr>
            <w:r w:rsidRPr="000B4E2C">
              <w:rPr>
                <w:lang w:eastAsia="en-GB"/>
              </w:rPr>
              <w:t>0.38</w:t>
            </w:r>
          </w:p>
        </w:tc>
      </w:tr>
      <w:tr w:rsidR="002F0133" w:rsidRPr="000B4E2C" w14:paraId="773944D3" w14:textId="77777777" w:rsidTr="000B4E2C">
        <w:trPr>
          <w:cantSplit/>
        </w:trPr>
        <w:tc>
          <w:tcPr>
            <w:tcW w:w="0" w:type="auto"/>
            <w:shd w:val="clear" w:color="auto" w:fill="auto"/>
            <w:noWrap/>
            <w:vAlign w:val="center"/>
          </w:tcPr>
          <w:p w14:paraId="01222AA6" w14:textId="58BCF271" w:rsidR="002F0133" w:rsidRPr="000B4E2C" w:rsidRDefault="002F0133" w:rsidP="008A7464">
            <w:pPr>
              <w:rPr>
                <w:lang w:eastAsia="en-GB"/>
              </w:rPr>
            </w:pPr>
            <w:r w:rsidRPr="000B4E2C">
              <w:rPr>
                <w:lang w:eastAsia="en-GB"/>
              </w:rPr>
              <w:t>Hjortrup 2015</w:t>
            </w:r>
            <w:r w:rsidR="005B5026" w:rsidRPr="000B4E2C">
              <w:rPr>
                <w:noProof/>
                <w:vertAlign w:val="superscript"/>
                <w:lang w:eastAsia="en-GB"/>
              </w:rPr>
              <w:t>74</w:t>
            </w:r>
          </w:p>
        </w:tc>
        <w:tc>
          <w:tcPr>
            <w:tcW w:w="0" w:type="auto"/>
            <w:shd w:val="clear" w:color="auto" w:fill="auto"/>
            <w:vAlign w:val="center"/>
          </w:tcPr>
          <w:p w14:paraId="16CAD974" w14:textId="154C211E" w:rsidR="002F0133" w:rsidRPr="000B4E2C" w:rsidRDefault="002F0133" w:rsidP="008A7464">
            <w:pPr>
              <w:jc w:val="center"/>
            </w:pPr>
            <w:r w:rsidRPr="000B4E2C">
              <w:t>Critical care</w:t>
            </w:r>
            <w:r w:rsidR="000B4E2C" w:rsidRPr="000B4E2C">
              <w:rPr>
                <w:color w:val="00B0F0"/>
              </w:rPr>
              <w:t xml:space="preserve"> – </w:t>
            </w:r>
            <w:r w:rsidRPr="000B4E2C">
              <w:t>mixed population (sepsis)</w:t>
            </w:r>
          </w:p>
        </w:tc>
        <w:tc>
          <w:tcPr>
            <w:tcW w:w="0" w:type="auto"/>
            <w:shd w:val="clear" w:color="auto" w:fill="auto"/>
            <w:noWrap/>
            <w:vAlign w:val="center"/>
          </w:tcPr>
          <w:p w14:paraId="7F0504FD" w14:textId="54295749" w:rsidR="002F0133" w:rsidRPr="000B4E2C" w:rsidRDefault="002F0133" w:rsidP="008A7464">
            <w:pPr>
              <w:jc w:val="center"/>
              <w:rPr>
                <w:color w:val="000000"/>
                <w:lang w:eastAsia="en-GB"/>
              </w:rPr>
            </w:pPr>
            <w:r w:rsidRPr="000B4E2C">
              <w:rPr>
                <w:lang w:eastAsia="en-GB"/>
              </w:rPr>
              <w:t xml:space="preserve">pNGAL, </w:t>
            </w:r>
            <w:r w:rsidR="009D7F5A" w:rsidRPr="000B4E2C">
              <w:rPr>
                <w:lang w:eastAsia="en-GB"/>
              </w:rPr>
              <w:t>BioPorto</w:t>
            </w:r>
          </w:p>
        </w:tc>
        <w:tc>
          <w:tcPr>
            <w:tcW w:w="0" w:type="auto"/>
            <w:shd w:val="clear" w:color="auto" w:fill="auto"/>
            <w:noWrap/>
            <w:vAlign w:val="center"/>
          </w:tcPr>
          <w:p w14:paraId="7E9D5F0C" w14:textId="77777777" w:rsidR="002F0133" w:rsidRPr="000B4E2C" w:rsidRDefault="002F0133" w:rsidP="008A7464">
            <w:pPr>
              <w:jc w:val="center"/>
              <w:rPr>
                <w:color w:val="000000"/>
                <w:lang w:eastAsia="en-GB"/>
              </w:rPr>
            </w:pPr>
            <w:r w:rsidRPr="000B4E2C">
              <w:rPr>
                <w:lang w:eastAsia="en-GB"/>
              </w:rPr>
              <w:t>ICU admission</w:t>
            </w:r>
          </w:p>
        </w:tc>
        <w:tc>
          <w:tcPr>
            <w:tcW w:w="0" w:type="auto"/>
            <w:shd w:val="clear" w:color="auto" w:fill="auto"/>
            <w:noWrap/>
            <w:vAlign w:val="center"/>
          </w:tcPr>
          <w:p w14:paraId="76543EA0" w14:textId="77777777" w:rsidR="002F0133" w:rsidRPr="000B4E2C" w:rsidRDefault="002F0133" w:rsidP="008A7464">
            <w:pPr>
              <w:jc w:val="center"/>
              <w:rPr>
                <w:color w:val="000000"/>
                <w:lang w:eastAsia="en-GB"/>
              </w:rPr>
            </w:pPr>
            <w:r w:rsidRPr="000B4E2C">
              <w:rPr>
                <w:lang w:eastAsia="en-GB"/>
              </w:rPr>
              <w:t>558 ng/mL</w:t>
            </w:r>
          </w:p>
        </w:tc>
        <w:tc>
          <w:tcPr>
            <w:tcW w:w="0" w:type="auto"/>
            <w:shd w:val="clear" w:color="auto" w:fill="auto"/>
            <w:noWrap/>
            <w:vAlign w:val="center"/>
          </w:tcPr>
          <w:p w14:paraId="18F3764A" w14:textId="77777777" w:rsidR="002F0133" w:rsidRPr="000B4E2C" w:rsidRDefault="002F0133" w:rsidP="008A7464">
            <w:pPr>
              <w:jc w:val="center"/>
              <w:rPr>
                <w:color w:val="000000"/>
                <w:lang w:eastAsia="en-GB"/>
              </w:rPr>
            </w:pPr>
            <w:r w:rsidRPr="000B4E2C">
              <w:rPr>
                <w:lang w:eastAsia="en-GB"/>
              </w:rPr>
              <w:t>0.58</w:t>
            </w:r>
          </w:p>
        </w:tc>
        <w:tc>
          <w:tcPr>
            <w:tcW w:w="0" w:type="auto"/>
            <w:shd w:val="clear" w:color="auto" w:fill="auto"/>
            <w:noWrap/>
            <w:vAlign w:val="center"/>
          </w:tcPr>
          <w:p w14:paraId="4F0DB997" w14:textId="77777777" w:rsidR="002F0133" w:rsidRPr="000B4E2C" w:rsidRDefault="002F0133" w:rsidP="008A7464">
            <w:pPr>
              <w:jc w:val="center"/>
              <w:rPr>
                <w:color w:val="000000"/>
                <w:lang w:eastAsia="en-GB"/>
              </w:rPr>
            </w:pPr>
            <w:r w:rsidRPr="000B4E2C">
              <w:rPr>
                <w:lang w:eastAsia="en-GB"/>
              </w:rPr>
              <w:t>0.76</w:t>
            </w:r>
          </w:p>
        </w:tc>
        <w:tc>
          <w:tcPr>
            <w:tcW w:w="0" w:type="auto"/>
            <w:shd w:val="clear" w:color="auto" w:fill="auto"/>
            <w:noWrap/>
            <w:vAlign w:val="center"/>
          </w:tcPr>
          <w:p w14:paraId="13871E5A" w14:textId="77777777" w:rsidR="000B4E2C" w:rsidRPr="000B4E2C" w:rsidRDefault="002F0133" w:rsidP="008A7464">
            <w:pPr>
              <w:jc w:val="center"/>
              <w:rPr>
                <w:lang w:eastAsia="en-GB"/>
              </w:rPr>
            </w:pPr>
            <w:r w:rsidRPr="000B4E2C">
              <w:rPr>
                <w:lang w:eastAsia="en-GB"/>
              </w:rPr>
              <w:t>0.66</w:t>
            </w:r>
          </w:p>
          <w:p w14:paraId="78C0CBF5" w14:textId="379613EC" w:rsidR="002F0133" w:rsidRPr="000B4E2C" w:rsidRDefault="002F0133" w:rsidP="008A7464">
            <w:pPr>
              <w:jc w:val="center"/>
              <w:rPr>
                <w:color w:val="000000"/>
                <w:lang w:eastAsia="en-GB"/>
              </w:rPr>
            </w:pPr>
            <w:r w:rsidRPr="000B4E2C">
              <w:rPr>
                <w:lang w:eastAsia="en-GB"/>
              </w:rPr>
              <w:t>(0.54, 0.77)</w:t>
            </w:r>
          </w:p>
        </w:tc>
        <w:tc>
          <w:tcPr>
            <w:tcW w:w="0" w:type="auto"/>
            <w:shd w:val="clear" w:color="auto" w:fill="auto"/>
            <w:vAlign w:val="center"/>
          </w:tcPr>
          <w:p w14:paraId="175D7409" w14:textId="77777777" w:rsidR="002F0133" w:rsidRPr="000B4E2C" w:rsidRDefault="002F0133" w:rsidP="008A7464">
            <w:pPr>
              <w:jc w:val="center"/>
              <w:rPr>
                <w:lang w:eastAsia="en-GB"/>
              </w:rPr>
            </w:pPr>
            <w:r w:rsidRPr="000B4E2C">
              <w:rPr>
                <w:lang w:eastAsia="en-GB"/>
              </w:rPr>
              <w:t>0.24</w:t>
            </w:r>
          </w:p>
        </w:tc>
      </w:tr>
      <w:tr w:rsidR="002F0133" w:rsidRPr="000B4E2C" w14:paraId="5C68190B" w14:textId="77777777" w:rsidTr="000B4E2C">
        <w:trPr>
          <w:cantSplit/>
        </w:trPr>
        <w:tc>
          <w:tcPr>
            <w:tcW w:w="0" w:type="auto"/>
            <w:shd w:val="clear" w:color="auto" w:fill="auto"/>
            <w:noWrap/>
            <w:vAlign w:val="center"/>
          </w:tcPr>
          <w:p w14:paraId="6B123E66" w14:textId="40892C6E" w:rsidR="002F0133" w:rsidRPr="000B4E2C" w:rsidRDefault="002F0133" w:rsidP="008A7464">
            <w:pPr>
              <w:rPr>
                <w:lang w:eastAsia="en-GB"/>
              </w:rPr>
            </w:pPr>
            <w:r w:rsidRPr="000B4E2C">
              <w:rPr>
                <w:lang w:eastAsia="en-GB"/>
              </w:rPr>
              <w:t>Tecson 2017</w:t>
            </w:r>
            <w:r w:rsidR="005B5026" w:rsidRPr="000B4E2C">
              <w:rPr>
                <w:noProof/>
                <w:vertAlign w:val="superscript"/>
                <w:lang w:eastAsia="en-GB"/>
              </w:rPr>
              <w:t>80</w:t>
            </w:r>
          </w:p>
        </w:tc>
        <w:tc>
          <w:tcPr>
            <w:tcW w:w="0" w:type="auto"/>
            <w:shd w:val="clear" w:color="auto" w:fill="auto"/>
            <w:vAlign w:val="center"/>
          </w:tcPr>
          <w:p w14:paraId="35F0B0B0" w14:textId="0A92DFEC" w:rsidR="002F0133" w:rsidRPr="000B4E2C" w:rsidRDefault="002F0133" w:rsidP="008A7464">
            <w:pPr>
              <w:jc w:val="center"/>
            </w:pPr>
            <w:r w:rsidRPr="000B4E2C">
              <w:t>Critical care</w:t>
            </w:r>
            <w:r w:rsidR="000B4E2C" w:rsidRPr="000B4E2C">
              <w:rPr>
                <w:color w:val="00B0F0"/>
              </w:rPr>
              <w:t xml:space="preserve"> – </w:t>
            </w:r>
            <w:r w:rsidRPr="000B4E2C">
              <w:t>mixed population (ICU/ITU)</w:t>
            </w:r>
          </w:p>
        </w:tc>
        <w:tc>
          <w:tcPr>
            <w:tcW w:w="0" w:type="auto"/>
            <w:shd w:val="clear" w:color="auto" w:fill="auto"/>
            <w:noWrap/>
            <w:vAlign w:val="center"/>
          </w:tcPr>
          <w:p w14:paraId="6DB71D7C" w14:textId="010042D8" w:rsidR="002F0133" w:rsidRPr="000B4E2C" w:rsidRDefault="002F0133" w:rsidP="008A7464">
            <w:pPr>
              <w:jc w:val="center"/>
              <w:rPr>
                <w:color w:val="000000"/>
                <w:lang w:eastAsia="en-GB"/>
              </w:rPr>
            </w:pPr>
            <w:r w:rsidRPr="000B4E2C">
              <w:rPr>
                <w:lang w:eastAsia="en-GB"/>
              </w:rPr>
              <w:t xml:space="preserve">pNGAL, </w:t>
            </w:r>
            <w:r w:rsidR="009D7F5A" w:rsidRPr="000B4E2C">
              <w:rPr>
                <w:lang w:eastAsia="en-GB"/>
              </w:rPr>
              <w:t>BioPorto</w:t>
            </w:r>
          </w:p>
        </w:tc>
        <w:tc>
          <w:tcPr>
            <w:tcW w:w="0" w:type="auto"/>
            <w:shd w:val="clear" w:color="auto" w:fill="auto"/>
            <w:noWrap/>
            <w:vAlign w:val="center"/>
          </w:tcPr>
          <w:p w14:paraId="24F31E2D" w14:textId="77777777" w:rsidR="002F0133" w:rsidRPr="000B4E2C" w:rsidRDefault="002F0133" w:rsidP="008A7464">
            <w:pPr>
              <w:jc w:val="center"/>
              <w:rPr>
                <w:color w:val="000000"/>
                <w:lang w:eastAsia="en-GB"/>
              </w:rPr>
            </w:pPr>
            <w:r w:rsidRPr="000B4E2C">
              <w:rPr>
                <w:lang w:eastAsia="en-GB"/>
              </w:rPr>
              <w:t>Within 48 hours of ICU admission</w:t>
            </w:r>
          </w:p>
        </w:tc>
        <w:tc>
          <w:tcPr>
            <w:tcW w:w="0" w:type="auto"/>
            <w:shd w:val="clear" w:color="auto" w:fill="auto"/>
            <w:noWrap/>
            <w:vAlign w:val="center"/>
          </w:tcPr>
          <w:p w14:paraId="1DD96F34" w14:textId="77777777" w:rsidR="002F0133" w:rsidRPr="000B4E2C" w:rsidRDefault="002F0133" w:rsidP="008A7464">
            <w:pPr>
              <w:jc w:val="center"/>
              <w:rPr>
                <w:color w:val="000000"/>
                <w:lang w:eastAsia="en-GB"/>
              </w:rPr>
            </w:pPr>
            <w:r w:rsidRPr="000B4E2C">
              <w:rPr>
                <w:lang w:eastAsia="en-GB"/>
              </w:rPr>
              <w:t>142 ng/mL</w:t>
            </w:r>
          </w:p>
        </w:tc>
        <w:tc>
          <w:tcPr>
            <w:tcW w:w="0" w:type="auto"/>
            <w:shd w:val="clear" w:color="auto" w:fill="auto"/>
            <w:noWrap/>
            <w:vAlign w:val="center"/>
          </w:tcPr>
          <w:p w14:paraId="5057D79E" w14:textId="77777777" w:rsidR="000B4E2C" w:rsidRPr="000B4E2C" w:rsidRDefault="002F0133" w:rsidP="008A7464">
            <w:pPr>
              <w:jc w:val="center"/>
              <w:rPr>
                <w:lang w:eastAsia="en-GB"/>
              </w:rPr>
            </w:pPr>
            <w:r w:rsidRPr="000B4E2C">
              <w:rPr>
                <w:lang w:eastAsia="en-GB"/>
              </w:rPr>
              <w:t>0.79</w:t>
            </w:r>
          </w:p>
          <w:p w14:paraId="468F566E" w14:textId="41A41F76" w:rsidR="002F0133" w:rsidRPr="000B4E2C" w:rsidRDefault="002F0133" w:rsidP="008A7464">
            <w:pPr>
              <w:jc w:val="center"/>
              <w:rPr>
                <w:color w:val="000000"/>
                <w:lang w:eastAsia="en-GB"/>
              </w:rPr>
            </w:pPr>
            <w:r w:rsidRPr="000B4E2C">
              <w:rPr>
                <w:lang w:eastAsia="en-GB"/>
              </w:rPr>
              <w:t>(0.61, 0.91)</w:t>
            </w:r>
          </w:p>
        </w:tc>
        <w:tc>
          <w:tcPr>
            <w:tcW w:w="0" w:type="auto"/>
            <w:shd w:val="clear" w:color="auto" w:fill="auto"/>
            <w:noWrap/>
            <w:vAlign w:val="center"/>
          </w:tcPr>
          <w:p w14:paraId="3EEEE39A" w14:textId="77777777" w:rsidR="000B4E2C" w:rsidRPr="000B4E2C" w:rsidRDefault="002F0133" w:rsidP="008A7464">
            <w:pPr>
              <w:jc w:val="center"/>
              <w:rPr>
                <w:lang w:eastAsia="en-GB"/>
              </w:rPr>
            </w:pPr>
            <w:r w:rsidRPr="000B4E2C">
              <w:rPr>
                <w:lang w:eastAsia="en-GB"/>
              </w:rPr>
              <w:t>0.73</w:t>
            </w:r>
          </w:p>
          <w:p w14:paraId="31016216" w14:textId="54F7BBDD" w:rsidR="002F0133" w:rsidRPr="000B4E2C" w:rsidRDefault="002F0133" w:rsidP="008A7464">
            <w:pPr>
              <w:jc w:val="center"/>
              <w:rPr>
                <w:color w:val="000000"/>
                <w:lang w:eastAsia="en-GB"/>
              </w:rPr>
            </w:pPr>
            <w:r w:rsidRPr="000B4E2C">
              <w:rPr>
                <w:lang w:eastAsia="en-GB"/>
              </w:rPr>
              <w:t>(0.67, 0.79)</w:t>
            </w:r>
          </w:p>
        </w:tc>
        <w:tc>
          <w:tcPr>
            <w:tcW w:w="0" w:type="auto"/>
            <w:shd w:val="clear" w:color="auto" w:fill="auto"/>
            <w:noWrap/>
            <w:vAlign w:val="center"/>
          </w:tcPr>
          <w:p w14:paraId="71FD3423" w14:textId="77777777" w:rsidR="000B4E2C" w:rsidRPr="000B4E2C" w:rsidRDefault="002F0133" w:rsidP="008A7464">
            <w:pPr>
              <w:jc w:val="center"/>
              <w:rPr>
                <w:lang w:eastAsia="en-GB"/>
              </w:rPr>
            </w:pPr>
            <w:r w:rsidRPr="000B4E2C">
              <w:rPr>
                <w:lang w:eastAsia="en-GB"/>
              </w:rPr>
              <w:t>0.76</w:t>
            </w:r>
          </w:p>
          <w:p w14:paraId="73513C0A" w14:textId="6D9E6E5F" w:rsidR="002F0133" w:rsidRPr="000B4E2C" w:rsidRDefault="002F0133" w:rsidP="008A7464">
            <w:pPr>
              <w:jc w:val="center"/>
              <w:rPr>
                <w:color w:val="000000"/>
                <w:lang w:eastAsia="en-GB"/>
              </w:rPr>
            </w:pPr>
            <w:r w:rsidRPr="000B4E2C">
              <w:rPr>
                <w:lang w:eastAsia="en-GB"/>
              </w:rPr>
              <w:t>(0.64, 0.87)</w:t>
            </w:r>
          </w:p>
        </w:tc>
        <w:tc>
          <w:tcPr>
            <w:tcW w:w="0" w:type="auto"/>
            <w:shd w:val="clear" w:color="auto" w:fill="auto"/>
            <w:vAlign w:val="center"/>
          </w:tcPr>
          <w:p w14:paraId="0E793EBA" w14:textId="77777777" w:rsidR="002F0133" w:rsidRPr="000B4E2C" w:rsidRDefault="002F0133" w:rsidP="008A7464">
            <w:pPr>
              <w:jc w:val="center"/>
              <w:rPr>
                <w:lang w:eastAsia="en-GB"/>
              </w:rPr>
            </w:pPr>
            <w:r w:rsidRPr="000B4E2C">
              <w:rPr>
                <w:lang w:eastAsia="en-GB"/>
              </w:rPr>
              <w:t>0.13</w:t>
            </w:r>
          </w:p>
        </w:tc>
      </w:tr>
      <w:tr w:rsidR="002F0133" w:rsidRPr="000B4E2C" w14:paraId="09885357" w14:textId="77777777" w:rsidTr="000B4E2C">
        <w:trPr>
          <w:cantSplit/>
        </w:trPr>
        <w:tc>
          <w:tcPr>
            <w:tcW w:w="0" w:type="auto"/>
            <w:shd w:val="clear" w:color="auto" w:fill="auto"/>
            <w:noWrap/>
            <w:vAlign w:val="center"/>
            <w:hideMark/>
          </w:tcPr>
          <w:p w14:paraId="2095B309" w14:textId="78D0EB01" w:rsidR="002F0133" w:rsidRPr="000B4E2C" w:rsidRDefault="002F0133" w:rsidP="008A7464">
            <w:pPr>
              <w:rPr>
                <w:lang w:eastAsia="en-GB"/>
              </w:rPr>
            </w:pPr>
            <w:r w:rsidRPr="000B4E2C">
              <w:rPr>
                <w:lang w:eastAsia="en-GB"/>
              </w:rPr>
              <w:t>Itenov 2017</w:t>
            </w:r>
            <w:r w:rsidR="005B5026" w:rsidRPr="000B4E2C">
              <w:rPr>
                <w:noProof/>
                <w:vertAlign w:val="superscript"/>
                <w:lang w:eastAsia="en-GB"/>
              </w:rPr>
              <w:t>83</w:t>
            </w:r>
          </w:p>
        </w:tc>
        <w:tc>
          <w:tcPr>
            <w:tcW w:w="0" w:type="auto"/>
            <w:shd w:val="clear" w:color="auto" w:fill="auto"/>
            <w:vAlign w:val="center"/>
          </w:tcPr>
          <w:p w14:paraId="2A02134C" w14:textId="3902A470" w:rsidR="002F0133" w:rsidRPr="000B4E2C" w:rsidRDefault="002F0133" w:rsidP="008A7464">
            <w:pPr>
              <w:jc w:val="center"/>
            </w:pPr>
            <w:r w:rsidRPr="000B4E2C">
              <w:t>Critical care</w:t>
            </w:r>
            <w:r w:rsidR="000B4E2C" w:rsidRPr="000B4E2C">
              <w:rPr>
                <w:color w:val="00B0F0"/>
              </w:rPr>
              <w:t xml:space="preserve"> – </w:t>
            </w:r>
            <w:r w:rsidRPr="000B4E2C">
              <w:t>mixed population (ICU/ITU)</w:t>
            </w:r>
          </w:p>
        </w:tc>
        <w:tc>
          <w:tcPr>
            <w:tcW w:w="0" w:type="auto"/>
            <w:shd w:val="clear" w:color="auto" w:fill="auto"/>
            <w:noWrap/>
            <w:vAlign w:val="center"/>
            <w:hideMark/>
          </w:tcPr>
          <w:p w14:paraId="2CAB18D6" w14:textId="61690714" w:rsidR="002F0133" w:rsidRPr="000B4E2C" w:rsidRDefault="002F0133" w:rsidP="008A7464">
            <w:pPr>
              <w:jc w:val="center"/>
              <w:rPr>
                <w:color w:val="000000"/>
                <w:lang w:eastAsia="en-GB"/>
              </w:rPr>
            </w:pPr>
            <w:r w:rsidRPr="000B4E2C">
              <w:rPr>
                <w:lang w:eastAsia="en-GB"/>
              </w:rPr>
              <w:t xml:space="preserve">pNGAL, </w:t>
            </w:r>
            <w:r w:rsidR="009D7F5A" w:rsidRPr="000B4E2C">
              <w:rPr>
                <w:lang w:eastAsia="en-GB"/>
              </w:rPr>
              <w:t>BioPorto</w:t>
            </w:r>
          </w:p>
        </w:tc>
        <w:tc>
          <w:tcPr>
            <w:tcW w:w="0" w:type="auto"/>
            <w:shd w:val="clear" w:color="auto" w:fill="auto"/>
            <w:noWrap/>
            <w:vAlign w:val="center"/>
            <w:hideMark/>
          </w:tcPr>
          <w:p w14:paraId="3AE4957F" w14:textId="77777777" w:rsidR="002F0133" w:rsidRPr="000B4E2C" w:rsidRDefault="002F0133" w:rsidP="008A7464">
            <w:pPr>
              <w:jc w:val="center"/>
              <w:rPr>
                <w:color w:val="000000"/>
                <w:lang w:eastAsia="en-GB"/>
              </w:rPr>
            </w:pPr>
            <w:r w:rsidRPr="000B4E2C">
              <w:rPr>
                <w:lang w:eastAsia="en-GB"/>
              </w:rPr>
              <w:t>ICU admission</w:t>
            </w:r>
          </w:p>
        </w:tc>
        <w:tc>
          <w:tcPr>
            <w:tcW w:w="0" w:type="auto"/>
            <w:shd w:val="clear" w:color="auto" w:fill="auto"/>
            <w:noWrap/>
            <w:vAlign w:val="center"/>
            <w:hideMark/>
          </w:tcPr>
          <w:p w14:paraId="6E47F51D" w14:textId="77777777" w:rsidR="002F0133" w:rsidRPr="000B4E2C" w:rsidRDefault="002F0133" w:rsidP="008A7464">
            <w:pPr>
              <w:jc w:val="center"/>
              <w:rPr>
                <w:color w:val="000000"/>
                <w:lang w:eastAsia="en-GB"/>
              </w:rPr>
            </w:pPr>
            <w:r w:rsidRPr="000B4E2C">
              <w:rPr>
                <w:lang w:eastAsia="en-GB"/>
              </w:rPr>
              <w:t>185 ng/mL</w:t>
            </w:r>
          </w:p>
        </w:tc>
        <w:tc>
          <w:tcPr>
            <w:tcW w:w="0" w:type="auto"/>
            <w:shd w:val="clear" w:color="auto" w:fill="auto"/>
            <w:noWrap/>
            <w:vAlign w:val="center"/>
            <w:hideMark/>
          </w:tcPr>
          <w:p w14:paraId="59933A6B" w14:textId="77777777" w:rsidR="002F0133" w:rsidRPr="000B4E2C" w:rsidRDefault="002F0133" w:rsidP="008A7464">
            <w:pPr>
              <w:jc w:val="center"/>
              <w:rPr>
                <w:color w:val="000000"/>
                <w:lang w:eastAsia="en-GB"/>
              </w:rPr>
            </w:pPr>
            <w:r w:rsidRPr="000B4E2C">
              <w:rPr>
                <w:lang w:eastAsia="en-GB"/>
              </w:rPr>
              <w:t>0.93</w:t>
            </w:r>
          </w:p>
        </w:tc>
        <w:tc>
          <w:tcPr>
            <w:tcW w:w="0" w:type="auto"/>
            <w:shd w:val="clear" w:color="auto" w:fill="auto"/>
            <w:noWrap/>
            <w:vAlign w:val="center"/>
            <w:hideMark/>
          </w:tcPr>
          <w:p w14:paraId="0034EF78" w14:textId="77777777" w:rsidR="002F0133" w:rsidRPr="000B4E2C" w:rsidRDefault="002F0133" w:rsidP="008A7464">
            <w:pPr>
              <w:jc w:val="center"/>
              <w:rPr>
                <w:color w:val="000000"/>
                <w:lang w:eastAsia="en-GB"/>
              </w:rPr>
            </w:pPr>
            <w:r w:rsidRPr="000B4E2C">
              <w:rPr>
                <w:lang w:eastAsia="en-GB"/>
              </w:rPr>
              <w:t>0.23</w:t>
            </w:r>
          </w:p>
        </w:tc>
        <w:tc>
          <w:tcPr>
            <w:tcW w:w="0" w:type="auto"/>
            <w:shd w:val="clear" w:color="auto" w:fill="auto"/>
            <w:noWrap/>
            <w:vAlign w:val="center"/>
            <w:hideMark/>
          </w:tcPr>
          <w:p w14:paraId="09D384D8" w14:textId="77777777" w:rsidR="002F0133" w:rsidRPr="000B4E2C" w:rsidRDefault="002F0133" w:rsidP="008A7464">
            <w:pPr>
              <w:jc w:val="center"/>
              <w:rPr>
                <w:color w:val="000000"/>
                <w:lang w:eastAsia="en-GB"/>
              </w:rPr>
            </w:pPr>
            <w:r w:rsidRPr="000B4E2C">
              <w:rPr>
                <w:lang w:eastAsia="en-GB"/>
              </w:rPr>
              <w:t>NR</w:t>
            </w:r>
          </w:p>
        </w:tc>
        <w:tc>
          <w:tcPr>
            <w:tcW w:w="0" w:type="auto"/>
            <w:shd w:val="clear" w:color="auto" w:fill="auto"/>
            <w:vAlign w:val="center"/>
          </w:tcPr>
          <w:p w14:paraId="129C196E" w14:textId="77777777" w:rsidR="002F0133" w:rsidRPr="000B4E2C" w:rsidRDefault="002F0133" w:rsidP="008A7464">
            <w:pPr>
              <w:jc w:val="center"/>
              <w:rPr>
                <w:lang w:eastAsia="en-GB"/>
              </w:rPr>
            </w:pPr>
            <w:r w:rsidRPr="000B4E2C">
              <w:rPr>
                <w:lang w:eastAsia="en-GB"/>
              </w:rPr>
              <w:t>0.36</w:t>
            </w:r>
          </w:p>
        </w:tc>
      </w:tr>
    </w:tbl>
    <w:p w14:paraId="0DAE2375" w14:textId="1F597EE8" w:rsidR="000B4E2C" w:rsidRPr="000B4E2C" w:rsidRDefault="000B4E2C">
      <w:pPr>
        <w:pStyle w:val="Heading2"/>
      </w:pPr>
      <w:r w:rsidRPr="000B4E2C">
        <w:rPr>
          <w:szCs w:val="24"/>
        </w:rPr>
        <w:t xml:space="preserve"> </w:t>
      </w:r>
      <w:r w:rsidRPr="000B4E2C">
        <w:rPr>
          <w:i/>
          <w:color w:val="FF0000"/>
        </w:rPr>
        <w:t>F</w:t>
      </w:r>
      <w:r w:rsidRPr="000B4E2C">
        <w:rPr>
          <w:i/>
          <w:color w:val="FF0000"/>
        </w:rPr>
        <w:t>igure</w:t>
      </w:r>
      <w:r w:rsidRPr="000B4E2C">
        <w:rPr>
          <w:i/>
          <w:color w:val="FF0000"/>
        </w:rPr>
        <w:t xml:space="preserve"> </w:t>
      </w:r>
      <w:r w:rsidRPr="000B4E2C">
        <w:rPr>
          <w:i/>
          <w:color w:val="FF0000"/>
        </w:rPr>
        <w:t>13</w:t>
      </w:r>
      <w:r w:rsidRPr="000B4E2C">
        <w:t xml:space="preserve"> </w:t>
      </w:r>
      <w:r w:rsidR="002F0133" w:rsidRPr="000B4E2C">
        <w:t>Forest plots of sensitivity and specificity for plasma NGAL (</w:t>
      </w:r>
      <w:r w:rsidR="009D7F5A" w:rsidRPr="000B4E2C">
        <w:t>BioPorto</w:t>
      </w:r>
      <w:r w:rsidR="002F0133" w:rsidRPr="000B4E2C">
        <w:t>) for detection of AKI in adults</w:t>
      </w:r>
      <w:r w:rsidRPr="000B4E2C">
        <w:rPr>
          <w:color w:val="00B0F0"/>
        </w:rPr>
        <w:t xml:space="preserve"> – </w:t>
      </w:r>
      <w:r w:rsidR="002F0133" w:rsidRPr="000B4E2C">
        <w:t>the critical care setting</w:t>
      </w:r>
    </w:p>
    <w:p w14:paraId="5C273CDD" w14:textId="2A043896" w:rsidR="000B4E2C" w:rsidRPr="000B4E2C" w:rsidRDefault="000B4E2C" w:rsidP="008A7464">
      <w:pPr>
        <w:pStyle w:val="Heading2"/>
        <w:rPr>
          <w:i/>
        </w:rPr>
      </w:pPr>
      <w:r w:rsidRPr="000B4E2C">
        <w:rPr>
          <w:i/>
          <w:color w:val="FF0000"/>
        </w:rPr>
        <w:t>F</w:t>
      </w:r>
      <w:r w:rsidRPr="000B4E2C">
        <w:rPr>
          <w:i/>
          <w:color w:val="FF0000"/>
        </w:rPr>
        <w:t>igure</w:t>
      </w:r>
      <w:r w:rsidRPr="000B4E2C">
        <w:rPr>
          <w:i/>
          <w:color w:val="FF0000"/>
        </w:rPr>
        <w:t xml:space="preserve"> </w:t>
      </w:r>
      <w:r w:rsidRPr="000B4E2C">
        <w:rPr>
          <w:i/>
          <w:color w:val="FF0000"/>
        </w:rPr>
        <w:t>14</w:t>
      </w:r>
      <w:r w:rsidRPr="000B4E2C">
        <w:t xml:space="preserve"> </w:t>
      </w:r>
      <w:r w:rsidR="002F0133" w:rsidRPr="000B4E2C">
        <w:t>HSROC for plasma NGAL (</w:t>
      </w:r>
      <w:r w:rsidR="009D7F5A" w:rsidRPr="000B4E2C">
        <w:t>BioPorto</w:t>
      </w:r>
      <w:r w:rsidR="002F0133" w:rsidRPr="000B4E2C">
        <w:t>) studies for detection of AKI in adults</w:t>
      </w:r>
      <w:r w:rsidRPr="000B4E2C">
        <w:rPr>
          <w:color w:val="00B0F0"/>
        </w:rPr>
        <w:t xml:space="preserve"> – </w:t>
      </w:r>
      <w:r w:rsidR="002F0133" w:rsidRPr="000B4E2C">
        <w:t>critical care setting</w:t>
      </w:r>
    </w:p>
    <w:p w14:paraId="223E6084" w14:textId="4F5D5E67" w:rsidR="002F0133" w:rsidRPr="000B4E2C" w:rsidRDefault="000B4E2C" w:rsidP="008A7464">
      <w:pPr>
        <w:pStyle w:val="Heading2"/>
      </w:pPr>
      <w:r w:rsidRPr="000B4E2C">
        <w:rPr>
          <w:i/>
          <w:color w:val="FF0000"/>
          <w:szCs w:val="24"/>
        </w:rPr>
        <w:t>T</w:t>
      </w:r>
      <w:r w:rsidRPr="000B4E2C">
        <w:rPr>
          <w:i/>
          <w:color w:val="FF0000"/>
          <w:szCs w:val="24"/>
        </w:rPr>
        <w:t>able</w:t>
      </w:r>
      <w:r w:rsidRPr="000B4E2C">
        <w:rPr>
          <w:i/>
          <w:color w:val="FF0000"/>
          <w:szCs w:val="24"/>
        </w:rPr>
        <w:t xml:space="preserve"> </w:t>
      </w:r>
      <w:r w:rsidRPr="000B4E2C">
        <w:rPr>
          <w:i/>
          <w:color w:val="FF0000"/>
          <w:szCs w:val="24"/>
        </w:rPr>
        <w:t>9</w:t>
      </w:r>
      <w:r w:rsidR="00225DEC" w:rsidRPr="000B4E2C">
        <w:rPr>
          <w:szCs w:val="24"/>
        </w:rPr>
        <w:t xml:space="preserve"> </w:t>
      </w:r>
      <w:r w:rsidR="002F0133" w:rsidRPr="000B4E2C">
        <w:rPr>
          <w:szCs w:val="24"/>
        </w:rPr>
        <w:t xml:space="preserve">presents a summary of the diagnostic </w:t>
      </w:r>
      <w:r w:rsidR="002F0133" w:rsidRPr="000B4E2C">
        <w:rPr>
          <w:szCs w:val="24"/>
          <w:highlight w:val="magenta"/>
        </w:rPr>
        <w:t>data</w:t>
      </w:r>
      <w:r w:rsidR="002F0133" w:rsidRPr="000B4E2C">
        <w:rPr>
          <w:szCs w:val="24"/>
        </w:rPr>
        <w:t xml:space="preserve"> for the seven u</w:t>
      </w:r>
      <w:r w:rsidR="00225DEC" w:rsidRPr="000B4E2C">
        <w:rPr>
          <w:szCs w:val="24"/>
        </w:rPr>
        <w:t xml:space="preserve">rine </w:t>
      </w:r>
      <w:r w:rsidR="002F0133" w:rsidRPr="000B4E2C">
        <w:rPr>
          <w:szCs w:val="24"/>
        </w:rPr>
        <w:t>NGAL studies that assessed AKI in children. All but one study assessed children who underwent cardiac surgery. Across studies, the age of the peadiatric population ranged from 1 day to 8 years.</w:t>
      </w:r>
      <w:r w:rsidRPr="000B4E2C">
        <w:rPr>
          <w:szCs w:val="24"/>
        </w:rPr>
        <w:t xml:space="preserve"> </w:t>
      </w:r>
      <w:r w:rsidRPr="000B4E2C">
        <w:rPr>
          <w:i/>
          <w:color w:val="FF0000"/>
        </w:rPr>
        <w:t>T</w:t>
      </w:r>
      <w:r w:rsidRPr="000B4E2C">
        <w:rPr>
          <w:i/>
          <w:color w:val="FF0000"/>
        </w:rPr>
        <w:t>able</w:t>
      </w:r>
      <w:r w:rsidRPr="000B4E2C">
        <w:rPr>
          <w:i/>
          <w:color w:val="FF0000"/>
        </w:rPr>
        <w:t xml:space="preserve"> </w:t>
      </w:r>
      <w:r w:rsidRPr="000B4E2C">
        <w:rPr>
          <w:i/>
          <w:color w:val="FF0000"/>
        </w:rPr>
        <w:t>9</w:t>
      </w:r>
      <w:r w:rsidRPr="000B4E2C">
        <w:t xml:space="preserve"> </w:t>
      </w:r>
      <w:r w:rsidR="002F0133" w:rsidRPr="000B4E2C">
        <w:t xml:space="preserve">Summary of diagnostic accuracy </w:t>
      </w:r>
      <w:r w:rsidR="002F0133" w:rsidRPr="000B4E2C">
        <w:rPr>
          <w:highlight w:val="magenta"/>
        </w:rPr>
        <w:t>data</w:t>
      </w:r>
      <w:r w:rsidR="002F0133" w:rsidRPr="000B4E2C">
        <w:t xml:space="preserve"> for u</w:t>
      </w:r>
      <w:r w:rsidR="00225DEC" w:rsidRPr="000B4E2C">
        <w:t xml:space="preserve">rine </w:t>
      </w:r>
      <w:r w:rsidR="002F0133" w:rsidRPr="000B4E2C">
        <w:t>NGAL assays (</w:t>
      </w:r>
      <w:r w:rsidR="00225DEC" w:rsidRPr="000B4E2C">
        <w:t xml:space="preserve">both </w:t>
      </w:r>
      <w:r w:rsidR="001126EB" w:rsidRPr="000B4E2C">
        <w:t xml:space="preserve">ARCHITECT </w:t>
      </w:r>
      <w:r w:rsidR="002F0133" w:rsidRPr="000B4E2C">
        <w:t xml:space="preserve">Abbott and </w:t>
      </w:r>
      <w:r w:rsidR="009D7F5A" w:rsidRPr="000B4E2C">
        <w:t>BioPorto</w:t>
      </w:r>
      <w:r w:rsidR="002F0133" w:rsidRPr="000B4E2C">
        <w:t>) for detection of AKI</w:t>
      </w:r>
      <w:r w:rsidR="00225DEC" w:rsidRPr="000B4E2C">
        <w:t xml:space="preserve"> in children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900"/>
        <w:gridCol w:w="2099"/>
        <w:gridCol w:w="1551"/>
        <w:gridCol w:w="1177"/>
        <w:gridCol w:w="711"/>
        <w:gridCol w:w="647"/>
        <w:gridCol w:w="647"/>
        <w:gridCol w:w="647"/>
        <w:gridCol w:w="647"/>
      </w:tblGrid>
      <w:tr w:rsidR="002F0133" w:rsidRPr="000B4E2C" w14:paraId="6A8085C4" w14:textId="77777777" w:rsidTr="000B4E2C">
        <w:trPr>
          <w:cantSplit/>
        </w:trPr>
        <w:tc>
          <w:tcPr>
            <w:tcW w:w="0" w:type="auto"/>
            <w:shd w:val="clear" w:color="auto" w:fill="auto"/>
            <w:vAlign w:val="center"/>
            <w:hideMark/>
          </w:tcPr>
          <w:p w14:paraId="4E0964F2" w14:textId="77777777" w:rsidR="002F0133" w:rsidRPr="000B4E2C" w:rsidRDefault="002F0133" w:rsidP="008A7464">
            <w:pPr>
              <w:jc w:val="center"/>
              <w:rPr>
                <w:b/>
                <w:bCs/>
                <w:color w:val="000000"/>
                <w:lang w:eastAsia="en-GB"/>
              </w:rPr>
            </w:pPr>
            <w:r w:rsidRPr="000B4E2C">
              <w:rPr>
                <w:b/>
                <w:bCs/>
                <w:lang w:eastAsia="en-GB"/>
              </w:rPr>
              <w:t>STUDY ID</w:t>
            </w:r>
          </w:p>
        </w:tc>
        <w:tc>
          <w:tcPr>
            <w:tcW w:w="0" w:type="auto"/>
            <w:shd w:val="clear" w:color="auto" w:fill="auto"/>
            <w:vAlign w:val="center"/>
            <w:hideMark/>
          </w:tcPr>
          <w:p w14:paraId="59726C35" w14:textId="77777777" w:rsidR="002F0133" w:rsidRPr="000B4E2C" w:rsidRDefault="002F0133" w:rsidP="008A7464">
            <w:pPr>
              <w:jc w:val="center"/>
              <w:rPr>
                <w:b/>
                <w:bCs/>
                <w:color w:val="000000"/>
                <w:lang w:eastAsia="en-GB"/>
              </w:rPr>
            </w:pPr>
            <w:r w:rsidRPr="000B4E2C">
              <w:rPr>
                <w:b/>
                <w:bCs/>
                <w:lang w:eastAsia="en-GB"/>
              </w:rPr>
              <w:t>Population (setting)</w:t>
            </w:r>
          </w:p>
        </w:tc>
        <w:tc>
          <w:tcPr>
            <w:tcW w:w="0" w:type="auto"/>
            <w:shd w:val="clear" w:color="auto" w:fill="auto"/>
            <w:vAlign w:val="center"/>
            <w:hideMark/>
          </w:tcPr>
          <w:p w14:paraId="15AE145C" w14:textId="77777777" w:rsidR="002F0133" w:rsidRPr="000B4E2C" w:rsidRDefault="002F0133" w:rsidP="008A7464">
            <w:pPr>
              <w:jc w:val="center"/>
              <w:rPr>
                <w:b/>
                <w:bCs/>
                <w:color w:val="000000"/>
                <w:lang w:eastAsia="en-GB"/>
              </w:rPr>
            </w:pPr>
            <w:r w:rsidRPr="000B4E2C">
              <w:rPr>
                <w:b/>
                <w:bCs/>
                <w:lang w:eastAsia="en-GB"/>
              </w:rPr>
              <w:t>Assay</w:t>
            </w:r>
          </w:p>
        </w:tc>
        <w:tc>
          <w:tcPr>
            <w:tcW w:w="0" w:type="auto"/>
            <w:shd w:val="clear" w:color="auto" w:fill="auto"/>
            <w:vAlign w:val="center"/>
            <w:hideMark/>
          </w:tcPr>
          <w:p w14:paraId="524FBE80" w14:textId="77777777" w:rsidR="002F0133" w:rsidRPr="000B4E2C" w:rsidRDefault="002F0133" w:rsidP="008A7464">
            <w:pPr>
              <w:jc w:val="center"/>
              <w:rPr>
                <w:b/>
                <w:bCs/>
                <w:color w:val="000000"/>
                <w:lang w:eastAsia="en-GB"/>
              </w:rPr>
            </w:pPr>
            <w:r w:rsidRPr="000B4E2C">
              <w:rPr>
                <w:b/>
                <w:bCs/>
                <w:lang w:eastAsia="en-GB"/>
              </w:rPr>
              <w:t>Timing of Test</w:t>
            </w:r>
          </w:p>
        </w:tc>
        <w:tc>
          <w:tcPr>
            <w:tcW w:w="0" w:type="auto"/>
            <w:shd w:val="clear" w:color="auto" w:fill="auto"/>
            <w:vAlign w:val="center"/>
            <w:hideMark/>
          </w:tcPr>
          <w:p w14:paraId="584C0D5D" w14:textId="77777777" w:rsidR="002F0133" w:rsidRPr="000B4E2C" w:rsidRDefault="002F0133" w:rsidP="008A7464">
            <w:pPr>
              <w:jc w:val="center"/>
              <w:rPr>
                <w:b/>
                <w:bCs/>
                <w:color w:val="000000"/>
                <w:lang w:eastAsia="en-GB"/>
              </w:rPr>
            </w:pPr>
            <w:r w:rsidRPr="000B4E2C">
              <w:rPr>
                <w:b/>
                <w:bCs/>
                <w:lang w:eastAsia="en-GB"/>
              </w:rPr>
              <w:t>Cut off</w:t>
            </w:r>
          </w:p>
        </w:tc>
        <w:tc>
          <w:tcPr>
            <w:tcW w:w="0" w:type="auto"/>
            <w:shd w:val="clear" w:color="auto" w:fill="auto"/>
            <w:vAlign w:val="center"/>
            <w:hideMark/>
          </w:tcPr>
          <w:p w14:paraId="78A992F5" w14:textId="77777777" w:rsidR="002F0133" w:rsidRPr="000B4E2C" w:rsidRDefault="002F0133" w:rsidP="008A7464">
            <w:pPr>
              <w:jc w:val="center"/>
              <w:rPr>
                <w:b/>
                <w:bCs/>
                <w:lang w:eastAsia="en-GB"/>
              </w:rPr>
            </w:pPr>
            <w:r w:rsidRPr="000B4E2C">
              <w:rPr>
                <w:b/>
                <w:bCs/>
                <w:lang w:eastAsia="en-GB"/>
              </w:rPr>
              <w:t>Sensitivity</w:t>
            </w:r>
          </w:p>
          <w:p w14:paraId="1C77A99B" w14:textId="77777777" w:rsidR="002F0133" w:rsidRPr="000B4E2C" w:rsidRDefault="002F0133" w:rsidP="008A7464">
            <w:pPr>
              <w:jc w:val="center"/>
              <w:rPr>
                <w:b/>
                <w:bCs/>
                <w:color w:val="000000"/>
                <w:lang w:eastAsia="en-GB"/>
              </w:rPr>
            </w:pPr>
            <w:r w:rsidRPr="000B4E2C">
              <w:rPr>
                <w:b/>
                <w:bCs/>
                <w:lang w:eastAsia="en-GB"/>
              </w:rPr>
              <w:t>(95% CI)</w:t>
            </w:r>
          </w:p>
        </w:tc>
        <w:tc>
          <w:tcPr>
            <w:tcW w:w="0" w:type="auto"/>
            <w:shd w:val="clear" w:color="auto" w:fill="auto"/>
            <w:vAlign w:val="center"/>
            <w:hideMark/>
          </w:tcPr>
          <w:p w14:paraId="35B268AA" w14:textId="77777777" w:rsidR="002F0133" w:rsidRPr="000B4E2C" w:rsidRDefault="002F0133" w:rsidP="008A7464">
            <w:pPr>
              <w:jc w:val="center"/>
              <w:rPr>
                <w:b/>
                <w:bCs/>
                <w:lang w:eastAsia="en-GB"/>
              </w:rPr>
            </w:pPr>
            <w:r w:rsidRPr="000B4E2C">
              <w:rPr>
                <w:b/>
                <w:bCs/>
                <w:lang w:eastAsia="en-GB"/>
              </w:rPr>
              <w:t>Specificity</w:t>
            </w:r>
          </w:p>
          <w:p w14:paraId="186614EE" w14:textId="77777777" w:rsidR="002F0133" w:rsidRPr="000B4E2C" w:rsidRDefault="002F0133" w:rsidP="008A7464">
            <w:pPr>
              <w:jc w:val="center"/>
              <w:rPr>
                <w:b/>
                <w:bCs/>
                <w:color w:val="000000"/>
                <w:lang w:eastAsia="en-GB"/>
              </w:rPr>
            </w:pPr>
            <w:r w:rsidRPr="000B4E2C">
              <w:rPr>
                <w:b/>
                <w:bCs/>
                <w:lang w:eastAsia="en-GB"/>
              </w:rPr>
              <w:t>(95% CI)</w:t>
            </w:r>
          </w:p>
        </w:tc>
        <w:tc>
          <w:tcPr>
            <w:tcW w:w="0" w:type="auto"/>
            <w:shd w:val="clear" w:color="auto" w:fill="auto"/>
            <w:vAlign w:val="center"/>
            <w:hideMark/>
          </w:tcPr>
          <w:p w14:paraId="1F3DB9C4" w14:textId="77777777" w:rsidR="002F0133" w:rsidRPr="000B4E2C" w:rsidRDefault="002F0133" w:rsidP="008A7464">
            <w:pPr>
              <w:jc w:val="center"/>
              <w:rPr>
                <w:b/>
                <w:bCs/>
                <w:lang w:eastAsia="en-GB"/>
              </w:rPr>
            </w:pPr>
            <w:r w:rsidRPr="000B4E2C">
              <w:rPr>
                <w:b/>
                <w:bCs/>
                <w:lang w:eastAsia="en-GB"/>
              </w:rPr>
              <w:t>AUC</w:t>
            </w:r>
          </w:p>
          <w:p w14:paraId="1E0C5CBC" w14:textId="77777777" w:rsidR="002F0133" w:rsidRPr="000B4E2C" w:rsidRDefault="002F0133" w:rsidP="008A7464">
            <w:pPr>
              <w:jc w:val="center"/>
              <w:rPr>
                <w:b/>
                <w:bCs/>
                <w:color w:val="000000"/>
                <w:lang w:eastAsia="en-GB"/>
              </w:rPr>
            </w:pPr>
            <w:r w:rsidRPr="000B4E2C">
              <w:rPr>
                <w:b/>
                <w:bCs/>
                <w:lang w:eastAsia="en-GB"/>
              </w:rPr>
              <w:t>(95% CI or SE)</w:t>
            </w:r>
          </w:p>
        </w:tc>
        <w:tc>
          <w:tcPr>
            <w:tcW w:w="0" w:type="auto"/>
            <w:shd w:val="clear" w:color="auto" w:fill="auto"/>
            <w:vAlign w:val="center"/>
          </w:tcPr>
          <w:p w14:paraId="5B4E6B8A" w14:textId="77777777" w:rsidR="002F0133" w:rsidRPr="000B4E2C" w:rsidRDefault="002F0133" w:rsidP="008A7464">
            <w:pPr>
              <w:jc w:val="center"/>
              <w:rPr>
                <w:b/>
                <w:bCs/>
                <w:lang w:eastAsia="en-GB"/>
              </w:rPr>
            </w:pPr>
            <w:r w:rsidRPr="000B4E2C">
              <w:rPr>
                <w:b/>
                <w:bCs/>
                <w:lang w:eastAsia="en-GB"/>
              </w:rPr>
              <w:t>Prevalence of AKI</w:t>
            </w:r>
          </w:p>
        </w:tc>
      </w:tr>
      <w:tr w:rsidR="002F0133" w:rsidRPr="000B4E2C" w14:paraId="17289AAA" w14:textId="77777777" w:rsidTr="000B4E2C">
        <w:trPr>
          <w:cantSplit/>
        </w:trPr>
        <w:tc>
          <w:tcPr>
            <w:tcW w:w="0" w:type="auto"/>
            <w:shd w:val="clear" w:color="auto" w:fill="auto"/>
            <w:noWrap/>
            <w:vAlign w:val="center"/>
          </w:tcPr>
          <w:p w14:paraId="5F989AF9" w14:textId="38F11ADE" w:rsidR="002F0133" w:rsidRPr="000B4E2C" w:rsidRDefault="002F0133" w:rsidP="008A7464">
            <w:pPr>
              <w:jc w:val="center"/>
              <w:rPr>
                <w:color w:val="000000"/>
                <w:lang w:eastAsia="en-GB"/>
              </w:rPr>
            </w:pPr>
            <w:r w:rsidRPr="000B4E2C">
              <w:rPr>
                <w:lang w:eastAsia="en-GB"/>
              </w:rPr>
              <w:lastRenderedPageBreak/>
              <w:t>Parikh 2011</w:t>
            </w:r>
            <w:r w:rsidR="005B5026" w:rsidRPr="000B4E2C">
              <w:rPr>
                <w:noProof/>
                <w:vertAlign w:val="superscript"/>
                <w:lang w:eastAsia="en-GB"/>
              </w:rPr>
              <w:t>86</w:t>
            </w:r>
          </w:p>
        </w:tc>
        <w:tc>
          <w:tcPr>
            <w:tcW w:w="0" w:type="auto"/>
            <w:shd w:val="clear" w:color="auto" w:fill="auto"/>
            <w:noWrap/>
            <w:vAlign w:val="center"/>
          </w:tcPr>
          <w:p w14:paraId="7C7E3C70" w14:textId="77777777" w:rsidR="002F0133" w:rsidRPr="000B4E2C" w:rsidRDefault="002F0133" w:rsidP="008A7464">
            <w:pPr>
              <w:jc w:val="center"/>
              <w:rPr>
                <w:color w:val="000000"/>
                <w:lang w:eastAsia="en-GB"/>
              </w:rPr>
            </w:pPr>
            <w:r w:rsidRPr="000B4E2C">
              <w:rPr>
                <w:lang w:eastAsia="en-GB"/>
              </w:rPr>
              <w:t>Cardiac Surgery</w:t>
            </w:r>
          </w:p>
        </w:tc>
        <w:tc>
          <w:tcPr>
            <w:tcW w:w="0" w:type="auto"/>
            <w:shd w:val="clear" w:color="auto" w:fill="auto"/>
            <w:noWrap/>
            <w:vAlign w:val="center"/>
          </w:tcPr>
          <w:p w14:paraId="11E189CE" w14:textId="77777777" w:rsidR="002F0133" w:rsidRPr="000B4E2C" w:rsidRDefault="002F0133" w:rsidP="008A7464">
            <w:pPr>
              <w:jc w:val="center"/>
              <w:rPr>
                <w:color w:val="000000"/>
                <w:lang w:eastAsia="en-GB"/>
              </w:rPr>
            </w:pPr>
            <w:r w:rsidRPr="000B4E2C">
              <w:rPr>
                <w:lang w:eastAsia="en-GB"/>
              </w:rPr>
              <w:t>uNGAL, ARCHITECT, Abbott</w:t>
            </w:r>
          </w:p>
        </w:tc>
        <w:tc>
          <w:tcPr>
            <w:tcW w:w="0" w:type="auto"/>
            <w:shd w:val="clear" w:color="auto" w:fill="auto"/>
            <w:noWrap/>
            <w:vAlign w:val="center"/>
          </w:tcPr>
          <w:p w14:paraId="147053B8" w14:textId="77777777" w:rsidR="002F0133" w:rsidRPr="000B4E2C" w:rsidRDefault="002F0133" w:rsidP="008A7464">
            <w:pPr>
              <w:jc w:val="center"/>
              <w:rPr>
                <w:color w:val="000000"/>
                <w:lang w:eastAsia="en-GB"/>
              </w:rPr>
            </w:pPr>
            <w:r w:rsidRPr="000B4E2C">
              <w:rPr>
                <w:lang w:eastAsia="en-GB"/>
              </w:rPr>
              <w:t>ICU admission</w:t>
            </w:r>
          </w:p>
        </w:tc>
        <w:tc>
          <w:tcPr>
            <w:tcW w:w="0" w:type="auto"/>
            <w:shd w:val="clear" w:color="auto" w:fill="auto"/>
            <w:noWrap/>
            <w:vAlign w:val="center"/>
          </w:tcPr>
          <w:p w14:paraId="34486FF1" w14:textId="33FCD5D9" w:rsidR="002F0133" w:rsidRPr="000B4E2C" w:rsidRDefault="000B4E2C" w:rsidP="008A7464">
            <w:pPr>
              <w:jc w:val="center"/>
              <w:rPr>
                <w:color w:val="000000"/>
                <w:lang w:eastAsia="en-GB"/>
              </w:rPr>
            </w:pPr>
            <w:r w:rsidRPr="000B4E2C">
              <w:rPr>
                <w:color w:val="00B0F0"/>
                <w:lang w:eastAsia="en-GB"/>
              </w:rPr>
              <w:t>&gt;</w:t>
            </w:r>
            <w:r w:rsidRPr="000B4E2C">
              <w:rPr>
                <w:color w:val="00B0F0"/>
                <w:lang w:eastAsia="en-GB"/>
              </w:rPr>
              <w:t> </w:t>
            </w:r>
            <w:r w:rsidRPr="000B4E2C">
              <w:rPr>
                <w:color w:val="00B0F0"/>
                <w:lang w:eastAsia="en-GB"/>
              </w:rPr>
              <w:t>7</w:t>
            </w:r>
            <w:r w:rsidR="002F0133" w:rsidRPr="000B4E2C">
              <w:rPr>
                <w:lang w:eastAsia="en-GB"/>
              </w:rPr>
              <w:t>2 ng/mL</w:t>
            </w:r>
          </w:p>
        </w:tc>
        <w:tc>
          <w:tcPr>
            <w:tcW w:w="0" w:type="auto"/>
            <w:shd w:val="clear" w:color="auto" w:fill="auto"/>
            <w:noWrap/>
            <w:vAlign w:val="center"/>
          </w:tcPr>
          <w:p w14:paraId="59FB4FEF" w14:textId="70B9F186" w:rsidR="002F0133" w:rsidRPr="000B4E2C" w:rsidRDefault="002F0133" w:rsidP="008A7464">
            <w:pPr>
              <w:jc w:val="center"/>
              <w:rPr>
                <w:color w:val="000000"/>
                <w:lang w:eastAsia="en-GB"/>
              </w:rPr>
            </w:pPr>
            <w:r w:rsidRPr="000B4E2C">
              <w:rPr>
                <w:lang w:eastAsia="en-GB"/>
              </w:rPr>
              <w:t>0.42</w:t>
            </w:r>
            <w:r w:rsidR="000B4E2C" w:rsidRPr="000B4E2C">
              <w:rPr>
                <w:lang w:eastAsia="en-GB"/>
              </w:rPr>
              <w:t xml:space="preserve"> </w:t>
            </w:r>
          </w:p>
        </w:tc>
        <w:tc>
          <w:tcPr>
            <w:tcW w:w="0" w:type="auto"/>
            <w:shd w:val="clear" w:color="auto" w:fill="auto"/>
            <w:noWrap/>
            <w:vAlign w:val="center"/>
          </w:tcPr>
          <w:p w14:paraId="1936666F" w14:textId="73DD31E3" w:rsidR="002F0133" w:rsidRPr="000B4E2C" w:rsidRDefault="002F0133" w:rsidP="008A7464">
            <w:pPr>
              <w:jc w:val="center"/>
              <w:rPr>
                <w:color w:val="000000"/>
                <w:lang w:eastAsia="en-GB"/>
              </w:rPr>
            </w:pPr>
            <w:r w:rsidRPr="000B4E2C">
              <w:rPr>
                <w:lang w:eastAsia="en-GB"/>
              </w:rPr>
              <w:t>0.85</w:t>
            </w:r>
            <w:r w:rsidR="000B4E2C" w:rsidRPr="000B4E2C">
              <w:rPr>
                <w:lang w:eastAsia="en-GB"/>
              </w:rPr>
              <w:t xml:space="preserve"> </w:t>
            </w:r>
          </w:p>
        </w:tc>
        <w:tc>
          <w:tcPr>
            <w:tcW w:w="0" w:type="auto"/>
            <w:shd w:val="clear" w:color="auto" w:fill="auto"/>
            <w:noWrap/>
            <w:vAlign w:val="center"/>
          </w:tcPr>
          <w:p w14:paraId="5704654C" w14:textId="49A00AF8" w:rsidR="002F0133" w:rsidRPr="000B4E2C" w:rsidRDefault="002F0133" w:rsidP="008A7464">
            <w:pPr>
              <w:jc w:val="center"/>
              <w:rPr>
                <w:color w:val="000000"/>
                <w:lang w:eastAsia="en-GB"/>
              </w:rPr>
            </w:pPr>
            <w:r w:rsidRPr="000B4E2C">
              <w:rPr>
                <w:lang w:eastAsia="en-GB"/>
              </w:rPr>
              <w:t>0.71</w:t>
            </w:r>
            <w:r w:rsidR="000B4E2C" w:rsidRPr="000B4E2C">
              <w:rPr>
                <w:lang w:eastAsia="en-GB"/>
              </w:rPr>
              <w:t xml:space="preserve"> </w:t>
            </w:r>
          </w:p>
        </w:tc>
        <w:tc>
          <w:tcPr>
            <w:tcW w:w="0" w:type="auto"/>
            <w:shd w:val="clear" w:color="auto" w:fill="auto"/>
          </w:tcPr>
          <w:p w14:paraId="5EAEFE8E" w14:textId="77777777" w:rsidR="002F0133" w:rsidRPr="000B4E2C" w:rsidRDefault="002F0133" w:rsidP="008A7464">
            <w:pPr>
              <w:jc w:val="center"/>
              <w:rPr>
                <w:lang w:eastAsia="en-GB"/>
              </w:rPr>
            </w:pPr>
          </w:p>
          <w:p w14:paraId="7A6887A4" w14:textId="77777777" w:rsidR="002F0133" w:rsidRPr="000B4E2C" w:rsidRDefault="002F0133" w:rsidP="008A7464">
            <w:pPr>
              <w:jc w:val="center"/>
              <w:rPr>
                <w:lang w:eastAsia="en-GB"/>
              </w:rPr>
            </w:pPr>
            <w:r w:rsidRPr="000B4E2C">
              <w:rPr>
                <w:lang w:eastAsia="en-GB"/>
              </w:rPr>
              <w:t>0.17</w:t>
            </w:r>
          </w:p>
        </w:tc>
      </w:tr>
      <w:tr w:rsidR="002F0133" w:rsidRPr="000B4E2C" w14:paraId="59B0C22E" w14:textId="77777777" w:rsidTr="000B4E2C">
        <w:trPr>
          <w:cantSplit/>
        </w:trPr>
        <w:tc>
          <w:tcPr>
            <w:tcW w:w="0" w:type="auto"/>
            <w:shd w:val="clear" w:color="auto" w:fill="auto"/>
            <w:noWrap/>
            <w:vAlign w:val="center"/>
          </w:tcPr>
          <w:p w14:paraId="0BC21772" w14:textId="6543BA51" w:rsidR="002F0133" w:rsidRPr="000B4E2C" w:rsidRDefault="002F0133" w:rsidP="008A7464">
            <w:pPr>
              <w:jc w:val="center"/>
              <w:rPr>
                <w:color w:val="000000"/>
                <w:lang w:eastAsia="en-GB"/>
              </w:rPr>
            </w:pPr>
            <w:r w:rsidRPr="000B4E2C">
              <w:rPr>
                <w:lang w:eastAsia="en-GB"/>
              </w:rPr>
              <w:t>Cantinotti 2012</w:t>
            </w:r>
            <w:r w:rsidR="005B5026" w:rsidRPr="000B4E2C">
              <w:rPr>
                <w:noProof/>
                <w:vertAlign w:val="superscript"/>
                <w:lang w:eastAsia="en-GB"/>
              </w:rPr>
              <w:t>90</w:t>
            </w:r>
          </w:p>
        </w:tc>
        <w:tc>
          <w:tcPr>
            <w:tcW w:w="0" w:type="auto"/>
            <w:shd w:val="clear" w:color="auto" w:fill="auto"/>
            <w:noWrap/>
            <w:vAlign w:val="center"/>
          </w:tcPr>
          <w:p w14:paraId="300A1FEB" w14:textId="77777777" w:rsidR="002F0133" w:rsidRPr="000B4E2C" w:rsidRDefault="002F0133" w:rsidP="008A7464">
            <w:pPr>
              <w:jc w:val="center"/>
              <w:rPr>
                <w:color w:val="000000"/>
                <w:lang w:eastAsia="en-GB"/>
              </w:rPr>
            </w:pPr>
            <w:r w:rsidRPr="000B4E2C">
              <w:rPr>
                <w:lang w:eastAsia="en-GB"/>
              </w:rPr>
              <w:t>Cardiac Surgery</w:t>
            </w:r>
          </w:p>
        </w:tc>
        <w:tc>
          <w:tcPr>
            <w:tcW w:w="0" w:type="auto"/>
            <w:shd w:val="clear" w:color="auto" w:fill="auto"/>
            <w:noWrap/>
            <w:vAlign w:val="center"/>
          </w:tcPr>
          <w:p w14:paraId="0F775A5C" w14:textId="77777777" w:rsidR="002F0133" w:rsidRPr="000B4E2C" w:rsidRDefault="002F0133" w:rsidP="008A7464">
            <w:pPr>
              <w:jc w:val="center"/>
              <w:rPr>
                <w:color w:val="000000"/>
                <w:lang w:eastAsia="en-GB"/>
              </w:rPr>
            </w:pPr>
            <w:r w:rsidRPr="000B4E2C">
              <w:rPr>
                <w:lang w:eastAsia="en-GB"/>
              </w:rPr>
              <w:t>uNGAL, ARCHITECT, Abbott</w:t>
            </w:r>
          </w:p>
        </w:tc>
        <w:tc>
          <w:tcPr>
            <w:tcW w:w="0" w:type="auto"/>
            <w:shd w:val="clear" w:color="auto" w:fill="auto"/>
            <w:noWrap/>
            <w:vAlign w:val="center"/>
          </w:tcPr>
          <w:p w14:paraId="70D222AF" w14:textId="6713B4DE" w:rsidR="002F0133" w:rsidRPr="000B4E2C" w:rsidRDefault="000B4E2C" w:rsidP="008A7464">
            <w:pPr>
              <w:jc w:val="center"/>
              <w:rPr>
                <w:color w:val="000000"/>
                <w:lang w:eastAsia="en-GB"/>
              </w:rPr>
            </w:pPr>
            <w:r w:rsidRPr="000B4E2C">
              <w:rPr>
                <w:color w:val="00B0F0"/>
                <w:lang w:eastAsia="en-GB"/>
              </w:rPr>
              <w:t>2</w:t>
            </w:r>
            <w:r w:rsidRPr="000B4E2C">
              <w:rPr>
                <w:color w:val="00B0F0"/>
                <w:lang w:eastAsia="en-GB"/>
              </w:rPr>
              <w:t> </w:t>
            </w:r>
            <w:r w:rsidRPr="000B4E2C">
              <w:rPr>
                <w:color w:val="00B0F0"/>
                <w:lang w:eastAsia="en-GB"/>
              </w:rPr>
              <w:t xml:space="preserve">h </w:t>
            </w:r>
            <w:r w:rsidR="002F0133" w:rsidRPr="000B4E2C">
              <w:rPr>
                <w:lang w:eastAsia="en-GB"/>
              </w:rPr>
              <w:t>after surgery</w:t>
            </w:r>
          </w:p>
        </w:tc>
        <w:tc>
          <w:tcPr>
            <w:tcW w:w="0" w:type="auto"/>
            <w:shd w:val="clear" w:color="auto" w:fill="auto"/>
            <w:noWrap/>
            <w:vAlign w:val="center"/>
          </w:tcPr>
          <w:p w14:paraId="4889744E" w14:textId="77777777" w:rsidR="002F0133" w:rsidRPr="000B4E2C" w:rsidRDefault="002F0133" w:rsidP="008A7464">
            <w:pPr>
              <w:jc w:val="center"/>
              <w:rPr>
                <w:color w:val="000000"/>
                <w:lang w:eastAsia="en-GB"/>
              </w:rPr>
            </w:pPr>
            <w:r w:rsidRPr="000B4E2C">
              <w:rPr>
                <w:lang w:eastAsia="en-GB"/>
              </w:rPr>
              <w:t>49.9 ng/mL</w:t>
            </w:r>
          </w:p>
        </w:tc>
        <w:tc>
          <w:tcPr>
            <w:tcW w:w="0" w:type="auto"/>
            <w:shd w:val="clear" w:color="auto" w:fill="auto"/>
            <w:noWrap/>
            <w:vAlign w:val="center"/>
          </w:tcPr>
          <w:p w14:paraId="5C3FC15B" w14:textId="56CE9CDD" w:rsidR="002F0133" w:rsidRPr="000B4E2C" w:rsidRDefault="002F0133" w:rsidP="008A7464">
            <w:pPr>
              <w:jc w:val="center"/>
              <w:rPr>
                <w:color w:val="000000"/>
                <w:lang w:eastAsia="en-GB"/>
              </w:rPr>
            </w:pPr>
            <w:r w:rsidRPr="000B4E2C">
              <w:rPr>
                <w:lang w:eastAsia="en-GB"/>
              </w:rPr>
              <w:t>0.784</w:t>
            </w:r>
            <w:r w:rsidR="000B4E2C" w:rsidRPr="000B4E2C">
              <w:rPr>
                <w:lang w:eastAsia="en-GB"/>
              </w:rPr>
              <w:t xml:space="preserve"> </w:t>
            </w:r>
          </w:p>
        </w:tc>
        <w:tc>
          <w:tcPr>
            <w:tcW w:w="0" w:type="auto"/>
            <w:shd w:val="clear" w:color="auto" w:fill="auto"/>
            <w:noWrap/>
            <w:vAlign w:val="center"/>
          </w:tcPr>
          <w:p w14:paraId="14E9A4EA" w14:textId="641004C0" w:rsidR="002F0133" w:rsidRPr="000B4E2C" w:rsidRDefault="002F0133" w:rsidP="008A7464">
            <w:pPr>
              <w:jc w:val="center"/>
              <w:rPr>
                <w:color w:val="000000"/>
                <w:lang w:eastAsia="en-GB"/>
              </w:rPr>
            </w:pPr>
            <w:r w:rsidRPr="000B4E2C">
              <w:rPr>
                <w:lang w:eastAsia="en-GB"/>
              </w:rPr>
              <w:t>0.815</w:t>
            </w:r>
            <w:r w:rsidR="000B4E2C" w:rsidRPr="000B4E2C">
              <w:rPr>
                <w:lang w:eastAsia="en-GB"/>
              </w:rPr>
              <w:t xml:space="preserve"> </w:t>
            </w:r>
          </w:p>
        </w:tc>
        <w:tc>
          <w:tcPr>
            <w:tcW w:w="0" w:type="auto"/>
            <w:shd w:val="clear" w:color="auto" w:fill="auto"/>
            <w:noWrap/>
            <w:vAlign w:val="center"/>
          </w:tcPr>
          <w:p w14:paraId="5CDB154B" w14:textId="77777777" w:rsidR="000B4E2C" w:rsidRPr="000B4E2C" w:rsidRDefault="002F0133" w:rsidP="008A7464">
            <w:pPr>
              <w:jc w:val="center"/>
              <w:rPr>
                <w:lang w:eastAsia="en-GB"/>
              </w:rPr>
            </w:pPr>
            <w:r w:rsidRPr="000B4E2C">
              <w:rPr>
                <w:lang w:eastAsia="en-GB"/>
              </w:rPr>
              <w:t>0.85</w:t>
            </w:r>
          </w:p>
          <w:p w14:paraId="5AE5FE63" w14:textId="19C605D9" w:rsidR="002F0133" w:rsidRPr="000B4E2C" w:rsidRDefault="002F0133" w:rsidP="008A7464">
            <w:pPr>
              <w:jc w:val="center"/>
              <w:rPr>
                <w:color w:val="000000"/>
                <w:lang w:eastAsia="en-GB"/>
              </w:rPr>
            </w:pPr>
            <w:r w:rsidRPr="000B4E2C">
              <w:rPr>
                <w:lang w:eastAsia="en-GB"/>
              </w:rPr>
              <w:t>(0.03)</w:t>
            </w:r>
          </w:p>
        </w:tc>
        <w:tc>
          <w:tcPr>
            <w:tcW w:w="0" w:type="auto"/>
            <w:shd w:val="clear" w:color="auto" w:fill="auto"/>
          </w:tcPr>
          <w:p w14:paraId="445CFAE6" w14:textId="77777777" w:rsidR="002F0133" w:rsidRPr="000B4E2C" w:rsidRDefault="002F0133" w:rsidP="008A7464">
            <w:pPr>
              <w:jc w:val="center"/>
              <w:rPr>
                <w:lang w:eastAsia="en-GB"/>
              </w:rPr>
            </w:pPr>
          </w:p>
          <w:p w14:paraId="3E1228B7" w14:textId="77777777" w:rsidR="002F0133" w:rsidRPr="000B4E2C" w:rsidRDefault="002F0133" w:rsidP="008A7464">
            <w:pPr>
              <w:jc w:val="center"/>
              <w:rPr>
                <w:lang w:eastAsia="en-GB"/>
              </w:rPr>
            </w:pPr>
            <w:r w:rsidRPr="000B4E2C">
              <w:rPr>
                <w:lang w:eastAsia="en-GB"/>
              </w:rPr>
              <w:t>0.27</w:t>
            </w:r>
          </w:p>
        </w:tc>
      </w:tr>
      <w:tr w:rsidR="002F0133" w:rsidRPr="000B4E2C" w14:paraId="02AC8891" w14:textId="77777777" w:rsidTr="000B4E2C">
        <w:trPr>
          <w:cantSplit/>
        </w:trPr>
        <w:tc>
          <w:tcPr>
            <w:tcW w:w="0" w:type="auto"/>
            <w:shd w:val="clear" w:color="auto" w:fill="auto"/>
            <w:noWrap/>
            <w:vAlign w:val="center"/>
            <w:hideMark/>
          </w:tcPr>
          <w:p w14:paraId="6D164669" w14:textId="67747760" w:rsidR="002F0133" w:rsidRPr="000B4E2C" w:rsidRDefault="002F0133" w:rsidP="008A7464">
            <w:pPr>
              <w:jc w:val="center"/>
              <w:rPr>
                <w:color w:val="000000"/>
                <w:lang w:eastAsia="en-GB"/>
              </w:rPr>
            </w:pPr>
            <w:r w:rsidRPr="000B4E2C">
              <w:rPr>
                <w:lang w:eastAsia="en-GB"/>
              </w:rPr>
              <w:t>Bennett 2013</w:t>
            </w:r>
            <w:r w:rsidR="005B5026" w:rsidRPr="000B4E2C">
              <w:rPr>
                <w:noProof/>
                <w:vertAlign w:val="superscript"/>
                <w:lang w:eastAsia="en-GB"/>
              </w:rPr>
              <w:t>89</w:t>
            </w:r>
          </w:p>
        </w:tc>
        <w:tc>
          <w:tcPr>
            <w:tcW w:w="0" w:type="auto"/>
            <w:shd w:val="clear" w:color="auto" w:fill="auto"/>
            <w:noWrap/>
            <w:vAlign w:val="center"/>
            <w:hideMark/>
          </w:tcPr>
          <w:p w14:paraId="0A9812F9" w14:textId="77777777" w:rsidR="002F0133" w:rsidRPr="000B4E2C" w:rsidRDefault="002F0133" w:rsidP="008A7464">
            <w:pPr>
              <w:jc w:val="center"/>
              <w:rPr>
                <w:color w:val="000000"/>
                <w:lang w:eastAsia="en-GB"/>
              </w:rPr>
            </w:pPr>
            <w:r w:rsidRPr="000B4E2C">
              <w:rPr>
                <w:lang w:eastAsia="en-GB"/>
              </w:rPr>
              <w:t>Cardiac Surgery</w:t>
            </w:r>
          </w:p>
        </w:tc>
        <w:tc>
          <w:tcPr>
            <w:tcW w:w="0" w:type="auto"/>
            <w:shd w:val="clear" w:color="auto" w:fill="auto"/>
            <w:noWrap/>
            <w:vAlign w:val="center"/>
            <w:hideMark/>
          </w:tcPr>
          <w:p w14:paraId="071C926F" w14:textId="77777777" w:rsidR="002F0133" w:rsidRPr="000B4E2C" w:rsidRDefault="002F0133" w:rsidP="008A7464">
            <w:pPr>
              <w:jc w:val="center"/>
              <w:rPr>
                <w:color w:val="000000"/>
                <w:lang w:eastAsia="en-GB"/>
              </w:rPr>
            </w:pPr>
            <w:r w:rsidRPr="000B4E2C">
              <w:rPr>
                <w:lang w:eastAsia="en-GB"/>
              </w:rPr>
              <w:t>uNGAL, ARCHITECT, Abbott</w:t>
            </w:r>
          </w:p>
        </w:tc>
        <w:tc>
          <w:tcPr>
            <w:tcW w:w="0" w:type="auto"/>
            <w:shd w:val="clear" w:color="auto" w:fill="auto"/>
            <w:noWrap/>
            <w:vAlign w:val="center"/>
            <w:hideMark/>
          </w:tcPr>
          <w:p w14:paraId="6E2A53BC" w14:textId="20F5DBB5" w:rsidR="002F0133" w:rsidRPr="000B4E2C" w:rsidRDefault="000B4E2C" w:rsidP="008A7464">
            <w:pPr>
              <w:jc w:val="center"/>
              <w:rPr>
                <w:color w:val="000000"/>
                <w:lang w:eastAsia="en-GB"/>
              </w:rPr>
            </w:pPr>
            <w:r w:rsidRPr="000B4E2C">
              <w:rPr>
                <w:color w:val="00B0F0"/>
                <w:lang w:eastAsia="en-GB"/>
              </w:rPr>
              <w:t>2</w:t>
            </w:r>
            <w:r w:rsidRPr="000B4E2C">
              <w:rPr>
                <w:color w:val="00B0F0"/>
                <w:lang w:eastAsia="en-GB"/>
              </w:rPr>
              <w:t> </w:t>
            </w:r>
            <w:r w:rsidRPr="000B4E2C">
              <w:rPr>
                <w:color w:val="00B0F0"/>
                <w:lang w:eastAsia="en-GB"/>
              </w:rPr>
              <w:t xml:space="preserve">h </w:t>
            </w:r>
            <w:r w:rsidR="002F0133" w:rsidRPr="000B4E2C">
              <w:rPr>
                <w:lang w:eastAsia="en-GB"/>
              </w:rPr>
              <w:t>after surgery</w:t>
            </w:r>
          </w:p>
        </w:tc>
        <w:tc>
          <w:tcPr>
            <w:tcW w:w="0" w:type="auto"/>
            <w:shd w:val="clear" w:color="auto" w:fill="auto"/>
            <w:noWrap/>
            <w:vAlign w:val="center"/>
            <w:hideMark/>
          </w:tcPr>
          <w:p w14:paraId="68DB41F7" w14:textId="6E2B0013" w:rsidR="002F0133" w:rsidRPr="000B4E2C" w:rsidRDefault="000B4E2C" w:rsidP="008A7464">
            <w:pPr>
              <w:jc w:val="center"/>
              <w:rPr>
                <w:color w:val="000000"/>
                <w:lang w:eastAsia="en-GB"/>
              </w:rPr>
            </w:pPr>
            <w:r w:rsidRPr="000B4E2C">
              <w:rPr>
                <w:color w:val="00B0F0"/>
                <w:lang w:eastAsia="en-GB"/>
              </w:rPr>
              <w:t>&gt;</w:t>
            </w:r>
            <w:r w:rsidRPr="000B4E2C">
              <w:rPr>
                <w:color w:val="00B0F0"/>
                <w:lang w:eastAsia="en-GB"/>
              </w:rPr>
              <w:t> </w:t>
            </w:r>
            <w:r w:rsidRPr="000B4E2C">
              <w:rPr>
                <w:color w:val="00B0F0"/>
                <w:lang w:eastAsia="en-GB"/>
              </w:rPr>
              <w:t>1</w:t>
            </w:r>
            <w:r w:rsidR="002F0133" w:rsidRPr="000B4E2C">
              <w:rPr>
                <w:lang w:eastAsia="en-GB"/>
              </w:rPr>
              <w:t>50 ng/mL</w:t>
            </w:r>
          </w:p>
        </w:tc>
        <w:tc>
          <w:tcPr>
            <w:tcW w:w="0" w:type="auto"/>
            <w:shd w:val="clear" w:color="auto" w:fill="auto"/>
            <w:noWrap/>
            <w:vAlign w:val="center"/>
            <w:hideMark/>
          </w:tcPr>
          <w:p w14:paraId="5CA15D68" w14:textId="77777777" w:rsidR="000B4E2C" w:rsidRPr="000B4E2C" w:rsidRDefault="002F0133" w:rsidP="008A7464">
            <w:pPr>
              <w:jc w:val="center"/>
              <w:rPr>
                <w:lang w:eastAsia="en-GB"/>
              </w:rPr>
            </w:pPr>
            <w:r w:rsidRPr="000B4E2C">
              <w:rPr>
                <w:lang w:eastAsia="en-GB"/>
              </w:rPr>
              <w:t>0.79</w:t>
            </w:r>
          </w:p>
          <w:p w14:paraId="16D4B1D5" w14:textId="5BCCD8AD" w:rsidR="002F0133" w:rsidRPr="000B4E2C" w:rsidRDefault="002F0133" w:rsidP="008A7464">
            <w:pPr>
              <w:jc w:val="center"/>
              <w:rPr>
                <w:color w:val="000000"/>
                <w:lang w:eastAsia="en-GB"/>
              </w:rPr>
            </w:pPr>
            <w:r w:rsidRPr="000B4E2C">
              <w:rPr>
                <w:lang w:eastAsia="en-GB"/>
              </w:rPr>
              <w:t>(0.69, 0.86)</w:t>
            </w:r>
          </w:p>
        </w:tc>
        <w:tc>
          <w:tcPr>
            <w:tcW w:w="0" w:type="auto"/>
            <w:shd w:val="clear" w:color="auto" w:fill="auto"/>
            <w:noWrap/>
            <w:vAlign w:val="center"/>
            <w:hideMark/>
          </w:tcPr>
          <w:p w14:paraId="6DCC4C3B" w14:textId="77777777" w:rsidR="000B4E2C" w:rsidRPr="000B4E2C" w:rsidRDefault="002F0133" w:rsidP="008A7464">
            <w:pPr>
              <w:jc w:val="center"/>
              <w:rPr>
                <w:lang w:eastAsia="en-GB"/>
              </w:rPr>
            </w:pPr>
            <w:r w:rsidRPr="000B4E2C">
              <w:rPr>
                <w:lang w:eastAsia="en-GB"/>
              </w:rPr>
              <w:t>0.92</w:t>
            </w:r>
          </w:p>
          <w:p w14:paraId="1E436E0F" w14:textId="35894296" w:rsidR="002F0133" w:rsidRPr="000B4E2C" w:rsidRDefault="002F0133" w:rsidP="008A7464">
            <w:pPr>
              <w:jc w:val="center"/>
              <w:rPr>
                <w:color w:val="000000"/>
                <w:lang w:eastAsia="en-GB"/>
              </w:rPr>
            </w:pPr>
            <w:r w:rsidRPr="000B4E2C">
              <w:rPr>
                <w:lang w:eastAsia="en-GB"/>
              </w:rPr>
              <w:t>(0.84, 0.96)</w:t>
            </w:r>
          </w:p>
        </w:tc>
        <w:tc>
          <w:tcPr>
            <w:tcW w:w="0" w:type="auto"/>
            <w:shd w:val="clear" w:color="auto" w:fill="auto"/>
            <w:noWrap/>
            <w:vAlign w:val="center"/>
            <w:hideMark/>
          </w:tcPr>
          <w:p w14:paraId="1BE1F1EB" w14:textId="09A7D3E6" w:rsidR="002F0133" w:rsidRPr="000B4E2C" w:rsidRDefault="002F0133" w:rsidP="008A7464">
            <w:pPr>
              <w:jc w:val="center"/>
              <w:rPr>
                <w:color w:val="000000"/>
                <w:lang w:eastAsia="en-GB"/>
              </w:rPr>
            </w:pPr>
            <w:r w:rsidRPr="000B4E2C">
              <w:rPr>
                <w:lang w:eastAsia="en-GB"/>
              </w:rPr>
              <w:t>0.93</w:t>
            </w:r>
            <w:r w:rsidR="000B4E2C" w:rsidRPr="000B4E2C">
              <w:rPr>
                <w:lang w:eastAsia="en-GB"/>
              </w:rPr>
              <w:t xml:space="preserve"> </w:t>
            </w:r>
          </w:p>
        </w:tc>
        <w:tc>
          <w:tcPr>
            <w:tcW w:w="0" w:type="auto"/>
            <w:shd w:val="clear" w:color="auto" w:fill="auto"/>
          </w:tcPr>
          <w:p w14:paraId="460A8E40" w14:textId="77777777" w:rsidR="002F0133" w:rsidRPr="000B4E2C" w:rsidRDefault="002F0133" w:rsidP="008A7464">
            <w:pPr>
              <w:jc w:val="center"/>
              <w:rPr>
                <w:lang w:eastAsia="en-GB"/>
              </w:rPr>
            </w:pPr>
          </w:p>
          <w:p w14:paraId="1E000AD6" w14:textId="77777777" w:rsidR="002F0133" w:rsidRPr="000B4E2C" w:rsidRDefault="002F0133" w:rsidP="008A7464">
            <w:pPr>
              <w:jc w:val="center"/>
              <w:rPr>
                <w:lang w:eastAsia="en-GB"/>
              </w:rPr>
            </w:pPr>
            <w:r w:rsidRPr="000B4E2C">
              <w:rPr>
                <w:lang w:eastAsia="en-GB"/>
              </w:rPr>
              <w:t>0.50</w:t>
            </w:r>
          </w:p>
        </w:tc>
      </w:tr>
      <w:tr w:rsidR="002F0133" w:rsidRPr="000B4E2C" w14:paraId="414A797C" w14:textId="77777777" w:rsidTr="000B4E2C">
        <w:trPr>
          <w:cantSplit/>
        </w:trPr>
        <w:tc>
          <w:tcPr>
            <w:tcW w:w="0" w:type="auto"/>
            <w:shd w:val="clear" w:color="auto" w:fill="auto"/>
            <w:noWrap/>
            <w:vAlign w:val="center"/>
          </w:tcPr>
          <w:p w14:paraId="2FFFC778" w14:textId="0EF05213" w:rsidR="002F0133" w:rsidRPr="000B4E2C" w:rsidRDefault="002F0133" w:rsidP="008A7464">
            <w:pPr>
              <w:jc w:val="center"/>
              <w:rPr>
                <w:color w:val="000000"/>
                <w:lang w:eastAsia="en-GB"/>
              </w:rPr>
            </w:pPr>
            <w:r w:rsidRPr="000B4E2C">
              <w:rPr>
                <w:lang w:eastAsia="en-GB"/>
              </w:rPr>
              <w:t>Seitz 2013</w:t>
            </w:r>
            <w:r w:rsidR="005B5026" w:rsidRPr="000B4E2C">
              <w:rPr>
                <w:noProof/>
                <w:vertAlign w:val="superscript"/>
                <w:lang w:eastAsia="en-GB"/>
              </w:rPr>
              <w:t>92</w:t>
            </w:r>
          </w:p>
        </w:tc>
        <w:tc>
          <w:tcPr>
            <w:tcW w:w="0" w:type="auto"/>
            <w:shd w:val="clear" w:color="auto" w:fill="auto"/>
            <w:noWrap/>
            <w:vAlign w:val="center"/>
          </w:tcPr>
          <w:p w14:paraId="02940132" w14:textId="77777777" w:rsidR="002F0133" w:rsidRPr="000B4E2C" w:rsidRDefault="002F0133" w:rsidP="008A7464">
            <w:pPr>
              <w:jc w:val="center"/>
              <w:rPr>
                <w:color w:val="000000"/>
                <w:lang w:eastAsia="en-GB"/>
              </w:rPr>
            </w:pPr>
            <w:r w:rsidRPr="000B4E2C">
              <w:rPr>
                <w:lang w:eastAsia="en-GB"/>
              </w:rPr>
              <w:t>Cardiac Surgery</w:t>
            </w:r>
          </w:p>
        </w:tc>
        <w:tc>
          <w:tcPr>
            <w:tcW w:w="0" w:type="auto"/>
            <w:shd w:val="clear" w:color="auto" w:fill="auto"/>
            <w:noWrap/>
            <w:vAlign w:val="center"/>
          </w:tcPr>
          <w:p w14:paraId="02FE80EF" w14:textId="77777777" w:rsidR="002F0133" w:rsidRPr="000B4E2C" w:rsidRDefault="002F0133" w:rsidP="008A7464">
            <w:pPr>
              <w:jc w:val="center"/>
              <w:rPr>
                <w:color w:val="000000"/>
                <w:lang w:eastAsia="en-GB"/>
              </w:rPr>
            </w:pPr>
            <w:r w:rsidRPr="000B4E2C">
              <w:rPr>
                <w:lang w:eastAsia="en-GB"/>
              </w:rPr>
              <w:t>uNGAL, ARCHITECT, Abbott</w:t>
            </w:r>
          </w:p>
        </w:tc>
        <w:tc>
          <w:tcPr>
            <w:tcW w:w="0" w:type="auto"/>
            <w:shd w:val="clear" w:color="auto" w:fill="auto"/>
            <w:noWrap/>
            <w:vAlign w:val="center"/>
          </w:tcPr>
          <w:p w14:paraId="78A4F2EA" w14:textId="6DAA7684" w:rsidR="002F0133" w:rsidRPr="000B4E2C" w:rsidRDefault="000B4E2C" w:rsidP="008A7464">
            <w:pPr>
              <w:jc w:val="center"/>
              <w:rPr>
                <w:color w:val="000000"/>
                <w:lang w:eastAsia="en-GB"/>
              </w:rPr>
            </w:pPr>
            <w:r w:rsidRPr="000B4E2C">
              <w:rPr>
                <w:color w:val="00B0F0"/>
                <w:lang w:eastAsia="en-GB"/>
              </w:rPr>
              <w:t>2</w:t>
            </w:r>
            <w:r w:rsidRPr="000B4E2C">
              <w:rPr>
                <w:color w:val="00B0F0"/>
                <w:lang w:eastAsia="en-GB"/>
              </w:rPr>
              <w:t> </w:t>
            </w:r>
            <w:r w:rsidRPr="000B4E2C">
              <w:rPr>
                <w:color w:val="00B0F0"/>
                <w:lang w:eastAsia="en-GB"/>
              </w:rPr>
              <w:t xml:space="preserve">h </w:t>
            </w:r>
            <w:r w:rsidR="002F0133" w:rsidRPr="000B4E2C">
              <w:rPr>
                <w:lang w:eastAsia="en-GB"/>
              </w:rPr>
              <w:t>after end of surgery</w:t>
            </w:r>
          </w:p>
        </w:tc>
        <w:tc>
          <w:tcPr>
            <w:tcW w:w="0" w:type="auto"/>
            <w:shd w:val="clear" w:color="auto" w:fill="auto"/>
            <w:noWrap/>
            <w:vAlign w:val="center"/>
          </w:tcPr>
          <w:p w14:paraId="6B0804A5" w14:textId="77777777" w:rsidR="002F0133" w:rsidRPr="000B4E2C" w:rsidRDefault="002F0133" w:rsidP="008A7464">
            <w:pPr>
              <w:jc w:val="center"/>
              <w:rPr>
                <w:color w:val="000000"/>
                <w:lang w:eastAsia="en-GB"/>
              </w:rPr>
            </w:pPr>
            <w:r w:rsidRPr="000B4E2C">
              <w:rPr>
                <w:lang w:eastAsia="en-GB"/>
              </w:rPr>
              <w:t>27.6 ng/mL</w:t>
            </w:r>
          </w:p>
        </w:tc>
        <w:tc>
          <w:tcPr>
            <w:tcW w:w="0" w:type="auto"/>
            <w:shd w:val="clear" w:color="auto" w:fill="auto"/>
            <w:noWrap/>
            <w:vAlign w:val="center"/>
          </w:tcPr>
          <w:p w14:paraId="2DA71A10" w14:textId="628EC08D" w:rsidR="002F0133" w:rsidRPr="000B4E2C" w:rsidRDefault="002F0133" w:rsidP="008A7464">
            <w:pPr>
              <w:jc w:val="center"/>
              <w:rPr>
                <w:color w:val="000000"/>
                <w:lang w:eastAsia="en-GB"/>
              </w:rPr>
            </w:pPr>
            <w:r w:rsidRPr="000B4E2C">
              <w:rPr>
                <w:lang w:eastAsia="en-GB"/>
              </w:rPr>
              <w:t>0.55</w:t>
            </w:r>
            <w:r w:rsidR="000B4E2C" w:rsidRPr="000B4E2C">
              <w:rPr>
                <w:lang w:eastAsia="en-GB"/>
              </w:rPr>
              <w:t xml:space="preserve"> </w:t>
            </w:r>
          </w:p>
        </w:tc>
        <w:tc>
          <w:tcPr>
            <w:tcW w:w="0" w:type="auto"/>
            <w:shd w:val="clear" w:color="auto" w:fill="auto"/>
            <w:noWrap/>
            <w:vAlign w:val="center"/>
          </w:tcPr>
          <w:p w14:paraId="7E9FB5D8" w14:textId="0CC80993" w:rsidR="002F0133" w:rsidRPr="000B4E2C" w:rsidRDefault="002F0133" w:rsidP="008A7464">
            <w:pPr>
              <w:jc w:val="center"/>
              <w:rPr>
                <w:color w:val="000000"/>
                <w:lang w:eastAsia="en-GB"/>
              </w:rPr>
            </w:pPr>
            <w:r w:rsidRPr="000B4E2C">
              <w:rPr>
                <w:lang w:eastAsia="en-GB"/>
              </w:rPr>
              <w:t>0.43</w:t>
            </w:r>
            <w:r w:rsidR="000B4E2C" w:rsidRPr="000B4E2C">
              <w:rPr>
                <w:lang w:eastAsia="en-GB"/>
              </w:rPr>
              <w:t xml:space="preserve"> </w:t>
            </w:r>
          </w:p>
        </w:tc>
        <w:tc>
          <w:tcPr>
            <w:tcW w:w="0" w:type="auto"/>
            <w:shd w:val="clear" w:color="auto" w:fill="auto"/>
            <w:noWrap/>
            <w:vAlign w:val="center"/>
          </w:tcPr>
          <w:p w14:paraId="50101E19" w14:textId="0F5DF26B" w:rsidR="002F0133" w:rsidRPr="000B4E2C" w:rsidRDefault="002F0133" w:rsidP="008A7464">
            <w:pPr>
              <w:jc w:val="center"/>
              <w:rPr>
                <w:color w:val="000000"/>
                <w:lang w:eastAsia="en-GB"/>
              </w:rPr>
            </w:pPr>
            <w:r w:rsidRPr="000B4E2C">
              <w:rPr>
                <w:lang w:eastAsia="en-GB"/>
              </w:rPr>
              <w:t>0.56</w:t>
            </w:r>
            <w:r w:rsidR="000B4E2C" w:rsidRPr="000B4E2C">
              <w:rPr>
                <w:lang w:eastAsia="en-GB"/>
              </w:rPr>
              <w:t xml:space="preserve"> </w:t>
            </w:r>
          </w:p>
        </w:tc>
        <w:tc>
          <w:tcPr>
            <w:tcW w:w="0" w:type="auto"/>
            <w:shd w:val="clear" w:color="auto" w:fill="auto"/>
          </w:tcPr>
          <w:p w14:paraId="155F7E06" w14:textId="77777777" w:rsidR="002F0133" w:rsidRPr="000B4E2C" w:rsidRDefault="002F0133" w:rsidP="008A7464">
            <w:pPr>
              <w:jc w:val="center"/>
              <w:rPr>
                <w:lang w:eastAsia="en-GB"/>
              </w:rPr>
            </w:pPr>
          </w:p>
          <w:p w14:paraId="0B7276F6" w14:textId="77777777" w:rsidR="002F0133" w:rsidRPr="000B4E2C" w:rsidRDefault="002F0133" w:rsidP="008A7464">
            <w:pPr>
              <w:jc w:val="center"/>
              <w:rPr>
                <w:lang w:eastAsia="en-GB"/>
              </w:rPr>
            </w:pPr>
            <w:r w:rsidRPr="000B4E2C">
              <w:rPr>
                <w:lang w:eastAsia="en-GB"/>
              </w:rPr>
              <w:t>0.55</w:t>
            </w:r>
          </w:p>
        </w:tc>
      </w:tr>
      <w:tr w:rsidR="002F0133" w:rsidRPr="000B4E2C" w14:paraId="5219F766" w14:textId="77777777" w:rsidTr="000B4E2C">
        <w:trPr>
          <w:cantSplit/>
        </w:trPr>
        <w:tc>
          <w:tcPr>
            <w:tcW w:w="0" w:type="auto"/>
            <w:shd w:val="clear" w:color="auto" w:fill="auto"/>
            <w:noWrap/>
            <w:vAlign w:val="center"/>
          </w:tcPr>
          <w:p w14:paraId="612353C6" w14:textId="00DA3E00" w:rsidR="002F0133" w:rsidRPr="000B4E2C" w:rsidRDefault="002F0133" w:rsidP="008A7464">
            <w:pPr>
              <w:jc w:val="center"/>
              <w:rPr>
                <w:color w:val="000000"/>
                <w:lang w:eastAsia="en-GB"/>
              </w:rPr>
            </w:pPr>
            <w:r w:rsidRPr="000B4E2C">
              <w:rPr>
                <w:lang w:eastAsia="en-GB"/>
              </w:rPr>
              <w:t>Alcaraz 2014</w:t>
            </w:r>
            <w:r w:rsidR="005B5026" w:rsidRPr="000B4E2C">
              <w:rPr>
                <w:noProof/>
                <w:vertAlign w:val="superscript"/>
                <w:lang w:eastAsia="en-GB"/>
              </w:rPr>
              <w:t>91</w:t>
            </w:r>
          </w:p>
        </w:tc>
        <w:tc>
          <w:tcPr>
            <w:tcW w:w="0" w:type="auto"/>
            <w:shd w:val="clear" w:color="auto" w:fill="auto"/>
            <w:noWrap/>
            <w:vAlign w:val="center"/>
          </w:tcPr>
          <w:p w14:paraId="2351C8F2" w14:textId="77777777" w:rsidR="002F0133" w:rsidRPr="000B4E2C" w:rsidRDefault="002F0133" w:rsidP="008A7464">
            <w:pPr>
              <w:jc w:val="center"/>
              <w:rPr>
                <w:color w:val="000000"/>
                <w:lang w:eastAsia="en-GB"/>
              </w:rPr>
            </w:pPr>
            <w:r w:rsidRPr="000B4E2C">
              <w:rPr>
                <w:lang w:eastAsia="en-GB"/>
              </w:rPr>
              <w:t>Cardiac Surgery</w:t>
            </w:r>
          </w:p>
        </w:tc>
        <w:tc>
          <w:tcPr>
            <w:tcW w:w="0" w:type="auto"/>
            <w:shd w:val="clear" w:color="auto" w:fill="auto"/>
            <w:noWrap/>
            <w:vAlign w:val="center"/>
          </w:tcPr>
          <w:p w14:paraId="1396A29D" w14:textId="77777777" w:rsidR="002F0133" w:rsidRPr="000B4E2C" w:rsidRDefault="002F0133" w:rsidP="008A7464">
            <w:pPr>
              <w:jc w:val="center"/>
              <w:rPr>
                <w:color w:val="000000"/>
                <w:lang w:eastAsia="en-GB"/>
              </w:rPr>
            </w:pPr>
            <w:r w:rsidRPr="000B4E2C">
              <w:rPr>
                <w:lang w:eastAsia="en-GB"/>
              </w:rPr>
              <w:t>uNGAL, ARCHITECT, Abbott</w:t>
            </w:r>
          </w:p>
        </w:tc>
        <w:tc>
          <w:tcPr>
            <w:tcW w:w="0" w:type="auto"/>
            <w:shd w:val="clear" w:color="auto" w:fill="auto"/>
            <w:noWrap/>
            <w:vAlign w:val="center"/>
          </w:tcPr>
          <w:p w14:paraId="14E92B71" w14:textId="77777777" w:rsidR="002F0133" w:rsidRPr="000B4E2C" w:rsidRDefault="002F0133" w:rsidP="008A7464">
            <w:pPr>
              <w:jc w:val="center"/>
              <w:rPr>
                <w:color w:val="000000"/>
                <w:lang w:eastAsia="en-GB"/>
              </w:rPr>
            </w:pPr>
            <w:r w:rsidRPr="000B4E2C">
              <w:rPr>
                <w:lang w:eastAsia="en-GB"/>
              </w:rPr>
              <w:t>ICU admission</w:t>
            </w:r>
          </w:p>
        </w:tc>
        <w:tc>
          <w:tcPr>
            <w:tcW w:w="0" w:type="auto"/>
            <w:shd w:val="clear" w:color="auto" w:fill="auto"/>
            <w:noWrap/>
            <w:vAlign w:val="center"/>
          </w:tcPr>
          <w:p w14:paraId="50344FB0" w14:textId="77777777" w:rsidR="002F0133" w:rsidRPr="000B4E2C" w:rsidRDefault="002F0133" w:rsidP="008A7464">
            <w:pPr>
              <w:jc w:val="center"/>
              <w:rPr>
                <w:color w:val="000000"/>
                <w:lang w:eastAsia="en-GB"/>
              </w:rPr>
            </w:pPr>
            <w:r w:rsidRPr="000B4E2C">
              <w:rPr>
                <w:lang w:eastAsia="en-GB"/>
              </w:rPr>
              <w:t>100 ng/mL</w:t>
            </w:r>
          </w:p>
        </w:tc>
        <w:tc>
          <w:tcPr>
            <w:tcW w:w="0" w:type="auto"/>
            <w:shd w:val="clear" w:color="auto" w:fill="auto"/>
            <w:noWrap/>
            <w:vAlign w:val="center"/>
          </w:tcPr>
          <w:p w14:paraId="01E1F147" w14:textId="3529DB9F" w:rsidR="002F0133" w:rsidRPr="000B4E2C" w:rsidRDefault="002F0133" w:rsidP="008A7464">
            <w:pPr>
              <w:jc w:val="center"/>
              <w:rPr>
                <w:color w:val="000000"/>
                <w:lang w:eastAsia="en-GB"/>
              </w:rPr>
            </w:pPr>
            <w:r w:rsidRPr="000B4E2C">
              <w:rPr>
                <w:lang w:eastAsia="en-GB"/>
              </w:rPr>
              <w:t>0.82</w:t>
            </w:r>
            <w:r w:rsidR="000B4E2C" w:rsidRPr="000B4E2C">
              <w:rPr>
                <w:lang w:eastAsia="en-GB"/>
              </w:rPr>
              <w:t xml:space="preserve"> </w:t>
            </w:r>
          </w:p>
        </w:tc>
        <w:tc>
          <w:tcPr>
            <w:tcW w:w="0" w:type="auto"/>
            <w:shd w:val="clear" w:color="auto" w:fill="auto"/>
            <w:noWrap/>
            <w:vAlign w:val="center"/>
          </w:tcPr>
          <w:p w14:paraId="53F1D834" w14:textId="731DECB3" w:rsidR="002F0133" w:rsidRPr="000B4E2C" w:rsidRDefault="002F0133" w:rsidP="008A7464">
            <w:pPr>
              <w:jc w:val="center"/>
              <w:rPr>
                <w:color w:val="000000"/>
                <w:lang w:eastAsia="en-GB"/>
              </w:rPr>
            </w:pPr>
            <w:r w:rsidRPr="000B4E2C">
              <w:rPr>
                <w:lang w:eastAsia="en-GB"/>
              </w:rPr>
              <w:t>0.76</w:t>
            </w:r>
            <w:r w:rsidR="000B4E2C" w:rsidRPr="000B4E2C">
              <w:rPr>
                <w:lang w:eastAsia="en-GB"/>
              </w:rPr>
              <w:t xml:space="preserve"> </w:t>
            </w:r>
          </w:p>
        </w:tc>
        <w:tc>
          <w:tcPr>
            <w:tcW w:w="0" w:type="auto"/>
            <w:shd w:val="clear" w:color="auto" w:fill="auto"/>
            <w:noWrap/>
            <w:vAlign w:val="center"/>
          </w:tcPr>
          <w:p w14:paraId="6BCA39D2" w14:textId="77777777" w:rsidR="000B4E2C" w:rsidRPr="000B4E2C" w:rsidRDefault="002F0133" w:rsidP="008A7464">
            <w:pPr>
              <w:jc w:val="center"/>
              <w:rPr>
                <w:lang w:eastAsia="en-GB"/>
              </w:rPr>
            </w:pPr>
            <w:r w:rsidRPr="000B4E2C">
              <w:rPr>
                <w:lang w:eastAsia="en-GB"/>
              </w:rPr>
              <w:t>0.84</w:t>
            </w:r>
          </w:p>
          <w:p w14:paraId="227A36A8" w14:textId="5195682C" w:rsidR="002F0133" w:rsidRPr="000B4E2C" w:rsidRDefault="002F0133" w:rsidP="008A7464">
            <w:pPr>
              <w:jc w:val="center"/>
              <w:rPr>
                <w:color w:val="000000"/>
                <w:lang w:eastAsia="en-GB"/>
              </w:rPr>
            </w:pPr>
            <w:r w:rsidRPr="000B4E2C">
              <w:rPr>
                <w:lang w:eastAsia="en-GB"/>
              </w:rPr>
              <w:t>(0.76, 0.92)</w:t>
            </w:r>
          </w:p>
        </w:tc>
        <w:tc>
          <w:tcPr>
            <w:tcW w:w="0" w:type="auto"/>
            <w:shd w:val="clear" w:color="auto" w:fill="auto"/>
          </w:tcPr>
          <w:p w14:paraId="458FA09A" w14:textId="77777777" w:rsidR="002F0133" w:rsidRPr="000B4E2C" w:rsidRDefault="002F0133" w:rsidP="008A7464">
            <w:pPr>
              <w:jc w:val="center"/>
              <w:rPr>
                <w:lang w:eastAsia="en-GB"/>
              </w:rPr>
            </w:pPr>
          </w:p>
          <w:p w14:paraId="321105D8" w14:textId="77777777" w:rsidR="002F0133" w:rsidRPr="000B4E2C" w:rsidRDefault="002F0133" w:rsidP="008A7464">
            <w:pPr>
              <w:jc w:val="center"/>
              <w:rPr>
                <w:lang w:eastAsia="en-GB"/>
              </w:rPr>
            </w:pPr>
            <w:r w:rsidRPr="000B4E2C">
              <w:rPr>
                <w:lang w:eastAsia="en-GB"/>
              </w:rPr>
              <w:t>0.34</w:t>
            </w:r>
          </w:p>
        </w:tc>
      </w:tr>
      <w:tr w:rsidR="002F0133" w:rsidRPr="000B4E2C" w14:paraId="64661FF7" w14:textId="77777777" w:rsidTr="000B4E2C">
        <w:trPr>
          <w:cantSplit/>
        </w:trPr>
        <w:tc>
          <w:tcPr>
            <w:tcW w:w="0" w:type="auto"/>
            <w:shd w:val="clear" w:color="auto" w:fill="auto"/>
            <w:noWrap/>
            <w:vAlign w:val="center"/>
          </w:tcPr>
          <w:p w14:paraId="4934EC48" w14:textId="134C334C" w:rsidR="002F0133" w:rsidRPr="000B4E2C" w:rsidRDefault="002F0133" w:rsidP="008A7464">
            <w:pPr>
              <w:jc w:val="center"/>
              <w:rPr>
                <w:color w:val="000000"/>
                <w:lang w:eastAsia="en-GB"/>
              </w:rPr>
            </w:pPr>
            <w:r w:rsidRPr="000B4E2C">
              <w:rPr>
                <w:lang w:eastAsia="en-GB"/>
              </w:rPr>
              <w:t>Yang 2017</w:t>
            </w:r>
            <w:r w:rsidR="005B5026" w:rsidRPr="000B4E2C">
              <w:rPr>
                <w:noProof/>
                <w:vertAlign w:val="superscript"/>
                <w:lang w:eastAsia="en-GB"/>
              </w:rPr>
              <w:t>67</w:t>
            </w:r>
          </w:p>
        </w:tc>
        <w:tc>
          <w:tcPr>
            <w:tcW w:w="0" w:type="auto"/>
            <w:shd w:val="clear" w:color="auto" w:fill="auto"/>
            <w:noWrap/>
            <w:vAlign w:val="center"/>
          </w:tcPr>
          <w:p w14:paraId="0E595309" w14:textId="77777777" w:rsidR="002F0133" w:rsidRPr="000B4E2C" w:rsidRDefault="002F0133" w:rsidP="008A7464">
            <w:pPr>
              <w:rPr>
                <w:lang w:eastAsia="en-GB"/>
              </w:rPr>
            </w:pPr>
          </w:p>
          <w:p w14:paraId="13D341AF" w14:textId="77777777" w:rsidR="002F0133" w:rsidRPr="000B4E2C" w:rsidRDefault="002F0133" w:rsidP="008A7464">
            <w:pPr>
              <w:jc w:val="center"/>
              <w:rPr>
                <w:lang w:eastAsia="en-GB"/>
              </w:rPr>
            </w:pPr>
            <w:r w:rsidRPr="000B4E2C">
              <w:rPr>
                <w:lang w:eastAsia="en-GB"/>
              </w:rPr>
              <w:t>Cardiac Surgery</w:t>
            </w:r>
          </w:p>
          <w:p w14:paraId="2A8BA001" w14:textId="77777777" w:rsidR="002F0133" w:rsidRPr="000B4E2C" w:rsidRDefault="002F0133" w:rsidP="008A7464">
            <w:pPr>
              <w:jc w:val="center"/>
              <w:rPr>
                <w:color w:val="000000"/>
                <w:lang w:eastAsia="en-GB"/>
              </w:rPr>
            </w:pPr>
          </w:p>
        </w:tc>
        <w:tc>
          <w:tcPr>
            <w:tcW w:w="0" w:type="auto"/>
            <w:shd w:val="clear" w:color="auto" w:fill="auto"/>
            <w:noWrap/>
            <w:vAlign w:val="center"/>
          </w:tcPr>
          <w:p w14:paraId="49862080" w14:textId="0835C237" w:rsidR="002F0133" w:rsidRPr="000B4E2C" w:rsidRDefault="002F0133" w:rsidP="008A7464">
            <w:pPr>
              <w:jc w:val="center"/>
              <w:rPr>
                <w:color w:val="000000"/>
                <w:lang w:eastAsia="en-GB"/>
              </w:rPr>
            </w:pPr>
            <w:r w:rsidRPr="000B4E2C">
              <w:rPr>
                <w:lang w:eastAsia="en-GB"/>
              </w:rPr>
              <w:t xml:space="preserve">uNGAL, </w:t>
            </w:r>
            <w:r w:rsidR="009D7F5A" w:rsidRPr="000B4E2C">
              <w:rPr>
                <w:lang w:eastAsia="en-GB"/>
              </w:rPr>
              <w:t>BioPorto</w:t>
            </w:r>
          </w:p>
        </w:tc>
        <w:tc>
          <w:tcPr>
            <w:tcW w:w="0" w:type="auto"/>
            <w:shd w:val="clear" w:color="auto" w:fill="auto"/>
            <w:noWrap/>
            <w:vAlign w:val="center"/>
          </w:tcPr>
          <w:p w14:paraId="3999BC0C" w14:textId="6CA24E21" w:rsidR="002F0133" w:rsidRPr="000B4E2C" w:rsidRDefault="000B4E2C" w:rsidP="008A7464">
            <w:pPr>
              <w:jc w:val="center"/>
              <w:rPr>
                <w:color w:val="000000"/>
                <w:lang w:eastAsia="en-GB"/>
              </w:rPr>
            </w:pPr>
            <w:r w:rsidRPr="000B4E2C">
              <w:rPr>
                <w:color w:val="00B0F0"/>
                <w:lang w:eastAsia="en-GB"/>
              </w:rPr>
              <w:t>6</w:t>
            </w:r>
            <w:r w:rsidRPr="000B4E2C">
              <w:rPr>
                <w:color w:val="00B0F0"/>
                <w:lang w:eastAsia="en-GB"/>
              </w:rPr>
              <w:t> </w:t>
            </w:r>
            <w:r w:rsidRPr="000B4E2C">
              <w:rPr>
                <w:color w:val="00B0F0"/>
                <w:lang w:eastAsia="en-GB"/>
              </w:rPr>
              <w:t xml:space="preserve">h </w:t>
            </w:r>
            <w:r w:rsidR="002F0133" w:rsidRPr="000B4E2C">
              <w:rPr>
                <w:lang w:eastAsia="en-GB"/>
              </w:rPr>
              <w:t>after surgery</w:t>
            </w:r>
          </w:p>
        </w:tc>
        <w:tc>
          <w:tcPr>
            <w:tcW w:w="0" w:type="auto"/>
            <w:shd w:val="clear" w:color="auto" w:fill="auto"/>
            <w:noWrap/>
            <w:vAlign w:val="center"/>
          </w:tcPr>
          <w:p w14:paraId="59CFE143" w14:textId="77777777" w:rsidR="002F0133" w:rsidRPr="000B4E2C" w:rsidRDefault="002F0133" w:rsidP="008A7464">
            <w:pPr>
              <w:jc w:val="center"/>
              <w:rPr>
                <w:color w:val="000000"/>
                <w:lang w:eastAsia="en-GB"/>
              </w:rPr>
            </w:pPr>
            <w:r w:rsidRPr="000B4E2C">
              <w:rPr>
                <w:lang w:eastAsia="en-GB"/>
              </w:rPr>
              <w:t>186µg/g Cr</w:t>
            </w:r>
          </w:p>
        </w:tc>
        <w:tc>
          <w:tcPr>
            <w:tcW w:w="0" w:type="auto"/>
            <w:shd w:val="clear" w:color="auto" w:fill="auto"/>
            <w:noWrap/>
            <w:vAlign w:val="center"/>
          </w:tcPr>
          <w:p w14:paraId="1701BD6E" w14:textId="6F0FA263" w:rsidR="002F0133" w:rsidRPr="000B4E2C" w:rsidRDefault="002F0133" w:rsidP="008A7464">
            <w:pPr>
              <w:jc w:val="center"/>
              <w:rPr>
                <w:color w:val="000000"/>
                <w:lang w:eastAsia="en-GB"/>
              </w:rPr>
            </w:pPr>
            <w:r w:rsidRPr="000B4E2C">
              <w:rPr>
                <w:lang w:eastAsia="en-GB"/>
              </w:rPr>
              <w:t>0.77</w:t>
            </w:r>
            <w:r w:rsidR="000B4E2C" w:rsidRPr="000B4E2C">
              <w:rPr>
                <w:lang w:eastAsia="en-GB"/>
              </w:rPr>
              <w:t xml:space="preserve"> </w:t>
            </w:r>
          </w:p>
        </w:tc>
        <w:tc>
          <w:tcPr>
            <w:tcW w:w="0" w:type="auto"/>
            <w:shd w:val="clear" w:color="auto" w:fill="auto"/>
            <w:noWrap/>
            <w:vAlign w:val="center"/>
          </w:tcPr>
          <w:p w14:paraId="38CCE2A1" w14:textId="2DF48010" w:rsidR="002F0133" w:rsidRPr="000B4E2C" w:rsidRDefault="002F0133" w:rsidP="008A7464">
            <w:pPr>
              <w:jc w:val="center"/>
              <w:rPr>
                <w:color w:val="000000"/>
                <w:lang w:eastAsia="en-GB"/>
              </w:rPr>
            </w:pPr>
            <w:r w:rsidRPr="000B4E2C">
              <w:rPr>
                <w:lang w:eastAsia="en-GB"/>
              </w:rPr>
              <w:t>0.47</w:t>
            </w:r>
            <w:r w:rsidR="000B4E2C" w:rsidRPr="000B4E2C">
              <w:rPr>
                <w:lang w:eastAsia="en-GB"/>
              </w:rPr>
              <w:t xml:space="preserve"> </w:t>
            </w:r>
          </w:p>
        </w:tc>
        <w:tc>
          <w:tcPr>
            <w:tcW w:w="0" w:type="auto"/>
            <w:shd w:val="clear" w:color="auto" w:fill="auto"/>
            <w:noWrap/>
            <w:vAlign w:val="center"/>
          </w:tcPr>
          <w:p w14:paraId="07B9BAB2" w14:textId="77777777" w:rsidR="000B4E2C" w:rsidRPr="000B4E2C" w:rsidRDefault="002F0133" w:rsidP="008A7464">
            <w:pPr>
              <w:jc w:val="center"/>
              <w:rPr>
                <w:lang w:eastAsia="en-GB"/>
              </w:rPr>
            </w:pPr>
            <w:r w:rsidRPr="000B4E2C">
              <w:rPr>
                <w:lang w:eastAsia="en-GB"/>
              </w:rPr>
              <w:t>0.72</w:t>
            </w:r>
          </w:p>
          <w:p w14:paraId="6B6D6DF0" w14:textId="48192553" w:rsidR="002F0133" w:rsidRPr="000B4E2C" w:rsidRDefault="002F0133" w:rsidP="008A7464">
            <w:pPr>
              <w:jc w:val="center"/>
              <w:rPr>
                <w:color w:val="000000"/>
                <w:lang w:eastAsia="en-GB"/>
              </w:rPr>
            </w:pPr>
            <w:r w:rsidRPr="000B4E2C">
              <w:rPr>
                <w:lang w:eastAsia="en-GB"/>
              </w:rPr>
              <w:t>(0.64, 0.80)</w:t>
            </w:r>
          </w:p>
        </w:tc>
        <w:tc>
          <w:tcPr>
            <w:tcW w:w="0" w:type="auto"/>
            <w:shd w:val="clear" w:color="auto" w:fill="auto"/>
          </w:tcPr>
          <w:p w14:paraId="601F915D" w14:textId="77777777" w:rsidR="002F0133" w:rsidRPr="000B4E2C" w:rsidRDefault="002F0133" w:rsidP="008A7464">
            <w:pPr>
              <w:jc w:val="center"/>
              <w:rPr>
                <w:lang w:eastAsia="en-GB"/>
              </w:rPr>
            </w:pPr>
          </w:p>
          <w:p w14:paraId="36187C52" w14:textId="77777777" w:rsidR="002F0133" w:rsidRPr="000B4E2C" w:rsidRDefault="002F0133" w:rsidP="008A7464">
            <w:pPr>
              <w:jc w:val="center"/>
              <w:rPr>
                <w:lang w:eastAsia="en-GB"/>
              </w:rPr>
            </w:pPr>
            <w:r w:rsidRPr="000B4E2C">
              <w:rPr>
                <w:lang w:eastAsia="en-GB"/>
              </w:rPr>
              <w:t>0.39</w:t>
            </w:r>
          </w:p>
        </w:tc>
      </w:tr>
      <w:tr w:rsidR="002F0133" w:rsidRPr="000B4E2C" w14:paraId="579AD4A2" w14:textId="77777777" w:rsidTr="000B4E2C">
        <w:trPr>
          <w:cantSplit/>
        </w:trPr>
        <w:tc>
          <w:tcPr>
            <w:tcW w:w="0" w:type="auto"/>
            <w:shd w:val="clear" w:color="auto" w:fill="auto"/>
            <w:noWrap/>
            <w:vAlign w:val="center"/>
          </w:tcPr>
          <w:p w14:paraId="3CE54031" w14:textId="445E6CCE" w:rsidR="002F0133" w:rsidRPr="000B4E2C" w:rsidRDefault="002F0133" w:rsidP="008A7464">
            <w:pPr>
              <w:jc w:val="center"/>
              <w:rPr>
                <w:color w:val="000000"/>
                <w:lang w:eastAsia="en-GB"/>
              </w:rPr>
            </w:pPr>
            <w:r w:rsidRPr="000B4E2C">
              <w:rPr>
                <w:lang w:eastAsia="en-GB"/>
              </w:rPr>
              <w:t>Zwiers 2015</w:t>
            </w:r>
            <w:r w:rsidR="005B5026" w:rsidRPr="000B4E2C">
              <w:rPr>
                <w:noProof/>
                <w:vertAlign w:val="superscript"/>
                <w:lang w:eastAsia="en-GB"/>
              </w:rPr>
              <w:t>93</w:t>
            </w:r>
          </w:p>
        </w:tc>
        <w:tc>
          <w:tcPr>
            <w:tcW w:w="0" w:type="auto"/>
            <w:shd w:val="clear" w:color="auto" w:fill="auto"/>
            <w:noWrap/>
            <w:vAlign w:val="center"/>
          </w:tcPr>
          <w:p w14:paraId="41DC5C23" w14:textId="48C1969A" w:rsidR="002F0133" w:rsidRPr="000B4E2C" w:rsidRDefault="002F0133" w:rsidP="008A7464">
            <w:pPr>
              <w:jc w:val="center"/>
              <w:rPr>
                <w:color w:val="000000"/>
                <w:lang w:eastAsia="en-GB"/>
              </w:rPr>
            </w:pPr>
            <w:r w:rsidRPr="000B4E2C">
              <w:rPr>
                <w:lang w:eastAsia="en-GB"/>
              </w:rPr>
              <w:t>Critical care</w:t>
            </w:r>
            <w:r w:rsidR="000B4E2C" w:rsidRPr="000B4E2C">
              <w:rPr>
                <w:color w:val="00B0F0"/>
                <w:lang w:eastAsia="en-GB"/>
              </w:rPr>
              <w:t xml:space="preserve"> – </w:t>
            </w:r>
            <w:r w:rsidRPr="000B4E2C">
              <w:rPr>
                <w:lang w:eastAsia="en-GB"/>
              </w:rPr>
              <w:t>mixed population (ICU/ITU)</w:t>
            </w:r>
          </w:p>
        </w:tc>
        <w:tc>
          <w:tcPr>
            <w:tcW w:w="0" w:type="auto"/>
            <w:shd w:val="clear" w:color="auto" w:fill="auto"/>
            <w:noWrap/>
            <w:vAlign w:val="center"/>
          </w:tcPr>
          <w:p w14:paraId="3DC7775E" w14:textId="77777777" w:rsidR="002F0133" w:rsidRPr="000B4E2C" w:rsidRDefault="002F0133" w:rsidP="008A7464">
            <w:pPr>
              <w:jc w:val="center"/>
              <w:rPr>
                <w:color w:val="000000"/>
                <w:lang w:eastAsia="en-GB"/>
              </w:rPr>
            </w:pPr>
            <w:r w:rsidRPr="000B4E2C">
              <w:rPr>
                <w:lang w:eastAsia="en-GB"/>
              </w:rPr>
              <w:t>uNGAL, ARCHITECT, Abbott</w:t>
            </w:r>
          </w:p>
        </w:tc>
        <w:tc>
          <w:tcPr>
            <w:tcW w:w="0" w:type="auto"/>
            <w:shd w:val="clear" w:color="auto" w:fill="auto"/>
            <w:noWrap/>
            <w:vAlign w:val="center"/>
          </w:tcPr>
          <w:p w14:paraId="283B2405" w14:textId="77777777" w:rsidR="002F0133" w:rsidRPr="000B4E2C" w:rsidRDefault="002F0133" w:rsidP="008A7464">
            <w:pPr>
              <w:jc w:val="center"/>
              <w:rPr>
                <w:color w:val="000000"/>
                <w:lang w:eastAsia="en-GB"/>
              </w:rPr>
            </w:pPr>
            <w:r w:rsidRPr="000B4E2C">
              <w:rPr>
                <w:lang w:eastAsia="en-GB"/>
              </w:rPr>
              <w:t>ICU admission</w:t>
            </w:r>
          </w:p>
        </w:tc>
        <w:tc>
          <w:tcPr>
            <w:tcW w:w="0" w:type="auto"/>
            <w:shd w:val="clear" w:color="auto" w:fill="auto"/>
            <w:noWrap/>
            <w:vAlign w:val="center"/>
          </w:tcPr>
          <w:p w14:paraId="7FE1A99B" w14:textId="77777777" w:rsidR="002F0133" w:rsidRPr="000B4E2C" w:rsidRDefault="002F0133" w:rsidP="008A7464">
            <w:pPr>
              <w:jc w:val="center"/>
              <w:rPr>
                <w:color w:val="000000"/>
                <w:lang w:eastAsia="en-GB"/>
              </w:rPr>
            </w:pPr>
            <w:r w:rsidRPr="000B4E2C">
              <w:rPr>
                <w:lang w:eastAsia="en-GB"/>
              </w:rPr>
              <w:t>126 ng/mL</w:t>
            </w:r>
          </w:p>
        </w:tc>
        <w:tc>
          <w:tcPr>
            <w:tcW w:w="0" w:type="auto"/>
            <w:shd w:val="clear" w:color="auto" w:fill="auto"/>
            <w:noWrap/>
            <w:vAlign w:val="center"/>
          </w:tcPr>
          <w:p w14:paraId="0F349EB1" w14:textId="47210244" w:rsidR="002F0133" w:rsidRPr="000B4E2C" w:rsidRDefault="002F0133" w:rsidP="008A7464">
            <w:pPr>
              <w:jc w:val="center"/>
              <w:rPr>
                <w:color w:val="000000"/>
                <w:lang w:eastAsia="en-GB"/>
              </w:rPr>
            </w:pPr>
            <w:r w:rsidRPr="000B4E2C">
              <w:rPr>
                <w:lang w:eastAsia="en-GB"/>
              </w:rPr>
              <w:t>0.76</w:t>
            </w:r>
            <w:r w:rsidR="000B4E2C" w:rsidRPr="000B4E2C">
              <w:rPr>
                <w:lang w:eastAsia="en-GB"/>
              </w:rPr>
              <w:t xml:space="preserve"> </w:t>
            </w:r>
          </w:p>
        </w:tc>
        <w:tc>
          <w:tcPr>
            <w:tcW w:w="0" w:type="auto"/>
            <w:shd w:val="clear" w:color="auto" w:fill="auto"/>
            <w:noWrap/>
            <w:vAlign w:val="center"/>
          </w:tcPr>
          <w:p w14:paraId="70B897AE" w14:textId="153B24D5" w:rsidR="002F0133" w:rsidRPr="000B4E2C" w:rsidRDefault="002F0133" w:rsidP="008A7464">
            <w:pPr>
              <w:jc w:val="center"/>
              <w:rPr>
                <w:color w:val="000000"/>
                <w:lang w:eastAsia="en-GB"/>
              </w:rPr>
            </w:pPr>
            <w:r w:rsidRPr="000B4E2C">
              <w:rPr>
                <w:lang w:eastAsia="en-GB"/>
              </w:rPr>
              <w:t>0.84</w:t>
            </w:r>
            <w:r w:rsidR="000B4E2C" w:rsidRPr="000B4E2C">
              <w:rPr>
                <w:lang w:eastAsia="en-GB"/>
              </w:rPr>
              <w:t xml:space="preserve"> </w:t>
            </w:r>
          </w:p>
        </w:tc>
        <w:tc>
          <w:tcPr>
            <w:tcW w:w="0" w:type="auto"/>
            <w:shd w:val="clear" w:color="auto" w:fill="auto"/>
            <w:noWrap/>
            <w:vAlign w:val="center"/>
          </w:tcPr>
          <w:p w14:paraId="461E3CBE" w14:textId="77777777" w:rsidR="000B4E2C" w:rsidRPr="000B4E2C" w:rsidRDefault="002F0133" w:rsidP="008A7464">
            <w:pPr>
              <w:jc w:val="center"/>
              <w:rPr>
                <w:lang w:eastAsia="en-GB"/>
              </w:rPr>
            </w:pPr>
            <w:r w:rsidRPr="000B4E2C">
              <w:rPr>
                <w:lang w:eastAsia="en-GB"/>
              </w:rPr>
              <w:t>0.81</w:t>
            </w:r>
          </w:p>
          <w:p w14:paraId="37843F14" w14:textId="7B3BF476" w:rsidR="002F0133" w:rsidRPr="000B4E2C" w:rsidRDefault="002F0133" w:rsidP="008A7464">
            <w:pPr>
              <w:jc w:val="center"/>
              <w:rPr>
                <w:color w:val="000000"/>
                <w:lang w:eastAsia="en-GB"/>
              </w:rPr>
            </w:pPr>
            <w:r w:rsidRPr="000B4E2C">
              <w:rPr>
                <w:lang w:eastAsia="en-GB"/>
              </w:rPr>
              <w:t>(0.68, 0.94)</w:t>
            </w:r>
          </w:p>
        </w:tc>
        <w:tc>
          <w:tcPr>
            <w:tcW w:w="0" w:type="auto"/>
            <w:shd w:val="clear" w:color="auto" w:fill="auto"/>
          </w:tcPr>
          <w:p w14:paraId="6774BC67" w14:textId="77777777" w:rsidR="002F0133" w:rsidRPr="000B4E2C" w:rsidRDefault="002F0133" w:rsidP="008A7464">
            <w:pPr>
              <w:jc w:val="center"/>
              <w:rPr>
                <w:lang w:eastAsia="en-GB"/>
              </w:rPr>
            </w:pPr>
          </w:p>
          <w:p w14:paraId="046CA8F8" w14:textId="77777777" w:rsidR="002F0133" w:rsidRPr="000B4E2C" w:rsidRDefault="002F0133" w:rsidP="008A7464">
            <w:pPr>
              <w:jc w:val="center"/>
              <w:rPr>
                <w:lang w:eastAsia="en-GB"/>
              </w:rPr>
            </w:pPr>
            <w:r w:rsidRPr="000B4E2C">
              <w:rPr>
                <w:lang w:eastAsia="en-GB"/>
              </w:rPr>
              <w:t>0.35</w:t>
            </w:r>
          </w:p>
        </w:tc>
      </w:tr>
    </w:tbl>
    <w:p w14:paraId="41B41B38" w14:textId="3FDE29D1" w:rsidR="002F0133" w:rsidRPr="000B4E2C" w:rsidRDefault="000B4E2C" w:rsidP="008A7464">
      <w:pPr>
        <w:pStyle w:val="Heading3"/>
      </w:pPr>
      <w:r w:rsidRPr="000B4E2C">
        <w:rPr>
          <w:szCs w:val="24"/>
        </w:rPr>
        <w:t xml:space="preserve"> </w:t>
      </w:r>
      <w:r w:rsidR="002F0133" w:rsidRPr="000B4E2C">
        <w:t>Urine NGAL ARCHITECT assay (Abbott)</w:t>
      </w:r>
      <w:r w:rsidRPr="000B4E2C">
        <w:rPr>
          <w:color w:val="00B0F0"/>
        </w:rPr>
        <w:t xml:space="preserve"> – </w:t>
      </w:r>
      <w:r w:rsidR="002F0133" w:rsidRPr="000B4E2C">
        <w:t>child population</w:t>
      </w:r>
    </w:p>
    <w:p w14:paraId="3D71AC76" w14:textId="77777777" w:rsidR="000B4E2C" w:rsidRPr="000B4E2C" w:rsidRDefault="002F0133" w:rsidP="008A7464">
      <w:pPr>
        <w:pStyle w:val="Heading4"/>
      </w:pPr>
      <w:r w:rsidRPr="000B4E2C">
        <w:t>Cardiac surgery</w:t>
      </w:r>
    </w:p>
    <w:p w14:paraId="65863C16" w14:textId="468EE4AE" w:rsidR="000B4E2C" w:rsidRPr="000B4E2C" w:rsidRDefault="002F0133" w:rsidP="008A7464">
      <w:pPr>
        <w:rPr>
          <w:szCs w:val="24"/>
        </w:rPr>
      </w:pPr>
      <w:r w:rsidRPr="000B4E2C">
        <w:rPr>
          <w:szCs w:val="24"/>
        </w:rPr>
        <w:t>Five studies</w:t>
      </w:r>
      <w:r w:rsidRPr="000B4E2C">
        <w:rPr>
          <w:i/>
          <w:szCs w:val="24"/>
        </w:rPr>
        <w:t xml:space="preserve"> </w:t>
      </w:r>
      <w:r w:rsidRPr="000B4E2C">
        <w:rPr>
          <w:szCs w:val="24"/>
        </w:rPr>
        <w:t>(887 children in total)</w:t>
      </w:r>
      <w:r w:rsidRPr="000B4E2C">
        <w:rPr>
          <w:i/>
          <w:szCs w:val="24"/>
        </w:rPr>
        <w:t xml:space="preserve"> </w:t>
      </w:r>
      <w:r w:rsidRPr="000B4E2C">
        <w:rPr>
          <w:szCs w:val="24"/>
        </w:rPr>
        <w:t xml:space="preserve">assessed the use of </w:t>
      </w:r>
      <w:r w:rsidR="00820E1E" w:rsidRPr="000B4E2C">
        <w:rPr>
          <w:szCs w:val="24"/>
        </w:rPr>
        <w:t xml:space="preserve">ARCHITECT </w:t>
      </w:r>
      <w:r w:rsidRPr="000B4E2C">
        <w:rPr>
          <w:szCs w:val="24"/>
        </w:rPr>
        <w:t>u</w:t>
      </w:r>
      <w:r w:rsidR="00820E1E" w:rsidRPr="000B4E2C">
        <w:rPr>
          <w:szCs w:val="24"/>
        </w:rPr>
        <w:t xml:space="preserve">rine </w:t>
      </w:r>
      <w:r w:rsidRPr="000B4E2C">
        <w:rPr>
          <w:szCs w:val="24"/>
        </w:rPr>
        <w:t xml:space="preserve">NGAL </w:t>
      </w:r>
      <w:r w:rsidR="00820E1E" w:rsidRPr="000B4E2C">
        <w:rPr>
          <w:szCs w:val="24"/>
        </w:rPr>
        <w:t xml:space="preserve">assay (Abbott) </w:t>
      </w:r>
      <w:r w:rsidRPr="000B4E2C">
        <w:rPr>
          <w:szCs w:val="24"/>
        </w:rPr>
        <w:t>for detection of AKI in children who underwent cardiac surgery</w:t>
      </w:r>
      <w:r w:rsidR="00225DEC" w:rsidRPr="000B4E2C">
        <w:rPr>
          <w:szCs w:val="24"/>
        </w:rPr>
        <w:t xml:space="preserve"> (see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9</w:t>
      </w:r>
      <w:r w:rsidR="00225DEC" w:rsidRPr="000B4E2C">
        <w:rPr>
          <w:szCs w:val="24"/>
        </w:rPr>
        <w:t>)</w:t>
      </w:r>
      <w:r w:rsidRPr="000B4E2C">
        <w:rPr>
          <w:szCs w:val="24"/>
        </w:rPr>
        <w:t xml:space="preserve">. Cut off used to define a positive test and timing of biomarkers measurements varied across studies. Prevalence of AKI ranged from 17% to 55% across studies. </w:t>
      </w:r>
      <w:r w:rsidR="000B4E2C" w:rsidRPr="000B4E2C">
        <w:rPr>
          <w:i/>
          <w:color w:val="FF0000"/>
          <w:szCs w:val="24"/>
        </w:rPr>
        <w:t>F</w:t>
      </w:r>
      <w:r w:rsidR="000B4E2C" w:rsidRPr="000B4E2C">
        <w:rPr>
          <w:i/>
          <w:color w:val="FF0000"/>
          <w:szCs w:val="24"/>
        </w:rPr>
        <w:t>igure</w:t>
      </w:r>
      <w:r w:rsidR="000B4E2C" w:rsidRPr="000B4E2C">
        <w:rPr>
          <w:i/>
          <w:color w:val="FF0000"/>
          <w:szCs w:val="24"/>
        </w:rPr>
        <w:t xml:space="preserve"> </w:t>
      </w:r>
      <w:r w:rsidR="000B4E2C" w:rsidRPr="000B4E2C">
        <w:rPr>
          <w:i/>
          <w:color w:val="FF0000"/>
          <w:szCs w:val="24"/>
        </w:rPr>
        <w:t>15</w:t>
      </w:r>
      <w:r w:rsidRPr="000B4E2C">
        <w:rPr>
          <w:szCs w:val="24"/>
        </w:rPr>
        <w:t xml:space="preserve"> </w:t>
      </w:r>
      <w:r w:rsidR="00225DEC" w:rsidRPr="000B4E2C">
        <w:rPr>
          <w:szCs w:val="24"/>
        </w:rPr>
        <w:t xml:space="preserve">shows </w:t>
      </w:r>
      <w:r w:rsidRPr="000B4E2C">
        <w:rPr>
          <w:szCs w:val="24"/>
        </w:rPr>
        <w:t>the forest plots of sensitivity and specificity</w:t>
      </w:r>
      <w:r w:rsidR="00225DEC" w:rsidRPr="000B4E2C">
        <w:rPr>
          <w:szCs w:val="24"/>
        </w:rPr>
        <w:t xml:space="preserve"> estimates across studies</w:t>
      </w:r>
      <w:r w:rsidRPr="000B4E2C">
        <w:rPr>
          <w:szCs w:val="24"/>
        </w:rPr>
        <w:t xml:space="preserve">. Sensitivity values ranged from 0.42 to 0.83 and specificity values from 0.43 to 0.92. The summary estimate of sensitivity was 0.68 (95% CI 0.53 to 0.80) and that of specificity 0.79 (95% CI 0.63 to 0.89). </w:t>
      </w:r>
      <w:r w:rsidR="000B4E2C" w:rsidRPr="000B4E2C">
        <w:rPr>
          <w:i/>
          <w:color w:val="FF0000"/>
          <w:szCs w:val="24"/>
        </w:rPr>
        <w:t>F</w:t>
      </w:r>
      <w:r w:rsidR="000B4E2C" w:rsidRPr="000B4E2C">
        <w:rPr>
          <w:i/>
          <w:color w:val="FF0000"/>
          <w:szCs w:val="24"/>
        </w:rPr>
        <w:t>igure</w:t>
      </w:r>
      <w:r w:rsidR="000B4E2C" w:rsidRPr="000B4E2C">
        <w:rPr>
          <w:i/>
          <w:color w:val="FF0000"/>
          <w:szCs w:val="24"/>
        </w:rPr>
        <w:t xml:space="preserve"> </w:t>
      </w:r>
      <w:r w:rsidR="000B4E2C" w:rsidRPr="000B4E2C">
        <w:rPr>
          <w:i/>
          <w:color w:val="FF0000"/>
          <w:szCs w:val="24"/>
        </w:rPr>
        <w:t>16</w:t>
      </w:r>
      <w:r w:rsidRPr="000B4E2C">
        <w:rPr>
          <w:szCs w:val="24"/>
        </w:rPr>
        <w:t xml:space="preserve"> shows the HSROC with 95% confidence region for the summary operating point and 95% prediction region. The confidence and prediction regions are very large indicating considerable heterogeneity between studies.</w:t>
      </w:r>
    </w:p>
    <w:p w14:paraId="6C5B717A" w14:textId="09CBA8FB" w:rsidR="000B4E2C" w:rsidRPr="000B4E2C" w:rsidRDefault="000B4E2C" w:rsidP="008A7464">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15</w:t>
      </w:r>
      <w:r w:rsidRPr="000B4E2C">
        <w:t xml:space="preserve"> </w:t>
      </w:r>
      <w:r w:rsidR="002F0133" w:rsidRPr="000B4E2C">
        <w:t xml:space="preserve">Forest plots of sensitivity and specificity for </w:t>
      </w:r>
      <w:r w:rsidR="00820E1E" w:rsidRPr="000B4E2C">
        <w:t xml:space="preserve">ARCHITECT </w:t>
      </w:r>
      <w:r w:rsidR="002F0133" w:rsidRPr="000B4E2C">
        <w:t>urine NGAL (Abbott) for detection of AKI in children</w:t>
      </w:r>
      <w:r w:rsidRPr="000B4E2C">
        <w:rPr>
          <w:color w:val="00B0F0"/>
        </w:rPr>
        <w:t xml:space="preserve"> – </w:t>
      </w:r>
      <w:r w:rsidR="002F0133" w:rsidRPr="000B4E2C">
        <w:t>cardiac surgery setting</w:t>
      </w:r>
    </w:p>
    <w:p w14:paraId="7CF9E35C" w14:textId="32E7FF0A" w:rsidR="000B4E2C" w:rsidRPr="000B4E2C" w:rsidRDefault="000B4E2C" w:rsidP="008A7464">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16</w:t>
      </w:r>
      <w:r w:rsidRPr="000B4E2C">
        <w:t xml:space="preserve"> </w:t>
      </w:r>
      <w:r w:rsidR="002F0133" w:rsidRPr="000B4E2C">
        <w:t xml:space="preserve">HSROC for </w:t>
      </w:r>
      <w:r w:rsidR="00225DEC" w:rsidRPr="000B4E2C">
        <w:t xml:space="preserve">ARCHITECT </w:t>
      </w:r>
      <w:r w:rsidR="002F0133" w:rsidRPr="000B4E2C">
        <w:t>urine NGAL (Abbott) studies for detection of AKI in chidlren</w:t>
      </w:r>
      <w:r w:rsidRPr="000B4E2C">
        <w:rPr>
          <w:color w:val="00B0F0"/>
        </w:rPr>
        <w:t xml:space="preserve"> – </w:t>
      </w:r>
      <w:r w:rsidR="002F0133" w:rsidRPr="000B4E2C">
        <w:t>cardiac surgery setting</w:t>
      </w:r>
    </w:p>
    <w:p w14:paraId="09A8C9CF" w14:textId="43B4996D" w:rsidR="000B4E2C" w:rsidRPr="000B4E2C" w:rsidRDefault="002F0133" w:rsidP="008A7464">
      <w:pPr>
        <w:pStyle w:val="Heading4"/>
      </w:pPr>
      <w:r w:rsidRPr="000B4E2C">
        <w:t>Critical care</w:t>
      </w:r>
      <w:r w:rsidR="000B4E2C" w:rsidRPr="000B4E2C">
        <w:rPr>
          <w:color w:val="00B0F0"/>
        </w:rPr>
        <w:t xml:space="preserve"> – </w:t>
      </w:r>
      <w:r w:rsidRPr="000B4E2C">
        <w:t>mixed population</w:t>
      </w:r>
    </w:p>
    <w:p w14:paraId="63E55575" w14:textId="1A82D93E" w:rsidR="000B4E2C" w:rsidRPr="000B4E2C" w:rsidRDefault="002F0133" w:rsidP="008A7464">
      <w:pPr>
        <w:rPr>
          <w:szCs w:val="24"/>
        </w:rPr>
      </w:pPr>
      <w:r w:rsidRPr="000B4E2C">
        <w:rPr>
          <w:szCs w:val="24"/>
        </w:rPr>
        <w:t>One study, Zwiers 2015</w:t>
      </w:r>
      <w:r w:rsidR="00723580" w:rsidRPr="000B4E2C">
        <w:rPr>
          <w:szCs w:val="24"/>
        </w:rPr>
        <w:t>,</w:t>
      </w:r>
      <w:r w:rsidR="005B5026" w:rsidRPr="000B4E2C">
        <w:rPr>
          <w:noProof/>
          <w:szCs w:val="24"/>
          <w:vertAlign w:val="superscript"/>
        </w:rPr>
        <w:t>93</w:t>
      </w:r>
      <w:r w:rsidRPr="000B4E2C">
        <w:rPr>
          <w:szCs w:val="24"/>
        </w:rPr>
        <w:t xml:space="preserve"> assessed the use of </w:t>
      </w:r>
      <w:r w:rsidR="0074098F" w:rsidRPr="000B4E2C">
        <w:rPr>
          <w:szCs w:val="24"/>
        </w:rPr>
        <w:t xml:space="preserve">ARCHITECT </w:t>
      </w:r>
      <w:r w:rsidRPr="000B4E2C">
        <w:rPr>
          <w:szCs w:val="24"/>
        </w:rPr>
        <w:t>u</w:t>
      </w:r>
      <w:r w:rsidR="0074098F" w:rsidRPr="000B4E2C">
        <w:rPr>
          <w:szCs w:val="24"/>
        </w:rPr>
        <w:t xml:space="preserve">rine </w:t>
      </w:r>
      <w:r w:rsidRPr="000B4E2C">
        <w:rPr>
          <w:szCs w:val="24"/>
        </w:rPr>
        <w:t xml:space="preserve">NGAL </w:t>
      </w:r>
      <w:r w:rsidR="0074098F" w:rsidRPr="000B4E2C">
        <w:rPr>
          <w:szCs w:val="24"/>
        </w:rPr>
        <w:t xml:space="preserve">assay </w:t>
      </w:r>
      <w:r w:rsidRPr="000B4E2C">
        <w:rPr>
          <w:szCs w:val="24"/>
        </w:rPr>
        <w:t>for detection of AKI in 324 children admitted to ICU or critical care for various clinical reasons</w:t>
      </w:r>
      <w:r w:rsidR="00062985" w:rsidRPr="000B4E2C">
        <w:rPr>
          <w:szCs w:val="24"/>
        </w:rPr>
        <w:t xml:space="preserve"> (see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9</w:t>
      </w:r>
      <w:r w:rsidR="00062985" w:rsidRPr="000B4E2C">
        <w:rPr>
          <w:szCs w:val="24"/>
        </w:rPr>
        <w:t>)</w:t>
      </w:r>
      <w:r w:rsidRPr="000B4E2C">
        <w:rPr>
          <w:szCs w:val="24"/>
        </w:rPr>
        <w:t>. The cut off was 126 ng/mL. The prevalence of AKI was 35%. The sensitivity and specificity values for the urine sample collected at ICU admission were 0.77 (95% CI 0.60 to 0.90) and 0.85 (95% CI 0.74 to 0.92), respectively. The prevalence of AKI in the study was 35%.</w:t>
      </w:r>
    </w:p>
    <w:p w14:paraId="21575B1B" w14:textId="7094F5C9" w:rsidR="000B4E2C" w:rsidRPr="000B4E2C" w:rsidRDefault="00225DEC" w:rsidP="008A7464">
      <w:pPr>
        <w:pStyle w:val="Heading3"/>
      </w:pPr>
      <w:r w:rsidRPr="000B4E2C">
        <w:t>BioPorto u</w:t>
      </w:r>
      <w:r w:rsidR="002F0133" w:rsidRPr="000B4E2C">
        <w:t>rine NGAL assay</w:t>
      </w:r>
      <w:r w:rsidR="000B4E2C" w:rsidRPr="000B4E2C">
        <w:rPr>
          <w:color w:val="00B0F0"/>
        </w:rPr>
        <w:t xml:space="preserve"> – </w:t>
      </w:r>
      <w:r w:rsidR="002F0133" w:rsidRPr="000B4E2C">
        <w:t>child population</w:t>
      </w:r>
    </w:p>
    <w:p w14:paraId="1780D50E" w14:textId="2B52C4DF" w:rsidR="002F0133" w:rsidRPr="000B4E2C" w:rsidRDefault="002F0133" w:rsidP="008A7464">
      <w:pPr>
        <w:pStyle w:val="Heading4"/>
      </w:pPr>
      <w:r w:rsidRPr="000B4E2C">
        <w:t>Cardiac surgery</w:t>
      </w:r>
    </w:p>
    <w:p w14:paraId="264BC16C" w14:textId="739A06E9" w:rsidR="000B4E2C" w:rsidRPr="000B4E2C" w:rsidRDefault="002F0133" w:rsidP="008A7464">
      <w:pPr>
        <w:rPr>
          <w:szCs w:val="24"/>
        </w:rPr>
      </w:pPr>
      <w:r w:rsidRPr="000B4E2C">
        <w:rPr>
          <w:szCs w:val="24"/>
        </w:rPr>
        <w:t>One study, Yang 2017</w:t>
      </w:r>
      <w:r w:rsidR="00723580" w:rsidRPr="000B4E2C">
        <w:rPr>
          <w:szCs w:val="24"/>
        </w:rPr>
        <w:t>,</w:t>
      </w:r>
      <w:r w:rsidR="005B5026" w:rsidRPr="000B4E2C">
        <w:rPr>
          <w:noProof/>
          <w:szCs w:val="24"/>
          <w:vertAlign w:val="superscript"/>
        </w:rPr>
        <w:t>67</w:t>
      </w:r>
      <w:r w:rsidRPr="000B4E2C">
        <w:rPr>
          <w:szCs w:val="24"/>
        </w:rPr>
        <w:t xml:space="preserve"> assessed the use of </w:t>
      </w:r>
      <w:r w:rsidR="0074098F" w:rsidRPr="000B4E2C">
        <w:rPr>
          <w:szCs w:val="24"/>
        </w:rPr>
        <w:t xml:space="preserve">BioPorto urine </w:t>
      </w:r>
      <w:r w:rsidRPr="000B4E2C">
        <w:rPr>
          <w:szCs w:val="24"/>
        </w:rPr>
        <w:t>NGAL</w:t>
      </w:r>
      <w:r w:rsidR="0074098F" w:rsidRPr="000B4E2C">
        <w:rPr>
          <w:szCs w:val="24"/>
        </w:rPr>
        <w:t xml:space="preserve"> assay</w:t>
      </w:r>
      <w:r w:rsidRPr="000B4E2C">
        <w:rPr>
          <w:szCs w:val="24"/>
        </w:rPr>
        <w:t xml:space="preserve"> for </w:t>
      </w:r>
      <w:r w:rsidR="0074098F" w:rsidRPr="000B4E2C">
        <w:rPr>
          <w:szCs w:val="24"/>
        </w:rPr>
        <w:t xml:space="preserve">the </w:t>
      </w:r>
      <w:r w:rsidRPr="000B4E2C">
        <w:rPr>
          <w:szCs w:val="24"/>
        </w:rPr>
        <w:t>detection of AKI in 323 children who underwent cardiac surgery</w:t>
      </w:r>
      <w:r w:rsidR="00062985" w:rsidRPr="000B4E2C">
        <w:rPr>
          <w:szCs w:val="24"/>
        </w:rPr>
        <w:t xml:space="preserve"> (see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9</w:t>
      </w:r>
      <w:r w:rsidR="00062985" w:rsidRPr="000B4E2C">
        <w:rPr>
          <w:szCs w:val="24"/>
        </w:rPr>
        <w:t>)</w:t>
      </w:r>
      <w:r w:rsidRPr="000B4E2C">
        <w:rPr>
          <w:szCs w:val="24"/>
        </w:rPr>
        <w:t xml:space="preserve">. </w:t>
      </w:r>
      <w:r w:rsidR="0074098F" w:rsidRPr="000B4E2C">
        <w:rPr>
          <w:szCs w:val="24"/>
        </w:rPr>
        <w:t xml:space="preserve">Urine </w:t>
      </w:r>
      <w:r w:rsidRPr="000B4E2C">
        <w:rPr>
          <w:szCs w:val="24"/>
        </w:rPr>
        <w:t xml:space="preserve">NGAL was measured using a concentration normalised by units of creatinine (see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4</w:t>
      </w:r>
      <w:r w:rsidRPr="000B4E2C">
        <w:rPr>
          <w:szCs w:val="24"/>
        </w:rPr>
        <w:t>). The sensitivity and specificity values for the urine sample collected 6 hours after surgery were 0.77 (95% CI 0.69 to 0.84) and 0.47 (95% CI 0.40 to 0.54), respectively. The prevalence of AKI in the study was 39%.</w:t>
      </w:r>
    </w:p>
    <w:p w14:paraId="517B3CB7" w14:textId="06C22F52" w:rsidR="002F0133" w:rsidRPr="000B4E2C" w:rsidRDefault="002F0133" w:rsidP="008A7464">
      <w:pPr>
        <w:pStyle w:val="Heading3"/>
      </w:pPr>
      <w:r w:rsidRPr="000B4E2C">
        <w:t>Urine NGAL assays (</w:t>
      </w:r>
      <w:r w:rsidR="00820E1E" w:rsidRPr="000B4E2C">
        <w:t xml:space="preserve">both ATCHITECT by </w:t>
      </w:r>
      <w:r w:rsidRPr="000B4E2C">
        <w:t xml:space="preserve">Abbott and </w:t>
      </w:r>
      <w:r w:rsidR="009D7F5A" w:rsidRPr="000B4E2C">
        <w:t>BioPorto</w:t>
      </w:r>
      <w:r w:rsidR="00820E1E" w:rsidRPr="000B4E2C">
        <w:t xml:space="preserve"> urine NGAL</w:t>
      </w:r>
      <w:r w:rsidRPr="000B4E2C">
        <w:t>) all clinical settings</w:t>
      </w:r>
      <w:r w:rsidR="000B4E2C" w:rsidRPr="000B4E2C">
        <w:rPr>
          <w:color w:val="00B0F0"/>
        </w:rPr>
        <w:t xml:space="preserve"> – </w:t>
      </w:r>
      <w:r w:rsidRPr="000B4E2C">
        <w:t>child population</w:t>
      </w:r>
    </w:p>
    <w:p w14:paraId="3CDBF2C5" w14:textId="40383FBA" w:rsidR="000B4E2C" w:rsidRPr="000B4E2C" w:rsidRDefault="000B4E2C" w:rsidP="007D5F15">
      <w:pPr>
        <w:rPr>
          <w:szCs w:val="24"/>
        </w:rPr>
      </w:pPr>
      <w:r w:rsidRPr="000B4E2C">
        <w:rPr>
          <w:i/>
          <w:color w:val="FF0000"/>
          <w:szCs w:val="24"/>
        </w:rPr>
        <w:t>F</w:t>
      </w:r>
      <w:r w:rsidRPr="000B4E2C">
        <w:rPr>
          <w:i/>
          <w:color w:val="FF0000"/>
          <w:szCs w:val="24"/>
        </w:rPr>
        <w:t>igure</w:t>
      </w:r>
      <w:r w:rsidRPr="000B4E2C">
        <w:rPr>
          <w:i/>
          <w:color w:val="FF0000"/>
          <w:szCs w:val="24"/>
        </w:rPr>
        <w:t xml:space="preserve"> </w:t>
      </w:r>
      <w:r w:rsidRPr="000B4E2C">
        <w:rPr>
          <w:i/>
          <w:color w:val="FF0000"/>
          <w:szCs w:val="24"/>
        </w:rPr>
        <w:t>17</w:t>
      </w:r>
      <w:r w:rsidR="00820E1E" w:rsidRPr="000B4E2C">
        <w:rPr>
          <w:szCs w:val="24"/>
        </w:rPr>
        <w:t xml:space="preserve"> </w:t>
      </w:r>
      <w:r w:rsidR="002F0133" w:rsidRPr="000B4E2C">
        <w:rPr>
          <w:szCs w:val="24"/>
        </w:rPr>
        <w:t xml:space="preserve">shows the forest plots of sensitivity and specificity estimates for the seven studies (1310 children in total) assessing uNGAL assays (ARCHITECT by Abbott and </w:t>
      </w:r>
      <w:r w:rsidR="00820E1E" w:rsidRPr="000B4E2C">
        <w:rPr>
          <w:szCs w:val="24"/>
        </w:rPr>
        <w:t xml:space="preserve">BioPorto </w:t>
      </w:r>
      <w:r w:rsidR="002F0133" w:rsidRPr="000B4E2C">
        <w:rPr>
          <w:szCs w:val="24"/>
        </w:rPr>
        <w:t>u</w:t>
      </w:r>
      <w:r w:rsidR="00820E1E" w:rsidRPr="000B4E2C">
        <w:rPr>
          <w:szCs w:val="24"/>
        </w:rPr>
        <w:t xml:space="preserve">rine </w:t>
      </w:r>
      <w:r w:rsidR="002F0133" w:rsidRPr="000B4E2C">
        <w:rPr>
          <w:szCs w:val="24"/>
        </w:rPr>
        <w:t xml:space="preserve">NGAL) for detection of AKI in children across all clinical settings. Sensitivity values ranged from 0.42 to 0.83; specificity values from 0.43 to 0.92. Summary estimates for sensitivity and specificity were 0.71 (95% CI 0.60 to 0.80) and 0.76 (95% CI 0.61 to 0.86), respectively. </w:t>
      </w:r>
      <w:r w:rsidRPr="000B4E2C">
        <w:rPr>
          <w:i/>
          <w:color w:val="FF0000"/>
          <w:szCs w:val="24"/>
        </w:rPr>
        <w:t>F</w:t>
      </w:r>
      <w:r w:rsidRPr="000B4E2C">
        <w:rPr>
          <w:i/>
          <w:color w:val="FF0000"/>
          <w:szCs w:val="24"/>
        </w:rPr>
        <w:t>igure</w:t>
      </w:r>
      <w:r w:rsidRPr="000B4E2C">
        <w:rPr>
          <w:i/>
          <w:color w:val="FF0000"/>
          <w:szCs w:val="24"/>
        </w:rPr>
        <w:t xml:space="preserve"> </w:t>
      </w:r>
      <w:r w:rsidRPr="000B4E2C">
        <w:rPr>
          <w:i/>
          <w:color w:val="FF0000"/>
          <w:szCs w:val="24"/>
        </w:rPr>
        <w:t>18</w:t>
      </w:r>
      <w:r w:rsidR="002F0133" w:rsidRPr="000B4E2C">
        <w:rPr>
          <w:szCs w:val="24"/>
        </w:rPr>
        <w:t xml:space="preserve"> shows the HSROC with 95% confidence region for the summary operating </w:t>
      </w:r>
      <w:r w:rsidR="002F0133" w:rsidRPr="000B4E2C">
        <w:rPr>
          <w:szCs w:val="24"/>
        </w:rPr>
        <w:lastRenderedPageBreak/>
        <w:t xml:space="preserve">point and 95% prediction region. The confidence and prediction regions are </w:t>
      </w:r>
      <w:r w:rsidR="002706CD" w:rsidRPr="000B4E2C">
        <w:rPr>
          <w:szCs w:val="24"/>
        </w:rPr>
        <w:t xml:space="preserve">very </w:t>
      </w:r>
      <w:r w:rsidR="002F0133" w:rsidRPr="000B4E2C">
        <w:rPr>
          <w:szCs w:val="24"/>
        </w:rPr>
        <w:t>large indicating considerable heterogeneity between studies.</w:t>
      </w:r>
    </w:p>
    <w:p w14:paraId="7DD8D6B9" w14:textId="4D74E10F" w:rsidR="000B4E2C" w:rsidRPr="000B4E2C" w:rsidRDefault="000B4E2C" w:rsidP="008A7464">
      <w:pPr>
        <w:pStyle w:val="Heading2"/>
        <w:ind w:right="-1044"/>
        <w:rPr>
          <w:sz w:val="22"/>
          <w:szCs w:val="22"/>
        </w:rPr>
      </w:pPr>
      <w:r w:rsidRPr="000B4E2C">
        <w:rPr>
          <w:i/>
          <w:color w:val="FF0000"/>
          <w:sz w:val="22"/>
          <w:szCs w:val="22"/>
        </w:rPr>
        <w:t>F</w:t>
      </w:r>
      <w:r w:rsidRPr="000B4E2C">
        <w:rPr>
          <w:i/>
          <w:color w:val="FF0000"/>
          <w:sz w:val="22"/>
          <w:szCs w:val="22"/>
        </w:rPr>
        <w:t>igure</w:t>
      </w:r>
      <w:r w:rsidRPr="000B4E2C">
        <w:rPr>
          <w:i/>
          <w:color w:val="FF0000"/>
          <w:sz w:val="22"/>
          <w:szCs w:val="22"/>
        </w:rPr>
        <w:t xml:space="preserve"> </w:t>
      </w:r>
      <w:r w:rsidRPr="000B4E2C">
        <w:rPr>
          <w:i/>
          <w:color w:val="FF0000"/>
          <w:sz w:val="22"/>
          <w:szCs w:val="22"/>
        </w:rPr>
        <w:t>17</w:t>
      </w:r>
      <w:r w:rsidRPr="000B4E2C">
        <w:rPr>
          <w:sz w:val="22"/>
          <w:szCs w:val="22"/>
        </w:rPr>
        <w:t xml:space="preserve"> </w:t>
      </w:r>
      <w:r w:rsidR="002F0133" w:rsidRPr="000B4E2C">
        <w:rPr>
          <w:sz w:val="22"/>
          <w:szCs w:val="22"/>
        </w:rPr>
        <w:t xml:space="preserve">Forest plots of sensitivity and specificity for all urine NGAL assays (Abbott and </w:t>
      </w:r>
      <w:r w:rsidR="009D7F5A" w:rsidRPr="000B4E2C">
        <w:rPr>
          <w:sz w:val="22"/>
          <w:szCs w:val="22"/>
        </w:rPr>
        <w:t>BioPorto</w:t>
      </w:r>
      <w:r w:rsidR="002F0133" w:rsidRPr="000B4E2C">
        <w:rPr>
          <w:sz w:val="22"/>
          <w:szCs w:val="22"/>
        </w:rPr>
        <w:t>) for detection of AKI in children across all clinical settings</w:t>
      </w:r>
    </w:p>
    <w:p w14:paraId="48162CD3" w14:textId="4E2897B2" w:rsidR="000B4E2C" w:rsidRPr="000B4E2C" w:rsidRDefault="000B4E2C" w:rsidP="008A7464">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18</w:t>
      </w:r>
      <w:r w:rsidRPr="000B4E2C">
        <w:t xml:space="preserve"> </w:t>
      </w:r>
      <w:r w:rsidR="002F0133" w:rsidRPr="000B4E2C">
        <w:t>HSROC for all urine NGAL studies (</w:t>
      </w:r>
      <w:r w:rsidR="00204569" w:rsidRPr="000B4E2C">
        <w:t xml:space="preserve">ARCHITECT </w:t>
      </w:r>
      <w:r w:rsidR="002F0133" w:rsidRPr="000B4E2C">
        <w:t xml:space="preserve">Abbott and </w:t>
      </w:r>
      <w:r w:rsidR="009D7F5A" w:rsidRPr="000B4E2C">
        <w:t>BioPorto</w:t>
      </w:r>
      <w:r w:rsidR="002F0133" w:rsidRPr="000B4E2C">
        <w:t xml:space="preserve"> </w:t>
      </w:r>
      <w:r w:rsidR="00204569" w:rsidRPr="000B4E2C">
        <w:t xml:space="preserve">NGAL </w:t>
      </w:r>
      <w:r w:rsidR="002F0133" w:rsidRPr="000B4E2C">
        <w:t>assays) for detection of AKI in children</w:t>
      </w:r>
      <w:r w:rsidRPr="000B4E2C">
        <w:rPr>
          <w:color w:val="00B0F0"/>
        </w:rPr>
        <w:t xml:space="preserve"> – </w:t>
      </w:r>
      <w:r w:rsidR="002F0133" w:rsidRPr="000B4E2C">
        <w:t>all clinical settings</w:t>
      </w:r>
    </w:p>
    <w:p w14:paraId="41EA5978" w14:textId="459D8C24" w:rsidR="002F0133" w:rsidRPr="000B4E2C" w:rsidRDefault="002F0133" w:rsidP="008A7464">
      <w:pPr>
        <w:pStyle w:val="Heading2"/>
      </w:pPr>
      <w:r w:rsidRPr="000B4E2C">
        <w:t xml:space="preserve">Accuracy of NephroCheck, ARCHITECT NGAL and </w:t>
      </w:r>
      <w:r w:rsidR="009D7F5A" w:rsidRPr="000B4E2C">
        <w:t>BioPorto</w:t>
      </w:r>
      <w:r w:rsidRPr="000B4E2C">
        <w:t xml:space="preserve"> NGAL assays for detection of AKI in critically ill patients</w:t>
      </w:r>
    </w:p>
    <w:p w14:paraId="13458CC6" w14:textId="18DDDF8D" w:rsidR="000B4E2C" w:rsidRPr="000B4E2C" w:rsidRDefault="00D44BA9" w:rsidP="008A7464">
      <w:r w:rsidRPr="000B4E2C">
        <w:t xml:space="preserve">The accuracy of NephroCheck, urine ARCHITECT NGAL, and urine and plasma </w:t>
      </w:r>
      <w:r w:rsidR="009D7F5A" w:rsidRPr="000B4E2C">
        <w:t>BioPorto</w:t>
      </w:r>
      <w:r w:rsidRPr="000B4E2C">
        <w:t xml:space="preserve"> NGAL studies for detection of AKI in each clinical setting for both adults and children is shown in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10</w:t>
      </w:r>
      <w:r w:rsidRPr="000B4E2C">
        <w:t xml:space="preserve"> below. The table</w:t>
      </w:r>
      <w:r w:rsidR="002F0133" w:rsidRPr="000B4E2C">
        <w:t xml:space="preserve"> displays either the AUC estimates as reported by individual studie or the AUC summary estimates together with the corresponding prediction intervals when pooling </w:t>
      </w:r>
      <w:r w:rsidRPr="000B4E2C">
        <w:t>of AUC was feasible</w:t>
      </w:r>
      <w:r w:rsidR="002F0133" w:rsidRPr="000B4E2C">
        <w:t xml:space="preserve">. Associated forest plots of the AUC meta-analyses are presented in Appendix </w:t>
      </w:r>
      <w:r w:rsidR="00820E1E" w:rsidRPr="000B4E2C">
        <w:t>1</w:t>
      </w:r>
      <w:r w:rsidR="00634CAC" w:rsidRPr="000B4E2C">
        <w:t>2</w:t>
      </w:r>
      <w:r w:rsidR="00820E1E" w:rsidRPr="000B4E2C">
        <w:t xml:space="preserve"> (</w:t>
      </w:r>
      <w:r w:rsidR="000B4E2C" w:rsidRPr="000B4E2C">
        <w:rPr>
          <w:i/>
          <w:color w:val="FF0000"/>
        </w:rPr>
        <w:t>F</w:t>
      </w:r>
      <w:r w:rsidR="000B4E2C" w:rsidRPr="000B4E2C">
        <w:rPr>
          <w:i/>
          <w:color w:val="FF0000"/>
        </w:rPr>
        <w:t>igures</w:t>
      </w:r>
      <w:r w:rsidR="000B4E2C" w:rsidRPr="000B4E2C">
        <w:rPr>
          <w:i/>
          <w:color w:val="FF0000"/>
        </w:rPr>
        <w:t xml:space="preserve"> </w:t>
      </w:r>
      <w:r w:rsidR="000B4E2C" w:rsidRPr="000B4E2C">
        <w:rPr>
          <w:i/>
          <w:color w:val="FF0000"/>
        </w:rPr>
        <w:t>34</w:t>
      </w:r>
      <w:r w:rsidR="00820E1E" w:rsidRPr="000B4E2C">
        <w:t>)</w:t>
      </w:r>
      <w:r w:rsidR="00D64893" w:rsidRPr="000B4E2C">
        <w:t>.</w:t>
      </w:r>
      <w:r w:rsidR="002F0133" w:rsidRPr="000B4E2C">
        <w:t xml:space="preserve"> For the adult population the AUC summary estimates ranged from 0.62 for uNGAL </w:t>
      </w:r>
      <w:r w:rsidR="009D7F5A" w:rsidRPr="000B4E2C">
        <w:t>BioPorto</w:t>
      </w:r>
      <w:r w:rsidR="002F0133" w:rsidRPr="000B4E2C">
        <w:t xml:space="preserve"> to 0.74 for pNGAL </w:t>
      </w:r>
      <w:r w:rsidR="009D7F5A" w:rsidRPr="000B4E2C">
        <w:t>BioPorto</w:t>
      </w:r>
      <w:r w:rsidR="002F0133" w:rsidRPr="000B4E2C">
        <w:t xml:space="preserve"> in the cardiac surgery setting; and from 0.72 for u</w:t>
      </w:r>
      <w:r w:rsidRPr="000B4E2C">
        <w:t>r</w:t>
      </w:r>
      <w:r w:rsidR="002F0133" w:rsidRPr="000B4E2C">
        <w:t xml:space="preserve">ine and plasma NGAL </w:t>
      </w:r>
      <w:r w:rsidR="009D7F5A" w:rsidRPr="000B4E2C">
        <w:t>BioPorto</w:t>
      </w:r>
      <w:r w:rsidR="002F0133" w:rsidRPr="000B4E2C">
        <w:t xml:space="preserve"> to 0.76 for uNGAL ARCHITECT in the critical care setting. For the children population</w:t>
      </w:r>
      <w:r w:rsidRPr="000B4E2C">
        <w:t xml:space="preserve"> in the cardiac surgery setting,</w:t>
      </w:r>
      <w:r w:rsidR="002F0133" w:rsidRPr="000B4E2C">
        <w:t xml:space="preserve"> the AUC summary estimates ranged from 0.80 for uNGAL ARCHITECT </w:t>
      </w:r>
      <w:r w:rsidRPr="000B4E2C">
        <w:t>to 0.88</w:t>
      </w:r>
      <w:r w:rsidR="002F0133" w:rsidRPr="000B4E2C">
        <w:t xml:space="preserve"> </w:t>
      </w:r>
      <w:r w:rsidRPr="000B4E2C">
        <w:t>f</w:t>
      </w:r>
      <w:r w:rsidR="002F0133" w:rsidRPr="000B4E2C">
        <w:t xml:space="preserve">or uNGAL </w:t>
      </w:r>
      <w:r w:rsidR="009D7F5A" w:rsidRPr="000B4E2C">
        <w:t>BioPorto</w:t>
      </w:r>
      <w:r w:rsidR="002F0133" w:rsidRPr="000B4E2C">
        <w:t xml:space="preserve">. All AUC summary estimates had relatively large 95% prediction intervals indicating heterogeneity between studies. The forest plots in Appendix </w:t>
      </w:r>
      <w:r w:rsidR="00634CAC" w:rsidRPr="000B4E2C">
        <w:t>12</w:t>
      </w:r>
      <w:r w:rsidR="009B0C5A" w:rsidRPr="000B4E2C">
        <w:t xml:space="preserve"> </w:t>
      </w:r>
      <w:r w:rsidR="002F0133" w:rsidRPr="000B4E2C">
        <w:t>show that variation is both between and within studies.</w:t>
      </w:r>
    </w:p>
    <w:p w14:paraId="33D3B376" w14:textId="1B428031" w:rsidR="000B4E2C" w:rsidRPr="000B4E2C" w:rsidRDefault="002F0133" w:rsidP="008A7464">
      <w:r w:rsidRPr="000B4E2C">
        <w:t xml:space="preserve">For each biomarker,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11</w:t>
      </w:r>
      <w:r w:rsidRPr="000B4E2C">
        <w:t xml:space="preserve"> shows the AUC for detection of AKI compared with that of</w:t>
      </w:r>
      <w:r w:rsidRPr="000B4E2C">
        <w:rPr>
          <w:lang w:val="en-GB"/>
        </w:rPr>
        <w:t xml:space="preserve"> sCR</w:t>
      </w:r>
      <w:r w:rsidRPr="000B4E2C">
        <w:t xml:space="preserve"> or conventional clinical assessment as reported by the individual studies that provided this information. AUC values varied across studies. In the majority of cases, the reported AUC indicated a slightly better performance of the biomarkers compared with that of sCr or conventional clinical assessment for detection of AKI. However, in a number of cases sCr or conventional clinical assessment appeared to perform better than the biomarkers under assessment.</w:t>
      </w:r>
    </w:p>
    <w:p w14:paraId="691B8436" w14:textId="2E603B52" w:rsidR="002F0133" w:rsidRPr="000B4E2C" w:rsidRDefault="000B4E2C" w:rsidP="008A7464">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10</w:t>
      </w:r>
      <w:r w:rsidRPr="000B4E2C">
        <w:t xml:space="preserve"> </w:t>
      </w:r>
      <w:r w:rsidR="002F0133" w:rsidRPr="000B4E2C">
        <w:t xml:space="preserve">AUC and pooled AUC for NephroCheck and NGAL studies for detection of AKI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618"/>
        <w:gridCol w:w="979"/>
        <w:gridCol w:w="1159"/>
        <w:gridCol w:w="1587"/>
        <w:gridCol w:w="1683"/>
      </w:tblGrid>
      <w:tr w:rsidR="002F0133" w:rsidRPr="000B4E2C" w14:paraId="74D6009F" w14:textId="77777777" w:rsidTr="000B4E2C">
        <w:trPr>
          <w:cantSplit/>
        </w:trPr>
        <w:tc>
          <w:tcPr>
            <w:tcW w:w="0" w:type="auto"/>
            <w:shd w:val="clear" w:color="auto" w:fill="auto"/>
          </w:tcPr>
          <w:p w14:paraId="5FABF5F0" w14:textId="77777777" w:rsidR="002F0133" w:rsidRPr="000B4E2C" w:rsidRDefault="002F0133" w:rsidP="008A7464">
            <w:pPr>
              <w:rPr>
                <w:b/>
              </w:rPr>
            </w:pPr>
            <w:r w:rsidRPr="000B4E2C">
              <w:rPr>
                <w:b/>
              </w:rPr>
              <w:t xml:space="preserve">Population, biomarker and setting </w:t>
            </w:r>
          </w:p>
        </w:tc>
        <w:tc>
          <w:tcPr>
            <w:tcW w:w="0" w:type="auto"/>
            <w:shd w:val="clear" w:color="auto" w:fill="auto"/>
          </w:tcPr>
          <w:p w14:paraId="6306EEB9" w14:textId="77777777" w:rsidR="002F0133" w:rsidRPr="000B4E2C" w:rsidRDefault="002F0133" w:rsidP="008A7464">
            <w:pPr>
              <w:jc w:val="center"/>
              <w:rPr>
                <w:b/>
              </w:rPr>
            </w:pPr>
            <w:r w:rsidRPr="000B4E2C">
              <w:rPr>
                <w:b/>
              </w:rPr>
              <w:t>No of studies</w:t>
            </w:r>
          </w:p>
        </w:tc>
        <w:tc>
          <w:tcPr>
            <w:tcW w:w="0" w:type="auto"/>
            <w:shd w:val="clear" w:color="auto" w:fill="auto"/>
          </w:tcPr>
          <w:p w14:paraId="1C0116AF" w14:textId="77777777" w:rsidR="002F0133" w:rsidRPr="000B4E2C" w:rsidRDefault="002F0133" w:rsidP="008A7464">
            <w:pPr>
              <w:jc w:val="center"/>
              <w:rPr>
                <w:b/>
              </w:rPr>
            </w:pPr>
            <w:r w:rsidRPr="000B4E2C">
              <w:rPr>
                <w:b/>
              </w:rPr>
              <w:t>AUC estimate</w:t>
            </w:r>
          </w:p>
          <w:p w14:paraId="70D00B7E" w14:textId="77777777" w:rsidR="002F0133" w:rsidRPr="000B4E2C" w:rsidRDefault="002F0133" w:rsidP="008A7464">
            <w:pPr>
              <w:jc w:val="center"/>
              <w:rPr>
                <w:b/>
              </w:rPr>
            </w:pPr>
            <w:r w:rsidRPr="000B4E2C">
              <w:rPr>
                <w:b/>
              </w:rPr>
              <w:t>(95% CI)</w:t>
            </w:r>
          </w:p>
        </w:tc>
        <w:tc>
          <w:tcPr>
            <w:tcW w:w="0" w:type="auto"/>
            <w:shd w:val="clear" w:color="auto" w:fill="auto"/>
          </w:tcPr>
          <w:p w14:paraId="7855CB65" w14:textId="77777777" w:rsidR="002F0133" w:rsidRPr="000B4E2C" w:rsidRDefault="002F0133" w:rsidP="008A7464">
            <w:pPr>
              <w:jc w:val="center"/>
              <w:rPr>
                <w:b/>
              </w:rPr>
            </w:pPr>
            <w:r w:rsidRPr="000B4E2C">
              <w:rPr>
                <w:b/>
              </w:rPr>
              <w:t>AUC summary estimate</w:t>
            </w:r>
          </w:p>
          <w:p w14:paraId="0E68CDD1" w14:textId="77777777" w:rsidR="002F0133" w:rsidRPr="000B4E2C" w:rsidRDefault="002F0133" w:rsidP="008A7464">
            <w:pPr>
              <w:jc w:val="center"/>
              <w:rPr>
                <w:b/>
              </w:rPr>
            </w:pPr>
            <w:r w:rsidRPr="000B4E2C">
              <w:rPr>
                <w:b/>
              </w:rPr>
              <w:t>(95% CI)</w:t>
            </w:r>
          </w:p>
          <w:p w14:paraId="65AC8298" w14:textId="77777777" w:rsidR="002F0133" w:rsidRPr="000B4E2C" w:rsidRDefault="002F0133" w:rsidP="008A7464">
            <w:pPr>
              <w:jc w:val="center"/>
              <w:rPr>
                <w:b/>
              </w:rPr>
            </w:pPr>
          </w:p>
        </w:tc>
        <w:tc>
          <w:tcPr>
            <w:tcW w:w="0" w:type="auto"/>
            <w:shd w:val="clear" w:color="auto" w:fill="auto"/>
          </w:tcPr>
          <w:p w14:paraId="261AFFD9" w14:textId="77777777" w:rsidR="002F0133" w:rsidRPr="000B4E2C" w:rsidRDefault="002F0133" w:rsidP="008A7464">
            <w:pPr>
              <w:jc w:val="center"/>
              <w:rPr>
                <w:b/>
              </w:rPr>
            </w:pPr>
            <w:r w:rsidRPr="000B4E2C">
              <w:rPr>
                <w:b/>
              </w:rPr>
              <w:t>(95% prediction interval)</w:t>
            </w:r>
          </w:p>
        </w:tc>
      </w:tr>
      <w:tr w:rsidR="002F0133" w:rsidRPr="000B4E2C" w14:paraId="294E6FE2" w14:textId="77777777" w:rsidTr="000B4E2C">
        <w:trPr>
          <w:cantSplit/>
        </w:trPr>
        <w:tc>
          <w:tcPr>
            <w:tcW w:w="0" w:type="auto"/>
            <w:shd w:val="clear" w:color="auto" w:fill="auto"/>
          </w:tcPr>
          <w:p w14:paraId="50E2B6F7" w14:textId="77777777" w:rsidR="002F0133" w:rsidRPr="000B4E2C" w:rsidRDefault="002F0133" w:rsidP="008A7464">
            <w:pPr>
              <w:rPr>
                <w:b/>
              </w:rPr>
            </w:pPr>
            <w:r w:rsidRPr="000B4E2C">
              <w:rPr>
                <w:b/>
              </w:rPr>
              <w:t>Adults NephroCheck across all settings</w:t>
            </w:r>
          </w:p>
        </w:tc>
        <w:tc>
          <w:tcPr>
            <w:tcW w:w="0" w:type="auto"/>
            <w:shd w:val="clear" w:color="auto" w:fill="auto"/>
          </w:tcPr>
          <w:p w14:paraId="24920E74" w14:textId="77777777" w:rsidR="002F0133" w:rsidRPr="000B4E2C" w:rsidRDefault="002F0133" w:rsidP="008A7464">
            <w:pPr>
              <w:jc w:val="center"/>
            </w:pPr>
            <w:r w:rsidRPr="000B4E2C">
              <w:t>7</w:t>
            </w:r>
          </w:p>
        </w:tc>
        <w:tc>
          <w:tcPr>
            <w:tcW w:w="0" w:type="auto"/>
            <w:shd w:val="clear" w:color="auto" w:fill="auto"/>
          </w:tcPr>
          <w:p w14:paraId="12414120" w14:textId="77777777" w:rsidR="002F0133" w:rsidRPr="000B4E2C" w:rsidRDefault="002F0133" w:rsidP="008A7464">
            <w:pPr>
              <w:jc w:val="center"/>
            </w:pPr>
            <w:r w:rsidRPr="000B4E2C">
              <w:t>-</w:t>
            </w:r>
          </w:p>
        </w:tc>
        <w:tc>
          <w:tcPr>
            <w:tcW w:w="0" w:type="auto"/>
            <w:shd w:val="clear" w:color="auto" w:fill="auto"/>
          </w:tcPr>
          <w:p w14:paraId="6C6C18F4" w14:textId="77777777" w:rsidR="002F0133" w:rsidRPr="000B4E2C" w:rsidRDefault="002F0133" w:rsidP="008A7464">
            <w:pPr>
              <w:jc w:val="center"/>
            </w:pPr>
            <w:r w:rsidRPr="000B4E2C">
              <w:t>0.76 (0.50, 0.91)</w:t>
            </w:r>
          </w:p>
        </w:tc>
        <w:tc>
          <w:tcPr>
            <w:tcW w:w="0" w:type="auto"/>
            <w:shd w:val="clear" w:color="auto" w:fill="auto"/>
          </w:tcPr>
          <w:p w14:paraId="0A06288D" w14:textId="77777777" w:rsidR="002F0133" w:rsidRPr="000B4E2C" w:rsidRDefault="002F0133" w:rsidP="008A7464">
            <w:pPr>
              <w:jc w:val="center"/>
            </w:pPr>
            <w:r w:rsidRPr="000B4E2C">
              <w:t>(0.47, 0.90)</w:t>
            </w:r>
          </w:p>
        </w:tc>
      </w:tr>
      <w:tr w:rsidR="002F0133" w:rsidRPr="000B4E2C" w14:paraId="418D8D23" w14:textId="77777777" w:rsidTr="000B4E2C">
        <w:trPr>
          <w:cantSplit/>
        </w:trPr>
        <w:tc>
          <w:tcPr>
            <w:tcW w:w="0" w:type="auto"/>
            <w:shd w:val="clear" w:color="auto" w:fill="auto"/>
          </w:tcPr>
          <w:p w14:paraId="4126EF98" w14:textId="77777777" w:rsidR="002F0133" w:rsidRPr="000B4E2C" w:rsidRDefault="002F0133" w:rsidP="008A7464">
            <w:r w:rsidRPr="000B4E2C">
              <w:t>Adults NephroCheck cardiac surgery</w:t>
            </w:r>
          </w:p>
        </w:tc>
        <w:tc>
          <w:tcPr>
            <w:tcW w:w="0" w:type="auto"/>
            <w:shd w:val="clear" w:color="auto" w:fill="auto"/>
          </w:tcPr>
          <w:p w14:paraId="0DC2606E" w14:textId="77777777" w:rsidR="002F0133" w:rsidRPr="000B4E2C" w:rsidRDefault="002F0133" w:rsidP="008A7464">
            <w:pPr>
              <w:jc w:val="center"/>
            </w:pPr>
            <w:r w:rsidRPr="000B4E2C">
              <w:t>1</w:t>
            </w:r>
          </w:p>
        </w:tc>
        <w:tc>
          <w:tcPr>
            <w:tcW w:w="0" w:type="auto"/>
            <w:shd w:val="clear" w:color="auto" w:fill="auto"/>
          </w:tcPr>
          <w:p w14:paraId="74FA1700" w14:textId="77777777" w:rsidR="002F0133" w:rsidRPr="000B4E2C" w:rsidRDefault="002F0133" w:rsidP="008A7464">
            <w:r w:rsidRPr="000B4E2C">
              <w:t>0.68 (0.54, 0.81)</w:t>
            </w:r>
          </w:p>
        </w:tc>
        <w:tc>
          <w:tcPr>
            <w:tcW w:w="0" w:type="auto"/>
            <w:shd w:val="clear" w:color="auto" w:fill="auto"/>
          </w:tcPr>
          <w:p w14:paraId="3951604C" w14:textId="77777777" w:rsidR="002F0133" w:rsidRPr="000B4E2C" w:rsidRDefault="002F0133" w:rsidP="008A7464">
            <w:pPr>
              <w:jc w:val="center"/>
            </w:pPr>
            <w:r w:rsidRPr="000B4E2C">
              <w:t>-</w:t>
            </w:r>
          </w:p>
        </w:tc>
        <w:tc>
          <w:tcPr>
            <w:tcW w:w="0" w:type="auto"/>
            <w:shd w:val="clear" w:color="auto" w:fill="auto"/>
          </w:tcPr>
          <w:p w14:paraId="01E822D9" w14:textId="77777777" w:rsidR="002F0133" w:rsidRPr="000B4E2C" w:rsidRDefault="002F0133" w:rsidP="008A7464">
            <w:pPr>
              <w:tabs>
                <w:tab w:val="left" w:pos="457"/>
              </w:tabs>
              <w:jc w:val="center"/>
            </w:pPr>
            <w:r w:rsidRPr="000B4E2C">
              <w:t>-</w:t>
            </w:r>
          </w:p>
        </w:tc>
      </w:tr>
      <w:tr w:rsidR="002F0133" w:rsidRPr="000B4E2C" w14:paraId="5A284DC9" w14:textId="77777777" w:rsidTr="000B4E2C">
        <w:trPr>
          <w:cantSplit/>
        </w:trPr>
        <w:tc>
          <w:tcPr>
            <w:tcW w:w="0" w:type="auto"/>
            <w:shd w:val="clear" w:color="auto" w:fill="auto"/>
          </w:tcPr>
          <w:p w14:paraId="6E6C5B4B" w14:textId="77777777" w:rsidR="002F0133" w:rsidRPr="000B4E2C" w:rsidRDefault="002F0133" w:rsidP="008A7464">
            <w:r w:rsidRPr="000B4E2C">
              <w:t>Adults NephroCheck major non-cardiac surgery</w:t>
            </w:r>
          </w:p>
        </w:tc>
        <w:tc>
          <w:tcPr>
            <w:tcW w:w="0" w:type="auto"/>
            <w:shd w:val="clear" w:color="auto" w:fill="auto"/>
          </w:tcPr>
          <w:p w14:paraId="4DF74C73" w14:textId="77777777" w:rsidR="002F0133" w:rsidRPr="000B4E2C" w:rsidRDefault="002F0133" w:rsidP="008A7464">
            <w:pPr>
              <w:jc w:val="center"/>
            </w:pPr>
            <w:r w:rsidRPr="000B4E2C">
              <w:t>-</w:t>
            </w:r>
          </w:p>
        </w:tc>
        <w:tc>
          <w:tcPr>
            <w:tcW w:w="0" w:type="auto"/>
            <w:shd w:val="clear" w:color="auto" w:fill="auto"/>
          </w:tcPr>
          <w:p w14:paraId="233CA987" w14:textId="77777777" w:rsidR="002F0133" w:rsidRPr="000B4E2C" w:rsidRDefault="002F0133" w:rsidP="008A7464">
            <w:pPr>
              <w:jc w:val="center"/>
            </w:pPr>
            <w:r w:rsidRPr="000B4E2C">
              <w:t>-</w:t>
            </w:r>
          </w:p>
        </w:tc>
        <w:tc>
          <w:tcPr>
            <w:tcW w:w="0" w:type="auto"/>
            <w:shd w:val="clear" w:color="auto" w:fill="auto"/>
          </w:tcPr>
          <w:p w14:paraId="69405A09" w14:textId="77777777" w:rsidR="002F0133" w:rsidRPr="000B4E2C" w:rsidRDefault="002F0133" w:rsidP="008A7464">
            <w:pPr>
              <w:jc w:val="center"/>
            </w:pPr>
            <w:r w:rsidRPr="000B4E2C">
              <w:t>-</w:t>
            </w:r>
          </w:p>
        </w:tc>
        <w:tc>
          <w:tcPr>
            <w:tcW w:w="0" w:type="auto"/>
            <w:shd w:val="clear" w:color="auto" w:fill="auto"/>
          </w:tcPr>
          <w:p w14:paraId="64CAFBBC" w14:textId="77777777" w:rsidR="002F0133" w:rsidRPr="000B4E2C" w:rsidRDefault="002F0133" w:rsidP="008A7464">
            <w:pPr>
              <w:tabs>
                <w:tab w:val="left" w:pos="457"/>
              </w:tabs>
              <w:jc w:val="center"/>
            </w:pPr>
            <w:r w:rsidRPr="000B4E2C">
              <w:t>-</w:t>
            </w:r>
          </w:p>
        </w:tc>
      </w:tr>
      <w:tr w:rsidR="002F0133" w:rsidRPr="000B4E2C" w14:paraId="51C69B8E" w14:textId="77777777" w:rsidTr="000B4E2C">
        <w:trPr>
          <w:cantSplit/>
        </w:trPr>
        <w:tc>
          <w:tcPr>
            <w:tcW w:w="0" w:type="auto"/>
            <w:shd w:val="clear" w:color="auto" w:fill="auto"/>
          </w:tcPr>
          <w:p w14:paraId="573D06D6" w14:textId="77777777" w:rsidR="002F0133" w:rsidRPr="000B4E2C" w:rsidRDefault="002F0133" w:rsidP="008A7464">
            <w:r w:rsidRPr="000B4E2C">
              <w:t>Adults NephroCheck critical care</w:t>
            </w:r>
          </w:p>
        </w:tc>
        <w:tc>
          <w:tcPr>
            <w:tcW w:w="0" w:type="auto"/>
            <w:shd w:val="clear" w:color="auto" w:fill="auto"/>
          </w:tcPr>
          <w:p w14:paraId="5B3C3262" w14:textId="77777777" w:rsidR="002F0133" w:rsidRPr="000B4E2C" w:rsidRDefault="002F0133" w:rsidP="008A7464">
            <w:pPr>
              <w:jc w:val="center"/>
            </w:pPr>
            <w:r w:rsidRPr="000B4E2C">
              <w:t>6</w:t>
            </w:r>
          </w:p>
        </w:tc>
        <w:tc>
          <w:tcPr>
            <w:tcW w:w="0" w:type="auto"/>
            <w:shd w:val="clear" w:color="auto" w:fill="auto"/>
          </w:tcPr>
          <w:p w14:paraId="2F65AFFF" w14:textId="77777777" w:rsidR="002F0133" w:rsidRPr="000B4E2C" w:rsidRDefault="002F0133" w:rsidP="008A7464">
            <w:pPr>
              <w:jc w:val="center"/>
            </w:pPr>
            <w:r w:rsidRPr="000B4E2C">
              <w:t>-</w:t>
            </w:r>
          </w:p>
        </w:tc>
        <w:tc>
          <w:tcPr>
            <w:tcW w:w="0" w:type="auto"/>
            <w:shd w:val="clear" w:color="auto" w:fill="auto"/>
          </w:tcPr>
          <w:p w14:paraId="6B1D8DAB" w14:textId="77777777" w:rsidR="002F0133" w:rsidRPr="000B4E2C" w:rsidRDefault="002F0133" w:rsidP="008A7464">
            <w:pPr>
              <w:jc w:val="center"/>
            </w:pPr>
            <w:r w:rsidRPr="000B4E2C">
              <w:t>0.74 (0.67, 0.81)</w:t>
            </w:r>
          </w:p>
        </w:tc>
        <w:tc>
          <w:tcPr>
            <w:tcW w:w="0" w:type="auto"/>
            <w:shd w:val="clear" w:color="auto" w:fill="auto"/>
          </w:tcPr>
          <w:p w14:paraId="67D0D6A0" w14:textId="77777777" w:rsidR="002F0133" w:rsidRPr="000B4E2C" w:rsidRDefault="002F0133" w:rsidP="008A7464">
            <w:pPr>
              <w:tabs>
                <w:tab w:val="left" w:pos="457"/>
              </w:tabs>
              <w:jc w:val="center"/>
            </w:pPr>
            <w:r w:rsidRPr="000B4E2C">
              <w:t>(0.44, 0.91)</w:t>
            </w:r>
          </w:p>
        </w:tc>
      </w:tr>
      <w:tr w:rsidR="002F0133" w:rsidRPr="000B4E2C" w14:paraId="19D42762" w14:textId="77777777" w:rsidTr="000B4E2C">
        <w:trPr>
          <w:cantSplit/>
        </w:trPr>
        <w:tc>
          <w:tcPr>
            <w:tcW w:w="0" w:type="auto"/>
            <w:shd w:val="clear" w:color="auto" w:fill="auto"/>
          </w:tcPr>
          <w:p w14:paraId="4B4A71D9" w14:textId="77777777" w:rsidR="002F0133" w:rsidRPr="000B4E2C" w:rsidRDefault="002F0133" w:rsidP="008A7464">
            <w:pPr>
              <w:tabs>
                <w:tab w:val="left" w:pos="457"/>
              </w:tabs>
            </w:pPr>
          </w:p>
        </w:tc>
        <w:tc>
          <w:tcPr>
            <w:tcW w:w="0" w:type="auto"/>
            <w:gridSpan w:val="4"/>
            <w:shd w:val="clear" w:color="auto" w:fill="auto"/>
          </w:tcPr>
          <w:p w14:paraId="01FE74D1" w14:textId="77777777" w:rsidR="002F0133" w:rsidRPr="000B4E2C" w:rsidRDefault="002F0133" w:rsidP="008A7464">
            <w:pPr>
              <w:tabs>
                <w:tab w:val="left" w:pos="457"/>
              </w:tabs>
            </w:pPr>
          </w:p>
        </w:tc>
      </w:tr>
      <w:tr w:rsidR="002F0133" w:rsidRPr="000B4E2C" w14:paraId="24B0159F" w14:textId="77777777" w:rsidTr="000B4E2C">
        <w:trPr>
          <w:cantSplit/>
        </w:trPr>
        <w:tc>
          <w:tcPr>
            <w:tcW w:w="0" w:type="auto"/>
            <w:shd w:val="clear" w:color="auto" w:fill="auto"/>
          </w:tcPr>
          <w:p w14:paraId="7AF78995" w14:textId="77777777" w:rsidR="002F0133" w:rsidRPr="000B4E2C" w:rsidRDefault="002F0133" w:rsidP="008A7464">
            <w:pPr>
              <w:rPr>
                <w:b/>
              </w:rPr>
            </w:pPr>
            <w:r w:rsidRPr="000B4E2C">
              <w:rPr>
                <w:b/>
              </w:rPr>
              <w:t>Adults uNGAL ARCHITECT (Abbott) all settings</w:t>
            </w:r>
          </w:p>
        </w:tc>
        <w:tc>
          <w:tcPr>
            <w:tcW w:w="0" w:type="auto"/>
            <w:shd w:val="clear" w:color="auto" w:fill="auto"/>
          </w:tcPr>
          <w:p w14:paraId="056605B4" w14:textId="77777777" w:rsidR="002F0133" w:rsidRPr="000B4E2C" w:rsidRDefault="002F0133" w:rsidP="008A7464">
            <w:pPr>
              <w:jc w:val="center"/>
            </w:pPr>
            <w:r w:rsidRPr="000B4E2C">
              <w:t>14</w:t>
            </w:r>
          </w:p>
        </w:tc>
        <w:tc>
          <w:tcPr>
            <w:tcW w:w="0" w:type="auto"/>
            <w:shd w:val="clear" w:color="auto" w:fill="auto"/>
          </w:tcPr>
          <w:p w14:paraId="35F58583" w14:textId="77777777" w:rsidR="002F0133" w:rsidRPr="000B4E2C" w:rsidRDefault="002F0133" w:rsidP="008A7464">
            <w:pPr>
              <w:jc w:val="center"/>
            </w:pPr>
            <w:r w:rsidRPr="000B4E2C">
              <w:t>-</w:t>
            </w:r>
          </w:p>
        </w:tc>
        <w:tc>
          <w:tcPr>
            <w:tcW w:w="0" w:type="auto"/>
            <w:shd w:val="clear" w:color="auto" w:fill="auto"/>
          </w:tcPr>
          <w:p w14:paraId="270FB222" w14:textId="77777777" w:rsidR="002F0133" w:rsidRPr="000B4E2C" w:rsidRDefault="002F0133" w:rsidP="008A7464">
            <w:pPr>
              <w:jc w:val="center"/>
            </w:pPr>
            <w:r w:rsidRPr="000B4E2C">
              <w:t>0.73 (0.68, 0.78)</w:t>
            </w:r>
          </w:p>
        </w:tc>
        <w:tc>
          <w:tcPr>
            <w:tcW w:w="0" w:type="auto"/>
            <w:shd w:val="clear" w:color="auto" w:fill="auto"/>
          </w:tcPr>
          <w:p w14:paraId="20317707" w14:textId="77777777" w:rsidR="002F0133" w:rsidRPr="000B4E2C" w:rsidRDefault="002F0133" w:rsidP="008A7464">
            <w:pPr>
              <w:tabs>
                <w:tab w:val="left" w:pos="457"/>
              </w:tabs>
              <w:jc w:val="center"/>
            </w:pPr>
            <w:r w:rsidRPr="000B4E2C">
              <w:t>(0.53, 0.87)</w:t>
            </w:r>
          </w:p>
        </w:tc>
      </w:tr>
      <w:tr w:rsidR="002F0133" w:rsidRPr="000B4E2C" w14:paraId="505612A4" w14:textId="77777777" w:rsidTr="000B4E2C">
        <w:trPr>
          <w:cantSplit/>
        </w:trPr>
        <w:tc>
          <w:tcPr>
            <w:tcW w:w="0" w:type="auto"/>
            <w:shd w:val="clear" w:color="auto" w:fill="auto"/>
          </w:tcPr>
          <w:p w14:paraId="123A3295" w14:textId="77777777" w:rsidR="002F0133" w:rsidRPr="000B4E2C" w:rsidRDefault="002F0133" w:rsidP="008A7464">
            <w:r w:rsidRPr="000B4E2C">
              <w:t>Adults uNGAL ARCHITECT (Abbott) cardiac surgery</w:t>
            </w:r>
          </w:p>
        </w:tc>
        <w:tc>
          <w:tcPr>
            <w:tcW w:w="0" w:type="auto"/>
            <w:shd w:val="clear" w:color="auto" w:fill="auto"/>
          </w:tcPr>
          <w:p w14:paraId="5DB32BFC" w14:textId="77777777" w:rsidR="002F0133" w:rsidRPr="000B4E2C" w:rsidRDefault="002F0133" w:rsidP="008A7464">
            <w:pPr>
              <w:jc w:val="center"/>
            </w:pPr>
            <w:r w:rsidRPr="000B4E2C">
              <w:t>6</w:t>
            </w:r>
          </w:p>
        </w:tc>
        <w:tc>
          <w:tcPr>
            <w:tcW w:w="0" w:type="auto"/>
            <w:shd w:val="clear" w:color="auto" w:fill="auto"/>
          </w:tcPr>
          <w:p w14:paraId="3DAB42AE" w14:textId="77777777" w:rsidR="002F0133" w:rsidRPr="000B4E2C" w:rsidRDefault="002F0133" w:rsidP="008A7464">
            <w:pPr>
              <w:jc w:val="center"/>
            </w:pPr>
            <w:r w:rsidRPr="000B4E2C">
              <w:t>-</w:t>
            </w:r>
          </w:p>
        </w:tc>
        <w:tc>
          <w:tcPr>
            <w:tcW w:w="0" w:type="auto"/>
            <w:shd w:val="clear" w:color="auto" w:fill="auto"/>
          </w:tcPr>
          <w:p w14:paraId="6E29E8C5" w14:textId="77777777" w:rsidR="002F0133" w:rsidRPr="000B4E2C" w:rsidRDefault="002F0133" w:rsidP="008A7464">
            <w:pPr>
              <w:jc w:val="center"/>
            </w:pPr>
            <w:r w:rsidRPr="000B4E2C">
              <w:t>0.70 (0.65, 0.74)</w:t>
            </w:r>
          </w:p>
        </w:tc>
        <w:tc>
          <w:tcPr>
            <w:tcW w:w="0" w:type="auto"/>
            <w:shd w:val="clear" w:color="auto" w:fill="auto"/>
          </w:tcPr>
          <w:p w14:paraId="58D3CC6B" w14:textId="77777777" w:rsidR="002F0133" w:rsidRPr="000B4E2C" w:rsidRDefault="002F0133" w:rsidP="008A7464">
            <w:pPr>
              <w:jc w:val="center"/>
            </w:pPr>
            <w:r w:rsidRPr="000B4E2C">
              <w:t>(0.58, 0.79)</w:t>
            </w:r>
          </w:p>
        </w:tc>
      </w:tr>
      <w:tr w:rsidR="002F0133" w:rsidRPr="000B4E2C" w14:paraId="234D510D" w14:textId="77777777" w:rsidTr="000B4E2C">
        <w:trPr>
          <w:cantSplit/>
        </w:trPr>
        <w:tc>
          <w:tcPr>
            <w:tcW w:w="0" w:type="auto"/>
            <w:shd w:val="clear" w:color="auto" w:fill="auto"/>
          </w:tcPr>
          <w:p w14:paraId="1115FB64" w14:textId="77777777" w:rsidR="002F0133" w:rsidRPr="000B4E2C" w:rsidRDefault="002F0133" w:rsidP="008A7464">
            <w:r w:rsidRPr="000B4E2C">
              <w:t>Adults uNGAL ARCHITECT (Abbott) major non-cardiac surgery</w:t>
            </w:r>
          </w:p>
        </w:tc>
        <w:tc>
          <w:tcPr>
            <w:tcW w:w="0" w:type="auto"/>
            <w:shd w:val="clear" w:color="auto" w:fill="auto"/>
          </w:tcPr>
          <w:p w14:paraId="1359EEB1" w14:textId="77777777" w:rsidR="002F0133" w:rsidRPr="000B4E2C" w:rsidRDefault="002F0133" w:rsidP="008A7464">
            <w:pPr>
              <w:jc w:val="center"/>
            </w:pPr>
            <w:r w:rsidRPr="000B4E2C">
              <w:t>1</w:t>
            </w:r>
          </w:p>
        </w:tc>
        <w:tc>
          <w:tcPr>
            <w:tcW w:w="0" w:type="auto"/>
            <w:shd w:val="clear" w:color="auto" w:fill="auto"/>
          </w:tcPr>
          <w:p w14:paraId="7C26BB16" w14:textId="77777777" w:rsidR="002F0133" w:rsidRPr="000B4E2C" w:rsidRDefault="002F0133" w:rsidP="008A7464">
            <w:pPr>
              <w:jc w:val="center"/>
            </w:pPr>
            <w:r w:rsidRPr="000B4E2C">
              <w:t>0.50 (034, 0.66)</w:t>
            </w:r>
          </w:p>
        </w:tc>
        <w:tc>
          <w:tcPr>
            <w:tcW w:w="0" w:type="auto"/>
            <w:shd w:val="clear" w:color="auto" w:fill="auto"/>
          </w:tcPr>
          <w:p w14:paraId="74E4436F" w14:textId="77777777" w:rsidR="002F0133" w:rsidRPr="000B4E2C" w:rsidRDefault="002F0133" w:rsidP="008A7464">
            <w:pPr>
              <w:jc w:val="center"/>
            </w:pPr>
            <w:r w:rsidRPr="000B4E2C">
              <w:t>-</w:t>
            </w:r>
          </w:p>
        </w:tc>
        <w:tc>
          <w:tcPr>
            <w:tcW w:w="0" w:type="auto"/>
            <w:shd w:val="clear" w:color="auto" w:fill="auto"/>
          </w:tcPr>
          <w:p w14:paraId="73FBF0AF" w14:textId="77777777" w:rsidR="002F0133" w:rsidRPr="000B4E2C" w:rsidRDefault="002F0133" w:rsidP="008A7464">
            <w:pPr>
              <w:jc w:val="center"/>
            </w:pPr>
            <w:r w:rsidRPr="000B4E2C">
              <w:t>-</w:t>
            </w:r>
          </w:p>
        </w:tc>
      </w:tr>
      <w:tr w:rsidR="002F0133" w:rsidRPr="000B4E2C" w14:paraId="2C5D9C9E" w14:textId="77777777" w:rsidTr="000B4E2C">
        <w:trPr>
          <w:cantSplit/>
        </w:trPr>
        <w:tc>
          <w:tcPr>
            <w:tcW w:w="0" w:type="auto"/>
            <w:shd w:val="clear" w:color="auto" w:fill="auto"/>
          </w:tcPr>
          <w:p w14:paraId="682B33B7" w14:textId="77777777" w:rsidR="002F0133" w:rsidRPr="000B4E2C" w:rsidRDefault="002F0133" w:rsidP="008A7464">
            <w:r w:rsidRPr="000B4E2C">
              <w:t>Adults uNGAL ARCHITECT (Abbott) critical care</w:t>
            </w:r>
          </w:p>
        </w:tc>
        <w:tc>
          <w:tcPr>
            <w:tcW w:w="0" w:type="auto"/>
            <w:shd w:val="clear" w:color="auto" w:fill="auto"/>
          </w:tcPr>
          <w:p w14:paraId="5C6BE512" w14:textId="77777777" w:rsidR="002F0133" w:rsidRPr="000B4E2C" w:rsidRDefault="002F0133" w:rsidP="008A7464">
            <w:pPr>
              <w:jc w:val="center"/>
            </w:pPr>
            <w:r w:rsidRPr="000B4E2C">
              <w:t>7</w:t>
            </w:r>
          </w:p>
        </w:tc>
        <w:tc>
          <w:tcPr>
            <w:tcW w:w="0" w:type="auto"/>
            <w:shd w:val="clear" w:color="auto" w:fill="auto"/>
          </w:tcPr>
          <w:p w14:paraId="323FCB77" w14:textId="77777777" w:rsidR="002F0133" w:rsidRPr="000B4E2C" w:rsidRDefault="002F0133" w:rsidP="008A7464">
            <w:pPr>
              <w:jc w:val="center"/>
            </w:pPr>
            <w:r w:rsidRPr="000B4E2C">
              <w:t>-</w:t>
            </w:r>
          </w:p>
        </w:tc>
        <w:tc>
          <w:tcPr>
            <w:tcW w:w="0" w:type="auto"/>
            <w:shd w:val="clear" w:color="auto" w:fill="auto"/>
          </w:tcPr>
          <w:p w14:paraId="546D6B99" w14:textId="77777777" w:rsidR="002F0133" w:rsidRPr="000B4E2C" w:rsidRDefault="002F0133" w:rsidP="008A7464">
            <w:pPr>
              <w:jc w:val="center"/>
            </w:pPr>
            <w:r w:rsidRPr="000B4E2C">
              <w:t>0.76 (0.69, 0.82)</w:t>
            </w:r>
          </w:p>
        </w:tc>
        <w:tc>
          <w:tcPr>
            <w:tcW w:w="0" w:type="auto"/>
            <w:shd w:val="clear" w:color="auto" w:fill="auto"/>
          </w:tcPr>
          <w:p w14:paraId="04C59E7C" w14:textId="77777777" w:rsidR="002F0133" w:rsidRPr="000B4E2C" w:rsidRDefault="002F0133" w:rsidP="008A7464">
            <w:pPr>
              <w:jc w:val="center"/>
            </w:pPr>
            <w:r w:rsidRPr="000B4E2C">
              <w:t>(0.50, 0.91)</w:t>
            </w:r>
          </w:p>
        </w:tc>
      </w:tr>
      <w:tr w:rsidR="002F0133" w:rsidRPr="000B4E2C" w14:paraId="708D73C1" w14:textId="77777777" w:rsidTr="000B4E2C">
        <w:trPr>
          <w:cantSplit/>
        </w:trPr>
        <w:tc>
          <w:tcPr>
            <w:tcW w:w="0" w:type="auto"/>
            <w:shd w:val="clear" w:color="auto" w:fill="auto"/>
          </w:tcPr>
          <w:p w14:paraId="1E4E1B43" w14:textId="77777777" w:rsidR="002F0133" w:rsidRPr="000B4E2C" w:rsidRDefault="002F0133" w:rsidP="008A7464">
            <w:pPr>
              <w:jc w:val="center"/>
            </w:pPr>
          </w:p>
        </w:tc>
        <w:tc>
          <w:tcPr>
            <w:tcW w:w="0" w:type="auto"/>
            <w:gridSpan w:val="4"/>
            <w:shd w:val="clear" w:color="auto" w:fill="auto"/>
          </w:tcPr>
          <w:p w14:paraId="3578A638" w14:textId="77777777" w:rsidR="002F0133" w:rsidRPr="000B4E2C" w:rsidRDefault="002F0133" w:rsidP="008A7464">
            <w:pPr>
              <w:jc w:val="center"/>
            </w:pPr>
          </w:p>
        </w:tc>
      </w:tr>
      <w:tr w:rsidR="002F0133" w:rsidRPr="000B4E2C" w14:paraId="3AD686B0" w14:textId="77777777" w:rsidTr="000B4E2C">
        <w:trPr>
          <w:cantSplit/>
        </w:trPr>
        <w:tc>
          <w:tcPr>
            <w:tcW w:w="0" w:type="auto"/>
            <w:shd w:val="clear" w:color="auto" w:fill="auto"/>
          </w:tcPr>
          <w:p w14:paraId="7D9EA2E7" w14:textId="16279311" w:rsidR="002F0133" w:rsidRPr="000B4E2C" w:rsidRDefault="002F0133" w:rsidP="008A7464">
            <w:pPr>
              <w:rPr>
                <w:b/>
              </w:rPr>
            </w:pPr>
            <w:r w:rsidRPr="000B4E2C">
              <w:rPr>
                <w:b/>
              </w:rPr>
              <w:t>Adults uNGAL (</w:t>
            </w:r>
            <w:r w:rsidR="009D7F5A" w:rsidRPr="000B4E2C">
              <w:rPr>
                <w:b/>
              </w:rPr>
              <w:t>BioPorto</w:t>
            </w:r>
            <w:r w:rsidRPr="000B4E2C">
              <w:rPr>
                <w:b/>
              </w:rPr>
              <w:t>) across settings</w:t>
            </w:r>
          </w:p>
        </w:tc>
        <w:tc>
          <w:tcPr>
            <w:tcW w:w="0" w:type="auto"/>
            <w:shd w:val="clear" w:color="auto" w:fill="auto"/>
          </w:tcPr>
          <w:p w14:paraId="49DC786B" w14:textId="77777777" w:rsidR="002F0133" w:rsidRPr="000B4E2C" w:rsidRDefault="002F0133" w:rsidP="008A7464">
            <w:pPr>
              <w:jc w:val="center"/>
            </w:pPr>
            <w:r w:rsidRPr="000B4E2C">
              <w:t>15</w:t>
            </w:r>
          </w:p>
        </w:tc>
        <w:tc>
          <w:tcPr>
            <w:tcW w:w="0" w:type="auto"/>
            <w:shd w:val="clear" w:color="auto" w:fill="auto"/>
          </w:tcPr>
          <w:p w14:paraId="2A048E7E" w14:textId="77777777" w:rsidR="002F0133" w:rsidRPr="000B4E2C" w:rsidRDefault="002F0133" w:rsidP="008A7464">
            <w:pPr>
              <w:jc w:val="center"/>
            </w:pPr>
            <w:r w:rsidRPr="000B4E2C">
              <w:t>-</w:t>
            </w:r>
          </w:p>
        </w:tc>
        <w:tc>
          <w:tcPr>
            <w:tcW w:w="0" w:type="auto"/>
            <w:shd w:val="clear" w:color="auto" w:fill="auto"/>
          </w:tcPr>
          <w:p w14:paraId="0BDB47A7" w14:textId="77777777" w:rsidR="002F0133" w:rsidRPr="000B4E2C" w:rsidRDefault="002F0133" w:rsidP="008A7464">
            <w:pPr>
              <w:jc w:val="center"/>
            </w:pPr>
            <w:r w:rsidRPr="000B4E2C">
              <w:t>0.70 (0.65, 0.74)</w:t>
            </w:r>
          </w:p>
        </w:tc>
        <w:tc>
          <w:tcPr>
            <w:tcW w:w="0" w:type="auto"/>
            <w:shd w:val="clear" w:color="auto" w:fill="auto"/>
          </w:tcPr>
          <w:p w14:paraId="765876E8" w14:textId="77777777" w:rsidR="002F0133" w:rsidRPr="000B4E2C" w:rsidRDefault="002F0133" w:rsidP="008A7464">
            <w:pPr>
              <w:jc w:val="center"/>
            </w:pPr>
            <w:r w:rsidRPr="000B4E2C">
              <w:t>(0.53, 0.82)</w:t>
            </w:r>
          </w:p>
        </w:tc>
      </w:tr>
      <w:tr w:rsidR="002F0133" w:rsidRPr="000B4E2C" w14:paraId="3BF82B42" w14:textId="77777777" w:rsidTr="000B4E2C">
        <w:trPr>
          <w:cantSplit/>
        </w:trPr>
        <w:tc>
          <w:tcPr>
            <w:tcW w:w="0" w:type="auto"/>
            <w:shd w:val="clear" w:color="auto" w:fill="auto"/>
          </w:tcPr>
          <w:p w14:paraId="52F9D0B3" w14:textId="009CB890" w:rsidR="002F0133" w:rsidRPr="000B4E2C" w:rsidRDefault="002F0133" w:rsidP="008A7464">
            <w:r w:rsidRPr="000B4E2C">
              <w:t>Adults uNGAL (</w:t>
            </w:r>
            <w:r w:rsidR="009D7F5A" w:rsidRPr="000B4E2C">
              <w:t>BioPorto</w:t>
            </w:r>
            <w:r w:rsidRPr="000B4E2C">
              <w:t>) cardiac surgery</w:t>
            </w:r>
          </w:p>
        </w:tc>
        <w:tc>
          <w:tcPr>
            <w:tcW w:w="0" w:type="auto"/>
            <w:shd w:val="clear" w:color="auto" w:fill="auto"/>
          </w:tcPr>
          <w:p w14:paraId="54C836CC" w14:textId="77777777" w:rsidR="002F0133" w:rsidRPr="000B4E2C" w:rsidRDefault="002F0133" w:rsidP="008A7464">
            <w:pPr>
              <w:jc w:val="center"/>
            </w:pPr>
            <w:r w:rsidRPr="000B4E2C">
              <w:t>4</w:t>
            </w:r>
          </w:p>
        </w:tc>
        <w:tc>
          <w:tcPr>
            <w:tcW w:w="0" w:type="auto"/>
            <w:shd w:val="clear" w:color="auto" w:fill="auto"/>
          </w:tcPr>
          <w:p w14:paraId="1FEB0CCC" w14:textId="77777777" w:rsidR="002F0133" w:rsidRPr="000B4E2C" w:rsidRDefault="002F0133" w:rsidP="008A7464">
            <w:pPr>
              <w:jc w:val="center"/>
            </w:pPr>
            <w:r w:rsidRPr="000B4E2C">
              <w:t>-</w:t>
            </w:r>
          </w:p>
        </w:tc>
        <w:tc>
          <w:tcPr>
            <w:tcW w:w="0" w:type="auto"/>
            <w:shd w:val="clear" w:color="auto" w:fill="auto"/>
          </w:tcPr>
          <w:p w14:paraId="1756BC0A" w14:textId="77777777" w:rsidR="002F0133" w:rsidRPr="000B4E2C" w:rsidRDefault="002F0133" w:rsidP="008A7464">
            <w:pPr>
              <w:jc w:val="center"/>
            </w:pPr>
            <w:r w:rsidRPr="000B4E2C">
              <w:t>0.62 (0.55, 0.69)</w:t>
            </w:r>
          </w:p>
          <w:p w14:paraId="75787B82" w14:textId="77777777" w:rsidR="002F0133" w:rsidRPr="000B4E2C" w:rsidRDefault="002F0133" w:rsidP="008A7464">
            <w:pPr>
              <w:jc w:val="center"/>
            </w:pPr>
          </w:p>
        </w:tc>
        <w:tc>
          <w:tcPr>
            <w:tcW w:w="0" w:type="auto"/>
            <w:shd w:val="clear" w:color="auto" w:fill="auto"/>
          </w:tcPr>
          <w:p w14:paraId="2A272D0E" w14:textId="77777777" w:rsidR="002F0133" w:rsidRPr="000B4E2C" w:rsidRDefault="002F0133" w:rsidP="008A7464">
            <w:pPr>
              <w:jc w:val="center"/>
            </w:pPr>
            <w:r w:rsidRPr="000B4E2C">
              <w:t>(0.33, 0.84)</w:t>
            </w:r>
          </w:p>
        </w:tc>
      </w:tr>
      <w:tr w:rsidR="002F0133" w:rsidRPr="000B4E2C" w14:paraId="738CBF0B" w14:textId="77777777" w:rsidTr="000B4E2C">
        <w:trPr>
          <w:cantSplit/>
        </w:trPr>
        <w:tc>
          <w:tcPr>
            <w:tcW w:w="0" w:type="auto"/>
            <w:shd w:val="clear" w:color="auto" w:fill="auto"/>
          </w:tcPr>
          <w:p w14:paraId="3AA04D28" w14:textId="03D3DCA5" w:rsidR="002F0133" w:rsidRPr="000B4E2C" w:rsidRDefault="002F0133" w:rsidP="008A7464">
            <w:r w:rsidRPr="000B4E2C">
              <w:t>Adults uNGAL (</w:t>
            </w:r>
            <w:r w:rsidR="009D7F5A" w:rsidRPr="000B4E2C">
              <w:t>BioPorto</w:t>
            </w:r>
            <w:r w:rsidRPr="000B4E2C">
              <w:t>) major non-cardiac surgery</w:t>
            </w:r>
          </w:p>
        </w:tc>
        <w:tc>
          <w:tcPr>
            <w:tcW w:w="0" w:type="auto"/>
            <w:shd w:val="clear" w:color="auto" w:fill="auto"/>
          </w:tcPr>
          <w:p w14:paraId="32BCCAA1" w14:textId="77777777" w:rsidR="002F0133" w:rsidRPr="000B4E2C" w:rsidRDefault="002F0133" w:rsidP="008A7464">
            <w:pPr>
              <w:jc w:val="center"/>
            </w:pPr>
            <w:r w:rsidRPr="000B4E2C">
              <w:t>1</w:t>
            </w:r>
          </w:p>
        </w:tc>
        <w:tc>
          <w:tcPr>
            <w:tcW w:w="0" w:type="auto"/>
            <w:shd w:val="clear" w:color="auto" w:fill="auto"/>
          </w:tcPr>
          <w:p w14:paraId="0FB646D3" w14:textId="77777777" w:rsidR="002F0133" w:rsidRPr="000B4E2C" w:rsidRDefault="002F0133" w:rsidP="008A7464">
            <w:pPr>
              <w:jc w:val="center"/>
            </w:pPr>
            <w:r w:rsidRPr="000B4E2C">
              <w:t>0.78 (0.66, 0.90)</w:t>
            </w:r>
          </w:p>
        </w:tc>
        <w:tc>
          <w:tcPr>
            <w:tcW w:w="0" w:type="auto"/>
            <w:shd w:val="clear" w:color="auto" w:fill="auto"/>
          </w:tcPr>
          <w:p w14:paraId="5EC7D94D" w14:textId="77777777" w:rsidR="002F0133" w:rsidRPr="000B4E2C" w:rsidRDefault="002F0133" w:rsidP="008A7464">
            <w:pPr>
              <w:jc w:val="center"/>
            </w:pPr>
            <w:r w:rsidRPr="000B4E2C">
              <w:t>-</w:t>
            </w:r>
          </w:p>
        </w:tc>
        <w:tc>
          <w:tcPr>
            <w:tcW w:w="0" w:type="auto"/>
            <w:shd w:val="clear" w:color="auto" w:fill="auto"/>
          </w:tcPr>
          <w:p w14:paraId="33E85835" w14:textId="77777777" w:rsidR="002F0133" w:rsidRPr="000B4E2C" w:rsidRDefault="002F0133" w:rsidP="008A7464">
            <w:pPr>
              <w:jc w:val="center"/>
            </w:pPr>
            <w:r w:rsidRPr="000B4E2C">
              <w:t>-</w:t>
            </w:r>
          </w:p>
        </w:tc>
      </w:tr>
      <w:tr w:rsidR="002F0133" w:rsidRPr="000B4E2C" w14:paraId="5A02F3E5" w14:textId="77777777" w:rsidTr="000B4E2C">
        <w:trPr>
          <w:cantSplit/>
        </w:trPr>
        <w:tc>
          <w:tcPr>
            <w:tcW w:w="0" w:type="auto"/>
            <w:shd w:val="clear" w:color="auto" w:fill="auto"/>
          </w:tcPr>
          <w:p w14:paraId="798A085F" w14:textId="1729A2A4" w:rsidR="002F0133" w:rsidRPr="000B4E2C" w:rsidRDefault="002F0133" w:rsidP="008A7464">
            <w:r w:rsidRPr="000B4E2C">
              <w:lastRenderedPageBreak/>
              <w:t>Adults uNGAL (</w:t>
            </w:r>
            <w:r w:rsidR="009D7F5A" w:rsidRPr="000B4E2C">
              <w:t>BioPorto</w:t>
            </w:r>
            <w:r w:rsidRPr="000B4E2C">
              <w:t>) critical care</w:t>
            </w:r>
          </w:p>
        </w:tc>
        <w:tc>
          <w:tcPr>
            <w:tcW w:w="0" w:type="auto"/>
            <w:shd w:val="clear" w:color="auto" w:fill="auto"/>
          </w:tcPr>
          <w:p w14:paraId="63AEF9A0" w14:textId="77777777" w:rsidR="000B4E2C" w:rsidRPr="000B4E2C" w:rsidRDefault="002F0133" w:rsidP="008A7464">
            <w:pPr>
              <w:jc w:val="center"/>
            </w:pPr>
            <w:r w:rsidRPr="000B4E2C">
              <w:t>10</w:t>
            </w:r>
          </w:p>
          <w:p w14:paraId="4B06E032" w14:textId="4724A3DC" w:rsidR="002F0133" w:rsidRPr="000B4E2C" w:rsidRDefault="002F0133" w:rsidP="008A7464">
            <w:pPr>
              <w:jc w:val="center"/>
            </w:pPr>
          </w:p>
        </w:tc>
        <w:tc>
          <w:tcPr>
            <w:tcW w:w="0" w:type="auto"/>
            <w:shd w:val="clear" w:color="auto" w:fill="auto"/>
          </w:tcPr>
          <w:p w14:paraId="61D3AF3C" w14:textId="77777777" w:rsidR="002F0133" w:rsidRPr="000B4E2C" w:rsidRDefault="002F0133" w:rsidP="008A7464">
            <w:pPr>
              <w:jc w:val="center"/>
            </w:pPr>
            <w:r w:rsidRPr="000B4E2C">
              <w:t>-</w:t>
            </w:r>
          </w:p>
        </w:tc>
        <w:tc>
          <w:tcPr>
            <w:tcW w:w="0" w:type="auto"/>
            <w:shd w:val="clear" w:color="auto" w:fill="auto"/>
          </w:tcPr>
          <w:p w14:paraId="10F67F2B" w14:textId="77777777" w:rsidR="002F0133" w:rsidRPr="000B4E2C" w:rsidRDefault="002F0133" w:rsidP="008A7464">
            <w:pPr>
              <w:jc w:val="center"/>
            </w:pPr>
            <w:r w:rsidRPr="000B4E2C">
              <w:t>0.72 (0.67, 0.77)</w:t>
            </w:r>
          </w:p>
        </w:tc>
        <w:tc>
          <w:tcPr>
            <w:tcW w:w="0" w:type="auto"/>
            <w:shd w:val="clear" w:color="auto" w:fill="auto"/>
          </w:tcPr>
          <w:p w14:paraId="5B795D73" w14:textId="77777777" w:rsidR="002F0133" w:rsidRPr="000B4E2C" w:rsidRDefault="002F0133" w:rsidP="008A7464">
            <w:pPr>
              <w:jc w:val="center"/>
            </w:pPr>
            <w:r w:rsidRPr="000B4E2C">
              <w:t>(0.54, 0.85)</w:t>
            </w:r>
          </w:p>
        </w:tc>
      </w:tr>
      <w:tr w:rsidR="002F0133" w:rsidRPr="000B4E2C" w14:paraId="6309FE45" w14:textId="77777777" w:rsidTr="000B4E2C">
        <w:trPr>
          <w:cantSplit/>
        </w:trPr>
        <w:tc>
          <w:tcPr>
            <w:tcW w:w="0" w:type="auto"/>
            <w:shd w:val="clear" w:color="auto" w:fill="auto"/>
          </w:tcPr>
          <w:p w14:paraId="3E538058" w14:textId="77777777" w:rsidR="002F0133" w:rsidRPr="000B4E2C" w:rsidRDefault="002F0133" w:rsidP="008A7464">
            <w:pPr>
              <w:jc w:val="center"/>
            </w:pPr>
          </w:p>
        </w:tc>
        <w:tc>
          <w:tcPr>
            <w:tcW w:w="0" w:type="auto"/>
            <w:gridSpan w:val="4"/>
            <w:shd w:val="clear" w:color="auto" w:fill="auto"/>
          </w:tcPr>
          <w:p w14:paraId="246F75E1" w14:textId="77777777" w:rsidR="002F0133" w:rsidRPr="000B4E2C" w:rsidRDefault="002F0133" w:rsidP="008A7464">
            <w:pPr>
              <w:jc w:val="center"/>
            </w:pPr>
          </w:p>
        </w:tc>
      </w:tr>
      <w:tr w:rsidR="002F0133" w:rsidRPr="000B4E2C" w14:paraId="52D3AED7" w14:textId="77777777" w:rsidTr="000B4E2C">
        <w:trPr>
          <w:cantSplit/>
        </w:trPr>
        <w:tc>
          <w:tcPr>
            <w:tcW w:w="0" w:type="auto"/>
            <w:shd w:val="clear" w:color="auto" w:fill="auto"/>
          </w:tcPr>
          <w:p w14:paraId="116C8C7D" w14:textId="4D3107F1" w:rsidR="002F0133" w:rsidRPr="000B4E2C" w:rsidRDefault="002F0133" w:rsidP="008A7464">
            <w:pPr>
              <w:rPr>
                <w:b/>
              </w:rPr>
            </w:pPr>
            <w:r w:rsidRPr="000B4E2C">
              <w:rPr>
                <w:b/>
              </w:rPr>
              <w:t xml:space="preserve">Adult uNGAL (Abbott and </w:t>
            </w:r>
            <w:r w:rsidR="009D7F5A" w:rsidRPr="000B4E2C">
              <w:rPr>
                <w:b/>
              </w:rPr>
              <w:t>BioPorto</w:t>
            </w:r>
            <w:r w:rsidRPr="000B4E2C">
              <w:rPr>
                <w:b/>
              </w:rPr>
              <w:t>) cardiac surgery</w:t>
            </w:r>
          </w:p>
        </w:tc>
        <w:tc>
          <w:tcPr>
            <w:tcW w:w="0" w:type="auto"/>
            <w:shd w:val="clear" w:color="auto" w:fill="auto"/>
          </w:tcPr>
          <w:p w14:paraId="0C564EB6" w14:textId="77777777" w:rsidR="002F0133" w:rsidRPr="000B4E2C" w:rsidRDefault="002F0133" w:rsidP="008A7464">
            <w:pPr>
              <w:jc w:val="center"/>
            </w:pPr>
            <w:r w:rsidRPr="000B4E2C">
              <w:t>10</w:t>
            </w:r>
          </w:p>
        </w:tc>
        <w:tc>
          <w:tcPr>
            <w:tcW w:w="0" w:type="auto"/>
            <w:shd w:val="clear" w:color="auto" w:fill="auto"/>
          </w:tcPr>
          <w:p w14:paraId="6616518A" w14:textId="77777777" w:rsidR="002F0133" w:rsidRPr="000B4E2C" w:rsidRDefault="002F0133" w:rsidP="008A7464">
            <w:pPr>
              <w:jc w:val="center"/>
            </w:pPr>
            <w:r w:rsidRPr="000B4E2C">
              <w:t>-</w:t>
            </w:r>
          </w:p>
        </w:tc>
        <w:tc>
          <w:tcPr>
            <w:tcW w:w="0" w:type="auto"/>
            <w:shd w:val="clear" w:color="auto" w:fill="auto"/>
          </w:tcPr>
          <w:p w14:paraId="01430888" w14:textId="77777777" w:rsidR="002F0133" w:rsidRPr="000B4E2C" w:rsidRDefault="002F0133" w:rsidP="008A7464">
            <w:pPr>
              <w:jc w:val="center"/>
            </w:pPr>
            <w:r w:rsidRPr="000B4E2C">
              <w:t>0.67 (0.62, 0.78)</w:t>
            </w:r>
          </w:p>
        </w:tc>
        <w:tc>
          <w:tcPr>
            <w:tcW w:w="0" w:type="auto"/>
            <w:shd w:val="clear" w:color="auto" w:fill="auto"/>
          </w:tcPr>
          <w:p w14:paraId="03AB0461" w14:textId="77777777" w:rsidR="002F0133" w:rsidRPr="000B4E2C" w:rsidRDefault="002F0133" w:rsidP="008A7464">
            <w:pPr>
              <w:jc w:val="center"/>
            </w:pPr>
            <w:r w:rsidRPr="000B4E2C">
              <w:t>(0.53, 0.78)</w:t>
            </w:r>
          </w:p>
        </w:tc>
      </w:tr>
      <w:tr w:rsidR="002F0133" w:rsidRPr="000B4E2C" w14:paraId="66FD3383" w14:textId="77777777" w:rsidTr="000B4E2C">
        <w:trPr>
          <w:cantSplit/>
        </w:trPr>
        <w:tc>
          <w:tcPr>
            <w:tcW w:w="0" w:type="auto"/>
            <w:shd w:val="clear" w:color="auto" w:fill="auto"/>
          </w:tcPr>
          <w:p w14:paraId="1DE75CE2" w14:textId="4A74E2C1" w:rsidR="002F0133" w:rsidRPr="000B4E2C" w:rsidRDefault="002F0133" w:rsidP="008A7464">
            <w:pPr>
              <w:rPr>
                <w:b/>
              </w:rPr>
            </w:pPr>
            <w:r w:rsidRPr="000B4E2C">
              <w:rPr>
                <w:b/>
              </w:rPr>
              <w:t xml:space="preserve">Adult uNGAL (Abbott and </w:t>
            </w:r>
            <w:r w:rsidR="009D7F5A" w:rsidRPr="000B4E2C">
              <w:rPr>
                <w:b/>
              </w:rPr>
              <w:t>BioPorto</w:t>
            </w:r>
            <w:r w:rsidRPr="000B4E2C">
              <w:rPr>
                <w:b/>
              </w:rPr>
              <w:t>) major non-cardiac surgery</w:t>
            </w:r>
          </w:p>
        </w:tc>
        <w:tc>
          <w:tcPr>
            <w:tcW w:w="0" w:type="auto"/>
            <w:shd w:val="clear" w:color="auto" w:fill="auto"/>
          </w:tcPr>
          <w:p w14:paraId="4FE31E78" w14:textId="77777777" w:rsidR="002F0133" w:rsidRPr="000B4E2C" w:rsidRDefault="002F0133" w:rsidP="008A7464">
            <w:pPr>
              <w:jc w:val="center"/>
            </w:pPr>
            <w:r w:rsidRPr="000B4E2C">
              <w:t>2</w:t>
            </w:r>
          </w:p>
        </w:tc>
        <w:tc>
          <w:tcPr>
            <w:tcW w:w="0" w:type="auto"/>
            <w:shd w:val="clear" w:color="auto" w:fill="auto"/>
          </w:tcPr>
          <w:p w14:paraId="5714CFAA" w14:textId="77777777" w:rsidR="002F0133" w:rsidRPr="000B4E2C" w:rsidRDefault="002F0133" w:rsidP="008A7464">
            <w:pPr>
              <w:jc w:val="center"/>
            </w:pPr>
            <w:r w:rsidRPr="000B4E2C">
              <w:t>-</w:t>
            </w:r>
          </w:p>
        </w:tc>
        <w:tc>
          <w:tcPr>
            <w:tcW w:w="0" w:type="auto"/>
            <w:shd w:val="clear" w:color="auto" w:fill="auto"/>
          </w:tcPr>
          <w:p w14:paraId="546F8014" w14:textId="77777777" w:rsidR="002F0133" w:rsidRPr="000B4E2C" w:rsidRDefault="002F0133" w:rsidP="008A7464">
            <w:pPr>
              <w:jc w:val="center"/>
            </w:pPr>
            <w:r w:rsidRPr="000B4E2C">
              <w:t>0.65 (0.35, 0.86)</w:t>
            </w:r>
          </w:p>
        </w:tc>
        <w:tc>
          <w:tcPr>
            <w:tcW w:w="0" w:type="auto"/>
            <w:shd w:val="clear" w:color="auto" w:fill="auto"/>
          </w:tcPr>
          <w:p w14:paraId="54915881" w14:textId="77777777" w:rsidR="002F0133" w:rsidRPr="000B4E2C" w:rsidRDefault="002F0133" w:rsidP="008A7464">
            <w:pPr>
              <w:jc w:val="center"/>
            </w:pPr>
            <w:r w:rsidRPr="000B4E2C">
              <w:t>-</w:t>
            </w:r>
          </w:p>
        </w:tc>
      </w:tr>
      <w:tr w:rsidR="002F0133" w:rsidRPr="000B4E2C" w14:paraId="2C5E6A3D" w14:textId="77777777" w:rsidTr="000B4E2C">
        <w:trPr>
          <w:cantSplit/>
        </w:trPr>
        <w:tc>
          <w:tcPr>
            <w:tcW w:w="0" w:type="auto"/>
            <w:shd w:val="clear" w:color="auto" w:fill="auto"/>
          </w:tcPr>
          <w:p w14:paraId="1AAE22F3" w14:textId="0B8BE1B2" w:rsidR="002F0133" w:rsidRPr="000B4E2C" w:rsidRDefault="002F0133" w:rsidP="008A7464">
            <w:pPr>
              <w:rPr>
                <w:b/>
              </w:rPr>
            </w:pPr>
            <w:r w:rsidRPr="000B4E2C">
              <w:rPr>
                <w:b/>
              </w:rPr>
              <w:t xml:space="preserve">Adult uNGAL (Abbott and </w:t>
            </w:r>
            <w:r w:rsidR="009D7F5A" w:rsidRPr="000B4E2C">
              <w:rPr>
                <w:b/>
              </w:rPr>
              <w:t>BioPorto</w:t>
            </w:r>
            <w:r w:rsidRPr="000B4E2C">
              <w:rPr>
                <w:b/>
              </w:rPr>
              <w:t>) critical care</w:t>
            </w:r>
          </w:p>
        </w:tc>
        <w:tc>
          <w:tcPr>
            <w:tcW w:w="0" w:type="auto"/>
            <w:shd w:val="clear" w:color="auto" w:fill="auto"/>
          </w:tcPr>
          <w:p w14:paraId="257F8F82" w14:textId="77777777" w:rsidR="002F0133" w:rsidRPr="000B4E2C" w:rsidRDefault="002F0133" w:rsidP="008A7464">
            <w:pPr>
              <w:jc w:val="center"/>
            </w:pPr>
            <w:r w:rsidRPr="000B4E2C">
              <w:t>17</w:t>
            </w:r>
          </w:p>
        </w:tc>
        <w:tc>
          <w:tcPr>
            <w:tcW w:w="0" w:type="auto"/>
            <w:shd w:val="clear" w:color="auto" w:fill="auto"/>
          </w:tcPr>
          <w:p w14:paraId="29B12FCA" w14:textId="77777777" w:rsidR="002F0133" w:rsidRPr="000B4E2C" w:rsidRDefault="002F0133" w:rsidP="008A7464">
            <w:pPr>
              <w:jc w:val="center"/>
            </w:pPr>
            <w:r w:rsidRPr="000B4E2C">
              <w:t>-</w:t>
            </w:r>
          </w:p>
        </w:tc>
        <w:tc>
          <w:tcPr>
            <w:tcW w:w="0" w:type="auto"/>
            <w:shd w:val="clear" w:color="auto" w:fill="auto"/>
          </w:tcPr>
          <w:p w14:paraId="0D832FC1" w14:textId="77777777" w:rsidR="002F0133" w:rsidRPr="000B4E2C" w:rsidRDefault="002F0133" w:rsidP="008A7464">
            <w:pPr>
              <w:jc w:val="center"/>
            </w:pPr>
            <w:r w:rsidRPr="000B4E2C">
              <w:t>0.74 (0.70, 0.78)</w:t>
            </w:r>
          </w:p>
        </w:tc>
        <w:tc>
          <w:tcPr>
            <w:tcW w:w="0" w:type="auto"/>
            <w:shd w:val="clear" w:color="auto" w:fill="auto"/>
          </w:tcPr>
          <w:p w14:paraId="7CCBAAA5" w14:textId="77777777" w:rsidR="002F0133" w:rsidRPr="000B4E2C" w:rsidRDefault="002F0133" w:rsidP="008A7464">
            <w:pPr>
              <w:jc w:val="center"/>
            </w:pPr>
            <w:r w:rsidRPr="000B4E2C">
              <w:t>(0.56, 0.86)</w:t>
            </w:r>
          </w:p>
        </w:tc>
      </w:tr>
      <w:tr w:rsidR="002F0133" w:rsidRPr="000B4E2C" w14:paraId="58C4D2F1" w14:textId="77777777" w:rsidTr="000B4E2C">
        <w:trPr>
          <w:cantSplit/>
        </w:trPr>
        <w:tc>
          <w:tcPr>
            <w:tcW w:w="0" w:type="auto"/>
            <w:shd w:val="clear" w:color="auto" w:fill="auto"/>
          </w:tcPr>
          <w:p w14:paraId="3D1E6806" w14:textId="05740C8C" w:rsidR="002F0133" w:rsidRPr="000B4E2C" w:rsidRDefault="002F0133" w:rsidP="008A7464">
            <w:pPr>
              <w:rPr>
                <w:b/>
              </w:rPr>
            </w:pPr>
            <w:r w:rsidRPr="000B4E2C">
              <w:rPr>
                <w:b/>
              </w:rPr>
              <w:t xml:space="preserve">Adult uNGAL (Abbott and </w:t>
            </w:r>
            <w:r w:rsidR="009D7F5A" w:rsidRPr="000B4E2C">
              <w:rPr>
                <w:b/>
              </w:rPr>
              <w:t>BioPorto</w:t>
            </w:r>
            <w:r w:rsidRPr="000B4E2C">
              <w:rPr>
                <w:b/>
              </w:rPr>
              <w:t>) all settings</w:t>
            </w:r>
          </w:p>
        </w:tc>
        <w:tc>
          <w:tcPr>
            <w:tcW w:w="0" w:type="auto"/>
            <w:shd w:val="clear" w:color="auto" w:fill="auto"/>
          </w:tcPr>
          <w:p w14:paraId="52897B0E" w14:textId="77777777" w:rsidR="002F0133" w:rsidRPr="000B4E2C" w:rsidRDefault="002F0133" w:rsidP="008A7464">
            <w:pPr>
              <w:jc w:val="center"/>
            </w:pPr>
            <w:r w:rsidRPr="000B4E2C">
              <w:t>29</w:t>
            </w:r>
          </w:p>
        </w:tc>
        <w:tc>
          <w:tcPr>
            <w:tcW w:w="0" w:type="auto"/>
            <w:shd w:val="clear" w:color="auto" w:fill="auto"/>
          </w:tcPr>
          <w:p w14:paraId="7F42AFDC" w14:textId="77777777" w:rsidR="002F0133" w:rsidRPr="000B4E2C" w:rsidRDefault="002F0133" w:rsidP="008A7464">
            <w:pPr>
              <w:jc w:val="center"/>
            </w:pPr>
            <w:r w:rsidRPr="000B4E2C">
              <w:t>-</w:t>
            </w:r>
          </w:p>
        </w:tc>
        <w:tc>
          <w:tcPr>
            <w:tcW w:w="0" w:type="auto"/>
            <w:shd w:val="clear" w:color="auto" w:fill="auto"/>
          </w:tcPr>
          <w:p w14:paraId="3C617AB7" w14:textId="77777777" w:rsidR="002F0133" w:rsidRPr="000B4E2C" w:rsidRDefault="002F0133" w:rsidP="008A7464">
            <w:pPr>
              <w:jc w:val="center"/>
            </w:pPr>
            <w:r w:rsidRPr="000B4E2C">
              <w:t>0.71 (0.68, 0.74)</w:t>
            </w:r>
          </w:p>
        </w:tc>
        <w:tc>
          <w:tcPr>
            <w:tcW w:w="0" w:type="auto"/>
            <w:shd w:val="clear" w:color="auto" w:fill="auto"/>
          </w:tcPr>
          <w:p w14:paraId="02AD98A0" w14:textId="77777777" w:rsidR="002F0133" w:rsidRPr="000B4E2C" w:rsidRDefault="002F0133" w:rsidP="008A7464">
            <w:pPr>
              <w:jc w:val="center"/>
            </w:pPr>
            <w:r w:rsidRPr="000B4E2C">
              <w:t>(0.55, 0.84)</w:t>
            </w:r>
          </w:p>
        </w:tc>
      </w:tr>
      <w:tr w:rsidR="002F0133" w:rsidRPr="000B4E2C" w14:paraId="298C7D6B" w14:textId="77777777" w:rsidTr="000B4E2C">
        <w:trPr>
          <w:cantSplit/>
        </w:trPr>
        <w:tc>
          <w:tcPr>
            <w:tcW w:w="0" w:type="auto"/>
            <w:shd w:val="clear" w:color="auto" w:fill="auto"/>
          </w:tcPr>
          <w:p w14:paraId="11DD56D3" w14:textId="77777777" w:rsidR="002F0133" w:rsidRPr="000B4E2C" w:rsidRDefault="002F0133" w:rsidP="008A7464">
            <w:pPr>
              <w:jc w:val="center"/>
            </w:pPr>
          </w:p>
        </w:tc>
        <w:tc>
          <w:tcPr>
            <w:tcW w:w="0" w:type="auto"/>
            <w:gridSpan w:val="4"/>
            <w:shd w:val="clear" w:color="auto" w:fill="auto"/>
          </w:tcPr>
          <w:p w14:paraId="73589D03" w14:textId="77777777" w:rsidR="002F0133" w:rsidRPr="000B4E2C" w:rsidRDefault="002F0133" w:rsidP="008A7464">
            <w:pPr>
              <w:jc w:val="center"/>
            </w:pPr>
          </w:p>
        </w:tc>
      </w:tr>
      <w:tr w:rsidR="002F0133" w:rsidRPr="000B4E2C" w14:paraId="7D82E3B2" w14:textId="77777777" w:rsidTr="000B4E2C">
        <w:trPr>
          <w:cantSplit/>
        </w:trPr>
        <w:tc>
          <w:tcPr>
            <w:tcW w:w="0" w:type="auto"/>
            <w:shd w:val="clear" w:color="auto" w:fill="auto"/>
          </w:tcPr>
          <w:p w14:paraId="0DB43922" w14:textId="61B1497E" w:rsidR="002F0133" w:rsidRPr="000B4E2C" w:rsidRDefault="002F0133" w:rsidP="008A7464">
            <w:pPr>
              <w:rPr>
                <w:b/>
              </w:rPr>
            </w:pPr>
            <w:r w:rsidRPr="000B4E2C">
              <w:rPr>
                <w:b/>
              </w:rPr>
              <w:t>Adults pNGAL (</w:t>
            </w:r>
            <w:r w:rsidR="009D7F5A" w:rsidRPr="000B4E2C">
              <w:rPr>
                <w:b/>
              </w:rPr>
              <w:t>BioPorto</w:t>
            </w:r>
            <w:r w:rsidRPr="000B4E2C">
              <w:rPr>
                <w:b/>
              </w:rPr>
              <w:t>) across all settings</w:t>
            </w:r>
          </w:p>
        </w:tc>
        <w:tc>
          <w:tcPr>
            <w:tcW w:w="0" w:type="auto"/>
            <w:shd w:val="clear" w:color="auto" w:fill="auto"/>
          </w:tcPr>
          <w:p w14:paraId="560076DC" w14:textId="77777777" w:rsidR="002F0133" w:rsidRPr="000B4E2C" w:rsidRDefault="002F0133" w:rsidP="008A7464">
            <w:pPr>
              <w:jc w:val="center"/>
            </w:pPr>
            <w:r w:rsidRPr="000B4E2C">
              <w:t>10</w:t>
            </w:r>
          </w:p>
        </w:tc>
        <w:tc>
          <w:tcPr>
            <w:tcW w:w="0" w:type="auto"/>
            <w:shd w:val="clear" w:color="auto" w:fill="auto"/>
          </w:tcPr>
          <w:p w14:paraId="6ADCC7E3" w14:textId="77777777" w:rsidR="002F0133" w:rsidRPr="000B4E2C" w:rsidRDefault="002F0133" w:rsidP="008A7464">
            <w:pPr>
              <w:jc w:val="center"/>
            </w:pPr>
            <w:r w:rsidRPr="000B4E2C">
              <w:t>-</w:t>
            </w:r>
          </w:p>
        </w:tc>
        <w:tc>
          <w:tcPr>
            <w:tcW w:w="0" w:type="auto"/>
            <w:shd w:val="clear" w:color="auto" w:fill="auto"/>
          </w:tcPr>
          <w:p w14:paraId="32ED33DF" w14:textId="77777777" w:rsidR="002F0133" w:rsidRPr="000B4E2C" w:rsidRDefault="002F0133" w:rsidP="008A7464">
            <w:pPr>
              <w:jc w:val="center"/>
            </w:pPr>
            <w:r w:rsidRPr="000B4E2C">
              <w:t>0.72 (0.66, 0.77)</w:t>
            </w:r>
          </w:p>
        </w:tc>
        <w:tc>
          <w:tcPr>
            <w:tcW w:w="0" w:type="auto"/>
            <w:shd w:val="clear" w:color="auto" w:fill="auto"/>
          </w:tcPr>
          <w:p w14:paraId="50EBB4C6" w14:textId="77777777" w:rsidR="002F0133" w:rsidRPr="000B4E2C" w:rsidRDefault="002F0133" w:rsidP="008A7464">
            <w:pPr>
              <w:jc w:val="center"/>
            </w:pPr>
            <w:r w:rsidRPr="000B4E2C">
              <w:t>(0.52, 0.86)</w:t>
            </w:r>
          </w:p>
        </w:tc>
      </w:tr>
      <w:tr w:rsidR="002F0133" w:rsidRPr="000B4E2C" w14:paraId="4FF7D736" w14:textId="77777777" w:rsidTr="000B4E2C">
        <w:trPr>
          <w:cantSplit/>
        </w:trPr>
        <w:tc>
          <w:tcPr>
            <w:tcW w:w="0" w:type="auto"/>
            <w:shd w:val="clear" w:color="auto" w:fill="auto"/>
          </w:tcPr>
          <w:p w14:paraId="216626B7" w14:textId="39CC7579" w:rsidR="002F0133" w:rsidRPr="000B4E2C" w:rsidRDefault="002F0133" w:rsidP="008A7464">
            <w:r w:rsidRPr="000B4E2C">
              <w:t>Adults pNGAL (</w:t>
            </w:r>
            <w:r w:rsidR="009D7F5A" w:rsidRPr="000B4E2C">
              <w:t>BioPorto</w:t>
            </w:r>
            <w:r w:rsidRPr="000B4E2C">
              <w:t>) cardiac surgery</w:t>
            </w:r>
          </w:p>
        </w:tc>
        <w:tc>
          <w:tcPr>
            <w:tcW w:w="0" w:type="auto"/>
            <w:shd w:val="clear" w:color="auto" w:fill="auto"/>
          </w:tcPr>
          <w:p w14:paraId="66E8087B" w14:textId="77777777" w:rsidR="002F0133" w:rsidRPr="000B4E2C" w:rsidRDefault="002F0133" w:rsidP="008A7464">
            <w:pPr>
              <w:jc w:val="center"/>
            </w:pPr>
            <w:r w:rsidRPr="000B4E2C">
              <w:t>3</w:t>
            </w:r>
          </w:p>
        </w:tc>
        <w:tc>
          <w:tcPr>
            <w:tcW w:w="0" w:type="auto"/>
            <w:shd w:val="clear" w:color="auto" w:fill="auto"/>
          </w:tcPr>
          <w:p w14:paraId="6E9A33E4" w14:textId="77777777" w:rsidR="002F0133" w:rsidRPr="000B4E2C" w:rsidRDefault="002F0133" w:rsidP="008A7464">
            <w:pPr>
              <w:jc w:val="center"/>
            </w:pPr>
            <w:r w:rsidRPr="000B4E2C">
              <w:t>-</w:t>
            </w:r>
          </w:p>
        </w:tc>
        <w:tc>
          <w:tcPr>
            <w:tcW w:w="0" w:type="auto"/>
            <w:shd w:val="clear" w:color="auto" w:fill="auto"/>
          </w:tcPr>
          <w:p w14:paraId="2CC5B089" w14:textId="77777777" w:rsidR="002F0133" w:rsidRPr="000B4E2C" w:rsidRDefault="002F0133" w:rsidP="008A7464">
            <w:pPr>
              <w:jc w:val="center"/>
            </w:pPr>
            <w:r w:rsidRPr="000B4E2C">
              <w:t>0.74 (0.65, 0.82)</w:t>
            </w:r>
          </w:p>
        </w:tc>
        <w:tc>
          <w:tcPr>
            <w:tcW w:w="0" w:type="auto"/>
            <w:shd w:val="clear" w:color="auto" w:fill="auto"/>
          </w:tcPr>
          <w:p w14:paraId="3712313E" w14:textId="77777777" w:rsidR="002F0133" w:rsidRPr="000B4E2C" w:rsidRDefault="002F0133" w:rsidP="008A7464">
            <w:pPr>
              <w:jc w:val="center"/>
            </w:pPr>
            <w:r w:rsidRPr="000B4E2C">
              <w:t>(0.06, 0.99)</w:t>
            </w:r>
          </w:p>
        </w:tc>
      </w:tr>
      <w:tr w:rsidR="002F0133" w:rsidRPr="000B4E2C" w14:paraId="252C346D" w14:textId="77777777" w:rsidTr="000B4E2C">
        <w:trPr>
          <w:cantSplit/>
        </w:trPr>
        <w:tc>
          <w:tcPr>
            <w:tcW w:w="0" w:type="auto"/>
            <w:shd w:val="clear" w:color="auto" w:fill="auto"/>
          </w:tcPr>
          <w:p w14:paraId="72081B97" w14:textId="2F54FBBD" w:rsidR="002F0133" w:rsidRPr="000B4E2C" w:rsidRDefault="002F0133" w:rsidP="008A7464">
            <w:r w:rsidRPr="000B4E2C">
              <w:t>Adults pNGAL (</w:t>
            </w:r>
            <w:r w:rsidR="009D7F5A" w:rsidRPr="000B4E2C">
              <w:t>BioPorto</w:t>
            </w:r>
            <w:r w:rsidRPr="000B4E2C">
              <w:t>) major non-cardiac surgery</w:t>
            </w:r>
          </w:p>
        </w:tc>
        <w:tc>
          <w:tcPr>
            <w:tcW w:w="0" w:type="auto"/>
            <w:shd w:val="clear" w:color="auto" w:fill="auto"/>
          </w:tcPr>
          <w:p w14:paraId="3C175C0D" w14:textId="77777777" w:rsidR="002F0133" w:rsidRPr="000B4E2C" w:rsidRDefault="002F0133" w:rsidP="008A7464">
            <w:pPr>
              <w:jc w:val="center"/>
            </w:pPr>
            <w:r w:rsidRPr="000B4E2C">
              <w:t>1</w:t>
            </w:r>
          </w:p>
        </w:tc>
        <w:tc>
          <w:tcPr>
            <w:tcW w:w="0" w:type="auto"/>
            <w:shd w:val="clear" w:color="auto" w:fill="auto"/>
          </w:tcPr>
          <w:p w14:paraId="673343A6" w14:textId="77777777" w:rsidR="002F0133" w:rsidRPr="000B4E2C" w:rsidRDefault="002F0133" w:rsidP="008A7464">
            <w:pPr>
              <w:jc w:val="center"/>
            </w:pPr>
            <w:r w:rsidRPr="000B4E2C">
              <w:t>0.78 (0.66, 0.90)</w:t>
            </w:r>
          </w:p>
        </w:tc>
        <w:tc>
          <w:tcPr>
            <w:tcW w:w="0" w:type="auto"/>
            <w:shd w:val="clear" w:color="auto" w:fill="auto"/>
          </w:tcPr>
          <w:p w14:paraId="34B72AD8" w14:textId="77777777" w:rsidR="002F0133" w:rsidRPr="000B4E2C" w:rsidRDefault="002F0133" w:rsidP="008A7464">
            <w:pPr>
              <w:jc w:val="center"/>
            </w:pPr>
            <w:r w:rsidRPr="000B4E2C">
              <w:t>-</w:t>
            </w:r>
          </w:p>
        </w:tc>
        <w:tc>
          <w:tcPr>
            <w:tcW w:w="0" w:type="auto"/>
            <w:shd w:val="clear" w:color="auto" w:fill="auto"/>
          </w:tcPr>
          <w:p w14:paraId="71F37DC0" w14:textId="77777777" w:rsidR="002F0133" w:rsidRPr="000B4E2C" w:rsidRDefault="002F0133" w:rsidP="008A7464">
            <w:pPr>
              <w:jc w:val="center"/>
            </w:pPr>
            <w:r w:rsidRPr="000B4E2C">
              <w:t>-</w:t>
            </w:r>
          </w:p>
        </w:tc>
      </w:tr>
      <w:tr w:rsidR="002F0133" w:rsidRPr="000B4E2C" w14:paraId="20F8A95A" w14:textId="77777777" w:rsidTr="000B4E2C">
        <w:trPr>
          <w:cantSplit/>
        </w:trPr>
        <w:tc>
          <w:tcPr>
            <w:tcW w:w="0" w:type="auto"/>
            <w:shd w:val="clear" w:color="auto" w:fill="auto"/>
          </w:tcPr>
          <w:p w14:paraId="2BE3EEE0" w14:textId="3DD97AE2" w:rsidR="002F0133" w:rsidRPr="000B4E2C" w:rsidRDefault="002F0133" w:rsidP="008A7464">
            <w:r w:rsidRPr="000B4E2C">
              <w:t>Adults pNGAL (</w:t>
            </w:r>
            <w:r w:rsidR="009D7F5A" w:rsidRPr="000B4E2C">
              <w:t>BioPorto</w:t>
            </w:r>
            <w:r w:rsidRPr="000B4E2C">
              <w:t xml:space="preserve">) critical care </w:t>
            </w:r>
          </w:p>
        </w:tc>
        <w:tc>
          <w:tcPr>
            <w:tcW w:w="0" w:type="auto"/>
            <w:shd w:val="clear" w:color="auto" w:fill="auto"/>
          </w:tcPr>
          <w:p w14:paraId="624FC078" w14:textId="77777777" w:rsidR="002F0133" w:rsidRPr="000B4E2C" w:rsidRDefault="002F0133" w:rsidP="008A7464">
            <w:pPr>
              <w:jc w:val="center"/>
            </w:pPr>
            <w:r w:rsidRPr="000B4E2C">
              <w:t>7</w:t>
            </w:r>
          </w:p>
        </w:tc>
        <w:tc>
          <w:tcPr>
            <w:tcW w:w="0" w:type="auto"/>
            <w:shd w:val="clear" w:color="auto" w:fill="auto"/>
          </w:tcPr>
          <w:p w14:paraId="2897A52B" w14:textId="77777777" w:rsidR="002F0133" w:rsidRPr="000B4E2C" w:rsidRDefault="002F0133" w:rsidP="008A7464">
            <w:pPr>
              <w:jc w:val="center"/>
            </w:pPr>
            <w:r w:rsidRPr="000B4E2C">
              <w:t>-</w:t>
            </w:r>
          </w:p>
        </w:tc>
        <w:tc>
          <w:tcPr>
            <w:tcW w:w="0" w:type="auto"/>
            <w:shd w:val="clear" w:color="auto" w:fill="auto"/>
          </w:tcPr>
          <w:p w14:paraId="5CA839D6" w14:textId="77777777" w:rsidR="002F0133" w:rsidRPr="000B4E2C" w:rsidRDefault="002F0133" w:rsidP="008A7464">
            <w:pPr>
              <w:jc w:val="center"/>
            </w:pPr>
            <w:r w:rsidRPr="000B4E2C">
              <w:t>0.72 (0.65, 0.78)</w:t>
            </w:r>
          </w:p>
        </w:tc>
        <w:tc>
          <w:tcPr>
            <w:tcW w:w="0" w:type="auto"/>
            <w:shd w:val="clear" w:color="auto" w:fill="auto"/>
          </w:tcPr>
          <w:p w14:paraId="3CBFB111" w14:textId="77777777" w:rsidR="002F0133" w:rsidRPr="000B4E2C" w:rsidRDefault="002F0133" w:rsidP="008A7464">
            <w:pPr>
              <w:jc w:val="center"/>
            </w:pPr>
            <w:r w:rsidRPr="000B4E2C">
              <w:t>(0.47, 0.88)</w:t>
            </w:r>
          </w:p>
        </w:tc>
      </w:tr>
      <w:tr w:rsidR="002F0133" w:rsidRPr="000B4E2C" w14:paraId="59BB7085" w14:textId="77777777" w:rsidTr="000B4E2C">
        <w:trPr>
          <w:cantSplit/>
        </w:trPr>
        <w:tc>
          <w:tcPr>
            <w:tcW w:w="0" w:type="auto"/>
            <w:shd w:val="clear" w:color="auto" w:fill="auto"/>
          </w:tcPr>
          <w:p w14:paraId="7E85A2CE" w14:textId="77777777" w:rsidR="002F0133" w:rsidRPr="000B4E2C" w:rsidRDefault="002F0133" w:rsidP="008A7464">
            <w:pPr>
              <w:jc w:val="center"/>
            </w:pPr>
          </w:p>
        </w:tc>
        <w:tc>
          <w:tcPr>
            <w:tcW w:w="0" w:type="auto"/>
            <w:gridSpan w:val="4"/>
            <w:shd w:val="clear" w:color="auto" w:fill="auto"/>
          </w:tcPr>
          <w:p w14:paraId="67C3B31E" w14:textId="77777777" w:rsidR="002F0133" w:rsidRPr="000B4E2C" w:rsidRDefault="002F0133" w:rsidP="008A7464">
            <w:pPr>
              <w:jc w:val="center"/>
            </w:pPr>
          </w:p>
        </w:tc>
      </w:tr>
      <w:tr w:rsidR="002F0133" w:rsidRPr="000B4E2C" w14:paraId="3842144D" w14:textId="77777777" w:rsidTr="000B4E2C">
        <w:trPr>
          <w:cantSplit/>
        </w:trPr>
        <w:tc>
          <w:tcPr>
            <w:tcW w:w="0" w:type="auto"/>
            <w:shd w:val="clear" w:color="auto" w:fill="auto"/>
          </w:tcPr>
          <w:p w14:paraId="06D88A5E" w14:textId="10DB2091" w:rsidR="002F0133" w:rsidRPr="000B4E2C" w:rsidRDefault="002F0133" w:rsidP="008A7464">
            <w:pPr>
              <w:rPr>
                <w:b/>
              </w:rPr>
            </w:pPr>
            <w:r w:rsidRPr="000B4E2C">
              <w:rPr>
                <w:b/>
              </w:rPr>
              <w:t xml:space="preserve">Child uNGAL (Abbott and </w:t>
            </w:r>
            <w:r w:rsidR="009D7F5A" w:rsidRPr="000B4E2C">
              <w:rPr>
                <w:b/>
              </w:rPr>
              <w:t>BioPorto</w:t>
            </w:r>
            <w:r w:rsidRPr="000B4E2C">
              <w:rPr>
                <w:b/>
              </w:rPr>
              <w:t>) across settings</w:t>
            </w:r>
          </w:p>
        </w:tc>
        <w:tc>
          <w:tcPr>
            <w:tcW w:w="0" w:type="auto"/>
            <w:shd w:val="clear" w:color="auto" w:fill="auto"/>
          </w:tcPr>
          <w:p w14:paraId="3C40E8C7" w14:textId="77777777" w:rsidR="002F0133" w:rsidRPr="000B4E2C" w:rsidRDefault="002F0133" w:rsidP="008A7464">
            <w:pPr>
              <w:jc w:val="center"/>
            </w:pPr>
            <w:r w:rsidRPr="000B4E2C">
              <w:t>9</w:t>
            </w:r>
          </w:p>
        </w:tc>
        <w:tc>
          <w:tcPr>
            <w:tcW w:w="0" w:type="auto"/>
            <w:shd w:val="clear" w:color="auto" w:fill="auto"/>
          </w:tcPr>
          <w:p w14:paraId="212EEFB7" w14:textId="77777777" w:rsidR="002F0133" w:rsidRPr="000B4E2C" w:rsidRDefault="002F0133" w:rsidP="008A7464">
            <w:pPr>
              <w:jc w:val="center"/>
            </w:pPr>
            <w:r w:rsidRPr="000B4E2C">
              <w:t>-</w:t>
            </w:r>
          </w:p>
        </w:tc>
        <w:tc>
          <w:tcPr>
            <w:tcW w:w="0" w:type="auto"/>
            <w:shd w:val="clear" w:color="auto" w:fill="auto"/>
          </w:tcPr>
          <w:p w14:paraId="20AEF5A8" w14:textId="77777777" w:rsidR="002F0133" w:rsidRPr="000B4E2C" w:rsidRDefault="002F0133" w:rsidP="008A7464">
            <w:pPr>
              <w:jc w:val="center"/>
            </w:pPr>
            <w:r w:rsidRPr="000B4E2C">
              <w:t>0.81 (0.71, 0.88)</w:t>
            </w:r>
          </w:p>
        </w:tc>
        <w:tc>
          <w:tcPr>
            <w:tcW w:w="0" w:type="auto"/>
            <w:shd w:val="clear" w:color="auto" w:fill="auto"/>
          </w:tcPr>
          <w:p w14:paraId="7312EE04" w14:textId="77777777" w:rsidR="002F0133" w:rsidRPr="000B4E2C" w:rsidRDefault="002F0133" w:rsidP="008A7464">
            <w:pPr>
              <w:jc w:val="center"/>
            </w:pPr>
            <w:r w:rsidRPr="000B4E2C">
              <w:t>(0.37, 0.97)</w:t>
            </w:r>
          </w:p>
        </w:tc>
      </w:tr>
      <w:tr w:rsidR="002F0133" w:rsidRPr="000B4E2C" w14:paraId="5EFA4606" w14:textId="77777777" w:rsidTr="000B4E2C">
        <w:trPr>
          <w:cantSplit/>
        </w:trPr>
        <w:tc>
          <w:tcPr>
            <w:tcW w:w="0" w:type="auto"/>
            <w:shd w:val="clear" w:color="auto" w:fill="auto"/>
          </w:tcPr>
          <w:p w14:paraId="5A11A9C2" w14:textId="77777777" w:rsidR="002F0133" w:rsidRPr="000B4E2C" w:rsidRDefault="002F0133" w:rsidP="008A7464">
            <w:r w:rsidRPr="000B4E2C">
              <w:t>Child uNGAL ARCHITECT (Abbott) cardiac surgery</w:t>
            </w:r>
          </w:p>
        </w:tc>
        <w:tc>
          <w:tcPr>
            <w:tcW w:w="0" w:type="auto"/>
            <w:shd w:val="clear" w:color="auto" w:fill="auto"/>
          </w:tcPr>
          <w:p w14:paraId="72AA64DE" w14:textId="77777777" w:rsidR="002F0133" w:rsidRPr="000B4E2C" w:rsidRDefault="002F0133" w:rsidP="008A7464">
            <w:pPr>
              <w:jc w:val="center"/>
            </w:pPr>
            <w:r w:rsidRPr="000B4E2C">
              <w:t>5</w:t>
            </w:r>
          </w:p>
        </w:tc>
        <w:tc>
          <w:tcPr>
            <w:tcW w:w="0" w:type="auto"/>
            <w:shd w:val="clear" w:color="auto" w:fill="auto"/>
          </w:tcPr>
          <w:p w14:paraId="0DECA059" w14:textId="77777777" w:rsidR="002F0133" w:rsidRPr="000B4E2C" w:rsidRDefault="002F0133" w:rsidP="008A7464">
            <w:pPr>
              <w:jc w:val="center"/>
            </w:pPr>
            <w:r w:rsidRPr="000B4E2C">
              <w:t>-</w:t>
            </w:r>
          </w:p>
        </w:tc>
        <w:tc>
          <w:tcPr>
            <w:tcW w:w="0" w:type="auto"/>
            <w:shd w:val="clear" w:color="auto" w:fill="auto"/>
          </w:tcPr>
          <w:p w14:paraId="49D02802" w14:textId="77777777" w:rsidR="002F0133" w:rsidRPr="000B4E2C" w:rsidRDefault="002F0133" w:rsidP="008A7464">
            <w:pPr>
              <w:jc w:val="center"/>
            </w:pPr>
            <w:r w:rsidRPr="000B4E2C">
              <w:t>0.80 (0.65, 0.90)</w:t>
            </w:r>
          </w:p>
        </w:tc>
        <w:tc>
          <w:tcPr>
            <w:tcW w:w="0" w:type="auto"/>
            <w:shd w:val="clear" w:color="auto" w:fill="auto"/>
          </w:tcPr>
          <w:p w14:paraId="519BBEF9" w14:textId="77777777" w:rsidR="002F0133" w:rsidRPr="000B4E2C" w:rsidRDefault="002F0133" w:rsidP="008A7464">
            <w:pPr>
              <w:jc w:val="center"/>
            </w:pPr>
            <w:r w:rsidRPr="000B4E2C">
              <w:t>(0.17, 0.99)</w:t>
            </w:r>
          </w:p>
        </w:tc>
      </w:tr>
      <w:tr w:rsidR="002F0133" w:rsidRPr="000B4E2C" w14:paraId="4E7D2C76" w14:textId="77777777" w:rsidTr="000B4E2C">
        <w:trPr>
          <w:cantSplit/>
        </w:trPr>
        <w:tc>
          <w:tcPr>
            <w:tcW w:w="0" w:type="auto"/>
            <w:shd w:val="clear" w:color="auto" w:fill="auto"/>
          </w:tcPr>
          <w:p w14:paraId="425D3FC7" w14:textId="79605420" w:rsidR="002F0133" w:rsidRPr="000B4E2C" w:rsidRDefault="002F0133" w:rsidP="008A7464">
            <w:r w:rsidRPr="000B4E2C">
              <w:t>Child uNGAL (</w:t>
            </w:r>
            <w:r w:rsidR="009D7F5A" w:rsidRPr="000B4E2C">
              <w:t>BioPorto</w:t>
            </w:r>
            <w:r w:rsidRPr="000B4E2C">
              <w:t>) cardiac surgery</w:t>
            </w:r>
          </w:p>
        </w:tc>
        <w:tc>
          <w:tcPr>
            <w:tcW w:w="0" w:type="auto"/>
            <w:shd w:val="clear" w:color="auto" w:fill="auto"/>
          </w:tcPr>
          <w:p w14:paraId="0E6488D7" w14:textId="77777777" w:rsidR="002F0133" w:rsidRPr="000B4E2C" w:rsidRDefault="002F0133" w:rsidP="008A7464">
            <w:pPr>
              <w:jc w:val="center"/>
            </w:pPr>
            <w:r w:rsidRPr="000B4E2C">
              <w:t>2</w:t>
            </w:r>
          </w:p>
        </w:tc>
        <w:tc>
          <w:tcPr>
            <w:tcW w:w="0" w:type="auto"/>
            <w:shd w:val="clear" w:color="auto" w:fill="auto"/>
          </w:tcPr>
          <w:p w14:paraId="41E267E3" w14:textId="77777777" w:rsidR="002F0133" w:rsidRPr="000B4E2C" w:rsidRDefault="002F0133" w:rsidP="008A7464">
            <w:pPr>
              <w:jc w:val="center"/>
            </w:pPr>
            <w:r w:rsidRPr="000B4E2C">
              <w:t>-</w:t>
            </w:r>
          </w:p>
        </w:tc>
        <w:tc>
          <w:tcPr>
            <w:tcW w:w="0" w:type="auto"/>
            <w:shd w:val="clear" w:color="auto" w:fill="auto"/>
          </w:tcPr>
          <w:p w14:paraId="25B849C1" w14:textId="77777777" w:rsidR="002F0133" w:rsidRPr="000B4E2C" w:rsidRDefault="002F0133" w:rsidP="008A7464">
            <w:pPr>
              <w:jc w:val="center"/>
            </w:pPr>
            <w:r w:rsidRPr="000B4E2C">
              <w:t>0.88 (0.47, 0.98)</w:t>
            </w:r>
          </w:p>
        </w:tc>
        <w:tc>
          <w:tcPr>
            <w:tcW w:w="0" w:type="auto"/>
            <w:shd w:val="clear" w:color="auto" w:fill="auto"/>
          </w:tcPr>
          <w:p w14:paraId="29F2463C" w14:textId="77777777" w:rsidR="002F0133" w:rsidRPr="000B4E2C" w:rsidRDefault="002F0133" w:rsidP="008A7464">
            <w:pPr>
              <w:jc w:val="center"/>
            </w:pPr>
            <w:r w:rsidRPr="000B4E2C">
              <w:t>-</w:t>
            </w:r>
          </w:p>
        </w:tc>
      </w:tr>
      <w:tr w:rsidR="002F0133" w:rsidRPr="000B4E2C" w14:paraId="2518F123" w14:textId="77777777" w:rsidTr="000B4E2C">
        <w:trPr>
          <w:cantSplit/>
        </w:trPr>
        <w:tc>
          <w:tcPr>
            <w:tcW w:w="0" w:type="auto"/>
            <w:shd w:val="clear" w:color="auto" w:fill="auto"/>
          </w:tcPr>
          <w:p w14:paraId="331F7B57" w14:textId="2993DEF9" w:rsidR="002F0133" w:rsidRPr="000B4E2C" w:rsidRDefault="002F0133" w:rsidP="008A7464">
            <w:pPr>
              <w:rPr>
                <w:b/>
              </w:rPr>
            </w:pPr>
            <w:r w:rsidRPr="000B4E2C">
              <w:rPr>
                <w:b/>
              </w:rPr>
              <w:t xml:space="preserve">Child uNGAL (Abbott and </w:t>
            </w:r>
            <w:r w:rsidR="009D7F5A" w:rsidRPr="000B4E2C">
              <w:rPr>
                <w:b/>
              </w:rPr>
              <w:t>BioPorto</w:t>
            </w:r>
            <w:r w:rsidRPr="000B4E2C">
              <w:rPr>
                <w:b/>
              </w:rPr>
              <w:t>) all cardiac surgery</w:t>
            </w:r>
          </w:p>
        </w:tc>
        <w:tc>
          <w:tcPr>
            <w:tcW w:w="0" w:type="auto"/>
            <w:shd w:val="clear" w:color="auto" w:fill="auto"/>
          </w:tcPr>
          <w:p w14:paraId="59CB9597" w14:textId="77777777" w:rsidR="002F0133" w:rsidRPr="000B4E2C" w:rsidRDefault="002F0133" w:rsidP="008A7464">
            <w:pPr>
              <w:jc w:val="center"/>
            </w:pPr>
            <w:r w:rsidRPr="000B4E2C">
              <w:t>7</w:t>
            </w:r>
          </w:p>
        </w:tc>
        <w:tc>
          <w:tcPr>
            <w:tcW w:w="0" w:type="auto"/>
            <w:shd w:val="clear" w:color="auto" w:fill="auto"/>
          </w:tcPr>
          <w:p w14:paraId="7236ABA7" w14:textId="77777777" w:rsidR="002F0133" w:rsidRPr="000B4E2C" w:rsidRDefault="002F0133" w:rsidP="008A7464">
            <w:pPr>
              <w:jc w:val="center"/>
            </w:pPr>
            <w:r w:rsidRPr="000B4E2C">
              <w:t>-</w:t>
            </w:r>
          </w:p>
        </w:tc>
        <w:tc>
          <w:tcPr>
            <w:tcW w:w="0" w:type="auto"/>
            <w:shd w:val="clear" w:color="auto" w:fill="auto"/>
          </w:tcPr>
          <w:p w14:paraId="366411CA" w14:textId="77777777" w:rsidR="002F0133" w:rsidRPr="000B4E2C" w:rsidRDefault="002F0133" w:rsidP="008A7464">
            <w:pPr>
              <w:jc w:val="center"/>
            </w:pPr>
            <w:r w:rsidRPr="000B4E2C">
              <w:t>0.82 (0.71, 0.90)</w:t>
            </w:r>
          </w:p>
        </w:tc>
        <w:tc>
          <w:tcPr>
            <w:tcW w:w="0" w:type="auto"/>
            <w:shd w:val="clear" w:color="auto" w:fill="auto"/>
          </w:tcPr>
          <w:p w14:paraId="380B506B" w14:textId="77777777" w:rsidR="002F0133" w:rsidRPr="000B4E2C" w:rsidRDefault="002F0133" w:rsidP="008A7464">
            <w:pPr>
              <w:jc w:val="center"/>
            </w:pPr>
            <w:r w:rsidRPr="000B4E2C">
              <w:t>(0.31, 0.98)</w:t>
            </w:r>
          </w:p>
        </w:tc>
      </w:tr>
      <w:tr w:rsidR="002F0133" w:rsidRPr="000B4E2C" w14:paraId="069742AB" w14:textId="77777777" w:rsidTr="000B4E2C">
        <w:trPr>
          <w:cantSplit/>
        </w:trPr>
        <w:tc>
          <w:tcPr>
            <w:tcW w:w="0" w:type="auto"/>
            <w:shd w:val="clear" w:color="auto" w:fill="auto"/>
          </w:tcPr>
          <w:p w14:paraId="48E7A481" w14:textId="77777777" w:rsidR="002F0133" w:rsidRPr="000B4E2C" w:rsidRDefault="002F0133" w:rsidP="008A7464">
            <w:r w:rsidRPr="000B4E2C">
              <w:t>Child uNGAL ARCHITECT (Abbott) critical care</w:t>
            </w:r>
          </w:p>
        </w:tc>
        <w:tc>
          <w:tcPr>
            <w:tcW w:w="0" w:type="auto"/>
            <w:shd w:val="clear" w:color="auto" w:fill="auto"/>
          </w:tcPr>
          <w:p w14:paraId="799ECC11" w14:textId="77777777" w:rsidR="002F0133" w:rsidRPr="000B4E2C" w:rsidRDefault="002F0133" w:rsidP="008A7464">
            <w:pPr>
              <w:jc w:val="center"/>
            </w:pPr>
            <w:r w:rsidRPr="000B4E2C">
              <w:t>1</w:t>
            </w:r>
          </w:p>
        </w:tc>
        <w:tc>
          <w:tcPr>
            <w:tcW w:w="0" w:type="auto"/>
            <w:shd w:val="clear" w:color="auto" w:fill="auto"/>
          </w:tcPr>
          <w:p w14:paraId="5C0794E5" w14:textId="77777777" w:rsidR="002F0133" w:rsidRPr="000B4E2C" w:rsidRDefault="002F0133" w:rsidP="008A7464">
            <w:pPr>
              <w:jc w:val="center"/>
            </w:pPr>
            <w:r w:rsidRPr="000B4E2C">
              <w:t>0.81 (0.69, 0.94)</w:t>
            </w:r>
          </w:p>
        </w:tc>
        <w:tc>
          <w:tcPr>
            <w:tcW w:w="0" w:type="auto"/>
            <w:shd w:val="clear" w:color="auto" w:fill="auto"/>
          </w:tcPr>
          <w:p w14:paraId="29E8049D" w14:textId="77777777" w:rsidR="002F0133" w:rsidRPr="000B4E2C" w:rsidRDefault="002F0133" w:rsidP="008A7464">
            <w:pPr>
              <w:jc w:val="center"/>
            </w:pPr>
            <w:r w:rsidRPr="000B4E2C">
              <w:t>-</w:t>
            </w:r>
          </w:p>
        </w:tc>
        <w:tc>
          <w:tcPr>
            <w:tcW w:w="0" w:type="auto"/>
            <w:shd w:val="clear" w:color="auto" w:fill="auto"/>
          </w:tcPr>
          <w:p w14:paraId="4505B255" w14:textId="77777777" w:rsidR="002F0133" w:rsidRPr="000B4E2C" w:rsidRDefault="002F0133" w:rsidP="008A7464">
            <w:pPr>
              <w:jc w:val="center"/>
            </w:pPr>
            <w:r w:rsidRPr="000B4E2C">
              <w:t>-</w:t>
            </w:r>
          </w:p>
        </w:tc>
      </w:tr>
      <w:tr w:rsidR="002F0133" w:rsidRPr="000B4E2C" w14:paraId="78336E2C" w14:textId="77777777" w:rsidTr="000B4E2C">
        <w:trPr>
          <w:cantSplit/>
        </w:trPr>
        <w:tc>
          <w:tcPr>
            <w:tcW w:w="0" w:type="auto"/>
            <w:shd w:val="clear" w:color="auto" w:fill="auto"/>
          </w:tcPr>
          <w:p w14:paraId="73E56126" w14:textId="5F56533F" w:rsidR="002F0133" w:rsidRPr="000B4E2C" w:rsidRDefault="002F0133" w:rsidP="008A7464">
            <w:r w:rsidRPr="000B4E2C">
              <w:t>Child uNGAL (</w:t>
            </w:r>
            <w:r w:rsidR="009D7F5A" w:rsidRPr="000B4E2C">
              <w:t>BioPorto</w:t>
            </w:r>
            <w:r w:rsidRPr="000B4E2C">
              <w:t>) critical care</w:t>
            </w:r>
          </w:p>
        </w:tc>
        <w:tc>
          <w:tcPr>
            <w:tcW w:w="0" w:type="auto"/>
            <w:shd w:val="clear" w:color="auto" w:fill="auto"/>
          </w:tcPr>
          <w:p w14:paraId="41CCF680" w14:textId="77777777" w:rsidR="002F0133" w:rsidRPr="000B4E2C" w:rsidRDefault="002F0133" w:rsidP="008A7464">
            <w:pPr>
              <w:jc w:val="center"/>
            </w:pPr>
            <w:r w:rsidRPr="000B4E2C">
              <w:t>1</w:t>
            </w:r>
          </w:p>
        </w:tc>
        <w:tc>
          <w:tcPr>
            <w:tcW w:w="0" w:type="auto"/>
            <w:shd w:val="clear" w:color="auto" w:fill="auto"/>
          </w:tcPr>
          <w:p w14:paraId="6F19648A" w14:textId="77777777" w:rsidR="002F0133" w:rsidRPr="000B4E2C" w:rsidRDefault="002F0133" w:rsidP="008A7464">
            <w:pPr>
              <w:jc w:val="center"/>
            </w:pPr>
            <w:r w:rsidRPr="000B4E2C">
              <w:t>0.68 (0.55, 0.81)</w:t>
            </w:r>
          </w:p>
        </w:tc>
        <w:tc>
          <w:tcPr>
            <w:tcW w:w="0" w:type="auto"/>
            <w:shd w:val="clear" w:color="auto" w:fill="auto"/>
          </w:tcPr>
          <w:p w14:paraId="3C32EC62" w14:textId="77777777" w:rsidR="002F0133" w:rsidRPr="000B4E2C" w:rsidRDefault="002F0133" w:rsidP="008A7464">
            <w:pPr>
              <w:jc w:val="center"/>
            </w:pPr>
            <w:r w:rsidRPr="000B4E2C">
              <w:t>-</w:t>
            </w:r>
          </w:p>
        </w:tc>
        <w:tc>
          <w:tcPr>
            <w:tcW w:w="0" w:type="auto"/>
            <w:shd w:val="clear" w:color="auto" w:fill="auto"/>
          </w:tcPr>
          <w:p w14:paraId="08A334F6" w14:textId="77777777" w:rsidR="002F0133" w:rsidRPr="000B4E2C" w:rsidRDefault="002F0133" w:rsidP="008A7464">
            <w:pPr>
              <w:jc w:val="center"/>
            </w:pPr>
            <w:r w:rsidRPr="000B4E2C">
              <w:t>-</w:t>
            </w:r>
          </w:p>
        </w:tc>
      </w:tr>
      <w:tr w:rsidR="002F0133" w:rsidRPr="000B4E2C" w14:paraId="486AFAF6" w14:textId="77777777" w:rsidTr="000B4E2C">
        <w:trPr>
          <w:cantSplit/>
        </w:trPr>
        <w:tc>
          <w:tcPr>
            <w:tcW w:w="0" w:type="auto"/>
            <w:shd w:val="clear" w:color="auto" w:fill="auto"/>
          </w:tcPr>
          <w:p w14:paraId="68167FA6" w14:textId="47AFD730" w:rsidR="002F0133" w:rsidRPr="000B4E2C" w:rsidRDefault="002F0133" w:rsidP="008A7464">
            <w:pPr>
              <w:rPr>
                <w:b/>
              </w:rPr>
            </w:pPr>
            <w:r w:rsidRPr="000B4E2C">
              <w:rPr>
                <w:b/>
              </w:rPr>
              <w:t xml:space="preserve">Child uNGAL (Abbott and </w:t>
            </w:r>
            <w:r w:rsidR="009D7F5A" w:rsidRPr="000B4E2C">
              <w:rPr>
                <w:b/>
              </w:rPr>
              <w:t>BioPorto</w:t>
            </w:r>
            <w:r w:rsidRPr="000B4E2C">
              <w:rPr>
                <w:b/>
              </w:rPr>
              <w:t xml:space="preserve">) critical care </w:t>
            </w:r>
          </w:p>
        </w:tc>
        <w:tc>
          <w:tcPr>
            <w:tcW w:w="0" w:type="auto"/>
            <w:shd w:val="clear" w:color="auto" w:fill="auto"/>
          </w:tcPr>
          <w:p w14:paraId="422BF246" w14:textId="77777777" w:rsidR="002F0133" w:rsidRPr="000B4E2C" w:rsidRDefault="002F0133" w:rsidP="008A7464">
            <w:pPr>
              <w:jc w:val="center"/>
            </w:pPr>
            <w:r w:rsidRPr="000B4E2C">
              <w:t>2</w:t>
            </w:r>
          </w:p>
        </w:tc>
        <w:tc>
          <w:tcPr>
            <w:tcW w:w="0" w:type="auto"/>
            <w:shd w:val="clear" w:color="auto" w:fill="auto"/>
          </w:tcPr>
          <w:p w14:paraId="2AFA41A5" w14:textId="77777777" w:rsidR="002F0133" w:rsidRPr="000B4E2C" w:rsidRDefault="002F0133" w:rsidP="008A7464">
            <w:pPr>
              <w:jc w:val="center"/>
            </w:pPr>
            <w:r w:rsidRPr="000B4E2C">
              <w:t>-</w:t>
            </w:r>
          </w:p>
        </w:tc>
        <w:tc>
          <w:tcPr>
            <w:tcW w:w="0" w:type="auto"/>
            <w:shd w:val="clear" w:color="auto" w:fill="auto"/>
          </w:tcPr>
          <w:p w14:paraId="5DB52517" w14:textId="77777777" w:rsidR="002F0133" w:rsidRPr="000B4E2C" w:rsidRDefault="002F0133" w:rsidP="008A7464">
            <w:pPr>
              <w:jc w:val="center"/>
            </w:pPr>
            <w:r w:rsidRPr="000B4E2C">
              <w:t>0.73 (0.58, 0.84)</w:t>
            </w:r>
          </w:p>
        </w:tc>
        <w:tc>
          <w:tcPr>
            <w:tcW w:w="0" w:type="auto"/>
            <w:shd w:val="clear" w:color="auto" w:fill="auto"/>
          </w:tcPr>
          <w:p w14:paraId="095CCE82" w14:textId="77777777" w:rsidR="002F0133" w:rsidRPr="000B4E2C" w:rsidRDefault="002F0133" w:rsidP="008A7464">
            <w:pPr>
              <w:jc w:val="center"/>
            </w:pPr>
            <w:r w:rsidRPr="000B4E2C">
              <w:t>-</w:t>
            </w:r>
          </w:p>
        </w:tc>
      </w:tr>
    </w:tbl>
    <w:p w14:paraId="5B989600" w14:textId="77777777" w:rsidR="000B4E2C" w:rsidRPr="000B4E2C" w:rsidRDefault="000B4E2C" w:rsidP="008A7464">
      <w:pPr>
        <w:rPr>
          <w:i/>
          <w:szCs w:val="24"/>
        </w:rPr>
      </w:pPr>
    </w:p>
    <w:p w14:paraId="224D85E3" w14:textId="1DD1F912" w:rsidR="002F0133" w:rsidRPr="000B4E2C" w:rsidRDefault="000B4E2C" w:rsidP="009B0C5A">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11</w:t>
      </w:r>
      <w:r w:rsidRPr="000B4E2C">
        <w:t xml:space="preserve"> </w:t>
      </w:r>
      <w:r w:rsidR="002F0133" w:rsidRPr="000B4E2C">
        <w:t>AUC forNephr</w:t>
      </w:r>
      <w:r w:rsidR="009C1970" w:rsidRPr="000B4E2C">
        <w:t>o</w:t>
      </w:r>
      <w:r w:rsidR="002F0133" w:rsidRPr="000B4E2C">
        <w:t xml:space="preserve">Check, </w:t>
      </w:r>
      <w:r w:rsidR="009B0C5A" w:rsidRPr="000B4E2C">
        <w:t xml:space="preserve">ARCHITECT </w:t>
      </w:r>
      <w:r w:rsidR="002F0133" w:rsidRPr="000B4E2C">
        <w:t xml:space="preserve">urine NGAL, </w:t>
      </w:r>
      <w:r w:rsidR="009B0C5A" w:rsidRPr="000B4E2C">
        <w:t xml:space="preserve">and BioPorto </w:t>
      </w:r>
      <w:r w:rsidR="002F0133" w:rsidRPr="000B4E2C">
        <w:t xml:space="preserve">urine and plasma NGAL </w:t>
      </w:r>
      <w:r w:rsidR="009B0C5A" w:rsidRPr="000B4E2C">
        <w:t xml:space="preserve">assays </w:t>
      </w:r>
      <w:r w:rsidR="002F0133" w:rsidRPr="000B4E2C">
        <w:t>for detection of AKI compared with the AUC for creatinine or conventional clinical assessment</w:t>
      </w:r>
    </w:p>
    <w:tbl>
      <w:tblPr>
        <w:tblW w:w="0" w:type="auto"/>
        <w:tblCellMar>
          <w:top w:w="40" w:type="dxa"/>
          <w:left w:w="60" w:type="dxa"/>
          <w:bottom w:w="40" w:type="dxa"/>
          <w:right w:w="60" w:type="dxa"/>
        </w:tblCellMar>
        <w:tblLook w:val="04A0" w:firstRow="1" w:lastRow="0" w:firstColumn="1" w:lastColumn="0" w:noHBand="0" w:noVBand="1"/>
      </w:tblPr>
      <w:tblGrid>
        <w:gridCol w:w="2547"/>
        <w:gridCol w:w="1542"/>
        <w:gridCol w:w="1688"/>
        <w:gridCol w:w="1948"/>
        <w:gridCol w:w="1301"/>
      </w:tblGrid>
      <w:tr w:rsidR="002F0133" w:rsidRPr="000B4E2C" w14:paraId="7D3224C5" w14:textId="77777777" w:rsidTr="000B4E2C">
        <w:trPr>
          <w:cantSplit/>
        </w:trPr>
        <w:tc>
          <w:tcPr>
            <w:tcW w:w="0" w:type="auto"/>
            <w:shd w:val="clear" w:color="auto" w:fill="auto"/>
            <w:tcMar>
              <w:top w:w="0" w:type="dxa"/>
              <w:left w:w="108" w:type="dxa"/>
              <w:bottom w:w="0" w:type="dxa"/>
              <w:right w:w="108" w:type="dxa"/>
            </w:tcMar>
          </w:tcPr>
          <w:p w14:paraId="1316099E" w14:textId="77777777" w:rsidR="002F0133" w:rsidRPr="000B4E2C" w:rsidRDefault="002F0133" w:rsidP="008A7464">
            <w:pPr>
              <w:rPr>
                <w:b/>
              </w:rPr>
            </w:pPr>
          </w:p>
        </w:tc>
        <w:tc>
          <w:tcPr>
            <w:tcW w:w="0" w:type="auto"/>
            <w:shd w:val="clear" w:color="auto" w:fill="auto"/>
          </w:tcPr>
          <w:p w14:paraId="4F7BB60F" w14:textId="77777777" w:rsidR="002F0133" w:rsidRPr="000B4E2C" w:rsidRDefault="002F0133" w:rsidP="008A7464">
            <w:pPr>
              <w:rPr>
                <w:b/>
              </w:rPr>
            </w:pPr>
          </w:p>
        </w:tc>
        <w:tc>
          <w:tcPr>
            <w:tcW w:w="0" w:type="auto"/>
            <w:shd w:val="clear" w:color="auto" w:fill="auto"/>
          </w:tcPr>
          <w:p w14:paraId="5804381C" w14:textId="77777777" w:rsidR="002F0133" w:rsidRPr="000B4E2C" w:rsidRDefault="002F0133" w:rsidP="008A7464">
            <w:pPr>
              <w:rPr>
                <w:b/>
              </w:rPr>
            </w:pPr>
          </w:p>
        </w:tc>
        <w:tc>
          <w:tcPr>
            <w:tcW w:w="0" w:type="auto"/>
            <w:gridSpan w:val="2"/>
            <w:shd w:val="clear" w:color="auto" w:fill="auto"/>
            <w:tcMar>
              <w:top w:w="0" w:type="dxa"/>
              <w:left w:w="108" w:type="dxa"/>
              <w:bottom w:w="0" w:type="dxa"/>
              <w:right w:w="108" w:type="dxa"/>
            </w:tcMar>
          </w:tcPr>
          <w:p w14:paraId="34E98222" w14:textId="77777777" w:rsidR="002F0133" w:rsidRPr="000B4E2C" w:rsidRDefault="002F0133" w:rsidP="008A7464">
            <w:pPr>
              <w:jc w:val="center"/>
              <w:rPr>
                <w:b/>
              </w:rPr>
            </w:pPr>
            <w:r w:rsidRPr="000B4E2C">
              <w:rPr>
                <w:b/>
              </w:rPr>
              <w:t>AUC (95% CI or SEM)</w:t>
            </w:r>
          </w:p>
        </w:tc>
      </w:tr>
      <w:tr w:rsidR="002F0133" w:rsidRPr="000B4E2C" w14:paraId="42665A3E" w14:textId="77777777" w:rsidTr="000B4E2C">
        <w:trPr>
          <w:cantSplit/>
        </w:trPr>
        <w:tc>
          <w:tcPr>
            <w:tcW w:w="0" w:type="auto"/>
            <w:shd w:val="clear" w:color="auto" w:fill="auto"/>
            <w:tcMar>
              <w:top w:w="0" w:type="dxa"/>
              <w:left w:w="108" w:type="dxa"/>
              <w:bottom w:w="0" w:type="dxa"/>
              <w:right w:w="108" w:type="dxa"/>
            </w:tcMar>
          </w:tcPr>
          <w:p w14:paraId="07B99248" w14:textId="3114830A" w:rsidR="002F0133" w:rsidRPr="000B4E2C" w:rsidRDefault="002F0133" w:rsidP="008A7464">
            <w:pPr>
              <w:rPr>
                <w:b/>
              </w:rPr>
            </w:pPr>
            <w:r w:rsidRPr="000B4E2C">
              <w:rPr>
                <w:b/>
              </w:rPr>
              <w:t>Study ID</w:t>
            </w:r>
            <w:r w:rsidR="005815A7" w:rsidRPr="000B4E2C">
              <w:rPr>
                <w:b/>
              </w:rPr>
              <w:t>, geographical location, patient popualtion</w:t>
            </w:r>
          </w:p>
          <w:p w14:paraId="752D793E" w14:textId="77777777" w:rsidR="002F0133" w:rsidRPr="000B4E2C" w:rsidRDefault="002F0133" w:rsidP="008A7464">
            <w:pPr>
              <w:rPr>
                <w:b/>
              </w:rPr>
            </w:pPr>
          </w:p>
        </w:tc>
        <w:tc>
          <w:tcPr>
            <w:tcW w:w="0" w:type="auto"/>
            <w:shd w:val="clear" w:color="auto" w:fill="auto"/>
            <w:hideMark/>
          </w:tcPr>
          <w:p w14:paraId="6C913C5A" w14:textId="77777777" w:rsidR="002F0133" w:rsidRPr="000B4E2C" w:rsidRDefault="002F0133" w:rsidP="008A7464">
            <w:pPr>
              <w:rPr>
                <w:b/>
              </w:rPr>
            </w:pPr>
            <w:r w:rsidRPr="000B4E2C">
              <w:rPr>
                <w:b/>
              </w:rPr>
              <w:t>Clinical setting</w:t>
            </w:r>
          </w:p>
        </w:tc>
        <w:tc>
          <w:tcPr>
            <w:tcW w:w="0" w:type="auto"/>
            <w:shd w:val="clear" w:color="auto" w:fill="auto"/>
            <w:hideMark/>
          </w:tcPr>
          <w:p w14:paraId="1AC53A37" w14:textId="77777777" w:rsidR="002F0133" w:rsidRPr="000B4E2C" w:rsidRDefault="002F0133" w:rsidP="008A7464">
            <w:pPr>
              <w:rPr>
                <w:b/>
              </w:rPr>
            </w:pPr>
            <w:r w:rsidRPr="000B4E2C">
              <w:rPr>
                <w:b/>
              </w:rPr>
              <w:t>Biomarker and setting</w:t>
            </w:r>
          </w:p>
        </w:tc>
        <w:tc>
          <w:tcPr>
            <w:tcW w:w="0" w:type="auto"/>
            <w:shd w:val="clear" w:color="auto" w:fill="auto"/>
            <w:tcMar>
              <w:top w:w="0" w:type="dxa"/>
              <w:left w:w="108" w:type="dxa"/>
              <w:bottom w:w="0" w:type="dxa"/>
              <w:right w:w="108" w:type="dxa"/>
            </w:tcMar>
            <w:hideMark/>
          </w:tcPr>
          <w:p w14:paraId="1B570AA7" w14:textId="77777777" w:rsidR="002F0133" w:rsidRPr="000B4E2C" w:rsidRDefault="002F0133" w:rsidP="008A7464">
            <w:pPr>
              <w:rPr>
                <w:b/>
              </w:rPr>
            </w:pPr>
            <w:r w:rsidRPr="000B4E2C">
              <w:rPr>
                <w:b/>
              </w:rPr>
              <w:t>Creatinine or clinical model</w:t>
            </w:r>
          </w:p>
        </w:tc>
        <w:tc>
          <w:tcPr>
            <w:tcW w:w="0" w:type="auto"/>
            <w:shd w:val="clear" w:color="auto" w:fill="auto"/>
            <w:tcMar>
              <w:top w:w="0" w:type="dxa"/>
              <w:left w:w="108" w:type="dxa"/>
              <w:bottom w:w="0" w:type="dxa"/>
              <w:right w:w="108" w:type="dxa"/>
            </w:tcMar>
            <w:hideMark/>
          </w:tcPr>
          <w:p w14:paraId="754064C2" w14:textId="77777777" w:rsidR="002F0133" w:rsidRPr="000B4E2C" w:rsidRDefault="002F0133" w:rsidP="008A7464">
            <w:pPr>
              <w:rPr>
                <w:b/>
              </w:rPr>
            </w:pPr>
            <w:r w:rsidRPr="000B4E2C">
              <w:rPr>
                <w:b/>
              </w:rPr>
              <w:t>Biomarker</w:t>
            </w:r>
          </w:p>
        </w:tc>
      </w:tr>
      <w:tr w:rsidR="002F0133" w:rsidRPr="000B4E2C" w14:paraId="54981881" w14:textId="77777777" w:rsidTr="000B4E2C">
        <w:trPr>
          <w:cantSplit/>
        </w:trPr>
        <w:tc>
          <w:tcPr>
            <w:tcW w:w="0" w:type="auto"/>
            <w:shd w:val="clear" w:color="auto" w:fill="auto"/>
            <w:tcMar>
              <w:top w:w="0" w:type="dxa"/>
              <w:left w:w="108" w:type="dxa"/>
              <w:bottom w:w="0" w:type="dxa"/>
              <w:right w:w="108" w:type="dxa"/>
            </w:tcMar>
            <w:hideMark/>
          </w:tcPr>
          <w:p w14:paraId="6BA0C86C" w14:textId="4F3891AD" w:rsidR="002F0133" w:rsidRPr="000B4E2C" w:rsidRDefault="002F0133" w:rsidP="008A7464">
            <w:r w:rsidRPr="000B4E2C">
              <w:t>Bihorac 2014</w:t>
            </w:r>
            <w:r w:rsidR="005B5026" w:rsidRPr="000B4E2C">
              <w:rPr>
                <w:noProof/>
                <w:vertAlign w:val="superscript"/>
              </w:rPr>
              <w:t>31</w:t>
            </w:r>
            <w:r w:rsidRPr="000B4E2C">
              <w:t>, USA</w:t>
            </w:r>
            <w:r w:rsidR="005815A7" w:rsidRPr="000B4E2C">
              <w:t>, Adult population</w:t>
            </w:r>
          </w:p>
        </w:tc>
        <w:tc>
          <w:tcPr>
            <w:tcW w:w="0" w:type="auto"/>
            <w:shd w:val="clear" w:color="auto" w:fill="auto"/>
            <w:hideMark/>
          </w:tcPr>
          <w:p w14:paraId="1235D784" w14:textId="77777777" w:rsidR="002F0133" w:rsidRPr="000B4E2C" w:rsidRDefault="002F0133" w:rsidP="008A7464">
            <w:r w:rsidRPr="000B4E2C">
              <w:t>Critical care (mixed population)</w:t>
            </w:r>
          </w:p>
        </w:tc>
        <w:tc>
          <w:tcPr>
            <w:tcW w:w="0" w:type="auto"/>
            <w:shd w:val="clear" w:color="auto" w:fill="auto"/>
            <w:hideMark/>
          </w:tcPr>
          <w:p w14:paraId="3699953B" w14:textId="77777777" w:rsidR="002F0133" w:rsidRPr="000B4E2C" w:rsidRDefault="002F0133" w:rsidP="008A7464">
            <w:r w:rsidRPr="000B4E2C">
              <w:t>Nephrocheck</w:t>
            </w:r>
          </w:p>
        </w:tc>
        <w:tc>
          <w:tcPr>
            <w:tcW w:w="0" w:type="auto"/>
            <w:shd w:val="clear" w:color="auto" w:fill="auto"/>
            <w:tcMar>
              <w:top w:w="0" w:type="dxa"/>
              <w:left w:w="108" w:type="dxa"/>
              <w:bottom w:w="0" w:type="dxa"/>
              <w:right w:w="108" w:type="dxa"/>
            </w:tcMar>
            <w:hideMark/>
          </w:tcPr>
          <w:p w14:paraId="3CFECDB4" w14:textId="3AF0BF2F" w:rsidR="002F0133" w:rsidRPr="000B4E2C" w:rsidRDefault="002F0133" w:rsidP="008A7464">
            <w:r w:rsidRPr="000B4E2C">
              <w:t>Serum creatinine 0.63 (0.56</w:t>
            </w:r>
            <w:r w:rsidR="000B4E2C" w:rsidRPr="000B4E2C">
              <w:rPr>
                <w:color w:val="00B0F0"/>
              </w:rPr>
              <w:t>–</w:t>
            </w:r>
            <w:r w:rsidR="000B4E2C" w:rsidRPr="000B4E2C">
              <w:rPr>
                <w:color w:val="00B0F0"/>
              </w:rPr>
              <w:t>0</w:t>
            </w:r>
            <w:r w:rsidRPr="000B4E2C">
              <w:t>.70)</w:t>
            </w:r>
          </w:p>
        </w:tc>
        <w:tc>
          <w:tcPr>
            <w:tcW w:w="0" w:type="auto"/>
            <w:shd w:val="clear" w:color="auto" w:fill="auto"/>
            <w:tcMar>
              <w:top w:w="0" w:type="dxa"/>
              <w:left w:w="108" w:type="dxa"/>
              <w:bottom w:w="0" w:type="dxa"/>
              <w:right w:w="108" w:type="dxa"/>
            </w:tcMar>
            <w:hideMark/>
          </w:tcPr>
          <w:p w14:paraId="162640FE" w14:textId="40D9B457" w:rsidR="002F0133" w:rsidRPr="000B4E2C" w:rsidRDefault="002F0133" w:rsidP="008A7464">
            <w:r w:rsidRPr="000B4E2C">
              <w:t>0.82 (0.76</w:t>
            </w:r>
            <w:r w:rsidR="000B4E2C" w:rsidRPr="000B4E2C">
              <w:rPr>
                <w:color w:val="00B0F0"/>
              </w:rPr>
              <w:t>–</w:t>
            </w:r>
            <w:r w:rsidR="000B4E2C" w:rsidRPr="000B4E2C">
              <w:rPr>
                <w:color w:val="00B0F0"/>
              </w:rPr>
              <w:t>0</w:t>
            </w:r>
            <w:r w:rsidRPr="000B4E2C">
              <w:t>.88)</w:t>
            </w:r>
          </w:p>
        </w:tc>
      </w:tr>
      <w:tr w:rsidR="002F0133" w:rsidRPr="000B4E2C" w14:paraId="11EB50C9" w14:textId="77777777" w:rsidTr="000B4E2C">
        <w:trPr>
          <w:cantSplit/>
        </w:trPr>
        <w:tc>
          <w:tcPr>
            <w:tcW w:w="0" w:type="auto"/>
            <w:shd w:val="clear" w:color="auto" w:fill="auto"/>
            <w:tcMar>
              <w:top w:w="0" w:type="dxa"/>
              <w:left w:w="108" w:type="dxa"/>
              <w:bottom w:w="0" w:type="dxa"/>
              <w:right w:w="108" w:type="dxa"/>
            </w:tcMar>
            <w:hideMark/>
          </w:tcPr>
          <w:p w14:paraId="69F0EA99" w14:textId="064A8BFE" w:rsidR="002F0133" w:rsidRPr="000B4E2C" w:rsidRDefault="002F0133" w:rsidP="008A7464">
            <w:r w:rsidRPr="000B4E2C">
              <w:t>Kashani 2013</w:t>
            </w:r>
            <w:r w:rsidR="005B5026" w:rsidRPr="000B4E2C">
              <w:rPr>
                <w:noProof/>
                <w:vertAlign w:val="superscript"/>
              </w:rPr>
              <w:t>36</w:t>
            </w:r>
            <w:r w:rsidRPr="000B4E2C">
              <w:t>, North America and Europe</w:t>
            </w:r>
            <w:r w:rsidR="005815A7" w:rsidRPr="000B4E2C">
              <w:t>, Adult population</w:t>
            </w:r>
          </w:p>
        </w:tc>
        <w:tc>
          <w:tcPr>
            <w:tcW w:w="0" w:type="auto"/>
            <w:shd w:val="clear" w:color="auto" w:fill="auto"/>
            <w:hideMark/>
          </w:tcPr>
          <w:p w14:paraId="5A64D256" w14:textId="77777777" w:rsidR="002F0133" w:rsidRPr="000B4E2C" w:rsidRDefault="002F0133" w:rsidP="008A7464">
            <w:r w:rsidRPr="000B4E2C">
              <w:t>Critical care (mixed population)</w:t>
            </w:r>
          </w:p>
        </w:tc>
        <w:tc>
          <w:tcPr>
            <w:tcW w:w="0" w:type="auto"/>
            <w:shd w:val="clear" w:color="auto" w:fill="auto"/>
            <w:hideMark/>
          </w:tcPr>
          <w:p w14:paraId="68E61684" w14:textId="77777777" w:rsidR="002F0133" w:rsidRPr="000B4E2C" w:rsidRDefault="002F0133" w:rsidP="008A7464">
            <w:r w:rsidRPr="000B4E2C">
              <w:t>Nephrocheck</w:t>
            </w:r>
          </w:p>
        </w:tc>
        <w:tc>
          <w:tcPr>
            <w:tcW w:w="0" w:type="auto"/>
            <w:shd w:val="clear" w:color="auto" w:fill="auto"/>
            <w:tcMar>
              <w:top w:w="0" w:type="dxa"/>
              <w:left w:w="108" w:type="dxa"/>
              <w:bottom w:w="0" w:type="dxa"/>
              <w:right w:w="108" w:type="dxa"/>
            </w:tcMar>
            <w:hideMark/>
          </w:tcPr>
          <w:p w14:paraId="5DFAA7A8" w14:textId="7AB46050" w:rsidR="002F0133" w:rsidRPr="000B4E2C" w:rsidRDefault="002F0133" w:rsidP="008A7464">
            <w:r w:rsidRPr="000B4E2C">
              <w:t>Serum creatinine 0.75 (0.70</w:t>
            </w:r>
            <w:r w:rsidR="000B4E2C" w:rsidRPr="000B4E2C">
              <w:rPr>
                <w:color w:val="00B0F0"/>
              </w:rPr>
              <w:t>–</w:t>
            </w:r>
            <w:r w:rsidR="000B4E2C" w:rsidRPr="000B4E2C">
              <w:rPr>
                <w:color w:val="00B0F0"/>
              </w:rPr>
              <w:t>0</w:t>
            </w:r>
            <w:r w:rsidRPr="000B4E2C">
              <w:t>.80)</w:t>
            </w:r>
          </w:p>
        </w:tc>
        <w:tc>
          <w:tcPr>
            <w:tcW w:w="0" w:type="auto"/>
            <w:shd w:val="clear" w:color="auto" w:fill="auto"/>
            <w:tcMar>
              <w:top w:w="0" w:type="dxa"/>
              <w:left w:w="108" w:type="dxa"/>
              <w:bottom w:w="0" w:type="dxa"/>
              <w:right w:w="108" w:type="dxa"/>
            </w:tcMar>
            <w:hideMark/>
          </w:tcPr>
          <w:p w14:paraId="73FED2D6" w14:textId="495673CF" w:rsidR="002F0133" w:rsidRPr="000B4E2C" w:rsidRDefault="002F0133" w:rsidP="008A7464">
            <w:r w:rsidRPr="000B4E2C">
              <w:t>0.80 (0.75</w:t>
            </w:r>
            <w:r w:rsidR="000B4E2C" w:rsidRPr="000B4E2C">
              <w:rPr>
                <w:color w:val="00B0F0"/>
              </w:rPr>
              <w:t>–</w:t>
            </w:r>
            <w:r w:rsidR="000B4E2C" w:rsidRPr="000B4E2C">
              <w:rPr>
                <w:color w:val="00B0F0"/>
              </w:rPr>
              <w:t>0</w:t>
            </w:r>
            <w:r w:rsidRPr="000B4E2C">
              <w:t>.84)</w:t>
            </w:r>
          </w:p>
        </w:tc>
      </w:tr>
      <w:tr w:rsidR="002F0133" w:rsidRPr="000B4E2C" w14:paraId="30F651AE" w14:textId="77777777" w:rsidTr="000B4E2C">
        <w:trPr>
          <w:cantSplit/>
        </w:trPr>
        <w:tc>
          <w:tcPr>
            <w:tcW w:w="0" w:type="auto"/>
            <w:shd w:val="clear" w:color="auto" w:fill="auto"/>
            <w:tcMar>
              <w:top w:w="0" w:type="dxa"/>
              <w:left w:w="108" w:type="dxa"/>
              <w:bottom w:w="0" w:type="dxa"/>
              <w:right w:w="108" w:type="dxa"/>
            </w:tcMar>
            <w:hideMark/>
          </w:tcPr>
          <w:p w14:paraId="0B86D802" w14:textId="604964DB" w:rsidR="002F0133" w:rsidRPr="000B4E2C" w:rsidRDefault="002F0133" w:rsidP="008A7464">
            <w:r w:rsidRPr="000B4E2C">
              <w:t>Kimmel 2016</w:t>
            </w:r>
            <w:r w:rsidR="005B5026" w:rsidRPr="000B4E2C">
              <w:rPr>
                <w:noProof/>
                <w:vertAlign w:val="superscript"/>
              </w:rPr>
              <w:t>38</w:t>
            </w:r>
            <w:r w:rsidRPr="000B4E2C">
              <w:t>, Germany</w:t>
            </w:r>
            <w:r w:rsidR="005815A7" w:rsidRPr="000B4E2C">
              <w:t>, Adult population</w:t>
            </w:r>
          </w:p>
        </w:tc>
        <w:tc>
          <w:tcPr>
            <w:tcW w:w="0" w:type="auto"/>
            <w:shd w:val="clear" w:color="auto" w:fill="auto"/>
            <w:hideMark/>
          </w:tcPr>
          <w:p w14:paraId="4F1985EA" w14:textId="77777777" w:rsidR="002F0133" w:rsidRPr="000B4E2C" w:rsidRDefault="002F0133" w:rsidP="008A7464">
            <w:r w:rsidRPr="000B4E2C">
              <w:t>Critical care (mixed population)</w:t>
            </w:r>
          </w:p>
        </w:tc>
        <w:tc>
          <w:tcPr>
            <w:tcW w:w="0" w:type="auto"/>
            <w:shd w:val="clear" w:color="auto" w:fill="auto"/>
            <w:hideMark/>
          </w:tcPr>
          <w:p w14:paraId="21333CE6" w14:textId="77777777" w:rsidR="002F0133" w:rsidRPr="000B4E2C" w:rsidRDefault="002F0133" w:rsidP="008A7464">
            <w:r w:rsidRPr="000B4E2C">
              <w:t>Nephrocheck</w:t>
            </w:r>
          </w:p>
        </w:tc>
        <w:tc>
          <w:tcPr>
            <w:tcW w:w="0" w:type="auto"/>
            <w:shd w:val="clear" w:color="auto" w:fill="auto"/>
            <w:tcMar>
              <w:top w:w="0" w:type="dxa"/>
              <w:left w:w="108" w:type="dxa"/>
              <w:bottom w:w="0" w:type="dxa"/>
              <w:right w:w="108" w:type="dxa"/>
            </w:tcMar>
            <w:hideMark/>
          </w:tcPr>
          <w:p w14:paraId="45B403B1" w14:textId="5A907DA7" w:rsidR="002F0133" w:rsidRPr="000B4E2C" w:rsidRDefault="002F0133" w:rsidP="008A7464">
            <w:r w:rsidRPr="000B4E2C">
              <w:t>Serum creatinine 0.60 (0.53</w:t>
            </w:r>
            <w:r w:rsidR="000B4E2C" w:rsidRPr="000B4E2C">
              <w:rPr>
                <w:color w:val="00B0F0"/>
              </w:rPr>
              <w:t>–</w:t>
            </w:r>
            <w:r w:rsidR="000B4E2C" w:rsidRPr="000B4E2C">
              <w:rPr>
                <w:color w:val="00B0F0"/>
              </w:rPr>
              <w:t>0</w:t>
            </w:r>
            <w:r w:rsidRPr="000B4E2C">
              <w:t>.66)</w:t>
            </w:r>
          </w:p>
        </w:tc>
        <w:tc>
          <w:tcPr>
            <w:tcW w:w="0" w:type="auto"/>
            <w:shd w:val="clear" w:color="auto" w:fill="auto"/>
            <w:tcMar>
              <w:top w:w="0" w:type="dxa"/>
              <w:left w:w="108" w:type="dxa"/>
              <w:bottom w:w="0" w:type="dxa"/>
              <w:right w:w="108" w:type="dxa"/>
            </w:tcMar>
            <w:hideMark/>
          </w:tcPr>
          <w:p w14:paraId="25FE89B9" w14:textId="7459A574" w:rsidR="002F0133" w:rsidRPr="000B4E2C" w:rsidRDefault="002F0133" w:rsidP="008A7464">
            <w:r w:rsidRPr="000B4E2C">
              <w:t>0.74 (0.66</w:t>
            </w:r>
            <w:r w:rsidR="000B4E2C" w:rsidRPr="000B4E2C">
              <w:rPr>
                <w:color w:val="00B0F0"/>
              </w:rPr>
              <w:t>–</w:t>
            </w:r>
            <w:r w:rsidR="000B4E2C" w:rsidRPr="000B4E2C">
              <w:rPr>
                <w:color w:val="00B0F0"/>
              </w:rPr>
              <w:t>0</w:t>
            </w:r>
            <w:r w:rsidRPr="000B4E2C">
              <w:t>.81)</w:t>
            </w:r>
          </w:p>
        </w:tc>
      </w:tr>
      <w:tr w:rsidR="002F0133" w:rsidRPr="000B4E2C" w14:paraId="7A09FE2D" w14:textId="77777777" w:rsidTr="000B4E2C">
        <w:trPr>
          <w:cantSplit/>
        </w:trPr>
        <w:tc>
          <w:tcPr>
            <w:tcW w:w="0" w:type="auto"/>
            <w:shd w:val="clear" w:color="auto" w:fill="auto"/>
            <w:tcMar>
              <w:top w:w="0" w:type="dxa"/>
              <w:left w:w="108" w:type="dxa"/>
              <w:bottom w:w="0" w:type="dxa"/>
              <w:right w:w="108" w:type="dxa"/>
            </w:tcMar>
          </w:tcPr>
          <w:p w14:paraId="74A84105" w14:textId="77777777" w:rsidR="002F0133" w:rsidRPr="000B4E2C" w:rsidRDefault="002F0133" w:rsidP="008A7464"/>
        </w:tc>
        <w:tc>
          <w:tcPr>
            <w:tcW w:w="0" w:type="auto"/>
            <w:shd w:val="clear" w:color="auto" w:fill="auto"/>
          </w:tcPr>
          <w:p w14:paraId="75D36196" w14:textId="77777777" w:rsidR="002F0133" w:rsidRPr="000B4E2C" w:rsidRDefault="002F0133" w:rsidP="008A7464"/>
        </w:tc>
        <w:tc>
          <w:tcPr>
            <w:tcW w:w="0" w:type="auto"/>
            <w:shd w:val="clear" w:color="auto" w:fill="auto"/>
            <w:hideMark/>
          </w:tcPr>
          <w:p w14:paraId="4953B299" w14:textId="4ECCC405" w:rsidR="002F0133" w:rsidRPr="000B4E2C" w:rsidRDefault="002F0133" w:rsidP="008A7464">
            <w:r w:rsidRPr="000B4E2C">
              <w:t xml:space="preserve">pNGAL, </w:t>
            </w:r>
            <w:r w:rsidR="009D7F5A" w:rsidRPr="000B4E2C">
              <w:t>BioPorto</w:t>
            </w:r>
          </w:p>
        </w:tc>
        <w:tc>
          <w:tcPr>
            <w:tcW w:w="0" w:type="auto"/>
            <w:shd w:val="clear" w:color="auto" w:fill="auto"/>
            <w:tcMar>
              <w:top w:w="0" w:type="dxa"/>
              <w:left w:w="108" w:type="dxa"/>
              <w:bottom w:w="0" w:type="dxa"/>
              <w:right w:w="108" w:type="dxa"/>
            </w:tcMar>
            <w:hideMark/>
          </w:tcPr>
          <w:p w14:paraId="2AF78235" w14:textId="29023637" w:rsidR="002F0133" w:rsidRPr="000B4E2C" w:rsidRDefault="002F0133" w:rsidP="008A7464">
            <w:r w:rsidRPr="000B4E2C">
              <w:t>Serum creatinine 0.60 (0.53</w:t>
            </w:r>
            <w:r w:rsidR="000B4E2C" w:rsidRPr="000B4E2C">
              <w:rPr>
                <w:color w:val="00B0F0"/>
              </w:rPr>
              <w:t>–</w:t>
            </w:r>
            <w:r w:rsidR="000B4E2C" w:rsidRPr="000B4E2C">
              <w:rPr>
                <w:color w:val="00B0F0"/>
              </w:rPr>
              <w:t>0</w:t>
            </w:r>
            <w:r w:rsidRPr="000B4E2C">
              <w:t>.66)</w:t>
            </w:r>
          </w:p>
        </w:tc>
        <w:tc>
          <w:tcPr>
            <w:tcW w:w="0" w:type="auto"/>
            <w:shd w:val="clear" w:color="auto" w:fill="auto"/>
            <w:tcMar>
              <w:top w:w="0" w:type="dxa"/>
              <w:left w:w="108" w:type="dxa"/>
              <w:bottom w:w="0" w:type="dxa"/>
              <w:right w:w="108" w:type="dxa"/>
            </w:tcMar>
            <w:hideMark/>
          </w:tcPr>
          <w:p w14:paraId="744AF0EF" w14:textId="70CC747F" w:rsidR="002F0133" w:rsidRPr="000B4E2C" w:rsidRDefault="002F0133" w:rsidP="008A7464">
            <w:r w:rsidRPr="000B4E2C">
              <w:t>0.55 (0.5</w:t>
            </w:r>
            <w:r w:rsidR="000B4E2C" w:rsidRPr="000B4E2C">
              <w:rPr>
                <w:color w:val="00B0F0"/>
              </w:rPr>
              <w:t>–</w:t>
            </w:r>
            <w:r w:rsidR="000B4E2C" w:rsidRPr="000B4E2C">
              <w:rPr>
                <w:color w:val="00B0F0"/>
              </w:rPr>
              <w:t>0</w:t>
            </w:r>
            <w:r w:rsidRPr="000B4E2C">
              <w:t>.66)</w:t>
            </w:r>
          </w:p>
        </w:tc>
      </w:tr>
      <w:tr w:rsidR="002F0133" w:rsidRPr="000B4E2C" w14:paraId="6184B689" w14:textId="77777777" w:rsidTr="000B4E2C">
        <w:trPr>
          <w:cantSplit/>
        </w:trPr>
        <w:tc>
          <w:tcPr>
            <w:tcW w:w="0" w:type="auto"/>
            <w:shd w:val="clear" w:color="auto" w:fill="auto"/>
            <w:tcMar>
              <w:top w:w="0" w:type="dxa"/>
              <w:left w:w="108" w:type="dxa"/>
              <w:bottom w:w="0" w:type="dxa"/>
              <w:right w:w="108" w:type="dxa"/>
            </w:tcMar>
          </w:tcPr>
          <w:p w14:paraId="6C690034" w14:textId="77777777" w:rsidR="002F0133" w:rsidRPr="000B4E2C" w:rsidRDefault="002F0133" w:rsidP="008A7464"/>
        </w:tc>
        <w:tc>
          <w:tcPr>
            <w:tcW w:w="0" w:type="auto"/>
            <w:shd w:val="clear" w:color="auto" w:fill="auto"/>
          </w:tcPr>
          <w:p w14:paraId="1339AE79" w14:textId="77777777" w:rsidR="002F0133" w:rsidRPr="000B4E2C" w:rsidRDefault="002F0133" w:rsidP="008A7464"/>
        </w:tc>
        <w:tc>
          <w:tcPr>
            <w:tcW w:w="0" w:type="auto"/>
            <w:shd w:val="clear" w:color="auto" w:fill="auto"/>
            <w:hideMark/>
          </w:tcPr>
          <w:p w14:paraId="26E71ADF" w14:textId="3BEA5055" w:rsidR="002F0133" w:rsidRPr="000B4E2C" w:rsidRDefault="002F0133" w:rsidP="008A7464">
            <w:r w:rsidRPr="000B4E2C">
              <w:t xml:space="preserve">uNGAL, </w:t>
            </w:r>
            <w:r w:rsidR="009D7F5A" w:rsidRPr="000B4E2C">
              <w:t>BioPorto</w:t>
            </w:r>
          </w:p>
        </w:tc>
        <w:tc>
          <w:tcPr>
            <w:tcW w:w="0" w:type="auto"/>
            <w:shd w:val="clear" w:color="auto" w:fill="auto"/>
            <w:tcMar>
              <w:top w:w="0" w:type="dxa"/>
              <w:left w:w="108" w:type="dxa"/>
              <w:bottom w:w="0" w:type="dxa"/>
              <w:right w:w="108" w:type="dxa"/>
            </w:tcMar>
            <w:hideMark/>
          </w:tcPr>
          <w:p w14:paraId="0AFE985C" w14:textId="1A8DBC27" w:rsidR="002F0133" w:rsidRPr="000B4E2C" w:rsidRDefault="002F0133" w:rsidP="008A7464">
            <w:r w:rsidRPr="000B4E2C">
              <w:t>Serum creatinine 0.60 (0.53</w:t>
            </w:r>
            <w:r w:rsidR="000B4E2C" w:rsidRPr="000B4E2C">
              <w:rPr>
                <w:color w:val="00B0F0"/>
              </w:rPr>
              <w:t>–</w:t>
            </w:r>
            <w:r w:rsidR="000B4E2C" w:rsidRPr="000B4E2C">
              <w:rPr>
                <w:color w:val="00B0F0"/>
              </w:rPr>
              <w:t>0</w:t>
            </w:r>
            <w:r w:rsidRPr="000B4E2C">
              <w:t>.66)</w:t>
            </w:r>
          </w:p>
        </w:tc>
        <w:tc>
          <w:tcPr>
            <w:tcW w:w="0" w:type="auto"/>
            <w:shd w:val="clear" w:color="auto" w:fill="auto"/>
            <w:tcMar>
              <w:top w:w="0" w:type="dxa"/>
              <w:left w:w="108" w:type="dxa"/>
              <w:bottom w:w="0" w:type="dxa"/>
              <w:right w:w="108" w:type="dxa"/>
            </w:tcMar>
            <w:hideMark/>
          </w:tcPr>
          <w:p w14:paraId="6427AF80" w14:textId="3671C92C" w:rsidR="002F0133" w:rsidRPr="000B4E2C" w:rsidRDefault="002F0133" w:rsidP="008A7464">
            <w:r w:rsidRPr="000B4E2C">
              <w:t>0.66 (0.58</w:t>
            </w:r>
            <w:r w:rsidR="000B4E2C" w:rsidRPr="000B4E2C">
              <w:rPr>
                <w:color w:val="00B0F0"/>
              </w:rPr>
              <w:t>–</w:t>
            </w:r>
            <w:r w:rsidR="000B4E2C" w:rsidRPr="000B4E2C">
              <w:rPr>
                <w:color w:val="00B0F0"/>
              </w:rPr>
              <w:t>0</w:t>
            </w:r>
            <w:r w:rsidRPr="000B4E2C">
              <w:t>.73)</w:t>
            </w:r>
          </w:p>
        </w:tc>
      </w:tr>
      <w:tr w:rsidR="002F0133" w:rsidRPr="000B4E2C" w14:paraId="2AD5BC9F" w14:textId="77777777" w:rsidTr="000B4E2C">
        <w:trPr>
          <w:cantSplit/>
        </w:trPr>
        <w:tc>
          <w:tcPr>
            <w:tcW w:w="0" w:type="auto"/>
            <w:shd w:val="clear" w:color="auto" w:fill="auto"/>
            <w:tcMar>
              <w:top w:w="0" w:type="dxa"/>
              <w:left w:w="108" w:type="dxa"/>
              <w:bottom w:w="0" w:type="dxa"/>
              <w:right w:w="108" w:type="dxa"/>
            </w:tcMar>
            <w:hideMark/>
          </w:tcPr>
          <w:p w14:paraId="1AD05321" w14:textId="049B24D7" w:rsidR="002F0133" w:rsidRPr="000B4E2C" w:rsidRDefault="002F0133" w:rsidP="008A7464">
            <w:r w:rsidRPr="000B4E2C">
              <w:t>H</w:t>
            </w:r>
            <w:r w:rsidR="00AD2F8D" w:rsidRPr="000B4E2C">
              <w:t>aa</w:t>
            </w:r>
            <w:r w:rsidRPr="000B4E2C">
              <w:t>se 2014</w:t>
            </w:r>
            <w:r w:rsidR="005B5026" w:rsidRPr="000B4E2C">
              <w:rPr>
                <w:noProof/>
                <w:vertAlign w:val="superscript"/>
              </w:rPr>
              <w:t>62</w:t>
            </w:r>
            <w:r w:rsidRPr="000B4E2C">
              <w:t>, Germany</w:t>
            </w:r>
            <w:r w:rsidR="005815A7" w:rsidRPr="000B4E2C">
              <w:t>, Adult population</w:t>
            </w:r>
          </w:p>
        </w:tc>
        <w:tc>
          <w:tcPr>
            <w:tcW w:w="0" w:type="auto"/>
            <w:shd w:val="clear" w:color="auto" w:fill="auto"/>
            <w:hideMark/>
          </w:tcPr>
          <w:p w14:paraId="4511E531" w14:textId="77777777" w:rsidR="002F0133" w:rsidRPr="000B4E2C" w:rsidRDefault="002F0133" w:rsidP="008A7464">
            <w:r w:rsidRPr="000B4E2C">
              <w:t xml:space="preserve">Cardiac surgery </w:t>
            </w:r>
          </w:p>
        </w:tc>
        <w:tc>
          <w:tcPr>
            <w:tcW w:w="0" w:type="auto"/>
            <w:shd w:val="clear" w:color="auto" w:fill="auto"/>
            <w:hideMark/>
          </w:tcPr>
          <w:p w14:paraId="5A925839" w14:textId="77777777" w:rsidR="002F0133" w:rsidRPr="000B4E2C" w:rsidRDefault="002F0133" w:rsidP="008A7464">
            <w:r w:rsidRPr="000B4E2C">
              <w:t>uNGAL, ARCHITECT</w:t>
            </w:r>
          </w:p>
        </w:tc>
        <w:tc>
          <w:tcPr>
            <w:tcW w:w="0" w:type="auto"/>
            <w:shd w:val="clear" w:color="auto" w:fill="auto"/>
            <w:tcMar>
              <w:top w:w="0" w:type="dxa"/>
              <w:left w:w="108" w:type="dxa"/>
              <w:bottom w:w="0" w:type="dxa"/>
              <w:right w:w="108" w:type="dxa"/>
            </w:tcMar>
            <w:hideMark/>
          </w:tcPr>
          <w:p w14:paraId="3B4F713A" w14:textId="69DBCF84" w:rsidR="002F0133" w:rsidRPr="000B4E2C" w:rsidRDefault="002F0133" w:rsidP="008A7464">
            <w:r w:rsidRPr="000B4E2C">
              <w:t>Serum creatinine 0.66 (0.51</w:t>
            </w:r>
            <w:r w:rsidR="000B4E2C" w:rsidRPr="000B4E2C">
              <w:rPr>
                <w:color w:val="00B0F0"/>
              </w:rPr>
              <w:t>–</w:t>
            </w:r>
            <w:r w:rsidR="000B4E2C" w:rsidRPr="000B4E2C">
              <w:rPr>
                <w:color w:val="00B0F0"/>
              </w:rPr>
              <w:t>0</w:t>
            </w:r>
            <w:r w:rsidRPr="000B4E2C">
              <w:t>.76)</w:t>
            </w:r>
          </w:p>
        </w:tc>
        <w:tc>
          <w:tcPr>
            <w:tcW w:w="0" w:type="auto"/>
            <w:shd w:val="clear" w:color="auto" w:fill="auto"/>
            <w:tcMar>
              <w:top w:w="0" w:type="dxa"/>
              <w:left w:w="108" w:type="dxa"/>
              <w:bottom w:w="0" w:type="dxa"/>
              <w:right w:w="108" w:type="dxa"/>
            </w:tcMar>
            <w:hideMark/>
          </w:tcPr>
          <w:p w14:paraId="71B794D6" w14:textId="77777777" w:rsidR="002F0133" w:rsidRPr="000B4E2C" w:rsidRDefault="002F0133" w:rsidP="008A7464">
            <w:r w:rsidRPr="000B4E2C">
              <w:t>0.71 (0.6- 0.83)</w:t>
            </w:r>
          </w:p>
        </w:tc>
      </w:tr>
      <w:tr w:rsidR="002F0133" w:rsidRPr="000B4E2C" w14:paraId="5E49DB51" w14:textId="77777777" w:rsidTr="000B4E2C">
        <w:trPr>
          <w:cantSplit/>
        </w:trPr>
        <w:tc>
          <w:tcPr>
            <w:tcW w:w="0" w:type="auto"/>
            <w:shd w:val="clear" w:color="auto" w:fill="auto"/>
            <w:tcMar>
              <w:top w:w="0" w:type="dxa"/>
              <w:left w:w="108" w:type="dxa"/>
              <w:bottom w:w="0" w:type="dxa"/>
              <w:right w:w="108" w:type="dxa"/>
            </w:tcMar>
          </w:tcPr>
          <w:p w14:paraId="64B1E25F" w14:textId="77777777" w:rsidR="002F0133" w:rsidRPr="000B4E2C" w:rsidRDefault="002F0133" w:rsidP="008A7464"/>
        </w:tc>
        <w:tc>
          <w:tcPr>
            <w:tcW w:w="0" w:type="auto"/>
            <w:shd w:val="clear" w:color="auto" w:fill="auto"/>
          </w:tcPr>
          <w:p w14:paraId="174642B6" w14:textId="77777777" w:rsidR="002F0133" w:rsidRPr="000B4E2C" w:rsidRDefault="002F0133" w:rsidP="008A7464"/>
        </w:tc>
        <w:tc>
          <w:tcPr>
            <w:tcW w:w="0" w:type="auto"/>
            <w:shd w:val="clear" w:color="auto" w:fill="auto"/>
            <w:hideMark/>
          </w:tcPr>
          <w:p w14:paraId="7D79FEAE" w14:textId="76FA5B70" w:rsidR="002F0133" w:rsidRPr="000B4E2C" w:rsidRDefault="002F0133" w:rsidP="008A7464">
            <w:r w:rsidRPr="000B4E2C">
              <w:t xml:space="preserve">pNGAL </w:t>
            </w:r>
            <w:r w:rsidR="009D7F5A" w:rsidRPr="000B4E2C">
              <w:t>BioPorto</w:t>
            </w:r>
          </w:p>
        </w:tc>
        <w:tc>
          <w:tcPr>
            <w:tcW w:w="0" w:type="auto"/>
            <w:shd w:val="clear" w:color="auto" w:fill="auto"/>
            <w:tcMar>
              <w:top w:w="0" w:type="dxa"/>
              <w:left w:w="108" w:type="dxa"/>
              <w:bottom w:w="0" w:type="dxa"/>
              <w:right w:w="108" w:type="dxa"/>
            </w:tcMar>
            <w:hideMark/>
          </w:tcPr>
          <w:p w14:paraId="4C2C4CC0" w14:textId="54CD8223" w:rsidR="002F0133" w:rsidRPr="000B4E2C" w:rsidRDefault="002F0133" w:rsidP="008A7464">
            <w:r w:rsidRPr="000B4E2C">
              <w:t>Serum creatinine 0.66 (0.51</w:t>
            </w:r>
            <w:r w:rsidR="000B4E2C" w:rsidRPr="000B4E2C">
              <w:rPr>
                <w:color w:val="00B0F0"/>
              </w:rPr>
              <w:t>–</w:t>
            </w:r>
            <w:r w:rsidR="000B4E2C" w:rsidRPr="000B4E2C">
              <w:rPr>
                <w:color w:val="00B0F0"/>
              </w:rPr>
              <w:t>0</w:t>
            </w:r>
            <w:r w:rsidRPr="000B4E2C">
              <w:t>.76)</w:t>
            </w:r>
          </w:p>
        </w:tc>
        <w:tc>
          <w:tcPr>
            <w:tcW w:w="0" w:type="auto"/>
            <w:shd w:val="clear" w:color="auto" w:fill="auto"/>
            <w:tcMar>
              <w:top w:w="0" w:type="dxa"/>
              <w:left w:w="108" w:type="dxa"/>
              <w:bottom w:w="0" w:type="dxa"/>
              <w:right w:w="108" w:type="dxa"/>
            </w:tcMar>
            <w:hideMark/>
          </w:tcPr>
          <w:p w14:paraId="5A893F2F" w14:textId="3AAC3DDE" w:rsidR="002F0133" w:rsidRPr="000B4E2C" w:rsidRDefault="002F0133" w:rsidP="008A7464">
            <w:r w:rsidRPr="000B4E2C">
              <w:t>0.71 (0.58</w:t>
            </w:r>
            <w:r w:rsidR="000B4E2C" w:rsidRPr="000B4E2C">
              <w:rPr>
                <w:color w:val="00B0F0"/>
              </w:rPr>
              <w:t>–</w:t>
            </w:r>
            <w:r w:rsidR="000B4E2C" w:rsidRPr="000B4E2C">
              <w:rPr>
                <w:color w:val="00B0F0"/>
              </w:rPr>
              <w:t>0</w:t>
            </w:r>
            <w:r w:rsidRPr="000B4E2C">
              <w:t>.83)</w:t>
            </w:r>
          </w:p>
        </w:tc>
      </w:tr>
      <w:tr w:rsidR="002F0133" w:rsidRPr="000B4E2C" w14:paraId="3A8ABCB0" w14:textId="77777777" w:rsidTr="000B4E2C">
        <w:trPr>
          <w:cantSplit/>
        </w:trPr>
        <w:tc>
          <w:tcPr>
            <w:tcW w:w="0" w:type="auto"/>
            <w:vMerge w:val="restart"/>
            <w:shd w:val="clear" w:color="auto" w:fill="auto"/>
            <w:tcMar>
              <w:top w:w="0" w:type="dxa"/>
              <w:left w:w="108" w:type="dxa"/>
              <w:bottom w:w="0" w:type="dxa"/>
              <w:right w:w="108" w:type="dxa"/>
            </w:tcMar>
            <w:hideMark/>
          </w:tcPr>
          <w:p w14:paraId="526FAC2F" w14:textId="187395C1" w:rsidR="002F0133" w:rsidRPr="000B4E2C" w:rsidRDefault="002F0133" w:rsidP="008A7464">
            <w:r w:rsidRPr="000B4E2C">
              <w:t>Ko</w:t>
            </w:r>
            <w:r w:rsidR="00AD2F8D" w:rsidRPr="000B4E2C">
              <w:t>k</w:t>
            </w:r>
            <w:r w:rsidRPr="000B4E2C">
              <w:t>koris 2012</w:t>
            </w:r>
            <w:r w:rsidR="005B5026" w:rsidRPr="000B4E2C">
              <w:rPr>
                <w:noProof/>
                <w:vertAlign w:val="superscript"/>
              </w:rPr>
              <w:t>56</w:t>
            </w:r>
            <w:r w:rsidRPr="000B4E2C">
              <w:t>, Greece</w:t>
            </w:r>
            <w:r w:rsidR="005815A7" w:rsidRPr="000B4E2C">
              <w:t>, Adult population</w:t>
            </w:r>
          </w:p>
        </w:tc>
        <w:tc>
          <w:tcPr>
            <w:tcW w:w="0" w:type="auto"/>
            <w:vMerge w:val="restart"/>
            <w:shd w:val="clear" w:color="auto" w:fill="auto"/>
            <w:hideMark/>
          </w:tcPr>
          <w:p w14:paraId="28A7D711" w14:textId="77777777" w:rsidR="000B4E2C" w:rsidRPr="000B4E2C" w:rsidRDefault="002F0133" w:rsidP="008A7464">
            <w:r w:rsidRPr="000B4E2C">
              <w:t>Critical care</w:t>
            </w:r>
          </w:p>
          <w:p w14:paraId="65E017AF" w14:textId="4AAB4CA3" w:rsidR="002F0133" w:rsidRPr="000B4E2C" w:rsidRDefault="002F0133" w:rsidP="008A7464">
            <w:r w:rsidRPr="000B4E2C">
              <w:t>(mixed population)</w:t>
            </w:r>
          </w:p>
        </w:tc>
        <w:tc>
          <w:tcPr>
            <w:tcW w:w="0" w:type="auto"/>
            <w:shd w:val="clear" w:color="auto" w:fill="auto"/>
            <w:hideMark/>
          </w:tcPr>
          <w:p w14:paraId="60F98F4E" w14:textId="77777777" w:rsidR="002F0133" w:rsidRPr="000B4E2C" w:rsidRDefault="002F0133" w:rsidP="008A7464">
            <w:r w:rsidRPr="000B4E2C">
              <w:t>uNGAL, ARCHITECT</w:t>
            </w:r>
          </w:p>
        </w:tc>
        <w:tc>
          <w:tcPr>
            <w:tcW w:w="0" w:type="auto"/>
            <w:shd w:val="clear" w:color="auto" w:fill="auto"/>
            <w:tcMar>
              <w:top w:w="0" w:type="dxa"/>
              <w:left w:w="108" w:type="dxa"/>
              <w:bottom w:w="0" w:type="dxa"/>
              <w:right w:w="108" w:type="dxa"/>
            </w:tcMar>
            <w:hideMark/>
          </w:tcPr>
          <w:p w14:paraId="60FB9167" w14:textId="77777777" w:rsidR="002F0133" w:rsidRPr="000B4E2C" w:rsidRDefault="002F0133" w:rsidP="008A7464">
            <w:r w:rsidRPr="000B4E2C">
              <w:t>Serum creatinine 0.77 (0.67–0.84)</w:t>
            </w:r>
          </w:p>
        </w:tc>
        <w:tc>
          <w:tcPr>
            <w:tcW w:w="0" w:type="auto"/>
            <w:shd w:val="clear" w:color="auto" w:fill="auto"/>
            <w:tcMar>
              <w:top w:w="0" w:type="dxa"/>
              <w:left w:w="108" w:type="dxa"/>
              <w:bottom w:w="0" w:type="dxa"/>
              <w:right w:w="108" w:type="dxa"/>
            </w:tcMar>
            <w:hideMark/>
          </w:tcPr>
          <w:p w14:paraId="2E06161A" w14:textId="77777777" w:rsidR="002F0133" w:rsidRPr="000B4E2C" w:rsidRDefault="002F0133" w:rsidP="008A7464">
            <w:r w:rsidRPr="000B4E2C">
              <w:t>0.74 (0.64–0.82)</w:t>
            </w:r>
          </w:p>
        </w:tc>
      </w:tr>
      <w:tr w:rsidR="002F0133" w:rsidRPr="000B4E2C" w14:paraId="39048D3C" w14:textId="77777777" w:rsidTr="000B4E2C">
        <w:trPr>
          <w:cantSplit/>
        </w:trPr>
        <w:tc>
          <w:tcPr>
            <w:tcW w:w="0" w:type="auto"/>
            <w:vMerge/>
            <w:shd w:val="clear" w:color="auto" w:fill="auto"/>
            <w:vAlign w:val="center"/>
            <w:hideMark/>
          </w:tcPr>
          <w:p w14:paraId="77756C39" w14:textId="77777777" w:rsidR="002F0133" w:rsidRPr="000B4E2C" w:rsidRDefault="002F0133" w:rsidP="008A7464"/>
        </w:tc>
        <w:tc>
          <w:tcPr>
            <w:tcW w:w="0" w:type="auto"/>
            <w:vMerge/>
            <w:shd w:val="clear" w:color="auto" w:fill="auto"/>
            <w:vAlign w:val="center"/>
            <w:hideMark/>
          </w:tcPr>
          <w:p w14:paraId="6EC5C110" w14:textId="77777777" w:rsidR="002F0133" w:rsidRPr="000B4E2C" w:rsidRDefault="002F0133" w:rsidP="008A7464"/>
        </w:tc>
        <w:tc>
          <w:tcPr>
            <w:tcW w:w="0" w:type="auto"/>
            <w:shd w:val="clear" w:color="auto" w:fill="auto"/>
            <w:hideMark/>
          </w:tcPr>
          <w:p w14:paraId="338C747B" w14:textId="77777777" w:rsidR="002F0133" w:rsidRPr="000B4E2C" w:rsidRDefault="002F0133" w:rsidP="008A7464">
            <w:r w:rsidRPr="000B4E2C">
              <w:t>pNGAL</w:t>
            </w:r>
          </w:p>
        </w:tc>
        <w:tc>
          <w:tcPr>
            <w:tcW w:w="0" w:type="auto"/>
            <w:shd w:val="clear" w:color="auto" w:fill="auto"/>
            <w:tcMar>
              <w:top w:w="0" w:type="dxa"/>
              <w:left w:w="108" w:type="dxa"/>
              <w:bottom w:w="0" w:type="dxa"/>
              <w:right w:w="108" w:type="dxa"/>
            </w:tcMar>
            <w:hideMark/>
          </w:tcPr>
          <w:p w14:paraId="2E5D5B4A" w14:textId="77777777" w:rsidR="002F0133" w:rsidRPr="000B4E2C" w:rsidRDefault="002F0133" w:rsidP="008A7464">
            <w:r w:rsidRPr="000B4E2C">
              <w:t>Serum creatinine 0.77 (0.67–0.84)</w:t>
            </w:r>
          </w:p>
        </w:tc>
        <w:tc>
          <w:tcPr>
            <w:tcW w:w="0" w:type="auto"/>
            <w:shd w:val="clear" w:color="auto" w:fill="auto"/>
            <w:tcMar>
              <w:top w:w="0" w:type="dxa"/>
              <w:left w:w="108" w:type="dxa"/>
              <w:bottom w:w="0" w:type="dxa"/>
              <w:right w:w="108" w:type="dxa"/>
            </w:tcMar>
            <w:hideMark/>
          </w:tcPr>
          <w:p w14:paraId="4E840019" w14:textId="13FEBE5D" w:rsidR="002F0133" w:rsidRPr="000B4E2C" w:rsidRDefault="002F0133" w:rsidP="008A7464">
            <w:r w:rsidRPr="000B4E2C">
              <w:t>0.78 (0.68</w:t>
            </w:r>
            <w:r w:rsidR="000B4E2C" w:rsidRPr="000B4E2C">
              <w:rPr>
                <w:color w:val="00B0F0"/>
              </w:rPr>
              <w:t>–</w:t>
            </w:r>
            <w:r w:rsidR="000B4E2C" w:rsidRPr="000B4E2C">
              <w:rPr>
                <w:color w:val="00B0F0"/>
              </w:rPr>
              <w:t>0</w:t>
            </w:r>
            <w:r w:rsidRPr="000B4E2C">
              <w:t>.85)</w:t>
            </w:r>
          </w:p>
        </w:tc>
      </w:tr>
      <w:tr w:rsidR="002F0133" w:rsidRPr="000B4E2C" w14:paraId="1CCD8259" w14:textId="77777777" w:rsidTr="000B4E2C">
        <w:trPr>
          <w:cantSplit/>
        </w:trPr>
        <w:tc>
          <w:tcPr>
            <w:tcW w:w="0" w:type="auto"/>
            <w:shd w:val="clear" w:color="auto" w:fill="auto"/>
            <w:tcMar>
              <w:top w:w="0" w:type="dxa"/>
              <w:left w:w="108" w:type="dxa"/>
              <w:bottom w:w="0" w:type="dxa"/>
              <w:right w:w="108" w:type="dxa"/>
            </w:tcMar>
            <w:hideMark/>
          </w:tcPr>
          <w:p w14:paraId="7EAAFB94" w14:textId="236A9B3D" w:rsidR="002F0133" w:rsidRPr="000B4E2C" w:rsidRDefault="002F0133" w:rsidP="008A7464">
            <w:r w:rsidRPr="000B4E2C">
              <w:t>Liebetrau 2013</w:t>
            </w:r>
            <w:r w:rsidR="005B5026" w:rsidRPr="000B4E2C">
              <w:rPr>
                <w:noProof/>
                <w:vertAlign w:val="superscript"/>
              </w:rPr>
              <w:t>49</w:t>
            </w:r>
            <w:r w:rsidRPr="000B4E2C">
              <w:t>, Germany</w:t>
            </w:r>
            <w:r w:rsidR="005815A7" w:rsidRPr="000B4E2C">
              <w:t xml:space="preserve">, Adult population </w:t>
            </w:r>
          </w:p>
        </w:tc>
        <w:tc>
          <w:tcPr>
            <w:tcW w:w="0" w:type="auto"/>
            <w:shd w:val="clear" w:color="auto" w:fill="auto"/>
            <w:hideMark/>
          </w:tcPr>
          <w:p w14:paraId="0082533B" w14:textId="77777777" w:rsidR="002F0133" w:rsidRPr="000B4E2C" w:rsidRDefault="002F0133" w:rsidP="008A7464">
            <w:r w:rsidRPr="000B4E2C">
              <w:t xml:space="preserve">Cardiac surgery </w:t>
            </w:r>
          </w:p>
        </w:tc>
        <w:tc>
          <w:tcPr>
            <w:tcW w:w="0" w:type="auto"/>
            <w:shd w:val="clear" w:color="auto" w:fill="auto"/>
            <w:hideMark/>
          </w:tcPr>
          <w:p w14:paraId="22BFB8A8" w14:textId="77777777" w:rsidR="002F0133" w:rsidRPr="000B4E2C" w:rsidRDefault="002F0133" w:rsidP="008A7464">
            <w:r w:rsidRPr="000B4E2C">
              <w:t>uNGAL, ARCHITECT</w:t>
            </w:r>
          </w:p>
          <w:p w14:paraId="301BBDAE" w14:textId="77777777" w:rsidR="002F0133" w:rsidRPr="000B4E2C" w:rsidRDefault="002F0133" w:rsidP="008A7464"/>
        </w:tc>
        <w:tc>
          <w:tcPr>
            <w:tcW w:w="0" w:type="auto"/>
            <w:shd w:val="clear" w:color="auto" w:fill="auto"/>
            <w:tcMar>
              <w:top w:w="0" w:type="dxa"/>
              <w:left w:w="108" w:type="dxa"/>
              <w:bottom w:w="0" w:type="dxa"/>
              <w:right w:w="108" w:type="dxa"/>
            </w:tcMar>
            <w:hideMark/>
          </w:tcPr>
          <w:p w14:paraId="3348877A" w14:textId="4BFEA590" w:rsidR="002F0133" w:rsidRPr="000B4E2C" w:rsidRDefault="002F0133" w:rsidP="008A7464">
            <w:r w:rsidRPr="000B4E2C">
              <w:t>Serum creatinine 0.74 (0.58</w:t>
            </w:r>
            <w:r w:rsidR="000B4E2C" w:rsidRPr="000B4E2C">
              <w:rPr>
                <w:color w:val="00B0F0"/>
              </w:rPr>
              <w:t>–</w:t>
            </w:r>
            <w:r w:rsidR="000B4E2C" w:rsidRPr="000B4E2C">
              <w:rPr>
                <w:color w:val="00B0F0"/>
              </w:rPr>
              <w:t>0</w:t>
            </w:r>
            <w:r w:rsidRPr="000B4E2C">
              <w:t>.91)</w:t>
            </w:r>
          </w:p>
        </w:tc>
        <w:tc>
          <w:tcPr>
            <w:tcW w:w="0" w:type="auto"/>
            <w:shd w:val="clear" w:color="auto" w:fill="auto"/>
            <w:tcMar>
              <w:top w:w="0" w:type="dxa"/>
              <w:left w:w="108" w:type="dxa"/>
              <w:bottom w:w="0" w:type="dxa"/>
              <w:right w:w="108" w:type="dxa"/>
            </w:tcMar>
            <w:hideMark/>
          </w:tcPr>
          <w:p w14:paraId="00822B8D" w14:textId="35EF42C2" w:rsidR="002F0133" w:rsidRPr="000B4E2C" w:rsidRDefault="002F0133" w:rsidP="008A7464">
            <w:r w:rsidRPr="000B4E2C">
              <w:t>0.90 (0.811</w:t>
            </w:r>
            <w:r w:rsidR="000B4E2C" w:rsidRPr="000B4E2C">
              <w:rPr>
                <w:color w:val="00B0F0"/>
              </w:rPr>
              <w:t>–</w:t>
            </w:r>
            <w:r w:rsidR="000B4E2C" w:rsidRPr="000B4E2C">
              <w:rPr>
                <w:color w:val="00B0F0"/>
              </w:rPr>
              <w:t>0</w:t>
            </w:r>
            <w:r w:rsidRPr="000B4E2C">
              <w:t>.99)</w:t>
            </w:r>
          </w:p>
        </w:tc>
      </w:tr>
      <w:tr w:rsidR="002F0133" w:rsidRPr="000B4E2C" w14:paraId="1DC894B2" w14:textId="77777777" w:rsidTr="000B4E2C">
        <w:trPr>
          <w:cantSplit/>
        </w:trPr>
        <w:tc>
          <w:tcPr>
            <w:tcW w:w="0" w:type="auto"/>
            <w:shd w:val="clear" w:color="auto" w:fill="auto"/>
            <w:tcMar>
              <w:top w:w="0" w:type="dxa"/>
              <w:left w:w="108" w:type="dxa"/>
              <w:bottom w:w="0" w:type="dxa"/>
              <w:right w:w="108" w:type="dxa"/>
            </w:tcMar>
            <w:hideMark/>
          </w:tcPr>
          <w:p w14:paraId="130E626C" w14:textId="475E5513" w:rsidR="002F0133" w:rsidRPr="000B4E2C" w:rsidRDefault="002F0133" w:rsidP="008A7464">
            <w:r w:rsidRPr="000B4E2C">
              <w:t>Parikh 2011</w:t>
            </w:r>
            <w:r w:rsidR="005B5026" w:rsidRPr="000B4E2C">
              <w:rPr>
                <w:noProof/>
                <w:vertAlign w:val="superscript"/>
              </w:rPr>
              <w:t>39</w:t>
            </w:r>
            <w:r w:rsidRPr="000B4E2C">
              <w:t>, North America</w:t>
            </w:r>
            <w:r w:rsidR="005815A7" w:rsidRPr="000B4E2C">
              <w:t>, Adult population</w:t>
            </w:r>
          </w:p>
        </w:tc>
        <w:tc>
          <w:tcPr>
            <w:tcW w:w="0" w:type="auto"/>
            <w:shd w:val="clear" w:color="auto" w:fill="auto"/>
            <w:hideMark/>
          </w:tcPr>
          <w:p w14:paraId="29E2748B" w14:textId="77777777" w:rsidR="002F0133" w:rsidRPr="000B4E2C" w:rsidRDefault="002F0133" w:rsidP="008A7464">
            <w:r w:rsidRPr="000B4E2C">
              <w:t xml:space="preserve">Cardiac surgery </w:t>
            </w:r>
          </w:p>
        </w:tc>
        <w:tc>
          <w:tcPr>
            <w:tcW w:w="0" w:type="auto"/>
            <w:shd w:val="clear" w:color="auto" w:fill="auto"/>
            <w:hideMark/>
          </w:tcPr>
          <w:p w14:paraId="6F9DD1E2" w14:textId="77777777" w:rsidR="002F0133" w:rsidRPr="000B4E2C" w:rsidRDefault="002F0133" w:rsidP="008A7464">
            <w:r w:rsidRPr="000B4E2C">
              <w:t>uNGAL, ARCHITECT</w:t>
            </w:r>
          </w:p>
          <w:p w14:paraId="1489BFB1" w14:textId="77777777" w:rsidR="002F0133" w:rsidRPr="000B4E2C" w:rsidRDefault="002F0133" w:rsidP="008A7464"/>
        </w:tc>
        <w:tc>
          <w:tcPr>
            <w:tcW w:w="0" w:type="auto"/>
            <w:shd w:val="clear" w:color="auto" w:fill="auto"/>
            <w:tcMar>
              <w:top w:w="0" w:type="dxa"/>
              <w:left w:w="108" w:type="dxa"/>
              <w:bottom w:w="0" w:type="dxa"/>
              <w:right w:w="108" w:type="dxa"/>
            </w:tcMar>
            <w:hideMark/>
          </w:tcPr>
          <w:p w14:paraId="038BB50F" w14:textId="77777777" w:rsidR="002F0133" w:rsidRPr="000B4E2C" w:rsidRDefault="002F0133" w:rsidP="008A7464">
            <w:r w:rsidRPr="000B4E2C">
              <w:t>Clinical model 0.69 (0.04)</w:t>
            </w:r>
          </w:p>
        </w:tc>
        <w:tc>
          <w:tcPr>
            <w:tcW w:w="0" w:type="auto"/>
            <w:shd w:val="clear" w:color="auto" w:fill="auto"/>
            <w:tcMar>
              <w:top w:w="0" w:type="dxa"/>
              <w:left w:w="108" w:type="dxa"/>
              <w:bottom w:w="0" w:type="dxa"/>
              <w:right w:w="108" w:type="dxa"/>
            </w:tcMar>
            <w:hideMark/>
          </w:tcPr>
          <w:p w14:paraId="21ADA611" w14:textId="77777777" w:rsidR="002F0133" w:rsidRPr="000B4E2C" w:rsidRDefault="002F0133" w:rsidP="008A7464">
            <w:r w:rsidRPr="000B4E2C">
              <w:t>0.67 (0.04)</w:t>
            </w:r>
          </w:p>
        </w:tc>
      </w:tr>
      <w:tr w:rsidR="002F0133" w:rsidRPr="000B4E2C" w14:paraId="515BD3F3" w14:textId="77777777" w:rsidTr="000B4E2C">
        <w:trPr>
          <w:cantSplit/>
        </w:trPr>
        <w:tc>
          <w:tcPr>
            <w:tcW w:w="0" w:type="auto"/>
            <w:shd w:val="clear" w:color="auto" w:fill="auto"/>
            <w:tcMar>
              <w:top w:w="0" w:type="dxa"/>
              <w:left w:w="108" w:type="dxa"/>
              <w:bottom w:w="0" w:type="dxa"/>
              <w:right w:w="108" w:type="dxa"/>
            </w:tcMar>
            <w:hideMark/>
          </w:tcPr>
          <w:p w14:paraId="32FD452F" w14:textId="5CC02D44" w:rsidR="002F0133" w:rsidRPr="000B4E2C" w:rsidRDefault="002F0133" w:rsidP="008A7464">
            <w:r w:rsidRPr="000B4E2C">
              <w:t>Parikh 2011</w:t>
            </w:r>
            <w:r w:rsidR="005B5026" w:rsidRPr="000B4E2C">
              <w:rPr>
                <w:noProof/>
                <w:vertAlign w:val="superscript"/>
              </w:rPr>
              <w:t>97</w:t>
            </w:r>
            <w:r w:rsidRPr="000B4E2C">
              <w:t>, North America</w:t>
            </w:r>
            <w:r w:rsidR="005815A7" w:rsidRPr="000B4E2C">
              <w:t>, Adult population</w:t>
            </w:r>
          </w:p>
        </w:tc>
        <w:tc>
          <w:tcPr>
            <w:tcW w:w="0" w:type="auto"/>
            <w:shd w:val="clear" w:color="auto" w:fill="auto"/>
            <w:hideMark/>
          </w:tcPr>
          <w:p w14:paraId="75B6FA5B" w14:textId="77777777" w:rsidR="000B4E2C" w:rsidRPr="000B4E2C" w:rsidRDefault="002F0133" w:rsidP="008A7464">
            <w:r w:rsidRPr="000B4E2C">
              <w:t>Cardiac surgery</w:t>
            </w:r>
          </w:p>
          <w:p w14:paraId="646CEAEC" w14:textId="49F27673" w:rsidR="002F0133" w:rsidRPr="000B4E2C" w:rsidRDefault="002F0133" w:rsidP="008A7464"/>
        </w:tc>
        <w:tc>
          <w:tcPr>
            <w:tcW w:w="0" w:type="auto"/>
            <w:shd w:val="clear" w:color="auto" w:fill="auto"/>
            <w:hideMark/>
          </w:tcPr>
          <w:p w14:paraId="417D39B9" w14:textId="77777777" w:rsidR="002F0133" w:rsidRPr="000B4E2C" w:rsidRDefault="002F0133" w:rsidP="008A7464">
            <w:r w:rsidRPr="000B4E2C">
              <w:t>uNGAL, ARCHITECT</w:t>
            </w:r>
          </w:p>
        </w:tc>
        <w:tc>
          <w:tcPr>
            <w:tcW w:w="0" w:type="auto"/>
            <w:shd w:val="clear" w:color="auto" w:fill="auto"/>
            <w:tcMar>
              <w:top w:w="0" w:type="dxa"/>
              <w:left w:w="108" w:type="dxa"/>
              <w:bottom w:w="0" w:type="dxa"/>
              <w:right w:w="108" w:type="dxa"/>
            </w:tcMar>
            <w:hideMark/>
          </w:tcPr>
          <w:p w14:paraId="7C1C4DD0" w14:textId="77777777" w:rsidR="002F0133" w:rsidRPr="000B4E2C" w:rsidRDefault="002F0133" w:rsidP="008A7464">
            <w:r w:rsidRPr="000B4E2C">
              <w:t>Serum creatinine 0.46 (0.04)</w:t>
            </w:r>
          </w:p>
        </w:tc>
        <w:tc>
          <w:tcPr>
            <w:tcW w:w="0" w:type="auto"/>
            <w:shd w:val="clear" w:color="auto" w:fill="auto"/>
            <w:tcMar>
              <w:top w:w="0" w:type="dxa"/>
              <w:left w:w="108" w:type="dxa"/>
              <w:bottom w:w="0" w:type="dxa"/>
              <w:right w:w="108" w:type="dxa"/>
            </w:tcMar>
            <w:hideMark/>
          </w:tcPr>
          <w:p w14:paraId="64E21C12" w14:textId="77777777" w:rsidR="002F0133" w:rsidRPr="000B4E2C" w:rsidRDefault="002F0133" w:rsidP="008A7464">
            <w:r w:rsidRPr="000B4E2C">
              <w:t>0.71 (0.04)</w:t>
            </w:r>
          </w:p>
        </w:tc>
      </w:tr>
      <w:tr w:rsidR="002F0133" w:rsidRPr="000B4E2C" w14:paraId="7464D010" w14:textId="77777777" w:rsidTr="000B4E2C">
        <w:trPr>
          <w:cantSplit/>
        </w:trPr>
        <w:tc>
          <w:tcPr>
            <w:tcW w:w="0" w:type="auto"/>
            <w:shd w:val="clear" w:color="auto" w:fill="auto"/>
            <w:tcMar>
              <w:top w:w="0" w:type="dxa"/>
              <w:left w:w="108" w:type="dxa"/>
              <w:bottom w:w="0" w:type="dxa"/>
              <w:right w:w="108" w:type="dxa"/>
            </w:tcMar>
            <w:hideMark/>
          </w:tcPr>
          <w:p w14:paraId="4ADF0351" w14:textId="610A9EDF" w:rsidR="002F0133" w:rsidRPr="000B4E2C" w:rsidRDefault="002F0133" w:rsidP="008A7464">
            <w:r w:rsidRPr="000B4E2C">
              <w:t>Nickolas 2012</w:t>
            </w:r>
            <w:r w:rsidR="005B5026" w:rsidRPr="000B4E2C">
              <w:rPr>
                <w:noProof/>
                <w:vertAlign w:val="superscript"/>
              </w:rPr>
              <w:t>58</w:t>
            </w:r>
            <w:r w:rsidRPr="000B4E2C">
              <w:t>, USA and Germany</w:t>
            </w:r>
            <w:r w:rsidR="005815A7" w:rsidRPr="000B4E2C">
              <w:t>, Adult population</w:t>
            </w:r>
          </w:p>
        </w:tc>
        <w:tc>
          <w:tcPr>
            <w:tcW w:w="0" w:type="auto"/>
            <w:shd w:val="clear" w:color="auto" w:fill="auto"/>
            <w:hideMark/>
          </w:tcPr>
          <w:p w14:paraId="71F8B416" w14:textId="77777777" w:rsidR="000B4E2C" w:rsidRPr="000B4E2C" w:rsidRDefault="002F0133" w:rsidP="008A7464">
            <w:r w:rsidRPr="000B4E2C">
              <w:t>Critical care</w:t>
            </w:r>
          </w:p>
          <w:p w14:paraId="56A9E81D" w14:textId="07AF7A6F" w:rsidR="002F0133" w:rsidRPr="000B4E2C" w:rsidRDefault="002F0133" w:rsidP="008A7464">
            <w:r w:rsidRPr="000B4E2C">
              <w:t>(mixed population)</w:t>
            </w:r>
          </w:p>
        </w:tc>
        <w:tc>
          <w:tcPr>
            <w:tcW w:w="0" w:type="auto"/>
            <w:shd w:val="clear" w:color="auto" w:fill="auto"/>
            <w:hideMark/>
          </w:tcPr>
          <w:p w14:paraId="4F3A74AE" w14:textId="77777777" w:rsidR="002F0133" w:rsidRPr="000B4E2C" w:rsidRDefault="002F0133" w:rsidP="008A7464">
            <w:r w:rsidRPr="000B4E2C">
              <w:t>uNGAL, ARCHITECT, Abbot</w:t>
            </w:r>
          </w:p>
        </w:tc>
        <w:tc>
          <w:tcPr>
            <w:tcW w:w="0" w:type="auto"/>
            <w:shd w:val="clear" w:color="auto" w:fill="auto"/>
            <w:tcMar>
              <w:top w:w="0" w:type="dxa"/>
              <w:left w:w="108" w:type="dxa"/>
              <w:bottom w:w="0" w:type="dxa"/>
              <w:right w:w="108" w:type="dxa"/>
            </w:tcMar>
            <w:hideMark/>
          </w:tcPr>
          <w:p w14:paraId="109B1061" w14:textId="3A09E6B9" w:rsidR="002F0133" w:rsidRPr="000B4E2C" w:rsidRDefault="002F0133" w:rsidP="008A7464">
            <w:r w:rsidRPr="000B4E2C">
              <w:t>Serum creatinine 0.91 (0.87</w:t>
            </w:r>
            <w:r w:rsidR="000B4E2C" w:rsidRPr="000B4E2C">
              <w:rPr>
                <w:color w:val="00B0F0"/>
              </w:rPr>
              <w:t>–</w:t>
            </w:r>
            <w:r w:rsidR="000B4E2C" w:rsidRPr="000B4E2C">
              <w:rPr>
                <w:color w:val="00B0F0"/>
              </w:rPr>
              <w:t>0</w:t>
            </w:r>
            <w:r w:rsidRPr="000B4E2C">
              <w:t>.94)</w:t>
            </w:r>
          </w:p>
        </w:tc>
        <w:tc>
          <w:tcPr>
            <w:tcW w:w="0" w:type="auto"/>
            <w:shd w:val="clear" w:color="auto" w:fill="auto"/>
            <w:tcMar>
              <w:top w:w="0" w:type="dxa"/>
              <w:left w:w="108" w:type="dxa"/>
              <w:bottom w:w="0" w:type="dxa"/>
              <w:right w:w="108" w:type="dxa"/>
            </w:tcMar>
            <w:hideMark/>
          </w:tcPr>
          <w:p w14:paraId="27D0128F" w14:textId="77777777" w:rsidR="002F0133" w:rsidRPr="000B4E2C" w:rsidRDefault="002F0133" w:rsidP="008A7464">
            <w:r w:rsidRPr="000B4E2C">
              <w:t>0.81 (NR)</w:t>
            </w:r>
          </w:p>
        </w:tc>
      </w:tr>
      <w:tr w:rsidR="002F0133" w:rsidRPr="000B4E2C" w14:paraId="3A36DC8B" w14:textId="77777777" w:rsidTr="000B4E2C">
        <w:trPr>
          <w:cantSplit/>
        </w:trPr>
        <w:tc>
          <w:tcPr>
            <w:tcW w:w="0" w:type="auto"/>
            <w:shd w:val="clear" w:color="auto" w:fill="auto"/>
            <w:tcMar>
              <w:top w:w="0" w:type="dxa"/>
              <w:left w:w="108" w:type="dxa"/>
              <w:bottom w:w="0" w:type="dxa"/>
              <w:right w:w="108" w:type="dxa"/>
            </w:tcMar>
            <w:hideMark/>
          </w:tcPr>
          <w:p w14:paraId="5A8EE707" w14:textId="17E9E23F" w:rsidR="002F0133" w:rsidRPr="000B4E2C" w:rsidRDefault="002F0133" w:rsidP="008A7464">
            <w:r w:rsidRPr="000B4E2C">
              <w:t>Treeprasertsuk 2015</w:t>
            </w:r>
            <w:r w:rsidR="005B5026" w:rsidRPr="000B4E2C">
              <w:rPr>
                <w:noProof/>
                <w:vertAlign w:val="superscript"/>
              </w:rPr>
              <w:t>61</w:t>
            </w:r>
            <w:r w:rsidRPr="000B4E2C">
              <w:t>, Thailand</w:t>
            </w:r>
            <w:r w:rsidR="005815A7" w:rsidRPr="000B4E2C">
              <w:t>, Adult population</w:t>
            </w:r>
          </w:p>
        </w:tc>
        <w:tc>
          <w:tcPr>
            <w:tcW w:w="0" w:type="auto"/>
            <w:shd w:val="clear" w:color="auto" w:fill="auto"/>
            <w:hideMark/>
          </w:tcPr>
          <w:p w14:paraId="3E017C0D" w14:textId="77777777" w:rsidR="000B4E2C" w:rsidRPr="000B4E2C" w:rsidRDefault="002F0133" w:rsidP="008A7464">
            <w:r w:rsidRPr="000B4E2C">
              <w:t>Critical care</w:t>
            </w:r>
          </w:p>
          <w:p w14:paraId="75B0CFC0" w14:textId="6D219FEF" w:rsidR="002F0133" w:rsidRPr="000B4E2C" w:rsidRDefault="002F0133" w:rsidP="008A7464">
            <w:r w:rsidRPr="000B4E2C">
              <w:t>(mixed population)</w:t>
            </w:r>
          </w:p>
        </w:tc>
        <w:tc>
          <w:tcPr>
            <w:tcW w:w="0" w:type="auto"/>
            <w:shd w:val="clear" w:color="auto" w:fill="auto"/>
            <w:hideMark/>
          </w:tcPr>
          <w:p w14:paraId="1B1EEB05" w14:textId="77777777" w:rsidR="002F0133" w:rsidRPr="000B4E2C" w:rsidRDefault="002F0133" w:rsidP="008A7464">
            <w:r w:rsidRPr="000B4E2C">
              <w:t>uNGAL, ARCHITECT, Abbot</w:t>
            </w:r>
          </w:p>
        </w:tc>
        <w:tc>
          <w:tcPr>
            <w:tcW w:w="0" w:type="auto"/>
            <w:shd w:val="clear" w:color="auto" w:fill="auto"/>
            <w:tcMar>
              <w:top w:w="0" w:type="dxa"/>
              <w:left w:w="108" w:type="dxa"/>
              <w:bottom w:w="0" w:type="dxa"/>
              <w:right w:w="108" w:type="dxa"/>
            </w:tcMar>
            <w:hideMark/>
          </w:tcPr>
          <w:p w14:paraId="0C2AD272" w14:textId="77777777" w:rsidR="002F0133" w:rsidRPr="000B4E2C" w:rsidRDefault="002F0133" w:rsidP="008A7464">
            <w:r w:rsidRPr="000B4E2C">
              <w:t>Serum creatinine 0.58 (NR)</w:t>
            </w:r>
          </w:p>
        </w:tc>
        <w:tc>
          <w:tcPr>
            <w:tcW w:w="0" w:type="auto"/>
            <w:shd w:val="clear" w:color="auto" w:fill="auto"/>
            <w:tcMar>
              <w:top w:w="0" w:type="dxa"/>
              <w:left w:w="108" w:type="dxa"/>
              <w:bottom w:w="0" w:type="dxa"/>
              <w:right w:w="108" w:type="dxa"/>
            </w:tcMar>
            <w:hideMark/>
          </w:tcPr>
          <w:p w14:paraId="61D818A8" w14:textId="77777777" w:rsidR="002F0133" w:rsidRPr="000B4E2C" w:rsidRDefault="002F0133" w:rsidP="008A7464">
            <w:r w:rsidRPr="000B4E2C">
              <w:t>0.83 (0.76–0.91)</w:t>
            </w:r>
          </w:p>
        </w:tc>
      </w:tr>
      <w:tr w:rsidR="002F0133" w:rsidRPr="000B4E2C" w14:paraId="4814243F" w14:textId="77777777" w:rsidTr="000B4E2C">
        <w:trPr>
          <w:cantSplit/>
        </w:trPr>
        <w:tc>
          <w:tcPr>
            <w:tcW w:w="0" w:type="auto"/>
            <w:shd w:val="clear" w:color="auto" w:fill="auto"/>
            <w:tcMar>
              <w:top w:w="0" w:type="dxa"/>
              <w:left w:w="108" w:type="dxa"/>
              <w:bottom w:w="0" w:type="dxa"/>
              <w:right w:w="108" w:type="dxa"/>
            </w:tcMar>
            <w:hideMark/>
          </w:tcPr>
          <w:p w14:paraId="65B78F78" w14:textId="1E3C12C4" w:rsidR="002F0133" w:rsidRPr="000B4E2C" w:rsidRDefault="002F0133" w:rsidP="008A7464">
            <w:r w:rsidRPr="000B4E2C">
              <w:t>De Loor 2017</w:t>
            </w:r>
            <w:r w:rsidR="005B5026" w:rsidRPr="000B4E2C">
              <w:rPr>
                <w:noProof/>
                <w:vertAlign w:val="superscript"/>
              </w:rPr>
              <w:t>65</w:t>
            </w:r>
            <w:r w:rsidRPr="000B4E2C">
              <w:t>, Belgium</w:t>
            </w:r>
            <w:r w:rsidR="005815A7" w:rsidRPr="000B4E2C">
              <w:t>, Adult population</w:t>
            </w:r>
          </w:p>
        </w:tc>
        <w:tc>
          <w:tcPr>
            <w:tcW w:w="0" w:type="auto"/>
            <w:shd w:val="clear" w:color="auto" w:fill="auto"/>
            <w:hideMark/>
          </w:tcPr>
          <w:p w14:paraId="4E07D9AA" w14:textId="77777777" w:rsidR="002F0133" w:rsidRPr="000B4E2C" w:rsidRDefault="002F0133" w:rsidP="008A7464">
            <w:r w:rsidRPr="000B4E2C">
              <w:t xml:space="preserve">Cardiac surgery </w:t>
            </w:r>
          </w:p>
        </w:tc>
        <w:tc>
          <w:tcPr>
            <w:tcW w:w="0" w:type="auto"/>
            <w:shd w:val="clear" w:color="auto" w:fill="auto"/>
            <w:hideMark/>
          </w:tcPr>
          <w:p w14:paraId="1E363E41" w14:textId="01FE9F35" w:rsidR="002F0133" w:rsidRPr="000B4E2C" w:rsidRDefault="002F0133" w:rsidP="008A7464">
            <w:r w:rsidRPr="000B4E2C">
              <w:t xml:space="preserve">uNGAL, </w:t>
            </w:r>
            <w:r w:rsidR="009D7F5A" w:rsidRPr="000B4E2C">
              <w:t>BioPorto</w:t>
            </w:r>
          </w:p>
          <w:p w14:paraId="21FF01E1" w14:textId="77777777" w:rsidR="002F0133" w:rsidRPr="000B4E2C" w:rsidRDefault="002F0133" w:rsidP="008A7464"/>
        </w:tc>
        <w:tc>
          <w:tcPr>
            <w:tcW w:w="0" w:type="auto"/>
            <w:shd w:val="clear" w:color="auto" w:fill="auto"/>
            <w:tcMar>
              <w:top w:w="0" w:type="dxa"/>
              <w:left w:w="108" w:type="dxa"/>
              <w:bottom w:w="0" w:type="dxa"/>
              <w:right w:w="108" w:type="dxa"/>
            </w:tcMar>
            <w:hideMark/>
          </w:tcPr>
          <w:p w14:paraId="4EF7EC67" w14:textId="498BC8BD" w:rsidR="002F0133" w:rsidRPr="000B4E2C" w:rsidRDefault="002F0133" w:rsidP="008A7464">
            <w:r w:rsidRPr="000B4E2C">
              <w:t>Serum creatinine 0.78 (0.72</w:t>
            </w:r>
            <w:r w:rsidR="000B4E2C" w:rsidRPr="000B4E2C">
              <w:rPr>
                <w:color w:val="00B0F0"/>
              </w:rPr>
              <w:t>–</w:t>
            </w:r>
            <w:r w:rsidR="000B4E2C" w:rsidRPr="000B4E2C">
              <w:rPr>
                <w:color w:val="00B0F0"/>
              </w:rPr>
              <w:t>0</w:t>
            </w:r>
            <w:r w:rsidRPr="000B4E2C">
              <w:t>.83)</w:t>
            </w:r>
          </w:p>
        </w:tc>
        <w:tc>
          <w:tcPr>
            <w:tcW w:w="0" w:type="auto"/>
            <w:shd w:val="clear" w:color="auto" w:fill="auto"/>
            <w:tcMar>
              <w:top w:w="0" w:type="dxa"/>
              <w:left w:w="108" w:type="dxa"/>
              <w:bottom w:w="0" w:type="dxa"/>
              <w:right w:w="108" w:type="dxa"/>
            </w:tcMar>
            <w:hideMark/>
          </w:tcPr>
          <w:p w14:paraId="18351931" w14:textId="29590192" w:rsidR="002F0133" w:rsidRPr="000B4E2C" w:rsidRDefault="002F0133" w:rsidP="008A7464">
            <w:r w:rsidRPr="000B4E2C">
              <w:t>0.65 (0.58</w:t>
            </w:r>
            <w:r w:rsidR="000B4E2C" w:rsidRPr="000B4E2C">
              <w:rPr>
                <w:color w:val="00B0F0"/>
              </w:rPr>
              <w:t>–</w:t>
            </w:r>
            <w:r w:rsidR="000B4E2C" w:rsidRPr="000B4E2C">
              <w:rPr>
                <w:color w:val="00B0F0"/>
              </w:rPr>
              <w:t>0</w:t>
            </w:r>
            <w:r w:rsidRPr="000B4E2C">
              <w:t>.72)</w:t>
            </w:r>
          </w:p>
        </w:tc>
      </w:tr>
      <w:tr w:rsidR="002F0133" w:rsidRPr="000B4E2C" w14:paraId="064B8929" w14:textId="77777777" w:rsidTr="000B4E2C">
        <w:trPr>
          <w:cantSplit/>
        </w:trPr>
        <w:tc>
          <w:tcPr>
            <w:tcW w:w="0" w:type="auto"/>
            <w:vMerge w:val="restart"/>
            <w:shd w:val="clear" w:color="auto" w:fill="auto"/>
            <w:tcMar>
              <w:top w:w="0" w:type="dxa"/>
              <w:left w:w="108" w:type="dxa"/>
              <w:bottom w:w="0" w:type="dxa"/>
              <w:right w:w="108" w:type="dxa"/>
            </w:tcMar>
            <w:hideMark/>
          </w:tcPr>
          <w:p w14:paraId="47BF6E9C" w14:textId="058D008C" w:rsidR="002F0133" w:rsidRPr="000B4E2C" w:rsidRDefault="002F0133" w:rsidP="008A7464">
            <w:r w:rsidRPr="000B4E2C">
              <w:t>Hjortrup 2015</w:t>
            </w:r>
            <w:r w:rsidR="005B5026" w:rsidRPr="000B4E2C">
              <w:rPr>
                <w:noProof/>
                <w:vertAlign w:val="superscript"/>
              </w:rPr>
              <w:t>74</w:t>
            </w:r>
            <w:r w:rsidRPr="000B4E2C">
              <w:t>, Denmark</w:t>
            </w:r>
            <w:r w:rsidR="005815A7" w:rsidRPr="000B4E2C">
              <w:t>, Adult population</w:t>
            </w:r>
          </w:p>
        </w:tc>
        <w:tc>
          <w:tcPr>
            <w:tcW w:w="0" w:type="auto"/>
            <w:vMerge w:val="restart"/>
            <w:shd w:val="clear" w:color="auto" w:fill="auto"/>
            <w:hideMark/>
          </w:tcPr>
          <w:p w14:paraId="6B92743A" w14:textId="77777777" w:rsidR="000B4E2C" w:rsidRPr="000B4E2C" w:rsidRDefault="002F0133" w:rsidP="008A7464">
            <w:r w:rsidRPr="000B4E2C">
              <w:t>Critical care</w:t>
            </w:r>
          </w:p>
          <w:p w14:paraId="151AEFBD" w14:textId="5A00CBAC" w:rsidR="002F0133" w:rsidRPr="000B4E2C" w:rsidRDefault="002F0133" w:rsidP="008A7464">
            <w:r w:rsidRPr="000B4E2C">
              <w:t>(mixed population)</w:t>
            </w:r>
          </w:p>
        </w:tc>
        <w:tc>
          <w:tcPr>
            <w:tcW w:w="0" w:type="auto"/>
            <w:shd w:val="clear" w:color="auto" w:fill="auto"/>
            <w:hideMark/>
          </w:tcPr>
          <w:p w14:paraId="456BD038" w14:textId="2F2044AE" w:rsidR="002F0133" w:rsidRPr="000B4E2C" w:rsidRDefault="002F0133" w:rsidP="008A7464">
            <w:r w:rsidRPr="000B4E2C">
              <w:t xml:space="preserve">uNGAL, </w:t>
            </w:r>
            <w:r w:rsidR="009D7F5A" w:rsidRPr="000B4E2C">
              <w:t>BioPorto</w:t>
            </w:r>
          </w:p>
        </w:tc>
        <w:tc>
          <w:tcPr>
            <w:tcW w:w="0" w:type="auto"/>
            <w:shd w:val="clear" w:color="auto" w:fill="auto"/>
            <w:tcMar>
              <w:top w:w="0" w:type="dxa"/>
              <w:left w:w="108" w:type="dxa"/>
              <w:bottom w:w="0" w:type="dxa"/>
              <w:right w:w="108" w:type="dxa"/>
            </w:tcMar>
            <w:hideMark/>
          </w:tcPr>
          <w:p w14:paraId="541FD4C7" w14:textId="77777777" w:rsidR="002F0133" w:rsidRPr="000B4E2C" w:rsidRDefault="002F0133" w:rsidP="008A7464">
            <w:r w:rsidRPr="000B4E2C">
              <w:t>Plasma creatinine 0.66 (0.56–0.77)</w:t>
            </w:r>
          </w:p>
        </w:tc>
        <w:tc>
          <w:tcPr>
            <w:tcW w:w="0" w:type="auto"/>
            <w:shd w:val="clear" w:color="auto" w:fill="auto"/>
            <w:tcMar>
              <w:top w:w="0" w:type="dxa"/>
              <w:left w:w="108" w:type="dxa"/>
              <w:bottom w:w="0" w:type="dxa"/>
              <w:right w:w="108" w:type="dxa"/>
            </w:tcMar>
            <w:hideMark/>
          </w:tcPr>
          <w:p w14:paraId="6432A75D" w14:textId="77777777" w:rsidR="002F0133" w:rsidRPr="000B4E2C" w:rsidRDefault="002F0133" w:rsidP="008A7464">
            <w:r w:rsidRPr="000B4E2C">
              <w:t>0.71 (0.59–0.82)</w:t>
            </w:r>
          </w:p>
        </w:tc>
      </w:tr>
      <w:tr w:rsidR="002F0133" w:rsidRPr="000B4E2C" w14:paraId="6B491631" w14:textId="77777777" w:rsidTr="000B4E2C">
        <w:trPr>
          <w:cantSplit/>
        </w:trPr>
        <w:tc>
          <w:tcPr>
            <w:tcW w:w="0" w:type="auto"/>
            <w:vMerge/>
            <w:shd w:val="clear" w:color="auto" w:fill="auto"/>
            <w:vAlign w:val="center"/>
            <w:hideMark/>
          </w:tcPr>
          <w:p w14:paraId="1AD98C5D" w14:textId="77777777" w:rsidR="002F0133" w:rsidRPr="000B4E2C" w:rsidRDefault="002F0133" w:rsidP="008A7464"/>
        </w:tc>
        <w:tc>
          <w:tcPr>
            <w:tcW w:w="0" w:type="auto"/>
            <w:vMerge/>
            <w:shd w:val="clear" w:color="auto" w:fill="auto"/>
            <w:vAlign w:val="center"/>
            <w:hideMark/>
          </w:tcPr>
          <w:p w14:paraId="26EA948B" w14:textId="77777777" w:rsidR="002F0133" w:rsidRPr="000B4E2C" w:rsidRDefault="002F0133" w:rsidP="008A7464"/>
        </w:tc>
        <w:tc>
          <w:tcPr>
            <w:tcW w:w="0" w:type="auto"/>
            <w:shd w:val="clear" w:color="auto" w:fill="auto"/>
            <w:hideMark/>
          </w:tcPr>
          <w:p w14:paraId="10515A49" w14:textId="49EDCF4E" w:rsidR="002F0133" w:rsidRPr="000B4E2C" w:rsidRDefault="002F0133" w:rsidP="008A7464">
            <w:r w:rsidRPr="000B4E2C">
              <w:t xml:space="preserve">pNGAL, </w:t>
            </w:r>
            <w:r w:rsidR="009D7F5A" w:rsidRPr="000B4E2C">
              <w:t>BioPorto</w:t>
            </w:r>
          </w:p>
        </w:tc>
        <w:tc>
          <w:tcPr>
            <w:tcW w:w="0" w:type="auto"/>
            <w:shd w:val="clear" w:color="auto" w:fill="auto"/>
            <w:tcMar>
              <w:top w:w="0" w:type="dxa"/>
              <w:left w:w="108" w:type="dxa"/>
              <w:bottom w:w="0" w:type="dxa"/>
              <w:right w:w="108" w:type="dxa"/>
            </w:tcMar>
            <w:hideMark/>
          </w:tcPr>
          <w:p w14:paraId="1C01686E" w14:textId="260737F9" w:rsidR="002F0133" w:rsidRPr="000B4E2C" w:rsidRDefault="002F0133" w:rsidP="008A7464">
            <w:r w:rsidRPr="000B4E2C">
              <w:t>Plasma creatinine 0.66 (0.56</w:t>
            </w:r>
            <w:r w:rsidR="000B4E2C" w:rsidRPr="000B4E2C">
              <w:rPr>
                <w:color w:val="00B0F0"/>
              </w:rPr>
              <w:t>–</w:t>
            </w:r>
            <w:r w:rsidR="000B4E2C" w:rsidRPr="000B4E2C">
              <w:rPr>
                <w:color w:val="00B0F0"/>
              </w:rPr>
              <w:t>0</w:t>
            </w:r>
            <w:r w:rsidRPr="000B4E2C">
              <w:t>.77)</w:t>
            </w:r>
          </w:p>
        </w:tc>
        <w:tc>
          <w:tcPr>
            <w:tcW w:w="0" w:type="auto"/>
            <w:shd w:val="clear" w:color="auto" w:fill="auto"/>
            <w:tcMar>
              <w:top w:w="0" w:type="dxa"/>
              <w:left w:w="108" w:type="dxa"/>
              <w:bottom w:w="0" w:type="dxa"/>
              <w:right w:w="108" w:type="dxa"/>
            </w:tcMar>
            <w:hideMark/>
          </w:tcPr>
          <w:p w14:paraId="7D10097E" w14:textId="5AEB2CDE" w:rsidR="002F0133" w:rsidRPr="000B4E2C" w:rsidRDefault="002F0133" w:rsidP="008A7464">
            <w:r w:rsidRPr="000B4E2C">
              <w:t>0.66 (0.54</w:t>
            </w:r>
            <w:r w:rsidR="000B4E2C" w:rsidRPr="000B4E2C">
              <w:rPr>
                <w:color w:val="00B0F0"/>
              </w:rPr>
              <w:t>–</w:t>
            </w:r>
            <w:r w:rsidR="000B4E2C" w:rsidRPr="000B4E2C">
              <w:rPr>
                <w:color w:val="00B0F0"/>
              </w:rPr>
              <w:t>0</w:t>
            </w:r>
            <w:r w:rsidRPr="000B4E2C">
              <w:t>.77)</w:t>
            </w:r>
          </w:p>
        </w:tc>
      </w:tr>
      <w:tr w:rsidR="002F0133" w:rsidRPr="000B4E2C" w14:paraId="39E8E580" w14:textId="77777777" w:rsidTr="000B4E2C">
        <w:trPr>
          <w:cantSplit/>
        </w:trPr>
        <w:tc>
          <w:tcPr>
            <w:tcW w:w="0" w:type="auto"/>
            <w:shd w:val="clear" w:color="auto" w:fill="auto"/>
            <w:tcMar>
              <w:top w:w="0" w:type="dxa"/>
              <w:left w:w="108" w:type="dxa"/>
              <w:bottom w:w="0" w:type="dxa"/>
              <w:right w:w="108" w:type="dxa"/>
            </w:tcMar>
            <w:hideMark/>
          </w:tcPr>
          <w:p w14:paraId="6DE53389" w14:textId="328EBDB8" w:rsidR="002F0133" w:rsidRPr="000B4E2C" w:rsidRDefault="002F0133" w:rsidP="008A7464">
            <w:r w:rsidRPr="000B4E2C">
              <w:t>Nickolas 2008</w:t>
            </w:r>
            <w:r w:rsidR="005B5026" w:rsidRPr="000B4E2C">
              <w:rPr>
                <w:noProof/>
                <w:vertAlign w:val="superscript"/>
              </w:rPr>
              <w:t>76</w:t>
            </w:r>
            <w:r w:rsidRPr="000B4E2C">
              <w:t>, USA</w:t>
            </w:r>
            <w:r w:rsidR="005815A7" w:rsidRPr="000B4E2C">
              <w:t>, Adult population</w:t>
            </w:r>
          </w:p>
        </w:tc>
        <w:tc>
          <w:tcPr>
            <w:tcW w:w="0" w:type="auto"/>
            <w:shd w:val="clear" w:color="auto" w:fill="auto"/>
            <w:hideMark/>
          </w:tcPr>
          <w:p w14:paraId="48CC139D" w14:textId="77777777" w:rsidR="000B4E2C" w:rsidRPr="000B4E2C" w:rsidRDefault="002F0133" w:rsidP="008A7464">
            <w:r w:rsidRPr="000B4E2C">
              <w:t>Critical care</w:t>
            </w:r>
          </w:p>
          <w:p w14:paraId="789F6AE5" w14:textId="6C81C0BD" w:rsidR="002F0133" w:rsidRPr="000B4E2C" w:rsidRDefault="002F0133" w:rsidP="008A7464">
            <w:r w:rsidRPr="000B4E2C">
              <w:t>(mixed population)</w:t>
            </w:r>
          </w:p>
        </w:tc>
        <w:tc>
          <w:tcPr>
            <w:tcW w:w="0" w:type="auto"/>
            <w:shd w:val="clear" w:color="auto" w:fill="auto"/>
            <w:hideMark/>
          </w:tcPr>
          <w:p w14:paraId="16D4DE1C" w14:textId="26B950E0" w:rsidR="002F0133" w:rsidRPr="000B4E2C" w:rsidRDefault="002F0133" w:rsidP="008A7464">
            <w:r w:rsidRPr="000B4E2C">
              <w:t xml:space="preserve">uNGAL, </w:t>
            </w:r>
            <w:r w:rsidR="009D7F5A" w:rsidRPr="000B4E2C">
              <w:t>BioPorto</w:t>
            </w:r>
            <w:r w:rsidRPr="000B4E2C">
              <w:t xml:space="preserve"> </w:t>
            </w:r>
          </w:p>
        </w:tc>
        <w:tc>
          <w:tcPr>
            <w:tcW w:w="0" w:type="auto"/>
            <w:shd w:val="clear" w:color="auto" w:fill="auto"/>
            <w:tcMar>
              <w:top w:w="0" w:type="dxa"/>
              <w:left w:w="108" w:type="dxa"/>
              <w:bottom w:w="0" w:type="dxa"/>
              <w:right w:w="108" w:type="dxa"/>
            </w:tcMar>
            <w:hideMark/>
          </w:tcPr>
          <w:p w14:paraId="7F59A904" w14:textId="14715390" w:rsidR="002F0133" w:rsidRPr="000B4E2C" w:rsidRDefault="002F0133" w:rsidP="008A7464">
            <w:r w:rsidRPr="000B4E2C">
              <w:t>Serum creatinine 1.4 mg/dL 0.92 (0.87</w:t>
            </w:r>
            <w:r w:rsidR="000B4E2C" w:rsidRPr="000B4E2C">
              <w:rPr>
                <w:color w:val="00B0F0"/>
              </w:rPr>
              <w:t>–</w:t>
            </w:r>
            <w:r w:rsidR="000B4E2C" w:rsidRPr="000B4E2C">
              <w:rPr>
                <w:color w:val="00B0F0"/>
              </w:rPr>
              <w:t>0</w:t>
            </w:r>
            <w:r w:rsidRPr="000B4E2C">
              <w:t>.98)</w:t>
            </w:r>
          </w:p>
        </w:tc>
        <w:tc>
          <w:tcPr>
            <w:tcW w:w="0" w:type="auto"/>
            <w:shd w:val="clear" w:color="auto" w:fill="auto"/>
            <w:tcMar>
              <w:top w:w="0" w:type="dxa"/>
              <w:left w:w="108" w:type="dxa"/>
              <w:bottom w:w="0" w:type="dxa"/>
              <w:right w:w="108" w:type="dxa"/>
            </w:tcMar>
            <w:hideMark/>
          </w:tcPr>
          <w:p w14:paraId="2DB5FE48" w14:textId="5CDF4CFB" w:rsidR="002F0133" w:rsidRPr="000B4E2C" w:rsidRDefault="002F0133" w:rsidP="008A7464">
            <w:r w:rsidRPr="000B4E2C">
              <w:t>0.95 (0.88</w:t>
            </w:r>
            <w:r w:rsidR="000B4E2C" w:rsidRPr="000B4E2C">
              <w:rPr>
                <w:color w:val="00B0F0"/>
              </w:rPr>
              <w:t>–</w:t>
            </w:r>
            <w:r w:rsidR="000B4E2C" w:rsidRPr="000B4E2C">
              <w:rPr>
                <w:color w:val="00B0F0"/>
              </w:rPr>
              <w:t>1</w:t>
            </w:r>
            <w:r w:rsidRPr="000B4E2C">
              <w:t>.00)</w:t>
            </w:r>
          </w:p>
        </w:tc>
      </w:tr>
      <w:tr w:rsidR="002F0133" w:rsidRPr="000B4E2C" w14:paraId="275AF2D5" w14:textId="77777777" w:rsidTr="000B4E2C">
        <w:trPr>
          <w:cantSplit/>
        </w:trPr>
        <w:tc>
          <w:tcPr>
            <w:tcW w:w="0" w:type="auto"/>
            <w:shd w:val="clear" w:color="auto" w:fill="auto"/>
            <w:tcMar>
              <w:top w:w="0" w:type="dxa"/>
              <w:left w:w="108" w:type="dxa"/>
              <w:bottom w:w="0" w:type="dxa"/>
              <w:right w:w="108" w:type="dxa"/>
            </w:tcMar>
            <w:hideMark/>
          </w:tcPr>
          <w:p w14:paraId="36B93512" w14:textId="42A15AC1" w:rsidR="002F0133" w:rsidRPr="000B4E2C" w:rsidRDefault="002F0133" w:rsidP="008A7464">
            <w:r w:rsidRPr="000B4E2C">
              <w:t>Verna 2014</w:t>
            </w:r>
            <w:r w:rsidR="005B5026" w:rsidRPr="000B4E2C">
              <w:rPr>
                <w:noProof/>
                <w:vertAlign w:val="superscript"/>
              </w:rPr>
              <w:t>81</w:t>
            </w:r>
            <w:r w:rsidRPr="000B4E2C">
              <w:t>, USA</w:t>
            </w:r>
            <w:r w:rsidR="005815A7" w:rsidRPr="000B4E2C">
              <w:t>, Adult population</w:t>
            </w:r>
          </w:p>
        </w:tc>
        <w:tc>
          <w:tcPr>
            <w:tcW w:w="0" w:type="auto"/>
            <w:shd w:val="clear" w:color="auto" w:fill="auto"/>
            <w:hideMark/>
          </w:tcPr>
          <w:p w14:paraId="5AA2882B" w14:textId="77777777" w:rsidR="000B4E2C" w:rsidRPr="000B4E2C" w:rsidRDefault="002F0133" w:rsidP="008A7464">
            <w:r w:rsidRPr="000B4E2C">
              <w:t>Critical care</w:t>
            </w:r>
          </w:p>
          <w:p w14:paraId="79D33969" w14:textId="581938BD" w:rsidR="002F0133" w:rsidRPr="000B4E2C" w:rsidRDefault="002F0133" w:rsidP="008A7464">
            <w:r w:rsidRPr="000B4E2C">
              <w:t>(mixed population)</w:t>
            </w:r>
          </w:p>
        </w:tc>
        <w:tc>
          <w:tcPr>
            <w:tcW w:w="0" w:type="auto"/>
            <w:shd w:val="clear" w:color="auto" w:fill="auto"/>
            <w:hideMark/>
          </w:tcPr>
          <w:p w14:paraId="374E76BE" w14:textId="41E8D241" w:rsidR="002F0133" w:rsidRPr="000B4E2C" w:rsidRDefault="002F0133" w:rsidP="008A7464">
            <w:r w:rsidRPr="000B4E2C">
              <w:t xml:space="preserve">uNGAL, </w:t>
            </w:r>
            <w:r w:rsidR="009D7F5A" w:rsidRPr="000B4E2C">
              <w:t>BioPorto</w:t>
            </w:r>
          </w:p>
        </w:tc>
        <w:tc>
          <w:tcPr>
            <w:tcW w:w="0" w:type="auto"/>
            <w:shd w:val="clear" w:color="auto" w:fill="auto"/>
            <w:tcMar>
              <w:top w:w="0" w:type="dxa"/>
              <w:left w:w="108" w:type="dxa"/>
              <w:bottom w:w="0" w:type="dxa"/>
              <w:right w:w="108" w:type="dxa"/>
            </w:tcMar>
            <w:hideMark/>
          </w:tcPr>
          <w:p w14:paraId="582E2BC4" w14:textId="77777777" w:rsidR="002F0133" w:rsidRPr="000B4E2C" w:rsidRDefault="002F0133" w:rsidP="008A7464">
            <w:r w:rsidRPr="000B4E2C">
              <w:t>Serum creatinine 0.89</w:t>
            </w:r>
          </w:p>
        </w:tc>
        <w:tc>
          <w:tcPr>
            <w:tcW w:w="0" w:type="auto"/>
            <w:shd w:val="clear" w:color="auto" w:fill="auto"/>
            <w:tcMar>
              <w:top w:w="0" w:type="dxa"/>
              <w:left w:w="108" w:type="dxa"/>
              <w:bottom w:w="0" w:type="dxa"/>
              <w:right w:w="108" w:type="dxa"/>
            </w:tcMar>
            <w:hideMark/>
          </w:tcPr>
          <w:p w14:paraId="7E51E8BF" w14:textId="77777777" w:rsidR="002F0133" w:rsidRPr="000B4E2C" w:rsidRDefault="002F0133" w:rsidP="008A7464">
            <w:r w:rsidRPr="000B4E2C">
              <w:t>0.86 (NR)</w:t>
            </w:r>
          </w:p>
        </w:tc>
      </w:tr>
      <w:tr w:rsidR="005815A7" w:rsidRPr="000B4E2C" w14:paraId="2FB3EE3A" w14:textId="77777777" w:rsidTr="000B4E2C">
        <w:trPr>
          <w:cantSplit/>
        </w:trPr>
        <w:tc>
          <w:tcPr>
            <w:tcW w:w="0" w:type="auto"/>
            <w:shd w:val="clear" w:color="auto" w:fill="auto"/>
            <w:tcMar>
              <w:top w:w="0" w:type="dxa"/>
              <w:left w:w="108" w:type="dxa"/>
              <w:bottom w:w="0" w:type="dxa"/>
              <w:right w:w="108" w:type="dxa"/>
            </w:tcMar>
          </w:tcPr>
          <w:p w14:paraId="4CFD3936" w14:textId="60F3648A" w:rsidR="005815A7" w:rsidRPr="000B4E2C" w:rsidRDefault="005815A7" w:rsidP="005815A7">
            <w:r w:rsidRPr="000B4E2C">
              <w:t>Alcaraz 2014</w:t>
            </w:r>
            <w:r w:rsidR="005B5026" w:rsidRPr="000B4E2C">
              <w:rPr>
                <w:noProof/>
                <w:vertAlign w:val="superscript"/>
              </w:rPr>
              <w:t>91</w:t>
            </w:r>
            <w:r w:rsidRPr="000B4E2C">
              <w:t>, Spain, Child population</w:t>
            </w:r>
          </w:p>
        </w:tc>
        <w:tc>
          <w:tcPr>
            <w:tcW w:w="0" w:type="auto"/>
            <w:shd w:val="clear" w:color="auto" w:fill="auto"/>
          </w:tcPr>
          <w:p w14:paraId="2988AE2D" w14:textId="39FDD6AE" w:rsidR="005815A7" w:rsidRPr="000B4E2C" w:rsidRDefault="005815A7" w:rsidP="005815A7">
            <w:r w:rsidRPr="000B4E2C">
              <w:t xml:space="preserve">Cardiac surgery </w:t>
            </w:r>
          </w:p>
        </w:tc>
        <w:tc>
          <w:tcPr>
            <w:tcW w:w="0" w:type="auto"/>
            <w:shd w:val="clear" w:color="auto" w:fill="auto"/>
          </w:tcPr>
          <w:p w14:paraId="5A21B5D7" w14:textId="77777777" w:rsidR="005815A7" w:rsidRPr="000B4E2C" w:rsidRDefault="005815A7" w:rsidP="005815A7">
            <w:r w:rsidRPr="000B4E2C">
              <w:t>uNGAL, ARCHITECT</w:t>
            </w:r>
          </w:p>
          <w:p w14:paraId="7B8EBADA" w14:textId="77777777" w:rsidR="005815A7" w:rsidRPr="000B4E2C" w:rsidRDefault="005815A7" w:rsidP="005815A7"/>
        </w:tc>
        <w:tc>
          <w:tcPr>
            <w:tcW w:w="0" w:type="auto"/>
            <w:shd w:val="clear" w:color="auto" w:fill="auto"/>
            <w:tcMar>
              <w:top w:w="0" w:type="dxa"/>
              <w:left w:w="108" w:type="dxa"/>
              <w:bottom w:w="0" w:type="dxa"/>
              <w:right w:w="108" w:type="dxa"/>
            </w:tcMar>
          </w:tcPr>
          <w:p w14:paraId="2DA33A7A" w14:textId="56D5D81F" w:rsidR="005815A7" w:rsidRPr="000B4E2C" w:rsidRDefault="005815A7" w:rsidP="005815A7">
            <w:r w:rsidRPr="000B4E2C">
              <w:t>Clinical model 0.85 (0.78</w:t>
            </w:r>
            <w:r w:rsidR="000B4E2C" w:rsidRPr="000B4E2C">
              <w:rPr>
                <w:color w:val="00B0F0"/>
              </w:rPr>
              <w:t>–</w:t>
            </w:r>
            <w:r w:rsidR="000B4E2C" w:rsidRPr="000B4E2C">
              <w:rPr>
                <w:color w:val="00B0F0"/>
              </w:rPr>
              <w:t>0</w:t>
            </w:r>
            <w:r w:rsidRPr="000B4E2C">
              <w:t>.93)</w:t>
            </w:r>
          </w:p>
        </w:tc>
        <w:tc>
          <w:tcPr>
            <w:tcW w:w="0" w:type="auto"/>
            <w:shd w:val="clear" w:color="auto" w:fill="auto"/>
            <w:tcMar>
              <w:top w:w="0" w:type="dxa"/>
              <w:left w:w="108" w:type="dxa"/>
              <w:bottom w:w="0" w:type="dxa"/>
              <w:right w:w="108" w:type="dxa"/>
            </w:tcMar>
          </w:tcPr>
          <w:p w14:paraId="6A0728C5" w14:textId="1ED5D3AB" w:rsidR="005815A7" w:rsidRPr="000B4E2C" w:rsidRDefault="005815A7" w:rsidP="005815A7">
            <w:r w:rsidRPr="000B4E2C">
              <w:t>0.84 (0.76</w:t>
            </w:r>
            <w:r w:rsidR="000B4E2C" w:rsidRPr="000B4E2C">
              <w:rPr>
                <w:color w:val="00B0F0"/>
              </w:rPr>
              <w:t>–</w:t>
            </w:r>
            <w:r w:rsidR="000B4E2C" w:rsidRPr="000B4E2C">
              <w:rPr>
                <w:color w:val="00B0F0"/>
              </w:rPr>
              <w:t>0</w:t>
            </w:r>
            <w:r w:rsidRPr="000B4E2C">
              <w:t>.92)</w:t>
            </w:r>
          </w:p>
        </w:tc>
      </w:tr>
    </w:tbl>
    <w:p w14:paraId="6A3DE6BE" w14:textId="77777777" w:rsidR="000B4E2C" w:rsidRPr="000B4E2C" w:rsidRDefault="00B17949" w:rsidP="00B17949">
      <w:pPr>
        <w:rPr>
          <w:sz w:val="18"/>
          <w:szCs w:val="18"/>
        </w:rPr>
      </w:pPr>
      <w:r w:rsidRPr="000B4E2C">
        <w:rPr>
          <w:sz w:val="18"/>
          <w:szCs w:val="18"/>
        </w:rPr>
        <w:t>Keys: AUC, arean udner the curve; uNGAL, urine NGAL; pNGAL, plasma NGAL</w:t>
      </w:r>
    </w:p>
    <w:p w14:paraId="723B5A03" w14:textId="4B933AA7" w:rsidR="000B4E2C" w:rsidRPr="000B4E2C" w:rsidRDefault="008A52F2" w:rsidP="008A52F2">
      <w:pPr>
        <w:pStyle w:val="Heading2"/>
      </w:pPr>
      <w:r w:rsidRPr="000B4E2C">
        <w:t xml:space="preserve">Role of NephroCheck, ARCHITECT urine NGAL and </w:t>
      </w:r>
      <w:r w:rsidR="009D7F5A" w:rsidRPr="000B4E2C">
        <w:t>BioPorto</w:t>
      </w:r>
      <w:r w:rsidRPr="000B4E2C">
        <w:t xml:space="preserve"> NGAL assays in predicting worsening of AKI in critically ill people with AKI and of mortality and RRT in critically ill patients at risk of AKI</w:t>
      </w:r>
    </w:p>
    <w:p w14:paraId="52DBC1CD" w14:textId="3E68DF97" w:rsidR="000B4E2C" w:rsidRPr="000B4E2C" w:rsidRDefault="000B4E2C" w:rsidP="008A52F2">
      <w:r w:rsidRPr="000B4E2C">
        <w:rPr>
          <w:i/>
          <w:color w:val="FF0000"/>
        </w:rPr>
        <w:t>T</w:t>
      </w:r>
      <w:r w:rsidRPr="000B4E2C">
        <w:rPr>
          <w:i/>
          <w:color w:val="FF0000"/>
        </w:rPr>
        <w:t>able</w:t>
      </w:r>
      <w:r w:rsidRPr="000B4E2C">
        <w:rPr>
          <w:i/>
          <w:color w:val="FF0000"/>
        </w:rPr>
        <w:t xml:space="preserve"> </w:t>
      </w:r>
      <w:r w:rsidRPr="000B4E2C">
        <w:rPr>
          <w:i/>
          <w:color w:val="FF0000"/>
        </w:rPr>
        <w:t>12</w:t>
      </w:r>
      <w:r w:rsidR="00921CD7" w:rsidRPr="000B4E2C">
        <w:t xml:space="preserve"> </w:t>
      </w:r>
      <w:r w:rsidR="008A52F2" w:rsidRPr="000B4E2C">
        <w:t xml:space="preserve">below displays the AUC and the pooled AUC estimates with corresponding 95% CI for NephroCheck, urine ARCHITECT NGAL and urine and plasma </w:t>
      </w:r>
      <w:r w:rsidR="009D7F5A" w:rsidRPr="000B4E2C">
        <w:t>BioPorto</w:t>
      </w:r>
      <w:r w:rsidR="008A52F2" w:rsidRPr="000B4E2C">
        <w:t xml:space="preserve"> NGAL studies for the prediction of worsen</w:t>
      </w:r>
      <w:r w:rsidR="00A43645" w:rsidRPr="000B4E2C">
        <w:t xml:space="preserve">ing of AKI, </w:t>
      </w:r>
      <w:r w:rsidR="008A52F2" w:rsidRPr="000B4E2C">
        <w:t xml:space="preserve">mortality and RRT in each clinical setting for both adults and children. </w:t>
      </w:r>
      <w:r w:rsidR="007852C2" w:rsidRPr="000B4E2C">
        <w:t>Only limited studies were a</w:t>
      </w:r>
      <w:r w:rsidR="000F3B13" w:rsidRPr="000B4E2C">
        <w:t>vailable for AUC meta-analyses</w:t>
      </w:r>
      <w:r w:rsidR="007852C2" w:rsidRPr="000B4E2C">
        <w:t xml:space="preserve">. </w:t>
      </w:r>
      <w:r w:rsidR="008A52F2" w:rsidRPr="000B4E2C">
        <w:t xml:space="preserve">Associated forest plots are presented in Appendix </w:t>
      </w:r>
      <w:r w:rsidR="00C44F99" w:rsidRPr="000B4E2C">
        <w:t>13</w:t>
      </w:r>
      <w:r w:rsidR="00831096" w:rsidRPr="000B4E2C">
        <w:t xml:space="preserve"> (</w:t>
      </w:r>
      <w:r w:rsidRPr="000B4E2C">
        <w:rPr>
          <w:i/>
          <w:color w:val="FF0000"/>
        </w:rPr>
        <w:t>F</w:t>
      </w:r>
      <w:r w:rsidRPr="000B4E2C">
        <w:rPr>
          <w:i/>
          <w:color w:val="FF0000"/>
        </w:rPr>
        <w:t>igures</w:t>
      </w:r>
      <w:r w:rsidRPr="000B4E2C">
        <w:rPr>
          <w:i/>
          <w:color w:val="FF0000"/>
        </w:rPr>
        <w:t xml:space="preserve"> </w:t>
      </w:r>
      <w:r w:rsidRPr="000B4E2C">
        <w:rPr>
          <w:i/>
          <w:color w:val="FF0000"/>
        </w:rPr>
        <w:t>51</w:t>
      </w:r>
      <w:r w:rsidR="00831096" w:rsidRPr="000B4E2C">
        <w:t>)</w:t>
      </w:r>
      <w:r w:rsidR="00D64893" w:rsidRPr="000B4E2C">
        <w:t>.</w:t>
      </w:r>
      <w:r w:rsidR="008A52F2" w:rsidRPr="000B4E2C">
        <w:t xml:space="preserve"> In the critical care setting (adult population) the AUC</w:t>
      </w:r>
      <w:r w:rsidR="00A43645" w:rsidRPr="000B4E2C">
        <w:t xml:space="preserve"> values reported in individual studies ran</w:t>
      </w:r>
      <w:r w:rsidR="00B370F0" w:rsidRPr="000B4E2C">
        <w:t>ged from 0.66 for pN</w:t>
      </w:r>
      <w:r w:rsidR="00531EA9" w:rsidRPr="000B4E2C">
        <w:t xml:space="preserve">GAL </w:t>
      </w:r>
      <w:r w:rsidR="009D7F5A" w:rsidRPr="000B4E2C">
        <w:t>BioPorto</w:t>
      </w:r>
      <w:r w:rsidR="00A43645" w:rsidRPr="000B4E2C">
        <w:t xml:space="preserve"> to 0.71 for uNGAL </w:t>
      </w:r>
      <w:r w:rsidR="009D7F5A" w:rsidRPr="000B4E2C">
        <w:t>BioPorto</w:t>
      </w:r>
      <w:r w:rsidR="007852C2" w:rsidRPr="000B4E2C">
        <w:t xml:space="preserve"> for worsening of AKI</w:t>
      </w:r>
      <w:r w:rsidR="00BE38C1" w:rsidRPr="000B4E2C">
        <w:t>, and</w:t>
      </w:r>
      <w:r w:rsidR="00B370F0" w:rsidRPr="000B4E2C">
        <w:t xml:space="preserve"> from 0.55 for pNGAL </w:t>
      </w:r>
      <w:r w:rsidR="009D7F5A" w:rsidRPr="000B4E2C">
        <w:t>BioPorto</w:t>
      </w:r>
      <w:r w:rsidR="00B370F0" w:rsidRPr="000B4E2C">
        <w:t xml:space="preserve"> for prediction of 90-day mortality to 0.75 for uNGAL ARCHITECT for prediction of 30-day mortaliy</w:t>
      </w:r>
      <w:r w:rsidR="00A43645" w:rsidRPr="000B4E2C">
        <w:t xml:space="preserve">. </w:t>
      </w:r>
      <w:r w:rsidR="00BE38C1" w:rsidRPr="000B4E2C">
        <w:t>O</w:t>
      </w:r>
      <w:r w:rsidR="000F3B13" w:rsidRPr="000B4E2C">
        <w:t xml:space="preserve">ne study reported a AUC of </w:t>
      </w:r>
      <w:r w:rsidR="00BE38C1" w:rsidRPr="000B4E2C">
        <w:lastRenderedPageBreak/>
        <w:t>0.70</w:t>
      </w:r>
      <w:r w:rsidR="000F3B13" w:rsidRPr="000B4E2C">
        <w:t xml:space="preserve"> for pNGAL BioPorot</w:t>
      </w:r>
      <w:r w:rsidR="00BE38C1" w:rsidRPr="000B4E2C">
        <w:t xml:space="preserve"> for prediction of RRT. The AUC summary estimate</w:t>
      </w:r>
      <w:r w:rsidR="008A52F2" w:rsidRPr="000B4E2C">
        <w:t xml:space="preserve"> (pooling of 2 studies) </w:t>
      </w:r>
      <w:r w:rsidR="00BE38C1" w:rsidRPr="000B4E2C">
        <w:t xml:space="preserve">for worseningof AKI in the critical care setting was </w:t>
      </w:r>
      <w:r w:rsidR="00B81B0C" w:rsidRPr="000B4E2C">
        <w:rPr>
          <w:szCs w:val="24"/>
        </w:rPr>
        <w:t xml:space="preserve">0.65 (0.43, 0.82) </w:t>
      </w:r>
      <w:r w:rsidR="000F3B13" w:rsidRPr="000B4E2C">
        <w:rPr>
          <w:szCs w:val="24"/>
        </w:rPr>
        <w:t>for</w:t>
      </w:r>
      <w:r w:rsidR="000F3B13" w:rsidRPr="000B4E2C">
        <w:t xml:space="preserve"> uNGAL ARCHITECT</w:t>
      </w:r>
      <w:r w:rsidR="00BE38C1" w:rsidRPr="000B4E2C">
        <w:t xml:space="preserve">. AUC summary estimates </w:t>
      </w:r>
      <w:r w:rsidR="008A52F2" w:rsidRPr="000B4E2C">
        <w:t xml:space="preserve">ranged from 0.62 for uNGAL </w:t>
      </w:r>
      <w:r w:rsidR="009D7F5A" w:rsidRPr="000B4E2C">
        <w:t>BioPorto</w:t>
      </w:r>
      <w:r w:rsidR="000F3B13" w:rsidRPr="000B4E2C">
        <w:t xml:space="preserve"> for 90-day mortality to 0.68</w:t>
      </w:r>
      <w:r w:rsidR="008A52F2" w:rsidRPr="000B4E2C">
        <w:t xml:space="preserve"> </w:t>
      </w:r>
      <w:r w:rsidR="00B370F0" w:rsidRPr="000B4E2C">
        <w:t xml:space="preserve">for </w:t>
      </w:r>
      <w:r w:rsidR="000F3B13" w:rsidRPr="000B4E2C">
        <w:t>p</w:t>
      </w:r>
      <w:r w:rsidR="00B370F0" w:rsidRPr="000B4E2C">
        <w:t xml:space="preserve">NGAL </w:t>
      </w:r>
      <w:r w:rsidR="009D7F5A" w:rsidRPr="000B4E2C">
        <w:t>BioPorto</w:t>
      </w:r>
      <w:r w:rsidR="00B370F0" w:rsidRPr="000B4E2C">
        <w:t xml:space="preserve"> for </w:t>
      </w:r>
      <w:r w:rsidR="000F3B13" w:rsidRPr="000B4E2C">
        <w:t>in-hospital mortality</w:t>
      </w:r>
      <w:r w:rsidR="00B370F0" w:rsidRPr="000B4E2C">
        <w:t xml:space="preserve"> </w:t>
      </w:r>
      <w:r w:rsidR="008A52F2" w:rsidRPr="000B4E2C">
        <w:t>with 95% CI span</w:t>
      </w:r>
      <w:r w:rsidR="00B370F0" w:rsidRPr="000B4E2C">
        <w:t>n</w:t>
      </w:r>
      <w:r w:rsidR="000F3B13" w:rsidRPr="000B4E2C">
        <w:t>ing from 0.5</w:t>
      </w:r>
      <w:r w:rsidR="008A52F2" w:rsidRPr="000B4E2C">
        <w:t xml:space="preserve">8 </w:t>
      </w:r>
      <w:r w:rsidR="000F3B13" w:rsidRPr="000B4E2C">
        <w:t>to 0.73</w:t>
      </w:r>
      <w:r w:rsidR="008A52F2" w:rsidRPr="000B4E2C">
        <w:t xml:space="preserve">. </w:t>
      </w:r>
      <w:r w:rsidR="000F3B13" w:rsidRPr="000B4E2C">
        <w:t xml:space="preserve">The AUC summary estimate (2 studies) for prediction of RRT in critical care </w:t>
      </w:r>
      <w:r w:rsidR="006C01E1" w:rsidRPr="000B4E2C">
        <w:t xml:space="preserve">for uNGAL </w:t>
      </w:r>
      <w:r w:rsidR="009D7F5A" w:rsidRPr="000B4E2C">
        <w:t>BioPorto</w:t>
      </w:r>
      <w:r w:rsidR="006C01E1" w:rsidRPr="000B4E2C">
        <w:t xml:space="preserve"> </w:t>
      </w:r>
      <w:r w:rsidR="000F3B13" w:rsidRPr="000B4E2C">
        <w:t>was 0.74 (0.49</w:t>
      </w:r>
      <w:r w:rsidRPr="000B4E2C">
        <w:rPr>
          <w:color w:val="00B0F0"/>
        </w:rPr>
        <w:t>–</w:t>
      </w:r>
      <w:r w:rsidRPr="000B4E2C">
        <w:rPr>
          <w:color w:val="00B0F0"/>
        </w:rPr>
        <w:t>0</w:t>
      </w:r>
      <w:r w:rsidR="000F3B13" w:rsidRPr="000B4E2C">
        <w:t xml:space="preserve">.89). </w:t>
      </w:r>
      <w:r w:rsidR="008A52F2" w:rsidRPr="000B4E2C">
        <w:t>In the cardiac surgery setting (adult population)</w:t>
      </w:r>
      <w:r w:rsidR="0004563F" w:rsidRPr="000B4E2C">
        <w:t>,</w:t>
      </w:r>
      <w:r w:rsidR="008A52F2" w:rsidRPr="000B4E2C">
        <w:t xml:space="preserve"> AUC value</w:t>
      </w:r>
      <w:r w:rsidR="006C01E1" w:rsidRPr="000B4E2C">
        <w:t>s from individual studies ranged</w:t>
      </w:r>
      <w:r w:rsidR="008A52F2" w:rsidRPr="000B4E2C">
        <w:t xml:space="preserve"> from 0.68 for uNGAL ARCHITECT </w:t>
      </w:r>
      <w:r w:rsidR="00531EA9" w:rsidRPr="000B4E2C">
        <w:t xml:space="preserve">to 0.78 for NephroCheck for </w:t>
      </w:r>
      <w:r w:rsidR="008A52F2" w:rsidRPr="000B4E2C">
        <w:t>prediction of RRT</w:t>
      </w:r>
      <w:r w:rsidR="00531EA9" w:rsidRPr="000B4E2C">
        <w:t xml:space="preserve"> with 95% CI ranging from 0.57 to 0.84</w:t>
      </w:r>
      <w:r w:rsidR="008A52F2" w:rsidRPr="000B4E2C">
        <w:t>.</w:t>
      </w:r>
    </w:p>
    <w:p w14:paraId="6F2DAC31" w14:textId="65D24830" w:rsidR="002F0133" w:rsidRPr="000B4E2C" w:rsidRDefault="000B4E2C" w:rsidP="008A7464">
      <w:pPr>
        <w:pStyle w:val="Heading2"/>
        <w:rPr>
          <w:i/>
          <w:szCs w:val="24"/>
        </w:rPr>
      </w:pPr>
      <w:r w:rsidRPr="000B4E2C">
        <w:rPr>
          <w:i/>
          <w:color w:val="FF0000"/>
        </w:rPr>
        <w:t>T</w:t>
      </w:r>
      <w:r w:rsidRPr="000B4E2C">
        <w:rPr>
          <w:i/>
          <w:color w:val="FF0000"/>
        </w:rPr>
        <w:t>able</w:t>
      </w:r>
      <w:r w:rsidRPr="000B4E2C">
        <w:rPr>
          <w:i/>
          <w:color w:val="FF0000"/>
        </w:rPr>
        <w:t xml:space="preserve"> </w:t>
      </w:r>
      <w:r w:rsidRPr="000B4E2C">
        <w:rPr>
          <w:i/>
          <w:color w:val="FF0000"/>
        </w:rPr>
        <w:t>12</w:t>
      </w:r>
      <w:r w:rsidRPr="000B4E2C">
        <w:t xml:space="preserve"> </w:t>
      </w:r>
      <w:r w:rsidR="002F0133" w:rsidRPr="000B4E2C">
        <w:t xml:space="preserve">AUC estimates for prediction of </w:t>
      </w:r>
      <w:r w:rsidR="00B81B0C" w:rsidRPr="000B4E2C">
        <w:t xml:space="preserve">worsening of </w:t>
      </w:r>
      <w:r w:rsidR="002F0133" w:rsidRPr="000B4E2C">
        <w:t>AKI, mortality and RRT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726"/>
        <w:gridCol w:w="1417"/>
        <w:gridCol w:w="1013"/>
        <w:gridCol w:w="1200"/>
        <w:gridCol w:w="1670"/>
      </w:tblGrid>
      <w:tr w:rsidR="002F0133" w:rsidRPr="000B4E2C" w14:paraId="77867932" w14:textId="77777777" w:rsidTr="000B4E2C">
        <w:trPr>
          <w:cantSplit/>
        </w:trPr>
        <w:tc>
          <w:tcPr>
            <w:tcW w:w="0" w:type="auto"/>
            <w:shd w:val="clear" w:color="auto" w:fill="auto"/>
          </w:tcPr>
          <w:p w14:paraId="4633C578" w14:textId="77777777" w:rsidR="002F0133" w:rsidRPr="000B4E2C" w:rsidRDefault="002F0133" w:rsidP="008A7464">
            <w:pPr>
              <w:rPr>
                <w:b/>
              </w:rPr>
            </w:pPr>
            <w:r w:rsidRPr="000B4E2C">
              <w:rPr>
                <w:b/>
              </w:rPr>
              <w:t xml:space="preserve">Population, biomarker and setting </w:t>
            </w:r>
          </w:p>
        </w:tc>
        <w:tc>
          <w:tcPr>
            <w:tcW w:w="0" w:type="auto"/>
            <w:shd w:val="clear" w:color="auto" w:fill="auto"/>
          </w:tcPr>
          <w:p w14:paraId="4B2B5533" w14:textId="77777777" w:rsidR="002F0133" w:rsidRPr="000B4E2C" w:rsidRDefault="002F0133" w:rsidP="008A7464">
            <w:pPr>
              <w:jc w:val="center"/>
              <w:rPr>
                <w:b/>
              </w:rPr>
            </w:pPr>
            <w:r w:rsidRPr="000B4E2C">
              <w:rPr>
                <w:b/>
              </w:rPr>
              <w:t>Follow-up</w:t>
            </w:r>
          </w:p>
        </w:tc>
        <w:tc>
          <w:tcPr>
            <w:tcW w:w="0" w:type="auto"/>
            <w:shd w:val="clear" w:color="auto" w:fill="auto"/>
          </w:tcPr>
          <w:p w14:paraId="58705FBD" w14:textId="77777777" w:rsidR="002F0133" w:rsidRPr="000B4E2C" w:rsidRDefault="002F0133" w:rsidP="008A7464">
            <w:pPr>
              <w:jc w:val="center"/>
              <w:rPr>
                <w:b/>
              </w:rPr>
            </w:pPr>
            <w:r w:rsidRPr="000B4E2C">
              <w:rPr>
                <w:b/>
              </w:rPr>
              <w:t>No of studies</w:t>
            </w:r>
          </w:p>
        </w:tc>
        <w:tc>
          <w:tcPr>
            <w:tcW w:w="0" w:type="auto"/>
            <w:shd w:val="clear" w:color="auto" w:fill="auto"/>
          </w:tcPr>
          <w:p w14:paraId="6A15CA2C" w14:textId="77777777" w:rsidR="002F0133" w:rsidRPr="000B4E2C" w:rsidRDefault="002F0133" w:rsidP="008A7464">
            <w:pPr>
              <w:jc w:val="center"/>
              <w:rPr>
                <w:b/>
              </w:rPr>
            </w:pPr>
            <w:r w:rsidRPr="000B4E2C">
              <w:rPr>
                <w:b/>
              </w:rPr>
              <w:t>AUC estimate</w:t>
            </w:r>
          </w:p>
          <w:p w14:paraId="60F9E521" w14:textId="77777777" w:rsidR="002F0133" w:rsidRPr="000B4E2C" w:rsidRDefault="002F0133" w:rsidP="008A7464">
            <w:pPr>
              <w:jc w:val="center"/>
              <w:rPr>
                <w:b/>
              </w:rPr>
            </w:pPr>
            <w:r w:rsidRPr="000B4E2C">
              <w:rPr>
                <w:b/>
              </w:rPr>
              <w:t>(95% CI)</w:t>
            </w:r>
          </w:p>
        </w:tc>
        <w:tc>
          <w:tcPr>
            <w:tcW w:w="0" w:type="auto"/>
            <w:shd w:val="clear" w:color="auto" w:fill="auto"/>
          </w:tcPr>
          <w:p w14:paraId="6DD81973" w14:textId="77777777" w:rsidR="002F0133" w:rsidRPr="000B4E2C" w:rsidRDefault="002F0133" w:rsidP="008A7464">
            <w:pPr>
              <w:jc w:val="center"/>
              <w:rPr>
                <w:b/>
              </w:rPr>
            </w:pPr>
            <w:r w:rsidRPr="000B4E2C">
              <w:rPr>
                <w:b/>
              </w:rPr>
              <w:t>AUC summary estimate</w:t>
            </w:r>
          </w:p>
          <w:p w14:paraId="1655314A" w14:textId="77777777" w:rsidR="002F0133" w:rsidRPr="000B4E2C" w:rsidRDefault="002F0133" w:rsidP="008A7464">
            <w:pPr>
              <w:jc w:val="center"/>
              <w:rPr>
                <w:b/>
              </w:rPr>
            </w:pPr>
            <w:r w:rsidRPr="000B4E2C">
              <w:rPr>
                <w:b/>
              </w:rPr>
              <w:t>(95% CI)</w:t>
            </w:r>
          </w:p>
          <w:p w14:paraId="5D50958F" w14:textId="77777777" w:rsidR="002F0133" w:rsidRPr="000B4E2C" w:rsidRDefault="002F0133" w:rsidP="008A7464">
            <w:pPr>
              <w:jc w:val="center"/>
              <w:rPr>
                <w:b/>
              </w:rPr>
            </w:pPr>
          </w:p>
        </w:tc>
      </w:tr>
      <w:tr w:rsidR="002F0133" w:rsidRPr="000B4E2C" w14:paraId="60AC8B9B" w14:textId="77777777" w:rsidTr="000B4E2C">
        <w:trPr>
          <w:cantSplit/>
        </w:trPr>
        <w:tc>
          <w:tcPr>
            <w:tcW w:w="0" w:type="auto"/>
            <w:gridSpan w:val="5"/>
            <w:shd w:val="clear" w:color="auto" w:fill="auto"/>
          </w:tcPr>
          <w:p w14:paraId="7CE462BB" w14:textId="77777777" w:rsidR="002F0133" w:rsidRPr="000B4E2C" w:rsidRDefault="002F0133" w:rsidP="008A7464">
            <w:pPr>
              <w:jc w:val="center"/>
              <w:rPr>
                <w:b/>
              </w:rPr>
            </w:pPr>
            <w:r w:rsidRPr="000B4E2C">
              <w:rPr>
                <w:b/>
              </w:rPr>
              <w:t>AKI</w:t>
            </w:r>
          </w:p>
        </w:tc>
      </w:tr>
      <w:tr w:rsidR="002F0133" w:rsidRPr="000B4E2C" w14:paraId="012AB441" w14:textId="77777777" w:rsidTr="000B4E2C">
        <w:trPr>
          <w:cantSplit/>
        </w:trPr>
        <w:tc>
          <w:tcPr>
            <w:tcW w:w="0" w:type="auto"/>
            <w:shd w:val="clear" w:color="auto" w:fill="auto"/>
          </w:tcPr>
          <w:p w14:paraId="567493E5" w14:textId="77777777" w:rsidR="002F0133" w:rsidRPr="000B4E2C" w:rsidRDefault="002F0133" w:rsidP="008A7464">
            <w:r w:rsidRPr="000B4E2C">
              <w:t>Adults uNGAL ARCHITECT (Abbott) Critical care</w:t>
            </w:r>
          </w:p>
        </w:tc>
        <w:tc>
          <w:tcPr>
            <w:tcW w:w="0" w:type="auto"/>
            <w:shd w:val="clear" w:color="auto" w:fill="auto"/>
          </w:tcPr>
          <w:p w14:paraId="515AA92F" w14:textId="7665F146" w:rsidR="002F0133" w:rsidRPr="000B4E2C" w:rsidRDefault="00B81B0C" w:rsidP="008A7464">
            <w:pPr>
              <w:jc w:val="center"/>
            </w:pPr>
            <w:r w:rsidRPr="000B4E2C">
              <w:t xml:space="preserve">During </w:t>
            </w:r>
            <w:r w:rsidR="00C22335" w:rsidRPr="000B4E2C">
              <w:t>hospital stay</w:t>
            </w:r>
          </w:p>
        </w:tc>
        <w:tc>
          <w:tcPr>
            <w:tcW w:w="0" w:type="auto"/>
            <w:shd w:val="clear" w:color="auto" w:fill="auto"/>
          </w:tcPr>
          <w:p w14:paraId="1E19469E" w14:textId="77777777" w:rsidR="002F0133" w:rsidRPr="000B4E2C" w:rsidRDefault="002F0133" w:rsidP="008A7464">
            <w:pPr>
              <w:jc w:val="center"/>
            </w:pPr>
            <w:r w:rsidRPr="000B4E2C">
              <w:t>1</w:t>
            </w:r>
          </w:p>
        </w:tc>
        <w:tc>
          <w:tcPr>
            <w:tcW w:w="0" w:type="auto"/>
            <w:shd w:val="clear" w:color="auto" w:fill="auto"/>
          </w:tcPr>
          <w:p w14:paraId="4AB6ED5F" w14:textId="30991CA1" w:rsidR="002F0133" w:rsidRPr="000B4E2C" w:rsidRDefault="00461B4D" w:rsidP="008A7464">
            <w:pPr>
              <w:jc w:val="center"/>
            </w:pPr>
            <w:r w:rsidRPr="000B4E2C">
              <w:t>-</w:t>
            </w:r>
          </w:p>
        </w:tc>
        <w:tc>
          <w:tcPr>
            <w:tcW w:w="0" w:type="auto"/>
            <w:shd w:val="clear" w:color="auto" w:fill="auto"/>
          </w:tcPr>
          <w:p w14:paraId="66BD2469" w14:textId="111C9C76" w:rsidR="002F0133" w:rsidRPr="000B4E2C" w:rsidRDefault="00B81B0C" w:rsidP="008A7464">
            <w:pPr>
              <w:jc w:val="center"/>
            </w:pPr>
            <w:r w:rsidRPr="000B4E2C">
              <w:t>0.65 (0.43, 0.82)</w:t>
            </w:r>
          </w:p>
        </w:tc>
      </w:tr>
      <w:tr w:rsidR="002F0133" w:rsidRPr="000B4E2C" w14:paraId="56DA2195" w14:textId="77777777" w:rsidTr="000B4E2C">
        <w:trPr>
          <w:cantSplit/>
        </w:trPr>
        <w:tc>
          <w:tcPr>
            <w:tcW w:w="0" w:type="auto"/>
            <w:shd w:val="clear" w:color="auto" w:fill="auto"/>
          </w:tcPr>
          <w:p w14:paraId="5E51C880" w14:textId="7B7FD502" w:rsidR="002F0133" w:rsidRPr="000B4E2C" w:rsidRDefault="002F0133" w:rsidP="008A7464">
            <w:r w:rsidRPr="000B4E2C">
              <w:t xml:space="preserve">Adults uNGAL </w:t>
            </w:r>
            <w:r w:rsidR="009D7F5A" w:rsidRPr="000B4E2C">
              <w:t>BioPorto</w:t>
            </w:r>
          </w:p>
          <w:p w14:paraId="0285BAC2" w14:textId="77777777" w:rsidR="002F0133" w:rsidRPr="000B4E2C" w:rsidRDefault="002F0133" w:rsidP="008A7464">
            <w:r w:rsidRPr="000B4E2C">
              <w:t>Critical care</w:t>
            </w:r>
          </w:p>
        </w:tc>
        <w:tc>
          <w:tcPr>
            <w:tcW w:w="0" w:type="auto"/>
            <w:shd w:val="clear" w:color="auto" w:fill="auto"/>
          </w:tcPr>
          <w:p w14:paraId="5F5A64C3" w14:textId="1BA32328" w:rsidR="002F0133" w:rsidRPr="000B4E2C" w:rsidRDefault="00B81B0C" w:rsidP="008A7464">
            <w:pPr>
              <w:jc w:val="center"/>
            </w:pPr>
            <w:r w:rsidRPr="000B4E2C">
              <w:t>During ICU stay</w:t>
            </w:r>
          </w:p>
        </w:tc>
        <w:tc>
          <w:tcPr>
            <w:tcW w:w="0" w:type="auto"/>
            <w:shd w:val="clear" w:color="auto" w:fill="auto"/>
          </w:tcPr>
          <w:p w14:paraId="29D88734" w14:textId="77777777" w:rsidR="002F0133" w:rsidRPr="000B4E2C" w:rsidRDefault="002F0133" w:rsidP="008A7464">
            <w:pPr>
              <w:jc w:val="center"/>
            </w:pPr>
            <w:r w:rsidRPr="000B4E2C">
              <w:t>1</w:t>
            </w:r>
          </w:p>
        </w:tc>
        <w:tc>
          <w:tcPr>
            <w:tcW w:w="0" w:type="auto"/>
            <w:shd w:val="clear" w:color="auto" w:fill="auto"/>
          </w:tcPr>
          <w:p w14:paraId="72C791C1" w14:textId="77777777" w:rsidR="002F0133" w:rsidRPr="000B4E2C" w:rsidRDefault="002F0133" w:rsidP="008A7464">
            <w:pPr>
              <w:jc w:val="center"/>
            </w:pPr>
            <w:r w:rsidRPr="000B4E2C">
              <w:t>0.71 (0.59, 0.82)</w:t>
            </w:r>
          </w:p>
        </w:tc>
        <w:tc>
          <w:tcPr>
            <w:tcW w:w="0" w:type="auto"/>
            <w:shd w:val="clear" w:color="auto" w:fill="auto"/>
          </w:tcPr>
          <w:p w14:paraId="6D2F9E55" w14:textId="2E71B29E" w:rsidR="002F0133" w:rsidRPr="000B4E2C" w:rsidRDefault="00461B4D" w:rsidP="008A7464">
            <w:pPr>
              <w:jc w:val="center"/>
            </w:pPr>
            <w:r w:rsidRPr="000B4E2C">
              <w:t>-</w:t>
            </w:r>
          </w:p>
        </w:tc>
      </w:tr>
      <w:tr w:rsidR="002F0133" w:rsidRPr="000B4E2C" w14:paraId="5003C6D3" w14:textId="77777777" w:rsidTr="000B4E2C">
        <w:trPr>
          <w:cantSplit/>
        </w:trPr>
        <w:tc>
          <w:tcPr>
            <w:tcW w:w="0" w:type="auto"/>
            <w:shd w:val="clear" w:color="auto" w:fill="auto"/>
          </w:tcPr>
          <w:p w14:paraId="094730F7" w14:textId="2879B167" w:rsidR="002F0133" w:rsidRPr="000B4E2C" w:rsidRDefault="002F0133" w:rsidP="008A7464">
            <w:r w:rsidRPr="000B4E2C">
              <w:t xml:space="preserve">Adults pNGAL </w:t>
            </w:r>
            <w:r w:rsidR="009D7F5A" w:rsidRPr="000B4E2C">
              <w:t>BioPorto</w:t>
            </w:r>
          </w:p>
          <w:p w14:paraId="0B2E336C" w14:textId="77777777" w:rsidR="002F0133" w:rsidRPr="000B4E2C" w:rsidRDefault="002F0133" w:rsidP="008A7464">
            <w:r w:rsidRPr="000B4E2C">
              <w:t>Critical care</w:t>
            </w:r>
          </w:p>
        </w:tc>
        <w:tc>
          <w:tcPr>
            <w:tcW w:w="0" w:type="auto"/>
            <w:shd w:val="clear" w:color="auto" w:fill="auto"/>
          </w:tcPr>
          <w:p w14:paraId="067778D9" w14:textId="0A1657A1" w:rsidR="002F0133" w:rsidRPr="000B4E2C" w:rsidRDefault="00B81B0C" w:rsidP="008A7464">
            <w:pPr>
              <w:jc w:val="center"/>
            </w:pPr>
            <w:r w:rsidRPr="000B4E2C">
              <w:t>During ICU stay</w:t>
            </w:r>
          </w:p>
        </w:tc>
        <w:tc>
          <w:tcPr>
            <w:tcW w:w="0" w:type="auto"/>
            <w:shd w:val="clear" w:color="auto" w:fill="auto"/>
          </w:tcPr>
          <w:p w14:paraId="3063E2AB" w14:textId="77777777" w:rsidR="002F0133" w:rsidRPr="000B4E2C" w:rsidRDefault="002F0133" w:rsidP="008A7464">
            <w:pPr>
              <w:jc w:val="center"/>
            </w:pPr>
            <w:r w:rsidRPr="000B4E2C">
              <w:t>1</w:t>
            </w:r>
          </w:p>
        </w:tc>
        <w:tc>
          <w:tcPr>
            <w:tcW w:w="0" w:type="auto"/>
            <w:shd w:val="clear" w:color="auto" w:fill="auto"/>
          </w:tcPr>
          <w:p w14:paraId="02FB78B1" w14:textId="77777777" w:rsidR="002F0133" w:rsidRPr="000B4E2C" w:rsidRDefault="002F0133" w:rsidP="008A7464">
            <w:pPr>
              <w:jc w:val="center"/>
            </w:pPr>
            <w:r w:rsidRPr="000B4E2C">
              <w:t>0.66 (0.54, 0.77)</w:t>
            </w:r>
          </w:p>
        </w:tc>
        <w:tc>
          <w:tcPr>
            <w:tcW w:w="0" w:type="auto"/>
            <w:shd w:val="clear" w:color="auto" w:fill="auto"/>
          </w:tcPr>
          <w:p w14:paraId="0451C51E" w14:textId="6A509EEB" w:rsidR="002F0133" w:rsidRPr="000B4E2C" w:rsidRDefault="00461B4D" w:rsidP="008A7464">
            <w:pPr>
              <w:jc w:val="center"/>
            </w:pPr>
            <w:r w:rsidRPr="000B4E2C">
              <w:t>-</w:t>
            </w:r>
          </w:p>
        </w:tc>
      </w:tr>
      <w:tr w:rsidR="002F0133" w:rsidRPr="000B4E2C" w14:paraId="68BFF681" w14:textId="77777777" w:rsidTr="000B4E2C">
        <w:trPr>
          <w:cantSplit/>
        </w:trPr>
        <w:tc>
          <w:tcPr>
            <w:tcW w:w="0" w:type="auto"/>
            <w:gridSpan w:val="5"/>
            <w:shd w:val="clear" w:color="auto" w:fill="auto"/>
          </w:tcPr>
          <w:p w14:paraId="3BEF5C98" w14:textId="77777777" w:rsidR="002F0133" w:rsidRPr="000B4E2C" w:rsidRDefault="002F0133" w:rsidP="008A7464">
            <w:pPr>
              <w:jc w:val="center"/>
              <w:rPr>
                <w:b/>
              </w:rPr>
            </w:pPr>
            <w:r w:rsidRPr="000B4E2C">
              <w:rPr>
                <w:b/>
              </w:rPr>
              <w:t>Mortality</w:t>
            </w:r>
          </w:p>
        </w:tc>
      </w:tr>
      <w:tr w:rsidR="002F0133" w:rsidRPr="000B4E2C" w14:paraId="7695A738" w14:textId="77777777" w:rsidTr="000B4E2C">
        <w:trPr>
          <w:cantSplit/>
        </w:trPr>
        <w:tc>
          <w:tcPr>
            <w:tcW w:w="0" w:type="auto"/>
            <w:shd w:val="clear" w:color="auto" w:fill="auto"/>
          </w:tcPr>
          <w:p w14:paraId="2760910D" w14:textId="77777777" w:rsidR="002F0133" w:rsidRPr="000B4E2C" w:rsidRDefault="002F0133" w:rsidP="008A7464">
            <w:r w:rsidRPr="000B4E2C">
              <w:t>Adults uNGAL ARCHITECT (Abbott) cardiac surgery</w:t>
            </w:r>
          </w:p>
        </w:tc>
        <w:tc>
          <w:tcPr>
            <w:tcW w:w="0" w:type="auto"/>
            <w:shd w:val="clear" w:color="auto" w:fill="auto"/>
          </w:tcPr>
          <w:p w14:paraId="57126038" w14:textId="77777777" w:rsidR="002F0133" w:rsidRPr="000B4E2C" w:rsidRDefault="002F0133" w:rsidP="008A7464">
            <w:pPr>
              <w:jc w:val="center"/>
            </w:pPr>
            <w:r w:rsidRPr="000B4E2C">
              <w:t>During hospital stay</w:t>
            </w:r>
          </w:p>
          <w:p w14:paraId="3EA95F90" w14:textId="3A72878B" w:rsidR="00B81B0C" w:rsidRPr="000B4E2C" w:rsidRDefault="00B81B0C" w:rsidP="00B81B0C">
            <w:pPr>
              <w:jc w:val="center"/>
            </w:pPr>
            <w:r w:rsidRPr="000B4E2C">
              <w:t>11/288 died</w:t>
            </w:r>
          </w:p>
        </w:tc>
        <w:tc>
          <w:tcPr>
            <w:tcW w:w="0" w:type="auto"/>
            <w:shd w:val="clear" w:color="auto" w:fill="auto"/>
          </w:tcPr>
          <w:p w14:paraId="02C3E7DD" w14:textId="77777777" w:rsidR="002F0133" w:rsidRPr="000B4E2C" w:rsidRDefault="002F0133" w:rsidP="008A7464">
            <w:pPr>
              <w:jc w:val="center"/>
            </w:pPr>
            <w:r w:rsidRPr="000B4E2C">
              <w:t>1</w:t>
            </w:r>
          </w:p>
        </w:tc>
        <w:tc>
          <w:tcPr>
            <w:tcW w:w="0" w:type="auto"/>
            <w:shd w:val="clear" w:color="auto" w:fill="auto"/>
          </w:tcPr>
          <w:p w14:paraId="30A2C6E1" w14:textId="77777777" w:rsidR="002F0133" w:rsidRPr="000B4E2C" w:rsidRDefault="002F0133" w:rsidP="008A7464">
            <w:pPr>
              <w:jc w:val="center"/>
            </w:pPr>
            <w:r w:rsidRPr="000B4E2C">
              <w:t>0.70 (0.56, 0.84)</w:t>
            </w:r>
          </w:p>
        </w:tc>
        <w:tc>
          <w:tcPr>
            <w:tcW w:w="0" w:type="auto"/>
            <w:shd w:val="clear" w:color="auto" w:fill="auto"/>
          </w:tcPr>
          <w:p w14:paraId="6FB4650D" w14:textId="77777777" w:rsidR="002F0133" w:rsidRPr="000B4E2C" w:rsidRDefault="002F0133" w:rsidP="008A7464">
            <w:pPr>
              <w:jc w:val="center"/>
            </w:pPr>
            <w:r w:rsidRPr="000B4E2C">
              <w:t>-</w:t>
            </w:r>
          </w:p>
        </w:tc>
      </w:tr>
      <w:tr w:rsidR="002F0133" w:rsidRPr="000B4E2C" w14:paraId="5259BB76" w14:textId="77777777" w:rsidTr="000B4E2C">
        <w:trPr>
          <w:cantSplit/>
        </w:trPr>
        <w:tc>
          <w:tcPr>
            <w:tcW w:w="0" w:type="auto"/>
            <w:shd w:val="clear" w:color="auto" w:fill="auto"/>
          </w:tcPr>
          <w:p w14:paraId="663D0727" w14:textId="77777777" w:rsidR="002F0133" w:rsidRPr="000B4E2C" w:rsidRDefault="002F0133" w:rsidP="008A7464">
            <w:r w:rsidRPr="000B4E2C">
              <w:t>Adults uNGAL ARCHITECT (Abbott) major non-cardiac surgery</w:t>
            </w:r>
          </w:p>
        </w:tc>
        <w:tc>
          <w:tcPr>
            <w:tcW w:w="0" w:type="auto"/>
            <w:shd w:val="clear" w:color="auto" w:fill="auto"/>
          </w:tcPr>
          <w:p w14:paraId="38267B39" w14:textId="77777777" w:rsidR="002F0133" w:rsidRPr="000B4E2C" w:rsidRDefault="002F0133" w:rsidP="008A7464">
            <w:pPr>
              <w:jc w:val="center"/>
            </w:pPr>
            <w:r w:rsidRPr="000B4E2C">
              <w:t>30 days</w:t>
            </w:r>
          </w:p>
          <w:p w14:paraId="4E484E17" w14:textId="1CE59EFB" w:rsidR="00B81B0C" w:rsidRPr="000B4E2C" w:rsidRDefault="00B81B0C" w:rsidP="008A7464">
            <w:pPr>
              <w:jc w:val="center"/>
            </w:pPr>
            <w:r w:rsidRPr="000B4E2C">
              <w:t>10/109 died</w:t>
            </w:r>
          </w:p>
        </w:tc>
        <w:tc>
          <w:tcPr>
            <w:tcW w:w="0" w:type="auto"/>
            <w:shd w:val="clear" w:color="auto" w:fill="auto"/>
          </w:tcPr>
          <w:p w14:paraId="46E8A9E9" w14:textId="77777777" w:rsidR="002F0133" w:rsidRPr="000B4E2C" w:rsidRDefault="002F0133" w:rsidP="008A7464">
            <w:pPr>
              <w:jc w:val="center"/>
            </w:pPr>
            <w:r w:rsidRPr="000B4E2C">
              <w:t>1</w:t>
            </w:r>
          </w:p>
        </w:tc>
        <w:tc>
          <w:tcPr>
            <w:tcW w:w="0" w:type="auto"/>
            <w:shd w:val="clear" w:color="auto" w:fill="auto"/>
          </w:tcPr>
          <w:p w14:paraId="66CB3C83" w14:textId="77777777" w:rsidR="002F0133" w:rsidRPr="000B4E2C" w:rsidRDefault="002F0133" w:rsidP="008A7464">
            <w:pPr>
              <w:jc w:val="center"/>
            </w:pPr>
            <w:r w:rsidRPr="000B4E2C">
              <w:t>0.65 (0.45, 0.85)</w:t>
            </w:r>
          </w:p>
        </w:tc>
        <w:tc>
          <w:tcPr>
            <w:tcW w:w="0" w:type="auto"/>
            <w:shd w:val="clear" w:color="auto" w:fill="auto"/>
          </w:tcPr>
          <w:p w14:paraId="1DDD6ADF" w14:textId="77777777" w:rsidR="002F0133" w:rsidRPr="000B4E2C" w:rsidRDefault="002F0133" w:rsidP="008A7464">
            <w:pPr>
              <w:jc w:val="center"/>
            </w:pPr>
            <w:r w:rsidRPr="000B4E2C">
              <w:t>-</w:t>
            </w:r>
          </w:p>
        </w:tc>
      </w:tr>
      <w:tr w:rsidR="002F0133" w:rsidRPr="000B4E2C" w14:paraId="1B187C0F" w14:textId="77777777" w:rsidTr="000B4E2C">
        <w:trPr>
          <w:cantSplit/>
        </w:trPr>
        <w:tc>
          <w:tcPr>
            <w:tcW w:w="0" w:type="auto"/>
            <w:shd w:val="clear" w:color="auto" w:fill="auto"/>
          </w:tcPr>
          <w:p w14:paraId="57797E86" w14:textId="77777777" w:rsidR="002F0133" w:rsidRPr="000B4E2C" w:rsidRDefault="002F0133" w:rsidP="008A7464">
            <w:pPr>
              <w:rPr>
                <w:b/>
              </w:rPr>
            </w:pPr>
            <w:r w:rsidRPr="000B4E2C">
              <w:t>Adults uNGAL ARCHITECT (Abbott) critical care</w:t>
            </w:r>
          </w:p>
        </w:tc>
        <w:tc>
          <w:tcPr>
            <w:tcW w:w="0" w:type="auto"/>
            <w:shd w:val="clear" w:color="auto" w:fill="auto"/>
          </w:tcPr>
          <w:p w14:paraId="5EDD782A" w14:textId="77777777" w:rsidR="002F0133" w:rsidRPr="000B4E2C" w:rsidRDefault="002F0133" w:rsidP="008A7464">
            <w:pPr>
              <w:jc w:val="center"/>
            </w:pPr>
            <w:r w:rsidRPr="000B4E2C">
              <w:t>30 days</w:t>
            </w:r>
          </w:p>
          <w:p w14:paraId="6AF7C0A8" w14:textId="547666C0" w:rsidR="00B81B0C" w:rsidRPr="000B4E2C" w:rsidRDefault="00B81B0C" w:rsidP="008A7464">
            <w:pPr>
              <w:jc w:val="center"/>
            </w:pPr>
            <w:r w:rsidRPr="000B4E2C">
              <w:t>17/121 died</w:t>
            </w:r>
          </w:p>
        </w:tc>
        <w:tc>
          <w:tcPr>
            <w:tcW w:w="0" w:type="auto"/>
            <w:shd w:val="clear" w:color="auto" w:fill="auto"/>
          </w:tcPr>
          <w:p w14:paraId="3DA6CF0A" w14:textId="77777777" w:rsidR="002F0133" w:rsidRPr="000B4E2C" w:rsidRDefault="002F0133" w:rsidP="008A7464">
            <w:pPr>
              <w:jc w:val="center"/>
            </w:pPr>
            <w:r w:rsidRPr="000B4E2C">
              <w:t>1</w:t>
            </w:r>
          </w:p>
        </w:tc>
        <w:tc>
          <w:tcPr>
            <w:tcW w:w="0" w:type="auto"/>
            <w:shd w:val="clear" w:color="auto" w:fill="auto"/>
          </w:tcPr>
          <w:p w14:paraId="43617C96" w14:textId="77777777" w:rsidR="002F0133" w:rsidRPr="000B4E2C" w:rsidRDefault="002F0133" w:rsidP="008A7464">
            <w:pPr>
              <w:jc w:val="center"/>
            </w:pPr>
            <w:r w:rsidRPr="000B4E2C">
              <w:t>0.75 (0.66, 0.85)</w:t>
            </w:r>
          </w:p>
        </w:tc>
        <w:tc>
          <w:tcPr>
            <w:tcW w:w="0" w:type="auto"/>
            <w:shd w:val="clear" w:color="auto" w:fill="auto"/>
          </w:tcPr>
          <w:p w14:paraId="0DF56B0D" w14:textId="77777777" w:rsidR="002F0133" w:rsidRPr="000B4E2C" w:rsidRDefault="002F0133" w:rsidP="008A7464">
            <w:pPr>
              <w:jc w:val="center"/>
            </w:pPr>
            <w:r w:rsidRPr="000B4E2C">
              <w:t>-</w:t>
            </w:r>
          </w:p>
        </w:tc>
      </w:tr>
      <w:tr w:rsidR="002F0133" w:rsidRPr="000B4E2C" w14:paraId="6D0CE761" w14:textId="77777777" w:rsidTr="000B4E2C">
        <w:trPr>
          <w:cantSplit/>
        </w:trPr>
        <w:tc>
          <w:tcPr>
            <w:tcW w:w="0" w:type="auto"/>
            <w:shd w:val="clear" w:color="auto" w:fill="auto"/>
          </w:tcPr>
          <w:p w14:paraId="155C16FB" w14:textId="53108ECE" w:rsidR="002F0133" w:rsidRPr="000B4E2C" w:rsidRDefault="002F0133" w:rsidP="008A7464">
            <w:r w:rsidRPr="000B4E2C">
              <w:t>Adults uNGAL (</w:t>
            </w:r>
            <w:r w:rsidR="009D7F5A" w:rsidRPr="000B4E2C">
              <w:t>BioPorto</w:t>
            </w:r>
            <w:r w:rsidRPr="000B4E2C">
              <w:t>) critical care</w:t>
            </w:r>
          </w:p>
        </w:tc>
        <w:tc>
          <w:tcPr>
            <w:tcW w:w="0" w:type="auto"/>
            <w:shd w:val="clear" w:color="auto" w:fill="auto"/>
          </w:tcPr>
          <w:p w14:paraId="08EA5242" w14:textId="77777777" w:rsidR="002F0133" w:rsidRPr="000B4E2C" w:rsidRDefault="002F0133" w:rsidP="008A7464">
            <w:pPr>
              <w:jc w:val="center"/>
            </w:pPr>
            <w:r w:rsidRPr="000B4E2C">
              <w:t>90 days</w:t>
            </w:r>
          </w:p>
        </w:tc>
        <w:tc>
          <w:tcPr>
            <w:tcW w:w="0" w:type="auto"/>
            <w:shd w:val="clear" w:color="auto" w:fill="auto"/>
          </w:tcPr>
          <w:p w14:paraId="206274DC" w14:textId="77777777" w:rsidR="002F0133" w:rsidRPr="000B4E2C" w:rsidRDefault="002F0133" w:rsidP="008A7464">
            <w:pPr>
              <w:jc w:val="center"/>
            </w:pPr>
            <w:r w:rsidRPr="000B4E2C">
              <w:t>2</w:t>
            </w:r>
          </w:p>
        </w:tc>
        <w:tc>
          <w:tcPr>
            <w:tcW w:w="0" w:type="auto"/>
            <w:shd w:val="clear" w:color="auto" w:fill="auto"/>
          </w:tcPr>
          <w:p w14:paraId="7C29EF50" w14:textId="77777777" w:rsidR="002F0133" w:rsidRPr="000B4E2C" w:rsidRDefault="002F0133" w:rsidP="008A7464">
            <w:pPr>
              <w:jc w:val="center"/>
            </w:pPr>
            <w:r w:rsidRPr="000B4E2C">
              <w:t>-</w:t>
            </w:r>
          </w:p>
        </w:tc>
        <w:tc>
          <w:tcPr>
            <w:tcW w:w="0" w:type="auto"/>
            <w:shd w:val="clear" w:color="auto" w:fill="auto"/>
          </w:tcPr>
          <w:p w14:paraId="6FCED6A2" w14:textId="77777777" w:rsidR="002F0133" w:rsidRPr="000B4E2C" w:rsidRDefault="002F0133" w:rsidP="008A7464">
            <w:pPr>
              <w:jc w:val="center"/>
            </w:pPr>
            <w:r w:rsidRPr="000B4E2C">
              <w:t>0.62 (0.58, 0.66)</w:t>
            </w:r>
          </w:p>
        </w:tc>
      </w:tr>
      <w:tr w:rsidR="002F0133" w:rsidRPr="000B4E2C" w14:paraId="1967C3BA" w14:textId="77777777" w:rsidTr="000B4E2C">
        <w:trPr>
          <w:cantSplit/>
        </w:trPr>
        <w:tc>
          <w:tcPr>
            <w:tcW w:w="0" w:type="auto"/>
            <w:shd w:val="clear" w:color="auto" w:fill="auto"/>
          </w:tcPr>
          <w:p w14:paraId="23156F0C" w14:textId="5D52F04F" w:rsidR="002F0133" w:rsidRPr="000B4E2C" w:rsidRDefault="002F0133" w:rsidP="008A7464">
            <w:pPr>
              <w:rPr>
                <w:b/>
              </w:rPr>
            </w:pPr>
            <w:r w:rsidRPr="000B4E2C">
              <w:t>Adults pNGAL (</w:t>
            </w:r>
            <w:r w:rsidR="009D7F5A" w:rsidRPr="000B4E2C">
              <w:t>BioPorto</w:t>
            </w:r>
            <w:r w:rsidRPr="000B4E2C">
              <w:t>) critical care</w:t>
            </w:r>
          </w:p>
        </w:tc>
        <w:tc>
          <w:tcPr>
            <w:tcW w:w="0" w:type="auto"/>
            <w:shd w:val="clear" w:color="auto" w:fill="auto"/>
          </w:tcPr>
          <w:p w14:paraId="0851EE1D" w14:textId="77777777" w:rsidR="002F0133" w:rsidRPr="000B4E2C" w:rsidRDefault="002F0133" w:rsidP="008A7464">
            <w:pPr>
              <w:jc w:val="center"/>
            </w:pPr>
            <w:r w:rsidRPr="000B4E2C">
              <w:t>In hospital</w:t>
            </w:r>
          </w:p>
        </w:tc>
        <w:tc>
          <w:tcPr>
            <w:tcW w:w="0" w:type="auto"/>
            <w:shd w:val="clear" w:color="auto" w:fill="auto"/>
          </w:tcPr>
          <w:p w14:paraId="4A287E57" w14:textId="77777777" w:rsidR="002F0133" w:rsidRPr="000B4E2C" w:rsidRDefault="002F0133" w:rsidP="008A7464">
            <w:pPr>
              <w:jc w:val="center"/>
            </w:pPr>
            <w:r w:rsidRPr="000B4E2C">
              <w:t>2</w:t>
            </w:r>
          </w:p>
        </w:tc>
        <w:tc>
          <w:tcPr>
            <w:tcW w:w="0" w:type="auto"/>
            <w:shd w:val="clear" w:color="auto" w:fill="auto"/>
          </w:tcPr>
          <w:p w14:paraId="0E83A51A" w14:textId="77777777" w:rsidR="002F0133" w:rsidRPr="000B4E2C" w:rsidRDefault="002F0133" w:rsidP="008A7464">
            <w:pPr>
              <w:jc w:val="center"/>
            </w:pPr>
            <w:r w:rsidRPr="000B4E2C">
              <w:t>-</w:t>
            </w:r>
          </w:p>
        </w:tc>
        <w:tc>
          <w:tcPr>
            <w:tcW w:w="0" w:type="auto"/>
            <w:shd w:val="clear" w:color="auto" w:fill="auto"/>
          </w:tcPr>
          <w:p w14:paraId="6B619396" w14:textId="77777777" w:rsidR="002F0133" w:rsidRPr="000B4E2C" w:rsidRDefault="002F0133" w:rsidP="008A7464">
            <w:pPr>
              <w:jc w:val="center"/>
            </w:pPr>
            <w:r w:rsidRPr="000B4E2C">
              <w:t>0.68 (0.63, 0.73)</w:t>
            </w:r>
          </w:p>
        </w:tc>
      </w:tr>
      <w:tr w:rsidR="002F0133" w:rsidRPr="000B4E2C" w14:paraId="1FCCB7C1" w14:textId="77777777" w:rsidTr="000B4E2C">
        <w:trPr>
          <w:cantSplit/>
        </w:trPr>
        <w:tc>
          <w:tcPr>
            <w:tcW w:w="0" w:type="auto"/>
            <w:shd w:val="clear" w:color="auto" w:fill="auto"/>
          </w:tcPr>
          <w:p w14:paraId="3CCC6F24" w14:textId="2E03A5C1" w:rsidR="002F0133" w:rsidRPr="000B4E2C" w:rsidRDefault="002F0133" w:rsidP="008A7464">
            <w:r w:rsidRPr="000B4E2C">
              <w:t>Adults pNGAL (</w:t>
            </w:r>
            <w:r w:rsidR="009D7F5A" w:rsidRPr="000B4E2C">
              <w:t>BioPorto</w:t>
            </w:r>
            <w:r w:rsidRPr="000B4E2C">
              <w:t>) critical care</w:t>
            </w:r>
          </w:p>
        </w:tc>
        <w:tc>
          <w:tcPr>
            <w:tcW w:w="0" w:type="auto"/>
            <w:shd w:val="clear" w:color="auto" w:fill="auto"/>
          </w:tcPr>
          <w:p w14:paraId="51F191AD" w14:textId="77777777" w:rsidR="002F0133" w:rsidRPr="000B4E2C" w:rsidRDefault="002F0133" w:rsidP="008A7464">
            <w:pPr>
              <w:jc w:val="center"/>
            </w:pPr>
            <w:r w:rsidRPr="000B4E2C">
              <w:t>30 days</w:t>
            </w:r>
          </w:p>
          <w:p w14:paraId="09D0973E" w14:textId="67975AEF" w:rsidR="00B81B0C" w:rsidRPr="000B4E2C" w:rsidRDefault="00B81B0C" w:rsidP="008A7464">
            <w:pPr>
              <w:jc w:val="center"/>
            </w:pPr>
            <w:r w:rsidRPr="000B4E2C">
              <w:t>7/105 died</w:t>
            </w:r>
          </w:p>
        </w:tc>
        <w:tc>
          <w:tcPr>
            <w:tcW w:w="0" w:type="auto"/>
            <w:shd w:val="clear" w:color="auto" w:fill="auto"/>
          </w:tcPr>
          <w:p w14:paraId="2246CCDD" w14:textId="77777777" w:rsidR="002F0133" w:rsidRPr="000B4E2C" w:rsidRDefault="002F0133" w:rsidP="008A7464">
            <w:pPr>
              <w:jc w:val="center"/>
            </w:pPr>
            <w:r w:rsidRPr="000B4E2C">
              <w:t>1</w:t>
            </w:r>
          </w:p>
        </w:tc>
        <w:tc>
          <w:tcPr>
            <w:tcW w:w="0" w:type="auto"/>
            <w:shd w:val="clear" w:color="auto" w:fill="auto"/>
          </w:tcPr>
          <w:p w14:paraId="112DFBA0" w14:textId="77777777" w:rsidR="002F0133" w:rsidRPr="000B4E2C" w:rsidRDefault="002F0133" w:rsidP="008A7464">
            <w:pPr>
              <w:jc w:val="center"/>
            </w:pPr>
            <w:r w:rsidRPr="000B4E2C">
              <w:t>0.72 (0.49, 0.87)</w:t>
            </w:r>
          </w:p>
        </w:tc>
        <w:tc>
          <w:tcPr>
            <w:tcW w:w="0" w:type="auto"/>
            <w:shd w:val="clear" w:color="auto" w:fill="auto"/>
          </w:tcPr>
          <w:p w14:paraId="2C1AEB97" w14:textId="77777777" w:rsidR="002F0133" w:rsidRPr="000B4E2C" w:rsidRDefault="002F0133" w:rsidP="008A7464">
            <w:pPr>
              <w:jc w:val="center"/>
            </w:pPr>
            <w:r w:rsidRPr="000B4E2C">
              <w:t>-</w:t>
            </w:r>
          </w:p>
        </w:tc>
      </w:tr>
      <w:tr w:rsidR="002F0133" w:rsidRPr="000B4E2C" w14:paraId="5D7CA466" w14:textId="77777777" w:rsidTr="000B4E2C">
        <w:trPr>
          <w:cantSplit/>
        </w:trPr>
        <w:tc>
          <w:tcPr>
            <w:tcW w:w="0" w:type="auto"/>
            <w:shd w:val="clear" w:color="auto" w:fill="auto"/>
          </w:tcPr>
          <w:p w14:paraId="0BB22DED" w14:textId="18E204F9" w:rsidR="002F0133" w:rsidRPr="000B4E2C" w:rsidRDefault="002F0133" w:rsidP="008A7464">
            <w:r w:rsidRPr="000B4E2C">
              <w:t>Adults pNGAL (</w:t>
            </w:r>
            <w:r w:rsidR="009D7F5A" w:rsidRPr="000B4E2C">
              <w:t>BioPorto</w:t>
            </w:r>
            <w:r w:rsidRPr="000B4E2C">
              <w:t>) critical care</w:t>
            </w:r>
          </w:p>
        </w:tc>
        <w:tc>
          <w:tcPr>
            <w:tcW w:w="0" w:type="auto"/>
            <w:shd w:val="clear" w:color="auto" w:fill="auto"/>
          </w:tcPr>
          <w:p w14:paraId="4D988329" w14:textId="77777777" w:rsidR="002F0133" w:rsidRPr="000B4E2C" w:rsidRDefault="002F0133" w:rsidP="008A7464">
            <w:pPr>
              <w:jc w:val="center"/>
            </w:pPr>
            <w:r w:rsidRPr="000B4E2C">
              <w:t>90 days</w:t>
            </w:r>
          </w:p>
        </w:tc>
        <w:tc>
          <w:tcPr>
            <w:tcW w:w="0" w:type="auto"/>
            <w:shd w:val="clear" w:color="auto" w:fill="auto"/>
          </w:tcPr>
          <w:p w14:paraId="6EECA039" w14:textId="77777777" w:rsidR="002F0133" w:rsidRPr="000B4E2C" w:rsidRDefault="002F0133" w:rsidP="008A7464">
            <w:pPr>
              <w:jc w:val="center"/>
            </w:pPr>
            <w:r w:rsidRPr="000B4E2C">
              <w:t>1</w:t>
            </w:r>
          </w:p>
        </w:tc>
        <w:tc>
          <w:tcPr>
            <w:tcW w:w="0" w:type="auto"/>
            <w:shd w:val="clear" w:color="auto" w:fill="auto"/>
          </w:tcPr>
          <w:p w14:paraId="06CB8CDE" w14:textId="77777777" w:rsidR="002F0133" w:rsidRPr="000B4E2C" w:rsidRDefault="002F0133" w:rsidP="008A7464">
            <w:pPr>
              <w:jc w:val="center"/>
            </w:pPr>
            <w:r w:rsidRPr="000B4E2C">
              <w:t>0.55 (0.47, 0.63)</w:t>
            </w:r>
          </w:p>
        </w:tc>
        <w:tc>
          <w:tcPr>
            <w:tcW w:w="0" w:type="auto"/>
            <w:shd w:val="clear" w:color="auto" w:fill="auto"/>
          </w:tcPr>
          <w:p w14:paraId="49E7D253" w14:textId="77777777" w:rsidR="002F0133" w:rsidRPr="000B4E2C" w:rsidRDefault="002F0133" w:rsidP="008A7464">
            <w:pPr>
              <w:jc w:val="center"/>
            </w:pPr>
            <w:r w:rsidRPr="000B4E2C">
              <w:t>-</w:t>
            </w:r>
          </w:p>
        </w:tc>
      </w:tr>
      <w:tr w:rsidR="002F0133" w:rsidRPr="000B4E2C" w14:paraId="0938A7C5" w14:textId="77777777" w:rsidTr="000B4E2C">
        <w:trPr>
          <w:cantSplit/>
        </w:trPr>
        <w:tc>
          <w:tcPr>
            <w:tcW w:w="0" w:type="auto"/>
            <w:shd w:val="clear" w:color="auto" w:fill="auto"/>
          </w:tcPr>
          <w:p w14:paraId="11BBCCA0" w14:textId="4A622711" w:rsidR="002F0133" w:rsidRPr="000B4E2C" w:rsidRDefault="002F0133" w:rsidP="008A7464">
            <w:r w:rsidRPr="000B4E2C">
              <w:t xml:space="preserve">Adults NGAL (Abbott and </w:t>
            </w:r>
            <w:r w:rsidR="009D7F5A" w:rsidRPr="000B4E2C">
              <w:t>BioPorto</w:t>
            </w:r>
            <w:r w:rsidRPr="000B4E2C">
              <w:t>) critical care</w:t>
            </w:r>
          </w:p>
        </w:tc>
        <w:tc>
          <w:tcPr>
            <w:tcW w:w="0" w:type="auto"/>
            <w:shd w:val="clear" w:color="auto" w:fill="auto"/>
          </w:tcPr>
          <w:p w14:paraId="6CA5DB5B" w14:textId="77777777" w:rsidR="002F0133" w:rsidRPr="000B4E2C" w:rsidRDefault="002F0133" w:rsidP="008A7464">
            <w:pPr>
              <w:jc w:val="center"/>
            </w:pPr>
            <w:r w:rsidRPr="000B4E2C">
              <w:t>In hospital</w:t>
            </w:r>
          </w:p>
        </w:tc>
        <w:tc>
          <w:tcPr>
            <w:tcW w:w="0" w:type="auto"/>
            <w:shd w:val="clear" w:color="auto" w:fill="auto"/>
          </w:tcPr>
          <w:p w14:paraId="31DD2BF8" w14:textId="77777777" w:rsidR="002F0133" w:rsidRPr="000B4E2C" w:rsidRDefault="002F0133" w:rsidP="008A7464">
            <w:pPr>
              <w:jc w:val="center"/>
            </w:pPr>
            <w:r w:rsidRPr="000B4E2C">
              <w:t>2</w:t>
            </w:r>
          </w:p>
        </w:tc>
        <w:tc>
          <w:tcPr>
            <w:tcW w:w="0" w:type="auto"/>
            <w:shd w:val="clear" w:color="auto" w:fill="auto"/>
          </w:tcPr>
          <w:p w14:paraId="0CEC90F4" w14:textId="77777777" w:rsidR="002F0133" w:rsidRPr="000B4E2C" w:rsidRDefault="002F0133" w:rsidP="008A7464">
            <w:pPr>
              <w:jc w:val="center"/>
            </w:pPr>
            <w:r w:rsidRPr="000B4E2C">
              <w:t>-</w:t>
            </w:r>
          </w:p>
        </w:tc>
        <w:tc>
          <w:tcPr>
            <w:tcW w:w="0" w:type="auto"/>
            <w:shd w:val="clear" w:color="auto" w:fill="auto"/>
          </w:tcPr>
          <w:p w14:paraId="6A819B88" w14:textId="77777777" w:rsidR="002F0133" w:rsidRPr="000B4E2C" w:rsidRDefault="002F0133" w:rsidP="008A7464">
            <w:pPr>
              <w:jc w:val="center"/>
            </w:pPr>
            <w:r w:rsidRPr="000B4E2C">
              <w:t>0.76 (0.64, 0.85)</w:t>
            </w:r>
          </w:p>
        </w:tc>
      </w:tr>
      <w:tr w:rsidR="002F0133" w:rsidRPr="000B4E2C" w14:paraId="77567540" w14:textId="77777777" w:rsidTr="000B4E2C">
        <w:trPr>
          <w:cantSplit/>
        </w:trPr>
        <w:tc>
          <w:tcPr>
            <w:tcW w:w="0" w:type="auto"/>
            <w:shd w:val="clear" w:color="auto" w:fill="auto"/>
          </w:tcPr>
          <w:p w14:paraId="130F49D0" w14:textId="77777777" w:rsidR="002F0133" w:rsidRPr="000B4E2C" w:rsidRDefault="002F0133" w:rsidP="008A7464">
            <w:r w:rsidRPr="000B4E2C">
              <w:t>Children uNGAL ARCHITECT (Abbott) cardiac surgery</w:t>
            </w:r>
          </w:p>
          <w:p w14:paraId="5D88F19A" w14:textId="68DA2020" w:rsidR="00DE11B9" w:rsidRPr="000B4E2C" w:rsidRDefault="00DE11B9" w:rsidP="008A7464"/>
        </w:tc>
        <w:tc>
          <w:tcPr>
            <w:tcW w:w="0" w:type="auto"/>
            <w:shd w:val="clear" w:color="auto" w:fill="auto"/>
          </w:tcPr>
          <w:p w14:paraId="30F1192C" w14:textId="77777777" w:rsidR="002F0133" w:rsidRPr="000B4E2C" w:rsidRDefault="002F0133" w:rsidP="008A7464">
            <w:pPr>
              <w:jc w:val="center"/>
            </w:pPr>
            <w:r w:rsidRPr="000B4E2C">
              <w:t>In hospital</w:t>
            </w:r>
          </w:p>
          <w:p w14:paraId="69A99442" w14:textId="68DAF09E" w:rsidR="00B81B0C" w:rsidRPr="000B4E2C" w:rsidRDefault="00B81B0C" w:rsidP="008A7464">
            <w:pPr>
              <w:jc w:val="center"/>
            </w:pPr>
            <w:r w:rsidRPr="000B4E2C">
              <w:t>3/196 died</w:t>
            </w:r>
          </w:p>
        </w:tc>
        <w:tc>
          <w:tcPr>
            <w:tcW w:w="0" w:type="auto"/>
            <w:shd w:val="clear" w:color="auto" w:fill="auto"/>
          </w:tcPr>
          <w:p w14:paraId="29A996B9" w14:textId="77777777" w:rsidR="002F0133" w:rsidRPr="000B4E2C" w:rsidRDefault="002F0133" w:rsidP="008A7464">
            <w:pPr>
              <w:jc w:val="center"/>
            </w:pPr>
            <w:r w:rsidRPr="000B4E2C">
              <w:t>1</w:t>
            </w:r>
          </w:p>
        </w:tc>
        <w:tc>
          <w:tcPr>
            <w:tcW w:w="0" w:type="auto"/>
            <w:shd w:val="clear" w:color="auto" w:fill="auto"/>
          </w:tcPr>
          <w:p w14:paraId="6A07FC83" w14:textId="77777777" w:rsidR="002F0133" w:rsidRPr="000B4E2C" w:rsidRDefault="002F0133" w:rsidP="008A7464">
            <w:pPr>
              <w:jc w:val="center"/>
            </w:pPr>
            <w:r w:rsidRPr="000B4E2C">
              <w:t>0.91 (0.55, 0.99)</w:t>
            </w:r>
          </w:p>
        </w:tc>
        <w:tc>
          <w:tcPr>
            <w:tcW w:w="0" w:type="auto"/>
            <w:shd w:val="clear" w:color="auto" w:fill="auto"/>
          </w:tcPr>
          <w:p w14:paraId="4F6F2E77" w14:textId="77777777" w:rsidR="002F0133" w:rsidRPr="000B4E2C" w:rsidRDefault="002F0133" w:rsidP="008A7464">
            <w:pPr>
              <w:jc w:val="center"/>
            </w:pPr>
            <w:r w:rsidRPr="000B4E2C">
              <w:t>-</w:t>
            </w:r>
          </w:p>
        </w:tc>
      </w:tr>
      <w:tr w:rsidR="002F0133" w:rsidRPr="000B4E2C" w14:paraId="1F1F8A8B" w14:textId="77777777" w:rsidTr="000B4E2C">
        <w:trPr>
          <w:cantSplit/>
        </w:trPr>
        <w:tc>
          <w:tcPr>
            <w:tcW w:w="0" w:type="auto"/>
            <w:gridSpan w:val="5"/>
            <w:shd w:val="clear" w:color="auto" w:fill="auto"/>
          </w:tcPr>
          <w:p w14:paraId="4ADD1947" w14:textId="77777777" w:rsidR="002F0133" w:rsidRPr="000B4E2C" w:rsidRDefault="002F0133" w:rsidP="008A7464">
            <w:pPr>
              <w:jc w:val="center"/>
              <w:rPr>
                <w:b/>
              </w:rPr>
            </w:pPr>
            <w:r w:rsidRPr="000B4E2C">
              <w:rPr>
                <w:b/>
              </w:rPr>
              <w:t>Need of RRT</w:t>
            </w:r>
          </w:p>
        </w:tc>
      </w:tr>
      <w:tr w:rsidR="002F0133" w:rsidRPr="000B4E2C" w14:paraId="3E2A3F00" w14:textId="77777777" w:rsidTr="000B4E2C">
        <w:trPr>
          <w:cantSplit/>
        </w:trPr>
        <w:tc>
          <w:tcPr>
            <w:tcW w:w="0" w:type="auto"/>
            <w:shd w:val="clear" w:color="auto" w:fill="auto"/>
          </w:tcPr>
          <w:p w14:paraId="1174F558" w14:textId="77777777" w:rsidR="000B4E2C" w:rsidRPr="000B4E2C" w:rsidRDefault="002F0133" w:rsidP="008A7464">
            <w:r w:rsidRPr="000B4E2C">
              <w:t>Adults NephroCheck (Medical Astute)</w:t>
            </w:r>
          </w:p>
          <w:p w14:paraId="20099BE1" w14:textId="65192A34" w:rsidR="002F0133" w:rsidRPr="000B4E2C" w:rsidRDefault="002F0133" w:rsidP="008A7464">
            <w:r w:rsidRPr="000B4E2C">
              <w:t>cardiac surgery</w:t>
            </w:r>
          </w:p>
        </w:tc>
        <w:tc>
          <w:tcPr>
            <w:tcW w:w="0" w:type="auto"/>
            <w:shd w:val="clear" w:color="auto" w:fill="auto"/>
          </w:tcPr>
          <w:p w14:paraId="2BADD2DE" w14:textId="354161C4" w:rsidR="002F0133" w:rsidRPr="000B4E2C" w:rsidRDefault="00B81B0C" w:rsidP="008A7464">
            <w:pPr>
              <w:jc w:val="center"/>
            </w:pPr>
            <w:r w:rsidRPr="000B4E2C">
              <w:t>NR</w:t>
            </w:r>
          </w:p>
        </w:tc>
        <w:tc>
          <w:tcPr>
            <w:tcW w:w="0" w:type="auto"/>
            <w:shd w:val="clear" w:color="auto" w:fill="auto"/>
          </w:tcPr>
          <w:p w14:paraId="467F571B" w14:textId="77777777" w:rsidR="002F0133" w:rsidRPr="000B4E2C" w:rsidRDefault="002F0133" w:rsidP="008A7464">
            <w:pPr>
              <w:jc w:val="center"/>
            </w:pPr>
            <w:r w:rsidRPr="000B4E2C">
              <w:t>1</w:t>
            </w:r>
          </w:p>
        </w:tc>
        <w:tc>
          <w:tcPr>
            <w:tcW w:w="0" w:type="auto"/>
            <w:shd w:val="clear" w:color="auto" w:fill="auto"/>
          </w:tcPr>
          <w:p w14:paraId="1E3D7317" w14:textId="77777777" w:rsidR="002F0133" w:rsidRPr="000B4E2C" w:rsidRDefault="002F0133" w:rsidP="008A7464">
            <w:pPr>
              <w:jc w:val="center"/>
            </w:pPr>
            <w:r w:rsidRPr="000B4E2C">
              <w:t>0.78 (0.71, 0.84)</w:t>
            </w:r>
          </w:p>
        </w:tc>
        <w:tc>
          <w:tcPr>
            <w:tcW w:w="0" w:type="auto"/>
            <w:shd w:val="clear" w:color="auto" w:fill="auto"/>
          </w:tcPr>
          <w:p w14:paraId="3674E963" w14:textId="77777777" w:rsidR="002F0133" w:rsidRPr="000B4E2C" w:rsidRDefault="002F0133" w:rsidP="008A7464">
            <w:pPr>
              <w:jc w:val="center"/>
            </w:pPr>
            <w:r w:rsidRPr="000B4E2C">
              <w:t>-</w:t>
            </w:r>
          </w:p>
        </w:tc>
      </w:tr>
      <w:tr w:rsidR="002F0133" w:rsidRPr="000B4E2C" w14:paraId="77EAA38F" w14:textId="77777777" w:rsidTr="000B4E2C">
        <w:trPr>
          <w:cantSplit/>
        </w:trPr>
        <w:tc>
          <w:tcPr>
            <w:tcW w:w="0" w:type="auto"/>
            <w:shd w:val="clear" w:color="auto" w:fill="auto"/>
          </w:tcPr>
          <w:p w14:paraId="75BFBA23" w14:textId="77777777" w:rsidR="002F0133" w:rsidRPr="000B4E2C" w:rsidRDefault="002F0133" w:rsidP="008A7464">
            <w:r w:rsidRPr="000B4E2C">
              <w:t>Adults uNGAL ARCHITECT (Abbott) cardiac surgery</w:t>
            </w:r>
          </w:p>
        </w:tc>
        <w:tc>
          <w:tcPr>
            <w:tcW w:w="0" w:type="auto"/>
            <w:shd w:val="clear" w:color="auto" w:fill="auto"/>
          </w:tcPr>
          <w:p w14:paraId="67BB9BB5" w14:textId="77777777" w:rsidR="002F0133" w:rsidRPr="000B4E2C" w:rsidRDefault="00B81B0C" w:rsidP="008A7464">
            <w:pPr>
              <w:jc w:val="center"/>
            </w:pPr>
            <w:r w:rsidRPr="000B4E2C">
              <w:t>Up to 12 months</w:t>
            </w:r>
          </w:p>
          <w:p w14:paraId="5754DA6F" w14:textId="3283B89F" w:rsidR="00B81B0C" w:rsidRPr="000B4E2C" w:rsidRDefault="00B81B0C" w:rsidP="00B81B0C">
            <w:pPr>
              <w:jc w:val="center"/>
            </w:pPr>
            <w:r w:rsidRPr="000B4E2C">
              <w:t>22/288 received RRT</w:t>
            </w:r>
          </w:p>
        </w:tc>
        <w:tc>
          <w:tcPr>
            <w:tcW w:w="0" w:type="auto"/>
            <w:shd w:val="clear" w:color="auto" w:fill="auto"/>
          </w:tcPr>
          <w:p w14:paraId="6D4CA8C4" w14:textId="77777777" w:rsidR="002F0133" w:rsidRPr="000B4E2C" w:rsidRDefault="002F0133" w:rsidP="008A7464">
            <w:pPr>
              <w:jc w:val="center"/>
            </w:pPr>
            <w:r w:rsidRPr="000B4E2C">
              <w:t>1</w:t>
            </w:r>
          </w:p>
        </w:tc>
        <w:tc>
          <w:tcPr>
            <w:tcW w:w="0" w:type="auto"/>
            <w:shd w:val="clear" w:color="auto" w:fill="auto"/>
          </w:tcPr>
          <w:p w14:paraId="30F35C3E" w14:textId="77777777" w:rsidR="002F0133" w:rsidRPr="000B4E2C" w:rsidRDefault="002F0133" w:rsidP="008A7464">
            <w:pPr>
              <w:jc w:val="center"/>
            </w:pPr>
            <w:r w:rsidRPr="000B4E2C">
              <w:t>0.68 (0.57, 0.79)</w:t>
            </w:r>
          </w:p>
        </w:tc>
        <w:tc>
          <w:tcPr>
            <w:tcW w:w="0" w:type="auto"/>
            <w:shd w:val="clear" w:color="auto" w:fill="auto"/>
          </w:tcPr>
          <w:p w14:paraId="032685E0" w14:textId="77777777" w:rsidR="002F0133" w:rsidRPr="000B4E2C" w:rsidRDefault="002F0133" w:rsidP="008A7464">
            <w:pPr>
              <w:jc w:val="center"/>
            </w:pPr>
            <w:r w:rsidRPr="000B4E2C">
              <w:t>-</w:t>
            </w:r>
          </w:p>
        </w:tc>
      </w:tr>
      <w:tr w:rsidR="002F0133" w:rsidRPr="000B4E2C" w14:paraId="6CE74ECE" w14:textId="77777777" w:rsidTr="000B4E2C">
        <w:trPr>
          <w:cantSplit/>
        </w:trPr>
        <w:tc>
          <w:tcPr>
            <w:tcW w:w="0" w:type="auto"/>
            <w:shd w:val="clear" w:color="auto" w:fill="auto"/>
          </w:tcPr>
          <w:p w14:paraId="251D6D61" w14:textId="77777777" w:rsidR="000B4E2C" w:rsidRPr="000B4E2C" w:rsidRDefault="002F0133" w:rsidP="008A7464">
            <w:r w:rsidRPr="000B4E2C">
              <w:t>Adults uNGAL (</w:t>
            </w:r>
            <w:r w:rsidR="009D7F5A" w:rsidRPr="000B4E2C">
              <w:t>BioPorto</w:t>
            </w:r>
            <w:r w:rsidRPr="000B4E2C">
              <w:t>)</w:t>
            </w:r>
          </w:p>
          <w:p w14:paraId="11A1F009" w14:textId="4EF4EC63" w:rsidR="002F0133" w:rsidRPr="000B4E2C" w:rsidRDefault="002F0133" w:rsidP="008A7464">
            <w:r w:rsidRPr="000B4E2C">
              <w:t>critical care</w:t>
            </w:r>
          </w:p>
        </w:tc>
        <w:tc>
          <w:tcPr>
            <w:tcW w:w="0" w:type="auto"/>
            <w:shd w:val="clear" w:color="auto" w:fill="auto"/>
          </w:tcPr>
          <w:p w14:paraId="0C824657" w14:textId="07743C97" w:rsidR="002F0133" w:rsidRPr="000B4E2C" w:rsidRDefault="00461B4D" w:rsidP="008A7464">
            <w:pPr>
              <w:jc w:val="center"/>
            </w:pPr>
            <w:r w:rsidRPr="000B4E2C">
              <w:t>-</w:t>
            </w:r>
          </w:p>
        </w:tc>
        <w:tc>
          <w:tcPr>
            <w:tcW w:w="0" w:type="auto"/>
            <w:shd w:val="clear" w:color="auto" w:fill="auto"/>
          </w:tcPr>
          <w:p w14:paraId="7CD12C80" w14:textId="77777777" w:rsidR="002F0133" w:rsidRPr="000B4E2C" w:rsidRDefault="002F0133" w:rsidP="008A7464">
            <w:pPr>
              <w:jc w:val="center"/>
            </w:pPr>
            <w:r w:rsidRPr="000B4E2C">
              <w:t>2</w:t>
            </w:r>
          </w:p>
        </w:tc>
        <w:tc>
          <w:tcPr>
            <w:tcW w:w="0" w:type="auto"/>
            <w:shd w:val="clear" w:color="auto" w:fill="auto"/>
          </w:tcPr>
          <w:p w14:paraId="7FA533D7" w14:textId="77777777" w:rsidR="002F0133" w:rsidRPr="000B4E2C" w:rsidRDefault="002F0133" w:rsidP="008A7464">
            <w:pPr>
              <w:jc w:val="center"/>
            </w:pPr>
            <w:r w:rsidRPr="000B4E2C">
              <w:t>-</w:t>
            </w:r>
          </w:p>
        </w:tc>
        <w:tc>
          <w:tcPr>
            <w:tcW w:w="0" w:type="auto"/>
            <w:shd w:val="clear" w:color="auto" w:fill="auto"/>
          </w:tcPr>
          <w:p w14:paraId="7FC2BD5B" w14:textId="77777777" w:rsidR="002F0133" w:rsidRPr="000B4E2C" w:rsidRDefault="002F0133" w:rsidP="008A7464">
            <w:pPr>
              <w:jc w:val="center"/>
            </w:pPr>
            <w:r w:rsidRPr="000B4E2C">
              <w:t>0.74 (0.49, 0.89)</w:t>
            </w:r>
          </w:p>
        </w:tc>
      </w:tr>
      <w:tr w:rsidR="002F0133" w:rsidRPr="000B4E2C" w14:paraId="3D6A5593" w14:textId="77777777" w:rsidTr="000B4E2C">
        <w:trPr>
          <w:cantSplit/>
        </w:trPr>
        <w:tc>
          <w:tcPr>
            <w:tcW w:w="0" w:type="auto"/>
            <w:shd w:val="clear" w:color="auto" w:fill="auto"/>
          </w:tcPr>
          <w:p w14:paraId="32FDF752" w14:textId="77777777" w:rsidR="000B4E2C" w:rsidRPr="000B4E2C" w:rsidRDefault="002F0133" w:rsidP="008A7464">
            <w:r w:rsidRPr="000B4E2C">
              <w:lastRenderedPageBreak/>
              <w:t>Adults pNGAL (</w:t>
            </w:r>
            <w:r w:rsidR="009D7F5A" w:rsidRPr="000B4E2C">
              <w:t>BioPorto</w:t>
            </w:r>
            <w:r w:rsidRPr="000B4E2C">
              <w:t>)</w:t>
            </w:r>
          </w:p>
          <w:p w14:paraId="7516D4B4" w14:textId="74F9ECCA" w:rsidR="002F0133" w:rsidRPr="000B4E2C" w:rsidRDefault="002F0133" w:rsidP="008A7464">
            <w:pPr>
              <w:rPr>
                <w:b/>
              </w:rPr>
            </w:pPr>
            <w:r w:rsidRPr="000B4E2C">
              <w:t>critical care</w:t>
            </w:r>
          </w:p>
        </w:tc>
        <w:tc>
          <w:tcPr>
            <w:tcW w:w="0" w:type="auto"/>
            <w:shd w:val="clear" w:color="auto" w:fill="auto"/>
          </w:tcPr>
          <w:p w14:paraId="7FB09E5D" w14:textId="77777777" w:rsidR="000B4E2C" w:rsidRPr="000B4E2C" w:rsidRDefault="00B81B0C" w:rsidP="008A7464">
            <w:pPr>
              <w:jc w:val="center"/>
            </w:pPr>
            <w:r w:rsidRPr="000B4E2C">
              <w:t>During ICU stay</w:t>
            </w:r>
          </w:p>
          <w:p w14:paraId="07EB0192" w14:textId="5405DB08" w:rsidR="002F0133" w:rsidRPr="000B4E2C" w:rsidRDefault="00B81B0C" w:rsidP="008A7464">
            <w:pPr>
              <w:jc w:val="center"/>
            </w:pPr>
            <w:r w:rsidRPr="000B4E2C">
              <w:t>40/222 received RRT</w:t>
            </w:r>
          </w:p>
        </w:tc>
        <w:tc>
          <w:tcPr>
            <w:tcW w:w="0" w:type="auto"/>
            <w:shd w:val="clear" w:color="auto" w:fill="auto"/>
          </w:tcPr>
          <w:p w14:paraId="5DA7E693" w14:textId="77777777" w:rsidR="002F0133" w:rsidRPr="000B4E2C" w:rsidRDefault="002F0133" w:rsidP="008A7464">
            <w:pPr>
              <w:jc w:val="center"/>
            </w:pPr>
            <w:r w:rsidRPr="000B4E2C">
              <w:t>1</w:t>
            </w:r>
          </w:p>
        </w:tc>
        <w:tc>
          <w:tcPr>
            <w:tcW w:w="0" w:type="auto"/>
            <w:shd w:val="clear" w:color="auto" w:fill="auto"/>
          </w:tcPr>
          <w:p w14:paraId="0D457983" w14:textId="77777777" w:rsidR="002F0133" w:rsidRPr="000B4E2C" w:rsidRDefault="002F0133" w:rsidP="008A7464">
            <w:pPr>
              <w:jc w:val="center"/>
            </w:pPr>
            <w:r w:rsidRPr="000B4E2C">
              <w:t>0.70 (0.61, 0.78)</w:t>
            </w:r>
          </w:p>
        </w:tc>
        <w:tc>
          <w:tcPr>
            <w:tcW w:w="0" w:type="auto"/>
            <w:shd w:val="clear" w:color="auto" w:fill="auto"/>
          </w:tcPr>
          <w:p w14:paraId="3D533D7A" w14:textId="77777777" w:rsidR="002F0133" w:rsidRPr="000B4E2C" w:rsidRDefault="002F0133" w:rsidP="008A7464">
            <w:pPr>
              <w:jc w:val="center"/>
            </w:pPr>
            <w:r w:rsidRPr="000B4E2C">
              <w:t>-</w:t>
            </w:r>
          </w:p>
        </w:tc>
      </w:tr>
      <w:tr w:rsidR="002F0133" w:rsidRPr="000B4E2C" w14:paraId="14D704CC" w14:textId="77777777" w:rsidTr="000B4E2C">
        <w:trPr>
          <w:cantSplit/>
        </w:trPr>
        <w:tc>
          <w:tcPr>
            <w:tcW w:w="0" w:type="auto"/>
            <w:shd w:val="clear" w:color="auto" w:fill="auto"/>
          </w:tcPr>
          <w:p w14:paraId="3361C397" w14:textId="77777777" w:rsidR="002F0133" w:rsidRPr="000B4E2C" w:rsidRDefault="002F0133" w:rsidP="008A7464">
            <w:r w:rsidRPr="000B4E2C">
              <w:t>Child uNGAL ARCHITECT (Abbott) cardiac surgery</w:t>
            </w:r>
          </w:p>
        </w:tc>
        <w:tc>
          <w:tcPr>
            <w:tcW w:w="0" w:type="auto"/>
            <w:shd w:val="clear" w:color="auto" w:fill="auto"/>
          </w:tcPr>
          <w:p w14:paraId="11E1556D" w14:textId="741D8BB7" w:rsidR="002F0133" w:rsidRPr="000B4E2C" w:rsidRDefault="00B81B0C" w:rsidP="008A7464">
            <w:pPr>
              <w:jc w:val="center"/>
            </w:pPr>
            <w:r w:rsidRPr="000B4E2C">
              <w:t xml:space="preserve">During </w:t>
            </w:r>
            <w:r w:rsidR="00C22335" w:rsidRPr="000B4E2C">
              <w:t>hospital stay</w:t>
            </w:r>
          </w:p>
          <w:p w14:paraId="489953DE" w14:textId="365BEE74" w:rsidR="00B81B0C" w:rsidRPr="000B4E2C" w:rsidRDefault="00B81B0C" w:rsidP="008A7464">
            <w:pPr>
              <w:jc w:val="center"/>
            </w:pPr>
            <w:r w:rsidRPr="000B4E2C">
              <w:t>4/196</w:t>
            </w:r>
          </w:p>
        </w:tc>
        <w:tc>
          <w:tcPr>
            <w:tcW w:w="0" w:type="auto"/>
            <w:shd w:val="clear" w:color="auto" w:fill="auto"/>
          </w:tcPr>
          <w:p w14:paraId="3D334796" w14:textId="77777777" w:rsidR="002F0133" w:rsidRPr="000B4E2C" w:rsidRDefault="002F0133" w:rsidP="008A7464">
            <w:pPr>
              <w:jc w:val="center"/>
            </w:pPr>
            <w:r w:rsidRPr="000B4E2C">
              <w:t>1</w:t>
            </w:r>
          </w:p>
        </w:tc>
        <w:tc>
          <w:tcPr>
            <w:tcW w:w="0" w:type="auto"/>
            <w:shd w:val="clear" w:color="auto" w:fill="auto"/>
          </w:tcPr>
          <w:p w14:paraId="734E1A75" w14:textId="77777777" w:rsidR="002F0133" w:rsidRPr="000B4E2C" w:rsidRDefault="002F0133" w:rsidP="008A7464">
            <w:pPr>
              <w:jc w:val="center"/>
            </w:pPr>
            <w:r w:rsidRPr="000B4E2C">
              <w:t>0.86 (0.57, 0.97)</w:t>
            </w:r>
          </w:p>
        </w:tc>
        <w:tc>
          <w:tcPr>
            <w:tcW w:w="0" w:type="auto"/>
            <w:shd w:val="clear" w:color="auto" w:fill="auto"/>
          </w:tcPr>
          <w:p w14:paraId="1659F9F6" w14:textId="77777777" w:rsidR="002F0133" w:rsidRPr="000B4E2C" w:rsidRDefault="002F0133" w:rsidP="008A7464">
            <w:pPr>
              <w:jc w:val="center"/>
            </w:pPr>
            <w:r w:rsidRPr="000B4E2C">
              <w:t>-</w:t>
            </w:r>
          </w:p>
        </w:tc>
      </w:tr>
    </w:tbl>
    <w:p w14:paraId="3F9A1F77" w14:textId="77777777" w:rsidR="000B4E2C" w:rsidRPr="000B4E2C" w:rsidRDefault="00403D2C" w:rsidP="008A7464">
      <w:pPr>
        <w:rPr>
          <w:lang w:val="en-GB" w:eastAsia="en-GB"/>
        </w:rPr>
      </w:pPr>
      <w:r w:rsidRPr="000B4E2C">
        <w:rPr>
          <w:lang w:val="en-GB" w:eastAsia="en-GB"/>
        </w:rPr>
        <w:t>Keys: AUC, area under the curve; CI, confidence interval; AKI, acute kidney injury; uNGAL, urine NGAL; pNGAL, plasma NGAL; ICU, intensive care unit; RRT, renal replacement therapy.</w:t>
      </w:r>
    </w:p>
    <w:p w14:paraId="5A542DE5" w14:textId="292A3408" w:rsidR="000B4E2C" w:rsidRPr="000B4E2C" w:rsidRDefault="00C44F99" w:rsidP="00257E97">
      <w:pPr>
        <w:rPr>
          <w:szCs w:val="24"/>
        </w:rPr>
      </w:pPr>
      <w:r w:rsidRPr="000B4E2C">
        <w:rPr>
          <w:szCs w:val="24"/>
        </w:rPr>
        <w:t>Appendix 14</w:t>
      </w:r>
      <w:r w:rsidR="00921CD7" w:rsidRPr="000B4E2C">
        <w:rPr>
          <w:szCs w:val="24"/>
        </w:rPr>
        <w:t xml:space="preserve">,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30</w:t>
      </w:r>
      <w:r w:rsidR="00403D2C" w:rsidRPr="000B4E2C">
        <w:rPr>
          <w:szCs w:val="24"/>
        </w:rPr>
        <w:t xml:space="preserve"> </w:t>
      </w:r>
      <w:r w:rsidR="00257E97" w:rsidRPr="000B4E2C">
        <w:rPr>
          <w:szCs w:val="24"/>
        </w:rPr>
        <w:t>presents the AUC with 95% CI or the OR with 95% CI for the addition of the biomarkers to existing clinical models for the predicition of AKI, mortality and RRT. It is worth noting</w:t>
      </w:r>
      <w:r w:rsidR="004E61F7" w:rsidRPr="000B4E2C">
        <w:rPr>
          <w:szCs w:val="24"/>
        </w:rPr>
        <w:t>,</w:t>
      </w:r>
      <w:r w:rsidR="00257E97" w:rsidRPr="000B4E2C">
        <w:rPr>
          <w:szCs w:val="24"/>
        </w:rPr>
        <w:t xml:space="preserve"> that the statistical models </w:t>
      </w:r>
      <w:r w:rsidR="004E61F7" w:rsidRPr="000B4E2C">
        <w:rPr>
          <w:szCs w:val="24"/>
        </w:rPr>
        <w:t xml:space="preserve">differed between studies </w:t>
      </w:r>
      <w:r w:rsidR="00257E97" w:rsidRPr="000B4E2C">
        <w:rPr>
          <w:szCs w:val="24"/>
        </w:rPr>
        <w:t>and often were not sufficiently detailed. In particular, although most of the adjusting predictors were specified</w:t>
      </w:r>
      <w:r w:rsidR="007D66AB" w:rsidRPr="000B4E2C">
        <w:rPr>
          <w:szCs w:val="24"/>
        </w:rPr>
        <w:t>, information on the potential candidate variables was missing</w:t>
      </w:r>
      <w:r w:rsidR="00257E97" w:rsidRPr="000B4E2C">
        <w:rPr>
          <w:szCs w:val="24"/>
        </w:rPr>
        <w:t xml:space="preserve">. In general, the number of events was low given the number of prediciting variables, even for AKI outcomes. Overall, the addition of biomarkers to the clinical models improved risk prediction of newly developed AKI or worsening of AKI, and mortality. However, only a limited </w:t>
      </w:r>
      <w:r w:rsidR="000B4E2C" w:rsidRPr="000B4E2C">
        <w:rPr>
          <w:color w:val="00B0F0"/>
          <w:szCs w:val="24"/>
        </w:rPr>
        <w:t xml:space="preserve">number of </w:t>
      </w:r>
      <w:r w:rsidR="000B4E2C" w:rsidRPr="000B4E2C">
        <w:rPr>
          <w:color w:val="00B0F0"/>
          <w:szCs w:val="24"/>
          <w:highlight w:val="magenta"/>
        </w:rPr>
        <w:t>data</w:t>
      </w:r>
      <w:r w:rsidR="00257E97" w:rsidRPr="000B4E2C">
        <w:rPr>
          <w:szCs w:val="24"/>
        </w:rPr>
        <w:t xml:space="preserve"> were available for each biomarker in each clinical setting restricting any generalis</w:t>
      </w:r>
      <w:r w:rsidR="007D66AB" w:rsidRPr="000B4E2C">
        <w:rPr>
          <w:szCs w:val="24"/>
        </w:rPr>
        <w:t>a</w:t>
      </w:r>
      <w:r w:rsidR="00257E97" w:rsidRPr="000B4E2C">
        <w:rPr>
          <w:szCs w:val="24"/>
        </w:rPr>
        <w:t>ble interpretation.</w:t>
      </w:r>
    </w:p>
    <w:p w14:paraId="49407F50" w14:textId="16B5DFB7" w:rsidR="002F0133" w:rsidRPr="000B4E2C" w:rsidRDefault="002F0133" w:rsidP="008A7464">
      <w:pPr>
        <w:pStyle w:val="Heading2"/>
      </w:pPr>
      <w:r w:rsidRPr="000B4E2C">
        <w:t>Interpretation of clinical effectiveness evidence</w:t>
      </w:r>
    </w:p>
    <w:p w14:paraId="21A64447" w14:textId="51A44D67" w:rsidR="000B4E2C" w:rsidRPr="000B4E2C" w:rsidRDefault="00E67D31" w:rsidP="00E67D31">
      <w:pPr>
        <w:rPr>
          <w:lang w:val="en-GB" w:eastAsia="en-GB"/>
        </w:rPr>
      </w:pPr>
      <w:r w:rsidRPr="000B4E2C">
        <w:rPr>
          <w:lang w:val="en-GB" w:eastAsia="en-GB"/>
        </w:rPr>
        <w:t>The results of the meta-analyses of sensitivity and specificity estimates suggest that the biomarkers under investigation (</w:t>
      </w:r>
      <w:r w:rsidRPr="000B4E2C">
        <w:t xml:space="preserve">NephroCheck, urine NGAL ARCHITECT and urine and plsma NGAL </w:t>
      </w:r>
      <w:r w:rsidR="009D7F5A" w:rsidRPr="000B4E2C">
        <w:t>BioPorto</w:t>
      </w:r>
      <w:r w:rsidRPr="000B4E2C">
        <w:t xml:space="preserve"> assays) may potentially have a role in the detection of AKI in critically ill patients. However, </w:t>
      </w:r>
      <w:r w:rsidRPr="000B4E2C">
        <w:rPr>
          <w:highlight w:val="magenta"/>
        </w:rPr>
        <w:t>due to</w:t>
      </w:r>
      <w:r w:rsidRPr="000B4E2C">
        <w:t xml:space="preserve"> the considerable clinical and statiatical heterogeneity observed across studies and the limited number of studies available for certain clinical settings or/and type of biomarker, these results should be interpreted with caution and require</w:t>
      </w:r>
      <w:r w:rsidRPr="000B4E2C">
        <w:rPr>
          <w:lang w:val="en-GB" w:eastAsia="en-GB"/>
        </w:rPr>
        <w:t xml:space="preserve"> further evidence to substantiate them</w:t>
      </w:r>
      <w:r w:rsidRPr="000B4E2C">
        <w:rPr>
          <w:highlight w:val="magenta"/>
          <w:lang w:val="en-GB" w:eastAsia="en-GB"/>
        </w:rPr>
        <w:t>. Further</w:t>
      </w:r>
      <w:r w:rsidRPr="000B4E2C">
        <w:rPr>
          <w:lang w:val="en-GB" w:eastAsia="en-GB"/>
        </w:rPr>
        <w:t xml:space="preserve">, the threshold level for NGAL varied considerably across strudies. However, as a common threshold for NGAL has yet to be defined acoordingly to different sample media and clinical setting, we took the decision to pool results across studies with similar characteristics despite this obvious limitation. For the adult population we were able to conduct meta-analyses for studies that assessed patients in the critical care (mixed population) setting and for studies across all clinical settings. There were too few studies assessing patients after cardiac surgery or major non-cardiac surgery. The urine Nephrocheck test had the higher pooled sensitivity (0.83) but the worst pooled specificity (0.51) while the uNGAL ARCHITECT and the </w:t>
      </w:r>
      <w:r w:rsidR="009D7F5A" w:rsidRPr="000B4E2C">
        <w:rPr>
          <w:lang w:val="en-GB" w:eastAsia="en-GB"/>
        </w:rPr>
        <w:t>BioPorto</w:t>
      </w:r>
      <w:r w:rsidRPr="000B4E2C">
        <w:rPr>
          <w:lang w:val="en-GB" w:eastAsia="en-GB"/>
        </w:rPr>
        <w:t xml:space="preserve"> uNGAL tests had slightly lower pooled sensitivity estimates (0.70 and 0.72, respectively) but better pooled specificity estimates (0.72 and 0.87 respectively). The urine NGAL </w:t>
      </w:r>
      <w:r w:rsidR="009D7F5A" w:rsidRPr="000B4E2C">
        <w:rPr>
          <w:lang w:val="en-GB" w:eastAsia="en-GB"/>
        </w:rPr>
        <w:t>BioPorto</w:t>
      </w:r>
      <w:r w:rsidRPr="000B4E2C">
        <w:rPr>
          <w:lang w:val="en-GB" w:eastAsia="en-GB"/>
        </w:rPr>
        <w:t xml:space="preserve"> pooled sensitivity was similar to that of plasma NGAL </w:t>
      </w:r>
      <w:r w:rsidR="009D7F5A" w:rsidRPr="000B4E2C">
        <w:rPr>
          <w:lang w:val="en-GB" w:eastAsia="en-GB"/>
        </w:rPr>
        <w:t>BioPorto</w:t>
      </w:r>
      <w:r w:rsidRPr="000B4E2C">
        <w:rPr>
          <w:lang w:val="en-GB" w:eastAsia="en-GB"/>
        </w:rPr>
        <w:t xml:space="preserve"> (0.72 versus 0.76) </w:t>
      </w:r>
      <w:r w:rsidR="000B4E2C" w:rsidRPr="000B4E2C">
        <w:rPr>
          <w:color w:val="00B0F0"/>
          <w:lang w:val="en-GB" w:eastAsia="en-GB"/>
        </w:rPr>
        <w:t>while</w:t>
      </w:r>
      <w:r w:rsidRPr="000B4E2C">
        <w:rPr>
          <w:lang w:val="en-GB" w:eastAsia="en-GB"/>
        </w:rPr>
        <w:t xml:space="preserve"> the pooled specificity was better for urine NGAL </w:t>
      </w:r>
      <w:r w:rsidR="009D7F5A" w:rsidRPr="000B4E2C">
        <w:rPr>
          <w:lang w:val="en-GB" w:eastAsia="en-GB"/>
        </w:rPr>
        <w:t>BioPorto</w:t>
      </w:r>
      <w:r w:rsidRPr="000B4E2C">
        <w:rPr>
          <w:lang w:val="en-GB" w:eastAsia="en-GB"/>
        </w:rPr>
        <w:t xml:space="preserve"> (0.87 versus 0.67). The biomarkers had a similar performance across all clinical settings (NephroCheck pooled sensitivity and specificity were 0.75 and 0.61, respectively; uNGAL ARCHITECT pooled sensitivity and specificity were 0.67 and 0.72, respectively; uNGAL </w:t>
      </w:r>
      <w:r w:rsidR="009D7F5A" w:rsidRPr="000B4E2C">
        <w:rPr>
          <w:lang w:val="en-GB" w:eastAsia="en-GB"/>
        </w:rPr>
        <w:t>BioPorto</w:t>
      </w:r>
      <w:r w:rsidRPr="000B4E2C">
        <w:rPr>
          <w:lang w:val="en-GB" w:eastAsia="en-GB"/>
        </w:rPr>
        <w:t xml:space="preserve"> pooled sensitivity and specificity were 0.73 and 0.83, respectively; pNGAL </w:t>
      </w:r>
      <w:r w:rsidR="009D7F5A" w:rsidRPr="000B4E2C">
        <w:rPr>
          <w:lang w:val="en-GB" w:eastAsia="en-GB"/>
        </w:rPr>
        <w:t>BioPorto</w:t>
      </w:r>
      <w:r w:rsidRPr="000B4E2C">
        <w:rPr>
          <w:lang w:val="en-GB" w:eastAsia="en-GB"/>
        </w:rPr>
        <w:t xml:space="preserve"> pooled sensitivity and specificity were 0.76 and 0.67, respectively) with pNGAL </w:t>
      </w:r>
      <w:r w:rsidR="009D7F5A" w:rsidRPr="000B4E2C">
        <w:rPr>
          <w:lang w:val="en-GB" w:eastAsia="en-GB"/>
        </w:rPr>
        <w:t>BioPorto</w:t>
      </w:r>
      <w:r w:rsidRPr="000B4E2C">
        <w:rPr>
          <w:lang w:val="en-GB" w:eastAsia="en-GB"/>
        </w:rPr>
        <w:t xml:space="preserve"> showing the higher sensitivity (0.76) and uNGAL </w:t>
      </w:r>
      <w:r w:rsidR="009D7F5A" w:rsidRPr="000B4E2C">
        <w:rPr>
          <w:lang w:val="en-GB" w:eastAsia="en-GB"/>
        </w:rPr>
        <w:t>BioPorto</w:t>
      </w:r>
      <w:r w:rsidRPr="000B4E2C">
        <w:rPr>
          <w:lang w:val="en-GB" w:eastAsia="en-GB"/>
        </w:rPr>
        <w:t xml:space="preserve"> the higher specificity (0.83).</w:t>
      </w:r>
    </w:p>
    <w:p w14:paraId="51F03F97" w14:textId="77777777" w:rsidR="000B4E2C" w:rsidRPr="000B4E2C" w:rsidRDefault="00E67D31" w:rsidP="00E67D31">
      <w:pPr>
        <w:rPr>
          <w:lang w:val="en-GB" w:eastAsia="en-GB"/>
        </w:rPr>
      </w:pPr>
      <w:r w:rsidRPr="000B4E2C">
        <w:rPr>
          <w:lang w:val="en-GB" w:eastAsia="en-GB"/>
        </w:rPr>
        <w:t xml:space="preserve">With regard to the observed low specificy of the NephroCheck test, we do not know with certainty whether this is </w:t>
      </w:r>
      <w:r w:rsidRPr="000B4E2C">
        <w:rPr>
          <w:highlight w:val="magenta"/>
          <w:lang w:val="en-GB" w:eastAsia="en-GB"/>
        </w:rPr>
        <w:t>due to</w:t>
      </w:r>
      <w:r w:rsidRPr="000B4E2C">
        <w:rPr>
          <w:lang w:val="en-GB" w:eastAsia="en-GB"/>
        </w:rPr>
        <w:t xml:space="preserve"> the relative poor performamce of the biomarker or to the fact that serum creatinine is an imperfect reference standard for assessing kidney injury.</w:t>
      </w:r>
    </w:p>
    <w:p w14:paraId="71902FB9" w14:textId="77777777" w:rsidR="000B4E2C" w:rsidRPr="000B4E2C" w:rsidRDefault="00E67D31" w:rsidP="00E67D31">
      <w:pPr>
        <w:rPr>
          <w:lang w:val="en-GB" w:eastAsia="en-GB"/>
        </w:rPr>
      </w:pPr>
      <w:r w:rsidRPr="000B4E2C">
        <w:rPr>
          <w:lang w:val="en-GB" w:eastAsia="en-GB"/>
        </w:rPr>
        <w:t xml:space="preserve">We also noted that when the studies had lower number of AKI events (low prevalence) the relationship observed between sensitivity and specificity estimates became quite different </w:t>
      </w:r>
      <w:r w:rsidRPr="000B4E2C">
        <w:rPr>
          <w:highlight w:val="magenta"/>
          <w:lang w:val="en-GB" w:eastAsia="en-GB"/>
        </w:rPr>
        <w:t>compared to</w:t>
      </w:r>
      <w:r w:rsidRPr="000B4E2C">
        <w:rPr>
          <w:lang w:val="en-GB" w:eastAsia="en-GB"/>
        </w:rPr>
        <w:t xml:space="preserve"> that of studies for which prevalence was higher.</w:t>
      </w:r>
    </w:p>
    <w:p w14:paraId="300C8380" w14:textId="77777777" w:rsidR="000B4E2C" w:rsidRPr="000B4E2C" w:rsidRDefault="00E67D31" w:rsidP="00E67D31">
      <w:pPr>
        <w:rPr>
          <w:lang w:val="en-GB" w:eastAsia="en-GB"/>
        </w:rPr>
      </w:pPr>
      <w:r w:rsidRPr="000B4E2C">
        <w:rPr>
          <w:lang w:val="en-GB" w:eastAsia="en-GB"/>
        </w:rPr>
        <w:t xml:space="preserve">For the child population we were able to conduct meta-anlyses for the five urine NGAL ARCHITECT studies that assessed children who underwent cardiac surgery. The pooled sensitivity was 0.68 and the pooled specificity 0.79. Too few studies were available fort other assays or clinical settings. When we combined all urine NGAL studies (Abbott and </w:t>
      </w:r>
      <w:r w:rsidR="009D7F5A" w:rsidRPr="000B4E2C">
        <w:rPr>
          <w:lang w:val="en-GB" w:eastAsia="en-GB"/>
        </w:rPr>
        <w:t>BioPorto</w:t>
      </w:r>
      <w:r w:rsidRPr="000B4E2C">
        <w:rPr>
          <w:lang w:val="en-GB" w:eastAsia="en-GB"/>
        </w:rPr>
        <w:t>) across all settings (seven studies), we obtained similar estimates of accuracy (sensitivity 0.71, specificity 0.76).</w:t>
      </w:r>
    </w:p>
    <w:p w14:paraId="673DA364" w14:textId="1EA51F15" w:rsidR="000B4E2C" w:rsidRPr="000B4E2C" w:rsidRDefault="00E67D31" w:rsidP="00E67D31">
      <w:pPr>
        <w:rPr>
          <w:lang w:val="en-GB" w:eastAsia="en-GB"/>
        </w:rPr>
      </w:pPr>
      <w:r w:rsidRPr="000B4E2C">
        <w:rPr>
          <w:lang w:val="en-GB" w:eastAsia="en-GB"/>
        </w:rPr>
        <w:t xml:space="preserve">For prediction of relevant clinical outcomes, only a limited number of studies were available for each biomarker in each clinical setting and this hampered the possibility to perform pooled analyses. </w:t>
      </w:r>
      <w:r w:rsidRPr="000B4E2C">
        <w:rPr>
          <w:szCs w:val="24"/>
        </w:rPr>
        <w:t>Furthermore, the details of the methodology used for the stastical analyses were insufficient especially for older studies. The more recent studies appeared to use some of the PROBAST</w:t>
      </w:r>
      <w:r w:rsidR="005B5026" w:rsidRPr="000B4E2C">
        <w:rPr>
          <w:noProof/>
          <w:szCs w:val="24"/>
          <w:vertAlign w:val="superscript"/>
        </w:rPr>
        <w:t>22</w:t>
      </w:r>
      <w:r w:rsidRPr="000B4E2C">
        <w:rPr>
          <w:szCs w:val="24"/>
        </w:rPr>
        <w:t xml:space="preserve"> recommendations and terminology but they were still far from satisfactory as demonstrated by the </w:t>
      </w:r>
      <w:r w:rsidR="00257E97" w:rsidRPr="000B4E2C">
        <w:rPr>
          <w:szCs w:val="24"/>
        </w:rPr>
        <w:t>results</w:t>
      </w:r>
      <w:r w:rsidRPr="000B4E2C">
        <w:rPr>
          <w:szCs w:val="24"/>
        </w:rPr>
        <w:t xml:space="preserve"> of the PROBAST assessment (see </w:t>
      </w:r>
      <w:r w:rsidR="000B4E2C" w:rsidRPr="000B4E2C">
        <w:rPr>
          <w:i/>
          <w:color w:val="FF0000"/>
          <w:szCs w:val="24"/>
        </w:rPr>
        <w:t>F</w:t>
      </w:r>
      <w:r w:rsidR="000B4E2C" w:rsidRPr="000B4E2C">
        <w:rPr>
          <w:i/>
          <w:color w:val="FF0000"/>
          <w:szCs w:val="24"/>
        </w:rPr>
        <w:t>igures</w:t>
      </w:r>
      <w:r w:rsidR="000B4E2C" w:rsidRPr="000B4E2C">
        <w:rPr>
          <w:i/>
          <w:color w:val="FF0000"/>
          <w:szCs w:val="24"/>
        </w:rPr>
        <w:t xml:space="preserve"> </w:t>
      </w:r>
      <w:r w:rsidR="000B4E2C" w:rsidRPr="000B4E2C">
        <w:rPr>
          <w:i/>
          <w:color w:val="FF0000"/>
          <w:szCs w:val="24"/>
        </w:rPr>
        <w:t>3</w:t>
      </w:r>
      <w:r w:rsidR="00401D1F" w:rsidRPr="000B4E2C">
        <w:rPr>
          <w:szCs w:val="24"/>
        </w:rPr>
        <w:t xml:space="preserve"> and 4</w:t>
      </w:r>
      <w:r w:rsidRPr="000B4E2C">
        <w:rPr>
          <w:szCs w:val="24"/>
        </w:rPr>
        <w:t xml:space="preserve"> above). </w:t>
      </w:r>
      <w:r w:rsidRPr="000B4E2C">
        <w:rPr>
          <w:lang w:val="en-GB" w:eastAsia="en-GB"/>
        </w:rPr>
        <w:t xml:space="preserve">Moreover, while </w:t>
      </w:r>
      <w:r w:rsidR="00CA417E" w:rsidRPr="000B4E2C">
        <w:rPr>
          <w:lang w:val="en-GB" w:eastAsia="en-GB"/>
        </w:rPr>
        <w:t xml:space="preserve">information on </w:t>
      </w:r>
      <w:r w:rsidRPr="000B4E2C">
        <w:rPr>
          <w:lang w:val="en-GB" w:eastAsia="en-GB"/>
        </w:rPr>
        <w:t>the adjustment strategies and on the pro</w:t>
      </w:r>
      <w:r w:rsidR="00CA417E" w:rsidRPr="000B4E2C">
        <w:rPr>
          <w:lang w:val="en-GB" w:eastAsia="en-GB"/>
        </w:rPr>
        <w:t>cess of variables selection was</w:t>
      </w:r>
      <w:r w:rsidRPr="000B4E2C">
        <w:rPr>
          <w:lang w:val="en-GB" w:eastAsia="en-GB"/>
        </w:rPr>
        <w:t xml:space="preserve"> provided in </w:t>
      </w:r>
      <w:r w:rsidRPr="000B4E2C">
        <w:rPr>
          <w:lang w:val="en-GB" w:eastAsia="en-GB"/>
        </w:rPr>
        <w:lastRenderedPageBreak/>
        <w:t>individual studies, the original c</w:t>
      </w:r>
      <w:r w:rsidR="00CA417E" w:rsidRPr="000B4E2C">
        <w:rPr>
          <w:lang w:val="en-GB" w:eastAsia="en-GB"/>
        </w:rPr>
        <w:t xml:space="preserve">ohort of potential predictors, </w:t>
      </w:r>
      <w:r w:rsidRPr="000B4E2C">
        <w:rPr>
          <w:lang w:val="en-GB" w:eastAsia="en-GB"/>
        </w:rPr>
        <w:t>prior to the multivariabl</w:t>
      </w:r>
      <w:r w:rsidR="00CA417E" w:rsidRPr="000B4E2C">
        <w:rPr>
          <w:lang w:val="en-GB" w:eastAsia="en-GB"/>
        </w:rPr>
        <w:t xml:space="preserve">e analysis, </w:t>
      </w:r>
      <w:r w:rsidRPr="000B4E2C">
        <w:rPr>
          <w:lang w:val="en-GB" w:eastAsia="en-GB"/>
        </w:rPr>
        <w:t xml:space="preserve">was never clearly specified leading to potential risk of </w:t>
      </w:r>
      <w:r w:rsidRPr="000B4E2C">
        <w:rPr>
          <w:highlight w:val="magenta"/>
          <w:lang w:val="en-GB" w:eastAsia="en-GB"/>
        </w:rPr>
        <w:t>data</w:t>
      </w:r>
      <w:r w:rsidRPr="000B4E2C">
        <w:rPr>
          <w:lang w:val="en-GB" w:eastAsia="en-GB"/>
        </w:rPr>
        <w:t xml:space="preserve"> mining and, hence, methodological bias.</w:t>
      </w:r>
    </w:p>
    <w:p w14:paraId="486745FA" w14:textId="77777777" w:rsidR="000B4E2C" w:rsidRPr="000B4E2C" w:rsidRDefault="001C2548" w:rsidP="00E67D31">
      <w:pPr>
        <w:rPr>
          <w:lang w:val="en-GB" w:eastAsia="en-GB"/>
        </w:rPr>
      </w:pPr>
      <w:r w:rsidRPr="000B4E2C">
        <w:rPr>
          <w:lang w:val="en-GB" w:eastAsia="en-GB"/>
        </w:rPr>
        <w:t>Similarly, while there wa</w:t>
      </w:r>
      <w:r w:rsidR="00E67D31" w:rsidRPr="000B4E2C">
        <w:rPr>
          <w:lang w:val="en-GB" w:eastAsia="en-GB"/>
        </w:rPr>
        <w:t>s an indication that addition of</w:t>
      </w:r>
      <w:r w:rsidR="003D4032" w:rsidRPr="000B4E2C">
        <w:rPr>
          <w:lang w:val="en-GB" w:eastAsia="en-GB"/>
        </w:rPr>
        <w:t xml:space="preserve"> biomarkers to existing clinical</w:t>
      </w:r>
      <w:r w:rsidR="00E67D31" w:rsidRPr="000B4E2C">
        <w:rPr>
          <w:lang w:val="en-GB" w:eastAsia="en-GB"/>
        </w:rPr>
        <w:t xml:space="preserve"> models might improve the prediction of relevant clinical outcomes, studies varied substantially i</w:t>
      </w:r>
      <w:r w:rsidR="003D4032" w:rsidRPr="000B4E2C">
        <w:rPr>
          <w:lang w:val="en-GB" w:eastAsia="en-GB"/>
        </w:rPr>
        <w:t>n terms of study characteristics</w:t>
      </w:r>
      <w:r w:rsidR="00E67D31" w:rsidRPr="000B4E2C">
        <w:rPr>
          <w:lang w:val="en-GB" w:eastAsia="en-GB"/>
        </w:rPr>
        <w:t xml:space="preserve"> and statistical methods used to assess prediction limiting any reliable conclusion.</w:t>
      </w:r>
    </w:p>
    <w:p w14:paraId="0595AA9B" w14:textId="77777777" w:rsidR="000B4E2C" w:rsidRPr="000B4E2C" w:rsidRDefault="00E67D31" w:rsidP="008A7464">
      <w:pPr>
        <w:pStyle w:val="Heading1"/>
      </w:pPr>
      <w:r w:rsidRPr="000B4E2C">
        <w:t xml:space="preserve">On the whole, we observed considerable clinical and statistical heterogeneity </w:t>
      </w:r>
      <w:r w:rsidR="00257E97" w:rsidRPr="000B4E2C">
        <w:t xml:space="preserve">in all analyses, </w:t>
      </w:r>
      <w:r w:rsidRPr="000B4E2C">
        <w:t>especially with reg</w:t>
      </w:r>
      <w:r w:rsidR="00257E97" w:rsidRPr="000B4E2C">
        <w:t>ard to</w:t>
      </w:r>
      <w:r w:rsidR="001C2548" w:rsidRPr="000B4E2C">
        <w:t xml:space="preserve"> clinical setting, </w:t>
      </w:r>
      <w:r w:rsidR="00257E97" w:rsidRPr="000B4E2C">
        <w:t>NGAL threshold levels</w:t>
      </w:r>
      <w:r w:rsidRPr="000B4E2C">
        <w:t>, time of sample co</w:t>
      </w:r>
      <w:r w:rsidR="00257E97" w:rsidRPr="000B4E2C">
        <w:t xml:space="preserve">llection, definition of AKI, time of AKI diagnosis, </w:t>
      </w:r>
      <w:r w:rsidRPr="000B4E2C">
        <w:t>number of AKI events, assay platforms. Therefore, we have limited confidence in the validi</w:t>
      </w:r>
      <w:r w:rsidR="003D4032" w:rsidRPr="000B4E2C">
        <w:t>t</w:t>
      </w:r>
      <w:r w:rsidRPr="000B4E2C">
        <w:t>y and reliability of the observed results.</w:t>
      </w:r>
      <w:r w:rsidR="000B4E2C" w:rsidRPr="000B4E2C">
        <w:t xml:space="preserve"> </w:t>
      </w:r>
      <w:r w:rsidR="002F0133" w:rsidRPr="000B4E2C">
        <w:t>Chapter 4</w:t>
      </w:r>
      <w:r w:rsidR="002F0133" w:rsidRPr="000B4E2C">
        <w:tab/>
        <w:t>Assessment of cost-effectiveness</w:t>
      </w:r>
    </w:p>
    <w:p w14:paraId="03DD7E86" w14:textId="77777777" w:rsidR="000B4E2C" w:rsidRPr="000B4E2C" w:rsidRDefault="002F0133" w:rsidP="008A7464">
      <w:pPr>
        <w:rPr>
          <w:szCs w:val="24"/>
        </w:rPr>
      </w:pPr>
      <w:r w:rsidRPr="000B4E2C">
        <w:rPr>
          <w:color w:val="000000" w:themeColor="text1"/>
          <w:szCs w:val="24"/>
        </w:rPr>
        <w:t>This chapter assesses the cost-ef</w:t>
      </w:r>
      <w:r w:rsidR="008744F1" w:rsidRPr="000B4E2C">
        <w:rPr>
          <w:color w:val="000000" w:themeColor="text1"/>
          <w:szCs w:val="24"/>
        </w:rPr>
        <w:t xml:space="preserve">fectiveness of alternative biomarkers </w:t>
      </w:r>
      <w:r w:rsidRPr="000B4E2C">
        <w:rPr>
          <w:color w:val="000000" w:themeColor="text1"/>
          <w:szCs w:val="24"/>
        </w:rPr>
        <w:t>(</w:t>
      </w:r>
      <w:r w:rsidR="008744F1" w:rsidRPr="000B4E2C">
        <w:rPr>
          <w:szCs w:val="24"/>
        </w:rPr>
        <w:t xml:space="preserve">NephroCheck, ARCHITECT urine NGAL, </w:t>
      </w:r>
      <w:r w:rsidR="009D7F5A" w:rsidRPr="000B4E2C">
        <w:rPr>
          <w:szCs w:val="24"/>
        </w:rPr>
        <w:t>BioPorto</w:t>
      </w:r>
      <w:r w:rsidR="008744F1" w:rsidRPr="000B4E2C">
        <w:rPr>
          <w:szCs w:val="24"/>
        </w:rPr>
        <w:t xml:space="preserve"> urine and plasma</w:t>
      </w:r>
      <w:r w:rsidRPr="000B4E2C">
        <w:rPr>
          <w:szCs w:val="24"/>
        </w:rPr>
        <w:t xml:space="preserve"> NGAL </w:t>
      </w:r>
      <w:r w:rsidR="008744F1" w:rsidRPr="000B4E2C">
        <w:rPr>
          <w:szCs w:val="24"/>
        </w:rPr>
        <w:t>assays</w:t>
      </w:r>
      <w:r w:rsidRPr="000B4E2C">
        <w:rPr>
          <w:szCs w:val="24"/>
        </w:rPr>
        <w:t xml:space="preserve">) </w:t>
      </w:r>
      <w:r w:rsidR="008744F1" w:rsidRPr="000B4E2C">
        <w:rPr>
          <w:szCs w:val="24"/>
        </w:rPr>
        <w:t xml:space="preserve">used </w:t>
      </w:r>
      <w:r w:rsidR="003A3AB3" w:rsidRPr="000B4E2C">
        <w:rPr>
          <w:szCs w:val="24"/>
        </w:rPr>
        <w:t>in combination with</w:t>
      </w:r>
      <w:r w:rsidR="008744F1" w:rsidRPr="000B4E2C">
        <w:rPr>
          <w:szCs w:val="24"/>
        </w:rPr>
        <w:t xml:space="preserve"> </w:t>
      </w:r>
      <w:r w:rsidRPr="000B4E2C">
        <w:rPr>
          <w:szCs w:val="24"/>
        </w:rPr>
        <w:t>standard clinical assessment (i.e., seru</w:t>
      </w:r>
      <w:r w:rsidR="008744F1" w:rsidRPr="000B4E2C">
        <w:rPr>
          <w:szCs w:val="24"/>
        </w:rPr>
        <w:t xml:space="preserve">m creatinine and urine output) </w:t>
      </w:r>
      <w:r w:rsidRPr="000B4E2C">
        <w:rPr>
          <w:szCs w:val="24"/>
        </w:rPr>
        <w:t>compared with standard clinical assessment alone for evaluating critically ill people who are at risk of developing AKI and who are being considered for possible critical care admissi</w:t>
      </w:r>
      <w:r w:rsidR="008744F1" w:rsidRPr="000B4E2C">
        <w:rPr>
          <w:szCs w:val="24"/>
        </w:rPr>
        <w:t xml:space="preserve">on in a UK NHS hospital setting. </w:t>
      </w:r>
      <w:r w:rsidRPr="000B4E2C">
        <w:rPr>
          <w:szCs w:val="24"/>
        </w:rPr>
        <w:t>The specific objectives are to review the existing cost-effectiveness evidence base for these tests and to develop a de novo economic model to assess cost-effectiveness from a UK NHS and personal social services perspective.</w:t>
      </w:r>
    </w:p>
    <w:p w14:paraId="50D5FD04" w14:textId="59BEB2C8" w:rsidR="002F0133" w:rsidRPr="000B4E2C" w:rsidRDefault="002F0133" w:rsidP="008A7464">
      <w:pPr>
        <w:pStyle w:val="Heading2"/>
      </w:pPr>
      <w:r w:rsidRPr="000B4E2C">
        <w:t>Systematic review of existing cost-effectiveness evidence</w:t>
      </w:r>
    </w:p>
    <w:p w14:paraId="3C5866A2" w14:textId="77777777" w:rsidR="002F0133" w:rsidRPr="000B4E2C" w:rsidRDefault="002F0133" w:rsidP="008A7464">
      <w:pPr>
        <w:pStyle w:val="Heading3"/>
      </w:pPr>
      <w:r w:rsidRPr="000B4E2C">
        <w:t>Objective</w:t>
      </w:r>
    </w:p>
    <w:p w14:paraId="62D33AA3" w14:textId="77777777" w:rsidR="000B4E2C" w:rsidRPr="000B4E2C" w:rsidRDefault="001C2548" w:rsidP="008A7464">
      <w:pPr>
        <w:rPr>
          <w:szCs w:val="24"/>
        </w:rPr>
      </w:pPr>
      <w:r w:rsidRPr="000B4E2C">
        <w:rPr>
          <w:szCs w:val="24"/>
        </w:rPr>
        <w:t>The aim</w:t>
      </w:r>
      <w:r w:rsidR="002F0133" w:rsidRPr="000B4E2C">
        <w:rPr>
          <w:szCs w:val="24"/>
        </w:rPr>
        <w:t xml:space="preserve"> of the review of economic evaluations was to identify, report and critically appraise exist</w:t>
      </w:r>
      <w:r w:rsidRPr="000B4E2C">
        <w:rPr>
          <w:szCs w:val="24"/>
        </w:rPr>
        <w:t>ing economic evaluations of NephroCheck</w:t>
      </w:r>
      <w:r w:rsidR="002F0133" w:rsidRPr="000B4E2C">
        <w:rPr>
          <w:szCs w:val="24"/>
        </w:rPr>
        <w:t>,</w:t>
      </w:r>
      <w:r w:rsidRPr="000B4E2C">
        <w:rPr>
          <w:szCs w:val="24"/>
        </w:rPr>
        <w:t xml:space="preserve"> ARCHITECT urine NGAL, urine and plasma </w:t>
      </w:r>
      <w:r w:rsidR="002F0133" w:rsidRPr="000B4E2C">
        <w:rPr>
          <w:szCs w:val="24"/>
        </w:rPr>
        <w:t xml:space="preserve">NGAL </w:t>
      </w:r>
      <w:r w:rsidR="009D7F5A" w:rsidRPr="000B4E2C">
        <w:rPr>
          <w:szCs w:val="24"/>
        </w:rPr>
        <w:t>BioPorto</w:t>
      </w:r>
      <w:r w:rsidRPr="000B4E2C">
        <w:rPr>
          <w:szCs w:val="24"/>
        </w:rPr>
        <w:t xml:space="preserve"> assays </w:t>
      </w:r>
      <w:r w:rsidR="002F0133" w:rsidRPr="000B4E2C">
        <w:rPr>
          <w:szCs w:val="24"/>
        </w:rPr>
        <w:t>for evaluating critically ill people (adults and children) at risk of developing AKI.</w:t>
      </w:r>
    </w:p>
    <w:p w14:paraId="68F5DD0B" w14:textId="634B8251" w:rsidR="002F0133" w:rsidRPr="000B4E2C" w:rsidRDefault="002F0133" w:rsidP="008A7464">
      <w:pPr>
        <w:rPr>
          <w:b/>
          <w:i/>
          <w:szCs w:val="24"/>
        </w:rPr>
      </w:pPr>
      <w:r w:rsidRPr="000B4E2C">
        <w:rPr>
          <w:b/>
          <w:i/>
          <w:szCs w:val="24"/>
        </w:rPr>
        <w:t>Search strategies</w:t>
      </w:r>
    </w:p>
    <w:p w14:paraId="4F94C258" w14:textId="77777777" w:rsidR="000B4E2C" w:rsidRPr="000B4E2C" w:rsidRDefault="002F0133" w:rsidP="008A7464">
      <w:pPr>
        <w:rPr>
          <w:szCs w:val="24"/>
        </w:rPr>
      </w:pPr>
      <w:r w:rsidRPr="000B4E2C">
        <w:rPr>
          <w:szCs w:val="24"/>
        </w:rPr>
        <w:t>Comprehensive electronic searches were conducted to identify economic evaluations of the candidate tests. Highly sensitive search strategies were developed, to include index terms, free-text words, abbreviations, and synonyms. The electronic databases Ovid MEDLINE, Ovid EMBASE, NHS Economic Evaluations Database, HTA Database, Research Papers in Economics, and ISPOR Scientific Presentations were searched, with no restriction on date, language, or publication type. The searches were undertaken 27 May 2019, with additional searches on 11 September 2019.</w:t>
      </w:r>
    </w:p>
    <w:p w14:paraId="6B9790E2" w14:textId="5C7D578E" w:rsidR="002F0133" w:rsidRPr="000B4E2C" w:rsidRDefault="002F0133" w:rsidP="008A7464">
      <w:pPr>
        <w:pStyle w:val="Heading3"/>
      </w:pPr>
      <w:r w:rsidRPr="000B4E2C">
        <w:t>Inclusion and exclusion criteria</w:t>
      </w:r>
    </w:p>
    <w:p w14:paraId="5EC6A4D1" w14:textId="648A6EAE" w:rsidR="000B4E2C" w:rsidRPr="000B4E2C" w:rsidRDefault="002F0133" w:rsidP="008A7464">
      <w:pPr>
        <w:rPr>
          <w:color w:val="000000" w:themeColor="text1"/>
          <w:szCs w:val="24"/>
        </w:rPr>
      </w:pPr>
      <w:r w:rsidRPr="000B4E2C">
        <w:rPr>
          <w:color w:val="000000" w:themeColor="text1"/>
          <w:szCs w:val="24"/>
        </w:rPr>
        <w:t xml:space="preserve">Studies were deemed appropriate for inclusion in the review of economic evaluations if they were A) </w:t>
      </w:r>
      <w:r w:rsidR="00CA29E9" w:rsidRPr="000B4E2C">
        <w:rPr>
          <w:color w:val="000000" w:themeColor="text1"/>
          <w:szCs w:val="24"/>
        </w:rPr>
        <w:t>f</w:t>
      </w:r>
      <w:r w:rsidRPr="000B4E2C">
        <w:rPr>
          <w:color w:val="000000" w:themeColor="text1"/>
          <w:szCs w:val="24"/>
        </w:rPr>
        <w:t xml:space="preserve">ull economic evaluations, defined as a comparative assessment of costs and outcomes in the framework of cost-utility, cost-effectiveness, </w:t>
      </w:r>
      <w:r w:rsidR="000B4E2C" w:rsidRPr="000B4E2C">
        <w:rPr>
          <w:color w:val="00B0F0"/>
          <w:szCs w:val="24"/>
        </w:rPr>
        <w:t>cost–benefit</w:t>
      </w:r>
      <w:r w:rsidRPr="000B4E2C">
        <w:rPr>
          <w:color w:val="000000" w:themeColor="text1"/>
          <w:szCs w:val="24"/>
        </w:rPr>
        <w:t xml:space="preserve"> or cost-minimisation analyses and B) assessed the cost-effectiveness of the candidate tests within the population defined in the NICE scope (i.e.</w:t>
      </w:r>
      <w:r w:rsidR="00881500" w:rsidRPr="000B4E2C">
        <w:rPr>
          <w:color w:val="000000" w:themeColor="text1"/>
          <w:szCs w:val="24"/>
        </w:rPr>
        <w:t>,</w:t>
      </w:r>
      <w:r w:rsidRPr="000B4E2C">
        <w:rPr>
          <w:color w:val="000000" w:themeColor="text1"/>
          <w:szCs w:val="24"/>
        </w:rPr>
        <w:t xml:space="preserve"> critically ill people, adults and children, at risk of AKI who are being considered for admission to ICU) and C) provided sufficient information to judge the quality of the study and obtain any relevant </w:t>
      </w:r>
      <w:r w:rsidRPr="000B4E2C">
        <w:rPr>
          <w:color w:val="000000" w:themeColor="text1"/>
          <w:szCs w:val="24"/>
          <w:highlight w:val="magenta"/>
        </w:rPr>
        <w:t>data</w:t>
      </w:r>
      <w:r w:rsidRPr="000B4E2C">
        <w:rPr>
          <w:color w:val="000000" w:themeColor="text1"/>
          <w:szCs w:val="24"/>
        </w:rPr>
        <w:t xml:space="preserve"> (i.e.</w:t>
      </w:r>
      <w:r w:rsidR="00881500" w:rsidRPr="000B4E2C">
        <w:rPr>
          <w:color w:val="000000" w:themeColor="text1"/>
          <w:szCs w:val="24"/>
        </w:rPr>
        <w:t>,</w:t>
      </w:r>
      <w:r w:rsidRPr="000B4E2C">
        <w:rPr>
          <w:color w:val="000000" w:themeColor="text1"/>
          <w:szCs w:val="24"/>
        </w:rPr>
        <w:t xml:space="preserve"> conference abstracts alone were unlikely to meet </w:t>
      </w:r>
      <w:r w:rsidRPr="000B4E2C">
        <w:rPr>
          <w:color w:val="000000" w:themeColor="text1"/>
          <w:szCs w:val="24"/>
          <w:highlight w:val="magenta"/>
        </w:rPr>
        <w:t>this criteria</w:t>
      </w:r>
      <w:r w:rsidRPr="000B4E2C">
        <w:rPr>
          <w:color w:val="000000" w:themeColor="text1"/>
          <w:szCs w:val="24"/>
        </w:rPr>
        <w:t>).</w:t>
      </w:r>
      <w:r w:rsidR="000B4E2C" w:rsidRPr="000B4E2C">
        <w:rPr>
          <w:color w:val="000000" w:themeColor="text1"/>
          <w:szCs w:val="24"/>
        </w:rPr>
        <w:t xml:space="preserve"> </w:t>
      </w:r>
      <w:r w:rsidRPr="000B4E2C">
        <w:rPr>
          <w:color w:val="000000" w:themeColor="text1"/>
          <w:szCs w:val="24"/>
        </w:rPr>
        <w:t>Economic evaluations conducted alongside single effectiveness studies (e.g. RCTs) and decision analysis models were all deemed relevant for inclusion.</w:t>
      </w:r>
      <w:r w:rsidR="000B4E2C" w:rsidRPr="000B4E2C">
        <w:rPr>
          <w:color w:val="000000" w:themeColor="text1"/>
          <w:szCs w:val="24"/>
        </w:rPr>
        <w:t xml:space="preserve"> </w:t>
      </w:r>
      <w:r w:rsidRPr="000B4E2C">
        <w:rPr>
          <w:color w:val="000000" w:themeColor="text1"/>
          <w:szCs w:val="24"/>
        </w:rPr>
        <w:t>Studies were excluded if they were methodological studies, systematic reviews of cost-effectiveness studies (though these were retained for reference), or cost-of-illness studies.</w:t>
      </w:r>
      <w:r w:rsidR="000B4E2C" w:rsidRPr="000B4E2C">
        <w:rPr>
          <w:color w:val="000000" w:themeColor="text1"/>
          <w:szCs w:val="24"/>
        </w:rPr>
        <w:t xml:space="preserve"> </w:t>
      </w:r>
      <w:r w:rsidRPr="000B4E2C">
        <w:rPr>
          <w:color w:val="000000" w:themeColor="text1"/>
          <w:szCs w:val="24"/>
        </w:rPr>
        <w:t>Studies were also excluded if they only assessed tests</w:t>
      </w:r>
      <w:r w:rsidR="000B4E2C" w:rsidRPr="000B4E2C">
        <w:rPr>
          <w:color w:val="00B0F0"/>
          <w:szCs w:val="24"/>
        </w:rPr>
        <w:t>/</w:t>
      </w:r>
      <w:r w:rsidRPr="000B4E2C">
        <w:rPr>
          <w:color w:val="000000" w:themeColor="text1"/>
          <w:szCs w:val="24"/>
        </w:rPr>
        <w:t>biomarkers outside of the NICE scope (e.g. Cystatin C</w:t>
      </w:r>
      <w:r w:rsidR="007A6BF6" w:rsidRPr="000B4E2C">
        <w:rPr>
          <w:color w:val="000000" w:themeColor="text1"/>
          <w:szCs w:val="24"/>
        </w:rPr>
        <w:t>) or</w:t>
      </w:r>
      <w:r w:rsidRPr="000B4E2C">
        <w:rPr>
          <w:color w:val="000000" w:themeColor="text1"/>
          <w:szCs w:val="24"/>
        </w:rPr>
        <w:t xml:space="preserve"> used the candidate tests for a purpose other than determining risk of AKI.</w:t>
      </w:r>
    </w:p>
    <w:p w14:paraId="414E70AA" w14:textId="18F0890E" w:rsidR="002F0133" w:rsidRPr="000B4E2C" w:rsidRDefault="002F0133" w:rsidP="008A7464">
      <w:pPr>
        <w:pStyle w:val="Heading3"/>
      </w:pPr>
      <w:r w:rsidRPr="000B4E2C">
        <w:t>Quality assessment of included studies</w:t>
      </w:r>
    </w:p>
    <w:p w14:paraId="785474D5" w14:textId="77777777" w:rsidR="000B4E2C" w:rsidRPr="000B4E2C" w:rsidRDefault="002F0133" w:rsidP="008A7464">
      <w:pPr>
        <w:rPr>
          <w:iCs/>
          <w:snapToGrid w:val="0"/>
          <w:szCs w:val="24"/>
        </w:rPr>
      </w:pPr>
      <w:r w:rsidRPr="000B4E2C">
        <w:rPr>
          <w:color w:val="000000" w:themeColor="text1"/>
          <w:szCs w:val="24"/>
        </w:rPr>
        <w:t xml:space="preserve">Included studies </w:t>
      </w:r>
      <w:r w:rsidRPr="000B4E2C">
        <w:rPr>
          <w:iCs/>
          <w:snapToGrid w:val="0"/>
          <w:szCs w:val="24"/>
        </w:rPr>
        <w:t>are appraised against the NICE reference case for the assessment of cost-effectiveness of diagnostic tests</w:t>
      </w:r>
      <w:r w:rsidR="00A96F4F" w:rsidRPr="000B4E2C">
        <w:rPr>
          <w:iCs/>
          <w:snapToGrid w:val="0"/>
          <w:szCs w:val="24"/>
        </w:rPr>
        <w:t>.</w:t>
      </w:r>
      <w:r w:rsidR="005B5026" w:rsidRPr="000B4E2C">
        <w:rPr>
          <w:iCs/>
          <w:noProof/>
          <w:snapToGrid w:val="0"/>
          <w:szCs w:val="24"/>
          <w:vertAlign w:val="superscript"/>
        </w:rPr>
        <w:t>98</w:t>
      </w:r>
    </w:p>
    <w:p w14:paraId="55FB2D69" w14:textId="05ADD1C0" w:rsidR="002F0133" w:rsidRPr="000B4E2C" w:rsidRDefault="002F0133" w:rsidP="008A7464">
      <w:pPr>
        <w:pStyle w:val="Heading3"/>
        <w:rPr>
          <w:snapToGrid w:val="0"/>
        </w:rPr>
      </w:pPr>
      <w:r w:rsidRPr="000B4E2C">
        <w:rPr>
          <w:snapToGrid w:val="0"/>
        </w:rPr>
        <w:t>Evidence synthesis of cost-effectiveness studies</w:t>
      </w:r>
    </w:p>
    <w:p w14:paraId="067A4B2C" w14:textId="77777777" w:rsidR="000B4E2C" w:rsidRPr="000B4E2C" w:rsidRDefault="002F0133" w:rsidP="008A7464">
      <w:pPr>
        <w:rPr>
          <w:iCs/>
          <w:snapToGrid w:val="0"/>
          <w:szCs w:val="24"/>
        </w:rPr>
      </w:pPr>
      <w:r w:rsidRPr="000B4E2C">
        <w:rPr>
          <w:iCs/>
          <w:snapToGrid w:val="0"/>
          <w:szCs w:val="24"/>
        </w:rPr>
        <w:t>The main findings are summarised in a narrative review, with key study characteristics and findings tabulated for ease of comparison.</w:t>
      </w:r>
    </w:p>
    <w:p w14:paraId="163A59BC" w14:textId="5B131786" w:rsidR="002F0133" w:rsidRPr="000B4E2C" w:rsidRDefault="002F0133" w:rsidP="008A7464">
      <w:pPr>
        <w:pStyle w:val="Heading3"/>
        <w:rPr>
          <w:snapToGrid w:val="0"/>
        </w:rPr>
      </w:pPr>
      <w:r w:rsidRPr="000B4E2C">
        <w:rPr>
          <w:snapToGrid w:val="0"/>
        </w:rPr>
        <w:t>Results</w:t>
      </w:r>
    </w:p>
    <w:p w14:paraId="216790E5" w14:textId="162700C3" w:rsidR="000B4E2C" w:rsidRPr="000B4E2C" w:rsidRDefault="000B4E2C" w:rsidP="008A7464">
      <w:pPr>
        <w:rPr>
          <w:color w:val="000000" w:themeColor="text1"/>
          <w:szCs w:val="24"/>
        </w:rPr>
      </w:pPr>
      <w:r w:rsidRPr="000B4E2C">
        <w:rPr>
          <w:i/>
          <w:color w:val="FF0000"/>
          <w:szCs w:val="24"/>
        </w:rPr>
        <w:t>F</w:t>
      </w:r>
      <w:r w:rsidRPr="000B4E2C">
        <w:rPr>
          <w:i/>
          <w:color w:val="FF0000"/>
          <w:szCs w:val="24"/>
        </w:rPr>
        <w:t>igure</w:t>
      </w:r>
      <w:r w:rsidRPr="000B4E2C">
        <w:rPr>
          <w:i/>
          <w:color w:val="FF0000"/>
          <w:szCs w:val="24"/>
        </w:rPr>
        <w:t xml:space="preserve"> </w:t>
      </w:r>
      <w:r w:rsidRPr="000B4E2C">
        <w:rPr>
          <w:i/>
          <w:color w:val="FF0000"/>
          <w:szCs w:val="24"/>
        </w:rPr>
        <w:t>19</w:t>
      </w:r>
      <w:r w:rsidR="00550B0A" w:rsidRPr="000B4E2C">
        <w:rPr>
          <w:color w:val="000000" w:themeColor="text1"/>
          <w:szCs w:val="24"/>
        </w:rPr>
        <w:t xml:space="preserve"> </w:t>
      </w:r>
      <w:r w:rsidR="002F0133" w:rsidRPr="000B4E2C">
        <w:rPr>
          <w:color w:val="000000" w:themeColor="text1"/>
          <w:szCs w:val="24"/>
        </w:rPr>
        <w:t>illustrates the PRISMA flow chart for the review of economic evaluations.</w:t>
      </w:r>
      <w:r w:rsidRPr="000B4E2C">
        <w:rPr>
          <w:color w:val="000000" w:themeColor="text1"/>
          <w:szCs w:val="24"/>
        </w:rPr>
        <w:t xml:space="preserve"> </w:t>
      </w:r>
      <w:r w:rsidR="002F0133" w:rsidRPr="000B4E2C">
        <w:rPr>
          <w:color w:val="000000" w:themeColor="text1"/>
          <w:szCs w:val="24"/>
        </w:rPr>
        <w:t>The searches identified 125 potentially relevant abstracts.</w:t>
      </w:r>
      <w:r w:rsidRPr="000B4E2C">
        <w:rPr>
          <w:color w:val="000000" w:themeColor="text1"/>
          <w:szCs w:val="24"/>
        </w:rPr>
        <w:t xml:space="preserve"> </w:t>
      </w:r>
      <w:r w:rsidR="002F0133" w:rsidRPr="000B4E2C">
        <w:rPr>
          <w:color w:val="000000" w:themeColor="text1"/>
          <w:szCs w:val="24"/>
        </w:rPr>
        <w:t>After abstract screening, 99 (79.2%) studies were excluded because they did not meet the inclusion criteria. Full text articles were sought for the remaining 26 (20.8%) studies for further assessment against the inclusion</w:t>
      </w:r>
      <w:r w:rsidRPr="000B4E2C">
        <w:rPr>
          <w:color w:val="00B0F0"/>
          <w:szCs w:val="24"/>
        </w:rPr>
        <w:t>/</w:t>
      </w:r>
      <w:r w:rsidR="002F0133" w:rsidRPr="000B4E2C">
        <w:rPr>
          <w:color w:val="000000" w:themeColor="text1"/>
          <w:szCs w:val="24"/>
        </w:rPr>
        <w:t>exclusion criteria. Of those 26 studies, four studies were ultimately included in the review</w:t>
      </w:r>
      <w:r w:rsidR="005B5026" w:rsidRPr="000B4E2C">
        <w:rPr>
          <w:noProof/>
          <w:color w:val="000000" w:themeColor="text1"/>
          <w:szCs w:val="24"/>
          <w:vertAlign w:val="superscript"/>
        </w:rPr>
        <w:t>97, 99</w:t>
      </w:r>
      <w:r w:rsidRPr="000B4E2C">
        <w:rPr>
          <w:noProof/>
          <w:color w:val="00B0F0"/>
          <w:szCs w:val="24"/>
          <w:vertAlign w:val="superscript"/>
        </w:rPr>
        <w:t>–</w:t>
      </w:r>
      <w:r w:rsidRPr="000B4E2C">
        <w:rPr>
          <w:noProof/>
          <w:color w:val="00B0F0"/>
          <w:szCs w:val="24"/>
          <w:vertAlign w:val="superscript"/>
        </w:rPr>
        <w:t>1</w:t>
      </w:r>
      <w:r w:rsidR="005B5026" w:rsidRPr="000B4E2C">
        <w:rPr>
          <w:noProof/>
          <w:color w:val="000000" w:themeColor="text1"/>
          <w:szCs w:val="24"/>
          <w:vertAlign w:val="superscript"/>
        </w:rPr>
        <w:t>01</w:t>
      </w:r>
      <w:r w:rsidR="002F0133" w:rsidRPr="000B4E2C">
        <w:rPr>
          <w:color w:val="000000" w:themeColor="text1"/>
          <w:szCs w:val="24"/>
        </w:rPr>
        <w:t xml:space="preserve">. A tabulated summary of the study characteristics and results is provided in </w:t>
      </w:r>
      <w:r w:rsidRPr="000B4E2C">
        <w:rPr>
          <w:i/>
          <w:color w:val="FF0000"/>
          <w:szCs w:val="24"/>
        </w:rPr>
        <w:t>T</w:t>
      </w:r>
      <w:r w:rsidRPr="000B4E2C">
        <w:rPr>
          <w:i/>
          <w:color w:val="FF0000"/>
          <w:szCs w:val="24"/>
        </w:rPr>
        <w:t>able</w:t>
      </w:r>
      <w:r w:rsidRPr="000B4E2C">
        <w:rPr>
          <w:i/>
          <w:color w:val="FF0000"/>
          <w:szCs w:val="24"/>
        </w:rPr>
        <w:t xml:space="preserve"> </w:t>
      </w:r>
      <w:r w:rsidRPr="000B4E2C">
        <w:rPr>
          <w:i/>
          <w:color w:val="FF0000"/>
          <w:szCs w:val="24"/>
        </w:rPr>
        <w:t>13</w:t>
      </w:r>
      <w:r w:rsidR="007959A7" w:rsidRPr="000B4E2C">
        <w:rPr>
          <w:color w:val="000000" w:themeColor="text1"/>
          <w:szCs w:val="24"/>
        </w:rPr>
        <w:t xml:space="preserve"> </w:t>
      </w:r>
      <w:r w:rsidR="002F0133" w:rsidRPr="000B4E2C">
        <w:rPr>
          <w:color w:val="000000" w:themeColor="text1"/>
          <w:szCs w:val="24"/>
        </w:rPr>
        <w:t xml:space="preserve">and a quality assessment against the NICE reference case provided in </w:t>
      </w:r>
      <w:r w:rsidRPr="000B4E2C">
        <w:rPr>
          <w:i/>
          <w:color w:val="FF0000"/>
          <w:szCs w:val="24"/>
        </w:rPr>
        <w:t>T</w:t>
      </w:r>
      <w:r w:rsidRPr="000B4E2C">
        <w:rPr>
          <w:i/>
          <w:color w:val="FF0000"/>
          <w:szCs w:val="24"/>
        </w:rPr>
        <w:t>able</w:t>
      </w:r>
      <w:r w:rsidRPr="000B4E2C">
        <w:rPr>
          <w:i/>
          <w:color w:val="FF0000"/>
          <w:szCs w:val="24"/>
        </w:rPr>
        <w:t xml:space="preserve"> </w:t>
      </w:r>
      <w:r w:rsidRPr="000B4E2C">
        <w:rPr>
          <w:i/>
          <w:color w:val="FF0000"/>
          <w:szCs w:val="24"/>
        </w:rPr>
        <w:t>14</w:t>
      </w:r>
      <w:r w:rsidR="002F0133" w:rsidRPr="000B4E2C">
        <w:rPr>
          <w:color w:val="000000" w:themeColor="text1"/>
          <w:szCs w:val="24"/>
        </w:rPr>
        <w:t>.</w:t>
      </w:r>
    </w:p>
    <w:p w14:paraId="1AB15966" w14:textId="1193FF6E" w:rsidR="000B4E2C" w:rsidRPr="000B4E2C" w:rsidRDefault="000B4E2C" w:rsidP="00BB4DF5">
      <w:r w:rsidRPr="000B4E2C">
        <w:rPr>
          <w:i/>
          <w:color w:val="FF0000"/>
        </w:rPr>
        <w:lastRenderedPageBreak/>
        <w:t>F</w:t>
      </w:r>
      <w:r w:rsidRPr="000B4E2C">
        <w:rPr>
          <w:i/>
          <w:color w:val="FF0000"/>
        </w:rPr>
        <w:t>igure</w:t>
      </w:r>
      <w:r w:rsidRPr="000B4E2C">
        <w:rPr>
          <w:i/>
          <w:color w:val="FF0000"/>
        </w:rPr>
        <w:t xml:space="preserve"> </w:t>
      </w:r>
      <w:r w:rsidRPr="000B4E2C">
        <w:rPr>
          <w:i/>
          <w:color w:val="FF0000"/>
        </w:rPr>
        <w:t>19</w:t>
      </w:r>
      <w:r w:rsidRPr="000B4E2C">
        <w:t xml:space="preserve"> </w:t>
      </w:r>
      <w:r w:rsidR="00BB4DF5" w:rsidRPr="000B4E2C">
        <w:t>PRISMA flow chart for review of cost-effectiveness studies. CA: Conference Abstract; EE: Economic Evaluation</w:t>
      </w:r>
    </w:p>
    <w:p w14:paraId="0C9C509C" w14:textId="1D16A96E" w:rsidR="002F0133" w:rsidRPr="000B4E2C" w:rsidRDefault="000B4E2C" w:rsidP="008A7464">
      <w:pPr>
        <w:pStyle w:val="Heading2"/>
      </w:pPr>
      <w:r w:rsidRPr="000B4E2C">
        <w:rPr>
          <w:i/>
          <w:color w:val="FF0000"/>
        </w:rPr>
        <w:lastRenderedPageBreak/>
        <w:t>T</w:t>
      </w:r>
      <w:r w:rsidRPr="000B4E2C">
        <w:rPr>
          <w:i/>
          <w:color w:val="FF0000"/>
        </w:rPr>
        <w:t>able</w:t>
      </w:r>
      <w:r w:rsidRPr="000B4E2C">
        <w:rPr>
          <w:i/>
          <w:color w:val="FF0000"/>
        </w:rPr>
        <w:t xml:space="preserve"> </w:t>
      </w:r>
      <w:r w:rsidRPr="000B4E2C">
        <w:rPr>
          <w:i/>
          <w:color w:val="FF0000"/>
        </w:rPr>
        <w:t>13</w:t>
      </w:r>
      <w:r w:rsidRPr="000B4E2C">
        <w:t xml:space="preserve"> </w:t>
      </w:r>
      <w:r w:rsidR="002F0133" w:rsidRPr="000B4E2C">
        <w:t>Summary of study characteristics and results from the review of economic evaluations</w:t>
      </w:r>
    </w:p>
    <w:tbl>
      <w:tblPr>
        <w:tblStyle w:val="TableGrid"/>
        <w:tblW w:w="0" w:type="auto"/>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57" w:type="dxa"/>
          <w:bottom w:w="40" w:type="dxa"/>
          <w:right w:w="57" w:type="dxa"/>
        </w:tblCellMar>
        <w:tblLook w:val="04A0" w:firstRow="1" w:lastRow="0" w:firstColumn="1" w:lastColumn="0" w:noHBand="0" w:noVBand="1"/>
      </w:tblPr>
      <w:tblGrid>
        <w:gridCol w:w="2185"/>
        <w:gridCol w:w="2054"/>
        <w:gridCol w:w="1599"/>
        <w:gridCol w:w="1736"/>
        <w:gridCol w:w="2024"/>
      </w:tblGrid>
      <w:tr w:rsidR="000C2218" w:rsidRPr="000B4E2C" w14:paraId="1829E250" w14:textId="77777777" w:rsidTr="000B4E2C">
        <w:trPr>
          <w:cantSplit/>
          <w:tblHeader/>
        </w:trPr>
        <w:tc>
          <w:tcPr>
            <w:tcW w:w="0" w:type="auto"/>
            <w:shd w:val="clear" w:color="auto" w:fill="auto"/>
            <w:hideMark/>
          </w:tcPr>
          <w:p w14:paraId="63CD300F" w14:textId="77777777" w:rsidR="002F0133" w:rsidRPr="000B4E2C" w:rsidRDefault="002F0133" w:rsidP="008A7464">
            <w:pPr>
              <w:rPr>
                <w:b/>
                <w:color w:val="000000" w:themeColor="text1"/>
              </w:rPr>
            </w:pPr>
            <w:r w:rsidRPr="000B4E2C">
              <w:rPr>
                <w:b/>
                <w:color w:val="000000" w:themeColor="text1"/>
              </w:rPr>
              <w:lastRenderedPageBreak/>
              <w:t>Author, Year</w:t>
            </w:r>
          </w:p>
        </w:tc>
        <w:tc>
          <w:tcPr>
            <w:tcW w:w="0" w:type="auto"/>
            <w:shd w:val="clear" w:color="auto" w:fill="auto"/>
            <w:hideMark/>
          </w:tcPr>
          <w:p w14:paraId="51B9A2EA" w14:textId="4AE1208B" w:rsidR="002F0133" w:rsidRPr="000B4E2C" w:rsidRDefault="002F0133" w:rsidP="008A7464">
            <w:pPr>
              <w:rPr>
                <w:b/>
                <w:color w:val="000000" w:themeColor="text1"/>
              </w:rPr>
            </w:pPr>
            <w:r w:rsidRPr="000B4E2C">
              <w:rPr>
                <w:b/>
                <w:color w:val="000000" w:themeColor="text1"/>
              </w:rPr>
              <w:t>Hall, 2018</w:t>
            </w:r>
            <w:r w:rsidR="005B5026" w:rsidRPr="000B4E2C">
              <w:rPr>
                <w:b/>
                <w:noProof/>
                <w:color w:val="000000" w:themeColor="text1"/>
                <w:vertAlign w:val="superscript"/>
              </w:rPr>
              <w:t>99</w:t>
            </w:r>
          </w:p>
        </w:tc>
        <w:tc>
          <w:tcPr>
            <w:tcW w:w="0" w:type="auto"/>
            <w:shd w:val="clear" w:color="auto" w:fill="auto"/>
            <w:hideMark/>
          </w:tcPr>
          <w:p w14:paraId="59ABC153" w14:textId="5273FE54" w:rsidR="002F0133" w:rsidRPr="000B4E2C" w:rsidRDefault="002F0133" w:rsidP="008A7464">
            <w:pPr>
              <w:rPr>
                <w:b/>
                <w:color w:val="000000" w:themeColor="text1"/>
              </w:rPr>
            </w:pPr>
            <w:r w:rsidRPr="000B4E2C">
              <w:rPr>
                <w:b/>
                <w:color w:val="000000" w:themeColor="text1"/>
              </w:rPr>
              <w:t>Parikh, 2017</w:t>
            </w:r>
            <w:r w:rsidR="005B5026" w:rsidRPr="000B4E2C">
              <w:rPr>
                <w:b/>
                <w:noProof/>
                <w:color w:val="000000" w:themeColor="text1"/>
                <w:vertAlign w:val="superscript"/>
              </w:rPr>
              <w:t>97</w:t>
            </w:r>
          </w:p>
        </w:tc>
        <w:tc>
          <w:tcPr>
            <w:tcW w:w="0" w:type="auto"/>
            <w:shd w:val="clear" w:color="auto" w:fill="auto"/>
            <w:hideMark/>
          </w:tcPr>
          <w:p w14:paraId="2D247095" w14:textId="68732701" w:rsidR="002F0133" w:rsidRPr="000B4E2C" w:rsidRDefault="002F0133" w:rsidP="008A7464">
            <w:pPr>
              <w:rPr>
                <w:b/>
                <w:color w:val="000000" w:themeColor="text1"/>
              </w:rPr>
            </w:pPr>
            <w:r w:rsidRPr="000B4E2C">
              <w:rPr>
                <w:b/>
                <w:color w:val="000000" w:themeColor="text1"/>
              </w:rPr>
              <w:t>Petrovic, 2015</w:t>
            </w:r>
            <w:r w:rsidR="005B5026" w:rsidRPr="000B4E2C">
              <w:rPr>
                <w:b/>
                <w:noProof/>
                <w:color w:val="000000" w:themeColor="text1"/>
                <w:vertAlign w:val="superscript"/>
              </w:rPr>
              <w:t>100</w:t>
            </w:r>
          </w:p>
        </w:tc>
        <w:tc>
          <w:tcPr>
            <w:tcW w:w="0" w:type="auto"/>
            <w:shd w:val="clear" w:color="auto" w:fill="auto"/>
            <w:hideMark/>
          </w:tcPr>
          <w:p w14:paraId="69FFDF64" w14:textId="5E07F06F" w:rsidR="002F0133" w:rsidRPr="000B4E2C" w:rsidRDefault="002F0133" w:rsidP="008A7464">
            <w:pPr>
              <w:rPr>
                <w:b/>
                <w:color w:val="000000" w:themeColor="text1"/>
              </w:rPr>
            </w:pPr>
            <w:r w:rsidRPr="000B4E2C">
              <w:rPr>
                <w:b/>
                <w:color w:val="000000" w:themeColor="text1"/>
              </w:rPr>
              <w:t>Shaw, 2011</w:t>
            </w:r>
            <w:r w:rsidR="005B5026" w:rsidRPr="000B4E2C">
              <w:rPr>
                <w:b/>
                <w:noProof/>
                <w:color w:val="000000" w:themeColor="text1"/>
                <w:vertAlign w:val="superscript"/>
              </w:rPr>
              <w:t>101</w:t>
            </w:r>
          </w:p>
        </w:tc>
      </w:tr>
      <w:tr w:rsidR="000C2218" w:rsidRPr="000B4E2C" w14:paraId="4796C04A" w14:textId="77777777" w:rsidTr="000B4E2C">
        <w:trPr>
          <w:cantSplit/>
          <w:tblHeader/>
        </w:trPr>
        <w:tc>
          <w:tcPr>
            <w:tcW w:w="0" w:type="auto"/>
            <w:shd w:val="clear" w:color="auto" w:fill="auto"/>
            <w:hideMark/>
          </w:tcPr>
          <w:p w14:paraId="19DBC885" w14:textId="77777777" w:rsidR="002F0133" w:rsidRPr="000B4E2C" w:rsidRDefault="002F0133" w:rsidP="008A7464">
            <w:pPr>
              <w:rPr>
                <w:b/>
                <w:color w:val="000000" w:themeColor="text1"/>
              </w:rPr>
            </w:pPr>
            <w:r w:rsidRPr="000B4E2C">
              <w:rPr>
                <w:b/>
                <w:color w:val="000000" w:themeColor="text1"/>
              </w:rPr>
              <w:t>Population</w:t>
            </w:r>
          </w:p>
        </w:tc>
        <w:tc>
          <w:tcPr>
            <w:tcW w:w="0" w:type="auto"/>
            <w:shd w:val="clear" w:color="auto" w:fill="auto"/>
            <w:hideMark/>
          </w:tcPr>
          <w:p w14:paraId="1FA8454C" w14:textId="091ED5E8" w:rsidR="002F0133" w:rsidRPr="000B4E2C" w:rsidRDefault="002F0133" w:rsidP="008A7464">
            <w:pPr>
              <w:rPr>
                <w:color w:val="000000" w:themeColor="text1"/>
              </w:rPr>
            </w:pPr>
            <w:r w:rsidRPr="000B4E2C">
              <w:rPr>
                <w:color w:val="000000" w:themeColor="text1"/>
              </w:rPr>
              <w:t>Adults, aged 1</w:t>
            </w:r>
            <w:r w:rsidR="000B4E2C" w:rsidRPr="000B4E2C">
              <w:rPr>
                <w:color w:val="00B0F0"/>
              </w:rPr>
              <w:t>8</w:t>
            </w:r>
            <w:r w:rsidR="000B4E2C" w:rsidRPr="000B4E2C">
              <w:rPr>
                <w:color w:val="00B0F0"/>
              </w:rPr>
              <w:t> </w:t>
            </w:r>
            <w:r w:rsidR="000B4E2C" w:rsidRPr="000B4E2C">
              <w:rPr>
                <w:color w:val="00B0F0"/>
              </w:rPr>
              <w:t>+</w:t>
            </w:r>
            <w:r w:rsidRPr="000B4E2C">
              <w:rPr>
                <w:color w:val="000000" w:themeColor="text1"/>
              </w:rPr>
              <w:t xml:space="preserve"> </w:t>
            </w:r>
          </w:p>
        </w:tc>
        <w:tc>
          <w:tcPr>
            <w:tcW w:w="0" w:type="auto"/>
            <w:shd w:val="clear" w:color="auto" w:fill="auto"/>
            <w:hideMark/>
          </w:tcPr>
          <w:p w14:paraId="15774A2E" w14:textId="7AA5DFE9" w:rsidR="002F0133" w:rsidRPr="000B4E2C" w:rsidRDefault="002F0133" w:rsidP="008A7464">
            <w:pPr>
              <w:rPr>
                <w:color w:val="000000" w:themeColor="text1"/>
              </w:rPr>
            </w:pPr>
            <w:r w:rsidRPr="000B4E2C">
              <w:rPr>
                <w:color w:val="000000" w:themeColor="text1"/>
              </w:rPr>
              <w:t>Adults, aged 1</w:t>
            </w:r>
            <w:r w:rsidR="000B4E2C" w:rsidRPr="000B4E2C">
              <w:rPr>
                <w:color w:val="00B0F0"/>
              </w:rPr>
              <w:t>8</w:t>
            </w:r>
            <w:r w:rsidR="000B4E2C" w:rsidRPr="000B4E2C">
              <w:rPr>
                <w:color w:val="00B0F0"/>
              </w:rPr>
              <w:t> </w:t>
            </w:r>
            <w:r w:rsidR="000B4E2C" w:rsidRPr="000B4E2C">
              <w:rPr>
                <w:color w:val="00B0F0"/>
              </w:rPr>
              <w:t>+</w:t>
            </w:r>
            <w:r w:rsidRPr="000B4E2C">
              <w:rPr>
                <w:color w:val="000000" w:themeColor="text1"/>
              </w:rPr>
              <w:t>, without ESRD or need for RRT</w:t>
            </w:r>
          </w:p>
        </w:tc>
        <w:tc>
          <w:tcPr>
            <w:tcW w:w="0" w:type="auto"/>
            <w:shd w:val="clear" w:color="auto" w:fill="auto"/>
            <w:hideMark/>
          </w:tcPr>
          <w:p w14:paraId="1C658AD3" w14:textId="77777777" w:rsidR="002F0133" w:rsidRPr="000B4E2C" w:rsidRDefault="002F0133" w:rsidP="008A7464">
            <w:pPr>
              <w:rPr>
                <w:color w:val="000000" w:themeColor="text1"/>
              </w:rPr>
            </w:pPr>
            <w:r w:rsidRPr="000B4E2C">
              <w:rPr>
                <w:color w:val="000000" w:themeColor="text1"/>
              </w:rPr>
              <w:t>Paediatric, age 18 and under</w:t>
            </w:r>
          </w:p>
        </w:tc>
        <w:tc>
          <w:tcPr>
            <w:tcW w:w="0" w:type="auto"/>
            <w:shd w:val="clear" w:color="auto" w:fill="auto"/>
            <w:hideMark/>
          </w:tcPr>
          <w:p w14:paraId="7E8B7865" w14:textId="77777777" w:rsidR="002F0133" w:rsidRPr="000B4E2C" w:rsidRDefault="002F0133" w:rsidP="008A7464">
            <w:pPr>
              <w:rPr>
                <w:color w:val="000000" w:themeColor="text1"/>
              </w:rPr>
            </w:pPr>
            <w:r w:rsidRPr="000B4E2C">
              <w:rPr>
                <w:color w:val="000000" w:themeColor="text1"/>
              </w:rPr>
              <w:t>Base case: 67 year old male</w:t>
            </w:r>
          </w:p>
        </w:tc>
      </w:tr>
      <w:tr w:rsidR="000C2218" w:rsidRPr="000B4E2C" w14:paraId="2333470B" w14:textId="77777777" w:rsidTr="000B4E2C">
        <w:trPr>
          <w:cantSplit/>
          <w:tblHeader/>
        </w:trPr>
        <w:tc>
          <w:tcPr>
            <w:tcW w:w="0" w:type="auto"/>
            <w:shd w:val="clear" w:color="auto" w:fill="auto"/>
            <w:hideMark/>
          </w:tcPr>
          <w:p w14:paraId="7D5BABA0" w14:textId="77777777" w:rsidR="002F0133" w:rsidRPr="000B4E2C" w:rsidRDefault="002F0133" w:rsidP="008A7464">
            <w:pPr>
              <w:rPr>
                <w:b/>
                <w:color w:val="000000" w:themeColor="text1"/>
              </w:rPr>
            </w:pPr>
            <w:r w:rsidRPr="000B4E2C">
              <w:rPr>
                <w:b/>
                <w:color w:val="000000" w:themeColor="text1"/>
              </w:rPr>
              <w:t>Setting</w:t>
            </w:r>
          </w:p>
        </w:tc>
        <w:tc>
          <w:tcPr>
            <w:tcW w:w="0" w:type="auto"/>
            <w:shd w:val="clear" w:color="auto" w:fill="auto"/>
            <w:hideMark/>
          </w:tcPr>
          <w:p w14:paraId="40D403AC" w14:textId="77777777" w:rsidR="002F0133" w:rsidRPr="000B4E2C" w:rsidRDefault="002F0133" w:rsidP="008A7464">
            <w:pPr>
              <w:rPr>
                <w:color w:val="000000" w:themeColor="text1"/>
              </w:rPr>
            </w:pPr>
            <w:r w:rsidRPr="000B4E2C">
              <w:rPr>
                <w:color w:val="000000" w:themeColor="text1"/>
              </w:rPr>
              <w:t>Hospital critical care (all-comers) and post cardiac surgery subgroup</w:t>
            </w:r>
          </w:p>
        </w:tc>
        <w:tc>
          <w:tcPr>
            <w:tcW w:w="0" w:type="auto"/>
            <w:shd w:val="clear" w:color="auto" w:fill="auto"/>
            <w:hideMark/>
          </w:tcPr>
          <w:p w14:paraId="209DC2B7" w14:textId="77777777" w:rsidR="002F0133" w:rsidRPr="000B4E2C" w:rsidRDefault="002F0133" w:rsidP="008A7464">
            <w:pPr>
              <w:rPr>
                <w:color w:val="000000" w:themeColor="text1"/>
              </w:rPr>
            </w:pPr>
            <w:r w:rsidRPr="000B4E2C">
              <w:rPr>
                <w:color w:val="000000" w:themeColor="text1"/>
              </w:rPr>
              <w:t xml:space="preserve">hospital (ED) setting, </w:t>
            </w:r>
            <w:r w:rsidRPr="000B4E2C">
              <w:rPr>
                <w:color w:val="000000" w:themeColor="text1"/>
                <w:highlight w:val="magenta"/>
              </w:rPr>
              <w:t>data</w:t>
            </w:r>
            <w:r w:rsidRPr="000B4E2C">
              <w:rPr>
                <w:color w:val="000000" w:themeColor="text1"/>
              </w:rPr>
              <w:t xml:space="preserve"> from 2 sites</w:t>
            </w:r>
          </w:p>
        </w:tc>
        <w:tc>
          <w:tcPr>
            <w:tcW w:w="0" w:type="auto"/>
            <w:shd w:val="clear" w:color="auto" w:fill="auto"/>
            <w:hideMark/>
          </w:tcPr>
          <w:p w14:paraId="5F43A92A" w14:textId="77777777" w:rsidR="002F0133" w:rsidRPr="000B4E2C" w:rsidRDefault="002F0133" w:rsidP="008A7464">
            <w:pPr>
              <w:rPr>
                <w:color w:val="000000" w:themeColor="text1"/>
              </w:rPr>
            </w:pPr>
            <w:r w:rsidRPr="000B4E2C">
              <w:rPr>
                <w:color w:val="000000" w:themeColor="text1"/>
              </w:rPr>
              <w:t>Post-cardiac surgery, country unclear (assume Serbia)</w:t>
            </w:r>
          </w:p>
        </w:tc>
        <w:tc>
          <w:tcPr>
            <w:tcW w:w="0" w:type="auto"/>
            <w:shd w:val="clear" w:color="auto" w:fill="auto"/>
            <w:hideMark/>
          </w:tcPr>
          <w:p w14:paraId="41BDA36C" w14:textId="77777777" w:rsidR="002F0133" w:rsidRPr="000B4E2C" w:rsidRDefault="002F0133" w:rsidP="008A7464">
            <w:pPr>
              <w:rPr>
                <w:color w:val="000000" w:themeColor="text1"/>
              </w:rPr>
            </w:pPr>
            <w:r w:rsidRPr="000B4E2C">
              <w:rPr>
                <w:color w:val="000000" w:themeColor="text1"/>
              </w:rPr>
              <w:t>Post-cardiac surgery</w:t>
            </w:r>
          </w:p>
        </w:tc>
      </w:tr>
      <w:tr w:rsidR="000C2218" w:rsidRPr="000B4E2C" w14:paraId="77C7DED0" w14:textId="77777777" w:rsidTr="000B4E2C">
        <w:trPr>
          <w:cantSplit/>
          <w:tblHeader/>
        </w:trPr>
        <w:tc>
          <w:tcPr>
            <w:tcW w:w="0" w:type="auto"/>
            <w:shd w:val="clear" w:color="auto" w:fill="auto"/>
            <w:hideMark/>
          </w:tcPr>
          <w:p w14:paraId="01393E8D" w14:textId="77777777" w:rsidR="002F0133" w:rsidRPr="000B4E2C" w:rsidRDefault="002F0133" w:rsidP="008A7464">
            <w:pPr>
              <w:rPr>
                <w:b/>
                <w:color w:val="000000" w:themeColor="text1"/>
              </w:rPr>
            </w:pPr>
            <w:r w:rsidRPr="000B4E2C">
              <w:rPr>
                <w:b/>
                <w:color w:val="000000" w:themeColor="text1"/>
              </w:rPr>
              <w:t>Objective</w:t>
            </w:r>
          </w:p>
        </w:tc>
        <w:tc>
          <w:tcPr>
            <w:tcW w:w="0" w:type="auto"/>
            <w:shd w:val="clear" w:color="auto" w:fill="auto"/>
            <w:hideMark/>
          </w:tcPr>
          <w:p w14:paraId="6B61C9A1" w14:textId="77777777" w:rsidR="000B4E2C" w:rsidRPr="000B4E2C" w:rsidRDefault="002F0133" w:rsidP="002F0133">
            <w:pPr>
              <w:pStyle w:val="ListParagraph"/>
              <w:numPr>
                <w:ilvl w:val="0"/>
                <w:numId w:val="39"/>
              </w:numPr>
              <w:rPr>
                <w:color w:val="000000" w:themeColor="text1"/>
              </w:rPr>
            </w:pPr>
            <w:r w:rsidRPr="000B4E2C">
              <w:rPr>
                <w:color w:val="000000" w:themeColor="text1"/>
              </w:rPr>
              <w:t>To assess the potential cost-effectiveness of AKI biomarkers</w:t>
            </w:r>
          </w:p>
          <w:p w14:paraId="38418C07" w14:textId="20BF7114" w:rsidR="002F0133" w:rsidRPr="000B4E2C" w:rsidRDefault="002F0133" w:rsidP="002F0133">
            <w:pPr>
              <w:pStyle w:val="ListParagraph"/>
              <w:numPr>
                <w:ilvl w:val="0"/>
                <w:numId w:val="39"/>
              </w:numPr>
              <w:rPr>
                <w:color w:val="000000" w:themeColor="text1"/>
              </w:rPr>
            </w:pPr>
            <w:r w:rsidRPr="000B4E2C">
              <w:rPr>
                <w:color w:val="000000" w:themeColor="text1"/>
              </w:rPr>
              <w:t>To determine the value of future research</w:t>
            </w:r>
          </w:p>
        </w:tc>
        <w:tc>
          <w:tcPr>
            <w:tcW w:w="0" w:type="auto"/>
            <w:shd w:val="clear" w:color="auto" w:fill="auto"/>
            <w:hideMark/>
          </w:tcPr>
          <w:p w14:paraId="45A5C514" w14:textId="77777777" w:rsidR="002F0133" w:rsidRPr="000B4E2C" w:rsidRDefault="002F0133" w:rsidP="002F0133">
            <w:pPr>
              <w:pStyle w:val="ListParagraph"/>
              <w:numPr>
                <w:ilvl w:val="0"/>
                <w:numId w:val="39"/>
              </w:numPr>
              <w:rPr>
                <w:color w:val="000000" w:themeColor="text1"/>
              </w:rPr>
            </w:pPr>
            <w:r w:rsidRPr="000B4E2C">
              <w:rPr>
                <w:color w:val="000000" w:themeColor="text1"/>
              </w:rPr>
              <w:t>To determine if NGAL can reduce hospital costs</w:t>
            </w:r>
          </w:p>
        </w:tc>
        <w:tc>
          <w:tcPr>
            <w:tcW w:w="0" w:type="auto"/>
            <w:shd w:val="clear" w:color="auto" w:fill="auto"/>
            <w:hideMark/>
          </w:tcPr>
          <w:p w14:paraId="212D0222" w14:textId="77777777" w:rsidR="000B4E2C" w:rsidRPr="000B4E2C" w:rsidRDefault="002F0133" w:rsidP="002F0133">
            <w:pPr>
              <w:pStyle w:val="ListParagraph"/>
              <w:numPr>
                <w:ilvl w:val="0"/>
                <w:numId w:val="39"/>
              </w:numPr>
              <w:rPr>
                <w:color w:val="000000" w:themeColor="text1"/>
              </w:rPr>
            </w:pPr>
            <w:r w:rsidRPr="000B4E2C">
              <w:rPr>
                <w:color w:val="000000" w:themeColor="text1"/>
              </w:rPr>
              <w:t>To determine cost-effectiveness</w:t>
            </w:r>
          </w:p>
          <w:p w14:paraId="0386769F" w14:textId="443E32BB" w:rsidR="002F0133" w:rsidRPr="000B4E2C" w:rsidRDefault="002F0133" w:rsidP="007D5F15">
            <w:pPr>
              <w:pStyle w:val="ListParagraph"/>
              <w:ind w:left="360"/>
              <w:rPr>
                <w:color w:val="000000" w:themeColor="text1"/>
              </w:rPr>
            </w:pPr>
            <w:r w:rsidRPr="000B4E2C">
              <w:rPr>
                <w:color w:val="000000" w:themeColor="text1"/>
              </w:rPr>
              <w:t>of the candidate tests</w:t>
            </w:r>
          </w:p>
        </w:tc>
        <w:tc>
          <w:tcPr>
            <w:tcW w:w="0" w:type="auto"/>
            <w:shd w:val="clear" w:color="auto" w:fill="auto"/>
            <w:hideMark/>
          </w:tcPr>
          <w:p w14:paraId="588169E2" w14:textId="77777777" w:rsidR="002F0133" w:rsidRPr="000B4E2C" w:rsidRDefault="002F0133" w:rsidP="008A7464">
            <w:pPr>
              <w:rPr>
                <w:color w:val="000000" w:themeColor="text1"/>
              </w:rPr>
            </w:pPr>
            <w:r w:rsidRPr="000B4E2C">
              <w:rPr>
                <w:color w:val="000000" w:themeColor="text1"/>
              </w:rPr>
              <w:t>To determine cost-effectiveness uNGAL for AKI diagnosis</w:t>
            </w:r>
          </w:p>
        </w:tc>
      </w:tr>
      <w:tr w:rsidR="000C2218" w:rsidRPr="000B4E2C" w14:paraId="22B80703" w14:textId="77777777" w:rsidTr="000B4E2C">
        <w:trPr>
          <w:cantSplit/>
          <w:tblHeader/>
        </w:trPr>
        <w:tc>
          <w:tcPr>
            <w:tcW w:w="0" w:type="auto"/>
            <w:shd w:val="clear" w:color="auto" w:fill="auto"/>
            <w:hideMark/>
          </w:tcPr>
          <w:p w14:paraId="49BBB7FD" w14:textId="77777777" w:rsidR="002F0133" w:rsidRPr="000B4E2C" w:rsidRDefault="002F0133" w:rsidP="008A7464">
            <w:pPr>
              <w:rPr>
                <w:b/>
                <w:color w:val="000000" w:themeColor="text1"/>
              </w:rPr>
            </w:pPr>
            <w:r w:rsidRPr="000B4E2C">
              <w:rPr>
                <w:b/>
                <w:color w:val="000000" w:themeColor="text1"/>
              </w:rPr>
              <w:t>Country</w:t>
            </w:r>
          </w:p>
        </w:tc>
        <w:tc>
          <w:tcPr>
            <w:tcW w:w="0" w:type="auto"/>
            <w:shd w:val="clear" w:color="auto" w:fill="auto"/>
            <w:hideMark/>
          </w:tcPr>
          <w:p w14:paraId="418E4A70" w14:textId="77777777" w:rsidR="002F0133" w:rsidRPr="000B4E2C" w:rsidRDefault="002F0133" w:rsidP="008A7464">
            <w:pPr>
              <w:rPr>
                <w:color w:val="000000" w:themeColor="text1"/>
              </w:rPr>
            </w:pPr>
            <w:r w:rsidRPr="000B4E2C">
              <w:rPr>
                <w:color w:val="000000" w:themeColor="text1"/>
              </w:rPr>
              <w:t>UK</w:t>
            </w:r>
          </w:p>
        </w:tc>
        <w:tc>
          <w:tcPr>
            <w:tcW w:w="0" w:type="auto"/>
            <w:shd w:val="clear" w:color="auto" w:fill="auto"/>
            <w:hideMark/>
          </w:tcPr>
          <w:p w14:paraId="0ACA8940" w14:textId="53E8C9A7"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USA</w:t>
            </w:r>
          </w:p>
        </w:tc>
        <w:tc>
          <w:tcPr>
            <w:tcW w:w="0" w:type="auto"/>
            <w:shd w:val="clear" w:color="auto" w:fill="auto"/>
            <w:hideMark/>
          </w:tcPr>
          <w:p w14:paraId="17001892" w14:textId="4E5E661A"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Unclear (assume USA)</w:t>
            </w:r>
          </w:p>
        </w:tc>
        <w:tc>
          <w:tcPr>
            <w:tcW w:w="0" w:type="auto"/>
            <w:shd w:val="clear" w:color="auto" w:fill="auto"/>
            <w:hideMark/>
          </w:tcPr>
          <w:p w14:paraId="79BB54FA" w14:textId="77777777" w:rsidR="002F0133" w:rsidRPr="000B4E2C" w:rsidRDefault="002F0133" w:rsidP="008A7464">
            <w:pPr>
              <w:rPr>
                <w:color w:val="000000" w:themeColor="text1"/>
              </w:rPr>
            </w:pPr>
            <w:r w:rsidRPr="000B4E2C">
              <w:rPr>
                <w:color w:val="000000" w:themeColor="text1"/>
              </w:rPr>
              <w:t>UK</w:t>
            </w:r>
          </w:p>
        </w:tc>
      </w:tr>
      <w:tr w:rsidR="000C2218" w:rsidRPr="000B4E2C" w14:paraId="427F628B" w14:textId="77777777" w:rsidTr="000B4E2C">
        <w:trPr>
          <w:cantSplit/>
          <w:tblHeader/>
        </w:trPr>
        <w:tc>
          <w:tcPr>
            <w:tcW w:w="0" w:type="auto"/>
            <w:shd w:val="clear" w:color="auto" w:fill="auto"/>
            <w:hideMark/>
          </w:tcPr>
          <w:p w14:paraId="08F1D23D" w14:textId="77777777" w:rsidR="002F0133" w:rsidRPr="000B4E2C" w:rsidRDefault="002F0133" w:rsidP="008A7464">
            <w:pPr>
              <w:rPr>
                <w:b/>
                <w:color w:val="000000" w:themeColor="text1"/>
              </w:rPr>
            </w:pPr>
            <w:r w:rsidRPr="000B4E2C">
              <w:rPr>
                <w:b/>
                <w:color w:val="000000" w:themeColor="text1"/>
              </w:rPr>
              <w:t>Intervention (s)</w:t>
            </w:r>
          </w:p>
        </w:tc>
        <w:tc>
          <w:tcPr>
            <w:tcW w:w="0" w:type="auto"/>
            <w:shd w:val="clear" w:color="auto" w:fill="auto"/>
            <w:hideMark/>
          </w:tcPr>
          <w:p w14:paraId="401B20F6" w14:textId="77777777" w:rsidR="002F0133" w:rsidRPr="000B4E2C" w:rsidRDefault="002F0133" w:rsidP="008A7464">
            <w:pPr>
              <w:rPr>
                <w:color w:val="000000" w:themeColor="text1"/>
              </w:rPr>
            </w:pPr>
            <w:r w:rsidRPr="000B4E2C">
              <w:rPr>
                <w:color w:val="000000" w:themeColor="text1"/>
              </w:rPr>
              <w:t>AKI biomarkers + standard care:</w:t>
            </w:r>
          </w:p>
          <w:p w14:paraId="6BCC5D0C" w14:textId="77777777" w:rsidR="002F0133" w:rsidRPr="000B4E2C" w:rsidRDefault="002F0133" w:rsidP="002F0133">
            <w:pPr>
              <w:pStyle w:val="ListParagraph"/>
              <w:numPr>
                <w:ilvl w:val="0"/>
                <w:numId w:val="37"/>
              </w:numPr>
              <w:rPr>
                <w:color w:val="000000" w:themeColor="text1"/>
              </w:rPr>
            </w:pPr>
            <w:r w:rsidRPr="000B4E2C">
              <w:rPr>
                <w:color w:val="000000" w:themeColor="text1"/>
              </w:rPr>
              <w:t>NephroCheck</w:t>
            </w:r>
          </w:p>
          <w:p w14:paraId="1A1A93D7" w14:textId="77777777" w:rsidR="002F0133" w:rsidRPr="000B4E2C" w:rsidRDefault="002F0133" w:rsidP="002F0133">
            <w:pPr>
              <w:pStyle w:val="ListParagraph"/>
              <w:numPr>
                <w:ilvl w:val="0"/>
                <w:numId w:val="37"/>
              </w:numPr>
              <w:rPr>
                <w:color w:val="000000" w:themeColor="text1"/>
              </w:rPr>
            </w:pPr>
            <w:r w:rsidRPr="000B4E2C">
              <w:rPr>
                <w:color w:val="000000" w:themeColor="text1"/>
              </w:rPr>
              <w:t>Cystatin C (plasma)</w:t>
            </w:r>
          </w:p>
          <w:p w14:paraId="08A669F6" w14:textId="77777777" w:rsidR="002F0133" w:rsidRPr="000B4E2C" w:rsidRDefault="002F0133" w:rsidP="002F0133">
            <w:pPr>
              <w:pStyle w:val="ListParagraph"/>
              <w:numPr>
                <w:ilvl w:val="0"/>
                <w:numId w:val="37"/>
              </w:numPr>
              <w:rPr>
                <w:color w:val="000000" w:themeColor="text1"/>
              </w:rPr>
            </w:pPr>
            <w:r w:rsidRPr="000B4E2C">
              <w:rPr>
                <w:color w:val="000000" w:themeColor="text1"/>
              </w:rPr>
              <w:t>Cystatin C (urine)</w:t>
            </w:r>
          </w:p>
          <w:p w14:paraId="733BC773" w14:textId="77777777" w:rsidR="002F0133" w:rsidRPr="000B4E2C" w:rsidRDefault="002F0133" w:rsidP="002F0133">
            <w:pPr>
              <w:pStyle w:val="ListParagraph"/>
              <w:numPr>
                <w:ilvl w:val="0"/>
                <w:numId w:val="37"/>
              </w:numPr>
              <w:rPr>
                <w:color w:val="000000" w:themeColor="text1"/>
              </w:rPr>
            </w:pPr>
            <w:r w:rsidRPr="000B4E2C">
              <w:rPr>
                <w:color w:val="000000" w:themeColor="text1"/>
              </w:rPr>
              <w:t>Cystatin C (serum)</w:t>
            </w:r>
          </w:p>
          <w:p w14:paraId="575F72BF" w14:textId="77777777" w:rsidR="002F0133" w:rsidRPr="000B4E2C" w:rsidRDefault="002F0133" w:rsidP="002F0133">
            <w:pPr>
              <w:pStyle w:val="ListParagraph"/>
              <w:numPr>
                <w:ilvl w:val="0"/>
                <w:numId w:val="37"/>
              </w:numPr>
              <w:rPr>
                <w:color w:val="000000" w:themeColor="text1"/>
              </w:rPr>
            </w:pPr>
            <w:r w:rsidRPr="000B4E2C">
              <w:rPr>
                <w:color w:val="000000" w:themeColor="text1"/>
              </w:rPr>
              <w:t>NGAL (plasma)</w:t>
            </w:r>
          </w:p>
          <w:p w14:paraId="03C1FFDA" w14:textId="77777777" w:rsidR="002F0133" w:rsidRPr="000B4E2C" w:rsidRDefault="002F0133" w:rsidP="002F0133">
            <w:pPr>
              <w:pStyle w:val="ListParagraph"/>
              <w:numPr>
                <w:ilvl w:val="0"/>
                <w:numId w:val="37"/>
              </w:numPr>
              <w:rPr>
                <w:color w:val="000000" w:themeColor="text1"/>
              </w:rPr>
            </w:pPr>
            <w:r w:rsidRPr="000B4E2C">
              <w:rPr>
                <w:color w:val="000000" w:themeColor="text1"/>
              </w:rPr>
              <w:t>NGAL (urine)</w:t>
            </w:r>
          </w:p>
          <w:p w14:paraId="44810857" w14:textId="77777777" w:rsidR="002F0133" w:rsidRPr="000B4E2C" w:rsidRDefault="002F0133" w:rsidP="002F0133">
            <w:pPr>
              <w:pStyle w:val="ListParagraph"/>
              <w:numPr>
                <w:ilvl w:val="0"/>
                <w:numId w:val="37"/>
              </w:numPr>
              <w:rPr>
                <w:color w:val="000000" w:themeColor="text1"/>
              </w:rPr>
            </w:pPr>
            <w:r w:rsidRPr="000B4E2C">
              <w:rPr>
                <w:color w:val="000000" w:themeColor="text1"/>
              </w:rPr>
              <w:t>NGAL (serum)</w:t>
            </w:r>
          </w:p>
        </w:tc>
        <w:tc>
          <w:tcPr>
            <w:tcW w:w="0" w:type="auto"/>
            <w:shd w:val="clear" w:color="auto" w:fill="auto"/>
            <w:hideMark/>
          </w:tcPr>
          <w:p w14:paraId="2529C9A6" w14:textId="413AEC73"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Serum Creatinine + NGAL (urine)</w:t>
            </w:r>
          </w:p>
        </w:tc>
        <w:tc>
          <w:tcPr>
            <w:tcW w:w="0" w:type="auto"/>
            <w:shd w:val="clear" w:color="auto" w:fill="auto"/>
            <w:hideMark/>
          </w:tcPr>
          <w:p w14:paraId="4F29A930" w14:textId="77777777" w:rsidR="002F0133" w:rsidRPr="000B4E2C" w:rsidRDefault="002F0133" w:rsidP="002F0133">
            <w:pPr>
              <w:pStyle w:val="ListParagraph"/>
              <w:numPr>
                <w:ilvl w:val="0"/>
                <w:numId w:val="38"/>
              </w:numPr>
              <w:rPr>
                <w:color w:val="000000" w:themeColor="text1"/>
              </w:rPr>
            </w:pPr>
            <w:r w:rsidRPr="000B4E2C">
              <w:rPr>
                <w:color w:val="000000" w:themeColor="text1"/>
              </w:rPr>
              <w:t>CysC (serum)</w:t>
            </w:r>
          </w:p>
          <w:p w14:paraId="0C4C8602" w14:textId="77777777" w:rsidR="002F0133" w:rsidRPr="000B4E2C" w:rsidRDefault="002F0133" w:rsidP="002F0133">
            <w:pPr>
              <w:pStyle w:val="ListParagraph"/>
              <w:numPr>
                <w:ilvl w:val="0"/>
                <w:numId w:val="38"/>
              </w:numPr>
              <w:rPr>
                <w:color w:val="000000" w:themeColor="text1"/>
              </w:rPr>
            </w:pPr>
            <w:r w:rsidRPr="000B4E2C">
              <w:rPr>
                <w:color w:val="000000" w:themeColor="text1"/>
              </w:rPr>
              <w:t>NGAL (urine)</w:t>
            </w:r>
          </w:p>
          <w:p w14:paraId="6EBDBFF5" w14:textId="77777777" w:rsidR="002F0133" w:rsidRPr="000B4E2C" w:rsidRDefault="002F0133" w:rsidP="002F0133">
            <w:pPr>
              <w:pStyle w:val="ListParagraph"/>
              <w:numPr>
                <w:ilvl w:val="0"/>
                <w:numId w:val="38"/>
              </w:numPr>
              <w:rPr>
                <w:color w:val="000000" w:themeColor="text1"/>
              </w:rPr>
            </w:pPr>
            <w:r w:rsidRPr="000B4E2C">
              <w:rPr>
                <w:color w:val="000000" w:themeColor="text1"/>
              </w:rPr>
              <w:t>uL-FABP</w:t>
            </w:r>
          </w:p>
        </w:tc>
        <w:tc>
          <w:tcPr>
            <w:tcW w:w="0" w:type="auto"/>
            <w:shd w:val="clear" w:color="auto" w:fill="auto"/>
            <w:hideMark/>
          </w:tcPr>
          <w:p w14:paraId="007A13EB" w14:textId="77777777" w:rsidR="002F0133" w:rsidRPr="000B4E2C" w:rsidRDefault="002F0133" w:rsidP="008A7464">
            <w:pPr>
              <w:autoSpaceDE w:val="0"/>
              <w:autoSpaceDN w:val="0"/>
              <w:adjustRightInd w:val="0"/>
              <w:rPr>
                <w:rFonts w:ascii="Sabon-Roman" w:hAnsi="Sabon-Roman" w:cs="Sabon-Roman"/>
              </w:rPr>
            </w:pPr>
            <w:r w:rsidRPr="000B4E2C">
              <w:rPr>
                <w:color w:val="000000" w:themeColor="text1"/>
              </w:rPr>
              <w:t xml:space="preserve">NGAL (urine) + current </w:t>
            </w:r>
            <w:r w:rsidRPr="000B4E2C">
              <w:rPr>
                <w:color w:val="000000" w:themeColor="text1"/>
                <w:highlight w:val="magenta"/>
              </w:rPr>
              <w:t>practice</w:t>
            </w:r>
            <w:r w:rsidRPr="000B4E2C">
              <w:rPr>
                <w:color w:val="000000" w:themeColor="text1"/>
              </w:rPr>
              <w:t xml:space="preserve"> (</w:t>
            </w:r>
            <w:r w:rsidRPr="000B4E2C">
              <w:rPr>
                <w:rFonts w:ascii="Sabon-Roman" w:hAnsi="Sabon-Roman" w:cs="Sabon-Roman"/>
              </w:rPr>
              <w:t>monitoring of</w:t>
            </w:r>
          </w:p>
          <w:p w14:paraId="665ABFDD" w14:textId="77777777" w:rsidR="002F0133" w:rsidRPr="000B4E2C" w:rsidRDefault="002F0133" w:rsidP="008A7464">
            <w:pPr>
              <w:rPr>
                <w:color w:val="000000" w:themeColor="text1"/>
              </w:rPr>
            </w:pPr>
            <w:r w:rsidRPr="000B4E2C">
              <w:rPr>
                <w:rFonts w:ascii="Sabon-Roman" w:hAnsi="Sabon-Roman" w:cs="Sabon-Roman"/>
              </w:rPr>
              <w:t>creatinine, blood urea nitrogen, urine output)</w:t>
            </w:r>
          </w:p>
        </w:tc>
      </w:tr>
      <w:tr w:rsidR="000C2218" w:rsidRPr="000B4E2C" w14:paraId="5A141A37" w14:textId="77777777" w:rsidTr="000B4E2C">
        <w:trPr>
          <w:cantSplit/>
          <w:tblHeader/>
        </w:trPr>
        <w:tc>
          <w:tcPr>
            <w:tcW w:w="0" w:type="auto"/>
            <w:shd w:val="clear" w:color="auto" w:fill="auto"/>
            <w:hideMark/>
          </w:tcPr>
          <w:p w14:paraId="2BF44AF6" w14:textId="77777777" w:rsidR="002F0133" w:rsidRPr="000B4E2C" w:rsidRDefault="002F0133" w:rsidP="008A7464">
            <w:pPr>
              <w:rPr>
                <w:b/>
                <w:color w:val="000000" w:themeColor="text1"/>
              </w:rPr>
            </w:pPr>
            <w:r w:rsidRPr="000B4E2C">
              <w:rPr>
                <w:b/>
                <w:color w:val="000000" w:themeColor="text1"/>
              </w:rPr>
              <w:t>Comparator (s)</w:t>
            </w:r>
          </w:p>
        </w:tc>
        <w:tc>
          <w:tcPr>
            <w:tcW w:w="0" w:type="auto"/>
            <w:shd w:val="clear" w:color="auto" w:fill="auto"/>
            <w:hideMark/>
          </w:tcPr>
          <w:p w14:paraId="55EC7863" w14:textId="77777777" w:rsidR="002F0133" w:rsidRPr="000B4E2C" w:rsidRDefault="002F0133" w:rsidP="008A7464">
            <w:pPr>
              <w:rPr>
                <w:color w:val="000000" w:themeColor="text1"/>
              </w:rPr>
            </w:pPr>
            <w:r w:rsidRPr="000B4E2C">
              <w:rPr>
                <w:color w:val="000000" w:themeColor="text1"/>
              </w:rPr>
              <w:t>Standard care alone (serum creatinine and urine output testing)</w:t>
            </w:r>
          </w:p>
        </w:tc>
        <w:tc>
          <w:tcPr>
            <w:tcW w:w="0" w:type="auto"/>
            <w:shd w:val="clear" w:color="auto" w:fill="auto"/>
            <w:hideMark/>
          </w:tcPr>
          <w:p w14:paraId="6BD35091" w14:textId="3633FD24"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Serum Creatinine alone</w:t>
            </w:r>
          </w:p>
        </w:tc>
        <w:tc>
          <w:tcPr>
            <w:tcW w:w="0" w:type="auto"/>
            <w:shd w:val="clear" w:color="auto" w:fill="auto"/>
            <w:hideMark/>
          </w:tcPr>
          <w:p w14:paraId="24C6CC61" w14:textId="77777777" w:rsidR="002F0133" w:rsidRPr="000B4E2C" w:rsidRDefault="002F0133" w:rsidP="008A7464">
            <w:pPr>
              <w:rPr>
                <w:color w:val="000000" w:themeColor="text1"/>
              </w:rPr>
            </w:pPr>
            <w:r w:rsidRPr="000B4E2C">
              <w:rPr>
                <w:color w:val="000000" w:themeColor="text1"/>
              </w:rPr>
              <w:t>Serum Creatinine alone</w:t>
            </w:r>
          </w:p>
        </w:tc>
        <w:tc>
          <w:tcPr>
            <w:tcW w:w="0" w:type="auto"/>
            <w:shd w:val="clear" w:color="auto" w:fill="auto"/>
            <w:hideMark/>
          </w:tcPr>
          <w:p w14:paraId="799B68E5" w14:textId="77777777" w:rsidR="002F0133" w:rsidRPr="000B4E2C" w:rsidRDefault="002F0133" w:rsidP="008A7464">
            <w:pPr>
              <w:rPr>
                <w:color w:val="000000" w:themeColor="text1"/>
              </w:rPr>
            </w:pPr>
            <w:r w:rsidRPr="000B4E2C">
              <w:rPr>
                <w:color w:val="000000" w:themeColor="text1"/>
              </w:rPr>
              <w:t xml:space="preserve">Current </w:t>
            </w:r>
            <w:r w:rsidRPr="000B4E2C">
              <w:rPr>
                <w:color w:val="000000" w:themeColor="text1"/>
                <w:highlight w:val="magenta"/>
              </w:rPr>
              <w:t>practice</w:t>
            </w:r>
            <w:r w:rsidRPr="000B4E2C">
              <w:rPr>
                <w:color w:val="000000" w:themeColor="text1"/>
              </w:rPr>
              <w:t xml:space="preserve"> alone</w:t>
            </w:r>
          </w:p>
        </w:tc>
      </w:tr>
      <w:tr w:rsidR="000C2218" w:rsidRPr="000B4E2C" w14:paraId="20E10BBF" w14:textId="77777777" w:rsidTr="000B4E2C">
        <w:trPr>
          <w:cantSplit/>
          <w:tblHeader/>
        </w:trPr>
        <w:tc>
          <w:tcPr>
            <w:tcW w:w="0" w:type="auto"/>
            <w:shd w:val="clear" w:color="auto" w:fill="auto"/>
            <w:hideMark/>
          </w:tcPr>
          <w:p w14:paraId="503EA817" w14:textId="656B8321" w:rsidR="002F0133" w:rsidRPr="000B4E2C" w:rsidRDefault="002F0133" w:rsidP="008A7464">
            <w:pPr>
              <w:rPr>
                <w:b/>
                <w:color w:val="000000" w:themeColor="text1"/>
              </w:rPr>
            </w:pPr>
            <w:r w:rsidRPr="000B4E2C">
              <w:rPr>
                <w:b/>
                <w:color w:val="000000" w:themeColor="text1"/>
              </w:rPr>
              <w:t>Source of effectiveness</w:t>
            </w:r>
            <w:r w:rsidR="000B4E2C" w:rsidRPr="000B4E2C">
              <w:rPr>
                <w:b/>
                <w:color w:val="00B0F0"/>
              </w:rPr>
              <w:t>/</w:t>
            </w:r>
            <w:r w:rsidRPr="000B4E2C">
              <w:rPr>
                <w:b/>
                <w:color w:val="000000" w:themeColor="text1"/>
              </w:rPr>
              <w:t xml:space="preserve">diagnostic accuracy </w:t>
            </w:r>
            <w:r w:rsidRPr="000B4E2C">
              <w:rPr>
                <w:b/>
                <w:color w:val="000000" w:themeColor="text1"/>
                <w:highlight w:val="magenta"/>
              </w:rPr>
              <w:t>data</w:t>
            </w:r>
          </w:p>
        </w:tc>
        <w:tc>
          <w:tcPr>
            <w:tcW w:w="0" w:type="auto"/>
            <w:shd w:val="clear" w:color="auto" w:fill="auto"/>
            <w:hideMark/>
          </w:tcPr>
          <w:p w14:paraId="0EC35AB7" w14:textId="77777777" w:rsidR="002F0133" w:rsidRPr="000B4E2C" w:rsidRDefault="002F0133" w:rsidP="002F0133">
            <w:pPr>
              <w:pStyle w:val="ListParagraph"/>
              <w:numPr>
                <w:ilvl w:val="0"/>
                <w:numId w:val="37"/>
              </w:numPr>
              <w:rPr>
                <w:color w:val="000000" w:themeColor="text1"/>
              </w:rPr>
            </w:pPr>
            <w:r w:rsidRPr="000B4E2C">
              <w:rPr>
                <w:color w:val="000000" w:themeColor="text1"/>
              </w:rPr>
              <w:t xml:space="preserve">No direct effectiveness </w:t>
            </w:r>
            <w:r w:rsidRPr="000B4E2C">
              <w:rPr>
                <w:color w:val="000000" w:themeColor="text1"/>
                <w:highlight w:val="magenta"/>
              </w:rPr>
              <w:t>data</w:t>
            </w:r>
          </w:p>
          <w:p w14:paraId="777BE895" w14:textId="77777777" w:rsidR="002F0133" w:rsidRPr="000B4E2C" w:rsidRDefault="002F0133" w:rsidP="002F0133">
            <w:pPr>
              <w:pStyle w:val="ListParagraph"/>
              <w:numPr>
                <w:ilvl w:val="0"/>
                <w:numId w:val="37"/>
              </w:numPr>
              <w:rPr>
                <w:color w:val="000000" w:themeColor="text1"/>
              </w:rPr>
            </w:pPr>
            <w:r w:rsidRPr="000B4E2C">
              <w:rPr>
                <w:color w:val="000000" w:themeColor="text1"/>
              </w:rPr>
              <w:t>Linked evidence approach</w:t>
            </w:r>
          </w:p>
          <w:p w14:paraId="67968E9E" w14:textId="77777777" w:rsidR="002F0133" w:rsidRPr="000B4E2C" w:rsidRDefault="002F0133" w:rsidP="002F0133">
            <w:pPr>
              <w:pStyle w:val="ListParagraph"/>
              <w:numPr>
                <w:ilvl w:val="0"/>
                <w:numId w:val="37"/>
              </w:numPr>
              <w:rPr>
                <w:color w:val="000000" w:themeColor="text1"/>
              </w:rPr>
            </w:pPr>
            <w:r w:rsidRPr="000B4E2C">
              <w:rPr>
                <w:color w:val="000000" w:themeColor="text1"/>
              </w:rPr>
              <w:t xml:space="preserve">Diagnostic accuracy </w:t>
            </w:r>
            <w:r w:rsidRPr="000B4E2C">
              <w:rPr>
                <w:color w:val="000000" w:themeColor="text1"/>
                <w:highlight w:val="magenta"/>
              </w:rPr>
              <w:t>data</w:t>
            </w:r>
            <w:r w:rsidRPr="000B4E2C">
              <w:rPr>
                <w:color w:val="000000" w:themeColor="text1"/>
              </w:rPr>
              <w:t xml:space="preserve"> obtained from a meta-analysis of diagnostic accuracy studies</w:t>
            </w:r>
          </w:p>
        </w:tc>
        <w:tc>
          <w:tcPr>
            <w:tcW w:w="0" w:type="auto"/>
            <w:shd w:val="clear" w:color="auto" w:fill="auto"/>
            <w:hideMark/>
          </w:tcPr>
          <w:p w14:paraId="15EA3238" w14:textId="5A9668EB"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N/A (cost only)</w:t>
            </w:r>
          </w:p>
        </w:tc>
        <w:tc>
          <w:tcPr>
            <w:tcW w:w="0" w:type="auto"/>
            <w:shd w:val="clear" w:color="auto" w:fill="auto"/>
            <w:hideMark/>
          </w:tcPr>
          <w:p w14:paraId="54955A9F" w14:textId="77777777" w:rsidR="002F0133" w:rsidRPr="000B4E2C" w:rsidRDefault="002F0133" w:rsidP="002F0133">
            <w:pPr>
              <w:pStyle w:val="ListParagraph"/>
              <w:numPr>
                <w:ilvl w:val="0"/>
                <w:numId w:val="37"/>
              </w:numPr>
              <w:rPr>
                <w:color w:val="000000" w:themeColor="text1"/>
              </w:rPr>
            </w:pPr>
            <w:r w:rsidRPr="000B4E2C">
              <w:rPr>
                <w:color w:val="000000" w:themeColor="text1"/>
              </w:rPr>
              <w:t>Linked evidence approach</w:t>
            </w:r>
          </w:p>
          <w:p w14:paraId="00C25C29" w14:textId="77777777" w:rsidR="002F0133" w:rsidRPr="000B4E2C" w:rsidRDefault="002F0133" w:rsidP="002F0133">
            <w:pPr>
              <w:pStyle w:val="ListParagraph"/>
              <w:numPr>
                <w:ilvl w:val="0"/>
                <w:numId w:val="37"/>
              </w:numPr>
              <w:rPr>
                <w:color w:val="000000" w:themeColor="text1"/>
              </w:rPr>
            </w:pPr>
            <w:r w:rsidRPr="000B4E2C">
              <w:rPr>
                <w:color w:val="000000" w:themeColor="text1"/>
              </w:rPr>
              <w:t>Selected literature</w:t>
            </w:r>
          </w:p>
        </w:tc>
        <w:tc>
          <w:tcPr>
            <w:tcW w:w="0" w:type="auto"/>
            <w:shd w:val="clear" w:color="auto" w:fill="auto"/>
            <w:hideMark/>
          </w:tcPr>
          <w:p w14:paraId="3B562E91" w14:textId="77777777" w:rsidR="002F0133" w:rsidRPr="000B4E2C" w:rsidRDefault="002F0133" w:rsidP="002F0133">
            <w:pPr>
              <w:pStyle w:val="ListParagraph"/>
              <w:numPr>
                <w:ilvl w:val="0"/>
                <w:numId w:val="37"/>
              </w:numPr>
              <w:rPr>
                <w:color w:val="000000" w:themeColor="text1"/>
              </w:rPr>
            </w:pPr>
            <w:r w:rsidRPr="000B4E2C">
              <w:rPr>
                <w:color w:val="000000" w:themeColor="text1"/>
              </w:rPr>
              <w:t>Linked evidence approach</w:t>
            </w:r>
          </w:p>
          <w:p w14:paraId="744547D1" w14:textId="77777777" w:rsidR="002F0133" w:rsidRPr="000B4E2C" w:rsidRDefault="002F0133" w:rsidP="002F0133">
            <w:pPr>
              <w:pStyle w:val="ListParagraph"/>
              <w:numPr>
                <w:ilvl w:val="0"/>
                <w:numId w:val="37"/>
              </w:numPr>
              <w:rPr>
                <w:color w:val="000000" w:themeColor="text1"/>
              </w:rPr>
            </w:pPr>
            <w:r w:rsidRPr="000B4E2C">
              <w:rPr>
                <w:color w:val="000000" w:themeColor="text1"/>
              </w:rPr>
              <w:t>Selected literature</w:t>
            </w:r>
          </w:p>
        </w:tc>
      </w:tr>
      <w:tr w:rsidR="000C2218" w:rsidRPr="000B4E2C" w14:paraId="7BCF6FF1" w14:textId="77777777" w:rsidTr="000B4E2C">
        <w:trPr>
          <w:cantSplit/>
          <w:tblHeader/>
        </w:trPr>
        <w:tc>
          <w:tcPr>
            <w:tcW w:w="0" w:type="auto"/>
            <w:shd w:val="clear" w:color="auto" w:fill="auto"/>
            <w:hideMark/>
          </w:tcPr>
          <w:p w14:paraId="748C6ABC" w14:textId="41BED2B8" w:rsidR="002F0133" w:rsidRPr="000B4E2C" w:rsidRDefault="002F0133" w:rsidP="008A7464">
            <w:pPr>
              <w:rPr>
                <w:b/>
                <w:color w:val="000000" w:themeColor="text1"/>
              </w:rPr>
            </w:pPr>
            <w:r w:rsidRPr="000B4E2C">
              <w:rPr>
                <w:b/>
                <w:color w:val="000000" w:themeColor="text1"/>
              </w:rPr>
              <w:t>Evaluation type (DAM</w:t>
            </w:r>
            <w:r w:rsidR="000B4E2C" w:rsidRPr="000B4E2C">
              <w:rPr>
                <w:b/>
                <w:color w:val="00B0F0"/>
              </w:rPr>
              <w:t>/</w:t>
            </w:r>
            <w:r w:rsidRPr="000B4E2C">
              <w:rPr>
                <w:b/>
                <w:color w:val="000000" w:themeColor="text1"/>
              </w:rPr>
              <w:t>RCT)</w:t>
            </w:r>
          </w:p>
        </w:tc>
        <w:tc>
          <w:tcPr>
            <w:tcW w:w="0" w:type="auto"/>
            <w:shd w:val="clear" w:color="auto" w:fill="auto"/>
            <w:hideMark/>
          </w:tcPr>
          <w:p w14:paraId="49E7B205" w14:textId="77777777" w:rsidR="002F0133" w:rsidRPr="000B4E2C" w:rsidRDefault="002F0133" w:rsidP="008A7464">
            <w:pPr>
              <w:rPr>
                <w:color w:val="000000" w:themeColor="text1"/>
              </w:rPr>
            </w:pPr>
            <w:r w:rsidRPr="000B4E2C">
              <w:rPr>
                <w:color w:val="000000" w:themeColor="text1"/>
              </w:rPr>
              <w:t>Decision tree (diagnostic pathway) + Markov cohort model (long term outcomes including CKD, ESRD [with or without dialysis], Transplant)</w:t>
            </w:r>
          </w:p>
        </w:tc>
        <w:tc>
          <w:tcPr>
            <w:tcW w:w="0" w:type="auto"/>
            <w:shd w:val="clear" w:color="auto" w:fill="auto"/>
            <w:hideMark/>
          </w:tcPr>
          <w:p w14:paraId="58A5503E" w14:textId="65408CA0"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Cost-simulation</w:t>
            </w:r>
          </w:p>
        </w:tc>
        <w:tc>
          <w:tcPr>
            <w:tcW w:w="0" w:type="auto"/>
            <w:shd w:val="clear" w:color="auto" w:fill="auto"/>
            <w:hideMark/>
          </w:tcPr>
          <w:p w14:paraId="59043FFA" w14:textId="77777777" w:rsidR="002F0133" w:rsidRPr="000B4E2C" w:rsidRDefault="002F0133" w:rsidP="008A7464">
            <w:pPr>
              <w:rPr>
                <w:color w:val="000000" w:themeColor="text1"/>
              </w:rPr>
            </w:pPr>
            <w:r w:rsidRPr="000B4E2C">
              <w:rPr>
                <w:color w:val="000000" w:themeColor="text1"/>
              </w:rPr>
              <w:t>Decision tree (diagnostic pathway) + Markov cohort model (long term outcomes including CKD, ESRD, Transplant and death)</w:t>
            </w:r>
          </w:p>
        </w:tc>
        <w:tc>
          <w:tcPr>
            <w:tcW w:w="0" w:type="auto"/>
            <w:shd w:val="clear" w:color="auto" w:fill="auto"/>
            <w:hideMark/>
          </w:tcPr>
          <w:p w14:paraId="1317316A" w14:textId="77777777" w:rsidR="002F0133" w:rsidRPr="000B4E2C" w:rsidRDefault="002F0133" w:rsidP="002F0133">
            <w:pPr>
              <w:pStyle w:val="ListParagraph"/>
              <w:numPr>
                <w:ilvl w:val="0"/>
                <w:numId w:val="37"/>
              </w:numPr>
              <w:rPr>
                <w:color w:val="000000" w:themeColor="text1"/>
              </w:rPr>
            </w:pPr>
            <w:r w:rsidRPr="000B4E2C">
              <w:rPr>
                <w:color w:val="000000" w:themeColor="text1"/>
              </w:rPr>
              <w:t>Decision tree</w:t>
            </w:r>
          </w:p>
        </w:tc>
      </w:tr>
      <w:tr w:rsidR="000C2218" w:rsidRPr="000B4E2C" w14:paraId="109FF8BB" w14:textId="77777777" w:rsidTr="000B4E2C">
        <w:trPr>
          <w:cantSplit/>
          <w:tblHeader/>
        </w:trPr>
        <w:tc>
          <w:tcPr>
            <w:tcW w:w="0" w:type="auto"/>
            <w:shd w:val="clear" w:color="auto" w:fill="auto"/>
            <w:hideMark/>
          </w:tcPr>
          <w:p w14:paraId="600678D8" w14:textId="77777777" w:rsidR="002F0133" w:rsidRPr="000B4E2C" w:rsidRDefault="002F0133" w:rsidP="008A7464">
            <w:pPr>
              <w:rPr>
                <w:b/>
                <w:color w:val="000000" w:themeColor="text1"/>
              </w:rPr>
            </w:pPr>
            <w:r w:rsidRPr="000B4E2C">
              <w:rPr>
                <w:b/>
                <w:color w:val="000000" w:themeColor="text1"/>
              </w:rPr>
              <w:t>Measure of benefit</w:t>
            </w:r>
          </w:p>
        </w:tc>
        <w:tc>
          <w:tcPr>
            <w:tcW w:w="0" w:type="auto"/>
            <w:shd w:val="clear" w:color="auto" w:fill="auto"/>
            <w:hideMark/>
          </w:tcPr>
          <w:p w14:paraId="7356DFE4" w14:textId="0E2CF785"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QALYs</w:t>
            </w:r>
          </w:p>
        </w:tc>
        <w:tc>
          <w:tcPr>
            <w:tcW w:w="0" w:type="auto"/>
            <w:shd w:val="clear" w:color="auto" w:fill="auto"/>
            <w:hideMark/>
          </w:tcPr>
          <w:p w14:paraId="66D81D78" w14:textId="6CC81011"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N/A</w:t>
            </w:r>
          </w:p>
        </w:tc>
        <w:tc>
          <w:tcPr>
            <w:tcW w:w="0" w:type="auto"/>
            <w:shd w:val="clear" w:color="auto" w:fill="auto"/>
            <w:hideMark/>
          </w:tcPr>
          <w:p w14:paraId="0BEF7750" w14:textId="4B11CB20"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QALYs</w:t>
            </w:r>
          </w:p>
        </w:tc>
        <w:tc>
          <w:tcPr>
            <w:tcW w:w="0" w:type="auto"/>
            <w:shd w:val="clear" w:color="auto" w:fill="auto"/>
            <w:hideMark/>
          </w:tcPr>
          <w:p w14:paraId="7CC0EF0E" w14:textId="159B34E6"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QALYs</w:t>
            </w:r>
          </w:p>
        </w:tc>
      </w:tr>
      <w:tr w:rsidR="000C2218" w:rsidRPr="000B4E2C" w14:paraId="0DBA1819" w14:textId="77777777" w:rsidTr="000B4E2C">
        <w:trPr>
          <w:cantSplit/>
          <w:tblHeader/>
        </w:trPr>
        <w:tc>
          <w:tcPr>
            <w:tcW w:w="0" w:type="auto"/>
            <w:shd w:val="clear" w:color="auto" w:fill="auto"/>
            <w:hideMark/>
          </w:tcPr>
          <w:p w14:paraId="6415CF29" w14:textId="77777777" w:rsidR="002F0133" w:rsidRPr="000B4E2C" w:rsidRDefault="002F0133" w:rsidP="008A7464">
            <w:pPr>
              <w:rPr>
                <w:b/>
                <w:color w:val="000000" w:themeColor="text1"/>
              </w:rPr>
            </w:pPr>
            <w:r w:rsidRPr="000B4E2C">
              <w:rPr>
                <w:b/>
                <w:color w:val="000000" w:themeColor="text1"/>
              </w:rPr>
              <w:t>Perspective</w:t>
            </w:r>
          </w:p>
        </w:tc>
        <w:tc>
          <w:tcPr>
            <w:tcW w:w="0" w:type="auto"/>
            <w:shd w:val="clear" w:color="auto" w:fill="auto"/>
            <w:hideMark/>
          </w:tcPr>
          <w:p w14:paraId="33B93EB2" w14:textId="5728312B"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NHS and PSS</w:t>
            </w:r>
          </w:p>
        </w:tc>
        <w:tc>
          <w:tcPr>
            <w:tcW w:w="0" w:type="auto"/>
            <w:shd w:val="clear" w:color="auto" w:fill="auto"/>
            <w:hideMark/>
          </w:tcPr>
          <w:p w14:paraId="64A71498" w14:textId="787CB2D8"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Payer</w:t>
            </w:r>
          </w:p>
        </w:tc>
        <w:tc>
          <w:tcPr>
            <w:tcW w:w="0" w:type="auto"/>
            <w:shd w:val="clear" w:color="auto" w:fill="auto"/>
            <w:hideMark/>
          </w:tcPr>
          <w:p w14:paraId="78CDF491" w14:textId="336F99B8" w:rsidR="002F0133" w:rsidRPr="000B4E2C" w:rsidRDefault="000B4E2C" w:rsidP="008A7464">
            <w:pPr>
              <w:rPr>
                <w:color w:val="000000" w:themeColor="text1"/>
              </w:rPr>
            </w:pPr>
            <w:r w:rsidRPr="000B4E2C">
              <w:rPr>
                <w:color w:val="000000" w:themeColor="text1"/>
              </w:rPr>
              <w:t xml:space="preserve"> </w:t>
            </w:r>
            <w:r w:rsidRPr="000B4E2C">
              <w:rPr>
                <w:color w:val="00B0F0"/>
              </w:rPr>
              <w:t>3rd</w:t>
            </w:r>
            <w:r w:rsidR="002F0133" w:rsidRPr="000B4E2C">
              <w:rPr>
                <w:color w:val="000000" w:themeColor="text1"/>
              </w:rPr>
              <w:t xml:space="preserve"> party payer</w:t>
            </w:r>
          </w:p>
        </w:tc>
        <w:tc>
          <w:tcPr>
            <w:tcW w:w="0" w:type="auto"/>
            <w:shd w:val="clear" w:color="auto" w:fill="auto"/>
            <w:hideMark/>
          </w:tcPr>
          <w:p w14:paraId="102C475B" w14:textId="77777777" w:rsidR="002F0133" w:rsidRPr="000B4E2C" w:rsidRDefault="002F0133" w:rsidP="008A7464">
            <w:pPr>
              <w:rPr>
                <w:color w:val="000000" w:themeColor="text1"/>
              </w:rPr>
            </w:pPr>
            <w:r w:rsidRPr="000B4E2C">
              <w:rPr>
                <w:color w:val="000000" w:themeColor="text1"/>
              </w:rPr>
              <w:t>NHS perspective (though societal perspective stated)</w:t>
            </w:r>
          </w:p>
        </w:tc>
      </w:tr>
      <w:tr w:rsidR="000C2218" w:rsidRPr="000B4E2C" w14:paraId="1EC5BED1" w14:textId="77777777" w:rsidTr="000B4E2C">
        <w:trPr>
          <w:cantSplit/>
          <w:tblHeader/>
        </w:trPr>
        <w:tc>
          <w:tcPr>
            <w:tcW w:w="0" w:type="auto"/>
            <w:shd w:val="clear" w:color="auto" w:fill="auto"/>
            <w:hideMark/>
          </w:tcPr>
          <w:p w14:paraId="373B26BD" w14:textId="77777777" w:rsidR="002F0133" w:rsidRPr="000B4E2C" w:rsidRDefault="002F0133" w:rsidP="008A7464">
            <w:pPr>
              <w:rPr>
                <w:b/>
                <w:color w:val="000000" w:themeColor="text1"/>
              </w:rPr>
            </w:pPr>
            <w:r w:rsidRPr="000B4E2C">
              <w:rPr>
                <w:b/>
                <w:color w:val="000000" w:themeColor="text1"/>
              </w:rPr>
              <w:t>Cost year</w:t>
            </w:r>
          </w:p>
        </w:tc>
        <w:tc>
          <w:tcPr>
            <w:tcW w:w="0" w:type="auto"/>
            <w:shd w:val="clear" w:color="auto" w:fill="auto"/>
            <w:hideMark/>
          </w:tcPr>
          <w:p w14:paraId="7349E837" w14:textId="596E2C05"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2015 prices</w:t>
            </w:r>
          </w:p>
        </w:tc>
        <w:tc>
          <w:tcPr>
            <w:tcW w:w="0" w:type="auto"/>
            <w:shd w:val="clear" w:color="auto" w:fill="auto"/>
            <w:hideMark/>
          </w:tcPr>
          <w:p w14:paraId="755E71B9" w14:textId="57C02912"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Unclear</w:t>
            </w:r>
          </w:p>
        </w:tc>
        <w:tc>
          <w:tcPr>
            <w:tcW w:w="0" w:type="auto"/>
            <w:shd w:val="clear" w:color="auto" w:fill="auto"/>
            <w:hideMark/>
          </w:tcPr>
          <w:p w14:paraId="433DCE34" w14:textId="1AC81B3D"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Unclear</w:t>
            </w:r>
          </w:p>
        </w:tc>
        <w:tc>
          <w:tcPr>
            <w:tcW w:w="0" w:type="auto"/>
            <w:shd w:val="clear" w:color="auto" w:fill="auto"/>
            <w:hideMark/>
          </w:tcPr>
          <w:p w14:paraId="351C6E71" w14:textId="1AB1055F"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2008</w:t>
            </w:r>
          </w:p>
        </w:tc>
      </w:tr>
      <w:tr w:rsidR="000C2218" w:rsidRPr="000B4E2C" w14:paraId="02971F3B" w14:textId="77777777" w:rsidTr="000B4E2C">
        <w:trPr>
          <w:cantSplit/>
          <w:tblHeader/>
        </w:trPr>
        <w:tc>
          <w:tcPr>
            <w:tcW w:w="0" w:type="auto"/>
            <w:shd w:val="clear" w:color="auto" w:fill="auto"/>
            <w:hideMark/>
          </w:tcPr>
          <w:p w14:paraId="233622A2" w14:textId="77777777" w:rsidR="002F0133" w:rsidRPr="000B4E2C" w:rsidRDefault="002F0133" w:rsidP="008A7464">
            <w:pPr>
              <w:rPr>
                <w:b/>
                <w:color w:val="000000" w:themeColor="text1"/>
              </w:rPr>
            </w:pPr>
            <w:r w:rsidRPr="000B4E2C">
              <w:rPr>
                <w:b/>
                <w:color w:val="000000" w:themeColor="text1"/>
              </w:rPr>
              <w:lastRenderedPageBreak/>
              <w:t>Time horizon</w:t>
            </w:r>
          </w:p>
        </w:tc>
        <w:tc>
          <w:tcPr>
            <w:tcW w:w="0" w:type="auto"/>
            <w:shd w:val="clear" w:color="auto" w:fill="auto"/>
            <w:hideMark/>
          </w:tcPr>
          <w:p w14:paraId="6EDB57FF" w14:textId="5D848582" w:rsidR="002F0133" w:rsidRPr="000B4E2C" w:rsidRDefault="002F0133" w:rsidP="008A7464">
            <w:pPr>
              <w:rPr>
                <w:color w:val="000000" w:themeColor="text1"/>
              </w:rPr>
            </w:pPr>
            <w:r w:rsidRPr="000B4E2C">
              <w:rPr>
                <w:color w:val="000000" w:themeColor="text1"/>
              </w:rPr>
              <w:t>Decision tree:</w:t>
            </w:r>
            <w:r w:rsidR="000B4E2C" w:rsidRPr="000B4E2C">
              <w:rPr>
                <w:color w:val="000000" w:themeColor="text1"/>
              </w:rPr>
              <w:t xml:space="preserve"> </w:t>
            </w:r>
            <w:r w:rsidRPr="000B4E2C">
              <w:rPr>
                <w:color w:val="000000" w:themeColor="text1"/>
              </w:rPr>
              <w:t>90 Days</w:t>
            </w:r>
          </w:p>
          <w:p w14:paraId="6FCBC5D9" w14:textId="425038D6" w:rsidR="002F0133" w:rsidRPr="000B4E2C" w:rsidRDefault="002F0133" w:rsidP="008A7464">
            <w:pPr>
              <w:rPr>
                <w:color w:val="000000" w:themeColor="text1"/>
              </w:rPr>
            </w:pPr>
            <w:r w:rsidRPr="000B4E2C">
              <w:rPr>
                <w:color w:val="000000" w:themeColor="text1"/>
              </w:rPr>
              <w:t>Markov model:</w:t>
            </w:r>
            <w:r w:rsidR="000B4E2C" w:rsidRPr="000B4E2C">
              <w:rPr>
                <w:color w:val="000000" w:themeColor="text1"/>
              </w:rPr>
              <w:t xml:space="preserve"> </w:t>
            </w:r>
            <w:r w:rsidRPr="000B4E2C">
              <w:rPr>
                <w:color w:val="000000" w:themeColor="text1"/>
              </w:rPr>
              <w:t>Lifetime</w:t>
            </w:r>
          </w:p>
        </w:tc>
        <w:tc>
          <w:tcPr>
            <w:tcW w:w="0" w:type="auto"/>
            <w:shd w:val="clear" w:color="auto" w:fill="auto"/>
            <w:hideMark/>
          </w:tcPr>
          <w:p w14:paraId="77720B8B" w14:textId="77777777" w:rsidR="002F0133" w:rsidRPr="000B4E2C" w:rsidRDefault="002F0133" w:rsidP="008A7464">
            <w:pPr>
              <w:rPr>
                <w:color w:val="000000" w:themeColor="text1"/>
              </w:rPr>
            </w:pPr>
            <w:r w:rsidRPr="000B4E2C">
              <w:rPr>
                <w:color w:val="000000" w:themeColor="text1"/>
              </w:rPr>
              <w:t>Unclear, assume hospital admission duration</w:t>
            </w:r>
          </w:p>
        </w:tc>
        <w:tc>
          <w:tcPr>
            <w:tcW w:w="0" w:type="auto"/>
            <w:shd w:val="clear" w:color="auto" w:fill="auto"/>
            <w:hideMark/>
          </w:tcPr>
          <w:p w14:paraId="6D31BB1F" w14:textId="5670C112"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Lifetime (max age 100)</w:t>
            </w:r>
          </w:p>
        </w:tc>
        <w:tc>
          <w:tcPr>
            <w:tcW w:w="0" w:type="auto"/>
            <w:shd w:val="clear" w:color="auto" w:fill="auto"/>
            <w:hideMark/>
          </w:tcPr>
          <w:p w14:paraId="27E47632" w14:textId="5A5CE21B"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Life time</w:t>
            </w:r>
          </w:p>
        </w:tc>
      </w:tr>
      <w:tr w:rsidR="000C2218" w:rsidRPr="000B4E2C" w14:paraId="6E5EECDD" w14:textId="77777777" w:rsidTr="000B4E2C">
        <w:trPr>
          <w:cantSplit/>
          <w:tblHeader/>
        </w:trPr>
        <w:tc>
          <w:tcPr>
            <w:tcW w:w="0" w:type="auto"/>
            <w:shd w:val="clear" w:color="auto" w:fill="auto"/>
            <w:hideMark/>
          </w:tcPr>
          <w:p w14:paraId="7A95BD59" w14:textId="77777777" w:rsidR="002F0133" w:rsidRPr="000B4E2C" w:rsidRDefault="002F0133" w:rsidP="008A7464">
            <w:pPr>
              <w:rPr>
                <w:b/>
                <w:color w:val="000000" w:themeColor="text1"/>
              </w:rPr>
            </w:pPr>
            <w:r w:rsidRPr="000B4E2C">
              <w:rPr>
                <w:b/>
                <w:color w:val="000000" w:themeColor="text1"/>
              </w:rPr>
              <w:t xml:space="preserve">Discount rate </w:t>
            </w:r>
          </w:p>
        </w:tc>
        <w:tc>
          <w:tcPr>
            <w:tcW w:w="0" w:type="auto"/>
            <w:shd w:val="clear" w:color="auto" w:fill="auto"/>
            <w:hideMark/>
          </w:tcPr>
          <w:p w14:paraId="5D8DF1E6" w14:textId="77777777" w:rsidR="002F0133" w:rsidRPr="000B4E2C" w:rsidRDefault="002F0133" w:rsidP="008A7464">
            <w:pPr>
              <w:rPr>
                <w:color w:val="000000" w:themeColor="text1"/>
              </w:rPr>
            </w:pPr>
            <w:r w:rsidRPr="000B4E2C">
              <w:rPr>
                <w:color w:val="000000" w:themeColor="text1"/>
              </w:rPr>
              <w:t xml:space="preserve">Costs: 3.5% </w:t>
            </w:r>
            <w:r w:rsidRPr="000B4E2C">
              <w:rPr>
                <w:i/>
                <w:color w:val="00B0F0"/>
              </w:rPr>
              <w:t>p</w:t>
            </w:r>
            <w:r w:rsidRPr="000B4E2C">
              <w:rPr>
                <w:color w:val="000000" w:themeColor="text1"/>
              </w:rPr>
              <w:t>.a</w:t>
            </w:r>
          </w:p>
          <w:p w14:paraId="2985EAFC" w14:textId="77777777" w:rsidR="002F0133" w:rsidRPr="000B4E2C" w:rsidRDefault="002F0133" w:rsidP="008A7464">
            <w:pPr>
              <w:rPr>
                <w:color w:val="000000" w:themeColor="text1"/>
              </w:rPr>
            </w:pPr>
            <w:r w:rsidRPr="000B4E2C">
              <w:rPr>
                <w:color w:val="000000" w:themeColor="text1"/>
              </w:rPr>
              <w:t xml:space="preserve">QALYs: 3.5% </w:t>
            </w:r>
            <w:r w:rsidRPr="000B4E2C">
              <w:rPr>
                <w:i/>
                <w:color w:val="00B0F0"/>
              </w:rPr>
              <w:t>p</w:t>
            </w:r>
            <w:r w:rsidRPr="000B4E2C">
              <w:rPr>
                <w:color w:val="000000" w:themeColor="text1"/>
              </w:rPr>
              <w:t>.a</w:t>
            </w:r>
          </w:p>
        </w:tc>
        <w:tc>
          <w:tcPr>
            <w:tcW w:w="0" w:type="auto"/>
            <w:shd w:val="clear" w:color="auto" w:fill="auto"/>
            <w:hideMark/>
          </w:tcPr>
          <w:p w14:paraId="119484A4" w14:textId="77777777" w:rsidR="002F0133" w:rsidRPr="000B4E2C" w:rsidRDefault="002F0133" w:rsidP="008A7464">
            <w:pPr>
              <w:rPr>
                <w:color w:val="000000" w:themeColor="text1"/>
              </w:rPr>
            </w:pPr>
            <w:r w:rsidRPr="000B4E2C">
              <w:rPr>
                <w:color w:val="000000" w:themeColor="text1"/>
              </w:rPr>
              <w:t>NR</w:t>
            </w:r>
          </w:p>
        </w:tc>
        <w:tc>
          <w:tcPr>
            <w:tcW w:w="0" w:type="auto"/>
            <w:shd w:val="clear" w:color="auto" w:fill="auto"/>
            <w:hideMark/>
          </w:tcPr>
          <w:p w14:paraId="09B138CF" w14:textId="77777777" w:rsidR="002F0133" w:rsidRPr="000B4E2C" w:rsidRDefault="002F0133" w:rsidP="008A7464">
            <w:pPr>
              <w:rPr>
                <w:color w:val="000000" w:themeColor="text1"/>
              </w:rPr>
            </w:pPr>
            <w:r w:rsidRPr="000B4E2C">
              <w:rPr>
                <w:color w:val="000000" w:themeColor="text1"/>
              </w:rPr>
              <w:t xml:space="preserve">Costs: 3% </w:t>
            </w:r>
            <w:r w:rsidRPr="000B4E2C">
              <w:rPr>
                <w:i/>
                <w:color w:val="00B0F0"/>
              </w:rPr>
              <w:t>p</w:t>
            </w:r>
            <w:r w:rsidRPr="000B4E2C">
              <w:rPr>
                <w:color w:val="000000" w:themeColor="text1"/>
              </w:rPr>
              <w:t>.a</w:t>
            </w:r>
          </w:p>
          <w:p w14:paraId="6EDD1DA3" w14:textId="77777777" w:rsidR="002F0133" w:rsidRPr="000B4E2C" w:rsidRDefault="002F0133" w:rsidP="008A7464">
            <w:pPr>
              <w:rPr>
                <w:color w:val="000000" w:themeColor="text1"/>
              </w:rPr>
            </w:pPr>
            <w:r w:rsidRPr="000B4E2C">
              <w:rPr>
                <w:color w:val="000000" w:themeColor="text1"/>
              </w:rPr>
              <w:t xml:space="preserve">QALYs: 3% </w:t>
            </w:r>
            <w:r w:rsidRPr="000B4E2C">
              <w:rPr>
                <w:i/>
                <w:color w:val="00B0F0"/>
              </w:rPr>
              <w:t>p</w:t>
            </w:r>
            <w:r w:rsidRPr="000B4E2C">
              <w:rPr>
                <w:color w:val="000000" w:themeColor="text1"/>
              </w:rPr>
              <w:t>.a</w:t>
            </w:r>
          </w:p>
        </w:tc>
        <w:tc>
          <w:tcPr>
            <w:tcW w:w="0" w:type="auto"/>
            <w:shd w:val="clear" w:color="auto" w:fill="auto"/>
            <w:hideMark/>
          </w:tcPr>
          <w:p w14:paraId="33C6D826" w14:textId="1ABCFF0D"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NR</w:t>
            </w:r>
          </w:p>
        </w:tc>
      </w:tr>
      <w:tr w:rsidR="000C2218" w:rsidRPr="000B4E2C" w14:paraId="71454975" w14:textId="77777777" w:rsidTr="000B4E2C">
        <w:trPr>
          <w:cantSplit/>
          <w:tblHeader/>
        </w:trPr>
        <w:tc>
          <w:tcPr>
            <w:tcW w:w="0" w:type="auto"/>
            <w:shd w:val="clear" w:color="auto" w:fill="auto"/>
            <w:hideMark/>
          </w:tcPr>
          <w:p w14:paraId="4AB1C9EE" w14:textId="77777777" w:rsidR="002F0133" w:rsidRPr="000B4E2C" w:rsidRDefault="002F0133" w:rsidP="008A7464">
            <w:pPr>
              <w:rPr>
                <w:b/>
                <w:color w:val="000000" w:themeColor="text1"/>
              </w:rPr>
            </w:pPr>
            <w:r w:rsidRPr="000B4E2C">
              <w:rPr>
                <w:b/>
                <w:color w:val="000000" w:themeColor="text1"/>
              </w:rPr>
              <w:t>Sensitivity analyses conducted?</w:t>
            </w:r>
          </w:p>
        </w:tc>
        <w:tc>
          <w:tcPr>
            <w:tcW w:w="0" w:type="auto"/>
            <w:shd w:val="clear" w:color="auto" w:fill="auto"/>
            <w:hideMark/>
          </w:tcPr>
          <w:p w14:paraId="7133F8C5" w14:textId="77777777" w:rsidR="000B4E2C" w:rsidRPr="000B4E2C" w:rsidRDefault="002F0133" w:rsidP="008A7464">
            <w:pPr>
              <w:rPr>
                <w:color w:val="000000" w:themeColor="text1"/>
              </w:rPr>
            </w:pPr>
            <w:r w:rsidRPr="000B4E2C">
              <w:rPr>
                <w:color w:val="000000" w:themeColor="text1"/>
              </w:rPr>
              <w:t xml:space="preserve">Deterministic sensitivity analyses conducted around time horizon, test costs, AKI </w:t>
            </w:r>
            <w:r w:rsidRPr="000B4E2C">
              <w:rPr>
                <w:color w:val="000000" w:themeColor="text1"/>
                <w:highlight w:val="magenta"/>
              </w:rPr>
              <w:t>incidence</w:t>
            </w:r>
            <w:r w:rsidRPr="000B4E2C">
              <w:rPr>
                <w:color w:val="000000" w:themeColor="text1"/>
              </w:rPr>
              <w:t>, impact of early treatment, costs of AKI intervention, ICU utility, diagnostic accuracy, additional mortality risk for FP tests results, impact of negative test results</w:t>
            </w:r>
          </w:p>
          <w:p w14:paraId="330ABF03" w14:textId="21811CA0" w:rsidR="002F0133" w:rsidRPr="000B4E2C" w:rsidRDefault="002F0133" w:rsidP="008A7464">
            <w:pPr>
              <w:rPr>
                <w:color w:val="000000" w:themeColor="text1"/>
              </w:rPr>
            </w:pPr>
            <w:r w:rsidRPr="000B4E2C">
              <w:rPr>
                <w:color w:val="000000" w:themeColor="text1"/>
              </w:rPr>
              <w:t xml:space="preserve">PSA conducted: Yes </w:t>
            </w:r>
          </w:p>
        </w:tc>
        <w:tc>
          <w:tcPr>
            <w:tcW w:w="0" w:type="auto"/>
            <w:shd w:val="clear" w:color="auto" w:fill="auto"/>
            <w:hideMark/>
          </w:tcPr>
          <w:p w14:paraId="0D832B75" w14:textId="77777777" w:rsidR="000B4E2C" w:rsidRPr="000B4E2C" w:rsidRDefault="002F0133" w:rsidP="008A7464">
            <w:pPr>
              <w:rPr>
                <w:color w:val="000000" w:themeColor="text1"/>
              </w:rPr>
            </w:pPr>
            <w:r w:rsidRPr="000B4E2C">
              <w:rPr>
                <w:color w:val="000000" w:themeColor="text1"/>
              </w:rPr>
              <w:t>Deterministic sensitivity analysis: varying hospital cost, LOS, proportion with baseline CKD, proportion developing UTI, costs of further testing.</w:t>
            </w:r>
          </w:p>
          <w:p w14:paraId="678A9221" w14:textId="71DB84D1" w:rsidR="002F0133" w:rsidRPr="000B4E2C" w:rsidRDefault="002F0133" w:rsidP="008A7464">
            <w:pPr>
              <w:rPr>
                <w:color w:val="000000" w:themeColor="text1"/>
              </w:rPr>
            </w:pPr>
            <w:r w:rsidRPr="000B4E2C">
              <w:rPr>
                <w:color w:val="000000" w:themeColor="text1"/>
              </w:rPr>
              <w:t>PSA conducted: cost simulation</w:t>
            </w:r>
          </w:p>
        </w:tc>
        <w:tc>
          <w:tcPr>
            <w:tcW w:w="0" w:type="auto"/>
            <w:shd w:val="clear" w:color="auto" w:fill="auto"/>
            <w:hideMark/>
          </w:tcPr>
          <w:p w14:paraId="7A639893" w14:textId="77777777" w:rsidR="000B4E2C" w:rsidRPr="000B4E2C" w:rsidRDefault="002F0133" w:rsidP="008A7464">
            <w:pPr>
              <w:rPr>
                <w:color w:val="000000" w:themeColor="text1"/>
              </w:rPr>
            </w:pPr>
            <w:r w:rsidRPr="000B4E2C">
              <w:rPr>
                <w:color w:val="000000" w:themeColor="text1"/>
              </w:rPr>
              <w:t xml:space="preserve">Deterministic sensitivity analysis: </w:t>
            </w:r>
            <w:r w:rsidRPr="000B4E2C">
              <w:rPr>
                <w:color w:val="000000" w:themeColor="text1"/>
                <w:highlight w:val="magenta"/>
              </w:rPr>
              <w:t>Incidence</w:t>
            </w:r>
            <w:r w:rsidRPr="000B4E2C">
              <w:rPr>
                <w:color w:val="000000" w:themeColor="text1"/>
              </w:rPr>
              <w:t xml:space="preserve"> of AKI and associated mortality, sensitivity and specificity</w:t>
            </w:r>
          </w:p>
          <w:p w14:paraId="6F565605" w14:textId="7C26DFC6" w:rsidR="002F0133" w:rsidRPr="000B4E2C" w:rsidRDefault="002F0133" w:rsidP="008A7464">
            <w:pPr>
              <w:rPr>
                <w:color w:val="000000" w:themeColor="text1"/>
              </w:rPr>
            </w:pPr>
            <w:r w:rsidRPr="000B4E2C">
              <w:rPr>
                <w:color w:val="000000" w:themeColor="text1"/>
              </w:rPr>
              <w:t>PSA conducted: Yes</w:t>
            </w:r>
          </w:p>
        </w:tc>
        <w:tc>
          <w:tcPr>
            <w:tcW w:w="0" w:type="auto"/>
            <w:shd w:val="clear" w:color="auto" w:fill="auto"/>
            <w:hideMark/>
          </w:tcPr>
          <w:p w14:paraId="31FE674C" w14:textId="77777777" w:rsidR="000B4E2C" w:rsidRPr="000B4E2C" w:rsidRDefault="002F0133" w:rsidP="008A7464">
            <w:pPr>
              <w:rPr>
                <w:color w:val="000000" w:themeColor="text1"/>
              </w:rPr>
            </w:pPr>
            <w:r w:rsidRPr="000B4E2C">
              <w:rPr>
                <w:color w:val="000000" w:themeColor="text1"/>
              </w:rPr>
              <w:t>Deterministic sensitivity analysis: mainly different treatment effects, also: baseline AKI probability, probability of CKD, effect of early intervention on AKI, change in hospital costs, change in diagnostic accuracy, cost per NGAL test</w:t>
            </w:r>
          </w:p>
          <w:p w14:paraId="1B42EB30" w14:textId="59E14419" w:rsidR="002F0133" w:rsidRPr="000B4E2C" w:rsidRDefault="002F0133" w:rsidP="008A7464">
            <w:pPr>
              <w:rPr>
                <w:color w:val="000000" w:themeColor="text1"/>
              </w:rPr>
            </w:pPr>
            <w:r w:rsidRPr="000B4E2C">
              <w:rPr>
                <w:color w:val="000000" w:themeColor="text1"/>
              </w:rPr>
              <w:t>PSA conducted: Yes</w:t>
            </w:r>
          </w:p>
        </w:tc>
      </w:tr>
      <w:tr w:rsidR="000C2218" w:rsidRPr="000B4E2C" w14:paraId="7826693F" w14:textId="77777777" w:rsidTr="000B4E2C">
        <w:trPr>
          <w:cantSplit/>
          <w:tblHeader/>
        </w:trPr>
        <w:tc>
          <w:tcPr>
            <w:tcW w:w="0" w:type="auto"/>
            <w:shd w:val="clear" w:color="auto" w:fill="auto"/>
            <w:hideMark/>
          </w:tcPr>
          <w:p w14:paraId="0A1FF01D" w14:textId="77777777" w:rsidR="002F0133" w:rsidRPr="000B4E2C" w:rsidRDefault="002F0133" w:rsidP="008A7464">
            <w:pPr>
              <w:rPr>
                <w:b/>
                <w:color w:val="000000" w:themeColor="text1"/>
              </w:rPr>
            </w:pPr>
            <w:r w:rsidRPr="000B4E2C">
              <w:rPr>
                <w:b/>
                <w:color w:val="000000" w:themeColor="text1"/>
              </w:rPr>
              <w:t>Base case results (including summary of incremental analyses)</w:t>
            </w:r>
          </w:p>
        </w:tc>
        <w:tc>
          <w:tcPr>
            <w:tcW w:w="0" w:type="auto"/>
            <w:shd w:val="clear" w:color="auto" w:fill="auto"/>
            <w:hideMark/>
          </w:tcPr>
          <w:p w14:paraId="064B3D83" w14:textId="1BA68CF1" w:rsidR="002F0133" w:rsidRPr="000B4E2C" w:rsidRDefault="00342F29" w:rsidP="008A7464">
            <w:pPr>
              <w:rPr>
                <w:b/>
                <w:color w:val="000000" w:themeColor="text1"/>
              </w:rPr>
            </w:pPr>
            <w:r w:rsidRPr="000B4E2C">
              <w:rPr>
                <w:b/>
                <w:color w:val="000000" w:themeColor="text1"/>
              </w:rPr>
              <w:t>ICERs vs. standard care:</w:t>
            </w:r>
          </w:p>
          <w:p w14:paraId="153072CE" w14:textId="38CCCFBD" w:rsidR="000C2218" w:rsidRPr="000B4E2C" w:rsidRDefault="000C2218" w:rsidP="000C2218">
            <w:pPr>
              <w:rPr>
                <w:color w:val="000000" w:themeColor="text1"/>
              </w:rPr>
            </w:pPr>
            <w:r w:rsidRPr="000B4E2C">
              <w:rPr>
                <w:color w:val="000000" w:themeColor="text1"/>
              </w:rPr>
              <w:t>Cystatin C (serum):</w:t>
            </w:r>
            <w:r w:rsidR="000B4E2C" w:rsidRPr="000B4E2C">
              <w:rPr>
                <w:color w:val="000000" w:themeColor="text1"/>
              </w:rPr>
              <w:t xml:space="preserve"> </w:t>
            </w:r>
            <w:r w:rsidRPr="000B4E2C">
              <w:rPr>
                <w:color w:val="000000" w:themeColor="text1"/>
              </w:rPr>
              <w:t>£11,476</w:t>
            </w:r>
          </w:p>
          <w:p w14:paraId="694BF4E9" w14:textId="550A99FD" w:rsidR="000C2218" w:rsidRPr="000B4E2C" w:rsidRDefault="000C2218" w:rsidP="000C2218">
            <w:pPr>
              <w:rPr>
                <w:color w:val="000000" w:themeColor="text1"/>
              </w:rPr>
            </w:pPr>
            <w:r w:rsidRPr="000B4E2C">
              <w:rPr>
                <w:color w:val="000000" w:themeColor="text1"/>
              </w:rPr>
              <w:t>Cystatin C (urine):</w:t>
            </w:r>
            <w:r w:rsidR="000B4E2C" w:rsidRPr="000B4E2C">
              <w:rPr>
                <w:color w:val="000000" w:themeColor="text1"/>
              </w:rPr>
              <w:t xml:space="preserve"> </w:t>
            </w:r>
            <w:r w:rsidRPr="000B4E2C">
              <w:rPr>
                <w:color w:val="000000" w:themeColor="text1"/>
              </w:rPr>
              <w:t>£13,449</w:t>
            </w:r>
          </w:p>
          <w:p w14:paraId="26C3E64B" w14:textId="46E7577F" w:rsidR="000C2218" w:rsidRPr="000B4E2C" w:rsidRDefault="000C2218" w:rsidP="000C2218">
            <w:pPr>
              <w:rPr>
                <w:color w:val="000000" w:themeColor="text1"/>
              </w:rPr>
            </w:pPr>
            <w:r w:rsidRPr="000B4E2C">
              <w:rPr>
                <w:color w:val="000000" w:themeColor="text1"/>
              </w:rPr>
              <w:t>NGAL (urine):</w:t>
            </w:r>
            <w:r w:rsidR="000B4E2C" w:rsidRPr="000B4E2C">
              <w:rPr>
                <w:color w:val="000000" w:themeColor="text1"/>
              </w:rPr>
              <w:t xml:space="preserve"> </w:t>
            </w:r>
            <w:r w:rsidRPr="000B4E2C">
              <w:rPr>
                <w:color w:val="000000" w:themeColor="text1"/>
              </w:rPr>
              <w:t>£13,742</w:t>
            </w:r>
          </w:p>
          <w:p w14:paraId="713B9D72" w14:textId="11B4ECDD" w:rsidR="000C2218" w:rsidRPr="000B4E2C" w:rsidRDefault="000C2218" w:rsidP="000C2218">
            <w:pPr>
              <w:rPr>
                <w:color w:val="000000" w:themeColor="text1"/>
                <w:lang w:val="pt-PT"/>
              </w:rPr>
            </w:pPr>
            <w:r w:rsidRPr="000B4E2C">
              <w:rPr>
                <w:color w:val="000000" w:themeColor="text1"/>
                <w:lang w:val="pt-PT"/>
              </w:rPr>
              <w:t>NGAL (plasma):</w:t>
            </w:r>
            <w:r w:rsidR="000B4E2C" w:rsidRPr="000B4E2C">
              <w:rPr>
                <w:color w:val="000000" w:themeColor="text1"/>
                <w:lang w:val="pt-PT"/>
              </w:rPr>
              <w:t xml:space="preserve"> </w:t>
            </w:r>
            <w:r w:rsidRPr="000B4E2C">
              <w:rPr>
                <w:color w:val="000000" w:themeColor="text1"/>
                <w:lang w:val="pt-PT"/>
              </w:rPr>
              <w:t>£13,372</w:t>
            </w:r>
          </w:p>
          <w:p w14:paraId="000A0A87" w14:textId="58DB7872" w:rsidR="000C2218" w:rsidRPr="000B4E2C" w:rsidRDefault="000C2218" w:rsidP="000C2218">
            <w:pPr>
              <w:rPr>
                <w:color w:val="000000" w:themeColor="text1"/>
                <w:lang w:val="pt-PT"/>
              </w:rPr>
            </w:pPr>
            <w:r w:rsidRPr="000B4E2C">
              <w:rPr>
                <w:color w:val="000000" w:themeColor="text1"/>
                <w:lang w:val="pt-PT"/>
              </w:rPr>
              <w:t>Cystatin C (plasma):</w:t>
            </w:r>
            <w:r w:rsidR="000B4E2C" w:rsidRPr="000B4E2C">
              <w:rPr>
                <w:color w:val="000000" w:themeColor="text1"/>
                <w:lang w:val="pt-PT"/>
              </w:rPr>
              <w:t xml:space="preserve"> </w:t>
            </w:r>
            <w:r w:rsidRPr="000B4E2C">
              <w:rPr>
                <w:color w:val="000000" w:themeColor="text1"/>
                <w:lang w:val="pt-PT"/>
              </w:rPr>
              <w:t>£13,504</w:t>
            </w:r>
          </w:p>
          <w:p w14:paraId="4839074B" w14:textId="3B98ABEE" w:rsidR="000C2218" w:rsidRPr="000B4E2C" w:rsidRDefault="000C2218" w:rsidP="000C2218">
            <w:pPr>
              <w:rPr>
                <w:color w:val="000000" w:themeColor="text1"/>
                <w:lang w:val="pt-PT"/>
              </w:rPr>
            </w:pPr>
            <w:r w:rsidRPr="000B4E2C">
              <w:rPr>
                <w:color w:val="000000" w:themeColor="text1"/>
                <w:lang w:val="pt-PT"/>
              </w:rPr>
              <w:t>NGAL (serum):</w:t>
            </w:r>
            <w:r w:rsidR="000B4E2C" w:rsidRPr="000B4E2C">
              <w:rPr>
                <w:color w:val="000000" w:themeColor="text1"/>
                <w:lang w:val="pt-PT"/>
              </w:rPr>
              <w:t xml:space="preserve"> </w:t>
            </w:r>
            <w:r w:rsidRPr="000B4E2C">
              <w:rPr>
                <w:color w:val="000000" w:themeColor="text1"/>
                <w:lang w:val="pt-PT"/>
              </w:rPr>
              <w:t>£13,828</w:t>
            </w:r>
          </w:p>
          <w:p w14:paraId="3C0A643B" w14:textId="45CF4E3F" w:rsidR="000C2218" w:rsidRPr="000B4E2C" w:rsidRDefault="000C2218" w:rsidP="000C2218">
            <w:pPr>
              <w:rPr>
                <w:color w:val="000000" w:themeColor="text1"/>
                <w:lang w:val="pt-PT"/>
              </w:rPr>
            </w:pPr>
            <w:r w:rsidRPr="000B4E2C">
              <w:rPr>
                <w:color w:val="000000" w:themeColor="text1"/>
                <w:lang w:val="pt-PT"/>
              </w:rPr>
              <w:t>Nephro-Check:</w:t>
            </w:r>
            <w:r w:rsidR="000B4E2C" w:rsidRPr="000B4E2C">
              <w:rPr>
                <w:color w:val="000000" w:themeColor="text1"/>
                <w:lang w:val="pt-PT"/>
              </w:rPr>
              <w:t xml:space="preserve"> </w:t>
            </w:r>
            <w:r w:rsidRPr="000B4E2C">
              <w:rPr>
                <w:color w:val="000000" w:themeColor="text1"/>
                <w:lang w:val="pt-PT"/>
              </w:rPr>
              <w:t>£19,324</w:t>
            </w:r>
          </w:p>
          <w:p w14:paraId="28A4FA8E" w14:textId="5F79B15F" w:rsidR="002F0133" w:rsidRPr="000B4E2C" w:rsidRDefault="002F0133" w:rsidP="008A7464">
            <w:pPr>
              <w:rPr>
                <w:color w:val="000000" w:themeColor="text1"/>
                <w:lang w:val="pt-PT"/>
              </w:rPr>
            </w:pPr>
          </w:p>
        </w:tc>
        <w:tc>
          <w:tcPr>
            <w:tcW w:w="0" w:type="auto"/>
            <w:shd w:val="clear" w:color="auto" w:fill="auto"/>
            <w:hideMark/>
          </w:tcPr>
          <w:p w14:paraId="5C2CE03E" w14:textId="5A966FB6" w:rsidR="002F0133" w:rsidRPr="000B4E2C" w:rsidRDefault="000C2218" w:rsidP="008A7464">
            <w:pPr>
              <w:rPr>
                <w:b/>
                <w:color w:val="000000" w:themeColor="text1"/>
              </w:rPr>
            </w:pPr>
            <w:r w:rsidRPr="000B4E2C">
              <w:rPr>
                <w:b/>
                <w:color w:val="000000" w:themeColor="text1"/>
              </w:rPr>
              <w:t>Costs vs. standard care</w:t>
            </w:r>
          </w:p>
          <w:p w14:paraId="1317B307" w14:textId="51863AFF" w:rsidR="000C2218" w:rsidRPr="000B4E2C" w:rsidRDefault="000C2218" w:rsidP="008A7464">
            <w:pPr>
              <w:rPr>
                <w:color w:val="000000" w:themeColor="text1"/>
              </w:rPr>
            </w:pPr>
            <w:r w:rsidRPr="000B4E2C">
              <w:rPr>
                <w:color w:val="000000" w:themeColor="text1"/>
              </w:rPr>
              <w:t>NGAL urine (</w:t>
            </w:r>
            <w:r w:rsidRPr="000B4E2C">
              <w:rPr>
                <w:color w:val="000000" w:themeColor="text1"/>
                <w:highlight w:val="magenta"/>
              </w:rPr>
              <w:t>site</w:t>
            </w:r>
            <w:r w:rsidRPr="000B4E2C">
              <w:rPr>
                <w:color w:val="000000" w:themeColor="text1"/>
              </w:rPr>
              <w:t xml:space="preserve"> 1):</w:t>
            </w:r>
            <w:r w:rsidR="000B4E2C" w:rsidRPr="000B4E2C">
              <w:rPr>
                <w:color w:val="000000" w:themeColor="text1"/>
              </w:rPr>
              <w:t xml:space="preserve"> </w:t>
            </w:r>
            <w:r w:rsidRPr="000B4E2C">
              <w:rPr>
                <w:color w:val="000000" w:themeColor="text1"/>
              </w:rPr>
              <w:t>-$408</w:t>
            </w:r>
          </w:p>
          <w:p w14:paraId="762EC7AE" w14:textId="77777777" w:rsidR="000B4E2C" w:rsidRPr="000B4E2C" w:rsidRDefault="000C2218" w:rsidP="008A7464">
            <w:pPr>
              <w:rPr>
                <w:color w:val="000000" w:themeColor="text1"/>
              </w:rPr>
            </w:pPr>
            <w:r w:rsidRPr="000B4E2C">
              <w:rPr>
                <w:color w:val="000000" w:themeColor="text1"/>
              </w:rPr>
              <w:t>NGAL uring (</w:t>
            </w:r>
            <w:r w:rsidRPr="000B4E2C">
              <w:rPr>
                <w:color w:val="000000" w:themeColor="text1"/>
                <w:highlight w:val="magenta"/>
              </w:rPr>
              <w:t>site</w:t>
            </w:r>
            <w:r w:rsidRPr="000B4E2C">
              <w:rPr>
                <w:color w:val="000000" w:themeColor="text1"/>
              </w:rPr>
              <w:t xml:space="preserve"> 2):</w:t>
            </w:r>
            <w:r w:rsidR="000B4E2C" w:rsidRPr="000B4E2C">
              <w:rPr>
                <w:color w:val="000000" w:themeColor="text1"/>
              </w:rPr>
              <w:t xml:space="preserve"> </w:t>
            </w:r>
            <w:r w:rsidRPr="000B4E2C">
              <w:rPr>
                <w:color w:val="000000" w:themeColor="text1"/>
              </w:rPr>
              <w:t>-$522</w:t>
            </w:r>
          </w:p>
          <w:p w14:paraId="57E9CA2D" w14:textId="07CD9DE3" w:rsidR="002F0133" w:rsidRPr="000B4E2C" w:rsidRDefault="002F0133" w:rsidP="008A7464">
            <w:pPr>
              <w:rPr>
                <w:color w:val="000000" w:themeColor="text1"/>
              </w:rPr>
            </w:pPr>
          </w:p>
        </w:tc>
        <w:tc>
          <w:tcPr>
            <w:tcW w:w="0" w:type="auto"/>
            <w:shd w:val="clear" w:color="auto" w:fill="auto"/>
            <w:hideMark/>
          </w:tcPr>
          <w:p w14:paraId="1CA4D92D" w14:textId="58489007" w:rsidR="000C2218" w:rsidRPr="000B4E2C" w:rsidRDefault="000C2218" w:rsidP="000C2218">
            <w:pPr>
              <w:rPr>
                <w:b/>
                <w:color w:val="000000" w:themeColor="text1"/>
              </w:rPr>
            </w:pPr>
            <w:r w:rsidRPr="000B4E2C">
              <w:rPr>
                <w:b/>
                <w:color w:val="000000" w:themeColor="text1"/>
              </w:rPr>
              <w:t>ICERs vs. standard care:</w:t>
            </w:r>
          </w:p>
          <w:p w14:paraId="6123BB5D" w14:textId="3F9F4D2F" w:rsidR="000C2218" w:rsidRPr="000B4E2C" w:rsidRDefault="000C2218" w:rsidP="000C2218">
            <w:pPr>
              <w:rPr>
                <w:color w:val="000000" w:themeColor="text1"/>
              </w:rPr>
            </w:pPr>
            <w:r w:rsidRPr="000B4E2C">
              <w:rPr>
                <w:color w:val="000000" w:themeColor="text1"/>
              </w:rPr>
              <w:t>uL-FABP:</w:t>
            </w:r>
            <w:r w:rsidR="000B4E2C" w:rsidRPr="000B4E2C">
              <w:rPr>
                <w:color w:val="000000" w:themeColor="text1"/>
              </w:rPr>
              <w:t xml:space="preserve"> </w:t>
            </w:r>
            <w:r w:rsidRPr="000B4E2C">
              <w:rPr>
                <w:color w:val="000000" w:themeColor="text1"/>
              </w:rPr>
              <w:t>$5,959</w:t>
            </w:r>
          </w:p>
          <w:p w14:paraId="32D7B63A" w14:textId="66D25B53" w:rsidR="000C2218" w:rsidRPr="000B4E2C" w:rsidRDefault="000C2218" w:rsidP="000C2218">
            <w:pPr>
              <w:rPr>
                <w:color w:val="000000" w:themeColor="text1"/>
              </w:rPr>
            </w:pPr>
            <w:r w:rsidRPr="000B4E2C">
              <w:rPr>
                <w:color w:val="000000" w:themeColor="text1"/>
              </w:rPr>
              <w:t>sCysC:</w:t>
            </w:r>
            <w:r w:rsidR="000B4E2C" w:rsidRPr="000B4E2C">
              <w:rPr>
                <w:color w:val="000000" w:themeColor="text1"/>
              </w:rPr>
              <w:t xml:space="preserve"> </w:t>
            </w:r>
            <w:r w:rsidRPr="000B4E2C">
              <w:rPr>
                <w:color w:val="000000" w:themeColor="text1"/>
              </w:rPr>
              <w:t>$7,077</w:t>
            </w:r>
          </w:p>
          <w:p w14:paraId="128C3142" w14:textId="77777777" w:rsidR="000B4E2C" w:rsidRPr="000B4E2C" w:rsidRDefault="000C2218" w:rsidP="000C2218">
            <w:pPr>
              <w:rPr>
                <w:color w:val="000000" w:themeColor="text1"/>
              </w:rPr>
            </w:pPr>
            <w:r w:rsidRPr="000B4E2C">
              <w:rPr>
                <w:color w:val="000000" w:themeColor="text1"/>
              </w:rPr>
              <w:t>uNGAL:</w:t>
            </w:r>
            <w:r w:rsidR="000B4E2C" w:rsidRPr="000B4E2C">
              <w:rPr>
                <w:color w:val="000000" w:themeColor="text1"/>
              </w:rPr>
              <w:t xml:space="preserve"> </w:t>
            </w:r>
            <w:r w:rsidRPr="000B4E2C">
              <w:rPr>
                <w:color w:val="000000" w:themeColor="text1"/>
              </w:rPr>
              <w:t>$9,315</w:t>
            </w:r>
          </w:p>
          <w:p w14:paraId="684174E7" w14:textId="7BAF6394" w:rsidR="002F0133" w:rsidRPr="000B4E2C" w:rsidRDefault="002F0133" w:rsidP="008A7464">
            <w:pPr>
              <w:rPr>
                <w:color w:val="000000" w:themeColor="text1"/>
              </w:rPr>
            </w:pPr>
          </w:p>
        </w:tc>
        <w:tc>
          <w:tcPr>
            <w:tcW w:w="0" w:type="auto"/>
            <w:shd w:val="clear" w:color="auto" w:fill="auto"/>
            <w:hideMark/>
          </w:tcPr>
          <w:p w14:paraId="7A5389A0" w14:textId="72CA407F" w:rsidR="000C2218" w:rsidRPr="000B4E2C" w:rsidRDefault="000C2218" w:rsidP="000C2218">
            <w:pPr>
              <w:rPr>
                <w:b/>
                <w:color w:val="000000" w:themeColor="text1"/>
              </w:rPr>
            </w:pPr>
            <w:r w:rsidRPr="000B4E2C">
              <w:rPr>
                <w:b/>
                <w:color w:val="000000" w:themeColor="text1"/>
              </w:rPr>
              <w:t>ICERs vs. standard care:</w:t>
            </w:r>
          </w:p>
          <w:p w14:paraId="7CA9DFC7" w14:textId="79B79EF4" w:rsidR="000C2218" w:rsidRPr="000B4E2C" w:rsidRDefault="000C2218" w:rsidP="000C2218">
            <w:pPr>
              <w:rPr>
                <w:color w:val="000000" w:themeColor="text1"/>
              </w:rPr>
            </w:pPr>
            <w:r w:rsidRPr="000B4E2C">
              <w:rPr>
                <w:color w:val="000000" w:themeColor="text1"/>
              </w:rPr>
              <w:t>uNGAL (tx: 12.5% improvement):</w:t>
            </w:r>
            <w:r w:rsidR="000B4E2C" w:rsidRPr="000B4E2C">
              <w:rPr>
                <w:color w:val="000000" w:themeColor="text1"/>
              </w:rPr>
              <w:t xml:space="preserve"> </w:t>
            </w:r>
            <w:r w:rsidRPr="000B4E2C">
              <w:rPr>
                <w:color w:val="000000" w:themeColor="text1"/>
              </w:rPr>
              <w:t>Dom</w:t>
            </w:r>
          </w:p>
          <w:p w14:paraId="1BFAE023" w14:textId="5BF4DBE7" w:rsidR="000C2218" w:rsidRPr="000B4E2C" w:rsidRDefault="000C2218" w:rsidP="000C2218">
            <w:pPr>
              <w:rPr>
                <w:color w:val="000000" w:themeColor="text1"/>
                <w:lang w:val="fr-FR"/>
              </w:rPr>
            </w:pPr>
            <w:r w:rsidRPr="000B4E2C">
              <w:rPr>
                <w:color w:val="000000" w:themeColor="text1"/>
                <w:lang w:val="fr-FR"/>
              </w:rPr>
              <w:t>uNGAL (tx: 25% improvement):</w:t>
            </w:r>
            <w:r w:rsidR="000B4E2C" w:rsidRPr="000B4E2C">
              <w:rPr>
                <w:color w:val="000000" w:themeColor="text1"/>
                <w:lang w:val="fr-FR"/>
              </w:rPr>
              <w:t xml:space="preserve"> </w:t>
            </w:r>
            <w:r w:rsidRPr="000B4E2C">
              <w:rPr>
                <w:color w:val="000000" w:themeColor="text1"/>
                <w:lang w:val="fr-FR"/>
              </w:rPr>
              <w:t>Dom</w:t>
            </w:r>
          </w:p>
          <w:p w14:paraId="6F4F6188" w14:textId="77777777" w:rsidR="000B4E2C" w:rsidRPr="000B4E2C" w:rsidRDefault="000C2218" w:rsidP="000C2218">
            <w:pPr>
              <w:rPr>
                <w:color w:val="000000" w:themeColor="text1"/>
                <w:lang w:val="fr-FR"/>
              </w:rPr>
            </w:pPr>
            <w:r w:rsidRPr="000B4E2C">
              <w:rPr>
                <w:color w:val="000000" w:themeColor="text1"/>
                <w:lang w:val="fr-FR"/>
              </w:rPr>
              <w:t>uNGAL (tx: 50% improvement):</w:t>
            </w:r>
            <w:r w:rsidR="000B4E2C" w:rsidRPr="000B4E2C">
              <w:rPr>
                <w:color w:val="000000" w:themeColor="text1"/>
                <w:lang w:val="fr-FR"/>
              </w:rPr>
              <w:t xml:space="preserve"> </w:t>
            </w:r>
            <w:r w:rsidRPr="000B4E2C">
              <w:rPr>
                <w:color w:val="000000" w:themeColor="text1"/>
                <w:lang w:val="fr-FR"/>
              </w:rPr>
              <w:t>Dom</w:t>
            </w:r>
          </w:p>
          <w:p w14:paraId="565E0F03" w14:textId="724C3A53" w:rsidR="000C2218" w:rsidRPr="000B4E2C" w:rsidRDefault="000C2218" w:rsidP="008A7464">
            <w:pPr>
              <w:rPr>
                <w:color w:val="000000" w:themeColor="text1"/>
              </w:rPr>
            </w:pPr>
            <w:r w:rsidRPr="000B4E2C">
              <w:rPr>
                <w:color w:val="000000" w:themeColor="text1"/>
              </w:rPr>
              <w:t>Dom</w:t>
            </w:r>
            <w:r w:rsidR="000B4E2C" w:rsidRPr="000B4E2C">
              <w:rPr>
                <w:color w:val="00B0F0"/>
              </w:rPr>
              <w:t> = </w:t>
            </w:r>
            <w:r w:rsidRPr="000B4E2C">
              <w:rPr>
                <w:color w:val="000000" w:themeColor="text1"/>
              </w:rPr>
              <w:t>Dominant</w:t>
            </w:r>
          </w:p>
          <w:p w14:paraId="1BF098E6" w14:textId="77777777" w:rsidR="002F0133" w:rsidRPr="000B4E2C" w:rsidRDefault="002F0133" w:rsidP="008A7464"/>
        </w:tc>
      </w:tr>
      <w:tr w:rsidR="000C2218" w:rsidRPr="000B4E2C" w14:paraId="652154D6" w14:textId="77777777" w:rsidTr="000B4E2C">
        <w:trPr>
          <w:cantSplit/>
          <w:tblHeader/>
        </w:trPr>
        <w:tc>
          <w:tcPr>
            <w:tcW w:w="0" w:type="auto"/>
            <w:shd w:val="clear" w:color="auto" w:fill="auto"/>
            <w:hideMark/>
          </w:tcPr>
          <w:p w14:paraId="74A090D7" w14:textId="77777777" w:rsidR="002F0133" w:rsidRPr="000B4E2C" w:rsidRDefault="002F0133" w:rsidP="008A7464">
            <w:pPr>
              <w:rPr>
                <w:b/>
                <w:color w:val="000000" w:themeColor="text1"/>
              </w:rPr>
            </w:pPr>
            <w:r w:rsidRPr="000B4E2C">
              <w:rPr>
                <w:b/>
                <w:color w:val="000000" w:themeColor="text1"/>
              </w:rPr>
              <w:t>Sensitivity analysis results</w:t>
            </w:r>
          </w:p>
        </w:tc>
        <w:tc>
          <w:tcPr>
            <w:tcW w:w="0" w:type="auto"/>
            <w:shd w:val="clear" w:color="auto" w:fill="auto"/>
            <w:hideMark/>
          </w:tcPr>
          <w:p w14:paraId="44F48DF6" w14:textId="77777777" w:rsidR="000B4E2C" w:rsidRPr="000B4E2C" w:rsidRDefault="002F0133" w:rsidP="008A7464">
            <w:pPr>
              <w:rPr>
                <w:color w:val="000000" w:themeColor="text1"/>
              </w:rPr>
            </w:pPr>
            <w:r w:rsidRPr="000B4E2C">
              <w:rPr>
                <w:color w:val="000000" w:themeColor="text1"/>
              </w:rPr>
              <w:t>All test results were sensitive to changes in assumptions around test guided changes in patient management and associated outcomes resulting from tests driven by diagnostic accuracy.</w:t>
            </w:r>
            <w:r w:rsidR="000B4E2C" w:rsidRPr="000B4E2C">
              <w:rPr>
                <w:color w:val="000000" w:themeColor="text1"/>
              </w:rPr>
              <w:t xml:space="preserve"> </w:t>
            </w:r>
            <w:r w:rsidRPr="000B4E2C">
              <w:rPr>
                <w:color w:val="000000" w:themeColor="text1"/>
              </w:rPr>
              <w:t>Page 150 of Hall discusses the full range of sensitivity analysis results.</w:t>
            </w:r>
          </w:p>
          <w:p w14:paraId="62F27D9E" w14:textId="535D7F96" w:rsidR="002F0133" w:rsidRPr="000B4E2C" w:rsidRDefault="002F0133" w:rsidP="008A7464">
            <w:pPr>
              <w:rPr>
                <w:color w:val="000000" w:themeColor="text1"/>
              </w:rPr>
            </w:pPr>
            <w:r w:rsidRPr="000B4E2C">
              <w:rPr>
                <w:color w:val="000000" w:themeColor="text1"/>
              </w:rPr>
              <w:t>High degree of uncertainty and feasible assumptions could change conclusions</w:t>
            </w:r>
          </w:p>
        </w:tc>
        <w:tc>
          <w:tcPr>
            <w:tcW w:w="0" w:type="auto"/>
            <w:shd w:val="clear" w:color="auto" w:fill="auto"/>
            <w:hideMark/>
          </w:tcPr>
          <w:p w14:paraId="3E5BEA98" w14:textId="77777777" w:rsidR="000B4E2C" w:rsidRPr="000B4E2C" w:rsidRDefault="002F0133" w:rsidP="008A7464">
            <w:pPr>
              <w:rPr>
                <w:color w:val="000000" w:themeColor="text1"/>
              </w:rPr>
            </w:pPr>
            <w:r w:rsidRPr="000B4E2C">
              <w:rPr>
                <w:color w:val="000000" w:themeColor="text1"/>
              </w:rPr>
              <w:t>Results were most sensitive to the costs in hospital and the assumptions about length of stay, additional test requirements and the baseline proportion of the population with CKD.</w:t>
            </w:r>
          </w:p>
          <w:p w14:paraId="7EC1EFF4" w14:textId="74F6E27E" w:rsidR="002F0133" w:rsidRPr="000B4E2C" w:rsidRDefault="002F0133" w:rsidP="008A7464">
            <w:pPr>
              <w:rPr>
                <w:color w:val="000000" w:themeColor="text1"/>
              </w:rPr>
            </w:pPr>
            <w:r w:rsidRPr="000B4E2C">
              <w:rPr>
                <w:color w:val="000000" w:themeColor="text1"/>
              </w:rPr>
              <w:t>Urine NGAL remained cost saving for all analyses undertaken</w:t>
            </w:r>
          </w:p>
        </w:tc>
        <w:tc>
          <w:tcPr>
            <w:tcW w:w="0" w:type="auto"/>
            <w:shd w:val="clear" w:color="auto" w:fill="auto"/>
            <w:hideMark/>
          </w:tcPr>
          <w:p w14:paraId="26CDDF67" w14:textId="77777777" w:rsidR="000B4E2C" w:rsidRPr="000B4E2C" w:rsidRDefault="002F0133" w:rsidP="008A7464">
            <w:pPr>
              <w:rPr>
                <w:color w:val="000000" w:themeColor="text1"/>
              </w:rPr>
            </w:pPr>
            <w:r w:rsidRPr="000B4E2C">
              <w:rPr>
                <w:color w:val="000000" w:themeColor="text1"/>
              </w:rPr>
              <w:t>Significant variation in price was not found to impact on overall conclusions.</w:t>
            </w:r>
          </w:p>
          <w:p w14:paraId="591C09A3" w14:textId="67439592" w:rsidR="002F0133" w:rsidRPr="000B4E2C" w:rsidRDefault="002F0133" w:rsidP="008A7464">
            <w:pPr>
              <w:jc w:val="right"/>
            </w:pPr>
          </w:p>
        </w:tc>
        <w:tc>
          <w:tcPr>
            <w:tcW w:w="0" w:type="auto"/>
            <w:shd w:val="clear" w:color="auto" w:fill="auto"/>
            <w:hideMark/>
          </w:tcPr>
          <w:p w14:paraId="23AAA8FA" w14:textId="24205349" w:rsidR="002F0133" w:rsidRPr="000B4E2C" w:rsidRDefault="000B4E2C" w:rsidP="008A7464">
            <w:pPr>
              <w:rPr>
                <w:color w:val="000000" w:themeColor="text1"/>
              </w:rPr>
            </w:pPr>
            <w:r w:rsidRPr="000B4E2C">
              <w:rPr>
                <w:color w:val="000000" w:themeColor="text1"/>
              </w:rPr>
              <w:t xml:space="preserve"> </w:t>
            </w:r>
            <w:r w:rsidR="002F0133" w:rsidRPr="000B4E2C">
              <w:rPr>
                <w:color w:val="000000" w:themeColor="text1"/>
              </w:rPr>
              <w:t xml:space="preserve">Under all conditions, NGAL in addition to current </w:t>
            </w:r>
            <w:r w:rsidR="002F0133" w:rsidRPr="000B4E2C">
              <w:rPr>
                <w:color w:val="000000" w:themeColor="text1"/>
                <w:highlight w:val="magenta"/>
              </w:rPr>
              <w:t>practice</w:t>
            </w:r>
            <w:r w:rsidR="002F0133" w:rsidRPr="000B4E2C">
              <w:rPr>
                <w:color w:val="000000" w:themeColor="text1"/>
              </w:rPr>
              <w:t xml:space="preserve"> was the most cost-effective strategy when compared with current </w:t>
            </w:r>
            <w:r w:rsidR="002F0133" w:rsidRPr="000B4E2C">
              <w:rPr>
                <w:color w:val="000000" w:themeColor="text1"/>
                <w:highlight w:val="magenta"/>
              </w:rPr>
              <w:t>practice</w:t>
            </w:r>
            <w:r w:rsidR="002F0133" w:rsidRPr="000B4E2C">
              <w:rPr>
                <w:color w:val="000000" w:themeColor="text1"/>
              </w:rPr>
              <w:t xml:space="preserve"> alone, even when the treatment effect was minimal.</w:t>
            </w:r>
            <w:r w:rsidRPr="000B4E2C">
              <w:rPr>
                <w:color w:val="000000" w:themeColor="text1"/>
              </w:rPr>
              <w:t xml:space="preserve"> </w:t>
            </w:r>
            <w:r w:rsidR="002F0133" w:rsidRPr="000B4E2C">
              <w:rPr>
                <w:color w:val="000000" w:themeColor="text1"/>
              </w:rPr>
              <w:t>Results were driven by the impact of early intervention on hospital length of stay.</w:t>
            </w:r>
          </w:p>
        </w:tc>
      </w:tr>
    </w:tbl>
    <w:p w14:paraId="43003255" w14:textId="77777777" w:rsidR="000B4E2C" w:rsidRPr="000B4E2C" w:rsidRDefault="000B4E2C" w:rsidP="008A7464">
      <w:pPr>
        <w:rPr>
          <w:highlight w:val="yellow"/>
        </w:rPr>
      </w:pPr>
    </w:p>
    <w:p w14:paraId="342F0490" w14:textId="3650DAAB" w:rsidR="002F0133" w:rsidRPr="000B4E2C" w:rsidRDefault="000B4E2C" w:rsidP="008A7464">
      <w:pPr>
        <w:pStyle w:val="Heading2"/>
      </w:pPr>
      <w:r w:rsidRPr="000B4E2C">
        <w:rPr>
          <w:i/>
          <w:color w:val="FF0000"/>
        </w:rPr>
        <w:lastRenderedPageBreak/>
        <w:t>T</w:t>
      </w:r>
      <w:r w:rsidRPr="000B4E2C">
        <w:rPr>
          <w:i/>
          <w:color w:val="FF0000"/>
        </w:rPr>
        <w:t>able</w:t>
      </w:r>
      <w:r w:rsidRPr="000B4E2C">
        <w:rPr>
          <w:i/>
          <w:color w:val="FF0000"/>
        </w:rPr>
        <w:t xml:space="preserve"> </w:t>
      </w:r>
      <w:r w:rsidRPr="000B4E2C">
        <w:rPr>
          <w:i/>
          <w:color w:val="FF0000"/>
        </w:rPr>
        <w:t>14</w:t>
      </w:r>
      <w:r w:rsidRPr="000B4E2C">
        <w:t xml:space="preserve"> </w:t>
      </w:r>
      <w:r w:rsidR="002F0133" w:rsidRPr="000B4E2C">
        <w:t>Appraisal of included studies against the NICE reference case</w:t>
      </w:r>
      <w:r w:rsidR="005B5026" w:rsidRPr="000B4E2C">
        <w:rPr>
          <w:noProof/>
          <w:vertAlign w:val="superscript"/>
        </w:rPr>
        <w:t>98</w:t>
      </w:r>
      <w:r w:rsidR="002F0133" w:rsidRPr="000B4E2C">
        <w:t xml:space="preserve"> and scope</w:t>
      </w:r>
      <w:r w:rsidR="005B5026" w:rsidRPr="000B4E2C">
        <w:rPr>
          <w:noProof/>
          <w:vertAlign w:val="superscript"/>
        </w:rPr>
        <w:t>102</w:t>
      </w:r>
    </w:p>
    <w:tbl>
      <w:tblPr>
        <w:tblW w:w="0" w:type="auto"/>
        <w:tblCellMar>
          <w:top w:w="40" w:type="dxa"/>
          <w:left w:w="60" w:type="dxa"/>
          <w:bottom w:w="40" w:type="dxa"/>
          <w:right w:w="60" w:type="dxa"/>
        </w:tblCellMar>
        <w:tblLook w:val="00A0" w:firstRow="1" w:lastRow="0" w:firstColumn="1" w:lastColumn="0" w:noHBand="0" w:noVBand="0"/>
      </w:tblPr>
      <w:tblGrid>
        <w:gridCol w:w="1761"/>
        <w:gridCol w:w="2142"/>
        <w:gridCol w:w="1233"/>
        <w:gridCol w:w="1204"/>
        <w:gridCol w:w="1358"/>
        <w:gridCol w:w="1328"/>
      </w:tblGrid>
      <w:tr w:rsidR="002F0133" w:rsidRPr="000B4E2C" w14:paraId="229657D8" w14:textId="77777777" w:rsidTr="000B4E2C">
        <w:trPr>
          <w:cantSplit/>
          <w:tblHeader/>
        </w:trPr>
        <w:tc>
          <w:tcPr>
            <w:tcW w:w="0" w:type="auto"/>
            <w:shd w:val="clear" w:color="auto" w:fill="auto"/>
          </w:tcPr>
          <w:p w14:paraId="0ACEC7DB"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b/>
                <w:bCs/>
                <w:color w:val="auto"/>
                <w:sz w:val="20"/>
                <w:szCs w:val="20"/>
              </w:rPr>
              <w:t>Attribute</w:t>
            </w:r>
          </w:p>
        </w:tc>
        <w:tc>
          <w:tcPr>
            <w:tcW w:w="0" w:type="auto"/>
            <w:shd w:val="clear" w:color="auto" w:fill="auto"/>
          </w:tcPr>
          <w:p w14:paraId="39D5D13C"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b/>
                <w:bCs/>
                <w:color w:val="auto"/>
                <w:sz w:val="20"/>
                <w:szCs w:val="20"/>
              </w:rPr>
              <w:t>Reference case and TA Methods guidance</w:t>
            </w:r>
          </w:p>
        </w:tc>
        <w:tc>
          <w:tcPr>
            <w:tcW w:w="0" w:type="auto"/>
            <w:shd w:val="clear" w:color="auto" w:fill="auto"/>
          </w:tcPr>
          <w:p w14:paraId="5AC8B8DF" w14:textId="0E5EEE06" w:rsidR="002F0133" w:rsidRPr="000B4E2C" w:rsidRDefault="002F0133" w:rsidP="008A7464">
            <w:pPr>
              <w:pStyle w:val="Default"/>
              <w:rPr>
                <w:rFonts w:ascii="Times New Roman" w:hAnsi="Times New Roman" w:cs="Times New Roman"/>
                <w:b/>
                <w:bCs/>
                <w:sz w:val="20"/>
                <w:szCs w:val="20"/>
              </w:rPr>
            </w:pPr>
            <w:r w:rsidRPr="000B4E2C">
              <w:rPr>
                <w:rFonts w:ascii="Times New Roman" w:hAnsi="Times New Roman" w:cs="Times New Roman"/>
                <w:b/>
                <w:bCs/>
                <w:color w:val="auto"/>
                <w:sz w:val="20"/>
                <w:szCs w:val="20"/>
              </w:rPr>
              <w:t>Hall, 2018</w:t>
            </w:r>
            <w:r w:rsidR="005B5026" w:rsidRPr="000B4E2C">
              <w:rPr>
                <w:rFonts w:ascii="Times New Roman" w:hAnsi="Times New Roman" w:cs="Times New Roman"/>
                <w:b/>
                <w:bCs/>
                <w:noProof/>
                <w:color w:val="auto"/>
                <w:sz w:val="20"/>
                <w:szCs w:val="20"/>
                <w:vertAlign w:val="superscript"/>
              </w:rPr>
              <w:t>99</w:t>
            </w:r>
          </w:p>
        </w:tc>
        <w:tc>
          <w:tcPr>
            <w:tcW w:w="0" w:type="auto"/>
            <w:shd w:val="clear" w:color="auto" w:fill="auto"/>
          </w:tcPr>
          <w:p w14:paraId="61692730" w14:textId="29D2907C" w:rsidR="002F0133" w:rsidRPr="000B4E2C" w:rsidRDefault="002F0133" w:rsidP="008A7464">
            <w:pPr>
              <w:pStyle w:val="Default"/>
              <w:rPr>
                <w:rFonts w:ascii="Times New Roman" w:hAnsi="Times New Roman" w:cs="Times New Roman"/>
                <w:b/>
                <w:bCs/>
                <w:sz w:val="20"/>
                <w:szCs w:val="20"/>
              </w:rPr>
            </w:pPr>
            <w:r w:rsidRPr="000B4E2C">
              <w:rPr>
                <w:rFonts w:ascii="Times New Roman" w:hAnsi="Times New Roman" w:cs="Times New Roman"/>
                <w:b/>
                <w:bCs/>
                <w:color w:val="auto"/>
                <w:sz w:val="20"/>
                <w:szCs w:val="20"/>
              </w:rPr>
              <w:t>Parikh, 2017</w:t>
            </w:r>
            <w:r w:rsidR="005B5026" w:rsidRPr="000B4E2C">
              <w:rPr>
                <w:rFonts w:ascii="Times New Roman" w:hAnsi="Times New Roman" w:cs="Times New Roman"/>
                <w:b/>
                <w:bCs/>
                <w:noProof/>
                <w:color w:val="auto"/>
                <w:sz w:val="20"/>
                <w:szCs w:val="20"/>
                <w:vertAlign w:val="superscript"/>
              </w:rPr>
              <w:t>97</w:t>
            </w:r>
          </w:p>
        </w:tc>
        <w:tc>
          <w:tcPr>
            <w:tcW w:w="0" w:type="auto"/>
            <w:shd w:val="clear" w:color="auto" w:fill="auto"/>
          </w:tcPr>
          <w:p w14:paraId="1A115706" w14:textId="324026D8" w:rsidR="002F0133" w:rsidRPr="000B4E2C" w:rsidRDefault="002F0133" w:rsidP="008A7464">
            <w:pPr>
              <w:pStyle w:val="Default"/>
              <w:rPr>
                <w:rFonts w:ascii="Times New Roman" w:hAnsi="Times New Roman" w:cs="Times New Roman"/>
                <w:b/>
                <w:bCs/>
                <w:sz w:val="20"/>
                <w:szCs w:val="20"/>
              </w:rPr>
            </w:pPr>
            <w:r w:rsidRPr="000B4E2C">
              <w:rPr>
                <w:rFonts w:ascii="Times New Roman" w:hAnsi="Times New Roman" w:cs="Times New Roman"/>
                <w:b/>
                <w:bCs/>
                <w:color w:val="auto"/>
                <w:sz w:val="20"/>
                <w:szCs w:val="20"/>
              </w:rPr>
              <w:t>Petrovic, 2015</w:t>
            </w:r>
            <w:r w:rsidR="005B5026" w:rsidRPr="000B4E2C">
              <w:rPr>
                <w:rFonts w:ascii="Times New Roman" w:hAnsi="Times New Roman" w:cs="Times New Roman"/>
                <w:b/>
                <w:bCs/>
                <w:noProof/>
                <w:color w:val="auto"/>
                <w:sz w:val="20"/>
                <w:szCs w:val="20"/>
                <w:vertAlign w:val="superscript"/>
              </w:rPr>
              <w:t>100</w:t>
            </w:r>
          </w:p>
        </w:tc>
        <w:tc>
          <w:tcPr>
            <w:tcW w:w="0" w:type="auto"/>
            <w:shd w:val="clear" w:color="auto" w:fill="auto"/>
          </w:tcPr>
          <w:p w14:paraId="26443AF4" w14:textId="1DADB75E" w:rsidR="002F0133" w:rsidRPr="000B4E2C" w:rsidRDefault="002F0133" w:rsidP="008A7464">
            <w:pPr>
              <w:pStyle w:val="Default"/>
              <w:rPr>
                <w:rFonts w:ascii="Times New Roman" w:hAnsi="Times New Roman" w:cs="Times New Roman"/>
                <w:b/>
                <w:bCs/>
                <w:color w:val="auto"/>
                <w:sz w:val="20"/>
                <w:szCs w:val="20"/>
              </w:rPr>
            </w:pPr>
            <w:r w:rsidRPr="000B4E2C">
              <w:rPr>
                <w:rFonts w:ascii="Times New Roman" w:hAnsi="Times New Roman" w:cs="Times New Roman"/>
                <w:b/>
                <w:bCs/>
                <w:color w:val="auto"/>
                <w:sz w:val="20"/>
                <w:szCs w:val="20"/>
              </w:rPr>
              <w:t>Shaw, 2011</w:t>
            </w:r>
            <w:r w:rsidR="005B5026" w:rsidRPr="000B4E2C">
              <w:rPr>
                <w:rFonts w:ascii="Times New Roman" w:hAnsi="Times New Roman" w:cs="Times New Roman"/>
                <w:b/>
                <w:bCs/>
                <w:noProof/>
                <w:color w:val="auto"/>
                <w:sz w:val="20"/>
                <w:szCs w:val="20"/>
                <w:vertAlign w:val="superscript"/>
              </w:rPr>
              <w:t>101</w:t>
            </w:r>
          </w:p>
        </w:tc>
      </w:tr>
      <w:tr w:rsidR="002F0133" w:rsidRPr="000B4E2C" w14:paraId="30410919" w14:textId="77777777" w:rsidTr="000B4E2C">
        <w:trPr>
          <w:cantSplit/>
          <w:tblHeader/>
        </w:trPr>
        <w:tc>
          <w:tcPr>
            <w:tcW w:w="0" w:type="auto"/>
            <w:shd w:val="clear" w:color="auto" w:fill="auto"/>
          </w:tcPr>
          <w:p w14:paraId="7CB4AB98"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b/>
                <w:bCs/>
                <w:color w:val="auto"/>
                <w:sz w:val="20"/>
                <w:szCs w:val="20"/>
              </w:rPr>
              <w:t xml:space="preserve">Comparator(s) </w:t>
            </w:r>
          </w:p>
        </w:tc>
        <w:tc>
          <w:tcPr>
            <w:tcW w:w="0" w:type="auto"/>
            <w:shd w:val="clear" w:color="auto" w:fill="auto"/>
          </w:tcPr>
          <w:p w14:paraId="3A27D3EA"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 xml:space="preserve">Therapies routinely used in the NHS, including technologies regarded as current best </w:t>
            </w:r>
            <w:r w:rsidRPr="000B4E2C">
              <w:rPr>
                <w:rFonts w:ascii="Times New Roman" w:hAnsi="Times New Roman" w:cs="Times New Roman"/>
                <w:color w:val="auto"/>
                <w:sz w:val="20"/>
                <w:szCs w:val="20"/>
                <w:highlight w:val="magenta"/>
              </w:rPr>
              <w:t>practice</w:t>
            </w:r>
            <w:r w:rsidRPr="000B4E2C">
              <w:rPr>
                <w:rFonts w:ascii="Times New Roman" w:hAnsi="Times New Roman" w:cs="Times New Roman"/>
                <w:color w:val="auto"/>
                <w:sz w:val="20"/>
                <w:szCs w:val="20"/>
              </w:rPr>
              <w:t xml:space="preserve"> </w:t>
            </w:r>
          </w:p>
        </w:tc>
        <w:tc>
          <w:tcPr>
            <w:tcW w:w="0" w:type="auto"/>
            <w:shd w:val="clear" w:color="auto" w:fill="auto"/>
          </w:tcPr>
          <w:p w14:paraId="24F98EDA"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14EA08AE"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715BB9A0"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66ED14BA" w14:textId="77777777" w:rsidR="002F0133" w:rsidRPr="000B4E2C" w:rsidRDefault="002F0133" w:rsidP="008A7464">
            <w:pPr>
              <w:pStyle w:val="Default"/>
              <w:rPr>
                <w:rFonts w:ascii="Times New Roman" w:hAnsi="Times New Roman" w:cs="Times New Roman"/>
                <w:color w:val="auto"/>
                <w:sz w:val="20"/>
                <w:szCs w:val="20"/>
              </w:rPr>
            </w:pPr>
            <w:r w:rsidRPr="000B4E2C">
              <w:rPr>
                <w:rFonts w:ascii="Times New Roman" w:hAnsi="Times New Roman" w:cs="Times New Roman"/>
                <w:color w:val="auto"/>
                <w:sz w:val="20"/>
                <w:szCs w:val="20"/>
              </w:rPr>
              <w:t>Yes</w:t>
            </w:r>
          </w:p>
        </w:tc>
      </w:tr>
      <w:tr w:rsidR="002F0133" w:rsidRPr="000B4E2C" w14:paraId="208B7DC4" w14:textId="77777777" w:rsidTr="000B4E2C">
        <w:trPr>
          <w:cantSplit/>
          <w:tblHeader/>
        </w:trPr>
        <w:tc>
          <w:tcPr>
            <w:tcW w:w="0" w:type="auto"/>
            <w:shd w:val="clear" w:color="auto" w:fill="auto"/>
          </w:tcPr>
          <w:p w14:paraId="4A06E2A4" w14:textId="77777777" w:rsidR="002F0133" w:rsidRPr="000B4E2C" w:rsidRDefault="002F0133" w:rsidP="008A7464">
            <w:pPr>
              <w:pStyle w:val="Default"/>
              <w:rPr>
                <w:rFonts w:ascii="Times New Roman" w:hAnsi="Times New Roman" w:cs="Times New Roman"/>
                <w:b/>
                <w:sz w:val="20"/>
                <w:szCs w:val="20"/>
              </w:rPr>
            </w:pPr>
            <w:r w:rsidRPr="000B4E2C">
              <w:rPr>
                <w:rFonts w:ascii="Times New Roman" w:hAnsi="Times New Roman" w:cs="Times New Roman"/>
                <w:b/>
                <w:color w:val="auto"/>
                <w:sz w:val="20"/>
                <w:szCs w:val="20"/>
              </w:rPr>
              <w:t>Patient group</w:t>
            </w:r>
          </w:p>
        </w:tc>
        <w:tc>
          <w:tcPr>
            <w:tcW w:w="0" w:type="auto"/>
            <w:shd w:val="clear" w:color="auto" w:fill="auto"/>
          </w:tcPr>
          <w:p w14:paraId="05319043" w14:textId="06D16EFB"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As per NICE scope (i.e.</w:t>
            </w:r>
            <w:r w:rsidR="00881500" w:rsidRPr="000B4E2C">
              <w:rPr>
                <w:rFonts w:ascii="Times New Roman" w:hAnsi="Times New Roman" w:cs="Times New Roman"/>
                <w:color w:val="auto"/>
                <w:sz w:val="20"/>
                <w:szCs w:val="20"/>
              </w:rPr>
              <w:t>,</w:t>
            </w:r>
            <w:r w:rsidRPr="000B4E2C">
              <w:rPr>
                <w:rFonts w:ascii="Times New Roman" w:hAnsi="Times New Roman" w:cs="Times New Roman"/>
                <w:color w:val="auto"/>
                <w:sz w:val="20"/>
                <w:szCs w:val="20"/>
              </w:rPr>
              <w:t xml:space="preserve"> critically ill pre-icu)</w:t>
            </w:r>
          </w:p>
        </w:tc>
        <w:tc>
          <w:tcPr>
            <w:tcW w:w="0" w:type="auto"/>
            <w:shd w:val="clear" w:color="auto" w:fill="auto"/>
          </w:tcPr>
          <w:p w14:paraId="59781648"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No: ICU group of patients out-with the NICE scope which is pre-icu.</w:t>
            </w:r>
          </w:p>
        </w:tc>
        <w:tc>
          <w:tcPr>
            <w:tcW w:w="0" w:type="auto"/>
            <w:shd w:val="clear" w:color="auto" w:fill="auto"/>
          </w:tcPr>
          <w:p w14:paraId="6EFBADFB"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Partially, NICE scope includes adults as well as children</w:t>
            </w:r>
          </w:p>
        </w:tc>
        <w:tc>
          <w:tcPr>
            <w:tcW w:w="0" w:type="auto"/>
            <w:shd w:val="clear" w:color="auto" w:fill="auto"/>
          </w:tcPr>
          <w:p w14:paraId="484E709E"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Partially, however NICE scope is broader than post cardiac surgery only.</w:t>
            </w:r>
          </w:p>
        </w:tc>
        <w:tc>
          <w:tcPr>
            <w:tcW w:w="0" w:type="auto"/>
            <w:shd w:val="clear" w:color="auto" w:fill="auto"/>
          </w:tcPr>
          <w:p w14:paraId="04432FC0" w14:textId="77777777" w:rsidR="002F0133" w:rsidRPr="000B4E2C" w:rsidRDefault="002F0133" w:rsidP="008A7464">
            <w:pPr>
              <w:pStyle w:val="Default"/>
              <w:rPr>
                <w:rFonts w:ascii="Times New Roman" w:hAnsi="Times New Roman" w:cs="Times New Roman"/>
                <w:color w:val="auto"/>
                <w:sz w:val="20"/>
                <w:szCs w:val="20"/>
              </w:rPr>
            </w:pPr>
            <w:r w:rsidRPr="000B4E2C">
              <w:rPr>
                <w:rFonts w:ascii="Times New Roman" w:hAnsi="Times New Roman" w:cs="Times New Roman"/>
                <w:color w:val="auto"/>
                <w:sz w:val="20"/>
                <w:szCs w:val="20"/>
              </w:rPr>
              <w:t>Partially, however NICE scope is broader than post cardiac surgery only.</w:t>
            </w:r>
          </w:p>
        </w:tc>
      </w:tr>
      <w:tr w:rsidR="002F0133" w:rsidRPr="000B4E2C" w14:paraId="65DA15F3" w14:textId="77777777" w:rsidTr="000B4E2C">
        <w:trPr>
          <w:cantSplit/>
          <w:tblHeader/>
        </w:trPr>
        <w:tc>
          <w:tcPr>
            <w:tcW w:w="0" w:type="auto"/>
            <w:shd w:val="clear" w:color="auto" w:fill="auto"/>
          </w:tcPr>
          <w:p w14:paraId="226497B4"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b/>
                <w:bCs/>
                <w:color w:val="auto"/>
                <w:sz w:val="20"/>
                <w:szCs w:val="20"/>
              </w:rPr>
              <w:t>Perspective costs</w:t>
            </w:r>
          </w:p>
        </w:tc>
        <w:tc>
          <w:tcPr>
            <w:tcW w:w="0" w:type="auto"/>
            <w:shd w:val="clear" w:color="auto" w:fill="auto"/>
          </w:tcPr>
          <w:p w14:paraId="081CA385"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UK NHS &amp; Personal Social Services</w:t>
            </w:r>
          </w:p>
        </w:tc>
        <w:tc>
          <w:tcPr>
            <w:tcW w:w="0" w:type="auto"/>
            <w:shd w:val="clear" w:color="auto" w:fill="auto"/>
          </w:tcPr>
          <w:p w14:paraId="4DB9D199"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6CAAC1D5"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No</w:t>
            </w:r>
          </w:p>
        </w:tc>
        <w:tc>
          <w:tcPr>
            <w:tcW w:w="0" w:type="auto"/>
            <w:shd w:val="clear" w:color="auto" w:fill="auto"/>
          </w:tcPr>
          <w:p w14:paraId="6DDAEDC1"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No</w:t>
            </w:r>
          </w:p>
        </w:tc>
        <w:tc>
          <w:tcPr>
            <w:tcW w:w="0" w:type="auto"/>
            <w:shd w:val="clear" w:color="auto" w:fill="auto"/>
          </w:tcPr>
          <w:p w14:paraId="02DFFC2E" w14:textId="77777777" w:rsidR="002F0133" w:rsidRPr="000B4E2C" w:rsidRDefault="002F0133" w:rsidP="008A7464">
            <w:pPr>
              <w:pStyle w:val="Default"/>
              <w:rPr>
                <w:rFonts w:ascii="Times New Roman" w:hAnsi="Times New Roman" w:cs="Times New Roman"/>
                <w:color w:val="auto"/>
                <w:sz w:val="20"/>
                <w:szCs w:val="20"/>
              </w:rPr>
            </w:pPr>
            <w:r w:rsidRPr="000B4E2C">
              <w:rPr>
                <w:rFonts w:ascii="Times New Roman" w:hAnsi="Times New Roman" w:cs="Times New Roman"/>
                <w:color w:val="auto"/>
                <w:sz w:val="20"/>
                <w:szCs w:val="20"/>
              </w:rPr>
              <w:t>Partially</w:t>
            </w:r>
          </w:p>
        </w:tc>
      </w:tr>
      <w:tr w:rsidR="002F0133" w:rsidRPr="000B4E2C" w14:paraId="7B9398E9" w14:textId="77777777" w:rsidTr="000B4E2C">
        <w:trPr>
          <w:cantSplit/>
          <w:tblHeader/>
        </w:trPr>
        <w:tc>
          <w:tcPr>
            <w:tcW w:w="0" w:type="auto"/>
            <w:shd w:val="clear" w:color="auto" w:fill="auto"/>
          </w:tcPr>
          <w:p w14:paraId="7A88EFAE"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b/>
                <w:bCs/>
                <w:color w:val="auto"/>
                <w:sz w:val="20"/>
                <w:szCs w:val="20"/>
              </w:rPr>
              <w:t xml:space="preserve">Perspective benefits </w:t>
            </w:r>
          </w:p>
        </w:tc>
        <w:tc>
          <w:tcPr>
            <w:tcW w:w="0" w:type="auto"/>
            <w:shd w:val="clear" w:color="auto" w:fill="auto"/>
          </w:tcPr>
          <w:p w14:paraId="725FE656"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All health effects on individuals</w:t>
            </w:r>
          </w:p>
        </w:tc>
        <w:tc>
          <w:tcPr>
            <w:tcW w:w="0" w:type="auto"/>
            <w:shd w:val="clear" w:color="auto" w:fill="auto"/>
          </w:tcPr>
          <w:p w14:paraId="64146275"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7D120E06"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No</w:t>
            </w:r>
          </w:p>
        </w:tc>
        <w:tc>
          <w:tcPr>
            <w:tcW w:w="0" w:type="auto"/>
            <w:shd w:val="clear" w:color="auto" w:fill="auto"/>
          </w:tcPr>
          <w:p w14:paraId="38B0EF1F"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76D24450" w14:textId="77777777" w:rsidR="002F0133" w:rsidRPr="000B4E2C" w:rsidRDefault="002F0133" w:rsidP="008A7464">
            <w:pPr>
              <w:pStyle w:val="Default"/>
              <w:rPr>
                <w:rFonts w:ascii="Times New Roman" w:hAnsi="Times New Roman" w:cs="Times New Roman"/>
                <w:color w:val="auto"/>
                <w:sz w:val="20"/>
                <w:szCs w:val="20"/>
              </w:rPr>
            </w:pPr>
            <w:r w:rsidRPr="000B4E2C">
              <w:rPr>
                <w:rFonts w:ascii="Times New Roman" w:hAnsi="Times New Roman" w:cs="Times New Roman"/>
                <w:color w:val="auto"/>
                <w:sz w:val="20"/>
                <w:szCs w:val="20"/>
              </w:rPr>
              <w:t>Yes</w:t>
            </w:r>
          </w:p>
        </w:tc>
      </w:tr>
      <w:tr w:rsidR="002F0133" w:rsidRPr="000B4E2C" w14:paraId="11038F99" w14:textId="77777777" w:rsidTr="000B4E2C">
        <w:trPr>
          <w:cantSplit/>
          <w:tblHeader/>
        </w:trPr>
        <w:tc>
          <w:tcPr>
            <w:tcW w:w="0" w:type="auto"/>
            <w:shd w:val="clear" w:color="auto" w:fill="auto"/>
          </w:tcPr>
          <w:p w14:paraId="685E198E"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b/>
                <w:bCs/>
                <w:color w:val="auto"/>
                <w:sz w:val="20"/>
                <w:szCs w:val="20"/>
              </w:rPr>
              <w:t xml:space="preserve">Form of economic evaluation </w:t>
            </w:r>
          </w:p>
        </w:tc>
        <w:tc>
          <w:tcPr>
            <w:tcW w:w="0" w:type="auto"/>
            <w:shd w:val="clear" w:color="auto" w:fill="auto"/>
          </w:tcPr>
          <w:p w14:paraId="7D07409D"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Cost-effectiveness analysis (QALYs)</w:t>
            </w:r>
          </w:p>
        </w:tc>
        <w:tc>
          <w:tcPr>
            <w:tcW w:w="0" w:type="auto"/>
            <w:shd w:val="clear" w:color="auto" w:fill="auto"/>
          </w:tcPr>
          <w:p w14:paraId="1A46B3AF"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256802BD"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No</w:t>
            </w:r>
          </w:p>
        </w:tc>
        <w:tc>
          <w:tcPr>
            <w:tcW w:w="0" w:type="auto"/>
            <w:shd w:val="clear" w:color="auto" w:fill="auto"/>
          </w:tcPr>
          <w:p w14:paraId="223DCF0C"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383CD6A7" w14:textId="77777777" w:rsidR="002F0133" w:rsidRPr="000B4E2C" w:rsidRDefault="002F0133" w:rsidP="008A7464">
            <w:pPr>
              <w:pStyle w:val="Default"/>
              <w:rPr>
                <w:rFonts w:ascii="Times New Roman" w:hAnsi="Times New Roman" w:cs="Times New Roman"/>
                <w:color w:val="auto"/>
                <w:sz w:val="20"/>
                <w:szCs w:val="20"/>
              </w:rPr>
            </w:pPr>
            <w:r w:rsidRPr="000B4E2C">
              <w:rPr>
                <w:rFonts w:ascii="Times New Roman" w:hAnsi="Times New Roman" w:cs="Times New Roman"/>
                <w:color w:val="auto"/>
                <w:sz w:val="20"/>
                <w:szCs w:val="20"/>
              </w:rPr>
              <w:t>Yes</w:t>
            </w:r>
          </w:p>
        </w:tc>
      </w:tr>
      <w:tr w:rsidR="002F0133" w:rsidRPr="000B4E2C" w14:paraId="1A433094" w14:textId="77777777" w:rsidTr="000B4E2C">
        <w:trPr>
          <w:cantSplit/>
          <w:tblHeader/>
        </w:trPr>
        <w:tc>
          <w:tcPr>
            <w:tcW w:w="0" w:type="auto"/>
            <w:shd w:val="clear" w:color="auto" w:fill="auto"/>
          </w:tcPr>
          <w:p w14:paraId="50A8ACA2"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b/>
                <w:bCs/>
                <w:color w:val="auto"/>
                <w:sz w:val="20"/>
                <w:szCs w:val="20"/>
              </w:rPr>
              <w:t>Time horizon</w:t>
            </w:r>
          </w:p>
        </w:tc>
        <w:tc>
          <w:tcPr>
            <w:tcW w:w="0" w:type="auto"/>
            <w:shd w:val="clear" w:color="auto" w:fill="auto"/>
          </w:tcPr>
          <w:p w14:paraId="71F3AAB3"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 xml:space="preserve">Sufficient to capture differences in costs and outcomes </w:t>
            </w:r>
          </w:p>
        </w:tc>
        <w:tc>
          <w:tcPr>
            <w:tcW w:w="0" w:type="auto"/>
            <w:shd w:val="clear" w:color="auto" w:fill="auto"/>
          </w:tcPr>
          <w:p w14:paraId="2BE88BCA"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13479A7A"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No</w:t>
            </w:r>
          </w:p>
        </w:tc>
        <w:tc>
          <w:tcPr>
            <w:tcW w:w="0" w:type="auto"/>
            <w:shd w:val="clear" w:color="auto" w:fill="auto"/>
          </w:tcPr>
          <w:p w14:paraId="3CFE08D8"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78A62E17" w14:textId="77777777" w:rsidR="002F0133" w:rsidRPr="000B4E2C" w:rsidRDefault="002F0133" w:rsidP="008A7464">
            <w:pPr>
              <w:pStyle w:val="Default"/>
              <w:rPr>
                <w:rFonts w:ascii="Times New Roman" w:hAnsi="Times New Roman" w:cs="Times New Roman"/>
                <w:color w:val="auto"/>
                <w:sz w:val="20"/>
                <w:szCs w:val="20"/>
              </w:rPr>
            </w:pPr>
            <w:r w:rsidRPr="000B4E2C">
              <w:rPr>
                <w:rFonts w:ascii="Times New Roman" w:hAnsi="Times New Roman" w:cs="Times New Roman"/>
                <w:color w:val="auto"/>
                <w:sz w:val="20"/>
                <w:szCs w:val="20"/>
              </w:rPr>
              <w:t>Unclear</w:t>
            </w:r>
          </w:p>
        </w:tc>
      </w:tr>
      <w:tr w:rsidR="002F0133" w:rsidRPr="000B4E2C" w14:paraId="3F2D6938" w14:textId="77777777" w:rsidTr="000B4E2C">
        <w:trPr>
          <w:cantSplit/>
          <w:tblHeader/>
        </w:trPr>
        <w:tc>
          <w:tcPr>
            <w:tcW w:w="0" w:type="auto"/>
            <w:shd w:val="clear" w:color="auto" w:fill="auto"/>
          </w:tcPr>
          <w:p w14:paraId="1EAB59EF"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b/>
                <w:bCs/>
                <w:color w:val="auto"/>
                <w:sz w:val="20"/>
                <w:szCs w:val="20"/>
              </w:rPr>
              <w:t xml:space="preserve">Synthesis of evidence on outcomes </w:t>
            </w:r>
          </w:p>
        </w:tc>
        <w:tc>
          <w:tcPr>
            <w:tcW w:w="0" w:type="auto"/>
            <w:shd w:val="clear" w:color="auto" w:fill="auto"/>
          </w:tcPr>
          <w:p w14:paraId="2EA5FA32"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Systematic review</w:t>
            </w:r>
          </w:p>
        </w:tc>
        <w:tc>
          <w:tcPr>
            <w:tcW w:w="0" w:type="auto"/>
            <w:shd w:val="clear" w:color="auto" w:fill="auto"/>
          </w:tcPr>
          <w:p w14:paraId="307C17DF"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23AC9956"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No</w:t>
            </w:r>
          </w:p>
        </w:tc>
        <w:tc>
          <w:tcPr>
            <w:tcW w:w="0" w:type="auto"/>
            <w:shd w:val="clear" w:color="auto" w:fill="auto"/>
          </w:tcPr>
          <w:p w14:paraId="2F832B1F"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No</w:t>
            </w:r>
          </w:p>
        </w:tc>
        <w:tc>
          <w:tcPr>
            <w:tcW w:w="0" w:type="auto"/>
            <w:shd w:val="clear" w:color="auto" w:fill="auto"/>
          </w:tcPr>
          <w:p w14:paraId="561A048D" w14:textId="77777777" w:rsidR="002F0133" w:rsidRPr="000B4E2C" w:rsidRDefault="002F0133" w:rsidP="008A7464">
            <w:pPr>
              <w:pStyle w:val="Default"/>
              <w:rPr>
                <w:rFonts w:ascii="Times New Roman" w:hAnsi="Times New Roman" w:cs="Times New Roman"/>
                <w:color w:val="auto"/>
                <w:sz w:val="20"/>
                <w:szCs w:val="20"/>
              </w:rPr>
            </w:pPr>
            <w:r w:rsidRPr="000B4E2C">
              <w:rPr>
                <w:rFonts w:ascii="Times New Roman" w:hAnsi="Times New Roman" w:cs="Times New Roman"/>
                <w:color w:val="auto"/>
                <w:sz w:val="20"/>
                <w:szCs w:val="20"/>
              </w:rPr>
              <w:t>No</w:t>
            </w:r>
          </w:p>
        </w:tc>
      </w:tr>
      <w:tr w:rsidR="002F0133" w:rsidRPr="000B4E2C" w14:paraId="472989B7" w14:textId="77777777" w:rsidTr="000B4E2C">
        <w:trPr>
          <w:cantSplit/>
          <w:tblHeader/>
        </w:trPr>
        <w:tc>
          <w:tcPr>
            <w:tcW w:w="0" w:type="auto"/>
            <w:shd w:val="clear" w:color="auto" w:fill="auto"/>
          </w:tcPr>
          <w:p w14:paraId="4C2A5492"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b/>
                <w:bCs/>
                <w:color w:val="auto"/>
                <w:sz w:val="20"/>
                <w:szCs w:val="20"/>
              </w:rPr>
              <w:t xml:space="preserve">Outcome measure </w:t>
            </w:r>
          </w:p>
        </w:tc>
        <w:tc>
          <w:tcPr>
            <w:tcW w:w="0" w:type="auto"/>
            <w:shd w:val="clear" w:color="auto" w:fill="auto"/>
          </w:tcPr>
          <w:p w14:paraId="0EFB4CF8" w14:textId="122C040C" w:rsidR="002F0133" w:rsidRPr="000B4E2C" w:rsidRDefault="000B4E2C" w:rsidP="008A7464">
            <w:pPr>
              <w:pStyle w:val="Default"/>
              <w:rPr>
                <w:rFonts w:ascii="Times New Roman" w:hAnsi="Times New Roman" w:cs="Times New Roman"/>
                <w:sz w:val="20"/>
                <w:szCs w:val="20"/>
              </w:rPr>
            </w:pPr>
            <w:r w:rsidRPr="000B4E2C">
              <w:rPr>
                <w:rFonts w:ascii="Times New Roman" w:hAnsi="Times New Roman" w:cs="Times New Roman"/>
                <w:color w:val="00B0F0"/>
                <w:sz w:val="20"/>
                <w:szCs w:val="20"/>
              </w:rPr>
              <w:t>Quality-adjusted</w:t>
            </w:r>
            <w:r w:rsidR="002F0133" w:rsidRPr="000B4E2C">
              <w:rPr>
                <w:rFonts w:ascii="Times New Roman" w:hAnsi="Times New Roman" w:cs="Times New Roman"/>
                <w:color w:val="auto"/>
                <w:sz w:val="20"/>
                <w:szCs w:val="20"/>
              </w:rPr>
              <w:t xml:space="preserve"> </w:t>
            </w:r>
            <w:r w:rsidRPr="000B4E2C">
              <w:rPr>
                <w:rFonts w:ascii="Times New Roman" w:hAnsi="Times New Roman" w:cs="Times New Roman"/>
                <w:color w:val="00B0F0"/>
                <w:sz w:val="20"/>
                <w:szCs w:val="20"/>
              </w:rPr>
              <w:t>life-year</w:t>
            </w:r>
            <w:r w:rsidR="002F0133" w:rsidRPr="000B4E2C">
              <w:rPr>
                <w:rFonts w:ascii="Times New Roman" w:hAnsi="Times New Roman" w:cs="Times New Roman"/>
                <w:color w:val="auto"/>
                <w:sz w:val="20"/>
                <w:szCs w:val="20"/>
              </w:rPr>
              <w:t xml:space="preserve">s </w:t>
            </w:r>
          </w:p>
        </w:tc>
        <w:tc>
          <w:tcPr>
            <w:tcW w:w="0" w:type="auto"/>
            <w:shd w:val="clear" w:color="auto" w:fill="auto"/>
          </w:tcPr>
          <w:p w14:paraId="59C47718"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6119CBFA"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N/A</w:t>
            </w:r>
          </w:p>
        </w:tc>
        <w:tc>
          <w:tcPr>
            <w:tcW w:w="0" w:type="auto"/>
            <w:shd w:val="clear" w:color="auto" w:fill="auto"/>
          </w:tcPr>
          <w:p w14:paraId="35B3241E"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347D54C3" w14:textId="77777777" w:rsidR="002F0133" w:rsidRPr="000B4E2C" w:rsidRDefault="002F0133" w:rsidP="008A7464">
            <w:pPr>
              <w:pStyle w:val="Default"/>
              <w:rPr>
                <w:rFonts w:ascii="Times New Roman" w:hAnsi="Times New Roman" w:cs="Times New Roman"/>
                <w:color w:val="auto"/>
                <w:sz w:val="20"/>
                <w:szCs w:val="20"/>
              </w:rPr>
            </w:pPr>
            <w:r w:rsidRPr="000B4E2C">
              <w:rPr>
                <w:rFonts w:ascii="Times New Roman" w:hAnsi="Times New Roman" w:cs="Times New Roman"/>
                <w:color w:val="auto"/>
                <w:sz w:val="20"/>
                <w:szCs w:val="20"/>
              </w:rPr>
              <w:t>Yes</w:t>
            </w:r>
          </w:p>
        </w:tc>
      </w:tr>
      <w:tr w:rsidR="002F0133" w:rsidRPr="000B4E2C" w14:paraId="01443FEF" w14:textId="77777777" w:rsidTr="000B4E2C">
        <w:trPr>
          <w:cantSplit/>
          <w:tblHeader/>
        </w:trPr>
        <w:tc>
          <w:tcPr>
            <w:tcW w:w="0" w:type="auto"/>
            <w:shd w:val="clear" w:color="auto" w:fill="auto"/>
          </w:tcPr>
          <w:p w14:paraId="1F951942"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b/>
                <w:bCs/>
                <w:color w:val="auto"/>
                <w:sz w:val="20"/>
                <w:szCs w:val="20"/>
              </w:rPr>
              <w:t xml:space="preserve">Health states for QALY </w:t>
            </w:r>
          </w:p>
        </w:tc>
        <w:tc>
          <w:tcPr>
            <w:tcW w:w="0" w:type="auto"/>
            <w:shd w:val="clear" w:color="auto" w:fill="auto"/>
          </w:tcPr>
          <w:p w14:paraId="35F6C268" w14:textId="07FAEF3E"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Described using a standardised and validated instrument (i.e.</w:t>
            </w:r>
            <w:r w:rsidR="00881500" w:rsidRPr="000B4E2C">
              <w:rPr>
                <w:rFonts w:ascii="Times New Roman" w:hAnsi="Times New Roman" w:cs="Times New Roman"/>
                <w:color w:val="auto"/>
                <w:sz w:val="20"/>
                <w:szCs w:val="20"/>
              </w:rPr>
              <w:t>,</w:t>
            </w:r>
            <w:r w:rsidRPr="000B4E2C">
              <w:rPr>
                <w:rFonts w:ascii="Times New Roman" w:hAnsi="Times New Roman" w:cs="Times New Roman"/>
                <w:color w:val="auto"/>
                <w:sz w:val="20"/>
                <w:szCs w:val="20"/>
              </w:rPr>
              <w:t xml:space="preserve"> E</w:t>
            </w:r>
            <w:r w:rsidR="000B4E2C" w:rsidRPr="000B4E2C">
              <w:rPr>
                <w:rFonts w:ascii="Times New Roman" w:hAnsi="Times New Roman" w:cs="Times New Roman"/>
                <w:color w:val="00B0F0"/>
                <w:sz w:val="20"/>
                <w:szCs w:val="20"/>
              </w:rPr>
              <w:t>Q</w:t>
            </w:r>
            <w:r w:rsidR="000B4E2C" w:rsidRPr="000B4E2C">
              <w:rPr>
                <w:rFonts w:ascii="Times New Roman" w:hAnsi="Times New Roman" w:cs="Times New Roman"/>
                <w:color w:val="00B0F0"/>
                <w:sz w:val="20"/>
                <w:szCs w:val="20"/>
              </w:rPr>
              <w:t>-</w:t>
            </w:r>
            <w:r w:rsidR="000B4E2C" w:rsidRPr="000B4E2C">
              <w:rPr>
                <w:rFonts w:ascii="Times New Roman" w:hAnsi="Times New Roman" w:cs="Times New Roman"/>
                <w:color w:val="00B0F0"/>
                <w:sz w:val="20"/>
                <w:szCs w:val="20"/>
              </w:rPr>
              <w:t>5</w:t>
            </w:r>
            <w:r w:rsidRPr="000B4E2C">
              <w:rPr>
                <w:rFonts w:ascii="Times New Roman" w:hAnsi="Times New Roman" w:cs="Times New Roman"/>
                <w:color w:val="auto"/>
                <w:sz w:val="20"/>
                <w:szCs w:val="20"/>
              </w:rPr>
              <w:t>D)</w:t>
            </w:r>
          </w:p>
        </w:tc>
        <w:tc>
          <w:tcPr>
            <w:tcW w:w="0" w:type="auto"/>
            <w:shd w:val="clear" w:color="auto" w:fill="auto"/>
          </w:tcPr>
          <w:p w14:paraId="568CE9EB"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 where possible</w:t>
            </w:r>
          </w:p>
        </w:tc>
        <w:tc>
          <w:tcPr>
            <w:tcW w:w="0" w:type="auto"/>
            <w:shd w:val="clear" w:color="auto" w:fill="auto"/>
          </w:tcPr>
          <w:p w14:paraId="76F6C9EA"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N/A</w:t>
            </w:r>
          </w:p>
        </w:tc>
        <w:tc>
          <w:tcPr>
            <w:tcW w:w="0" w:type="auto"/>
            <w:shd w:val="clear" w:color="auto" w:fill="auto"/>
          </w:tcPr>
          <w:p w14:paraId="74AD0546"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Unclear</w:t>
            </w:r>
          </w:p>
        </w:tc>
        <w:tc>
          <w:tcPr>
            <w:tcW w:w="0" w:type="auto"/>
            <w:shd w:val="clear" w:color="auto" w:fill="auto"/>
          </w:tcPr>
          <w:p w14:paraId="2CB04498" w14:textId="77777777" w:rsidR="002F0133" w:rsidRPr="000B4E2C" w:rsidRDefault="002F0133" w:rsidP="008A7464">
            <w:pPr>
              <w:pStyle w:val="Default"/>
              <w:rPr>
                <w:rFonts w:ascii="Times New Roman" w:hAnsi="Times New Roman" w:cs="Times New Roman"/>
                <w:color w:val="auto"/>
                <w:sz w:val="20"/>
                <w:szCs w:val="20"/>
              </w:rPr>
            </w:pPr>
            <w:r w:rsidRPr="000B4E2C">
              <w:rPr>
                <w:rFonts w:ascii="Times New Roman" w:hAnsi="Times New Roman" w:cs="Times New Roman"/>
                <w:color w:val="auto"/>
                <w:sz w:val="20"/>
                <w:szCs w:val="20"/>
              </w:rPr>
              <w:t>Unclear</w:t>
            </w:r>
          </w:p>
        </w:tc>
      </w:tr>
      <w:tr w:rsidR="002F0133" w:rsidRPr="000B4E2C" w14:paraId="68E3EE2B" w14:textId="77777777" w:rsidTr="000B4E2C">
        <w:trPr>
          <w:cantSplit/>
          <w:tblHeader/>
        </w:trPr>
        <w:tc>
          <w:tcPr>
            <w:tcW w:w="0" w:type="auto"/>
            <w:shd w:val="clear" w:color="auto" w:fill="auto"/>
          </w:tcPr>
          <w:p w14:paraId="32555698"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b/>
                <w:bCs/>
                <w:color w:val="auto"/>
                <w:sz w:val="20"/>
                <w:szCs w:val="20"/>
              </w:rPr>
              <w:t xml:space="preserve">Benefit valuation </w:t>
            </w:r>
          </w:p>
        </w:tc>
        <w:tc>
          <w:tcPr>
            <w:tcW w:w="0" w:type="auto"/>
            <w:shd w:val="clear" w:color="auto" w:fill="auto"/>
          </w:tcPr>
          <w:p w14:paraId="0EE7C37D"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 xml:space="preserve">Time-trade off or standard gamble </w:t>
            </w:r>
          </w:p>
        </w:tc>
        <w:tc>
          <w:tcPr>
            <w:tcW w:w="0" w:type="auto"/>
            <w:shd w:val="clear" w:color="auto" w:fill="auto"/>
          </w:tcPr>
          <w:p w14:paraId="6C434F36"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 where possible</w:t>
            </w:r>
          </w:p>
        </w:tc>
        <w:tc>
          <w:tcPr>
            <w:tcW w:w="0" w:type="auto"/>
            <w:shd w:val="clear" w:color="auto" w:fill="auto"/>
          </w:tcPr>
          <w:p w14:paraId="6D42C708"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N/A</w:t>
            </w:r>
          </w:p>
        </w:tc>
        <w:tc>
          <w:tcPr>
            <w:tcW w:w="0" w:type="auto"/>
            <w:shd w:val="clear" w:color="auto" w:fill="auto"/>
          </w:tcPr>
          <w:p w14:paraId="35DA829B"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Unclear</w:t>
            </w:r>
          </w:p>
        </w:tc>
        <w:tc>
          <w:tcPr>
            <w:tcW w:w="0" w:type="auto"/>
            <w:shd w:val="clear" w:color="auto" w:fill="auto"/>
          </w:tcPr>
          <w:p w14:paraId="1AD14229" w14:textId="77777777" w:rsidR="002F0133" w:rsidRPr="000B4E2C" w:rsidRDefault="002F0133" w:rsidP="008A7464">
            <w:pPr>
              <w:pStyle w:val="Default"/>
              <w:rPr>
                <w:rFonts w:ascii="Times New Roman" w:hAnsi="Times New Roman" w:cs="Times New Roman"/>
                <w:color w:val="auto"/>
                <w:sz w:val="20"/>
                <w:szCs w:val="20"/>
              </w:rPr>
            </w:pPr>
            <w:r w:rsidRPr="000B4E2C">
              <w:rPr>
                <w:rFonts w:ascii="Times New Roman" w:hAnsi="Times New Roman" w:cs="Times New Roman"/>
                <w:color w:val="auto"/>
                <w:sz w:val="20"/>
                <w:szCs w:val="20"/>
              </w:rPr>
              <w:t>Unclear</w:t>
            </w:r>
          </w:p>
        </w:tc>
      </w:tr>
      <w:tr w:rsidR="002F0133" w:rsidRPr="000B4E2C" w14:paraId="1D7AC0FF" w14:textId="77777777" w:rsidTr="000B4E2C">
        <w:trPr>
          <w:cantSplit/>
          <w:tblHeader/>
        </w:trPr>
        <w:tc>
          <w:tcPr>
            <w:tcW w:w="0" w:type="auto"/>
            <w:shd w:val="clear" w:color="auto" w:fill="auto"/>
          </w:tcPr>
          <w:p w14:paraId="0B34C835"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b/>
                <w:bCs/>
                <w:color w:val="auto"/>
                <w:sz w:val="20"/>
                <w:szCs w:val="20"/>
              </w:rPr>
              <w:t xml:space="preserve">Source of preference </w:t>
            </w:r>
            <w:r w:rsidRPr="000B4E2C">
              <w:rPr>
                <w:rFonts w:ascii="Times New Roman" w:hAnsi="Times New Roman" w:cs="Times New Roman"/>
                <w:b/>
                <w:bCs/>
                <w:color w:val="auto"/>
                <w:sz w:val="20"/>
                <w:szCs w:val="20"/>
                <w:highlight w:val="magenta"/>
              </w:rPr>
              <w:t>data</w:t>
            </w:r>
            <w:r w:rsidRPr="000B4E2C">
              <w:rPr>
                <w:rFonts w:ascii="Times New Roman" w:hAnsi="Times New Roman" w:cs="Times New Roman"/>
                <w:b/>
                <w:bCs/>
                <w:color w:val="auto"/>
                <w:sz w:val="20"/>
                <w:szCs w:val="20"/>
              </w:rPr>
              <w:t xml:space="preserve"> for valuation of changes in HRQL </w:t>
            </w:r>
          </w:p>
        </w:tc>
        <w:tc>
          <w:tcPr>
            <w:tcW w:w="0" w:type="auto"/>
            <w:shd w:val="clear" w:color="auto" w:fill="auto"/>
          </w:tcPr>
          <w:p w14:paraId="02F151E7"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 xml:space="preserve">Representative sample of the public </w:t>
            </w:r>
          </w:p>
        </w:tc>
        <w:tc>
          <w:tcPr>
            <w:tcW w:w="0" w:type="auto"/>
            <w:shd w:val="clear" w:color="auto" w:fill="auto"/>
          </w:tcPr>
          <w:p w14:paraId="7EDFCAAE"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 where possible</w:t>
            </w:r>
          </w:p>
        </w:tc>
        <w:tc>
          <w:tcPr>
            <w:tcW w:w="0" w:type="auto"/>
            <w:shd w:val="clear" w:color="auto" w:fill="auto"/>
          </w:tcPr>
          <w:p w14:paraId="6A6F6527"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N/A</w:t>
            </w:r>
          </w:p>
        </w:tc>
        <w:tc>
          <w:tcPr>
            <w:tcW w:w="0" w:type="auto"/>
            <w:shd w:val="clear" w:color="auto" w:fill="auto"/>
          </w:tcPr>
          <w:p w14:paraId="4E888852"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Unclear</w:t>
            </w:r>
          </w:p>
        </w:tc>
        <w:tc>
          <w:tcPr>
            <w:tcW w:w="0" w:type="auto"/>
            <w:shd w:val="clear" w:color="auto" w:fill="auto"/>
          </w:tcPr>
          <w:p w14:paraId="66E294FE" w14:textId="77777777" w:rsidR="002F0133" w:rsidRPr="000B4E2C" w:rsidRDefault="002F0133" w:rsidP="008A7464">
            <w:pPr>
              <w:pStyle w:val="Default"/>
              <w:rPr>
                <w:rFonts w:ascii="Times New Roman" w:hAnsi="Times New Roman" w:cs="Times New Roman"/>
                <w:color w:val="auto"/>
                <w:sz w:val="20"/>
                <w:szCs w:val="20"/>
              </w:rPr>
            </w:pPr>
            <w:r w:rsidRPr="000B4E2C">
              <w:rPr>
                <w:rFonts w:ascii="Times New Roman" w:hAnsi="Times New Roman" w:cs="Times New Roman"/>
                <w:color w:val="auto"/>
                <w:sz w:val="20"/>
                <w:szCs w:val="20"/>
              </w:rPr>
              <w:t>Unclear</w:t>
            </w:r>
          </w:p>
        </w:tc>
      </w:tr>
      <w:tr w:rsidR="002F0133" w:rsidRPr="000B4E2C" w14:paraId="37A9A168" w14:textId="77777777" w:rsidTr="000B4E2C">
        <w:trPr>
          <w:cantSplit/>
          <w:tblHeader/>
        </w:trPr>
        <w:tc>
          <w:tcPr>
            <w:tcW w:w="0" w:type="auto"/>
            <w:shd w:val="clear" w:color="auto" w:fill="auto"/>
          </w:tcPr>
          <w:p w14:paraId="094ABF9F"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b/>
                <w:bCs/>
                <w:color w:val="auto"/>
                <w:sz w:val="20"/>
                <w:szCs w:val="20"/>
              </w:rPr>
              <w:t xml:space="preserve">Discount rate </w:t>
            </w:r>
          </w:p>
        </w:tc>
        <w:tc>
          <w:tcPr>
            <w:tcW w:w="0" w:type="auto"/>
            <w:shd w:val="clear" w:color="auto" w:fill="auto"/>
          </w:tcPr>
          <w:p w14:paraId="13A5E718"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 xml:space="preserve">An annual rate of 3.5% on both costs and health effects </w:t>
            </w:r>
          </w:p>
        </w:tc>
        <w:tc>
          <w:tcPr>
            <w:tcW w:w="0" w:type="auto"/>
            <w:shd w:val="clear" w:color="auto" w:fill="auto"/>
          </w:tcPr>
          <w:p w14:paraId="5E9F3D43"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1DFE205D"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No</w:t>
            </w:r>
          </w:p>
        </w:tc>
        <w:tc>
          <w:tcPr>
            <w:tcW w:w="0" w:type="auto"/>
            <w:shd w:val="clear" w:color="auto" w:fill="auto"/>
          </w:tcPr>
          <w:p w14:paraId="392C4E47"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No</w:t>
            </w:r>
          </w:p>
        </w:tc>
        <w:tc>
          <w:tcPr>
            <w:tcW w:w="0" w:type="auto"/>
            <w:shd w:val="clear" w:color="auto" w:fill="auto"/>
          </w:tcPr>
          <w:p w14:paraId="73C3BFFF" w14:textId="77777777" w:rsidR="002F0133" w:rsidRPr="000B4E2C" w:rsidRDefault="002F0133" w:rsidP="008A7464">
            <w:pPr>
              <w:pStyle w:val="Default"/>
              <w:rPr>
                <w:rFonts w:ascii="Times New Roman" w:hAnsi="Times New Roman" w:cs="Times New Roman"/>
                <w:color w:val="auto"/>
                <w:sz w:val="20"/>
                <w:szCs w:val="20"/>
              </w:rPr>
            </w:pPr>
            <w:r w:rsidRPr="000B4E2C">
              <w:rPr>
                <w:rFonts w:ascii="Times New Roman" w:hAnsi="Times New Roman" w:cs="Times New Roman"/>
                <w:color w:val="auto"/>
                <w:sz w:val="20"/>
                <w:szCs w:val="20"/>
              </w:rPr>
              <w:t>No</w:t>
            </w:r>
          </w:p>
        </w:tc>
      </w:tr>
      <w:tr w:rsidR="002F0133" w:rsidRPr="000B4E2C" w14:paraId="319E4D4D" w14:textId="77777777" w:rsidTr="000B4E2C">
        <w:trPr>
          <w:cantSplit/>
          <w:tblHeader/>
        </w:trPr>
        <w:tc>
          <w:tcPr>
            <w:tcW w:w="0" w:type="auto"/>
            <w:shd w:val="clear" w:color="auto" w:fill="auto"/>
          </w:tcPr>
          <w:p w14:paraId="01A1F1B8"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b/>
                <w:bCs/>
                <w:color w:val="auto"/>
                <w:sz w:val="20"/>
                <w:szCs w:val="20"/>
              </w:rPr>
              <w:t xml:space="preserve">Equity </w:t>
            </w:r>
          </w:p>
        </w:tc>
        <w:tc>
          <w:tcPr>
            <w:tcW w:w="0" w:type="auto"/>
            <w:shd w:val="clear" w:color="auto" w:fill="auto"/>
          </w:tcPr>
          <w:p w14:paraId="3CC2D8A4"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 xml:space="preserve">An additional QALY has the same weight regardless of the other characteristics of the individuals receiving the health benefit </w:t>
            </w:r>
          </w:p>
        </w:tc>
        <w:tc>
          <w:tcPr>
            <w:tcW w:w="0" w:type="auto"/>
            <w:shd w:val="clear" w:color="auto" w:fill="auto"/>
          </w:tcPr>
          <w:p w14:paraId="19FDD948"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3A856BF5"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N/A</w:t>
            </w:r>
          </w:p>
        </w:tc>
        <w:tc>
          <w:tcPr>
            <w:tcW w:w="0" w:type="auto"/>
            <w:shd w:val="clear" w:color="auto" w:fill="auto"/>
          </w:tcPr>
          <w:p w14:paraId="2B8B76D0"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2059D71E" w14:textId="77777777" w:rsidR="002F0133" w:rsidRPr="000B4E2C" w:rsidRDefault="002F0133" w:rsidP="008A7464">
            <w:pPr>
              <w:pStyle w:val="Default"/>
              <w:rPr>
                <w:rFonts w:ascii="Times New Roman" w:hAnsi="Times New Roman" w:cs="Times New Roman"/>
                <w:color w:val="auto"/>
                <w:sz w:val="20"/>
                <w:szCs w:val="20"/>
              </w:rPr>
            </w:pPr>
            <w:r w:rsidRPr="000B4E2C">
              <w:rPr>
                <w:rFonts w:ascii="Times New Roman" w:hAnsi="Times New Roman" w:cs="Times New Roman"/>
                <w:color w:val="auto"/>
                <w:sz w:val="20"/>
                <w:szCs w:val="20"/>
              </w:rPr>
              <w:t>Yes</w:t>
            </w:r>
          </w:p>
        </w:tc>
      </w:tr>
      <w:tr w:rsidR="002F0133" w:rsidRPr="000B4E2C" w14:paraId="0ABD795C" w14:textId="77777777" w:rsidTr="000B4E2C">
        <w:trPr>
          <w:cantSplit/>
          <w:tblHeader/>
        </w:trPr>
        <w:tc>
          <w:tcPr>
            <w:tcW w:w="0" w:type="auto"/>
            <w:shd w:val="clear" w:color="auto" w:fill="auto"/>
          </w:tcPr>
          <w:p w14:paraId="21084DAE"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b/>
                <w:bCs/>
                <w:color w:val="auto"/>
                <w:sz w:val="20"/>
                <w:szCs w:val="20"/>
              </w:rPr>
              <w:t xml:space="preserve">Probabilistic modelling </w:t>
            </w:r>
          </w:p>
        </w:tc>
        <w:tc>
          <w:tcPr>
            <w:tcW w:w="0" w:type="auto"/>
            <w:shd w:val="clear" w:color="auto" w:fill="auto"/>
          </w:tcPr>
          <w:p w14:paraId="5698C35B"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Probabilistic modelling</w:t>
            </w:r>
          </w:p>
        </w:tc>
        <w:tc>
          <w:tcPr>
            <w:tcW w:w="0" w:type="auto"/>
            <w:shd w:val="clear" w:color="auto" w:fill="auto"/>
          </w:tcPr>
          <w:p w14:paraId="3D8B6E46"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291242B5"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3C95D3F9"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5AF1D677" w14:textId="77777777" w:rsidR="002F0133" w:rsidRPr="000B4E2C" w:rsidRDefault="002F0133" w:rsidP="008A7464">
            <w:pPr>
              <w:pStyle w:val="Default"/>
              <w:rPr>
                <w:rFonts w:ascii="Times New Roman" w:hAnsi="Times New Roman" w:cs="Times New Roman"/>
                <w:color w:val="auto"/>
                <w:sz w:val="20"/>
                <w:szCs w:val="20"/>
              </w:rPr>
            </w:pPr>
            <w:r w:rsidRPr="000B4E2C">
              <w:rPr>
                <w:rFonts w:ascii="Times New Roman" w:hAnsi="Times New Roman" w:cs="Times New Roman"/>
                <w:color w:val="auto"/>
                <w:sz w:val="20"/>
                <w:szCs w:val="20"/>
              </w:rPr>
              <w:t>Yes</w:t>
            </w:r>
          </w:p>
        </w:tc>
      </w:tr>
      <w:tr w:rsidR="002F0133" w:rsidRPr="000B4E2C" w14:paraId="312D7546" w14:textId="77777777" w:rsidTr="000B4E2C">
        <w:trPr>
          <w:cantSplit/>
          <w:tblHeader/>
        </w:trPr>
        <w:tc>
          <w:tcPr>
            <w:tcW w:w="0" w:type="auto"/>
            <w:shd w:val="clear" w:color="auto" w:fill="auto"/>
          </w:tcPr>
          <w:p w14:paraId="21E58801"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b/>
                <w:bCs/>
                <w:color w:val="auto"/>
                <w:sz w:val="20"/>
                <w:szCs w:val="20"/>
              </w:rPr>
              <w:t xml:space="preserve">Sensitivity analysis </w:t>
            </w:r>
          </w:p>
        </w:tc>
        <w:tc>
          <w:tcPr>
            <w:tcW w:w="0" w:type="auto"/>
            <w:shd w:val="clear" w:color="auto" w:fill="auto"/>
          </w:tcPr>
          <w:p w14:paraId="7D9F5012"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Deterministic sensitivity analyses conducted</w:t>
            </w:r>
          </w:p>
        </w:tc>
        <w:tc>
          <w:tcPr>
            <w:tcW w:w="0" w:type="auto"/>
            <w:shd w:val="clear" w:color="auto" w:fill="auto"/>
          </w:tcPr>
          <w:p w14:paraId="63CFCE34"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362690E9"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00920354" w14:textId="77777777" w:rsidR="002F0133" w:rsidRPr="000B4E2C" w:rsidRDefault="002F0133" w:rsidP="008A7464">
            <w:pPr>
              <w:pStyle w:val="Default"/>
              <w:rPr>
                <w:rFonts w:ascii="Times New Roman" w:hAnsi="Times New Roman" w:cs="Times New Roman"/>
                <w:sz w:val="20"/>
                <w:szCs w:val="20"/>
              </w:rPr>
            </w:pPr>
            <w:r w:rsidRPr="000B4E2C">
              <w:rPr>
                <w:rFonts w:ascii="Times New Roman" w:hAnsi="Times New Roman" w:cs="Times New Roman"/>
                <w:color w:val="auto"/>
                <w:sz w:val="20"/>
                <w:szCs w:val="20"/>
              </w:rPr>
              <w:t>Yes</w:t>
            </w:r>
          </w:p>
        </w:tc>
        <w:tc>
          <w:tcPr>
            <w:tcW w:w="0" w:type="auto"/>
            <w:shd w:val="clear" w:color="auto" w:fill="auto"/>
          </w:tcPr>
          <w:p w14:paraId="7C966855" w14:textId="77777777" w:rsidR="002F0133" w:rsidRPr="000B4E2C" w:rsidRDefault="002F0133" w:rsidP="008A7464">
            <w:pPr>
              <w:pStyle w:val="Default"/>
              <w:rPr>
                <w:rFonts w:ascii="Times New Roman" w:hAnsi="Times New Roman" w:cs="Times New Roman"/>
                <w:color w:val="auto"/>
                <w:sz w:val="20"/>
                <w:szCs w:val="20"/>
              </w:rPr>
            </w:pPr>
            <w:r w:rsidRPr="000B4E2C">
              <w:rPr>
                <w:rFonts w:ascii="Times New Roman" w:hAnsi="Times New Roman" w:cs="Times New Roman"/>
                <w:color w:val="auto"/>
                <w:sz w:val="20"/>
                <w:szCs w:val="20"/>
              </w:rPr>
              <w:t>Yes</w:t>
            </w:r>
          </w:p>
        </w:tc>
      </w:tr>
    </w:tbl>
    <w:p w14:paraId="5F2EF084" w14:textId="0554BB23" w:rsidR="002F0133" w:rsidRPr="000B4E2C" w:rsidRDefault="000B4E2C" w:rsidP="008A7464">
      <w:pPr>
        <w:pStyle w:val="Heading3"/>
      </w:pPr>
      <w:r w:rsidRPr="000B4E2C">
        <w:rPr>
          <w:b w:val="0"/>
          <w:color w:val="000000" w:themeColor="text1"/>
          <w:szCs w:val="24"/>
        </w:rPr>
        <w:lastRenderedPageBreak/>
        <w:t xml:space="preserve"> </w:t>
      </w:r>
      <w:r w:rsidR="002F0133" w:rsidRPr="000B4E2C">
        <w:t>Relevance of the included studies for the current decision problem</w:t>
      </w:r>
    </w:p>
    <w:p w14:paraId="4D700886" w14:textId="6FA5E0DC" w:rsidR="000B4E2C" w:rsidRPr="000B4E2C" w:rsidRDefault="002F0133" w:rsidP="008A7464">
      <w:pPr>
        <w:rPr>
          <w:color w:val="000000" w:themeColor="text1"/>
          <w:szCs w:val="24"/>
        </w:rPr>
      </w:pPr>
      <w:r w:rsidRPr="000B4E2C">
        <w:rPr>
          <w:color w:val="000000" w:themeColor="text1"/>
          <w:szCs w:val="24"/>
        </w:rPr>
        <w:t xml:space="preserve">Of the four studies identified in the review, </w:t>
      </w:r>
      <w:r w:rsidR="00E907C2" w:rsidRPr="000B4E2C">
        <w:rPr>
          <w:color w:val="000000" w:themeColor="text1"/>
          <w:szCs w:val="24"/>
        </w:rPr>
        <w:t>three</w:t>
      </w:r>
      <w:r w:rsidRPr="000B4E2C">
        <w:rPr>
          <w:color w:val="000000" w:themeColor="text1"/>
          <w:szCs w:val="24"/>
        </w:rPr>
        <w:t xml:space="preserve"> conduct cost-effectiveness analyses based on decision analysis modelling.</w:t>
      </w:r>
      <w:r w:rsidR="000B4E2C" w:rsidRPr="000B4E2C">
        <w:rPr>
          <w:color w:val="000000" w:themeColor="text1"/>
          <w:szCs w:val="24"/>
        </w:rPr>
        <w:t xml:space="preserve"> </w:t>
      </w:r>
      <w:r w:rsidRPr="000B4E2C">
        <w:rPr>
          <w:color w:val="000000" w:themeColor="text1"/>
          <w:szCs w:val="24"/>
        </w:rPr>
        <w:t>Two of the studies include decision trees to capture the diagnostic phase of the model and include Markov cohort modelling to capture the long-run sequelae of diagnosis a</w:t>
      </w:r>
      <w:r w:rsidR="00A96F4F" w:rsidRPr="000B4E2C">
        <w:rPr>
          <w:color w:val="000000" w:themeColor="text1"/>
          <w:szCs w:val="24"/>
        </w:rPr>
        <w:t xml:space="preserve">nd possible prevention of AKI. </w:t>
      </w:r>
      <w:r w:rsidRPr="000B4E2C">
        <w:rPr>
          <w:color w:val="000000" w:themeColor="text1"/>
          <w:szCs w:val="24"/>
        </w:rPr>
        <w:t xml:space="preserve">Both modelling strategies were similar and appropriate for the current decision problem, in that they both modelled the progression of AKI to CKD, </w:t>
      </w:r>
      <w:r w:rsidR="00E907C2" w:rsidRPr="000B4E2C">
        <w:rPr>
          <w:color w:val="000000" w:themeColor="text1"/>
          <w:szCs w:val="24"/>
        </w:rPr>
        <w:t>End Stage Renal Disease (</w:t>
      </w:r>
      <w:r w:rsidRPr="000B4E2C">
        <w:rPr>
          <w:color w:val="000000" w:themeColor="text1"/>
          <w:szCs w:val="24"/>
        </w:rPr>
        <w:t>ESRD</w:t>
      </w:r>
      <w:r w:rsidR="00E907C2" w:rsidRPr="000B4E2C">
        <w:rPr>
          <w:color w:val="000000" w:themeColor="text1"/>
          <w:szCs w:val="24"/>
        </w:rPr>
        <w:t>)</w:t>
      </w:r>
      <w:r w:rsidR="00A96F4F" w:rsidRPr="000B4E2C">
        <w:rPr>
          <w:color w:val="000000" w:themeColor="text1"/>
          <w:szCs w:val="24"/>
        </w:rPr>
        <w:t xml:space="preserve">, transplantation and death. </w:t>
      </w:r>
      <w:r w:rsidRPr="000B4E2C">
        <w:rPr>
          <w:color w:val="000000" w:themeColor="text1"/>
          <w:szCs w:val="24"/>
        </w:rPr>
        <w:t>However, only one study (Hall</w:t>
      </w:r>
      <w:r w:rsidRPr="000B4E2C">
        <w:rPr>
          <w:i/>
          <w:color w:val="00B0F0"/>
          <w:szCs w:val="24"/>
        </w:rPr>
        <w:t xml:space="preserve"> et al</w:t>
      </w:r>
      <w:r w:rsidRPr="000B4E2C">
        <w:rPr>
          <w:color w:val="000000" w:themeColor="text1"/>
          <w:szCs w:val="24"/>
        </w:rPr>
        <w:t>.</w:t>
      </w:r>
      <w:r w:rsidR="00A96F4F" w:rsidRPr="000B4E2C">
        <w:rPr>
          <w:color w:val="000000" w:themeColor="text1"/>
          <w:szCs w:val="24"/>
        </w:rPr>
        <w:t>)</w:t>
      </w:r>
      <w:r w:rsidR="005B5026" w:rsidRPr="000B4E2C">
        <w:rPr>
          <w:noProof/>
          <w:color w:val="000000" w:themeColor="text1"/>
          <w:szCs w:val="24"/>
          <w:vertAlign w:val="superscript"/>
        </w:rPr>
        <w:t>99</w:t>
      </w:r>
      <w:r w:rsidRPr="000B4E2C">
        <w:rPr>
          <w:color w:val="000000" w:themeColor="text1"/>
          <w:szCs w:val="24"/>
        </w:rPr>
        <w:t xml:space="preserve"> was conducted in the UK setting and provided results that might be infor</w:t>
      </w:r>
      <w:r w:rsidR="00A96F4F" w:rsidRPr="000B4E2C">
        <w:rPr>
          <w:color w:val="000000" w:themeColor="text1"/>
          <w:szCs w:val="24"/>
        </w:rPr>
        <w:t xml:space="preserve">mative for UK </w:t>
      </w:r>
      <w:r w:rsidR="000B4E2C" w:rsidRPr="000B4E2C">
        <w:rPr>
          <w:color w:val="00B0F0"/>
          <w:szCs w:val="24"/>
        </w:rPr>
        <w:t>decision-mak</w:t>
      </w:r>
      <w:r w:rsidR="00A96F4F" w:rsidRPr="000B4E2C">
        <w:rPr>
          <w:color w:val="000000" w:themeColor="text1"/>
          <w:szCs w:val="24"/>
        </w:rPr>
        <w:t xml:space="preserve">ing. </w:t>
      </w:r>
      <w:r w:rsidRPr="000B4E2C">
        <w:rPr>
          <w:color w:val="000000" w:themeColor="text1"/>
          <w:szCs w:val="24"/>
        </w:rPr>
        <w:t>Hall</w:t>
      </w:r>
      <w:r w:rsidRPr="000B4E2C">
        <w:rPr>
          <w:i/>
          <w:color w:val="00B0F0"/>
          <w:szCs w:val="24"/>
        </w:rPr>
        <w:t xml:space="preserve"> et al</w:t>
      </w:r>
      <w:r w:rsidRPr="000B4E2C">
        <w:rPr>
          <w:color w:val="000000" w:themeColor="text1"/>
          <w:szCs w:val="24"/>
        </w:rPr>
        <w:t>. was also the only study to assess all the candidate tests specified with</w:t>
      </w:r>
      <w:r w:rsidR="00A96F4F" w:rsidRPr="000B4E2C">
        <w:rPr>
          <w:color w:val="000000" w:themeColor="text1"/>
          <w:szCs w:val="24"/>
        </w:rPr>
        <w:t xml:space="preserve">in the NICE scope. </w:t>
      </w:r>
      <w:r w:rsidR="000B4E2C" w:rsidRPr="000B4E2C">
        <w:rPr>
          <w:color w:val="00B0F0"/>
          <w:szCs w:val="24"/>
        </w:rPr>
        <w:t>While</w:t>
      </w:r>
      <w:r w:rsidRPr="000B4E2C">
        <w:rPr>
          <w:color w:val="000000" w:themeColor="text1"/>
          <w:szCs w:val="24"/>
        </w:rPr>
        <w:t xml:space="preserve"> Hall</w:t>
      </w:r>
      <w:r w:rsidRPr="000B4E2C">
        <w:rPr>
          <w:i/>
          <w:color w:val="00B0F0"/>
          <w:szCs w:val="24"/>
        </w:rPr>
        <w:t xml:space="preserve"> et al</w:t>
      </w:r>
      <w:r w:rsidRPr="000B4E2C">
        <w:rPr>
          <w:color w:val="000000" w:themeColor="text1"/>
          <w:szCs w:val="24"/>
        </w:rPr>
        <w:t xml:space="preserve"> provide a comprehensive and high-quality assessment of the cost-effectiveness of the relevant tests, their setting relates to AKI occurring in the context of people already admitted to intensive care units and is therefore outside </w:t>
      </w:r>
      <w:r w:rsidR="00A96F4F" w:rsidRPr="000B4E2C">
        <w:rPr>
          <w:color w:val="000000" w:themeColor="text1"/>
          <w:szCs w:val="24"/>
        </w:rPr>
        <w:t xml:space="preserve">the scope for this assessment. </w:t>
      </w:r>
      <w:r w:rsidRPr="000B4E2C">
        <w:rPr>
          <w:color w:val="000000" w:themeColor="text1"/>
          <w:szCs w:val="24"/>
        </w:rPr>
        <w:t>Therefore, substantial revision of the Hall</w:t>
      </w:r>
      <w:r w:rsidRPr="000B4E2C">
        <w:rPr>
          <w:i/>
          <w:color w:val="00B0F0"/>
          <w:szCs w:val="24"/>
        </w:rPr>
        <w:t xml:space="preserve"> et al</w:t>
      </w:r>
      <w:r w:rsidRPr="000B4E2C">
        <w:rPr>
          <w:color w:val="000000" w:themeColor="text1"/>
          <w:szCs w:val="24"/>
        </w:rPr>
        <w:t xml:space="preserve"> model is required, particularly for the early acute phase to generate results that are appropriate for </w:t>
      </w:r>
      <w:r w:rsidR="000B4E2C" w:rsidRPr="000B4E2C">
        <w:rPr>
          <w:color w:val="00B0F0"/>
          <w:szCs w:val="24"/>
        </w:rPr>
        <w:t>decision-mak</w:t>
      </w:r>
      <w:r w:rsidRPr="000B4E2C">
        <w:rPr>
          <w:color w:val="000000" w:themeColor="text1"/>
          <w:szCs w:val="24"/>
        </w:rPr>
        <w:t>ing in critically ill patients who are at risk of AKI and are being considered for possible admission to ICU, but are not yet in the ICU setting.</w:t>
      </w:r>
    </w:p>
    <w:p w14:paraId="6BF9FF03" w14:textId="7997BE64" w:rsidR="002F0133" w:rsidRPr="000B4E2C" w:rsidRDefault="002F0133" w:rsidP="008A7464">
      <w:pPr>
        <w:pStyle w:val="Heading3"/>
      </w:pPr>
      <w:r w:rsidRPr="000B4E2C">
        <w:t>Additional literature searches</w:t>
      </w:r>
    </w:p>
    <w:p w14:paraId="5620E8C7" w14:textId="7F3F7B12" w:rsidR="000B4E2C" w:rsidRPr="000B4E2C" w:rsidRDefault="002F0133" w:rsidP="008A7464">
      <w:pPr>
        <w:rPr>
          <w:color w:val="000000" w:themeColor="text1"/>
          <w:szCs w:val="24"/>
        </w:rPr>
      </w:pPr>
      <w:r w:rsidRPr="000B4E2C">
        <w:rPr>
          <w:color w:val="000000" w:themeColor="text1"/>
          <w:szCs w:val="24"/>
        </w:rPr>
        <w:t>Further searches were conducted to h</w:t>
      </w:r>
      <w:r w:rsidR="00A96F4F" w:rsidRPr="000B4E2C">
        <w:rPr>
          <w:color w:val="000000" w:themeColor="text1"/>
          <w:szCs w:val="24"/>
        </w:rPr>
        <w:t>elp develop the economic model.</w:t>
      </w:r>
      <w:r w:rsidRPr="000B4E2C">
        <w:rPr>
          <w:color w:val="000000" w:themeColor="text1"/>
          <w:szCs w:val="24"/>
        </w:rPr>
        <w:t xml:space="preserve"> Broader searches were carried out to identify existing economic models in the area of AKI, in addition to those identified for </w:t>
      </w:r>
      <w:r w:rsidR="00A96F4F" w:rsidRPr="000B4E2C">
        <w:rPr>
          <w:color w:val="000000" w:themeColor="text1"/>
          <w:szCs w:val="24"/>
        </w:rPr>
        <w:t xml:space="preserve">the candidate biomarker tests. </w:t>
      </w:r>
      <w:r w:rsidRPr="000B4E2C">
        <w:rPr>
          <w:color w:val="000000" w:themeColor="text1"/>
          <w:szCs w:val="24"/>
        </w:rPr>
        <w:t xml:space="preserve">A separate search was also developed for health state utility </w:t>
      </w:r>
      <w:r w:rsidRPr="000B4E2C">
        <w:rPr>
          <w:color w:val="000000" w:themeColor="text1"/>
          <w:szCs w:val="24"/>
          <w:highlight w:val="magenta"/>
        </w:rPr>
        <w:t>data</w:t>
      </w:r>
      <w:r w:rsidRPr="000B4E2C">
        <w:rPr>
          <w:color w:val="000000" w:themeColor="text1"/>
          <w:szCs w:val="24"/>
        </w:rPr>
        <w:t xml:space="preserve"> relevant to the health states i</w:t>
      </w:r>
      <w:r w:rsidR="00A96F4F" w:rsidRPr="000B4E2C">
        <w:rPr>
          <w:color w:val="000000" w:themeColor="text1"/>
          <w:szCs w:val="24"/>
        </w:rPr>
        <w:t xml:space="preserve">ncluded in the economic model. </w:t>
      </w:r>
      <w:r w:rsidRPr="000B4E2C">
        <w:rPr>
          <w:color w:val="000000" w:themeColor="text1"/>
          <w:szCs w:val="24"/>
        </w:rPr>
        <w:t>As searches for models and parameters were conducted by Hall</w:t>
      </w:r>
      <w:r w:rsidRPr="000B4E2C">
        <w:rPr>
          <w:i/>
          <w:color w:val="00B0F0"/>
          <w:szCs w:val="24"/>
        </w:rPr>
        <w:t xml:space="preserve"> et al</w:t>
      </w:r>
      <w:r w:rsidRPr="000B4E2C">
        <w:rPr>
          <w:color w:val="000000" w:themeColor="text1"/>
          <w:szCs w:val="24"/>
        </w:rPr>
        <w:t xml:space="preserve"> up to 2016, our searches aimed to identify any relevant studies published after this date. Supplementary searches were carried out in </w:t>
      </w:r>
      <w:r w:rsidR="000B4E2C" w:rsidRPr="000B4E2C">
        <w:rPr>
          <w:color w:val="00B0F0"/>
          <w:szCs w:val="24"/>
        </w:rPr>
        <w:t>MEDLINE</w:t>
      </w:r>
      <w:r w:rsidRPr="000B4E2C">
        <w:rPr>
          <w:color w:val="000000" w:themeColor="text1"/>
          <w:szCs w:val="24"/>
        </w:rPr>
        <w:t xml:space="preserve">, </w:t>
      </w:r>
      <w:r w:rsidR="000B4E2C" w:rsidRPr="000B4E2C">
        <w:rPr>
          <w:color w:val="00B0F0"/>
          <w:szCs w:val="24"/>
        </w:rPr>
        <w:t>EMBASE</w:t>
      </w:r>
      <w:r w:rsidRPr="000B4E2C">
        <w:rPr>
          <w:color w:val="000000" w:themeColor="text1"/>
          <w:szCs w:val="24"/>
        </w:rPr>
        <w:t>, NHS EED, HTA database, Research Papers in Economics, and ISPOR Scientific Presentations.</w:t>
      </w:r>
      <w:r w:rsidR="000B4E2C" w:rsidRPr="000B4E2C">
        <w:rPr>
          <w:color w:val="000000" w:themeColor="text1"/>
          <w:szCs w:val="24"/>
        </w:rPr>
        <w:t xml:space="preserve"> </w:t>
      </w:r>
      <w:r w:rsidRPr="000B4E2C">
        <w:rPr>
          <w:color w:val="000000" w:themeColor="text1"/>
          <w:szCs w:val="24"/>
        </w:rPr>
        <w:t xml:space="preserve">The searches were undertaken on 11 September 2019 without any language restrictions. The relevant </w:t>
      </w:r>
      <w:r w:rsidRPr="000B4E2C">
        <w:rPr>
          <w:color w:val="000000" w:themeColor="text1"/>
          <w:szCs w:val="24"/>
          <w:highlight w:val="magenta"/>
        </w:rPr>
        <w:t>data</w:t>
      </w:r>
      <w:r w:rsidRPr="000B4E2C">
        <w:rPr>
          <w:color w:val="000000" w:themeColor="text1"/>
          <w:szCs w:val="24"/>
        </w:rPr>
        <w:t xml:space="preserve"> are discussed in the subsections to follow.</w:t>
      </w:r>
    </w:p>
    <w:p w14:paraId="261ECD86" w14:textId="5E03E2CE" w:rsidR="002F0133" w:rsidRPr="000B4E2C" w:rsidRDefault="002F0133" w:rsidP="008A7464">
      <w:pPr>
        <w:pStyle w:val="Heading2"/>
      </w:pPr>
      <w:r w:rsidRPr="000B4E2C">
        <w:t>Independent assessment of cost-effectiveness</w:t>
      </w:r>
    </w:p>
    <w:p w14:paraId="545AB573" w14:textId="77777777" w:rsidR="000B4E2C" w:rsidRPr="000B4E2C" w:rsidRDefault="002F0133" w:rsidP="008A7464">
      <w:pPr>
        <w:autoSpaceDE w:val="0"/>
        <w:autoSpaceDN w:val="0"/>
        <w:adjustRightInd w:val="0"/>
        <w:rPr>
          <w:color w:val="000000" w:themeColor="text1"/>
          <w:szCs w:val="24"/>
        </w:rPr>
      </w:pPr>
      <w:r w:rsidRPr="000B4E2C">
        <w:rPr>
          <w:color w:val="000000" w:themeColor="text1"/>
          <w:szCs w:val="24"/>
        </w:rPr>
        <w:t>A two-phase model was developed using TreeAge Pro, 2018 (TreeAge Software, Williamstown, MA, 2018</w:t>
      </w:r>
      <w:r w:rsidR="00A96F4F" w:rsidRPr="000B4E2C">
        <w:rPr>
          <w:color w:val="000000" w:themeColor="text1"/>
          <w:szCs w:val="24"/>
        </w:rPr>
        <w:t>)</w:t>
      </w:r>
      <w:r w:rsidR="005B5026" w:rsidRPr="000B4E2C">
        <w:rPr>
          <w:noProof/>
          <w:color w:val="000000" w:themeColor="text1"/>
          <w:szCs w:val="24"/>
          <w:vertAlign w:val="superscript"/>
        </w:rPr>
        <w:t>103</w:t>
      </w:r>
      <w:r w:rsidRPr="000B4E2C">
        <w:rPr>
          <w:color w:val="000000" w:themeColor="text1"/>
          <w:szCs w:val="24"/>
        </w:rPr>
        <w:t xml:space="preserve"> to assess the cost-effectiveness of using biomarker tests to help detect the risk of AKI development and to help initiate early preventative care.</w:t>
      </w:r>
    </w:p>
    <w:p w14:paraId="2D5C16CB" w14:textId="77777777" w:rsidR="000B4E2C" w:rsidRPr="000B4E2C" w:rsidRDefault="00BF4CCD" w:rsidP="00BF4CCD">
      <w:pPr>
        <w:autoSpaceDE w:val="0"/>
        <w:autoSpaceDN w:val="0"/>
        <w:adjustRightInd w:val="0"/>
        <w:rPr>
          <w:color w:val="000000" w:themeColor="text1"/>
          <w:szCs w:val="24"/>
        </w:rPr>
      </w:pPr>
      <w:r w:rsidRPr="000B4E2C">
        <w:rPr>
          <w:color w:val="000000" w:themeColor="text1"/>
          <w:szCs w:val="24"/>
        </w:rPr>
        <w:t xml:space="preserve">As described in Chapter </w:t>
      </w:r>
      <w:r w:rsidR="00401D1F" w:rsidRPr="000B4E2C">
        <w:rPr>
          <w:color w:val="000000" w:themeColor="text1"/>
          <w:szCs w:val="24"/>
        </w:rPr>
        <w:t>3</w:t>
      </w:r>
      <w:r w:rsidRPr="000B4E2C">
        <w:rPr>
          <w:color w:val="000000" w:themeColor="text1"/>
          <w:szCs w:val="24"/>
        </w:rPr>
        <w:t>, there was no direct evidence regarding the clinical effectiveness of biomarker guided preventative care versus standard monitoring guided preventative care on final health outcomes (e.g. AKI status, mortality</w:t>
      </w:r>
      <w:r w:rsidR="001F382C" w:rsidRPr="000B4E2C">
        <w:rPr>
          <w:color w:val="000000" w:themeColor="text1"/>
          <w:szCs w:val="24"/>
        </w:rPr>
        <w:t>,</w:t>
      </w:r>
      <w:r w:rsidRPr="000B4E2C">
        <w:rPr>
          <w:color w:val="000000" w:themeColor="text1"/>
          <w:szCs w:val="24"/>
        </w:rPr>
        <w:t xml:space="preserve"> need for RRT). Therefore, a linked evidence approach was required to determine the</w:t>
      </w:r>
      <w:r w:rsidR="00A96F4F" w:rsidRPr="000B4E2C">
        <w:rPr>
          <w:color w:val="000000" w:themeColor="text1"/>
          <w:szCs w:val="24"/>
        </w:rPr>
        <w:t xml:space="preserve"> potential value of the tests. </w:t>
      </w:r>
      <w:r w:rsidRPr="000B4E2C">
        <w:rPr>
          <w:color w:val="000000" w:themeColor="text1"/>
          <w:szCs w:val="24"/>
        </w:rPr>
        <w:t>The model structure was therefore built to reflect hypothesised associative benefits of averting AKI or reducing its severity through biomar</w:t>
      </w:r>
      <w:r w:rsidR="00A96F4F" w:rsidRPr="000B4E2C">
        <w:rPr>
          <w:color w:val="000000" w:themeColor="text1"/>
          <w:szCs w:val="24"/>
        </w:rPr>
        <w:t xml:space="preserve">ker guided early intervention. </w:t>
      </w:r>
      <w:r w:rsidRPr="000B4E2C">
        <w:rPr>
          <w:color w:val="000000" w:themeColor="text1"/>
          <w:szCs w:val="24"/>
        </w:rPr>
        <w:t>The structure was informed by the review of cost-effectiveness studies and was based largely on Hall</w:t>
      </w:r>
      <w:r w:rsidRPr="000B4E2C">
        <w:rPr>
          <w:i/>
          <w:color w:val="00B0F0"/>
          <w:szCs w:val="24"/>
        </w:rPr>
        <w:t xml:space="preserve"> et al</w:t>
      </w:r>
      <w:r w:rsidRPr="000B4E2C">
        <w:rPr>
          <w:color w:val="000000" w:themeColor="text1"/>
          <w:szCs w:val="24"/>
        </w:rPr>
        <w:t>. who kindly provided access to their model (built in R) und</w:t>
      </w:r>
      <w:r w:rsidR="00A96F4F" w:rsidRPr="000B4E2C">
        <w:rPr>
          <w:color w:val="000000" w:themeColor="text1"/>
          <w:szCs w:val="24"/>
        </w:rPr>
        <w:t xml:space="preserve">er a creative commons </w:t>
      </w:r>
      <w:r w:rsidR="00A96F4F" w:rsidRPr="000B4E2C">
        <w:rPr>
          <w:color w:val="000000" w:themeColor="text1"/>
          <w:szCs w:val="24"/>
          <w:highlight w:val="magenta"/>
        </w:rPr>
        <w:t>licence</w:t>
      </w:r>
      <w:r w:rsidR="00A96F4F" w:rsidRPr="000B4E2C">
        <w:rPr>
          <w:color w:val="000000" w:themeColor="text1"/>
          <w:szCs w:val="24"/>
        </w:rPr>
        <w:t xml:space="preserve">. </w:t>
      </w:r>
      <w:r w:rsidRPr="000B4E2C">
        <w:rPr>
          <w:color w:val="000000" w:themeColor="text1"/>
          <w:szCs w:val="24"/>
        </w:rPr>
        <w:t xml:space="preserve">The appropriateness of the model structure was validated with the </w:t>
      </w:r>
      <w:r w:rsidR="007A6BF6" w:rsidRPr="000B4E2C">
        <w:rPr>
          <w:color w:val="000000" w:themeColor="text1"/>
          <w:szCs w:val="24"/>
        </w:rPr>
        <w:t>External Assessment Group</w:t>
      </w:r>
      <w:r w:rsidR="0072128A" w:rsidRPr="000B4E2C">
        <w:rPr>
          <w:color w:val="00B0F0"/>
          <w:szCs w:val="24"/>
        </w:rPr>
        <w:t>$$SingleQuoteE$$</w:t>
      </w:r>
      <w:r w:rsidR="007A6BF6" w:rsidRPr="000B4E2C">
        <w:rPr>
          <w:color w:val="000000" w:themeColor="text1"/>
          <w:szCs w:val="24"/>
        </w:rPr>
        <w:t>s (</w:t>
      </w:r>
      <w:r w:rsidRPr="000B4E2C">
        <w:rPr>
          <w:color w:val="000000" w:themeColor="text1"/>
          <w:szCs w:val="24"/>
        </w:rPr>
        <w:t>EAG</w:t>
      </w:r>
      <w:r w:rsidR="007A6BF6" w:rsidRPr="000B4E2C">
        <w:rPr>
          <w:color w:val="000000" w:themeColor="text1"/>
          <w:szCs w:val="24"/>
        </w:rPr>
        <w:t>)</w:t>
      </w:r>
      <w:r w:rsidR="00A96F4F" w:rsidRPr="000B4E2C">
        <w:rPr>
          <w:color w:val="000000" w:themeColor="text1"/>
          <w:szCs w:val="24"/>
        </w:rPr>
        <w:t xml:space="preserve"> clinical experts. </w:t>
      </w:r>
      <w:r w:rsidRPr="000B4E2C">
        <w:rPr>
          <w:color w:val="000000" w:themeColor="text1"/>
          <w:szCs w:val="24"/>
          <w:highlight w:val="magenta"/>
        </w:rPr>
        <w:t>Data</w:t>
      </w:r>
      <w:r w:rsidRPr="000B4E2C">
        <w:rPr>
          <w:color w:val="000000" w:themeColor="text1"/>
          <w:szCs w:val="24"/>
        </w:rPr>
        <w:t xml:space="preserve"> sources to populate the model are describe</w:t>
      </w:r>
      <w:r w:rsidR="00A96F4F" w:rsidRPr="000B4E2C">
        <w:rPr>
          <w:color w:val="000000" w:themeColor="text1"/>
          <w:szCs w:val="24"/>
        </w:rPr>
        <w:t xml:space="preserve">d in the sections that follow. </w:t>
      </w:r>
      <w:r w:rsidRPr="000B4E2C">
        <w:rPr>
          <w:color w:val="000000" w:themeColor="text1"/>
          <w:szCs w:val="24"/>
        </w:rPr>
        <w:t>The model was built and analysed following the guidelines stipulated in the NICE reference case for diagnostic test evaluation</w:t>
      </w:r>
      <w:r w:rsidR="00A96F4F" w:rsidRPr="000B4E2C">
        <w:rPr>
          <w:color w:val="000000" w:themeColor="text1"/>
          <w:szCs w:val="24"/>
        </w:rPr>
        <w:t>.</w:t>
      </w:r>
      <w:r w:rsidR="005B5026" w:rsidRPr="000B4E2C">
        <w:rPr>
          <w:noProof/>
          <w:color w:val="000000" w:themeColor="text1"/>
          <w:szCs w:val="24"/>
          <w:vertAlign w:val="superscript"/>
        </w:rPr>
        <w:t>104</w:t>
      </w:r>
    </w:p>
    <w:p w14:paraId="6948096B" w14:textId="36EFECCC" w:rsidR="002F0133" w:rsidRPr="000B4E2C" w:rsidRDefault="002F0133" w:rsidP="008A7464">
      <w:pPr>
        <w:pStyle w:val="Heading3"/>
      </w:pPr>
      <w:r w:rsidRPr="000B4E2C">
        <w:t>Methods</w:t>
      </w:r>
    </w:p>
    <w:p w14:paraId="0B9E3640" w14:textId="77777777" w:rsidR="002F0133" w:rsidRPr="000B4E2C" w:rsidRDefault="002F0133" w:rsidP="008A7464">
      <w:pPr>
        <w:pStyle w:val="Heading4"/>
      </w:pPr>
      <w:r w:rsidRPr="000B4E2C">
        <w:t>Relevant population(s)</w:t>
      </w:r>
    </w:p>
    <w:p w14:paraId="64FE98B4" w14:textId="77777777" w:rsidR="000B4E2C" w:rsidRPr="000B4E2C" w:rsidRDefault="00B27993" w:rsidP="00B27993">
      <w:pPr>
        <w:autoSpaceDE w:val="0"/>
        <w:autoSpaceDN w:val="0"/>
        <w:adjustRightInd w:val="0"/>
        <w:rPr>
          <w:color w:val="000000" w:themeColor="text1"/>
          <w:szCs w:val="24"/>
        </w:rPr>
      </w:pPr>
      <w:r w:rsidRPr="000B4E2C">
        <w:rPr>
          <w:color w:val="000000" w:themeColor="text1"/>
          <w:szCs w:val="24"/>
        </w:rPr>
        <w:t>The baseline population and prevalence of CKD in hospital for the model was obtained from a Grampian popul</w:t>
      </w:r>
      <w:r w:rsidR="00A96F4F" w:rsidRPr="000B4E2C">
        <w:rPr>
          <w:color w:val="000000" w:themeColor="text1"/>
          <w:szCs w:val="24"/>
        </w:rPr>
        <w:t>ation cohort (described below).</w:t>
      </w:r>
      <w:r w:rsidRPr="000B4E2C">
        <w:rPr>
          <w:color w:val="000000" w:themeColor="text1"/>
          <w:szCs w:val="24"/>
        </w:rPr>
        <w:t xml:space="preserve"> The model base case analysis is therefore based on a mixed cohort of CKD and non-CKD patients, average age 63, 54.3% female.</w:t>
      </w:r>
    </w:p>
    <w:p w14:paraId="6220F97D" w14:textId="40E32491" w:rsidR="002F0133" w:rsidRPr="000B4E2C" w:rsidRDefault="002F0133" w:rsidP="008A7464">
      <w:pPr>
        <w:pStyle w:val="Heading4"/>
      </w:pPr>
      <w:r w:rsidRPr="000B4E2C">
        <w:t>Diagnostic biomarkers evaluated</w:t>
      </w:r>
    </w:p>
    <w:p w14:paraId="0EA30996" w14:textId="77777777" w:rsidR="000B4E2C" w:rsidRPr="000B4E2C" w:rsidRDefault="002F0133" w:rsidP="008A7464">
      <w:pPr>
        <w:autoSpaceDE w:val="0"/>
        <w:autoSpaceDN w:val="0"/>
        <w:adjustRightInd w:val="0"/>
      </w:pPr>
      <w:r w:rsidRPr="000B4E2C">
        <w:t xml:space="preserve">The model aims to assess </w:t>
      </w:r>
      <w:r w:rsidRPr="000B4E2C">
        <w:rPr>
          <w:rFonts w:eastAsia="Calibri"/>
        </w:rPr>
        <w:t xml:space="preserve">the cost-effectiveness </w:t>
      </w:r>
      <w:r w:rsidRPr="000B4E2C">
        <w:t>of the NephroCheck test, NGAL urine (i.e.</w:t>
      </w:r>
      <w:r w:rsidR="00881500" w:rsidRPr="000B4E2C">
        <w:t>,</w:t>
      </w:r>
      <w:r w:rsidRPr="000B4E2C">
        <w:t xml:space="preserve"> the ARCHITECT Urine NGAL assay and the </w:t>
      </w:r>
      <w:r w:rsidR="009D7F5A" w:rsidRPr="000B4E2C">
        <w:t>BioPorto</w:t>
      </w:r>
      <w:r w:rsidRPr="000B4E2C">
        <w:t xml:space="preserve"> NGAL urine test), and the </w:t>
      </w:r>
      <w:r w:rsidR="009D7F5A" w:rsidRPr="000B4E2C">
        <w:t>BioPorto</w:t>
      </w:r>
      <w:r w:rsidRPr="000B4E2C">
        <w:t xml:space="preserve"> NGAL plasma test in combination with standard clinical assessment, compared with standard clinical assessment alone (including serum creatinine and urine output) for evaluating critically ill people at risk of developing AKI and who are being assessed for possible critical care admission.</w:t>
      </w:r>
    </w:p>
    <w:p w14:paraId="1A5D3AC5" w14:textId="16351CEA" w:rsidR="002F0133" w:rsidRPr="000B4E2C" w:rsidRDefault="002F0133" w:rsidP="008A7464">
      <w:pPr>
        <w:pStyle w:val="Heading4"/>
      </w:pPr>
      <w:r w:rsidRPr="000B4E2C">
        <w:t>Model structure: Initial decision tree phase</w:t>
      </w:r>
    </w:p>
    <w:p w14:paraId="45F77B9B" w14:textId="77777777" w:rsidR="000B4E2C" w:rsidRPr="000B4E2C" w:rsidRDefault="002F0133" w:rsidP="008A7464">
      <w:pPr>
        <w:autoSpaceDE w:val="0"/>
        <w:autoSpaceDN w:val="0"/>
        <w:adjustRightInd w:val="0"/>
        <w:rPr>
          <w:color w:val="000000" w:themeColor="text1"/>
          <w:szCs w:val="24"/>
        </w:rPr>
      </w:pPr>
      <w:r w:rsidRPr="000B4E2C">
        <w:rPr>
          <w:color w:val="000000" w:themeColor="text1"/>
          <w:szCs w:val="24"/>
        </w:rPr>
        <w:t>The systematic review did not identify any randomised trials providing causal evidence for the effect of biomarker guided care v</w:t>
      </w:r>
      <w:r w:rsidR="00E907C2" w:rsidRPr="000B4E2C">
        <w:rPr>
          <w:color w:val="000000" w:themeColor="text1"/>
          <w:szCs w:val="24"/>
        </w:rPr>
        <w:t>ersus</w:t>
      </w:r>
      <w:r w:rsidRPr="000B4E2C">
        <w:rPr>
          <w:color w:val="000000" w:themeColor="text1"/>
          <w:szCs w:val="24"/>
        </w:rPr>
        <w:t xml:space="preserve"> standard monitoring (serum creatinine) guided care on patient relevant outcomes such as peak AKI severity, admission to ICU, need for renal replacement therapy, CKD or mortality.</w:t>
      </w:r>
    </w:p>
    <w:p w14:paraId="3C165C8C" w14:textId="77777777" w:rsidR="000B4E2C" w:rsidRPr="000B4E2C" w:rsidRDefault="002F0133" w:rsidP="008A7464">
      <w:pPr>
        <w:autoSpaceDE w:val="0"/>
        <w:autoSpaceDN w:val="0"/>
        <w:adjustRightInd w:val="0"/>
        <w:rPr>
          <w:color w:val="000000" w:themeColor="text1"/>
          <w:szCs w:val="24"/>
        </w:rPr>
      </w:pPr>
      <w:r w:rsidRPr="000B4E2C">
        <w:rPr>
          <w:color w:val="000000" w:themeColor="text1"/>
          <w:szCs w:val="24"/>
        </w:rPr>
        <w:t xml:space="preserve">In the absence of such </w:t>
      </w:r>
      <w:r w:rsidRPr="000B4E2C">
        <w:rPr>
          <w:color w:val="000000" w:themeColor="text1"/>
          <w:szCs w:val="24"/>
          <w:highlight w:val="magenta"/>
        </w:rPr>
        <w:t>data</w:t>
      </w:r>
      <w:r w:rsidRPr="000B4E2C">
        <w:rPr>
          <w:color w:val="000000" w:themeColor="text1"/>
          <w:szCs w:val="24"/>
        </w:rPr>
        <w:t xml:space="preserve">, the initial decision tree phase of the model used a linked evidence approach to first capture the potential impact of diagnostic test accuracy (sensitivity and specificity) on the probability of averting AKI or reducing its severity through earlier adoption of a KDIGO care bundle triggered by a positive biomarker test result. Second, the model then captures possible effects on changes in health outcomes through associative </w:t>
      </w:r>
      <w:r w:rsidRPr="000B4E2C">
        <w:rPr>
          <w:color w:val="000000" w:themeColor="text1"/>
          <w:szCs w:val="24"/>
        </w:rPr>
        <w:lastRenderedPageBreak/>
        <w:t>links between AKI severity and the relevant outcomes (need for ICU care, length of stay, 90 Day mortality, and development of CKD).</w:t>
      </w:r>
    </w:p>
    <w:p w14:paraId="4DB4B819" w14:textId="110CE418" w:rsidR="000B4E2C" w:rsidRPr="000B4E2C" w:rsidRDefault="003B30A2" w:rsidP="003B30A2">
      <w:pPr>
        <w:autoSpaceDE w:val="0"/>
        <w:autoSpaceDN w:val="0"/>
        <w:adjustRightInd w:val="0"/>
        <w:rPr>
          <w:color w:val="000000" w:themeColor="text1"/>
          <w:szCs w:val="24"/>
        </w:rPr>
      </w:pPr>
      <w:r w:rsidRPr="000B4E2C">
        <w:rPr>
          <w:color w:val="000000" w:themeColor="text1"/>
          <w:szCs w:val="24"/>
        </w:rPr>
        <w:t xml:space="preserve">These associative links have been built up in the decision tree by re-analysis of observational </w:t>
      </w:r>
      <w:r w:rsidRPr="000B4E2C">
        <w:rPr>
          <w:color w:val="000000" w:themeColor="text1"/>
          <w:szCs w:val="24"/>
          <w:highlight w:val="magenta"/>
        </w:rPr>
        <w:t>data</w:t>
      </w:r>
      <w:r w:rsidRPr="000B4E2C">
        <w:rPr>
          <w:color w:val="000000" w:themeColor="text1"/>
          <w:szCs w:val="24"/>
        </w:rPr>
        <w:t xml:space="preserve"> from Grampian</w:t>
      </w:r>
      <w:r w:rsidR="00A07828" w:rsidRPr="000B4E2C">
        <w:rPr>
          <w:color w:val="000000" w:themeColor="text1"/>
          <w:szCs w:val="24"/>
        </w:rPr>
        <w:t>.</w:t>
      </w:r>
      <w:r w:rsidR="005B5026" w:rsidRPr="000B4E2C">
        <w:rPr>
          <w:noProof/>
          <w:color w:val="000000" w:themeColor="text1"/>
          <w:szCs w:val="24"/>
          <w:vertAlign w:val="superscript"/>
        </w:rPr>
        <w:t>105</w:t>
      </w:r>
      <w:r w:rsidR="00A07828" w:rsidRPr="000B4E2C">
        <w:rPr>
          <w:color w:val="000000" w:themeColor="text1"/>
          <w:szCs w:val="24"/>
        </w:rPr>
        <w:t xml:space="preserve"> The </w:t>
      </w:r>
      <w:r w:rsidR="000B4E2C" w:rsidRPr="000B4E2C">
        <w:rPr>
          <w:color w:val="00B0F0"/>
          <w:szCs w:val="24"/>
          <w:highlight w:val="magenta"/>
        </w:rPr>
        <w:t>data</w:t>
      </w:r>
      <w:r w:rsidR="000B4E2C" w:rsidRPr="000B4E2C">
        <w:rPr>
          <w:color w:val="00B0F0"/>
          <w:szCs w:val="24"/>
        </w:rPr>
        <w:t xml:space="preserve"> set</w:t>
      </w:r>
      <w:r w:rsidR="00A07828" w:rsidRPr="000B4E2C">
        <w:rPr>
          <w:color w:val="000000" w:themeColor="text1"/>
          <w:szCs w:val="24"/>
        </w:rPr>
        <w:t xml:space="preserve"> includes </w:t>
      </w:r>
      <w:r w:rsidRPr="000B4E2C">
        <w:rPr>
          <w:color w:val="000000" w:themeColor="text1"/>
          <w:szCs w:val="24"/>
        </w:rPr>
        <w:t>17,630 adult patients admitted to hospital in Grampian in 2003 and is the complete population of all patients who had an abnormal kidney function blood test on hospital admission</w:t>
      </w:r>
      <w:r w:rsidR="00E907C2" w:rsidRPr="000B4E2C">
        <w:rPr>
          <w:color w:val="000000" w:themeColor="text1"/>
          <w:szCs w:val="24"/>
        </w:rPr>
        <w:t>,</w:t>
      </w:r>
      <w:r w:rsidRPr="000B4E2C">
        <w:rPr>
          <w:color w:val="000000" w:themeColor="text1"/>
          <w:szCs w:val="24"/>
        </w:rPr>
        <w:t xml:space="preserve"> including all patients who developed AKI. The study methodology is described in detail by Sawhney</w:t>
      </w:r>
      <w:r w:rsidRPr="000B4E2C">
        <w:rPr>
          <w:i/>
          <w:color w:val="00B0F0"/>
          <w:szCs w:val="24"/>
        </w:rPr>
        <w:t xml:space="preserve"> et al</w:t>
      </w:r>
      <w:r w:rsidR="00A07828" w:rsidRPr="000B4E2C">
        <w:rPr>
          <w:color w:val="000000" w:themeColor="text1"/>
          <w:szCs w:val="24"/>
        </w:rPr>
        <w:t>,</w:t>
      </w:r>
      <w:r w:rsidR="005B5026" w:rsidRPr="000B4E2C">
        <w:rPr>
          <w:noProof/>
          <w:color w:val="000000" w:themeColor="text1"/>
          <w:szCs w:val="24"/>
          <w:vertAlign w:val="superscript"/>
        </w:rPr>
        <w:t>106</w:t>
      </w:r>
      <w:r w:rsidRPr="000B4E2C">
        <w:rPr>
          <w:color w:val="000000" w:themeColor="text1"/>
          <w:szCs w:val="24"/>
        </w:rPr>
        <w:t xml:space="preserve"> but the </w:t>
      </w:r>
      <w:r w:rsidRPr="000B4E2C">
        <w:rPr>
          <w:color w:val="000000" w:themeColor="text1"/>
          <w:szCs w:val="24"/>
          <w:highlight w:val="magenta"/>
        </w:rPr>
        <w:t>data</w:t>
      </w:r>
      <w:r w:rsidRPr="000B4E2C">
        <w:rPr>
          <w:color w:val="000000" w:themeColor="text1"/>
          <w:szCs w:val="24"/>
        </w:rPr>
        <w:t xml:space="preserve"> derived from the </w:t>
      </w:r>
      <w:r w:rsidR="000B4E2C" w:rsidRPr="000B4E2C">
        <w:rPr>
          <w:color w:val="00B0F0"/>
          <w:szCs w:val="24"/>
          <w:highlight w:val="magenta"/>
        </w:rPr>
        <w:t>data</w:t>
      </w:r>
      <w:r w:rsidR="000B4E2C" w:rsidRPr="000B4E2C">
        <w:rPr>
          <w:color w:val="00B0F0"/>
          <w:szCs w:val="24"/>
        </w:rPr>
        <w:t xml:space="preserve"> set</w:t>
      </w:r>
      <w:r w:rsidRPr="000B4E2C">
        <w:rPr>
          <w:color w:val="000000" w:themeColor="text1"/>
          <w:szCs w:val="24"/>
        </w:rPr>
        <w:t xml:space="preserve"> used to populate the model are unpublished. These observational, population level </w:t>
      </w:r>
      <w:r w:rsidRPr="000B4E2C">
        <w:rPr>
          <w:color w:val="000000" w:themeColor="text1"/>
          <w:szCs w:val="24"/>
          <w:highlight w:val="magenta"/>
        </w:rPr>
        <w:t>data</w:t>
      </w:r>
      <w:r w:rsidRPr="000B4E2C">
        <w:rPr>
          <w:color w:val="000000" w:themeColor="text1"/>
          <w:szCs w:val="24"/>
        </w:rPr>
        <w:t xml:space="preserve"> were used to define the starting age, sex, and underlying proportion of prevalent CKD</w:t>
      </w:r>
      <w:r w:rsidR="00A07828" w:rsidRPr="000B4E2C">
        <w:rPr>
          <w:color w:val="000000" w:themeColor="text1"/>
          <w:szCs w:val="24"/>
        </w:rPr>
        <w:t xml:space="preserve"> cases in the modelled cohort. </w:t>
      </w:r>
      <w:r w:rsidRPr="000B4E2C">
        <w:rPr>
          <w:color w:val="000000" w:themeColor="text1"/>
          <w:szCs w:val="24"/>
        </w:rPr>
        <w:t xml:space="preserve">The </w:t>
      </w:r>
      <w:r w:rsidRPr="000B4E2C">
        <w:rPr>
          <w:color w:val="000000" w:themeColor="text1"/>
          <w:szCs w:val="24"/>
          <w:highlight w:val="magenta"/>
        </w:rPr>
        <w:t>data</w:t>
      </w:r>
      <w:r w:rsidRPr="000B4E2C">
        <w:rPr>
          <w:color w:val="000000" w:themeColor="text1"/>
          <w:szCs w:val="24"/>
        </w:rPr>
        <w:t xml:space="preserve"> were also used to populate the model with respect to the distribution of peak AKI severity, as well as length of stay in hospital, probability of admission to ICU, and 90-day mortality parameters (by KDIGO AKI stage) for the decision tree phase of the model.</w:t>
      </w:r>
    </w:p>
    <w:p w14:paraId="1E1958AF" w14:textId="4843D9A1" w:rsidR="000B4E2C" w:rsidRPr="000B4E2C" w:rsidRDefault="002F0133" w:rsidP="008A7464">
      <w:r w:rsidRPr="000B4E2C">
        <w:t xml:space="preserve">In the decision tree, patients who were critically ill in hospital, at risk of developing AKI, and who are having their </w:t>
      </w:r>
      <w:r w:rsidR="001B6F61" w:rsidRPr="000B4E2C">
        <w:t>kidney function</w:t>
      </w:r>
      <w:r w:rsidRPr="000B4E2C">
        <w:t xml:space="preserve"> monitored, are divided into two cohorts, those with AKI and those without AKI, depending on the underlying prevalence</w:t>
      </w:r>
      <w:r w:rsidR="00A07828" w:rsidRPr="000B4E2C">
        <w:t>.</w:t>
      </w:r>
      <w:r w:rsidR="005B5026" w:rsidRPr="000B4E2C">
        <w:rPr>
          <w:noProof/>
          <w:vertAlign w:val="superscript"/>
        </w:rPr>
        <w:t>105, 106</w:t>
      </w:r>
      <w:r w:rsidR="00A07828" w:rsidRPr="000B4E2C">
        <w:t xml:space="preserve"> </w:t>
      </w:r>
      <w:r w:rsidRPr="000B4E2C">
        <w:t xml:space="preserve">The underlying prevalence of AKI was calculated directly from a more recent version of the Grampian </w:t>
      </w:r>
      <w:r w:rsidR="000B4E2C" w:rsidRPr="000B4E2C">
        <w:rPr>
          <w:color w:val="00B0F0"/>
          <w:highlight w:val="magenta"/>
        </w:rPr>
        <w:t>data</w:t>
      </w:r>
      <w:r w:rsidR="000B4E2C" w:rsidRPr="000B4E2C">
        <w:rPr>
          <w:color w:val="00B0F0"/>
        </w:rPr>
        <w:t xml:space="preserve"> set</w:t>
      </w:r>
      <w:r w:rsidRPr="000B4E2C">
        <w:t>, describing all hospital admissions with at least one overnight stay in 2012 (for patients having their kidney function monitored)</w:t>
      </w:r>
      <w:r w:rsidR="00A07828" w:rsidRPr="000B4E2C">
        <w:t xml:space="preserve">. </w:t>
      </w:r>
      <w:r w:rsidRPr="000B4E2C">
        <w:t xml:space="preserve">The base case prevalence of AKI generated from these </w:t>
      </w:r>
      <w:r w:rsidR="000B4E2C" w:rsidRPr="000B4E2C">
        <w:rPr>
          <w:color w:val="00B0F0"/>
          <w:highlight w:val="magenta"/>
        </w:rPr>
        <w:t>data</w:t>
      </w:r>
      <w:r w:rsidR="000B4E2C" w:rsidRPr="000B4E2C">
        <w:rPr>
          <w:color w:val="00B0F0"/>
        </w:rPr>
        <w:t xml:space="preserve"> were</w:t>
      </w:r>
      <w:r w:rsidRPr="000B4E2C">
        <w:t xml:space="preserve"> 9.2%, sampled probabilistically from a beta distribution in the model based on count </w:t>
      </w:r>
      <w:r w:rsidRPr="000B4E2C">
        <w:rPr>
          <w:highlight w:val="magenta"/>
        </w:rPr>
        <w:t>data</w:t>
      </w:r>
      <w:r w:rsidRPr="000B4E2C">
        <w:t>.</w:t>
      </w:r>
      <w:r w:rsidR="000B4E2C" w:rsidRPr="000B4E2C">
        <w:t xml:space="preserve"> </w:t>
      </w:r>
      <w:r w:rsidRPr="000B4E2C">
        <w:t xml:space="preserve">Sensitivity analysis uses prevalence </w:t>
      </w:r>
      <w:r w:rsidRPr="000B4E2C">
        <w:rPr>
          <w:highlight w:val="magenta"/>
        </w:rPr>
        <w:t>data</w:t>
      </w:r>
      <w:r w:rsidRPr="000B4E2C">
        <w:t xml:space="preserve"> directly from the systematic review studies used to generate the diagnostic test accuracy parameters.</w:t>
      </w:r>
    </w:p>
    <w:p w14:paraId="418F1AC1" w14:textId="22EB4D71" w:rsidR="000B4E2C" w:rsidRPr="000B4E2C" w:rsidRDefault="002F0133" w:rsidP="008A7464">
      <w:r w:rsidRPr="000B4E2C">
        <w:t xml:space="preserve">AKI is defined in the model as patients who have or are destined to develop AKI during their hospital admission and is classified based on the peak severity of AKI. </w:t>
      </w:r>
      <w:bookmarkStart w:id="15" w:name="_Hlk23409016"/>
      <w:r w:rsidRPr="000B4E2C">
        <w:t xml:space="preserve">There is an assumption in the model that it is possible to avert AKI with early biomarker guided treatment in people who would otherwise develop it under standard care. </w:t>
      </w:r>
      <w:bookmarkStart w:id="16" w:name="_Hlk23408981"/>
      <w:bookmarkEnd w:id="15"/>
      <w:r w:rsidRPr="000B4E2C">
        <w:t>However, it should be noted that in some circumstances it may not be possible to avoid AKI by earlier detection as AKI may not always be modifiable</w:t>
      </w:r>
      <w:r w:rsidR="00A07828" w:rsidRPr="000B4E2C">
        <w:t>.</w:t>
      </w:r>
      <w:r w:rsidR="005B5026" w:rsidRPr="000B4E2C">
        <w:rPr>
          <w:noProof/>
          <w:vertAlign w:val="superscript"/>
        </w:rPr>
        <w:t>3</w:t>
      </w:r>
      <w:r w:rsidRPr="000B4E2C">
        <w:t xml:space="preserve"> </w:t>
      </w:r>
      <w:bookmarkEnd w:id="16"/>
      <w:r w:rsidRPr="000B4E2C">
        <w:t>The probability of averting AKI is 0 in the standard care arm. AKI is split into 4 KDIGO defined stages (stage 1</w:t>
      </w:r>
      <w:r w:rsidR="000B4E2C" w:rsidRPr="000B4E2C">
        <w:rPr>
          <w:color w:val="00B0F0"/>
        </w:rPr>
        <w:t>–</w:t>
      </w:r>
      <w:r w:rsidR="000B4E2C" w:rsidRPr="000B4E2C">
        <w:rPr>
          <w:color w:val="00B0F0"/>
        </w:rPr>
        <w:t>3</w:t>
      </w:r>
      <w:r w:rsidRPr="000B4E2C">
        <w:t xml:space="preserve">), with stage 3 split by the proportion of patients receiving renal replacement therapy or not. The initial phase of the model describes the associations between peak AKI classification and probability of admission to ICU, length of stay in ICU, length of hospital stay, and </w:t>
      </w:r>
      <w:r w:rsidR="00A07828" w:rsidRPr="000B4E2C">
        <w:t>90-day mortality.</w:t>
      </w:r>
      <w:r w:rsidRPr="000B4E2C">
        <w:t xml:space="preserve"> These associative effects are all derived from the Grampian population cohort described above. At the end of the 90 days, costs and QALY payoffs are assigned based on the decision tree pathway followed, before surviving patients enter the Markov cohort model.</w:t>
      </w:r>
    </w:p>
    <w:p w14:paraId="315A66A0" w14:textId="2003EAF3" w:rsidR="000B4E2C" w:rsidRPr="000B4E2C" w:rsidRDefault="002F0133" w:rsidP="008A7464">
      <w:r w:rsidRPr="000B4E2C">
        <w:t>The standard care cohort are assumed to be perfectly</w:t>
      </w:r>
      <w:r w:rsidR="00A07828" w:rsidRPr="000B4E2C">
        <w:t xml:space="preserve"> identified as having AKI or no AKI</w:t>
      </w:r>
      <w:r w:rsidRPr="000B4E2C">
        <w:t xml:space="preserve">, based on a combination of serum creatinine levels, other diagnostic workup, and clinical expert opinion, which represents clinical </w:t>
      </w:r>
      <w:r w:rsidRPr="000B4E2C">
        <w:rPr>
          <w:highlight w:val="magenta"/>
        </w:rPr>
        <w:t>practice</w:t>
      </w:r>
      <w:r w:rsidR="00A07828" w:rsidRPr="000B4E2C">
        <w:t xml:space="preserve">. </w:t>
      </w:r>
      <w:r w:rsidRPr="000B4E2C">
        <w:t>The hypothesi</w:t>
      </w:r>
      <w:r w:rsidR="00F751C8" w:rsidRPr="000B4E2C">
        <w:t>s</w:t>
      </w:r>
      <w:r w:rsidRPr="000B4E2C">
        <w:t xml:space="preserve">ed advantage of the </w:t>
      </w:r>
      <w:r w:rsidR="00F751C8" w:rsidRPr="000B4E2C">
        <w:t xml:space="preserve">biomarkers </w:t>
      </w:r>
      <w:r w:rsidRPr="000B4E2C">
        <w:t xml:space="preserve">is that they may help to detect AKI earlier, but will not detect additional cases of AKI </w:t>
      </w:r>
      <w:r w:rsidRPr="000B4E2C">
        <w:rPr>
          <w:highlight w:val="magenta"/>
        </w:rPr>
        <w:t>compared to</w:t>
      </w:r>
      <w:r w:rsidRPr="000B4E2C">
        <w:t xml:space="preserve"> current </w:t>
      </w:r>
      <w:r w:rsidR="00A07828" w:rsidRPr="000B4E2C">
        <w:rPr>
          <w:highlight w:val="magenta"/>
        </w:rPr>
        <w:t>practice</w:t>
      </w:r>
      <w:r w:rsidR="00A07828" w:rsidRPr="000B4E2C">
        <w:t xml:space="preserve">. </w:t>
      </w:r>
      <w:r w:rsidR="000B4E2C" w:rsidRPr="000B4E2C">
        <w:rPr>
          <w:i/>
          <w:color w:val="FF0000"/>
        </w:rPr>
        <w:t>F</w:t>
      </w:r>
      <w:r w:rsidR="000B4E2C" w:rsidRPr="000B4E2C">
        <w:rPr>
          <w:i/>
          <w:color w:val="FF0000"/>
        </w:rPr>
        <w:t>igure</w:t>
      </w:r>
      <w:r w:rsidR="000B4E2C" w:rsidRPr="000B4E2C">
        <w:rPr>
          <w:i/>
          <w:color w:val="FF0000"/>
        </w:rPr>
        <w:t xml:space="preserve"> </w:t>
      </w:r>
      <w:r w:rsidR="000B4E2C" w:rsidRPr="000B4E2C">
        <w:rPr>
          <w:i/>
          <w:color w:val="FF0000"/>
        </w:rPr>
        <w:t>20</w:t>
      </w:r>
      <w:r w:rsidRPr="000B4E2C">
        <w:t xml:space="preserve"> provides an illustration of the initial decision tree pathways for the standard care arm of the model.</w:t>
      </w:r>
    </w:p>
    <w:p w14:paraId="049464C5" w14:textId="3AF1C422" w:rsidR="000B4E2C" w:rsidRPr="000B4E2C" w:rsidRDefault="000B4E2C" w:rsidP="00BB4DF5">
      <w:r w:rsidRPr="000B4E2C">
        <w:rPr>
          <w:i/>
          <w:color w:val="FF0000"/>
        </w:rPr>
        <w:t>F</w:t>
      </w:r>
      <w:r w:rsidRPr="000B4E2C">
        <w:rPr>
          <w:i/>
          <w:color w:val="FF0000"/>
        </w:rPr>
        <w:t>igure</w:t>
      </w:r>
      <w:r w:rsidRPr="000B4E2C">
        <w:rPr>
          <w:i/>
          <w:color w:val="FF0000"/>
        </w:rPr>
        <w:t xml:space="preserve"> </w:t>
      </w:r>
      <w:r w:rsidRPr="000B4E2C">
        <w:rPr>
          <w:i/>
          <w:color w:val="FF0000"/>
        </w:rPr>
        <w:t>20</w:t>
      </w:r>
      <w:r w:rsidRPr="000B4E2C">
        <w:t xml:space="preserve"> </w:t>
      </w:r>
      <w:r w:rsidR="003D5457" w:rsidRPr="000B4E2C">
        <w:t>Simplified decision tree structure up to 90 days for the standard care (Scr) arm of the model</w:t>
      </w:r>
      <w:r w:rsidR="003D5457" w:rsidRPr="000B4E2C">
        <w:rPr>
          <w:rStyle w:val="CommentReference"/>
        </w:rPr>
        <w:t xml:space="preserve"> </w:t>
      </w:r>
      <w:r w:rsidR="00BB4DF5" w:rsidRPr="000B4E2C">
        <w:t>*Note that the AKI 3 pathway in the model is replicated for the proportion of the cohort receiving acute RRT and those not receiving acute RRT</w:t>
      </w:r>
    </w:p>
    <w:p w14:paraId="019620A3" w14:textId="77777777" w:rsidR="000B4E2C" w:rsidRPr="000B4E2C" w:rsidRDefault="002F0133" w:rsidP="008A7464">
      <w:r w:rsidRPr="000B4E2C">
        <w:t xml:space="preserve">The intervention (test) arms of the model are similarly split into AKI and no AKI, according to the same prevalence </w:t>
      </w:r>
      <w:r w:rsidRPr="000B4E2C">
        <w:rPr>
          <w:highlight w:val="magenta"/>
        </w:rPr>
        <w:t>data</w:t>
      </w:r>
      <w:r w:rsidRPr="000B4E2C">
        <w:t>, but a</w:t>
      </w:r>
      <w:r w:rsidR="00A07828" w:rsidRPr="000B4E2C">
        <w:t xml:space="preserve">ll receive additional testing. </w:t>
      </w:r>
      <w:r w:rsidRPr="000B4E2C">
        <w:t>It is assumed that the background diagnostic work-up is similar for all arms of the model (i.e.</w:t>
      </w:r>
      <w:r w:rsidR="00881500" w:rsidRPr="000B4E2C">
        <w:t>,</w:t>
      </w:r>
      <w:r w:rsidRPr="000B4E2C">
        <w:t xml:space="preserve"> all patients will continue to have their serum creatinin</w:t>
      </w:r>
      <w:r w:rsidR="00A07828" w:rsidRPr="000B4E2C">
        <w:t xml:space="preserve">e and urine output monitored). </w:t>
      </w:r>
      <w:r w:rsidRPr="000B4E2C">
        <w:t xml:space="preserve">As the diagnostic accuracy test </w:t>
      </w:r>
      <w:r w:rsidRPr="000B4E2C">
        <w:rPr>
          <w:highlight w:val="magenta"/>
        </w:rPr>
        <w:t>data</w:t>
      </w:r>
      <w:r w:rsidRPr="000B4E2C">
        <w:t xml:space="preserve"> are primarily based on single use of the test, it is assumed in the base case model that each test will be administered once only.</w:t>
      </w:r>
      <w:r w:rsidR="000B4E2C" w:rsidRPr="000B4E2C">
        <w:t xml:space="preserve"> </w:t>
      </w:r>
      <w:r w:rsidRPr="000B4E2C">
        <w:t>It is assumed that the test is administered as soon as possible after the patient has been determined to be at risk of AKI to enable early detection and preventative measu</w:t>
      </w:r>
      <w:r w:rsidR="00A07828" w:rsidRPr="000B4E2C">
        <w:t xml:space="preserve">res to be implemented. </w:t>
      </w:r>
      <w:r w:rsidRPr="000B4E2C">
        <w:t>Sensitivity analysis explores the impact of more frequent multiple use tests on the results.</w:t>
      </w:r>
    </w:p>
    <w:p w14:paraId="502A0DBE" w14:textId="185F10BE" w:rsidR="002F0133" w:rsidRPr="000B4E2C" w:rsidRDefault="002F0133" w:rsidP="003D5457">
      <w:pPr>
        <w:rPr>
          <w:b/>
          <w:color w:val="FF0000"/>
          <w:szCs w:val="24"/>
        </w:rPr>
      </w:pPr>
      <w:r w:rsidRPr="000B4E2C">
        <w:t xml:space="preserve">The diagnostic accuracy of the candidate tests in addition to serum creatinine, </w:t>
      </w:r>
      <w:r w:rsidRPr="000B4E2C">
        <w:rPr>
          <w:highlight w:val="magenta"/>
        </w:rPr>
        <w:t>compared to</w:t>
      </w:r>
      <w:r w:rsidRPr="000B4E2C">
        <w:t xml:space="preserve"> serum creatinine alone was obtained from the results of the systematic review and meta-analysis described in </w:t>
      </w:r>
      <w:r w:rsidR="001B6F61" w:rsidRPr="000B4E2C">
        <w:t>Chapter 3</w:t>
      </w:r>
      <w:r w:rsidR="00A07828" w:rsidRPr="000B4E2C">
        <w:t>.</w:t>
      </w:r>
      <w:r w:rsidRPr="000B4E2C">
        <w:t xml:space="preserve">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15</w:t>
      </w:r>
      <w:r w:rsidR="007959A7" w:rsidRPr="000B4E2C">
        <w:t xml:space="preserve"> </w:t>
      </w:r>
      <w:r w:rsidRPr="000B4E2C">
        <w:t>describes the diagnostic accuracy parameters, namely sensitivity and speci</w:t>
      </w:r>
      <w:r w:rsidR="00A07828" w:rsidRPr="000B4E2C">
        <w:t xml:space="preserve">ficity, used in the modelling. </w:t>
      </w:r>
      <w:r w:rsidRPr="000B4E2C">
        <w:t xml:space="preserve">All diagnostic </w:t>
      </w:r>
      <w:r w:rsidRPr="000B4E2C">
        <w:rPr>
          <w:highlight w:val="magenta"/>
        </w:rPr>
        <w:t>data</w:t>
      </w:r>
      <w:r w:rsidRPr="000B4E2C">
        <w:t xml:space="preserve"> are incorporated probabilistically in the model</w:t>
      </w:r>
      <w:r w:rsidR="00A07828" w:rsidRPr="000B4E2C">
        <w:t xml:space="preserve">, </w:t>
      </w:r>
      <w:r w:rsidRPr="000B4E2C">
        <w:t>accounting for the joint uncertainty in sensitivity and specif</w:t>
      </w:r>
      <w:r w:rsidR="00A07828" w:rsidRPr="000B4E2C">
        <w:t xml:space="preserve">icity for each biomarker test. </w:t>
      </w:r>
      <w:r w:rsidRPr="000B4E2C">
        <w:t>The logit of the sensitivity</w:t>
      </w:r>
      <w:r w:rsidR="000B4E2C" w:rsidRPr="000B4E2C">
        <w:rPr>
          <w:color w:val="00B0F0"/>
        </w:rPr>
        <w:t>/</w:t>
      </w:r>
      <w:r w:rsidRPr="000B4E2C">
        <w:t>specificity for each of the biomarker tests was derived from the meta-analysis of diagnostic accuracy studies. The model specified the correlation between sensitivity and specificity pa</w:t>
      </w:r>
      <w:r w:rsidR="00A07828" w:rsidRPr="000B4E2C">
        <w:t xml:space="preserve">rameters (on the logit scale). </w:t>
      </w:r>
      <w:r w:rsidRPr="000B4E2C">
        <w:t xml:space="preserve">These parameters were converted to Cholesky decomposition matrices, with the decomposed </w:t>
      </w:r>
      <w:r w:rsidRPr="000B4E2C">
        <w:rPr>
          <w:highlight w:val="magenta"/>
        </w:rPr>
        <w:t>data</w:t>
      </w:r>
      <w:r w:rsidRPr="000B4E2C">
        <w:t xml:space="preserve"> referenced by multi-normal distribution</w:t>
      </w:r>
      <w:r w:rsidR="00F751C8" w:rsidRPr="000B4E2C">
        <w:t>s</w:t>
      </w:r>
      <w:r w:rsidRPr="000B4E2C">
        <w:t>, sampling from the mean and standa</w:t>
      </w:r>
      <w:r w:rsidR="00A07828" w:rsidRPr="000B4E2C">
        <w:t xml:space="preserve">rd error (on the logit scale). </w:t>
      </w:r>
      <w:r w:rsidRPr="000B4E2C">
        <w:t xml:space="preserve">The probabilistic draws were back-transformed from the logit scale for application in the model. It should be noted that diagnostic accuracy </w:t>
      </w:r>
      <w:r w:rsidR="00F751C8" w:rsidRPr="000B4E2C">
        <w:rPr>
          <w:highlight w:val="magenta"/>
        </w:rPr>
        <w:t>data</w:t>
      </w:r>
      <w:r w:rsidR="00F751C8" w:rsidRPr="000B4E2C">
        <w:t xml:space="preserve"> </w:t>
      </w:r>
      <w:r w:rsidRPr="000B4E2C">
        <w:t>obtained from the meta-analyses are based on heterogeneous studies with diff</w:t>
      </w:r>
      <w:r w:rsidR="00A07828" w:rsidRPr="000B4E2C">
        <w:t xml:space="preserve">erent thresholds. </w:t>
      </w:r>
      <w:r w:rsidRPr="000B4E2C">
        <w:t xml:space="preserve">This is particularly true for the NGAL assays, and </w:t>
      </w:r>
      <w:r w:rsidRPr="000B4E2C">
        <w:lastRenderedPageBreak/>
        <w:t>therefore the results of the economic model, particularly for comparisons between different NGAL assays sho</w:t>
      </w:r>
      <w:r w:rsidR="00A07828" w:rsidRPr="000B4E2C">
        <w:t>uld be interpreted cautiously</w:t>
      </w:r>
      <w:r w:rsidR="00A07828" w:rsidRPr="000B4E2C">
        <w:rPr>
          <w:highlight w:val="magenta"/>
        </w:rPr>
        <w:t xml:space="preserve">. </w:t>
      </w:r>
      <w:r w:rsidRPr="000B4E2C">
        <w:rPr>
          <w:highlight w:val="magenta"/>
        </w:rPr>
        <w:t>Further</w:t>
      </w:r>
      <w:r w:rsidRPr="000B4E2C">
        <w:t xml:space="preserve"> details have been provided in Chapter 3.</w:t>
      </w:r>
    </w:p>
    <w:p w14:paraId="785E0BA2" w14:textId="5AAF8F38" w:rsidR="002F0133" w:rsidRPr="000B4E2C" w:rsidRDefault="000B4E2C" w:rsidP="008A7464">
      <w:pPr>
        <w:spacing w:after="160" w:line="259" w:lineRule="auto"/>
        <w:rPr>
          <w:b/>
          <w:color w:val="FF0000"/>
          <w:szCs w:val="24"/>
        </w:rPr>
      </w:pPr>
      <w:r w:rsidRPr="000B4E2C">
        <w:rPr>
          <w:b/>
          <w:color w:val="FF0000"/>
          <w:szCs w:val="24"/>
        </w:rPr>
        <w:t xml:space="preserve">  </w:t>
      </w:r>
    </w:p>
    <w:p w14:paraId="4AF14F58" w14:textId="1C764340" w:rsidR="002F0133" w:rsidRPr="000B4E2C" w:rsidRDefault="000B4E2C" w:rsidP="008A7464">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15</w:t>
      </w:r>
      <w:r w:rsidRPr="000B4E2C">
        <w:t xml:space="preserve"> </w:t>
      </w:r>
      <w:r w:rsidR="002F0133" w:rsidRPr="000B4E2C">
        <w:t xml:space="preserve">Sensitivity and specificity </w:t>
      </w:r>
      <w:r w:rsidR="002F0133" w:rsidRPr="000B4E2C">
        <w:rPr>
          <w:highlight w:val="magenta"/>
        </w:rPr>
        <w:t>data</w:t>
      </w:r>
      <w:r w:rsidR="002F0133" w:rsidRPr="000B4E2C">
        <w:t xml:space="preserve"> used in the model.</w:t>
      </w:r>
    </w:p>
    <w:tbl>
      <w:tblPr>
        <w:tblStyle w:val="TableGrid"/>
        <w:tblW w:w="0" w:type="auto"/>
        <w:tblInd w:w="-7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842"/>
        <w:gridCol w:w="1031"/>
        <w:gridCol w:w="832"/>
        <w:gridCol w:w="1027"/>
        <w:gridCol w:w="1488"/>
        <w:gridCol w:w="2210"/>
        <w:gridCol w:w="1335"/>
      </w:tblGrid>
      <w:tr w:rsidR="002F0133" w:rsidRPr="000B4E2C" w14:paraId="2976AA22" w14:textId="77777777" w:rsidTr="000B4E2C">
        <w:trPr>
          <w:cantSplit/>
        </w:trPr>
        <w:tc>
          <w:tcPr>
            <w:tcW w:w="0" w:type="auto"/>
            <w:shd w:val="clear" w:color="auto" w:fill="auto"/>
            <w:vAlign w:val="center"/>
          </w:tcPr>
          <w:p w14:paraId="267DC8CC" w14:textId="77777777" w:rsidR="002F0133" w:rsidRPr="000B4E2C" w:rsidRDefault="002F0133" w:rsidP="008A7464">
            <w:pPr>
              <w:autoSpaceDE w:val="0"/>
              <w:autoSpaceDN w:val="0"/>
              <w:adjustRightInd w:val="0"/>
              <w:rPr>
                <w:b/>
                <w:color w:val="000000" w:themeColor="text1"/>
              </w:rPr>
            </w:pPr>
            <w:r w:rsidRPr="000B4E2C">
              <w:rPr>
                <w:b/>
                <w:color w:val="000000" w:themeColor="text1"/>
              </w:rPr>
              <w:t>Test</w:t>
            </w:r>
          </w:p>
        </w:tc>
        <w:tc>
          <w:tcPr>
            <w:tcW w:w="0" w:type="auto"/>
            <w:shd w:val="clear" w:color="auto" w:fill="auto"/>
            <w:vAlign w:val="center"/>
          </w:tcPr>
          <w:p w14:paraId="428D0E2E" w14:textId="77777777" w:rsidR="002F0133" w:rsidRPr="000B4E2C" w:rsidRDefault="002F0133" w:rsidP="008A7464">
            <w:pPr>
              <w:autoSpaceDE w:val="0"/>
              <w:autoSpaceDN w:val="0"/>
              <w:adjustRightInd w:val="0"/>
              <w:rPr>
                <w:b/>
                <w:color w:val="000000" w:themeColor="text1"/>
              </w:rPr>
            </w:pPr>
            <w:r w:rsidRPr="000B4E2C">
              <w:rPr>
                <w:b/>
                <w:color w:val="000000" w:themeColor="text1"/>
              </w:rPr>
              <w:t>Parameter</w:t>
            </w:r>
          </w:p>
        </w:tc>
        <w:tc>
          <w:tcPr>
            <w:tcW w:w="0" w:type="auto"/>
            <w:shd w:val="clear" w:color="auto" w:fill="auto"/>
            <w:vAlign w:val="center"/>
          </w:tcPr>
          <w:p w14:paraId="391C41E8" w14:textId="77777777" w:rsidR="000B4E2C" w:rsidRPr="000B4E2C" w:rsidRDefault="002F0133" w:rsidP="008A7464">
            <w:pPr>
              <w:autoSpaceDE w:val="0"/>
              <w:autoSpaceDN w:val="0"/>
              <w:adjustRightInd w:val="0"/>
              <w:rPr>
                <w:b/>
                <w:color w:val="000000" w:themeColor="text1"/>
              </w:rPr>
            </w:pPr>
            <w:r w:rsidRPr="000B4E2C">
              <w:rPr>
                <w:b/>
                <w:color w:val="000000" w:themeColor="text1"/>
              </w:rPr>
              <w:t>Mean value</w:t>
            </w:r>
          </w:p>
          <w:p w14:paraId="3472C416" w14:textId="157809CA" w:rsidR="002F0133" w:rsidRPr="000B4E2C" w:rsidRDefault="002F0133" w:rsidP="008A7464">
            <w:pPr>
              <w:autoSpaceDE w:val="0"/>
              <w:autoSpaceDN w:val="0"/>
              <w:adjustRightInd w:val="0"/>
              <w:rPr>
                <w:b/>
                <w:color w:val="000000" w:themeColor="text1"/>
              </w:rPr>
            </w:pPr>
            <w:r w:rsidRPr="000B4E2C">
              <w:rPr>
                <w:b/>
                <w:color w:val="000000" w:themeColor="text1"/>
              </w:rPr>
              <w:t>(95% CI)</w:t>
            </w:r>
          </w:p>
        </w:tc>
        <w:tc>
          <w:tcPr>
            <w:tcW w:w="0" w:type="auto"/>
            <w:shd w:val="clear" w:color="auto" w:fill="auto"/>
            <w:vAlign w:val="center"/>
          </w:tcPr>
          <w:p w14:paraId="31D957BC" w14:textId="77777777" w:rsidR="002F0133" w:rsidRPr="000B4E2C" w:rsidRDefault="002F0133" w:rsidP="008A7464">
            <w:pPr>
              <w:autoSpaceDE w:val="0"/>
              <w:autoSpaceDN w:val="0"/>
              <w:adjustRightInd w:val="0"/>
              <w:rPr>
                <w:b/>
                <w:color w:val="000000" w:themeColor="text1"/>
              </w:rPr>
            </w:pPr>
            <w:r w:rsidRPr="000B4E2C">
              <w:rPr>
                <w:b/>
                <w:color w:val="000000" w:themeColor="text1"/>
              </w:rPr>
              <w:t>Mean (logit scale)</w:t>
            </w:r>
          </w:p>
        </w:tc>
        <w:tc>
          <w:tcPr>
            <w:tcW w:w="0" w:type="auto"/>
            <w:shd w:val="clear" w:color="auto" w:fill="auto"/>
            <w:vAlign w:val="center"/>
          </w:tcPr>
          <w:p w14:paraId="7A0795AB" w14:textId="77777777" w:rsidR="002F0133" w:rsidRPr="000B4E2C" w:rsidRDefault="002F0133" w:rsidP="008A7464">
            <w:pPr>
              <w:autoSpaceDE w:val="0"/>
              <w:autoSpaceDN w:val="0"/>
              <w:adjustRightInd w:val="0"/>
              <w:rPr>
                <w:b/>
                <w:color w:val="000000" w:themeColor="text1"/>
              </w:rPr>
            </w:pPr>
            <w:r w:rsidRPr="000B4E2C">
              <w:rPr>
                <w:b/>
                <w:color w:val="000000" w:themeColor="text1"/>
              </w:rPr>
              <w:t>Standard error (logit scale)</w:t>
            </w:r>
          </w:p>
        </w:tc>
        <w:tc>
          <w:tcPr>
            <w:tcW w:w="0" w:type="auto"/>
            <w:shd w:val="clear" w:color="auto" w:fill="auto"/>
            <w:vAlign w:val="center"/>
          </w:tcPr>
          <w:p w14:paraId="1005C12D" w14:textId="77777777" w:rsidR="002F0133" w:rsidRPr="000B4E2C" w:rsidRDefault="002F0133" w:rsidP="008A7464">
            <w:pPr>
              <w:autoSpaceDE w:val="0"/>
              <w:autoSpaceDN w:val="0"/>
              <w:adjustRightInd w:val="0"/>
              <w:rPr>
                <w:b/>
                <w:color w:val="000000" w:themeColor="text1"/>
              </w:rPr>
            </w:pPr>
            <w:r w:rsidRPr="000B4E2C">
              <w:rPr>
                <w:b/>
                <w:color w:val="000000" w:themeColor="text1"/>
              </w:rPr>
              <w:t>Correlation for MVN distribution (logit scale)</w:t>
            </w:r>
          </w:p>
        </w:tc>
        <w:tc>
          <w:tcPr>
            <w:tcW w:w="0" w:type="auto"/>
            <w:shd w:val="clear" w:color="auto" w:fill="auto"/>
            <w:vAlign w:val="center"/>
          </w:tcPr>
          <w:p w14:paraId="47D09F28" w14:textId="77777777" w:rsidR="002F0133" w:rsidRPr="000B4E2C" w:rsidRDefault="002F0133" w:rsidP="008A7464">
            <w:pPr>
              <w:autoSpaceDE w:val="0"/>
              <w:autoSpaceDN w:val="0"/>
              <w:adjustRightInd w:val="0"/>
              <w:rPr>
                <w:b/>
                <w:color w:val="000000" w:themeColor="text1"/>
              </w:rPr>
            </w:pPr>
            <w:r w:rsidRPr="000B4E2C">
              <w:rPr>
                <w:b/>
                <w:color w:val="000000" w:themeColor="text1"/>
              </w:rPr>
              <w:t>Source</w:t>
            </w:r>
          </w:p>
        </w:tc>
      </w:tr>
      <w:tr w:rsidR="002F0133" w:rsidRPr="000B4E2C" w14:paraId="4CC1F3B8" w14:textId="77777777" w:rsidTr="000B4E2C">
        <w:trPr>
          <w:cantSplit/>
        </w:trPr>
        <w:tc>
          <w:tcPr>
            <w:tcW w:w="0" w:type="auto"/>
            <w:vMerge w:val="restart"/>
            <w:shd w:val="clear" w:color="auto" w:fill="auto"/>
            <w:vAlign w:val="center"/>
          </w:tcPr>
          <w:p w14:paraId="4869A3B5" w14:textId="77777777" w:rsidR="002F0133" w:rsidRPr="000B4E2C" w:rsidRDefault="002F0133" w:rsidP="008A7464">
            <w:pPr>
              <w:autoSpaceDE w:val="0"/>
              <w:autoSpaceDN w:val="0"/>
              <w:adjustRightInd w:val="0"/>
              <w:rPr>
                <w:color w:val="000000" w:themeColor="text1"/>
              </w:rPr>
            </w:pPr>
            <w:r w:rsidRPr="000B4E2C">
              <w:rPr>
                <w:color w:val="000000" w:themeColor="text1"/>
              </w:rPr>
              <w:t>Nephro-check</w:t>
            </w:r>
          </w:p>
        </w:tc>
        <w:tc>
          <w:tcPr>
            <w:tcW w:w="0" w:type="auto"/>
            <w:shd w:val="clear" w:color="auto" w:fill="auto"/>
            <w:vAlign w:val="center"/>
          </w:tcPr>
          <w:p w14:paraId="17BA29ED" w14:textId="77777777" w:rsidR="002F0133" w:rsidRPr="000B4E2C" w:rsidRDefault="002F0133" w:rsidP="008A7464">
            <w:pPr>
              <w:autoSpaceDE w:val="0"/>
              <w:autoSpaceDN w:val="0"/>
              <w:adjustRightInd w:val="0"/>
              <w:rPr>
                <w:color w:val="000000" w:themeColor="text1"/>
              </w:rPr>
            </w:pPr>
            <w:r w:rsidRPr="000B4E2C">
              <w:rPr>
                <w:color w:val="000000" w:themeColor="text1"/>
              </w:rPr>
              <w:t>Sensitivity</w:t>
            </w:r>
          </w:p>
        </w:tc>
        <w:tc>
          <w:tcPr>
            <w:tcW w:w="0" w:type="auto"/>
            <w:shd w:val="clear" w:color="auto" w:fill="auto"/>
            <w:vAlign w:val="center"/>
          </w:tcPr>
          <w:p w14:paraId="5BE73466" w14:textId="77777777" w:rsidR="002F0133" w:rsidRPr="000B4E2C" w:rsidRDefault="002F0133" w:rsidP="008A7464">
            <w:pPr>
              <w:autoSpaceDE w:val="0"/>
              <w:autoSpaceDN w:val="0"/>
              <w:adjustRightInd w:val="0"/>
              <w:rPr>
                <w:color w:val="000000" w:themeColor="text1"/>
              </w:rPr>
            </w:pPr>
            <w:r w:rsidRPr="000B4E2C">
              <w:rPr>
                <w:color w:val="000000" w:themeColor="text1"/>
              </w:rPr>
              <w:t>0.75</w:t>
            </w:r>
          </w:p>
          <w:p w14:paraId="4FD21BF3" w14:textId="77777777" w:rsidR="002F0133" w:rsidRPr="000B4E2C" w:rsidRDefault="002F0133" w:rsidP="008A7464">
            <w:pPr>
              <w:autoSpaceDE w:val="0"/>
              <w:autoSpaceDN w:val="0"/>
              <w:adjustRightInd w:val="0"/>
              <w:rPr>
                <w:color w:val="000000" w:themeColor="text1"/>
              </w:rPr>
            </w:pPr>
            <w:r w:rsidRPr="000B4E2C">
              <w:rPr>
                <w:color w:val="000000" w:themeColor="text1"/>
              </w:rPr>
              <w:t>(0.58 to 0.87)</w:t>
            </w:r>
          </w:p>
        </w:tc>
        <w:tc>
          <w:tcPr>
            <w:tcW w:w="0" w:type="auto"/>
            <w:shd w:val="clear" w:color="auto" w:fill="auto"/>
            <w:vAlign w:val="center"/>
          </w:tcPr>
          <w:p w14:paraId="4A870C86" w14:textId="77777777" w:rsidR="002F0133" w:rsidRPr="000B4E2C" w:rsidRDefault="002F0133" w:rsidP="008A7464">
            <w:pPr>
              <w:autoSpaceDE w:val="0"/>
              <w:autoSpaceDN w:val="0"/>
              <w:adjustRightInd w:val="0"/>
              <w:rPr>
                <w:color w:val="000000" w:themeColor="text1"/>
              </w:rPr>
            </w:pPr>
            <w:r w:rsidRPr="000B4E2C">
              <w:rPr>
                <w:color w:val="000000" w:themeColor="text1"/>
              </w:rPr>
              <w:t>1.1178</w:t>
            </w:r>
          </w:p>
        </w:tc>
        <w:tc>
          <w:tcPr>
            <w:tcW w:w="0" w:type="auto"/>
            <w:shd w:val="clear" w:color="auto" w:fill="auto"/>
            <w:vAlign w:val="center"/>
          </w:tcPr>
          <w:p w14:paraId="39F842F4" w14:textId="77777777" w:rsidR="002F0133" w:rsidRPr="000B4E2C" w:rsidRDefault="002F0133" w:rsidP="008A7464">
            <w:pPr>
              <w:autoSpaceDE w:val="0"/>
              <w:autoSpaceDN w:val="0"/>
              <w:adjustRightInd w:val="0"/>
              <w:rPr>
                <w:color w:val="000000" w:themeColor="text1"/>
              </w:rPr>
            </w:pPr>
            <w:r w:rsidRPr="000B4E2C">
              <w:rPr>
                <w:color w:val="000000" w:themeColor="text1"/>
              </w:rPr>
              <w:t>0.3967</w:t>
            </w:r>
          </w:p>
        </w:tc>
        <w:tc>
          <w:tcPr>
            <w:tcW w:w="0" w:type="auto"/>
            <w:vMerge w:val="restart"/>
            <w:shd w:val="clear" w:color="auto" w:fill="auto"/>
            <w:vAlign w:val="center"/>
          </w:tcPr>
          <w:p w14:paraId="042D4F0E" w14:textId="3CAD9A2D" w:rsidR="002F0133" w:rsidRPr="000B4E2C" w:rsidRDefault="000B4E2C" w:rsidP="008A7464">
            <w:pPr>
              <w:autoSpaceDE w:val="0"/>
              <w:autoSpaceDN w:val="0"/>
              <w:adjustRightInd w:val="0"/>
              <w:rPr>
                <w:color w:val="000000" w:themeColor="text1"/>
              </w:rPr>
            </w:pPr>
            <w:r w:rsidRPr="000B4E2C">
              <w:rPr>
                <w:color w:val="00B0F0"/>
              </w:rPr>
              <w:t>–</w:t>
            </w:r>
            <w:r w:rsidRPr="000B4E2C">
              <w:rPr>
                <w:color w:val="00B0F0"/>
              </w:rPr>
              <w:t>0</w:t>
            </w:r>
            <w:r w:rsidR="002F0133" w:rsidRPr="000B4E2C">
              <w:rPr>
                <w:color w:val="000000" w:themeColor="text1"/>
              </w:rPr>
              <w:t>.824</w:t>
            </w:r>
          </w:p>
        </w:tc>
        <w:tc>
          <w:tcPr>
            <w:tcW w:w="0" w:type="auto"/>
            <w:vMerge w:val="restart"/>
            <w:shd w:val="clear" w:color="auto" w:fill="auto"/>
            <w:vAlign w:val="center"/>
          </w:tcPr>
          <w:p w14:paraId="593E7957" w14:textId="35CD96C7" w:rsidR="002F0133" w:rsidRPr="000B4E2C" w:rsidRDefault="002F0133" w:rsidP="008A7464">
            <w:pPr>
              <w:autoSpaceDE w:val="0"/>
              <w:autoSpaceDN w:val="0"/>
              <w:adjustRightInd w:val="0"/>
              <w:rPr>
                <w:color w:val="000000" w:themeColor="text1"/>
              </w:rPr>
            </w:pPr>
            <w:r w:rsidRPr="000B4E2C">
              <w:rPr>
                <w:color w:val="000000" w:themeColor="text1"/>
              </w:rPr>
              <w:t>Meta-analysis (</w:t>
            </w:r>
            <w:r w:rsidR="001B6F61" w:rsidRPr="000B4E2C">
              <w:rPr>
                <w:color w:val="000000" w:themeColor="text1"/>
              </w:rPr>
              <w:t>Chapter 3</w:t>
            </w:r>
            <w:r w:rsidRPr="000B4E2C">
              <w:rPr>
                <w:color w:val="000000" w:themeColor="text1"/>
              </w:rPr>
              <w:t>)</w:t>
            </w:r>
          </w:p>
        </w:tc>
      </w:tr>
      <w:tr w:rsidR="002F0133" w:rsidRPr="000B4E2C" w14:paraId="42357164" w14:textId="77777777" w:rsidTr="000B4E2C">
        <w:trPr>
          <w:cantSplit/>
        </w:trPr>
        <w:tc>
          <w:tcPr>
            <w:tcW w:w="0" w:type="auto"/>
            <w:vMerge/>
            <w:shd w:val="clear" w:color="auto" w:fill="auto"/>
            <w:vAlign w:val="center"/>
          </w:tcPr>
          <w:p w14:paraId="47AFB003" w14:textId="77777777" w:rsidR="002F0133" w:rsidRPr="000B4E2C" w:rsidRDefault="002F0133" w:rsidP="008A7464">
            <w:pPr>
              <w:autoSpaceDE w:val="0"/>
              <w:autoSpaceDN w:val="0"/>
              <w:adjustRightInd w:val="0"/>
              <w:rPr>
                <w:color w:val="000000" w:themeColor="text1"/>
              </w:rPr>
            </w:pPr>
          </w:p>
        </w:tc>
        <w:tc>
          <w:tcPr>
            <w:tcW w:w="0" w:type="auto"/>
            <w:shd w:val="clear" w:color="auto" w:fill="auto"/>
            <w:vAlign w:val="center"/>
          </w:tcPr>
          <w:p w14:paraId="3A003895" w14:textId="77777777" w:rsidR="002F0133" w:rsidRPr="000B4E2C" w:rsidRDefault="002F0133" w:rsidP="008A7464">
            <w:pPr>
              <w:autoSpaceDE w:val="0"/>
              <w:autoSpaceDN w:val="0"/>
              <w:adjustRightInd w:val="0"/>
              <w:rPr>
                <w:color w:val="000000" w:themeColor="text1"/>
              </w:rPr>
            </w:pPr>
            <w:r w:rsidRPr="000B4E2C">
              <w:rPr>
                <w:color w:val="000000" w:themeColor="text1"/>
              </w:rPr>
              <w:t>Specificity</w:t>
            </w:r>
          </w:p>
        </w:tc>
        <w:tc>
          <w:tcPr>
            <w:tcW w:w="0" w:type="auto"/>
            <w:shd w:val="clear" w:color="auto" w:fill="auto"/>
            <w:vAlign w:val="center"/>
          </w:tcPr>
          <w:p w14:paraId="35878FA2" w14:textId="77777777" w:rsidR="002F0133" w:rsidRPr="000B4E2C" w:rsidRDefault="002F0133" w:rsidP="008A7464">
            <w:pPr>
              <w:autoSpaceDE w:val="0"/>
              <w:autoSpaceDN w:val="0"/>
              <w:adjustRightInd w:val="0"/>
              <w:rPr>
                <w:color w:val="000000" w:themeColor="text1"/>
              </w:rPr>
            </w:pPr>
            <w:r w:rsidRPr="000B4E2C">
              <w:rPr>
                <w:color w:val="000000" w:themeColor="text1"/>
              </w:rPr>
              <w:t>0.61</w:t>
            </w:r>
          </w:p>
          <w:p w14:paraId="2C9E1C16" w14:textId="77777777" w:rsidR="002F0133" w:rsidRPr="000B4E2C" w:rsidRDefault="002F0133" w:rsidP="008A7464">
            <w:pPr>
              <w:autoSpaceDE w:val="0"/>
              <w:autoSpaceDN w:val="0"/>
              <w:adjustRightInd w:val="0"/>
              <w:rPr>
                <w:color w:val="000000" w:themeColor="text1"/>
              </w:rPr>
            </w:pPr>
            <w:r w:rsidRPr="000B4E2C">
              <w:rPr>
                <w:color w:val="000000" w:themeColor="text1"/>
              </w:rPr>
              <w:t>(0.49 to 0.72)</w:t>
            </w:r>
          </w:p>
        </w:tc>
        <w:tc>
          <w:tcPr>
            <w:tcW w:w="0" w:type="auto"/>
            <w:shd w:val="clear" w:color="auto" w:fill="auto"/>
            <w:vAlign w:val="center"/>
          </w:tcPr>
          <w:p w14:paraId="48A8307D" w14:textId="77777777" w:rsidR="002F0133" w:rsidRPr="000B4E2C" w:rsidRDefault="002F0133" w:rsidP="008A7464">
            <w:pPr>
              <w:autoSpaceDE w:val="0"/>
              <w:autoSpaceDN w:val="0"/>
              <w:adjustRightInd w:val="0"/>
              <w:rPr>
                <w:color w:val="000000" w:themeColor="text1"/>
              </w:rPr>
            </w:pPr>
            <w:r w:rsidRPr="000B4E2C">
              <w:rPr>
                <w:color w:val="000000" w:themeColor="text1"/>
              </w:rPr>
              <w:t>0.4573</w:t>
            </w:r>
          </w:p>
        </w:tc>
        <w:tc>
          <w:tcPr>
            <w:tcW w:w="0" w:type="auto"/>
            <w:shd w:val="clear" w:color="auto" w:fill="auto"/>
            <w:vAlign w:val="center"/>
          </w:tcPr>
          <w:p w14:paraId="77590399" w14:textId="77777777" w:rsidR="002F0133" w:rsidRPr="000B4E2C" w:rsidRDefault="002F0133" w:rsidP="008A7464">
            <w:pPr>
              <w:autoSpaceDE w:val="0"/>
              <w:autoSpaceDN w:val="0"/>
              <w:adjustRightInd w:val="0"/>
              <w:rPr>
                <w:color w:val="000000" w:themeColor="text1"/>
              </w:rPr>
            </w:pPr>
            <w:r w:rsidRPr="000B4E2C">
              <w:rPr>
                <w:color w:val="000000" w:themeColor="text1"/>
              </w:rPr>
              <w:t>0.2567</w:t>
            </w:r>
          </w:p>
        </w:tc>
        <w:tc>
          <w:tcPr>
            <w:tcW w:w="0" w:type="auto"/>
            <w:vMerge/>
            <w:shd w:val="clear" w:color="auto" w:fill="auto"/>
            <w:vAlign w:val="center"/>
          </w:tcPr>
          <w:p w14:paraId="2CEBFCC5" w14:textId="77777777" w:rsidR="002F0133" w:rsidRPr="000B4E2C" w:rsidRDefault="002F0133" w:rsidP="008A7464">
            <w:pPr>
              <w:autoSpaceDE w:val="0"/>
              <w:autoSpaceDN w:val="0"/>
              <w:adjustRightInd w:val="0"/>
              <w:rPr>
                <w:color w:val="000000" w:themeColor="text1"/>
              </w:rPr>
            </w:pPr>
          </w:p>
        </w:tc>
        <w:tc>
          <w:tcPr>
            <w:tcW w:w="0" w:type="auto"/>
            <w:vMerge/>
            <w:shd w:val="clear" w:color="auto" w:fill="auto"/>
            <w:vAlign w:val="center"/>
          </w:tcPr>
          <w:p w14:paraId="744CD287" w14:textId="77777777" w:rsidR="002F0133" w:rsidRPr="000B4E2C" w:rsidRDefault="002F0133" w:rsidP="008A7464">
            <w:pPr>
              <w:autoSpaceDE w:val="0"/>
              <w:autoSpaceDN w:val="0"/>
              <w:adjustRightInd w:val="0"/>
              <w:rPr>
                <w:color w:val="000000" w:themeColor="text1"/>
              </w:rPr>
            </w:pPr>
          </w:p>
        </w:tc>
      </w:tr>
      <w:tr w:rsidR="002F0133" w:rsidRPr="000B4E2C" w14:paraId="2C0A3500" w14:textId="77777777" w:rsidTr="000B4E2C">
        <w:trPr>
          <w:cantSplit/>
        </w:trPr>
        <w:tc>
          <w:tcPr>
            <w:tcW w:w="0" w:type="auto"/>
            <w:vMerge w:val="restart"/>
            <w:shd w:val="clear" w:color="auto" w:fill="auto"/>
            <w:vAlign w:val="center"/>
          </w:tcPr>
          <w:p w14:paraId="174BD5FC" w14:textId="206B8FBA" w:rsidR="002F0133" w:rsidRPr="000B4E2C" w:rsidRDefault="002F0133" w:rsidP="008A7464">
            <w:pPr>
              <w:autoSpaceDE w:val="0"/>
              <w:autoSpaceDN w:val="0"/>
              <w:adjustRightInd w:val="0"/>
              <w:rPr>
                <w:color w:val="000000" w:themeColor="text1"/>
              </w:rPr>
            </w:pPr>
            <w:r w:rsidRPr="000B4E2C">
              <w:rPr>
                <w:color w:val="000000" w:themeColor="text1"/>
              </w:rPr>
              <w:t>NGAL plasma (</w:t>
            </w:r>
            <w:r w:rsidR="009D7F5A" w:rsidRPr="000B4E2C">
              <w:rPr>
                <w:color w:val="000000" w:themeColor="text1"/>
              </w:rPr>
              <w:t>BioPorto</w:t>
            </w:r>
            <w:r w:rsidRPr="000B4E2C">
              <w:rPr>
                <w:color w:val="000000" w:themeColor="text1"/>
              </w:rPr>
              <w:t>)</w:t>
            </w:r>
          </w:p>
        </w:tc>
        <w:tc>
          <w:tcPr>
            <w:tcW w:w="0" w:type="auto"/>
            <w:shd w:val="clear" w:color="auto" w:fill="auto"/>
            <w:vAlign w:val="center"/>
          </w:tcPr>
          <w:p w14:paraId="535CD10E" w14:textId="77777777" w:rsidR="002F0133" w:rsidRPr="000B4E2C" w:rsidRDefault="002F0133" w:rsidP="008A7464">
            <w:pPr>
              <w:autoSpaceDE w:val="0"/>
              <w:autoSpaceDN w:val="0"/>
              <w:adjustRightInd w:val="0"/>
              <w:rPr>
                <w:color w:val="000000" w:themeColor="text1"/>
              </w:rPr>
            </w:pPr>
            <w:r w:rsidRPr="000B4E2C">
              <w:rPr>
                <w:color w:val="000000" w:themeColor="text1"/>
              </w:rPr>
              <w:t>Sensitivity</w:t>
            </w:r>
          </w:p>
        </w:tc>
        <w:tc>
          <w:tcPr>
            <w:tcW w:w="0" w:type="auto"/>
            <w:shd w:val="clear" w:color="auto" w:fill="auto"/>
            <w:vAlign w:val="center"/>
          </w:tcPr>
          <w:p w14:paraId="2ACCDBE1" w14:textId="77777777" w:rsidR="002F0133" w:rsidRPr="000B4E2C" w:rsidRDefault="002F0133" w:rsidP="008A7464">
            <w:pPr>
              <w:autoSpaceDE w:val="0"/>
              <w:autoSpaceDN w:val="0"/>
              <w:adjustRightInd w:val="0"/>
              <w:rPr>
                <w:color w:val="000000" w:themeColor="text1"/>
              </w:rPr>
            </w:pPr>
            <w:r w:rsidRPr="000B4E2C">
              <w:rPr>
                <w:color w:val="000000" w:themeColor="text1"/>
              </w:rPr>
              <w:t>0.76</w:t>
            </w:r>
          </w:p>
          <w:p w14:paraId="101C1FC2" w14:textId="77777777" w:rsidR="002F0133" w:rsidRPr="000B4E2C" w:rsidRDefault="002F0133" w:rsidP="008A7464">
            <w:pPr>
              <w:autoSpaceDE w:val="0"/>
              <w:autoSpaceDN w:val="0"/>
              <w:adjustRightInd w:val="0"/>
              <w:rPr>
                <w:color w:val="000000" w:themeColor="text1"/>
              </w:rPr>
            </w:pPr>
            <w:r w:rsidRPr="000B4E2C">
              <w:rPr>
                <w:color w:val="000000" w:themeColor="text1"/>
              </w:rPr>
              <w:t>(0.56 to 0.89)</w:t>
            </w:r>
          </w:p>
        </w:tc>
        <w:tc>
          <w:tcPr>
            <w:tcW w:w="0" w:type="auto"/>
            <w:shd w:val="clear" w:color="auto" w:fill="auto"/>
            <w:vAlign w:val="center"/>
          </w:tcPr>
          <w:p w14:paraId="21FB00DD" w14:textId="77777777" w:rsidR="002F0133" w:rsidRPr="000B4E2C" w:rsidRDefault="002F0133" w:rsidP="008A7464">
            <w:pPr>
              <w:autoSpaceDE w:val="0"/>
              <w:autoSpaceDN w:val="0"/>
              <w:adjustRightInd w:val="0"/>
              <w:rPr>
                <w:color w:val="000000" w:themeColor="text1"/>
              </w:rPr>
            </w:pPr>
            <w:r w:rsidRPr="000B4E2C">
              <w:rPr>
                <w:color w:val="000000" w:themeColor="text1"/>
              </w:rPr>
              <w:t>1.1563</w:t>
            </w:r>
          </w:p>
        </w:tc>
        <w:tc>
          <w:tcPr>
            <w:tcW w:w="0" w:type="auto"/>
            <w:shd w:val="clear" w:color="auto" w:fill="auto"/>
            <w:vAlign w:val="center"/>
          </w:tcPr>
          <w:p w14:paraId="355CD848" w14:textId="77777777" w:rsidR="002F0133" w:rsidRPr="000B4E2C" w:rsidRDefault="002F0133" w:rsidP="008A7464">
            <w:pPr>
              <w:autoSpaceDE w:val="0"/>
              <w:autoSpaceDN w:val="0"/>
              <w:adjustRightInd w:val="0"/>
              <w:rPr>
                <w:color w:val="000000" w:themeColor="text1"/>
              </w:rPr>
            </w:pPr>
            <w:r w:rsidRPr="000B4E2C">
              <w:rPr>
                <w:color w:val="000000" w:themeColor="text1"/>
              </w:rPr>
              <w:t>0.4615</w:t>
            </w:r>
          </w:p>
        </w:tc>
        <w:tc>
          <w:tcPr>
            <w:tcW w:w="0" w:type="auto"/>
            <w:vMerge w:val="restart"/>
            <w:shd w:val="clear" w:color="auto" w:fill="auto"/>
            <w:vAlign w:val="center"/>
          </w:tcPr>
          <w:p w14:paraId="45E20C43" w14:textId="7BDCB130" w:rsidR="002F0133" w:rsidRPr="000B4E2C" w:rsidRDefault="000B4E2C" w:rsidP="008A7464">
            <w:pPr>
              <w:autoSpaceDE w:val="0"/>
              <w:autoSpaceDN w:val="0"/>
              <w:adjustRightInd w:val="0"/>
              <w:rPr>
                <w:color w:val="000000" w:themeColor="text1"/>
              </w:rPr>
            </w:pPr>
            <w:r w:rsidRPr="000B4E2C">
              <w:rPr>
                <w:color w:val="00B0F0"/>
              </w:rPr>
              <w:t>–</w:t>
            </w:r>
            <w:r w:rsidRPr="000B4E2C">
              <w:rPr>
                <w:color w:val="00B0F0"/>
              </w:rPr>
              <w:t>1</w:t>
            </w:r>
            <w:r w:rsidR="002F0133" w:rsidRPr="000B4E2C">
              <w:rPr>
                <w:color w:val="000000" w:themeColor="text1"/>
              </w:rPr>
              <w:t>.000</w:t>
            </w:r>
          </w:p>
        </w:tc>
        <w:tc>
          <w:tcPr>
            <w:tcW w:w="0" w:type="auto"/>
            <w:vMerge w:val="restart"/>
            <w:shd w:val="clear" w:color="auto" w:fill="auto"/>
            <w:vAlign w:val="center"/>
          </w:tcPr>
          <w:p w14:paraId="0B85EE0E" w14:textId="4224A020" w:rsidR="002F0133" w:rsidRPr="000B4E2C" w:rsidRDefault="001B6F61" w:rsidP="008A7464">
            <w:pPr>
              <w:autoSpaceDE w:val="0"/>
              <w:autoSpaceDN w:val="0"/>
              <w:adjustRightInd w:val="0"/>
              <w:rPr>
                <w:color w:val="000000" w:themeColor="text1"/>
              </w:rPr>
            </w:pPr>
            <w:r w:rsidRPr="000B4E2C">
              <w:rPr>
                <w:color w:val="000000" w:themeColor="text1"/>
              </w:rPr>
              <w:t>Meta-analysis (Chapter 3)</w:t>
            </w:r>
          </w:p>
        </w:tc>
      </w:tr>
      <w:tr w:rsidR="002F0133" w:rsidRPr="000B4E2C" w14:paraId="1375DD38" w14:textId="77777777" w:rsidTr="000B4E2C">
        <w:trPr>
          <w:cantSplit/>
        </w:trPr>
        <w:tc>
          <w:tcPr>
            <w:tcW w:w="0" w:type="auto"/>
            <w:vMerge/>
            <w:shd w:val="clear" w:color="auto" w:fill="auto"/>
            <w:vAlign w:val="center"/>
          </w:tcPr>
          <w:p w14:paraId="1EA01765" w14:textId="77777777" w:rsidR="002F0133" w:rsidRPr="000B4E2C" w:rsidRDefault="002F0133" w:rsidP="008A7464">
            <w:pPr>
              <w:autoSpaceDE w:val="0"/>
              <w:autoSpaceDN w:val="0"/>
              <w:adjustRightInd w:val="0"/>
              <w:rPr>
                <w:color w:val="000000" w:themeColor="text1"/>
              </w:rPr>
            </w:pPr>
          </w:p>
        </w:tc>
        <w:tc>
          <w:tcPr>
            <w:tcW w:w="0" w:type="auto"/>
            <w:shd w:val="clear" w:color="auto" w:fill="auto"/>
            <w:vAlign w:val="center"/>
          </w:tcPr>
          <w:p w14:paraId="7EAE41B9" w14:textId="77777777" w:rsidR="002F0133" w:rsidRPr="000B4E2C" w:rsidRDefault="002F0133" w:rsidP="008A7464">
            <w:pPr>
              <w:autoSpaceDE w:val="0"/>
              <w:autoSpaceDN w:val="0"/>
              <w:adjustRightInd w:val="0"/>
              <w:rPr>
                <w:color w:val="000000" w:themeColor="text1"/>
              </w:rPr>
            </w:pPr>
            <w:r w:rsidRPr="000B4E2C">
              <w:rPr>
                <w:color w:val="000000" w:themeColor="text1"/>
              </w:rPr>
              <w:t>Specificity</w:t>
            </w:r>
          </w:p>
        </w:tc>
        <w:tc>
          <w:tcPr>
            <w:tcW w:w="0" w:type="auto"/>
            <w:shd w:val="clear" w:color="auto" w:fill="auto"/>
            <w:vAlign w:val="center"/>
          </w:tcPr>
          <w:p w14:paraId="7E1C53B5" w14:textId="77777777" w:rsidR="002F0133" w:rsidRPr="000B4E2C" w:rsidRDefault="002F0133" w:rsidP="008A7464">
            <w:pPr>
              <w:autoSpaceDE w:val="0"/>
              <w:autoSpaceDN w:val="0"/>
              <w:adjustRightInd w:val="0"/>
              <w:rPr>
                <w:color w:val="000000" w:themeColor="text1"/>
              </w:rPr>
            </w:pPr>
            <w:r w:rsidRPr="000B4E2C">
              <w:rPr>
                <w:color w:val="000000" w:themeColor="text1"/>
              </w:rPr>
              <w:t>0.67</w:t>
            </w:r>
          </w:p>
          <w:p w14:paraId="1FC4508D" w14:textId="77777777" w:rsidR="002F0133" w:rsidRPr="000B4E2C" w:rsidRDefault="002F0133" w:rsidP="008A7464">
            <w:pPr>
              <w:autoSpaceDE w:val="0"/>
              <w:autoSpaceDN w:val="0"/>
              <w:adjustRightInd w:val="0"/>
              <w:rPr>
                <w:color w:val="000000" w:themeColor="text1"/>
              </w:rPr>
            </w:pPr>
            <w:r w:rsidRPr="000B4E2C">
              <w:rPr>
                <w:color w:val="000000" w:themeColor="text1"/>
              </w:rPr>
              <w:t>(0.40 to 0.86)</w:t>
            </w:r>
          </w:p>
        </w:tc>
        <w:tc>
          <w:tcPr>
            <w:tcW w:w="0" w:type="auto"/>
            <w:shd w:val="clear" w:color="auto" w:fill="auto"/>
            <w:vAlign w:val="center"/>
          </w:tcPr>
          <w:p w14:paraId="4952E632" w14:textId="77777777" w:rsidR="002F0133" w:rsidRPr="000B4E2C" w:rsidRDefault="002F0133" w:rsidP="008A7464">
            <w:pPr>
              <w:autoSpaceDE w:val="0"/>
              <w:autoSpaceDN w:val="0"/>
              <w:adjustRightInd w:val="0"/>
              <w:rPr>
                <w:color w:val="000000" w:themeColor="text1"/>
              </w:rPr>
            </w:pPr>
            <w:r w:rsidRPr="000B4E2C">
              <w:rPr>
                <w:color w:val="000000" w:themeColor="text1"/>
              </w:rPr>
              <w:t>0.6863</w:t>
            </w:r>
          </w:p>
        </w:tc>
        <w:tc>
          <w:tcPr>
            <w:tcW w:w="0" w:type="auto"/>
            <w:shd w:val="clear" w:color="auto" w:fill="auto"/>
            <w:vAlign w:val="center"/>
          </w:tcPr>
          <w:p w14:paraId="0C55F61E" w14:textId="77777777" w:rsidR="002F0133" w:rsidRPr="000B4E2C" w:rsidRDefault="002F0133" w:rsidP="008A7464">
            <w:pPr>
              <w:autoSpaceDE w:val="0"/>
              <w:autoSpaceDN w:val="0"/>
              <w:adjustRightInd w:val="0"/>
              <w:rPr>
                <w:color w:val="000000" w:themeColor="text1"/>
              </w:rPr>
            </w:pPr>
            <w:r w:rsidRPr="000B4E2C">
              <w:rPr>
                <w:color w:val="000000" w:themeColor="text1"/>
              </w:rPr>
              <w:t>0.5659</w:t>
            </w:r>
          </w:p>
        </w:tc>
        <w:tc>
          <w:tcPr>
            <w:tcW w:w="0" w:type="auto"/>
            <w:vMerge/>
            <w:shd w:val="clear" w:color="auto" w:fill="auto"/>
            <w:vAlign w:val="center"/>
          </w:tcPr>
          <w:p w14:paraId="58CF8A3B" w14:textId="77777777" w:rsidR="002F0133" w:rsidRPr="000B4E2C" w:rsidRDefault="002F0133" w:rsidP="008A7464">
            <w:pPr>
              <w:autoSpaceDE w:val="0"/>
              <w:autoSpaceDN w:val="0"/>
              <w:adjustRightInd w:val="0"/>
              <w:rPr>
                <w:color w:val="000000" w:themeColor="text1"/>
              </w:rPr>
            </w:pPr>
          </w:p>
        </w:tc>
        <w:tc>
          <w:tcPr>
            <w:tcW w:w="0" w:type="auto"/>
            <w:vMerge/>
            <w:shd w:val="clear" w:color="auto" w:fill="auto"/>
            <w:vAlign w:val="center"/>
          </w:tcPr>
          <w:p w14:paraId="2CF6CF27" w14:textId="77777777" w:rsidR="002F0133" w:rsidRPr="000B4E2C" w:rsidRDefault="002F0133" w:rsidP="008A7464">
            <w:pPr>
              <w:autoSpaceDE w:val="0"/>
              <w:autoSpaceDN w:val="0"/>
              <w:adjustRightInd w:val="0"/>
              <w:rPr>
                <w:color w:val="000000" w:themeColor="text1"/>
              </w:rPr>
            </w:pPr>
          </w:p>
        </w:tc>
      </w:tr>
      <w:tr w:rsidR="002F0133" w:rsidRPr="000B4E2C" w14:paraId="7E94E9A4" w14:textId="77777777" w:rsidTr="000B4E2C">
        <w:trPr>
          <w:cantSplit/>
        </w:trPr>
        <w:tc>
          <w:tcPr>
            <w:tcW w:w="0" w:type="auto"/>
            <w:vMerge w:val="restart"/>
            <w:shd w:val="clear" w:color="auto" w:fill="auto"/>
            <w:vAlign w:val="center"/>
          </w:tcPr>
          <w:p w14:paraId="2BB45CDA" w14:textId="77777777" w:rsidR="002F0133" w:rsidRPr="000B4E2C" w:rsidRDefault="002F0133" w:rsidP="008A7464">
            <w:pPr>
              <w:autoSpaceDE w:val="0"/>
              <w:autoSpaceDN w:val="0"/>
              <w:adjustRightInd w:val="0"/>
              <w:rPr>
                <w:color w:val="000000" w:themeColor="text1"/>
              </w:rPr>
            </w:pPr>
            <w:r w:rsidRPr="000B4E2C">
              <w:rPr>
                <w:color w:val="000000" w:themeColor="text1"/>
              </w:rPr>
              <w:t>NGAL urine Abbot ARCHITECT</w:t>
            </w:r>
          </w:p>
        </w:tc>
        <w:tc>
          <w:tcPr>
            <w:tcW w:w="0" w:type="auto"/>
            <w:shd w:val="clear" w:color="auto" w:fill="auto"/>
          </w:tcPr>
          <w:p w14:paraId="415AD0D1" w14:textId="77777777" w:rsidR="002F0133" w:rsidRPr="000B4E2C" w:rsidRDefault="002F0133" w:rsidP="008A7464">
            <w:pPr>
              <w:autoSpaceDE w:val="0"/>
              <w:autoSpaceDN w:val="0"/>
              <w:adjustRightInd w:val="0"/>
              <w:rPr>
                <w:color w:val="000000" w:themeColor="text1"/>
              </w:rPr>
            </w:pPr>
            <w:r w:rsidRPr="000B4E2C">
              <w:rPr>
                <w:color w:val="000000" w:themeColor="text1"/>
              </w:rPr>
              <w:t>Sensitivity</w:t>
            </w:r>
          </w:p>
        </w:tc>
        <w:tc>
          <w:tcPr>
            <w:tcW w:w="0" w:type="auto"/>
            <w:shd w:val="clear" w:color="auto" w:fill="auto"/>
            <w:vAlign w:val="center"/>
          </w:tcPr>
          <w:p w14:paraId="3CAAE0B4" w14:textId="77777777" w:rsidR="000B4E2C" w:rsidRPr="000B4E2C" w:rsidRDefault="002F0133" w:rsidP="008A7464">
            <w:pPr>
              <w:autoSpaceDE w:val="0"/>
              <w:autoSpaceDN w:val="0"/>
              <w:adjustRightInd w:val="0"/>
              <w:rPr>
                <w:color w:val="000000" w:themeColor="text1"/>
              </w:rPr>
            </w:pPr>
            <w:r w:rsidRPr="000B4E2C">
              <w:rPr>
                <w:color w:val="000000" w:themeColor="text1"/>
              </w:rPr>
              <w:t>0.67</w:t>
            </w:r>
          </w:p>
          <w:p w14:paraId="12A094F5" w14:textId="0C192B9D" w:rsidR="002F0133" w:rsidRPr="000B4E2C" w:rsidRDefault="002F0133" w:rsidP="008A7464">
            <w:pPr>
              <w:autoSpaceDE w:val="0"/>
              <w:autoSpaceDN w:val="0"/>
              <w:adjustRightInd w:val="0"/>
              <w:rPr>
                <w:color w:val="000000" w:themeColor="text1"/>
              </w:rPr>
            </w:pPr>
            <w:r w:rsidRPr="000B4E2C">
              <w:rPr>
                <w:color w:val="000000" w:themeColor="text1"/>
              </w:rPr>
              <w:t>(0.58 to 0.76)</w:t>
            </w:r>
          </w:p>
          <w:p w14:paraId="357F4196" w14:textId="77777777" w:rsidR="002F0133" w:rsidRPr="000B4E2C" w:rsidRDefault="002F0133" w:rsidP="008A7464">
            <w:pPr>
              <w:autoSpaceDE w:val="0"/>
              <w:autoSpaceDN w:val="0"/>
              <w:adjustRightInd w:val="0"/>
              <w:rPr>
                <w:color w:val="000000" w:themeColor="text1"/>
              </w:rPr>
            </w:pPr>
          </w:p>
        </w:tc>
        <w:tc>
          <w:tcPr>
            <w:tcW w:w="0" w:type="auto"/>
            <w:shd w:val="clear" w:color="auto" w:fill="auto"/>
            <w:vAlign w:val="center"/>
          </w:tcPr>
          <w:p w14:paraId="6E03F560" w14:textId="77777777" w:rsidR="002F0133" w:rsidRPr="000B4E2C" w:rsidRDefault="002F0133" w:rsidP="008A7464">
            <w:pPr>
              <w:autoSpaceDE w:val="0"/>
              <w:autoSpaceDN w:val="0"/>
              <w:adjustRightInd w:val="0"/>
              <w:rPr>
                <w:color w:val="000000" w:themeColor="text1"/>
              </w:rPr>
            </w:pPr>
            <w:r w:rsidRPr="000B4E2C">
              <w:rPr>
                <w:color w:val="000000" w:themeColor="text1"/>
              </w:rPr>
              <w:t>0.7273</w:t>
            </w:r>
          </w:p>
        </w:tc>
        <w:tc>
          <w:tcPr>
            <w:tcW w:w="0" w:type="auto"/>
            <w:shd w:val="clear" w:color="auto" w:fill="auto"/>
            <w:vAlign w:val="center"/>
          </w:tcPr>
          <w:p w14:paraId="28E95492" w14:textId="77777777" w:rsidR="002F0133" w:rsidRPr="000B4E2C" w:rsidRDefault="002F0133" w:rsidP="008A7464">
            <w:pPr>
              <w:autoSpaceDE w:val="0"/>
              <w:autoSpaceDN w:val="0"/>
              <w:adjustRightInd w:val="0"/>
              <w:rPr>
                <w:color w:val="000000" w:themeColor="text1"/>
              </w:rPr>
            </w:pPr>
            <w:r w:rsidRPr="000B4E2C">
              <w:rPr>
                <w:color w:val="000000" w:themeColor="text1"/>
              </w:rPr>
              <w:t>0.2047</w:t>
            </w:r>
          </w:p>
        </w:tc>
        <w:tc>
          <w:tcPr>
            <w:tcW w:w="0" w:type="auto"/>
            <w:vMerge w:val="restart"/>
            <w:shd w:val="clear" w:color="auto" w:fill="auto"/>
            <w:vAlign w:val="center"/>
          </w:tcPr>
          <w:p w14:paraId="1A5E1FB6" w14:textId="6AF490DD" w:rsidR="002F0133" w:rsidRPr="000B4E2C" w:rsidRDefault="000B4E2C" w:rsidP="008A7464">
            <w:pPr>
              <w:autoSpaceDE w:val="0"/>
              <w:autoSpaceDN w:val="0"/>
              <w:adjustRightInd w:val="0"/>
              <w:rPr>
                <w:color w:val="000000" w:themeColor="text1"/>
              </w:rPr>
            </w:pPr>
            <w:r w:rsidRPr="000B4E2C">
              <w:rPr>
                <w:color w:val="00B0F0"/>
              </w:rPr>
              <w:t>–</w:t>
            </w:r>
            <w:r w:rsidRPr="000B4E2C">
              <w:rPr>
                <w:color w:val="00B0F0"/>
              </w:rPr>
              <w:t>0</w:t>
            </w:r>
            <w:r w:rsidR="002F0133" w:rsidRPr="000B4E2C">
              <w:rPr>
                <w:color w:val="000000" w:themeColor="text1"/>
              </w:rPr>
              <w:t>.5168</w:t>
            </w:r>
          </w:p>
        </w:tc>
        <w:tc>
          <w:tcPr>
            <w:tcW w:w="0" w:type="auto"/>
            <w:vMerge w:val="restart"/>
            <w:shd w:val="clear" w:color="auto" w:fill="auto"/>
            <w:vAlign w:val="center"/>
          </w:tcPr>
          <w:p w14:paraId="3AB2F605" w14:textId="66EA4348" w:rsidR="002F0133" w:rsidRPr="000B4E2C" w:rsidRDefault="001B6F61" w:rsidP="008A7464">
            <w:pPr>
              <w:autoSpaceDE w:val="0"/>
              <w:autoSpaceDN w:val="0"/>
              <w:adjustRightInd w:val="0"/>
              <w:rPr>
                <w:color w:val="000000" w:themeColor="text1"/>
              </w:rPr>
            </w:pPr>
            <w:r w:rsidRPr="000B4E2C">
              <w:rPr>
                <w:color w:val="000000" w:themeColor="text1"/>
              </w:rPr>
              <w:t>Meta-analysis (Chapter 3)</w:t>
            </w:r>
          </w:p>
        </w:tc>
      </w:tr>
      <w:tr w:rsidR="002F0133" w:rsidRPr="000B4E2C" w14:paraId="53A051BA" w14:textId="77777777" w:rsidTr="000B4E2C">
        <w:trPr>
          <w:cantSplit/>
        </w:trPr>
        <w:tc>
          <w:tcPr>
            <w:tcW w:w="0" w:type="auto"/>
            <w:vMerge/>
            <w:shd w:val="clear" w:color="auto" w:fill="auto"/>
            <w:vAlign w:val="center"/>
          </w:tcPr>
          <w:p w14:paraId="31D431E3" w14:textId="77777777" w:rsidR="002F0133" w:rsidRPr="000B4E2C" w:rsidRDefault="002F0133" w:rsidP="008A7464">
            <w:pPr>
              <w:autoSpaceDE w:val="0"/>
              <w:autoSpaceDN w:val="0"/>
              <w:adjustRightInd w:val="0"/>
              <w:rPr>
                <w:color w:val="000000" w:themeColor="text1"/>
              </w:rPr>
            </w:pPr>
          </w:p>
        </w:tc>
        <w:tc>
          <w:tcPr>
            <w:tcW w:w="0" w:type="auto"/>
            <w:shd w:val="clear" w:color="auto" w:fill="auto"/>
          </w:tcPr>
          <w:p w14:paraId="348AAE4D" w14:textId="77777777" w:rsidR="002F0133" w:rsidRPr="000B4E2C" w:rsidRDefault="002F0133" w:rsidP="008A7464">
            <w:pPr>
              <w:autoSpaceDE w:val="0"/>
              <w:autoSpaceDN w:val="0"/>
              <w:adjustRightInd w:val="0"/>
              <w:rPr>
                <w:color w:val="000000" w:themeColor="text1"/>
              </w:rPr>
            </w:pPr>
            <w:r w:rsidRPr="000B4E2C">
              <w:rPr>
                <w:color w:val="000000" w:themeColor="text1"/>
              </w:rPr>
              <w:t>Specificity</w:t>
            </w:r>
          </w:p>
        </w:tc>
        <w:tc>
          <w:tcPr>
            <w:tcW w:w="0" w:type="auto"/>
            <w:shd w:val="clear" w:color="auto" w:fill="auto"/>
            <w:vAlign w:val="center"/>
          </w:tcPr>
          <w:p w14:paraId="4CB3C13C" w14:textId="77777777" w:rsidR="000B4E2C" w:rsidRPr="000B4E2C" w:rsidRDefault="002F0133" w:rsidP="008A7464">
            <w:pPr>
              <w:autoSpaceDE w:val="0"/>
              <w:autoSpaceDN w:val="0"/>
              <w:adjustRightInd w:val="0"/>
              <w:rPr>
                <w:color w:val="000000" w:themeColor="text1"/>
              </w:rPr>
            </w:pPr>
            <w:r w:rsidRPr="000B4E2C">
              <w:rPr>
                <w:color w:val="000000" w:themeColor="text1"/>
              </w:rPr>
              <w:t>0.72</w:t>
            </w:r>
          </w:p>
          <w:p w14:paraId="07602EBF" w14:textId="027B3BDA" w:rsidR="002F0133" w:rsidRPr="000B4E2C" w:rsidRDefault="002F0133" w:rsidP="008A7464">
            <w:pPr>
              <w:autoSpaceDE w:val="0"/>
              <w:autoSpaceDN w:val="0"/>
              <w:adjustRightInd w:val="0"/>
              <w:rPr>
                <w:color w:val="000000" w:themeColor="text1"/>
              </w:rPr>
            </w:pPr>
            <w:r w:rsidRPr="000B4E2C">
              <w:rPr>
                <w:color w:val="000000" w:themeColor="text1"/>
              </w:rPr>
              <w:t>(0.64 to 0.79)</w:t>
            </w:r>
          </w:p>
        </w:tc>
        <w:tc>
          <w:tcPr>
            <w:tcW w:w="0" w:type="auto"/>
            <w:shd w:val="clear" w:color="auto" w:fill="auto"/>
            <w:vAlign w:val="center"/>
          </w:tcPr>
          <w:p w14:paraId="0FEE0C3D" w14:textId="77777777" w:rsidR="002F0133" w:rsidRPr="000B4E2C" w:rsidRDefault="002F0133" w:rsidP="008A7464">
            <w:pPr>
              <w:autoSpaceDE w:val="0"/>
              <w:autoSpaceDN w:val="0"/>
              <w:adjustRightInd w:val="0"/>
              <w:rPr>
                <w:color w:val="000000" w:themeColor="text1"/>
              </w:rPr>
            </w:pPr>
            <w:r w:rsidRPr="000B4E2C">
              <w:rPr>
                <w:color w:val="000000" w:themeColor="text1"/>
              </w:rPr>
              <w:t>0.9553</w:t>
            </w:r>
          </w:p>
        </w:tc>
        <w:tc>
          <w:tcPr>
            <w:tcW w:w="0" w:type="auto"/>
            <w:shd w:val="clear" w:color="auto" w:fill="auto"/>
            <w:vAlign w:val="center"/>
          </w:tcPr>
          <w:p w14:paraId="3A583223" w14:textId="77777777" w:rsidR="002F0133" w:rsidRPr="000B4E2C" w:rsidRDefault="002F0133" w:rsidP="008A7464">
            <w:pPr>
              <w:autoSpaceDE w:val="0"/>
              <w:autoSpaceDN w:val="0"/>
              <w:adjustRightInd w:val="0"/>
              <w:rPr>
                <w:color w:val="000000" w:themeColor="text1"/>
              </w:rPr>
            </w:pPr>
            <w:r w:rsidRPr="000B4E2C">
              <w:rPr>
                <w:color w:val="000000" w:themeColor="text1"/>
              </w:rPr>
              <w:t>0.1909</w:t>
            </w:r>
          </w:p>
        </w:tc>
        <w:tc>
          <w:tcPr>
            <w:tcW w:w="0" w:type="auto"/>
            <w:vMerge/>
            <w:shd w:val="clear" w:color="auto" w:fill="auto"/>
            <w:vAlign w:val="center"/>
          </w:tcPr>
          <w:p w14:paraId="64884879" w14:textId="77777777" w:rsidR="002F0133" w:rsidRPr="000B4E2C" w:rsidRDefault="002F0133" w:rsidP="008A7464">
            <w:pPr>
              <w:autoSpaceDE w:val="0"/>
              <w:autoSpaceDN w:val="0"/>
              <w:adjustRightInd w:val="0"/>
              <w:rPr>
                <w:color w:val="000000" w:themeColor="text1"/>
              </w:rPr>
            </w:pPr>
          </w:p>
        </w:tc>
        <w:tc>
          <w:tcPr>
            <w:tcW w:w="0" w:type="auto"/>
            <w:vMerge/>
            <w:shd w:val="clear" w:color="auto" w:fill="auto"/>
            <w:vAlign w:val="center"/>
          </w:tcPr>
          <w:p w14:paraId="5B51290A" w14:textId="77777777" w:rsidR="002F0133" w:rsidRPr="000B4E2C" w:rsidRDefault="002F0133" w:rsidP="008A7464">
            <w:pPr>
              <w:autoSpaceDE w:val="0"/>
              <w:autoSpaceDN w:val="0"/>
              <w:adjustRightInd w:val="0"/>
              <w:rPr>
                <w:color w:val="000000" w:themeColor="text1"/>
              </w:rPr>
            </w:pPr>
          </w:p>
        </w:tc>
      </w:tr>
      <w:tr w:rsidR="002F0133" w:rsidRPr="000B4E2C" w14:paraId="3122E033" w14:textId="77777777" w:rsidTr="000B4E2C">
        <w:trPr>
          <w:cantSplit/>
        </w:trPr>
        <w:tc>
          <w:tcPr>
            <w:tcW w:w="0" w:type="auto"/>
            <w:vMerge w:val="restart"/>
            <w:shd w:val="clear" w:color="auto" w:fill="auto"/>
            <w:vAlign w:val="center"/>
          </w:tcPr>
          <w:p w14:paraId="486C3864" w14:textId="0FEE8624" w:rsidR="002F0133" w:rsidRPr="000B4E2C" w:rsidRDefault="002F0133" w:rsidP="008A7464">
            <w:pPr>
              <w:autoSpaceDE w:val="0"/>
              <w:autoSpaceDN w:val="0"/>
              <w:adjustRightInd w:val="0"/>
              <w:rPr>
                <w:color w:val="000000" w:themeColor="text1"/>
              </w:rPr>
            </w:pPr>
            <w:r w:rsidRPr="000B4E2C">
              <w:rPr>
                <w:color w:val="000000" w:themeColor="text1"/>
              </w:rPr>
              <w:t xml:space="preserve">NGAL urine </w:t>
            </w:r>
            <w:r w:rsidR="009D7F5A" w:rsidRPr="000B4E2C">
              <w:rPr>
                <w:color w:val="000000" w:themeColor="text1"/>
              </w:rPr>
              <w:t>BioPorto</w:t>
            </w:r>
          </w:p>
        </w:tc>
        <w:tc>
          <w:tcPr>
            <w:tcW w:w="0" w:type="auto"/>
            <w:shd w:val="clear" w:color="auto" w:fill="auto"/>
          </w:tcPr>
          <w:p w14:paraId="7ABC3CC6" w14:textId="77777777" w:rsidR="002F0133" w:rsidRPr="000B4E2C" w:rsidRDefault="002F0133" w:rsidP="008A7464">
            <w:pPr>
              <w:autoSpaceDE w:val="0"/>
              <w:autoSpaceDN w:val="0"/>
              <w:adjustRightInd w:val="0"/>
              <w:rPr>
                <w:color w:val="000000" w:themeColor="text1"/>
              </w:rPr>
            </w:pPr>
            <w:r w:rsidRPr="000B4E2C">
              <w:rPr>
                <w:color w:val="000000" w:themeColor="text1"/>
              </w:rPr>
              <w:t>Sensitivity</w:t>
            </w:r>
          </w:p>
        </w:tc>
        <w:tc>
          <w:tcPr>
            <w:tcW w:w="0" w:type="auto"/>
            <w:shd w:val="clear" w:color="auto" w:fill="auto"/>
            <w:vAlign w:val="center"/>
          </w:tcPr>
          <w:p w14:paraId="1B847213" w14:textId="77777777" w:rsidR="000B4E2C" w:rsidRPr="000B4E2C" w:rsidRDefault="002F0133" w:rsidP="008A7464">
            <w:pPr>
              <w:autoSpaceDE w:val="0"/>
              <w:autoSpaceDN w:val="0"/>
              <w:adjustRightInd w:val="0"/>
              <w:rPr>
                <w:color w:val="000000" w:themeColor="text1"/>
              </w:rPr>
            </w:pPr>
            <w:r w:rsidRPr="000B4E2C">
              <w:rPr>
                <w:color w:val="000000" w:themeColor="text1"/>
              </w:rPr>
              <w:t>0.73</w:t>
            </w:r>
          </w:p>
          <w:p w14:paraId="6A623463" w14:textId="2708E6A1" w:rsidR="002F0133" w:rsidRPr="000B4E2C" w:rsidRDefault="002F0133" w:rsidP="008A7464">
            <w:pPr>
              <w:autoSpaceDE w:val="0"/>
              <w:autoSpaceDN w:val="0"/>
              <w:adjustRightInd w:val="0"/>
              <w:rPr>
                <w:color w:val="000000" w:themeColor="text1"/>
              </w:rPr>
            </w:pPr>
            <w:r w:rsidRPr="000B4E2C">
              <w:rPr>
                <w:color w:val="000000" w:themeColor="text1"/>
              </w:rPr>
              <w:t>(0.65 to 0.80)</w:t>
            </w:r>
          </w:p>
        </w:tc>
        <w:tc>
          <w:tcPr>
            <w:tcW w:w="0" w:type="auto"/>
            <w:shd w:val="clear" w:color="auto" w:fill="auto"/>
            <w:vAlign w:val="center"/>
          </w:tcPr>
          <w:p w14:paraId="5480B1D9" w14:textId="77777777" w:rsidR="002F0133" w:rsidRPr="000B4E2C" w:rsidRDefault="002F0133" w:rsidP="008A7464">
            <w:pPr>
              <w:autoSpaceDE w:val="0"/>
              <w:autoSpaceDN w:val="0"/>
              <w:adjustRightInd w:val="0"/>
              <w:rPr>
                <w:color w:val="000000" w:themeColor="text1"/>
              </w:rPr>
            </w:pPr>
            <w:r w:rsidRPr="000B4E2C">
              <w:rPr>
                <w:color w:val="000000" w:themeColor="text1"/>
              </w:rPr>
              <w:t>1.017</w:t>
            </w:r>
          </w:p>
        </w:tc>
        <w:tc>
          <w:tcPr>
            <w:tcW w:w="0" w:type="auto"/>
            <w:shd w:val="clear" w:color="auto" w:fill="auto"/>
            <w:vAlign w:val="center"/>
          </w:tcPr>
          <w:p w14:paraId="6833C3A5" w14:textId="77777777" w:rsidR="002F0133" w:rsidRPr="000B4E2C" w:rsidRDefault="002F0133" w:rsidP="008A7464">
            <w:pPr>
              <w:autoSpaceDE w:val="0"/>
              <w:autoSpaceDN w:val="0"/>
              <w:adjustRightInd w:val="0"/>
              <w:rPr>
                <w:color w:val="000000" w:themeColor="text1"/>
              </w:rPr>
            </w:pPr>
            <w:r w:rsidRPr="000B4E2C">
              <w:rPr>
                <w:color w:val="000000" w:themeColor="text1"/>
              </w:rPr>
              <w:t>0.195</w:t>
            </w:r>
          </w:p>
        </w:tc>
        <w:tc>
          <w:tcPr>
            <w:tcW w:w="0" w:type="auto"/>
            <w:vMerge w:val="restart"/>
            <w:shd w:val="clear" w:color="auto" w:fill="auto"/>
            <w:vAlign w:val="center"/>
          </w:tcPr>
          <w:p w14:paraId="24E58DC6" w14:textId="63217F17" w:rsidR="002F0133" w:rsidRPr="000B4E2C" w:rsidRDefault="000B4E2C" w:rsidP="008A7464">
            <w:pPr>
              <w:autoSpaceDE w:val="0"/>
              <w:autoSpaceDN w:val="0"/>
              <w:adjustRightInd w:val="0"/>
              <w:rPr>
                <w:color w:val="000000" w:themeColor="text1"/>
              </w:rPr>
            </w:pPr>
            <w:r w:rsidRPr="000B4E2C">
              <w:rPr>
                <w:color w:val="00B0F0"/>
              </w:rPr>
              <w:t>+</w:t>
            </w:r>
            <w:r w:rsidRPr="000B4E2C">
              <w:rPr>
                <w:color w:val="00B0F0"/>
              </w:rPr>
              <w:t> </w:t>
            </w:r>
            <w:r w:rsidRPr="000B4E2C">
              <w:rPr>
                <w:color w:val="00B0F0"/>
              </w:rPr>
              <w:t>0</w:t>
            </w:r>
            <w:r w:rsidR="002F0133" w:rsidRPr="000B4E2C">
              <w:rPr>
                <w:color w:val="000000" w:themeColor="text1"/>
              </w:rPr>
              <w:t>.526</w:t>
            </w:r>
          </w:p>
        </w:tc>
        <w:tc>
          <w:tcPr>
            <w:tcW w:w="0" w:type="auto"/>
            <w:vMerge w:val="restart"/>
            <w:shd w:val="clear" w:color="auto" w:fill="auto"/>
            <w:vAlign w:val="center"/>
          </w:tcPr>
          <w:p w14:paraId="6B7636D8" w14:textId="35EA7D15" w:rsidR="002F0133" w:rsidRPr="000B4E2C" w:rsidRDefault="001B6F61" w:rsidP="008A7464">
            <w:pPr>
              <w:autoSpaceDE w:val="0"/>
              <w:autoSpaceDN w:val="0"/>
              <w:adjustRightInd w:val="0"/>
              <w:rPr>
                <w:color w:val="000000" w:themeColor="text1"/>
              </w:rPr>
            </w:pPr>
            <w:r w:rsidRPr="000B4E2C">
              <w:rPr>
                <w:color w:val="000000" w:themeColor="text1"/>
              </w:rPr>
              <w:t>Meta-analysis (Chapter 3)</w:t>
            </w:r>
          </w:p>
        </w:tc>
      </w:tr>
      <w:tr w:rsidR="002F0133" w:rsidRPr="000B4E2C" w14:paraId="47BE5014" w14:textId="77777777" w:rsidTr="000B4E2C">
        <w:trPr>
          <w:cantSplit/>
        </w:trPr>
        <w:tc>
          <w:tcPr>
            <w:tcW w:w="0" w:type="auto"/>
            <w:vMerge/>
            <w:shd w:val="clear" w:color="auto" w:fill="auto"/>
            <w:vAlign w:val="center"/>
          </w:tcPr>
          <w:p w14:paraId="21FFD561" w14:textId="77777777" w:rsidR="002F0133" w:rsidRPr="000B4E2C" w:rsidRDefault="002F0133" w:rsidP="008A7464">
            <w:pPr>
              <w:autoSpaceDE w:val="0"/>
              <w:autoSpaceDN w:val="0"/>
              <w:adjustRightInd w:val="0"/>
              <w:rPr>
                <w:color w:val="000000" w:themeColor="text1"/>
              </w:rPr>
            </w:pPr>
          </w:p>
        </w:tc>
        <w:tc>
          <w:tcPr>
            <w:tcW w:w="0" w:type="auto"/>
            <w:shd w:val="clear" w:color="auto" w:fill="auto"/>
          </w:tcPr>
          <w:p w14:paraId="6EA99D56" w14:textId="77777777" w:rsidR="002F0133" w:rsidRPr="000B4E2C" w:rsidRDefault="002F0133" w:rsidP="008A7464">
            <w:pPr>
              <w:autoSpaceDE w:val="0"/>
              <w:autoSpaceDN w:val="0"/>
              <w:adjustRightInd w:val="0"/>
              <w:rPr>
                <w:color w:val="000000" w:themeColor="text1"/>
              </w:rPr>
            </w:pPr>
            <w:r w:rsidRPr="000B4E2C">
              <w:rPr>
                <w:color w:val="000000" w:themeColor="text1"/>
              </w:rPr>
              <w:t>Specificity</w:t>
            </w:r>
          </w:p>
        </w:tc>
        <w:tc>
          <w:tcPr>
            <w:tcW w:w="0" w:type="auto"/>
            <w:shd w:val="clear" w:color="auto" w:fill="auto"/>
            <w:vAlign w:val="center"/>
          </w:tcPr>
          <w:p w14:paraId="3484C14D" w14:textId="77777777" w:rsidR="000B4E2C" w:rsidRPr="000B4E2C" w:rsidRDefault="002F0133" w:rsidP="008A7464">
            <w:pPr>
              <w:autoSpaceDE w:val="0"/>
              <w:autoSpaceDN w:val="0"/>
              <w:adjustRightInd w:val="0"/>
              <w:rPr>
                <w:color w:val="000000" w:themeColor="text1"/>
              </w:rPr>
            </w:pPr>
            <w:r w:rsidRPr="000B4E2C">
              <w:rPr>
                <w:color w:val="000000" w:themeColor="text1"/>
              </w:rPr>
              <w:t>0.83</w:t>
            </w:r>
          </w:p>
          <w:p w14:paraId="099A6B2F" w14:textId="43191699" w:rsidR="002F0133" w:rsidRPr="000B4E2C" w:rsidRDefault="002F0133" w:rsidP="008A7464">
            <w:pPr>
              <w:autoSpaceDE w:val="0"/>
              <w:autoSpaceDN w:val="0"/>
              <w:adjustRightInd w:val="0"/>
              <w:rPr>
                <w:color w:val="000000" w:themeColor="text1"/>
              </w:rPr>
            </w:pPr>
            <w:r w:rsidRPr="000B4E2C">
              <w:rPr>
                <w:color w:val="000000" w:themeColor="text1"/>
              </w:rPr>
              <w:t>(0.64 to 0.93)</w:t>
            </w:r>
          </w:p>
        </w:tc>
        <w:tc>
          <w:tcPr>
            <w:tcW w:w="0" w:type="auto"/>
            <w:shd w:val="clear" w:color="auto" w:fill="auto"/>
            <w:vAlign w:val="center"/>
          </w:tcPr>
          <w:p w14:paraId="040E971C" w14:textId="77777777" w:rsidR="002F0133" w:rsidRPr="000B4E2C" w:rsidRDefault="002F0133" w:rsidP="008A7464">
            <w:pPr>
              <w:autoSpaceDE w:val="0"/>
              <w:autoSpaceDN w:val="0"/>
              <w:adjustRightInd w:val="0"/>
              <w:rPr>
                <w:color w:val="000000" w:themeColor="text1"/>
              </w:rPr>
            </w:pPr>
            <w:r w:rsidRPr="000B4E2C">
              <w:rPr>
                <w:color w:val="000000" w:themeColor="text1"/>
              </w:rPr>
              <w:t>1.562</w:t>
            </w:r>
          </w:p>
        </w:tc>
        <w:tc>
          <w:tcPr>
            <w:tcW w:w="0" w:type="auto"/>
            <w:shd w:val="clear" w:color="auto" w:fill="auto"/>
            <w:vAlign w:val="center"/>
          </w:tcPr>
          <w:p w14:paraId="3EC7C704" w14:textId="77777777" w:rsidR="002F0133" w:rsidRPr="000B4E2C" w:rsidRDefault="002F0133" w:rsidP="008A7464">
            <w:pPr>
              <w:autoSpaceDE w:val="0"/>
              <w:autoSpaceDN w:val="0"/>
              <w:adjustRightInd w:val="0"/>
              <w:rPr>
                <w:color w:val="000000" w:themeColor="text1"/>
              </w:rPr>
            </w:pPr>
            <w:r w:rsidRPr="000B4E2C">
              <w:rPr>
                <w:color w:val="000000" w:themeColor="text1"/>
              </w:rPr>
              <w:t>0.511</w:t>
            </w:r>
          </w:p>
        </w:tc>
        <w:tc>
          <w:tcPr>
            <w:tcW w:w="0" w:type="auto"/>
            <w:vMerge/>
            <w:shd w:val="clear" w:color="auto" w:fill="auto"/>
            <w:vAlign w:val="center"/>
          </w:tcPr>
          <w:p w14:paraId="112AC6FD" w14:textId="77777777" w:rsidR="002F0133" w:rsidRPr="000B4E2C" w:rsidRDefault="002F0133" w:rsidP="008A7464">
            <w:pPr>
              <w:autoSpaceDE w:val="0"/>
              <w:autoSpaceDN w:val="0"/>
              <w:adjustRightInd w:val="0"/>
              <w:rPr>
                <w:color w:val="000000" w:themeColor="text1"/>
              </w:rPr>
            </w:pPr>
          </w:p>
        </w:tc>
        <w:tc>
          <w:tcPr>
            <w:tcW w:w="0" w:type="auto"/>
            <w:vMerge/>
            <w:shd w:val="clear" w:color="auto" w:fill="auto"/>
            <w:vAlign w:val="center"/>
          </w:tcPr>
          <w:p w14:paraId="312085EB" w14:textId="77777777" w:rsidR="002F0133" w:rsidRPr="000B4E2C" w:rsidRDefault="002F0133" w:rsidP="008A7464">
            <w:pPr>
              <w:autoSpaceDE w:val="0"/>
              <w:autoSpaceDN w:val="0"/>
              <w:adjustRightInd w:val="0"/>
              <w:rPr>
                <w:color w:val="000000" w:themeColor="text1"/>
              </w:rPr>
            </w:pPr>
          </w:p>
        </w:tc>
      </w:tr>
    </w:tbl>
    <w:p w14:paraId="6B12E295" w14:textId="77777777" w:rsidR="002F0133" w:rsidRPr="000B4E2C" w:rsidRDefault="002F0133" w:rsidP="008A7464">
      <w:pPr>
        <w:autoSpaceDE w:val="0"/>
        <w:autoSpaceDN w:val="0"/>
        <w:adjustRightInd w:val="0"/>
        <w:jc w:val="both"/>
        <w:rPr>
          <w:color w:val="000000" w:themeColor="text1"/>
          <w:szCs w:val="24"/>
        </w:rPr>
      </w:pPr>
    </w:p>
    <w:p w14:paraId="6CFA6DF5" w14:textId="069EE23B" w:rsidR="000B4E2C" w:rsidRPr="000B4E2C" w:rsidRDefault="002F0133" w:rsidP="008A7464">
      <w:r w:rsidRPr="000B4E2C">
        <w:t xml:space="preserve">For the </w:t>
      </w:r>
      <w:r w:rsidRPr="000B4E2C">
        <w:rPr>
          <w:highlight w:val="magenta"/>
        </w:rPr>
        <w:t>respective</w:t>
      </w:r>
      <w:r w:rsidRPr="000B4E2C">
        <w:t xml:space="preserve"> biomarker test groups, the proportion of true AKI cases that are true positive (TP), and false negative (FN) is determined by test sensitivity, </w:t>
      </w:r>
      <w:r w:rsidR="000B4E2C" w:rsidRPr="000B4E2C">
        <w:rPr>
          <w:color w:val="00B0F0"/>
        </w:rPr>
        <w:t>while</w:t>
      </w:r>
      <w:r w:rsidRPr="000B4E2C">
        <w:t xml:space="preserve"> the proportion of AKI negative cases that are true negative (TN) or false positive (FP) is determined by the test specificity.</w:t>
      </w:r>
    </w:p>
    <w:p w14:paraId="20D1B0BF" w14:textId="77777777" w:rsidR="000B4E2C" w:rsidRPr="000B4E2C" w:rsidRDefault="002F0133" w:rsidP="008A7464">
      <w:r w:rsidRPr="000B4E2C">
        <w:t xml:space="preserve">Based on the </w:t>
      </w:r>
      <w:r w:rsidR="00E907C2" w:rsidRPr="000B4E2C">
        <w:t>External Assessment Group</w:t>
      </w:r>
      <w:r w:rsidR="0072128A" w:rsidRPr="000B4E2C">
        <w:rPr>
          <w:color w:val="00B0F0"/>
        </w:rPr>
        <w:t>$$SingleQuoteE$$</w:t>
      </w:r>
      <w:r w:rsidR="00E907C2" w:rsidRPr="000B4E2C">
        <w:t>s (</w:t>
      </w:r>
      <w:r w:rsidRPr="000B4E2C">
        <w:t>EAG</w:t>
      </w:r>
      <w:r w:rsidR="00E907C2" w:rsidRPr="000B4E2C">
        <w:t>)</w:t>
      </w:r>
      <w:r w:rsidRPr="000B4E2C">
        <w:t xml:space="preserve"> own clinical expert opinion, it is assumed in the base case that patients testing negative would not have any adaptions made to their care pathway. That is because it would be unlikely that care would be de-escalated based solely on a negative NephroCheck or NGAL result, as the conservative practitioner would wait to ensure no rise in serum creatinine before concluding no AKI was present and stepping down care.</w:t>
      </w:r>
    </w:p>
    <w:p w14:paraId="03FA8FE5" w14:textId="0AC4B14F" w:rsidR="000B4E2C" w:rsidRPr="000B4E2C" w:rsidRDefault="002F0133" w:rsidP="008A7464">
      <w:r w:rsidRPr="000B4E2C">
        <w:t xml:space="preserve">The model assumes that all patients will receive the KDIGO care bundle once they are defined as AKI positive using current standard </w:t>
      </w:r>
      <w:r w:rsidRPr="000B4E2C">
        <w:rPr>
          <w:highlight w:val="magenta"/>
        </w:rPr>
        <w:t>practice</w:t>
      </w:r>
      <w:r w:rsidRPr="000B4E2C">
        <w:t xml:space="preserve"> methods (i.e.</w:t>
      </w:r>
      <w:r w:rsidR="00881500" w:rsidRPr="000B4E2C">
        <w:t>,</w:t>
      </w:r>
      <w:r w:rsidRPr="000B4E2C">
        <w:t xml:space="preserve"> monitoring serum creatinine and urine output), regardless of their NephroCheck or NGAL test result. The potential </w:t>
      </w:r>
      <w:r w:rsidR="00F751C8" w:rsidRPr="000B4E2C">
        <w:t xml:space="preserve">to </w:t>
      </w:r>
      <w:r w:rsidRPr="000B4E2C">
        <w:t xml:space="preserve">benefit </w:t>
      </w:r>
      <w:r w:rsidR="00F751C8" w:rsidRPr="000B4E2C">
        <w:t>from use of the biomarkers therefore</w:t>
      </w:r>
      <w:r w:rsidRPr="000B4E2C">
        <w:t xml:space="preserve"> lies in early adoption of a preventative care bundle. For patients testing positive, the model includes the functionality to reflect uncertainty in clinical </w:t>
      </w:r>
      <w:r w:rsidR="000B4E2C" w:rsidRPr="000B4E2C">
        <w:rPr>
          <w:color w:val="00B0F0"/>
        </w:rPr>
        <w:t>decision-mak</w:t>
      </w:r>
      <w:r w:rsidRPr="000B4E2C">
        <w:t xml:space="preserve">ing, that is the probability that a positive test would be acted upon. </w:t>
      </w:r>
      <w:r w:rsidR="00F751C8" w:rsidRPr="000B4E2C">
        <w:t>T</w:t>
      </w:r>
      <w:r w:rsidRPr="000B4E2C">
        <w:t>his</w:t>
      </w:r>
      <w:r w:rsidR="00F751C8" w:rsidRPr="000B4E2C">
        <w:t xml:space="preserve"> parameter</w:t>
      </w:r>
      <w:r w:rsidRPr="000B4E2C">
        <w:t xml:space="preserve"> is assumed </w:t>
      </w:r>
      <w:r w:rsidR="00F751C8" w:rsidRPr="000B4E2C">
        <w:t>to take a value of</w:t>
      </w:r>
      <w:r w:rsidRPr="000B4E2C">
        <w:t xml:space="preserve"> 100%, in accordance with best </w:t>
      </w:r>
      <w:r w:rsidRPr="000B4E2C">
        <w:rPr>
          <w:highlight w:val="magenta"/>
        </w:rPr>
        <w:t>practice</w:t>
      </w:r>
      <w:r w:rsidRPr="000B4E2C">
        <w:t xml:space="preserve"> guidance where positive biomarker tests should have a preventative KDIGO care bundle implemented with the associated costs. </w:t>
      </w:r>
      <w:r w:rsidR="000B4E2C" w:rsidRPr="000B4E2C">
        <w:rPr>
          <w:color w:val="00B0F0"/>
        </w:rPr>
        <w:t>While</w:t>
      </w:r>
      <w:r w:rsidRPr="000B4E2C">
        <w:t xml:space="preserve"> all positive test results will trigger the KDIGO bundle, only those who are TP will </w:t>
      </w:r>
      <w:r w:rsidR="00F751C8" w:rsidRPr="000B4E2C">
        <w:t>accrue any</w:t>
      </w:r>
      <w:r w:rsidRPr="000B4E2C">
        <w:t xml:space="preserve"> potential benefits of having their AKI averted, or having reduced severity (i.e.</w:t>
      </w:r>
      <w:r w:rsidR="00881500" w:rsidRPr="000B4E2C">
        <w:t>,</w:t>
      </w:r>
      <w:r w:rsidRPr="000B4E2C">
        <w:t xml:space="preserve"> peak KDIGO stage) AKI. For exploratory scenarios where a test might not be acted upon in </w:t>
      </w:r>
      <w:r w:rsidRPr="000B4E2C">
        <w:rPr>
          <w:highlight w:val="magenta"/>
        </w:rPr>
        <w:t>practice</w:t>
      </w:r>
      <w:r w:rsidRPr="000B4E2C">
        <w:t xml:space="preserve">, the cohort would follow standard care pathways according to whether they had AKI or not as measured using current clinical </w:t>
      </w:r>
      <w:r w:rsidRPr="000B4E2C">
        <w:rPr>
          <w:highlight w:val="magenta"/>
        </w:rPr>
        <w:t>practice</w:t>
      </w:r>
      <w:r w:rsidRPr="000B4E2C">
        <w:t>.</w:t>
      </w:r>
    </w:p>
    <w:p w14:paraId="40B8DCF5" w14:textId="77777777" w:rsidR="000B4E2C" w:rsidRPr="000B4E2C" w:rsidRDefault="002F0133" w:rsidP="008A7464">
      <w:pPr>
        <w:rPr>
          <w:color w:val="000000" w:themeColor="text1"/>
        </w:rPr>
      </w:pPr>
      <w:r w:rsidRPr="000B4E2C">
        <w:rPr>
          <w:color w:val="000000" w:themeColor="text1"/>
        </w:rPr>
        <w:lastRenderedPageBreak/>
        <w:t xml:space="preserve">There is </w:t>
      </w:r>
      <w:r w:rsidR="00845C85" w:rsidRPr="000B4E2C">
        <w:rPr>
          <w:color w:val="000000" w:themeColor="text1"/>
        </w:rPr>
        <w:t xml:space="preserve">limited </w:t>
      </w:r>
      <w:r w:rsidRPr="000B4E2C">
        <w:rPr>
          <w:color w:val="000000" w:themeColor="text1"/>
        </w:rPr>
        <w:t>direct evidence to describe the impact of the use of the AKI biomarkers on important health outcomes (such as need for ICU care, length of hospital stay, risk of 90-day mortality or development of new</w:t>
      </w:r>
      <w:r w:rsidR="000B4E2C" w:rsidRPr="000B4E2C">
        <w:rPr>
          <w:color w:val="00B0F0"/>
        </w:rPr>
        <w:t>/</w:t>
      </w:r>
      <w:r w:rsidRPr="000B4E2C">
        <w:rPr>
          <w:color w:val="000000" w:themeColor="text1"/>
        </w:rPr>
        <w:t xml:space="preserve">progression of existing chronic kidney disease). Therefore, a linked-evidence approach was required, where we have relied on observational associations to </w:t>
      </w:r>
      <w:r w:rsidRPr="000B4E2C">
        <w:rPr>
          <w:color w:val="000000" w:themeColor="text1"/>
          <w:highlight w:val="magenta"/>
        </w:rPr>
        <w:t>infer</w:t>
      </w:r>
      <w:r w:rsidRPr="000B4E2C">
        <w:rPr>
          <w:color w:val="000000" w:themeColor="text1"/>
        </w:rPr>
        <w:t xml:space="preserve"> how prevention or mitigation of AKI may affect changes in health outcomes. The associative effects are benefits of averting or mitigating AKI that </w:t>
      </w:r>
      <w:r w:rsidRPr="000B4E2C">
        <w:rPr>
          <w:color w:val="000000" w:themeColor="text1"/>
          <w:highlight w:val="magenta"/>
        </w:rPr>
        <w:t>lead</w:t>
      </w:r>
      <w:r w:rsidRPr="000B4E2C">
        <w:rPr>
          <w:color w:val="000000" w:themeColor="text1"/>
        </w:rPr>
        <w:t xml:space="preserve"> to better health outcomes (need for ICU care, CKD and mortality).</w:t>
      </w:r>
    </w:p>
    <w:p w14:paraId="49838098" w14:textId="77777777" w:rsidR="000B4E2C" w:rsidRPr="000B4E2C" w:rsidRDefault="002F0133" w:rsidP="00755DE2">
      <w:pPr>
        <w:rPr>
          <w:color w:val="000000" w:themeColor="text1"/>
        </w:rPr>
      </w:pPr>
      <w:r w:rsidRPr="000B4E2C">
        <w:rPr>
          <w:color w:val="000000" w:themeColor="text1"/>
        </w:rPr>
        <w:t xml:space="preserve">These associations necessitate causal assumptions, but while a causal link between AKI and poor outcomes is plausible, the extent of this causal relationship is uncertain and controversial. </w:t>
      </w:r>
      <w:r w:rsidR="00755DE2" w:rsidRPr="000B4E2C">
        <w:rPr>
          <w:color w:val="000000" w:themeColor="text1"/>
        </w:rPr>
        <w:t xml:space="preserve">It cannot necessarily be assumed that by averting or changing the severity of AKI, a patient would have the exact same risks (associative effects from the Grampain observational </w:t>
      </w:r>
      <w:r w:rsidR="00755DE2" w:rsidRPr="000B4E2C">
        <w:rPr>
          <w:color w:val="000000" w:themeColor="text1"/>
          <w:highlight w:val="magenta"/>
        </w:rPr>
        <w:t>data</w:t>
      </w:r>
      <w:r w:rsidR="00755DE2" w:rsidRPr="000B4E2C">
        <w:rPr>
          <w:color w:val="000000" w:themeColor="text1"/>
        </w:rPr>
        <w:t xml:space="preserve"> described above) of ICU and mortality as a patient who was never going to develop AKI in the first place.</w:t>
      </w:r>
    </w:p>
    <w:p w14:paraId="0D458A1C" w14:textId="7FF60104" w:rsidR="002F0133" w:rsidRPr="000B4E2C" w:rsidRDefault="002F0133" w:rsidP="008A7464">
      <w:pPr>
        <w:rPr>
          <w:color w:val="000000" w:themeColor="text1"/>
        </w:rPr>
      </w:pPr>
      <w:r w:rsidRPr="000B4E2C">
        <w:rPr>
          <w:color w:val="000000" w:themeColor="text1"/>
        </w:rPr>
        <w:t>As the true causal relationship between AKI and health outcomes is unknown, the model includes the functionality to apply none, all or a proportion of the relative risk of health outcomes such as ICU, mortality and CKD (A</w:t>
      </w:r>
      <w:r w:rsidR="00E907C2" w:rsidRPr="000B4E2C">
        <w:rPr>
          <w:color w:val="000000" w:themeColor="text1"/>
        </w:rPr>
        <w:t>KI</w:t>
      </w:r>
      <w:r w:rsidRPr="000B4E2C">
        <w:rPr>
          <w:color w:val="000000" w:themeColor="text1"/>
        </w:rPr>
        <w:t xml:space="preserve"> vs. none) to the AKI averted proportion of the cohort. This is achieved </w:t>
      </w:r>
      <w:r w:rsidR="000B4E2C" w:rsidRPr="000B4E2C">
        <w:rPr>
          <w:color w:val="00B0F0"/>
        </w:rPr>
        <w:t>while</w:t>
      </w:r>
      <w:r w:rsidRPr="000B4E2C">
        <w:rPr>
          <w:color w:val="000000" w:themeColor="text1"/>
        </w:rPr>
        <w:t xml:space="preserve"> maintaining the observational associations in the standard care arm of the model.</w:t>
      </w:r>
    </w:p>
    <w:p w14:paraId="0F442703" w14:textId="77777777" w:rsidR="000B4E2C" w:rsidRPr="000B4E2C" w:rsidRDefault="002F0133" w:rsidP="008A7464">
      <w:r w:rsidRPr="000B4E2C">
        <w:t>The base case analysis assumes that there are no adverse health consequences of a false positive test on either NephroCh</w:t>
      </w:r>
      <w:r w:rsidR="00A07828" w:rsidRPr="000B4E2C">
        <w:t xml:space="preserve">eck or NGAL. </w:t>
      </w:r>
      <w:r w:rsidR="001B6F61" w:rsidRPr="000B4E2C">
        <w:t>C</w:t>
      </w:r>
      <w:r w:rsidRPr="000B4E2C">
        <w:t xml:space="preserve">linical expert opinion indicates </w:t>
      </w:r>
      <w:r w:rsidR="001B6F61" w:rsidRPr="000B4E2C">
        <w:t xml:space="preserve">that </w:t>
      </w:r>
      <w:r w:rsidRPr="000B4E2C">
        <w:t xml:space="preserve">there may be a risk to </w:t>
      </w:r>
      <w:r w:rsidR="00E907C2" w:rsidRPr="000B4E2C">
        <w:t xml:space="preserve">a </w:t>
      </w:r>
      <w:r w:rsidRPr="000B4E2C">
        <w:t>patient</w:t>
      </w:r>
      <w:r w:rsidR="0072128A" w:rsidRPr="000B4E2C">
        <w:rPr>
          <w:color w:val="00B0F0"/>
        </w:rPr>
        <w:t>$$SingleQuoteE$$</w:t>
      </w:r>
      <w:r w:rsidRPr="000B4E2C">
        <w:t xml:space="preserve">s health of inappropriate fluid resuscitation, delay of access to appropriate imaging </w:t>
      </w:r>
      <w:r w:rsidRPr="000B4E2C">
        <w:rPr>
          <w:highlight w:val="magenta"/>
        </w:rPr>
        <w:t>due to</w:t>
      </w:r>
      <w:r w:rsidRPr="000B4E2C">
        <w:t xml:space="preserve"> concerns regarding contrast exposure, or removal of the most effective but potentially nephrotoxic treatments for a critically ill patient</w:t>
      </w:r>
      <w:r w:rsidR="00A07828" w:rsidRPr="000B4E2C">
        <w:t xml:space="preserve">. </w:t>
      </w:r>
      <w:r w:rsidR="001B6F61" w:rsidRPr="000B4E2C">
        <w:t>However</w:t>
      </w:r>
      <w:r w:rsidRPr="000B4E2C">
        <w:t>, the magnitude of this negative effect is difficult to quantify.</w:t>
      </w:r>
      <w:r w:rsidR="000B4E2C" w:rsidRPr="000B4E2C">
        <w:t xml:space="preserve"> </w:t>
      </w:r>
      <w:r w:rsidRPr="000B4E2C">
        <w:t>Sensitivity analysis therefore explores scenarios where an additional mortality risk is added for FP tests.</w:t>
      </w:r>
    </w:p>
    <w:p w14:paraId="4950D40C" w14:textId="53BAB251" w:rsidR="000B4E2C" w:rsidRPr="000B4E2C" w:rsidRDefault="002F0133" w:rsidP="008A7464">
      <w:r w:rsidRPr="000B4E2C">
        <w:t xml:space="preserve">In summary, the early stage, up to 90 days, costs and outcomes depend on a) the diagnostic accuracy of the test, b) clinical </w:t>
      </w:r>
      <w:r w:rsidR="000B4E2C" w:rsidRPr="000B4E2C">
        <w:rPr>
          <w:color w:val="00B0F0"/>
        </w:rPr>
        <w:t>decision-mak</w:t>
      </w:r>
      <w:r w:rsidRPr="000B4E2C">
        <w:t xml:space="preserve">ing in the presence of positive or negative test results, c) the initiation of a KDIGO care bundle to avert AKI and amend the distribution of peak AKI severity and d) the degree to which the hypothesised associative effects between AKI and final health outcomes, such as length of hospital stay, admission to ICU, need for RRT, 90 </w:t>
      </w:r>
      <w:r w:rsidR="00E907C2" w:rsidRPr="000B4E2C">
        <w:t>d</w:t>
      </w:r>
      <w:r w:rsidRPr="000B4E2C">
        <w:t>ay mortality and risk of CKD is modifiable simply by amending the AKI distribution.</w:t>
      </w:r>
    </w:p>
    <w:p w14:paraId="40710235" w14:textId="449954A3" w:rsidR="002F0133" w:rsidRPr="000B4E2C" w:rsidRDefault="002F0133" w:rsidP="008A7464">
      <w:pPr>
        <w:pStyle w:val="Heading4"/>
      </w:pPr>
      <w:r w:rsidRPr="000B4E2C">
        <w:t xml:space="preserve">Model structure: </w:t>
      </w:r>
      <w:r w:rsidRPr="000B4E2C">
        <w:rPr>
          <w:highlight w:val="magenta"/>
        </w:rPr>
        <w:t>follow up</w:t>
      </w:r>
      <w:r w:rsidRPr="000B4E2C">
        <w:t xml:space="preserve"> Markov model</w:t>
      </w:r>
    </w:p>
    <w:p w14:paraId="02A0F3C0" w14:textId="77777777" w:rsidR="000B4E2C" w:rsidRPr="000B4E2C" w:rsidRDefault="002F0133" w:rsidP="008A7464">
      <w:r w:rsidRPr="000B4E2C">
        <w:t xml:space="preserve">One potential route to patient benefit is that avoiding </w:t>
      </w:r>
      <w:r w:rsidR="00755DE2" w:rsidRPr="000B4E2C">
        <w:t>AKI or</w:t>
      </w:r>
      <w:r w:rsidRPr="000B4E2C">
        <w:t xml:space="preserve"> reducing its severity may reduce the risk of later developing CKD. As CKD is defined as a minimum of 3 months of persistent reduced renal function</w:t>
      </w:r>
      <w:r w:rsidR="00634CAC" w:rsidRPr="000B4E2C">
        <w:t>,</w:t>
      </w:r>
      <w:r w:rsidR="005B5026" w:rsidRPr="000B4E2C">
        <w:rPr>
          <w:noProof/>
          <w:vertAlign w:val="superscript"/>
        </w:rPr>
        <w:t>107, 108</w:t>
      </w:r>
      <w:r w:rsidRPr="000B4E2C">
        <w:t xml:space="preserve"> progression from AKI to CKD is incorporated in the Markov phase of the model.</w:t>
      </w:r>
    </w:p>
    <w:p w14:paraId="5121AB69" w14:textId="31A4436B" w:rsidR="000B4E2C" w:rsidRPr="000B4E2C" w:rsidRDefault="000B4E2C" w:rsidP="008A7464">
      <w:pPr>
        <w:autoSpaceDE w:val="0"/>
        <w:autoSpaceDN w:val="0"/>
        <w:adjustRightInd w:val="0"/>
        <w:jc w:val="both"/>
        <w:rPr>
          <w:color w:val="000000" w:themeColor="text1"/>
          <w:szCs w:val="24"/>
        </w:rPr>
      </w:pPr>
      <w:r w:rsidRPr="000B4E2C">
        <w:rPr>
          <w:i/>
          <w:color w:val="FF0000"/>
          <w:szCs w:val="24"/>
        </w:rPr>
        <w:t>F</w:t>
      </w:r>
      <w:r w:rsidRPr="000B4E2C">
        <w:rPr>
          <w:i/>
          <w:color w:val="FF0000"/>
          <w:szCs w:val="24"/>
        </w:rPr>
        <w:t>igure</w:t>
      </w:r>
      <w:r w:rsidRPr="000B4E2C">
        <w:rPr>
          <w:i/>
          <w:color w:val="FF0000"/>
          <w:szCs w:val="24"/>
        </w:rPr>
        <w:t xml:space="preserve"> </w:t>
      </w:r>
      <w:r w:rsidRPr="000B4E2C">
        <w:rPr>
          <w:i/>
          <w:color w:val="FF0000"/>
          <w:szCs w:val="24"/>
        </w:rPr>
        <w:t>21</w:t>
      </w:r>
      <w:r w:rsidR="002F0133" w:rsidRPr="000B4E2C">
        <w:rPr>
          <w:color w:val="000000" w:themeColor="text1"/>
          <w:szCs w:val="24"/>
        </w:rPr>
        <w:t xml:space="preserve"> illustrates the long term </w:t>
      </w:r>
      <w:r w:rsidR="002F0133" w:rsidRPr="000B4E2C">
        <w:rPr>
          <w:color w:val="000000" w:themeColor="text1"/>
          <w:szCs w:val="24"/>
          <w:highlight w:val="magenta"/>
        </w:rPr>
        <w:t>follow up</w:t>
      </w:r>
      <w:r w:rsidR="002F0133" w:rsidRPr="000B4E2C">
        <w:rPr>
          <w:color w:val="000000" w:themeColor="text1"/>
          <w:szCs w:val="24"/>
        </w:rPr>
        <w:t xml:space="preserve"> model structure.</w:t>
      </w:r>
    </w:p>
    <w:p w14:paraId="5524C772" w14:textId="3D443BE2" w:rsidR="000B4E2C" w:rsidRPr="000B4E2C" w:rsidRDefault="000B4E2C" w:rsidP="008A7464">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21</w:t>
      </w:r>
      <w:r w:rsidRPr="000B4E2C">
        <w:t xml:space="preserve"> </w:t>
      </w:r>
      <w:r w:rsidR="002F0133" w:rsidRPr="000B4E2C">
        <w:t>Markov chronic model phase structure</w:t>
      </w:r>
    </w:p>
    <w:p w14:paraId="5F1C2E37" w14:textId="32539F15" w:rsidR="000B4E2C" w:rsidRPr="000B4E2C" w:rsidRDefault="002F0133" w:rsidP="008A7464">
      <w:r w:rsidRPr="000B4E2C">
        <w:t xml:space="preserve">After 90 days, the surviving cohort </w:t>
      </w:r>
      <w:r w:rsidR="0011315A" w:rsidRPr="000B4E2C">
        <w:t xml:space="preserve">from each of the decision tree pathways </w:t>
      </w:r>
      <w:r w:rsidRPr="000B4E2C">
        <w:t>enters a life-time Markov model. The model follows a similar structure to Hall</w:t>
      </w:r>
      <w:r w:rsidRPr="000B4E2C">
        <w:rPr>
          <w:i/>
          <w:color w:val="00B0F0"/>
        </w:rPr>
        <w:t xml:space="preserve"> et al</w:t>
      </w:r>
      <w:r w:rsidR="005B5026" w:rsidRPr="000B4E2C">
        <w:rPr>
          <w:noProof/>
          <w:vertAlign w:val="superscript"/>
        </w:rPr>
        <w:t>99</w:t>
      </w:r>
      <w:r w:rsidRPr="000B4E2C">
        <w:t xml:space="preserve"> and Parikh</w:t>
      </w:r>
      <w:r w:rsidRPr="000B4E2C">
        <w:rPr>
          <w:i/>
          <w:color w:val="00B0F0"/>
        </w:rPr>
        <w:t xml:space="preserve"> et al</w:t>
      </w:r>
      <w:r w:rsidR="005B5026" w:rsidRPr="000B4E2C">
        <w:rPr>
          <w:noProof/>
          <w:vertAlign w:val="superscript"/>
        </w:rPr>
        <w:t>97</w:t>
      </w:r>
      <w:r w:rsidRPr="000B4E2C">
        <w:t xml:space="preserve"> with </w:t>
      </w:r>
      <w:r w:rsidR="00E907C2" w:rsidRPr="000B4E2C">
        <w:t>six</w:t>
      </w:r>
      <w:r w:rsidRPr="000B4E2C">
        <w:t xml:space="preserve"> mutually exclusive health states: outpatient </w:t>
      </w:r>
      <w:r w:rsidRPr="000B4E2C">
        <w:rPr>
          <w:highlight w:val="magenta"/>
        </w:rPr>
        <w:t>follow up</w:t>
      </w:r>
      <w:r w:rsidRPr="000B4E2C">
        <w:t>, chronic kidney disease (stages 1</w:t>
      </w:r>
      <w:r w:rsidR="000B4E2C" w:rsidRPr="000B4E2C">
        <w:rPr>
          <w:color w:val="00B0F0"/>
        </w:rPr>
        <w:t>–</w:t>
      </w:r>
      <w:r w:rsidR="000B4E2C" w:rsidRPr="000B4E2C">
        <w:rPr>
          <w:color w:val="00B0F0"/>
        </w:rPr>
        <w:t>4</w:t>
      </w:r>
      <w:r w:rsidRPr="000B4E2C">
        <w:t xml:space="preserve">), ESRD not requiring dialysis, ESRD requiring dialysis, </w:t>
      </w:r>
      <w:r w:rsidR="0011315A" w:rsidRPr="000B4E2C">
        <w:t>post-</w:t>
      </w:r>
      <w:r w:rsidR="00A07828" w:rsidRPr="000B4E2C">
        <w:t xml:space="preserve">transplant and death. </w:t>
      </w:r>
      <w:r w:rsidR="0011315A" w:rsidRPr="000B4E2C">
        <w:t>The cohort</w:t>
      </w:r>
      <w:r w:rsidRPr="000B4E2C">
        <w:t xml:space="preserve"> either enter the </w:t>
      </w:r>
      <w:r w:rsidR="0011315A" w:rsidRPr="000B4E2C">
        <w:t xml:space="preserve">model in the </w:t>
      </w:r>
      <w:r w:rsidRPr="000B4E2C">
        <w:t xml:space="preserve">outpatient </w:t>
      </w:r>
      <w:r w:rsidRPr="000B4E2C">
        <w:rPr>
          <w:highlight w:val="magenta"/>
        </w:rPr>
        <w:t>follow up</w:t>
      </w:r>
      <w:r w:rsidRPr="000B4E2C">
        <w:t xml:space="preserve"> state, where they experience an annual baseline risk of developing CKD, or they can directly enter in the CKD state, with the starting proportion in the CKD state determined by the underlying CKD prevalence, and the severity of AKI from the </w:t>
      </w:r>
      <w:r w:rsidR="0011315A" w:rsidRPr="000B4E2C">
        <w:t>acute (decision tree) phase of the model</w:t>
      </w:r>
      <w:r w:rsidR="00A07828" w:rsidRPr="000B4E2C">
        <w:t xml:space="preserve">. </w:t>
      </w:r>
      <w:r w:rsidRPr="000B4E2C">
        <w:t xml:space="preserve">The base case model assumes the outpatient cohort have an increased risk of CKD in the first cycle that is </w:t>
      </w:r>
      <w:r w:rsidRPr="000B4E2C">
        <w:rPr>
          <w:highlight w:val="magenta"/>
        </w:rPr>
        <w:t>dependent</w:t>
      </w:r>
      <w:r w:rsidRPr="000B4E2C">
        <w:t xml:space="preserve"> on their AKI experience, but thereafter the transition between the outpatient </w:t>
      </w:r>
      <w:r w:rsidRPr="000B4E2C">
        <w:rPr>
          <w:highlight w:val="magenta"/>
        </w:rPr>
        <w:t>follow up</w:t>
      </w:r>
      <w:r w:rsidRPr="000B4E2C">
        <w:t xml:space="preserve"> and CKD states is independent of whether a patient h</w:t>
      </w:r>
      <w:r w:rsidR="00A07828" w:rsidRPr="000B4E2C">
        <w:t xml:space="preserve">ad AKI in the hospital period. </w:t>
      </w:r>
      <w:r w:rsidRPr="000B4E2C">
        <w:t>Sensitivity analysis explores the impact of an increased CKD risk applied for the full life-time horizon</w:t>
      </w:r>
      <w:r w:rsidR="0011315A" w:rsidRPr="000B4E2C">
        <w:t xml:space="preserve"> as per Hall</w:t>
      </w:r>
      <w:r w:rsidR="0011315A" w:rsidRPr="000B4E2C">
        <w:rPr>
          <w:i/>
          <w:color w:val="00B0F0"/>
        </w:rPr>
        <w:t xml:space="preserve"> et al</w:t>
      </w:r>
      <w:r w:rsidR="00A07828" w:rsidRPr="000B4E2C">
        <w:t>.</w:t>
      </w:r>
      <w:r w:rsidR="005B5026" w:rsidRPr="000B4E2C">
        <w:rPr>
          <w:noProof/>
          <w:vertAlign w:val="superscript"/>
        </w:rPr>
        <w:t>99</w:t>
      </w:r>
    </w:p>
    <w:p w14:paraId="648E9255" w14:textId="3BBEB02A" w:rsidR="000B4E2C" w:rsidRPr="000B4E2C" w:rsidRDefault="002F0133" w:rsidP="008A7464">
      <w:r w:rsidRPr="000B4E2C">
        <w:t>The cohort are then modelled to transition through the disease pathway, starting with CKD stages 1</w:t>
      </w:r>
      <w:r w:rsidR="000B4E2C" w:rsidRPr="000B4E2C">
        <w:rPr>
          <w:color w:val="00B0F0"/>
        </w:rPr>
        <w:t>–</w:t>
      </w:r>
      <w:r w:rsidR="000B4E2C" w:rsidRPr="000B4E2C">
        <w:rPr>
          <w:color w:val="00B0F0"/>
        </w:rPr>
        <w:t>4</w:t>
      </w:r>
      <w:r w:rsidRPr="000B4E2C">
        <w:t xml:space="preserve"> (defined as a single Markov state), to ESRD, with or without the requirement for dialysis, the </w:t>
      </w:r>
      <w:r w:rsidR="001C0A1E" w:rsidRPr="000B4E2C">
        <w:t>need</w:t>
      </w:r>
      <w:r w:rsidRPr="000B4E2C">
        <w:t xml:space="preserve"> for transplant, the success or failure of that transplant, and ultimately progression to death with state specific mortality probabilities. The proportion of the cohort </w:t>
      </w:r>
      <w:r w:rsidR="001C0A1E" w:rsidRPr="000B4E2C">
        <w:t>having a transplant failure are assumed to</w:t>
      </w:r>
      <w:r w:rsidRPr="000B4E2C">
        <w:t xml:space="preserve"> return to</w:t>
      </w:r>
      <w:r w:rsidR="001C0A1E" w:rsidRPr="000B4E2C">
        <w:t xml:space="preserve"> the</w:t>
      </w:r>
      <w:r w:rsidRPr="000B4E2C">
        <w:t xml:space="preserve"> dialysis </w:t>
      </w:r>
      <w:r w:rsidR="001C0A1E" w:rsidRPr="000B4E2C">
        <w:t>health state where they have the</w:t>
      </w:r>
      <w:r w:rsidRPr="000B4E2C">
        <w:t xml:space="preserve"> same probabilities of a second transplant as a first. The cohort are exposed to a probability of all-cause mortality from each model state and are assigned mortality probabilities based on the higher value of age and sex adjusted </w:t>
      </w:r>
      <w:r w:rsidR="001B6F61" w:rsidRPr="000B4E2C">
        <w:t>all-cause mortality (</w:t>
      </w:r>
      <w:r w:rsidRPr="000B4E2C">
        <w:t>ACM</w:t>
      </w:r>
      <w:r w:rsidR="001B6F61" w:rsidRPr="000B4E2C">
        <w:t>)</w:t>
      </w:r>
      <w:r w:rsidRPr="000B4E2C">
        <w:t xml:space="preserve"> or the disease state specific mortality obtained from the literature.</w:t>
      </w:r>
    </w:p>
    <w:p w14:paraId="3693E0E1" w14:textId="5725E9FE" w:rsidR="002F0133" w:rsidRPr="000B4E2C" w:rsidRDefault="002F0133" w:rsidP="008A7464">
      <w:pPr>
        <w:pStyle w:val="Heading3"/>
      </w:pPr>
      <w:r w:rsidRPr="000B4E2C">
        <w:t>Model parameters – probabilities and duration of length of stay</w:t>
      </w:r>
    </w:p>
    <w:p w14:paraId="66E21CF1" w14:textId="6070DCE6" w:rsidR="000B4E2C" w:rsidRPr="000B4E2C" w:rsidRDefault="000B4E2C" w:rsidP="00F71E60">
      <w:pPr>
        <w:rPr>
          <w:lang w:val="en-GB" w:eastAsia="en-GB"/>
        </w:rPr>
      </w:pPr>
      <w:r w:rsidRPr="000B4E2C">
        <w:rPr>
          <w:i/>
          <w:color w:val="FF0000"/>
          <w:lang w:val="en-GB" w:eastAsia="en-GB"/>
        </w:rPr>
        <w:t>T</w:t>
      </w:r>
      <w:r w:rsidRPr="000B4E2C">
        <w:rPr>
          <w:i/>
          <w:color w:val="FF0000"/>
          <w:lang w:val="en-GB" w:eastAsia="en-GB"/>
        </w:rPr>
        <w:t>able</w:t>
      </w:r>
      <w:r w:rsidRPr="000B4E2C">
        <w:rPr>
          <w:i/>
          <w:color w:val="FF0000"/>
          <w:lang w:val="en-GB" w:eastAsia="en-GB"/>
        </w:rPr>
        <w:t xml:space="preserve"> </w:t>
      </w:r>
      <w:r w:rsidRPr="000B4E2C">
        <w:rPr>
          <w:i/>
          <w:color w:val="FF0000"/>
          <w:lang w:val="en-GB" w:eastAsia="en-GB"/>
        </w:rPr>
        <w:t>16</w:t>
      </w:r>
      <w:r w:rsidR="00F71E60" w:rsidRPr="000B4E2C">
        <w:rPr>
          <w:lang w:val="en-GB" w:eastAsia="en-GB"/>
        </w:rPr>
        <w:t xml:space="preserve"> summarises the probability, length of stay and relative effect size parameters used to populate the economic model</w:t>
      </w:r>
      <w:r w:rsidR="00F71E60" w:rsidRPr="000B4E2C">
        <w:rPr>
          <w:highlight w:val="magenta"/>
          <w:lang w:val="en-GB" w:eastAsia="en-GB"/>
        </w:rPr>
        <w:t>. Further</w:t>
      </w:r>
      <w:r w:rsidR="00F71E60" w:rsidRPr="000B4E2C">
        <w:rPr>
          <w:lang w:val="en-GB" w:eastAsia="en-GB"/>
        </w:rPr>
        <w:t xml:space="preserve"> details and description are provided in the sections that follow.</w:t>
      </w:r>
    </w:p>
    <w:p w14:paraId="0B33DB7A" w14:textId="6EC1B684" w:rsidR="0045468A" w:rsidRPr="000B4E2C" w:rsidRDefault="000B4E2C" w:rsidP="007D5F15">
      <w:pPr>
        <w:pStyle w:val="Heading2"/>
      </w:pPr>
      <w:r w:rsidRPr="000B4E2C">
        <w:rPr>
          <w:i/>
          <w:color w:val="FF0000"/>
        </w:rPr>
        <w:lastRenderedPageBreak/>
        <w:t>T</w:t>
      </w:r>
      <w:r w:rsidRPr="000B4E2C">
        <w:rPr>
          <w:i/>
          <w:color w:val="FF0000"/>
        </w:rPr>
        <w:t>able</w:t>
      </w:r>
      <w:r w:rsidRPr="000B4E2C">
        <w:rPr>
          <w:i/>
          <w:color w:val="FF0000"/>
        </w:rPr>
        <w:t xml:space="preserve"> </w:t>
      </w:r>
      <w:r w:rsidRPr="000B4E2C">
        <w:rPr>
          <w:i/>
          <w:color w:val="FF0000"/>
        </w:rPr>
        <w:t>16</w:t>
      </w:r>
      <w:r w:rsidR="0045468A" w:rsidRPr="000B4E2C">
        <w:tab/>
        <w:t>Probability, length of stay and relative risk parameters used in the economic model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16"/>
        <w:gridCol w:w="1600"/>
        <w:gridCol w:w="1312"/>
        <w:gridCol w:w="1625"/>
        <w:gridCol w:w="2273"/>
      </w:tblGrid>
      <w:tr w:rsidR="000B4E2C" w:rsidRPr="000B4E2C" w14:paraId="6A1E7440" w14:textId="77777777" w:rsidTr="000B4E2C">
        <w:trPr>
          <w:cantSplit/>
        </w:trPr>
        <w:tc>
          <w:tcPr>
            <w:tcW w:w="0" w:type="auto"/>
            <w:vAlign w:val="center"/>
            <w:hideMark/>
          </w:tcPr>
          <w:p w14:paraId="7F4EE85B" w14:textId="77777777" w:rsidR="0045468A" w:rsidRPr="000B4E2C" w:rsidRDefault="0045468A" w:rsidP="000B4E2C">
            <w:pPr>
              <w:autoSpaceDE w:val="0"/>
              <w:autoSpaceDN w:val="0"/>
              <w:adjustRightInd w:val="0"/>
              <w:rPr>
                <w:rFonts w:eastAsiaTheme="minorHAnsi"/>
                <w:b/>
                <w:color w:val="000000" w:themeColor="text1"/>
                <w:sz w:val="22"/>
                <w:lang w:val="en-GB"/>
              </w:rPr>
            </w:pPr>
            <w:r w:rsidRPr="000B4E2C">
              <w:rPr>
                <w:b/>
                <w:color w:val="000000" w:themeColor="text1"/>
                <w:sz w:val="22"/>
              </w:rPr>
              <w:t>Parameter</w:t>
            </w:r>
          </w:p>
        </w:tc>
        <w:tc>
          <w:tcPr>
            <w:tcW w:w="0" w:type="auto"/>
            <w:vAlign w:val="center"/>
            <w:hideMark/>
          </w:tcPr>
          <w:p w14:paraId="1134E006" w14:textId="77777777" w:rsidR="0045468A" w:rsidRPr="000B4E2C" w:rsidRDefault="0045468A" w:rsidP="000B4E2C">
            <w:pPr>
              <w:autoSpaceDE w:val="0"/>
              <w:autoSpaceDN w:val="0"/>
              <w:adjustRightInd w:val="0"/>
              <w:rPr>
                <w:b/>
                <w:color w:val="000000" w:themeColor="text1"/>
                <w:sz w:val="22"/>
              </w:rPr>
            </w:pPr>
            <w:r w:rsidRPr="000B4E2C">
              <w:rPr>
                <w:b/>
                <w:color w:val="000000" w:themeColor="text1"/>
                <w:sz w:val="22"/>
              </w:rPr>
              <w:t>Mean parameter value</w:t>
            </w:r>
          </w:p>
        </w:tc>
        <w:tc>
          <w:tcPr>
            <w:tcW w:w="0" w:type="auto"/>
            <w:vAlign w:val="center"/>
            <w:hideMark/>
          </w:tcPr>
          <w:p w14:paraId="34830E7D" w14:textId="1738A45A" w:rsidR="0045468A" w:rsidRPr="000B4E2C" w:rsidRDefault="00CF3F49" w:rsidP="000B4E2C">
            <w:pPr>
              <w:autoSpaceDE w:val="0"/>
              <w:autoSpaceDN w:val="0"/>
              <w:adjustRightInd w:val="0"/>
              <w:rPr>
                <w:b/>
                <w:color w:val="000000" w:themeColor="text1"/>
                <w:sz w:val="22"/>
              </w:rPr>
            </w:pPr>
            <w:r w:rsidRPr="000B4E2C">
              <w:rPr>
                <w:b/>
                <w:color w:val="000000" w:themeColor="text1"/>
                <w:sz w:val="22"/>
              </w:rPr>
              <w:t>Standard Error</w:t>
            </w:r>
          </w:p>
        </w:tc>
        <w:tc>
          <w:tcPr>
            <w:tcW w:w="0" w:type="auto"/>
            <w:vAlign w:val="center"/>
            <w:hideMark/>
          </w:tcPr>
          <w:p w14:paraId="22CF8FC1" w14:textId="77777777" w:rsidR="0045468A" w:rsidRPr="000B4E2C" w:rsidRDefault="0045468A" w:rsidP="000B4E2C">
            <w:pPr>
              <w:autoSpaceDE w:val="0"/>
              <w:autoSpaceDN w:val="0"/>
              <w:adjustRightInd w:val="0"/>
              <w:rPr>
                <w:b/>
                <w:color w:val="000000" w:themeColor="text1"/>
                <w:sz w:val="22"/>
              </w:rPr>
            </w:pPr>
            <w:r w:rsidRPr="000B4E2C">
              <w:rPr>
                <w:b/>
                <w:color w:val="000000" w:themeColor="text1"/>
                <w:sz w:val="22"/>
              </w:rPr>
              <w:t>Distribution</w:t>
            </w:r>
          </w:p>
        </w:tc>
        <w:tc>
          <w:tcPr>
            <w:tcW w:w="0" w:type="auto"/>
            <w:vAlign w:val="center"/>
            <w:hideMark/>
          </w:tcPr>
          <w:p w14:paraId="0FCA9763" w14:textId="77777777" w:rsidR="0045468A" w:rsidRPr="000B4E2C" w:rsidRDefault="0045468A" w:rsidP="000B4E2C">
            <w:pPr>
              <w:autoSpaceDE w:val="0"/>
              <w:autoSpaceDN w:val="0"/>
              <w:adjustRightInd w:val="0"/>
              <w:rPr>
                <w:b/>
                <w:color w:val="000000" w:themeColor="text1"/>
                <w:sz w:val="22"/>
              </w:rPr>
            </w:pPr>
            <w:r w:rsidRPr="000B4E2C">
              <w:rPr>
                <w:b/>
                <w:color w:val="000000" w:themeColor="text1"/>
                <w:sz w:val="22"/>
              </w:rPr>
              <w:t>Source</w:t>
            </w:r>
          </w:p>
        </w:tc>
      </w:tr>
      <w:tr w:rsidR="00AD673E" w:rsidRPr="000B4E2C" w14:paraId="6807D09C" w14:textId="77777777" w:rsidTr="000B4E2C">
        <w:trPr>
          <w:cantSplit/>
        </w:trPr>
        <w:tc>
          <w:tcPr>
            <w:tcW w:w="0" w:type="auto"/>
            <w:gridSpan w:val="5"/>
            <w:shd w:val="clear" w:color="auto" w:fill="D9D9D9" w:themeFill="background1" w:themeFillShade="D9"/>
            <w:hideMark/>
          </w:tcPr>
          <w:p w14:paraId="2D5E9970" w14:textId="4D6AFECD" w:rsidR="0045468A" w:rsidRPr="000B4E2C" w:rsidRDefault="0045468A" w:rsidP="000B4E2C">
            <w:pPr>
              <w:autoSpaceDE w:val="0"/>
              <w:autoSpaceDN w:val="0"/>
              <w:adjustRightInd w:val="0"/>
              <w:rPr>
                <w:b/>
                <w:bCs/>
                <w:color w:val="000000" w:themeColor="text1"/>
                <w:sz w:val="22"/>
              </w:rPr>
            </w:pPr>
            <w:r w:rsidRPr="000B4E2C">
              <w:rPr>
                <w:b/>
                <w:bCs/>
                <w:color w:val="000000" w:themeColor="text1"/>
                <w:sz w:val="22"/>
                <w:highlight w:val="magenta"/>
              </w:rPr>
              <w:t>Incidence</w:t>
            </w:r>
            <w:r w:rsidRPr="000B4E2C">
              <w:rPr>
                <w:b/>
                <w:bCs/>
                <w:color w:val="000000" w:themeColor="text1"/>
                <w:sz w:val="22"/>
              </w:rPr>
              <w:t xml:space="preserve"> of AKI</w:t>
            </w:r>
            <w:r w:rsidR="002039D4" w:rsidRPr="000B4E2C">
              <w:rPr>
                <w:b/>
                <w:bCs/>
                <w:color w:val="000000" w:themeColor="text1"/>
                <w:sz w:val="22"/>
                <w:vertAlign w:val="superscript"/>
              </w:rPr>
              <w:t>A</w:t>
            </w:r>
          </w:p>
        </w:tc>
      </w:tr>
      <w:tr w:rsidR="000B4E2C" w:rsidRPr="000B4E2C" w14:paraId="055A4F3E" w14:textId="77777777" w:rsidTr="000B4E2C">
        <w:trPr>
          <w:cantSplit/>
        </w:trPr>
        <w:tc>
          <w:tcPr>
            <w:tcW w:w="0" w:type="auto"/>
            <w:hideMark/>
          </w:tcPr>
          <w:p w14:paraId="74469497" w14:textId="77777777" w:rsidR="0045468A" w:rsidRPr="000B4E2C" w:rsidRDefault="0045468A" w:rsidP="000B4E2C">
            <w:pPr>
              <w:autoSpaceDE w:val="0"/>
              <w:autoSpaceDN w:val="0"/>
              <w:adjustRightInd w:val="0"/>
              <w:rPr>
                <w:b/>
                <w:bCs/>
                <w:color w:val="000000" w:themeColor="text1"/>
                <w:sz w:val="22"/>
              </w:rPr>
            </w:pPr>
            <w:r w:rsidRPr="000B4E2C">
              <w:rPr>
                <w:color w:val="000000" w:themeColor="text1"/>
                <w:sz w:val="22"/>
              </w:rPr>
              <w:t>No AKI</w:t>
            </w:r>
          </w:p>
        </w:tc>
        <w:tc>
          <w:tcPr>
            <w:tcW w:w="0" w:type="auto"/>
            <w:hideMark/>
          </w:tcPr>
          <w:p w14:paraId="52BF48CF" w14:textId="77777777" w:rsidR="0045468A" w:rsidRPr="000B4E2C" w:rsidRDefault="0045468A" w:rsidP="000B4E2C">
            <w:pPr>
              <w:autoSpaceDE w:val="0"/>
              <w:autoSpaceDN w:val="0"/>
              <w:adjustRightInd w:val="0"/>
              <w:rPr>
                <w:color w:val="000000" w:themeColor="text1"/>
                <w:sz w:val="22"/>
              </w:rPr>
            </w:pPr>
            <w:r w:rsidRPr="000B4E2C">
              <w:rPr>
                <w:color w:val="000000" w:themeColor="text1"/>
                <w:sz w:val="22"/>
              </w:rPr>
              <w:t>0.908</w:t>
            </w:r>
          </w:p>
        </w:tc>
        <w:tc>
          <w:tcPr>
            <w:tcW w:w="0" w:type="auto"/>
            <w:vAlign w:val="center"/>
          </w:tcPr>
          <w:p w14:paraId="0F591308" w14:textId="77777777" w:rsidR="0045468A" w:rsidRPr="000B4E2C" w:rsidRDefault="0045468A" w:rsidP="000B4E2C">
            <w:pPr>
              <w:autoSpaceDE w:val="0"/>
              <w:autoSpaceDN w:val="0"/>
              <w:adjustRightInd w:val="0"/>
              <w:rPr>
                <w:color w:val="000000" w:themeColor="text1"/>
                <w:sz w:val="22"/>
              </w:rPr>
            </w:pPr>
          </w:p>
        </w:tc>
        <w:tc>
          <w:tcPr>
            <w:tcW w:w="0" w:type="auto"/>
            <w:hideMark/>
          </w:tcPr>
          <w:p w14:paraId="673BC79C" w14:textId="77777777" w:rsidR="0045468A" w:rsidRPr="000B4E2C" w:rsidRDefault="0045468A" w:rsidP="000B4E2C">
            <w:pPr>
              <w:autoSpaceDE w:val="0"/>
              <w:autoSpaceDN w:val="0"/>
              <w:adjustRightInd w:val="0"/>
              <w:rPr>
                <w:bCs/>
                <w:color w:val="000000" w:themeColor="text1"/>
                <w:sz w:val="22"/>
              </w:rPr>
            </w:pPr>
            <w:r w:rsidRPr="000B4E2C">
              <w:rPr>
                <w:color w:val="000000" w:themeColor="text1"/>
                <w:sz w:val="22"/>
              </w:rPr>
              <w:t>Remainder</w:t>
            </w:r>
          </w:p>
        </w:tc>
        <w:tc>
          <w:tcPr>
            <w:tcW w:w="0" w:type="auto"/>
            <w:hideMark/>
          </w:tcPr>
          <w:p w14:paraId="7B65A43A" w14:textId="784C4ECF" w:rsidR="0045468A" w:rsidRPr="000B4E2C" w:rsidRDefault="00CF3F49" w:rsidP="000B4E2C">
            <w:pPr>
              <w:autoSpaceDE w:val="0"/>
              <w:autoSpaceDN w:val="0"/>
              <w:adjustRightInd w:val="0"/>
              <w:rPr>
                <w:bCs/>
                <w:color w:val="000000" w:themeColor="text1"/>
                <w:sz w:val="22"/>
              </w:rPr>
            </w:pPr>
            <w:r w:rsidRPr="000B4E2C">
              <w:rPr>
                <w:color w:val="000000" w:themeColor="text1"/>
                <w:sz w:val="22"/>
              </w:rPr>
              <w:t>Grampian data</w:t>
            </w:r>
            <w:r w:rsidR="00280A97" w:rsidRPr="000B4E2C">
              <w:rPr>
                <w:noProof/>
                <w:color w:val="000000" w:themeColor="text1"/>
                <w:sz w:val="22"/>
                <w:vertAlign w:val="superscript"/>
              </w:rPr>
              <w:t>109</w:t>
            </w:r>
          </w:p>
        </w:tc>
      </w:tr>
      <w:tr w:rsidR="000B4E2C" w:rsidRPr="000B4E2C" w14:paraId="47AB2108" w14:textId="77777777" w:rsidTr="000B4E2C">
        <w:trPr>
          <w:cantSplit/>
        </w:trPr>
        <w:tc>
          <w:tcPr>
            <w:tcW w:w="0" w:type="auto"/>
            <w:hideMark/>
          </w:tcPr>
          <w:p w14:paraId="749EAEE6" w14:textId="77777777" w:rsidR="0045468A" w:rsidRPr="000B4E2C" w:rsidRDefault="0045468A" w:rsidP="000B4E2C">
            <w:pPr>
              <w:autoSpaceDE w:val="0"/>
              <w:autoSpaceDN w:val="0"/>
              <w:adjustRightInd w:val="0"/>
              <w:rPr>
                <w:b/>
                <w:bCs/>
                <w:color w:val="000000" w:themeColor="text1"/>
                <w:sz w:val="22"/>
              </w:rPr>
            </w:pPr>
            <w:r w:rsidRPr="000B4E2C">
              <w:rPr>
                <w:color w:val="000000" w:themeColor="text1"/>
                <w:sz w:val="22"/>
              </w:rPr>
              <w:t>Any AKI</w:t>
            </w:r>
          </w:p>
        </w:tc>
        <w:tc>
          <w:tcPr>
            <w:tcW w:w="0" w:type="auto"/>
            <w:hideMark/>
          </w:tcPr>
          <w:p w14:paraId="06A8A24C" w14:textId="77777777" w:rsidR="0045468A" w:rsidRPr="000B4E2C" w:rsidRDefault="0045468A" w:rsidP="000B4E2C">
            <w:pPr>
              <w:autoSpaceDE w:val="0"/>
              <w:autoSpaceDN w:val="0"/>
              <w:adjustRightInd w:val="0"/>
              <w:rPr>
                <w:color w:val="000000" w:themeColor="text1"/>
                <w:sz w:val="22"/>
              </w:rPr>
            </w:pPr>
            <w:r w:rsidRPr="000B4E2C">
              <w:rPr>
                <w:color w:val="000000" w:themeColor="text1"/>
                <w:sz w:val="22"/>
              </w:rPr>
              <w:t>0.092</w:t>
            </w:r>
          </w:p>
        </w:tc>
        <w:tc>
          <w:tcPr>
            <w:tcW w:w="0" w:type="auto"/>
            <w:hideMark/>
          </w:tcPr>
          <w:p w14:paraId="0E66F117" w14:textId="77777777" w:rsidR="0045468A" w:rsidRPr="000B4E2C" w:rsidRDefault="0045468A" w:rsidP="000B4E2C">
            <w:pPr>
              <w:autoSpaceDE w:val="0"/>
              <w:autoSpaceDN w:val="0"/>
              <w:adjustRightInd w:val="0"/>
              <w:rPr>
                <w:color w:val="000000" w:themeColor="text1"/>
                <w:sz w:val="22"/>
              </w:rPr>
            </w:pPr>
            <w:r w:rsidRPr="000B4E2C">
              <w:rPr>
                <w:color w:val="000000" w:themeColor="text1"/>
                <w:sz w:val="22"/>
              </w:rPr>
              <w:t>--</w:t>
            </w:r>
          </w:p>
        </w:tc>
        <w:tc>
          <w:tcPr>
            <w:tcW w:w="0" w:type="auto"/>
            <w:hideMark/>
          </w:tcPr>
          <w:p w14:paraId="14A9C11A" w14:textId="77777777" w:rsidR="000B4E2C" w:rsidRPr="000B4E2C" w:rsidRDefault="0045468A" w:rsidP="000B4E2C">
            <w:pPr>
              <w:autoSpaceDE w:val="0"/>
              <w:autoSpaceDN w:val="0"/>
              <w:adjustRightInd w:val="0"/>
              <w:rPr>
                <w:color w:val="000000" w:themeColor="text1"/>
                <w:sz w:val="22"/>
              </w:rPr>
            </w:pPr>
            <w:r w:rsidRPr="000B4E2C">
              <w:rPr>
                <w:color w:val="000000" w:themeColor="text1"/>
                <w:sz w:val="22"/>
              </w:rPr>
              <w:t>Beta</w:t>
            </w:r>
            <w:r w:rsidR="00CF3F49" w:rsidRPr="000B4E2C">
              <w:rPr>
                <w:color w:val="000000" w:themeColor="text1"/>
                <w:sz w:val="22"/>
              </w:rPr>
              <w:t xml:space="preserve"> (count),</w:t>
            </w:r>
          </w:p>
          <w:p w14:paraId="1E3BAAAB" w14:textId="043953AB" w:rsidR="0045468A" w:rsidRPr="000B4E2C" w:rsidRDefault="00CF3F49" w:rsidP="000B4E2C">
            <w:pPr>
              <w:autoSpaceDE w:val="0"/>
              <w:autoSpaceDN w:val="0"/>
              <w:adjustRightInd w:val="0"/>
              <w:rPr>
                <w:bCs/>
                <w:color w:val="000000" w:themeColor="text1"/>
                <w:sz w:val="22"/>
              </w:rPr>
            </w:pPr>
            <w:r w:rsidRPr="000B4E2C">
              <w:rPr>
                <w:color w:val="000000" w:themeColor="text1"/>
                <w:sz w:val="22"/>
              </w:rPr>
              <w:t>(</w:t>
            </w:r>
            <w:r w:rsidRPr="000B4E2C">
              <w:rPr>
                <w:i/>
                <w:color w:val="00B0F0"/>
                <w:sz w:val="22"/>
              </w:rPr>
              <w:t>n</w:t>
            </w:r>
            <w:r w:rsidR="000B4E2C" w:rsidRPr="000B4E2C">
              <w:rPr>
                <w:color w:val="00B0F0"/>
                <w:sz w:val="22"/>
              </w:rPr>
              <w:t> = </w:t>
            </w:r>
            <w:r w:rsidRPr="000B4E2C">
              <w:rPr>
                <w:color w:val="000000" w:themeColor="text1"/>
                <w:sz w:val="22"/>
              </w:rPr>
              <w:t>4314, N</w:t>
            </w:r>
            <w:r w:rsidR="000B4E2C" w:rsidRPr="000B4E2C">
              <w:rPr>
                <w:color w:val="00B0F0"/>
                <w:sz w:val="22"/>
              </w:rPr>
              <w:t> = </w:t>
            </w:r>
            <w:r w:rsidRPr="000B4E2C">
              <w:rPr>
                <w:color w:val="000000" w:themeColor="text1"/>
                <w:sz w:val="22"/>
              </w:rPr>
              <w:t>46884)</w:t>
            </w:r>
          </w:p>
        </w:tc>
        <w:tc>
          <w:tcPr>
            <w:tcW w:w="0" w:type="auto"/>
            <w:hideMark/>
          </w:tcPr>
          <w:p w14:paraId="720F1525" w14:textId="73D49893" w:rsidR="0045468A" w:rsidRPr="000B4E2C" w:rsidRDefault="002D1880" w:rsidP="000B4E2C">
            <w:pPr>
              <w:autoSpaceDE w:val="0"/>
              <w:autoSpaceDN w:val="0"/>
              <w:adjustRightInd w:val="0"/>
              <w:rPr>
                <w:bCs/>
                <w:color w:val="000000" w:themeColor="text1"/>
                <w:sz w:val="22"/>
              </w:rPr>
            </w:pPr>
            <w:r w:rsidRPr="000B4E2C">
              <w:rPr>
                <w:color w:val="000000" w:themeColor="text1"/>
                <w:sz w:val="22"/>
              </w:rPr>
              <w:t>Grampian data</w:t>
            </w:r>
            <w:r w:rsidR="00280A97" w:rsidRPr="000B4E2C">
              <w:rPr>
                <w:noProof/>
                <w:color w:val="000000" w:themeColor="text1"/>
                <w:sz w:val="22"/>
                <w:vertAlign w:val="superscript"/>
              </w:rPr>
              <w:t>109</w:t>
            </w:r>
          </w:p>
        </w:tc>
      </w:tr>
      <w:tr w:rsidR="000B4E2C" w:rsidRPr="000B4E2C" w14:paraId="5CEBF607" w14:textId="77777777" w:rsidTr="000B4E2C">
        <w:trPr>
          <w:cantSplit/>
        </w:trPr>
        <w:tc>
          <w:tcPr>
            <w:tcW w:w="0" w:type="auto"/>
            <w:hideMark/>
          </w:tcPr>
          <w:p w14:paraId="714AFEE3" w14:textId="77777777" w:rsidR="000B4E2C" w:rsidRPr="000B4E2C" w:rsidRDefault="0045468A" w:rsidP="000B4E2C">
            <w:pPr>
              <w:pStyle w:val="CommentText"/>
              <w:rPr>
                <w:color w:val="000000" w:themeColor="text1"/>
                <w:sz w:val="22"/>
                <w:szCs w:val="22"/>
              </w:rPr>
            </w:pPr>
            <w:r w:rsidRPr="000B4E2C">
              <w:rPr>
                <w:color w:val="000000" w:themeColor="text1"/>
                <w:sz w:val="22"/>
                <w:szCs w:val="22"/>
              </w:rPr>
              <w:t>AKI1</w:t>
            </w:r>
          </w:p>
          <w:p w14:paraId="3EA94E5F" w14:textId="4F61AD87" w:rsidR="0045468A" w:rsidRPr="000B4E2C" w:rsidRDefault="0045468A" w:rsidP="000B4E2C">
            <w:pPr>
              <w:autoSpaceDE w:val="0"/>
              <w:autoSpaceDN w:val="0"/>
              <w:adjustRightInd w:val="0"/>
              <w:rPr>
                <w:b/>
                <w:bCs/>
                <w:color w:val="000000" w:themeColor="text1"/>
                <w:sz w:val="22"/>
              </w:rPr>
            </w:pPr>
            <w:r w:rsidRPr="000B4E2C">
              <w:rPr>
                <w:color w:val="000000" w:themeColor="text1"/>
                <w:sz w:val="22"/>
              </w:rPr>
              <w:t>(given AKI)</w:t>
            </w:r>
          </w:p>
        </w:tc>
        <w:tc>
          <w:tcPr>
            <w:tcW w:w="0" w:type="auto"/>
            <w:hideMark/>
          </w:tcPr>
          <w:p w14:paraId="00307366" w14:textId="77777777" w:rsidR="0045468A" w:rsidRPr="000B4E2C" w:rsidRDefault="0045468A" w:rsidP="000B4E2C">
            <w:pPr>
              <w:autoSpaceDE w:val="0"/>
              <w:autoSpaceDN w:val="0"/>
              <w:adjustRightInd w:val="0"/>
              <w:rPr>
                <w:color w:val="000000" w:themeColor="text1"/>
                <w:sz w:val="22"/>
              </w:rPr>
            </w:pPr>
            <w:r w:rsidRPr="000B4E2C">
              <w:rPr>
                <w:color w:val="000000" w:themeColor="text1"/>
                <w:sz w:val="22"/>
              </w:rPr>
              <w:t>0.687</w:t>
            </w:r>
          </w:p>
        </w:tc>
        <w:tc>
          <w:tcPr>
            <w:tcW w:w="0" w:type="auto"/>
            <w:hideMark/>
          </w:tcPr>
          <w:p w14:paraId="5DC7BE36" w14:textId="77777777" w:rsidR="0045468A" w:rsidRPr="000B4E2C" w:rsidRDefault="0045468A" w:rsidP="000B4E2C">
            <w:pPr>
              <w:autoSpaceDE w:val="0"/>
              <w:autoSpaceDN w:val="0"/>
              <w:adjustRightInd w:val="0"/>
              <w:rPr>
                <w:color w:val="000000" w:themeColor="text1"/>
                <w:sz w:val="22"/>
              </w:rPr>
            </w:pPr>
            <w:r w:rsidRPr="000B4E2C">
              <w:rPr>
                <w:color w:val="000000" w:themeColor="text1"/>
                <w:sz w:val="22"/>
              </w:rPr>
              <w:t>--</w:t>
            </w:r>
          </w:p>
        </w:tc>
        <w:tc>
          <w:tcPr>
            <w:tcW w:w="0" w:type="auto"/>
            <w:hideMark/>
          </w:tcPr>
          <w:p w14:paraId="52D8F343" w14:textId="77777777" w:rsidR="0045468A" w:rsidRPr="000B4E2C" w:rsidRDefault="0045468A" w:rsidP="000B4E2C">
            <w:pPr>
              <w:autoSpaceDE w:val="0"/>
              <w:autoSpaceDN w:val="0"/>
              <w:adjustRightInd w:val="0"/>
              <w:rPr>
                <w:bCs/>
                <w:color w:val="000000" w:themeColor="text1"/>
                <w:sz w:val="22"/>
              </w:rPr>
            </w:pPr>
            <w:r w:rsidRPr="000B4E2C">
              <w:rPr>
                <w:color w:val="000000" w:themeColor="text1"/>
                <w:sz w:val="22"/>
              </w:rPr>
              <w:t>Dirichlet</w:t>
            </w:r>
          </w:p>
        </w:tc>
        <w:tc>
          <w:tcPr>
            <w:tcW w:w="0" w:type="auto"/>
            <w:hideMark/>
          </w:tcPr>
          <w:p w14:paraId="67F92ACD" w14:textId="2C496DE2" w:rsidR="0045468A" w:rsidRPr="000B4E2C" w:rsidRDefault="002D1880" w:rsidP="000B4E2C">
            <w:pPr>
              <w:autoSpaceDE w:val="0"/>
              <w:autoSpaceDN w:val="0"/>
              <w:adjustRightInd w:val="0"/>
              <w:rPr>
                <w:bCs/>
                <w:color w:val="000000" w:themeColor="text1"/>
                <w:sz w:val="22"/>
              </w:rPr>
            </w:pPr>
            <w:r w:rsidRPr="000B4E2C">
              <w:rPr>
                <w:color w:val="000000" w:themeColor="text1"/>
                <w:sz w:val="22"/>
              </w:rPr>
              <w:t>Grampian data</w:t>
            </w:r>
            <w:r w:rsidR="00280A97" w:rsidRPr="000B4E2C">
              <w:rPr>
                <w:noProof/>
                <w:color w:val="000000" w:themeColor="text1"/>
                <w:sz w:val="22"/>
                <w:vertAlign w:val="superscript"/>
              </w:rPr>
              <w:t>109</w:t>
            </w:r>
          </w:p>
        </w:tc>
      </w:tr>
      <w:tr w:rsidR="000B4E2C" w:rsidRPr="000B4E2C" w14:paraId="17A1A942" w14:textId="77777777" w:rsidTr="000B4E2C">
        <w:trPr>
          <w:cantSplit/>
        </w:trPr>
        <w:tc>
          <w:tcPr>
            <w:tcW w:w="0" w:type="auto"/>
            <w:hideMark/>
          </w:tcPr>
          <w:p w14:paraId="49571293" w14:textId="77777777" w:rsidR="000B4E2C" w:rsidRPr="000B4E2C" w:rsidRDefault="0045468A" w:rsidP="000B4E2C">
            <w:pPr>
              <w:pStyle w:val="CommentText"/>
              <w:rPr>
                <w:color w:val="000000" w:themeColor="text1"/>
                <w:sz w:val="22"/>
                <w:szCs w:val="22"/>
              </w:rPr>
            </w:pPr>
            <w:r w:rsidRPr="000B4E2C">
              <w:rPr>
                <w:color w:val="000000" w:themeColor="text1"/>
                <w:sz w:val="22"/>
                <w:szCs w:val="22"/>
              </w:rPr>
              <w:t>AKI2</w:t>
            </w:r>
          </w:p>
          <w:p w14:paraId="3633727C" w14:textId="65214B6A" w:rsidR="0045468A" w:rsidRPr="000B4E2C" w:rsidRDefault="0045468A" w:rsidP="000B4E2C">
            <w:pPr>
              <w:autoSpaceDE w:val="0"/>
              <w:autoSpaceDN w:val="0"/>
              <w:adjustRightInd w:val="0"/>
              <w:rPr>
                <w:b/>
                <w:bCs/>
                <w:color w:val="000000" w:themeColor="text1"/>
                <w:sz w:val="22"/>
              </w:rPr>
            </w:pPr>
            <w:r w:rsidRPr="000B4E2C">
              <w:rPr>
                <w:color w:val="000000" w:themeColor="text1"/>
                <w:sz w:val="22"/>
              </w:rPr>
              <w:t>(given AKI)</w:t>
            </w:r>
          </w:p>
        </w:tc>
        <w:tc>
          <w:tcPr>
            <w:tcW w:w="0" w:type="auto"/>
            <w:hideMark/>
          </w:tcPr>
          <w:p w14:paraId="6EBBDC68" w14:textId="77777777" w:rsidR="0045468A" w:rsidRPr="000B4E2C" w:rsidRDefault="0045468A" w:rsidP="000B4E2C">
            <w:pPr>
              <w:autoSpaceDE w:val="0"/>
              <w:autoSpaceDN w:val="0"/>
              <w:adjustRightInd w:val="0"/>
              <w:rPr>
                <w:color w:val="000000" w:themeColor="text1"/>
                <w:sz w:val="22"/>
              </w:rPr>
            </w:pPr>
            <w:r w:rsidRPr="000B4E2C">
              <w:rPr>
                <w:color w:val="000000" w:themeColor="text1"/>
                <w:sz w:val="22"/>
              </w:rPr>
              <w:t>0.194</w:t>
            </w:r>
          </w:p>
        </w:tc>
        <w:tc>
          <w:tcPr>
            <w:tcW w:w="0" w:type="auto"/>
            <w:hideMark/>
          </w:tcPr>
          <w:p w14:paraId="3803680F" w14:textId="77777777" w:rsidR="0045468A" w:rsidRPr="000B4E2C" w:rsidRDefault="0045468A" w:rsidP="000B4E2C">
            <w:pPr>
              <w:autoSpaceDE w:val="0"/>
              <w:autoSpaceDN w:val="0"/>
              <w:adjustRightInd w:val="0"/>
              <w:rPr>
                <w:color w:val="000000" w:themeColor="text1"/>
                <w:sz w:val="22"/>
              </w:rPr>
            </w:pPr>
            <w:r w:rsidRPr="000B4E2C">
              <w:rPr>
                <w:color w:val="000000" w:themeColor="text1"/>
                <w:sz w:val="22"/>
              </w:rPr>
              <w:t>--</w:t>
            </w:r>
          </w:p>
        </w:tc>
        <w:tc>
          <w:tcPr>
            <w:tcW w:w="0" w:type="auto"/>
            <w:hideMark/>
          </w:tcPr>
          <w:p w14:paraId="75BBDF0A" w14:textId="77777777" w:rsidR="0045468A" w:rsidRPr="000B4E2C" w:rsidRDefault="0045468A" w:rsidP="000B4E2C">
            <w:pPr>
              <w:autoSpaceDE w:val="0"/>
              <w:autoSpaceDN w:val="0"/>
              <w:adjustRightInd w:val="0"/>
              <w:rPr>
                <w:bCs/>
                <w:color w:val="000000" w:themeColor="text1"/>
                <w:sz w:val="22"/>
              </w:rPr>
            </w:pPr>
            <w:r w:rsidRPr="000B4E2C">
              <w:rPr>
                <w:color w:val="000000" w:themeColor="text1"/>
                <w:sz w:val="22"/>
              </w:rPr>
              <w:t>Dirichlet</w:t>
            </w:r>
          </w:p>
        </w:tc>
        <w:tc>
          <w:tcPr>
            <w:tcW w:w="0" w:type="auto"/>
            <w:hideMark/>
          </w:tcPr>
          <w:p w14:paraId="4368696F" w14:textId="03900D10" w:rsidR="0045468A" w:rsidRPr="000B4E2C" w:rsidRDefault="002D1880" w:rsidP="000B4E2C">
            <w:pPr>
              <w:autoSpaceDE w:val="0"/>
              <w:autoSpaceDN w:val="0"/>
              <w:adjustRightInd w:val="0"/>
              <w:rPr>
                <w:bCs/>
                <w:color w:val="000000" w:themeColor="text1"/>
                <w:sz w:val="22"/>
              </w:rPr>
            </w:pPr>
            <w:r w:rsidRPr="000B4E2C">
              <w:rPr>
                <w:color w:val="000000" w:themeColor="text1"/>
                <w:sz w:val="22"/>
              </w:rPr>
              <w:t>Grampian data</w:t>
            </w:r>
            <w:r w:rsidR="00280A97" w:rsidRPr="000B4E2C">
              <w:rPr>
                <w:noProof/>
                <w:color w:val="000000" w:themeColor="text1"/>
                <w:sz w:val="22"/>
                <w:vertAlign w:val="superscript"/>
              </w:rPr>
              <w:t>109</w:t>
            </w:r>
          </w:p>
        </w:tc>
      </w:tr>
      <w:tr w:rsidR="000B4E2C" w:rsidRPr="000B4E2C" w14:paraId="248B4F8C" w14:textId="77777777" w:rsidTr="000B4E2C">
        <w:trPr>
          <w:cantSplit/>
        </w:trPr>
        <w:tc>
          <w:tcPr>
            <w:tcW w:w="0" w:type="auto"/>
            <w:hideMark/>
          </w:tcPr>
          <w:p w14:paraId="705BD4DB" w14:textId="77777777" w:rsidR="000B4E2C" w:rsidRPr="000B4E2C" w:rsidRDefault="0045468A" w:rsidP="000B4E2C">
            <w:pPr>
              <w:pStyle w:val="CommentText"/>
              <w:rPr>
                <w:color w:val="000000" w:themeColor="text1"/>
                <w:sz w:val="22"/>
                <w:szCs w:val="22"/>
              </w:rPr>
            </w:pPr>
            <w:r w:rsidRPr="000B4E2C">
              <w:rPr>
                <w:color w:val="000000" w:themeColor="text1"/>
                <w:sz w:val="22"/>
                <w:szCs w:val="22"/>
              </w:rPr>
              <w:t>AKI3</w:t>
            </w:r>
          </w:p>
          <w:p w14:paraId="4DC2C50B" w14:textId="2C706EEA" w:rsidR="0045468A" w:rsidRPr="000B4E2C" w:rsidRDefault="0045468A" w:rsidP="000B4E2C">
            <w:pPr>
              <w:autoSpaceDE w:val="0"/>
              <w:autoSpaceDN w:val="0"/>
              <w:adjustRightInd w:val="0"/>
              <w:rPr>
                <w:b/>
                <w:bCs/>
                <w:color w:val="000000" w:themeColor="text1"/>
                <w:sz w:val="22"/>
              </w:rPr>
            </w:pPr>
            <w:r w:rsidRPr="000B4E2C">
              <w:rPr>
                <w:color w:val="000000" w:themeColor="text1"/>
                <w:sz w:val="22"/>
              </w:rPr>
              <w:t>(given AKI)</w:t>
            </w:r>
          </w:p>
        </w:tc>
        <w:tc>
          <w:tcPr>
            <w:tcW w:w="0" w:type="auto"/>
            <w:hideMark/>
          </w:tcPr>
          <w:p w14:paraId="440E0752" w14:textId="77777777" w:rsidR="0045468A" w:rsidRPr="000B4E2C" w:rsidRDefault="0045468A" w:rsidP="000B4E2C">
            <w:pPr>
              <w:autoSpaceDE w:val="0"/>
              <w:autoSpaceDN w:val="0"/>
              <w:adjustRightInd w:val="0"/>
              <w:rPr>
                <w:color w:val="000000" w:themeColor="text1"/>
                <w:sz w:val="22"/>
              </w:rPr>
            </w:pPr>
            <w:r w:rsidRPr="000B4E2C">
              <w:rPr>
                <w:color w:val="000000" w:themeColor="text1"/>
                <w:sz w:val="22"/>
              </w:rPr>
              <w:t>0.119</w:t>
            </w:r>
          </w:p>
        </w:tc>
        <w:tc>
          <w:tcPr>
            <w:tcW w:w="0" w:type="auto"/>
            <w:hideMark/>
          </w:tcPr>
          <w:p w14:paraId="693BA3D6" w14:textId="77777777" w:rsidR="0045468A" w:rsidRPr="000B4E2C" w:rsidRDefault="0045468A" w:rsidP="000B4E2C">
            <w:pPr>
              <w:autoSpaceDE w:val="0"/>
              <w:autoSpaceDN w:val="0"/>
              <w:adjustRightInd w:val="0"/>
              <w:rPr>
                <w:color w:val="000000" w:themeColor="text1"/>
                <w:sz w:val="22"/>
              </w:rPr>
            </w:pPr>
            <w:r w:rsidRPr="000B4E2C">
              <w:rPr>
                <w:color w:val="000000" w:themeColor="text1"/>
                <w:sz w:val="22"/>
              </w:rPr>
              <w:t>--</w:t>
            </w:r>
          </w:p>
        </w:tc>
        <w:tc>
          <w:tcPr>
            <w:tcW w:w="0" w:type="auto"/>
            <w:hideMark/>
          </w:tcPr>
          <w:p w14:paraId="30093AC9" w14:textId="77777777" w:rsidR="0045468A" w:rsidRPr="000B4E2C" w:rsidRDefault="0045468A" w:rsidP="000B4E2C">
            <w:pPr>
              <w:autoSpaceDE w:val="0"/>
              <w:autoSpaceDN w:val="0"/>
              <w:adjustRightInd w:val="0"/>
              <w:rPr>
                <w:bCs/>
                <w:color w:val="000000" w:themeColor="text1"/>
                <w:sz w:val="22"/>
              </w:rPr>
            </w:pPr>
            <w:r w:rsidRPr="000B4E2C">
              <w:rPr>
                <w:color w:val="000000" w:themeColor="text1"/>
                <w:sz w:val="22"/>
              </w:rPr>
              <w:t>Dirichlet</w:t>
            </w:r>
          </w:p>
        </w:tc>
        <w:tc>
          <w:tcPr>
            <w:tcW w:w="0" w:type="auto"/>
            <w:hideMark/>
          </w:tcPr>
          <w:p w14:paraId="6D20F607" w14:textId="2161BDCD" w:rsidR="0045468A" w:rsidRPr="000B4E2C" w:rsidRDefault="002D1880" w:rsidP="000B4E2C">
            <w:pPr>
              <w:autoSpaceDE w:val="0"/>
              <w:autoSpaceDN w:val="0"/>
              <w:adjustRightInd w:val="0"/>
              <w:rPr>
                <w:bCs/>
                <w:color w:val="000000" w:themeColor="text1"/>
                <w:sz w:val="22"/>
              </w:rPr>
            </w:pPr>
            <w:r w:rsidRPr="000B4E2C">
              <w:rPr>
                <w:color w:val="000000" w:themeColor="text1"/>
                <w:sz w:val="22"/>
              </w:rPr>
              <w:t>Grampian data</w:t>
            </w:r>
            <w:r w:rsidR="00280A97" w:rsidRPr="000B4E2C">
              <w:rPr>
                <w:noProof/>
                <w:color w:val="000000" w:themeColor="text1"/>
                <w:sz w:val="22"/>
                <w:vertAlign w:val="superscript"/>
              </w:rPr>
              <w:t>109</w:t>
            </w:r>
          </w:p>
        </w:tc>
      </w:tr>
      <w:tr w:rsidR="00AD673E" w:rsidRPr="000B4E2C" w14:paraId="0912966D" w14:textId="77777777" w:rsidTr="000B4E2C">
        <w:trPr>
          <w:cantSplit/>
        </w:trPr>
        <w:tc>
          <w:tcPr>
            <w:tcW w:w="0" w:type="auto"/>
            <w:gridSpan w:val="5"/>
            <w:shd w:val="clear" w:color="auto" w:fill="D9D9D9" w:themeFill="background1" w:themeFillShade="D9"/>
            <w:hideMark/>
          </w:tcPr>
          <w:p w14:paraId="0F778202" w14:textId="77777777" w:rsidR="0045468A" w:rsidRPr="000B4E2C" w:rsidRDefault="0045468A" w:rsidP="000B4E2C">
            <w:pPr>
              <w:autoSpaceDE w:val="0"/>
              <w:autoSpaceDN w:val="0"/>
              <w:adjustRightInd w:val="0"/>
              <w:rPr>
                <w:bCs/>
                <w:color w:val="000000" w:themeColor="text1"/>
                <w:sz w:val="22"/>
              </w:rPr>
            </w:pPr>
            <w:r w:rsidRPr="000B4E2C">
              <w:rPr>
                <w:b/>
                <w:bCs/>
                <w:color w:val="000000" w:themeColor="text1"/>
                <w:sz w:val="22"/>
              </w:rPr>
              <w:t>Probability of ICU admission</w:t>
            </w:r>
          </w:p>
        </w:tc>
      </w:tr>
      <w:tr w:rsidR="000B4E2C" w:rsidRPr="000B4E2C" w14:paraId="441AED2C" w14:textId="77777777" w:rsidTr="000B4E2C">
        <w:trPr>
          <w:cantSplit/>
        </w:trPr>
        <w:tc>
          <w:tcPr>
            <w:tcW w:w="0" w:type="auto"/>
            <w:hideMark/>
          </w:tcPr>
          <w:p w14:paraId="3A82CFBA" w14:textId="77777777" w:rsidR="0045468A" w:rsidRPr="000B4E2C" w:rsidRDefault="0045468A" w:rsidP="000B4E2C">
            <w:pPr>
              <w:autoSpaceDE w:val="0"/>
              <w:autoSpaceDN w:val="0"/>
              <w:adjustRightInd w:val="0"/>
              <w:rPr>
                <w:b/>
                <w:bCs/>
                <w:color w:val="000000" w:themeColor="text1"/>
                <w:sz w:val="22"/>
              </w:rPr>
            </w:pPr>
            <w:r w:rsidRPr="000B4E2C">
              <w:rPr>
                <w:sz w:val="22"/>
              </w:rPr>
              <w:t>No AKI</w:t>
            </w:r>
          </w:p>
        </w:tc>
        <w:tc>
          <w:tcPr>
            <w:tcW w:w="0" w:type="auto"/>
            <w:hideMark/>
          </w:tcPr>
          <w:p w14:paraId="4767EAC3" w14:textId="77777777" w:rsidR="0045468A" w:rsidRPr="000B4E2C" w:rsidRDefault="0045468A" w:rsidP="000B4E2C">
            <w:pPr>
              <w:autoSpaceDE w:val="0"/>
              <w:autoSpaceDN w:val="0"/>
              <w:adjustRightInd w:val="0"/>
              <w:rPr>
                <w:color w:val="000000" w:themeColor="text1"/>
                <w:sz w:val="22"/>
              </w:rPr>
            </w:pPr>
            <w:r w:rsidRPr="000B4E2C">
              <w:rPr>
                <w:sz w:val="22"/>
              </w:rPr>
              <w:t>0.014</w:t>
            </w:r>
          </w:p>
        </w:tc>
        <w:tc>
          <w:tcPr>
            <w:tcW w:w="0" w:type="auto"/>
            <w:hideMark/>
          </w:tcPr>
          <w:p w14:paraId="78A60CA9" w14:textId="77777777" w:rsidR="0045468A" w:rsidRPr="000B4E2C" w:rsidRDefault="0045468A" w:rsidP="000B4E2C">
            <w:pPr>
              <w:autoSpaceDE w:val="0"/>
              <w:autoSpaceDN w:val="0"/>
              <w:adjustRightInd w:val="0"/>
              <w:rPr>
                <w:color w:val="000000" w:themeColor="text1"/>
                <w:sz w:val="22"/>
              </w:rPr>
            </w:pPr>
            <w:r w:rsidRPr="000B4E2C">
              <w:rPr>
                <w:sz w:val="22"/>
              </w:rPr>
              <w:t>0.0038</w:t>
            </w:r>
          </w:p>
        </w:tc>
        <w:tc>
          <w:tcPr>
            <w:tcW w:w="0" w:type="auto"/>
            <w:hideMark/>
          </w:tcPr>
          <w:p w14:paraId="154096B9" w14:textId="77777777" w:rsidR="0045468A" w:rsidRPr="000B4E2C" w:rsidRDefault="0045468A" w:rsidP="000B4E2C">
            <w:pPr>
              <w:autoSpaceDE w:val="0"/>
              <w:autoSpaceDN w:val="0"/>
              <w:adjustRightInd w:val="0"/>
              <w:rPr>
                <w:bCs/>
                <w:color w:val="000000" w:themeColor="text1"/>
                <w:sz w:val="22"/>
              </w:rPr>
            </w:pPr>
            <w:r w:rsidRPr="000B4E2C">
              <w:rPr>
                <w:sz w:val="22"/>
              </w:rPr>
              <w:t>Beta</w:t>
            </w:r>
          </w:p>
        </w:tc>
        <w:tc>
          <w:tcPr>
            <w:tcW w:w="0" w:type="auto"/>
            <w:hideMark/>
          </w:tcPr>
          <w:p w14:paraId="69E2FD43" w14:textId="29FEED7D" w:rsidR="0045468A" w:rsidRPr="000B4E2C" w:rsidRDefault="002D1880" w:rsidP="000B4E2C">
            <w:pPr>
              <w:autoSpaceDE w:val="0"/>
              <w:autoSpaceDN w:val="0"/>
              <w:adjustRightInd w:val="0"/>
              <w:rPr>
                <w:bCs/>
                <w:color w:val="000000" w:themeColor="text1"/>
                <w:sz w:val="22"/>
              </w:rPr>
            </w:pPr>
            <w:r w:rsidRPr="000B4E2C">
              <w:rPr>
                <w:sz w:val="22"/>
              </w:rPr>
              <w:t>Grampian data</w:t>
            </w:r>
            <w:r w:rsidRPr="000B4E2C">
              <w:rPr>
                <w:noProof/>
                <w:sz w:val="22"/>
                <w:vertAlign w:val="superscript"/>
              </w:rPr>
              <w:t>105</w:t>
            </w:r>
          </w:p>
        </w:tc>
      </w:tr>
      <w:tr w:rsidR="000B4E2C" w:rsidRPr="000B4E2C" w14:paraId="291B6BFD" w14:textId="77777777" w:rsidTr="000B4E2C">
        <w:trPr>
          <w:cantSplit/>
        </w:trPr>
        <w:tc>
          <w:tcPr>
            <w:tcW w:w="0" w:type="auto"/>
            <w:hideMark/>
          </w:tcPr>
          <w:p w14:paraId="58099829" w14:textId="77777777" w:rsidR="0045468A" w:rsidRPr="000B4E2C" w:rsidRDefault="0045468A" w:rsidP="000B4E2C">
            <w:pPr>
              <w:autoSpaceDE w:val="0"/>
              <w:autoSpaceDN w:val="0"/>
              <w:adjustRightInd w:val="0"/>
              <w:rPr>
                <w:b/>
                <w:bCs/>
                <w:color w:val="000000" w:themeColor="text1"/>
                <w:sz w:val="22"/>
              </w:rPr>
            </w:pPr>
            <w:r w:rsidRPr="000B4E2C">
              <w:rPr>
                <w:sz w:val="22"/>
              </w:rPr>
              <w:t>AKI 1</w:t>
            </w:r>
          </w:p>
        </w:tc>
        <w:tc>
          <w:tcPr>
            <w:tcW w:w="0" w:type="auto"/>
            <w:hideMark/>
          </w:tcPr>
          <w:p w14:paraId="031F3B4F" w14:textId="77777777" w:rsidR="0045468A" w:rsidRPr="000B4E2C" w:rsidRDefault="0045468A" w:rsidP="000B4E2C">
            <w:pPr>
              <w:autoSpaceDE w:val="0"/>
              <w:autoSpaceDN w:val="0"/>
              <w:adjustRightInd w:val="0"/>
              <w:rPr>
                <w:color w:val="000000" w:themeColor="text1"/>
                <w:sz w:val="22"/>
              </w:rPr>
            </w:pPr>
            <w:r w:rsidRPr="000B4E2C">
              <w:rPr>
                <w:sz w:val="22"/>
              </w:rPr>
              <w:t>0.100</w:t>
            </w:r>
          </w:p>
        </w:tc>
        <w:tc>
          <w:tcPr>
            <w:tcW w:w="0" w:type="auto"/>
            <w:hideMark/>
          </w:tcPr>
          <w:p w14:paraId="6032F414" w14:textId="77777777" w:rsidR="0045468A" w:rsidRPr="000B4E2C" w:rsidRDefault="0045468A" w:rsidP="000B4E2C">
            <w:pPr>
              <w:autoSpaceDE w:val="0"/>
              <w:autoSpaceDN w:val="0"/>
              <w:adjustRightInd w:val="0"/>
              <w:rPr>
                <w:color w:val="000000" w:themeColor="text1"/>
                <w:sz w:val="22"/>
              </w:rPr>
            </w:pPr>
            <w:r w:rsidRPr="000B4E2C">
              <w:rPr>
                <w:sz w:val="22"/>
              </w:rPr>
              <w:t>0.0254</w:t>
            </w:r>
          </w:p>
        </w:tc>
        <w:tc>
          <w:tcPr>
            <w:tcW w:w="0" w:type="auto"/>
            <w:hideMark/>
          </w:tcPr>
          <w:p w14:paraId="1DCA8DD2" w14:textId="77777777" w:rsidR="0045468A" w:rsidRPr="000B4E2C" w:rsidRDefault="0045468A" w:rsidP="000B4E2C">
            <w:pPr>
              <w:autoSpaceDE w:val="0"/>
              <w:autoSpaceDN w:val="0"/>
              <w:adjustRightInd w:val="0"/>
              <w:rPr>
                <w:bCs/>
                <w:color w:val="000000" w:themeColor="text1"/>
                <w:sz w:val="22"/>
              </w:rPr>
            </w:pPr>
            <w:r w:rsidRPr="000B4E2C">
              <w:rPr>
                <w:sz w:val="22"/>
              </w:rPr>
              <w:t>Beta</w:t>
            </w:r>
          </w:p>
        </w:tc>
        <w:tc>
          <w:tcPr>
            <w:tcW w:w="0" w:type="auto"/>
            <w:hideMark/>
          </w:tcPr>
          <w:p w14:paraId="7EAF60A4" w14:textId="6370F953" w:rsidR="0045468A" w:rsidRPr="000B4E2C" w:rsidRDefault="002D1880" w:rsidP="000B4E2C">
            <w:pPr>
              <w:autoSpaceDE w:val="0"/>
              <w:autoSpaceDN w:val="0"/>
              <w:adjustRightInd w:val="0"/>
              <w:rPr>
                <w:bCs/>
                <w:color w:val="000000" w:themeColor="text1"/>
                <w:sz w:val="22"/>
              </w:rPr>
            </w:pPr>
            <w:r w:rsidRPr="000B4E2C">
              <w:rPr>
                <w:sz w:val="22"/>
              </w:rPr>
              <w:t>Grampian data</w:t>
            </w:r>
            <w:r w:rsidRPr="000B4E2C">
              <w:rPr>
                <w:noProof/>
                <w:sz w:val="22"/>
                <w:vertAlign w:val="superscript"/>
              </w:rPr>
              <w:t>105</w:t>
            </w:r>
          </w:p>
        </w:tc>
      </w:tr>
      <w:tr w:rsidR="00AD673E" w:rsidRPr="000B4E2C" w14:paraId="5E7CF825" w14:textId="77777777" w:rsidTr="000B4E2C">
        <w:trPr>
          <w:cantSplit/>
        </w:trPr>
        <w:tc>
          <w:tcPr>
            <w:tcW w:w="0" w:type="auto"/>
            <w:gridSpan w:val="5"/>
            <w:hideMark/>
          </w:tcPr>
          <w:p w14:paraId="1C0A9EDB" w14:textId="77777777" w:rsidR="0045468A" w:rsidRPr="000B4E2C" w:rsidRDefault="0045468A" w:rsidP="000B4E2C">
            <w:pPr>
              <w:autoSpaceDE w:val="0"/>
              <w:autoSpaceDN w:val="0"/>
              <w:adjustRightInd w:val="0"/>
              <w:rPr>
                <w:i/>
                <w:sz w:val="22"/>
              </w:rPr>
            </w:pPr>
            <w:r w:rsidRPr="000B4E2C">
              <w:rPr>
                <w:i/>
                <w:sz w:val="22"/>
              </w:rPr>
              <w:t>RR of ICU admission vs. AKI1</w:t>
            </w:r>
          </w:p>
        </w:tc>
      </w:tr>
      <w:tr w:rsidR="000B4E2C" w:rsidRPr="000B4E2C" w14:paraId="4FD9A727" w14:textId="77777777" w:rsidTr="000B4E2C">
        <w:trPr>
          <w:cantSplit/>
        </w:trPr>
        <w:tc>
          <w:tcPr>
            <w:tcW w:w="0" w:type="auto"/>
            <w:hideMark/>
          </w:tcPr>
          <w:p w14:paraId="7B48934E" w14:textId="77777777" w:rsidR="0045468A" w:rsidRPr="000B4E2C" w:rsidRDefault="0045468A" w:rsidP="000B4E2C">
            <w:pPr>
              <w:autoSpaceDE w:val="0"/>
              <w:autoSpaceDN w:val="0"/>
              <w:adjustRightInd w:val="0"/>
              <w:rPr>
                <w:b/>
                <w:bCs/>
                <w:color w:val="000000" w:themeColor="text1"/>
                <w:sz w:val="22"/>
              </w:rPr>
            </w:pPr>
            <w:r w:rsidRPr="000B4E2C">
              <w:rPr>
                <w:sz w:val="22"/>
              </w:rPr>
              <w:t>AKI 2</w:t>
            </w:r>
          </w:p>
        </w:tc>
        <w:tc>
          <w:tcPr>
            <w:tcW w:w="0" w:type="auto"/>
            <w:hideMark/>
          </w:tcPr>
          <w:p w14:paraId="2A481ECF" w14:textId="77777777" w:rsidR="0045468A" w:rsidRPr="000B4E2C" w:rsidRDefault="0045468A" w:rsidP="000B4E2C">
            <w:pPr>
              <w:autoSpaceDE w:val="0"/>
              <w:autoSpaceDN w:val="0"/>
              <w:adjustRightInd w:val="0"/>
              <w:rPr>
                <w:color w:val="000000" w:themeColor="text1"/>
                <w:sz w:val="22"/>
              </w:rPr>
            </w:pPr>
            <w:r w:rsidRPr="000B4E2C">
              <w:rPr>
                <w:sz w:val="22"/>
              </w:rPr>
              <w:t>1.423</w:t>
            </w:r>
          </w:p>
        </w:tc>
        <w:tc>
          <w:tcPr>
            <w:tcW w:w="0" w:type="auto"/>
            <w:hideMark/>
          </w:tcPr>
          <w:p w14:paraId="2BD2AE43" w14:textId="77777777" w:rsidR="0045468A" w:rsidRPr="000B4E2C" w:rsidRDefault="0045468A" w:rsidP="000B4E2C">
            <w:pPr>
              <w:autoSpaceDE w:val="0"/>
              <w:autoSpaceDN w:val="0"/>
              <w:adjustRightInd w:val="0"/>
              <w:rPr>
                <w:color w:val="000000" w:themeColor="text1"/>
                <w:sz w:val="22"/>
              </w:rPr>
            </w:pPr>
            <w:r w:rsidRPr="000B4E2C">
              <w:rPr>
                <w:sz w:val="22"/>
              </w:rPr>
              <w:t>0.1082</w:t>
            </w:r>
          </w:p>
        </w:tc>
        <w:tc>
          <w:tcPr>
            <w:tcW w:w="0" w:type="auto"/>
            <w:hideMark/>
          </w:tcPr>
          <w:p w14:paraId="4C74099F" w14:textId="77777777" w:rsidR="0045468A" w:rsidRPr="000B4E2C" w:rsidRDefault="0045468A" w:rsidP="000B4E2C">
            <w:pPr>
              <w:autoSpaceDE w:val="0"/>
              <w:autoSpaceDN w:val="0"/>
              <w:adjustRightInd w:val="0"/>
              <w:rPr>
                <w:bCs/>
                <w:color w:val="000000" w:themeColor="text1"/>
                <w:sz w:val="22"/>
              </w:rPr>
            </w:pPr>
            <w:r w:rsidRPr="000B4E2C">
              <w:rPr>
                <w:sz w:val="22"/>
              </w:rPr>
              <w:t>LN vs. AKI 1</w:t>
            </w:r>
          </w:p>
        </w:tc>
        <w:tc>
          <w:tcPr>
            <w:tcW w:w="0" w:type="auto"/>
            <w:hideMark/>
          </w:tcPr>
          <w:p w14:paraId="1AA1E4F7" w14:textId="4980E029" w:rsidR="0045468A" w:rsidRPr="000B4E2C" w:rsidRDefault="002D1880" w:rsidP="000B4E2C">
            <w:pPr>
              <w:autoSpaceDE w:val="0"/>
              <w:autoSpaceDN w:val="0"/>
              <w:adjustRightInd w:val="0"/>
              <w:rPr>
                <w:bCs/>
                <w:color w:val="000000" w:themeColor="text1"/>
                <w:sz w:val="22"/>
              </w:rPr>
            </w:pPr>
            <w:r w:rsidRPr="000B4E2C">
              <w:rPr>
                <w:sz w:val="22"/>
              </w:rPr>
              <w:t>Grampian data</w:t>
            </w:r>
            <w:r w:rsidRPr="000B4E2C">
              <w:rPr>
                <w:noProof/>
                <w:sz w:val="22"/>
                <w:vertAlign w:val="superscript"/>
              </w:rPr>
              <w:t>105</w:t>
            </w:r>
          </w:p>
        </w:tc>
      </w:tr>
      <w:tr w:rsidR="000B4E2C" w:rsidRPr="000B4E2C" w14:paraId="238A4A84" w14:textId="77777777" w:rsidTr="000B4E2C">
        <w:trPr>
          <w:cantSplit/>
        </w:trPr>
        <w:tc>
          <w:tcPr>
            <w:tcW w:w="0" w:type="auto"/>
            <w:hideMark/>
          </w:tcPr>
          <w:p w14:paraId="6BEE71AF" w14:textId="77777777" w:rsidR="0045468A" w:rsidRPr="000B4E2C" w:rsidRDefault="0045468A" w:rsidP="000B4E2C">
            <w:pPr>
              <w:autoSpaceDE w:val="0"/>
              <w:autoSpaceDN w:val="0"/>
              <w:adjustRightInd w:val="0"/>
              <w:rPr>
                <w:b/>
                <w:bCs/>
                <w:color w:val="000000" w:themeColor="text1"/>
                <w:sz w:val="22"/>
              </w:rPr>
            </w:pPr>
            <w:r w:rsidRPr="000B4E2C">
              <w:rPr>
                <w:sz w:val="22"/>
              </w:rPr>
              <w:t>AKI 3</w:t>
            </w:r>
          </w:p>
        </w:tc>
        <w:tc>
          <w:tcPr>
            <w:tcW w:w="0" w:type="auto"/>
            <w:hideMark/>
          </w:tcPr>
          <w:p w14:paraId="358C43B5" w14:textId="77777777" w:rsidR="0045468A" w:rsidRPr="000B4E2C" w:rsidRDefault="0045468A" w:rsidP="000B4E2C">
            <w:pPr>
              <w:autoSpaceDE w:val="0"/>
              <w:autoSpaceDN w:val="0"/>
              <w:adjustRightInd w:val="0"/>
              <w:rPr>
                <w:color w:val="000000" w:themeColor="text1"/>
                <w:sz w:val="22"/>
              </w:rPr>
            </w:pPr>
            <w:r w:rsidRPr="000B4E2C">
              <w:rPr>
                <w:sz w:val="22"/>
              </w:rPr>
              <w:t>1.930</w:t>
            </w:r>
          </w:p>
        </w:tc>
        <w:tc>
          <w:tcPr>
            <w:tcW w:w="0" w:type="auto"/>
            <w:hideMark/>
          </w:tcPr>
          <w:p w14:paraId="610E376A" w14:textId="77777777" w:rsidR="0045468A" w:rsidRPr="000B4E2C" w:rsidRDefault="0045468A" w:rsidP="000B4E2C">
            <w:pPr>
              <w:autoSpaceDE w:val="0"/>
              <w:autoSpaceDN w:val="0"/>
              <w:adjustRightInd w:val="0"/>
              <w:rPr>
                <w:color w:val="000000" w:themeColor="text1"/>
                <w:sz w:val="22"/>
              </w:rPr>
            </w:pPr>
            <w:r w:rsidRPr="000B4E2C">
              <w:rPr>
                <w:sz w:val="22"/>
              </w:rPr>
              <w:t>0.1096</w:t>
            </w:r>
          </w:p>
        </w:tc>
        <w:tc>
          <w:tcPr>
            <w:tcW w:w="0" w:type="auto"/>
            <w:hideMark/>
          </w:tcPr>
          <w:p w14:paraId="7970D457" w14:textId="77777777" w:rsidR="0045468A" w:rsidRPr="000B4E2C" w:rsidRDefault="0045468A" w:rsidP="000B4E2C">
            <w:pPr>
              <w:autoSpaceDE w:val="0"/>
              <w:autoSpaceDN w:val="0"/>
              <w:adjustRightInd w:val="0"/>
              <w:rPr>
                <w:bCs/>
                <w:color w:val="000000" w:themeColor="text1"/>
                <w:sz w:val="22"/>
              </w:rPr>
            </w:pPr>
            <w:r w:rsidRPr="000B4E2C">
              <w:rPr>
                <w:sz w:val="22"/>
              </w:rPr>
              <w:t>LN vs. AKI 1</w:t>
            </w:r>
          </w:p>
        </w:tc>
        <w:tc>
          <w:tcPr>
            <w:tcW w:w="0" w:type="auto"/>
            <w:hideMark/>
          </w:tcPr>
          <w:p w14:paraId="788F10F4" w14:textId="7AA42FE9" w:rsidR="0045468A" w:rsidRPr="000B4E2C" w:rsidRDefault="002D1880" w:rsidP="000B4E2C">
            <w:pPr>
              <w:autoSpaceDE w:val="0"/>
              <w:autoSpaceDN w:val="0"/>
              <w:adjustRightInd w:val="0"/>
              <w:rPr>
                <w:bCs/>
                <w:color w:val="000000" w:themeColor="text1"/>
                <w:sz w:val="22"/>
              </w:rPr>
            </w:pPr>
            <w:r w:rsidRPr="000B4E2C">
              <w:rPr>
                <w:sz w:val="22"/>
              </w:rPr>
              <w:t>Grampian data</w:t>
            </w:r>
            <w:r w:rsidRPr="000B4E2C">
              <w:rPr>
                <w:noProof/>
                <w:sz w:val="22"/>
                <w:vertAlign w:val="superscript"/>
              </w:rPr>
              <w:t>105</w:t>
            </w:r>
          </w:p>
        </w:tc>
      </w:tr>
      <w:tr w:rsidR="00AD673E" w:rsidRPr="000B4E2C" w14:paraId="33894F09" w14:textId="77777777" w:rsidTr="000B4E2C">
        <w:trPr>
          <w:cantSplit/>
        </w:trPr>
        <w:tc>
          <w:tcPr>
            <w:tcW w:w="0" w:type="auto"/>
            <w:gridSpan w:val="5"/>
            <w:shd w:val="clear" w:color="auto" w:fill="D9D9D9" w:themeFill="background1" w:themeFillShade="D9"/>
            <w:hideMark/>
          </w:tcPr>
          <w:p w14:paraId="0B5976C2" w14:textId="77777777" w:rsidR="0045468A" w:rsidRPr="000B4E2C" w:rsidRDefault="0045468A" w:rsidP="000B4E2C">
            <w:pPr>
              <w:autoSpaceDE w:val="0"/>
              <w:autoSpaceDN w:val="0"/>
              <w:adjustRightInd w:val="0"/>
              <w:rPr>
                <w:bCs/>
                <w:color w:val="000000" w:themeColor="text1"/>
                <w:sz w:val="22"/>
              </w:rPr>
            </w:pPr>
            <w:r w:rsidRPr="000B4E2C">
              <w:rPr>
                <w:b/>
                <w:sz w:val="22"/>
              </w:rPr>
              <w:t>Probability of 90 Day mortality</w:t>
            </w:r>
          </w:p>
        </w:tc>
      </w:tr>
      <w:tr w:rsidR="000B4E2C" w:rsidRPr="000B4E2C" w14:paraId="405047B0" w14:textId="77777777" w:rsidTr="000B4E2C">
        <w:trPr>
          <w:cantSplit/>
        </w:trPr>
        <w:tc>
          <w:tcPr>
            <w:tcW w:w="0" w:type="auto"/>
            <w:hideMark/>
          </w:tcPr>
          <w:p w14:paraId="2D02ED49" w14:textId="77777777" w:rsidR="002D1880" w:rsidRPr="000B4E2C" w:rsidRDefault="002D1880" w:rsidP="000B4E2C">
            <w:pPr>
              <w:autoSpaceDE w:val="0"/>
              <w:autoSpaceDN w:val="0"/>
              <w:adjustRightInd w:val="0"/>
              <w:rPr>
                <w:b/>
                <w:sz w:val="22"/>
              </w:rPr>
            </w:pPr>
            <w:r w:rsidRPr="000B4E2C">
              <w:rPr>
                <w:sz w:val="22"/>
              </w:rPr>
              <w:t>No AKI</w:t>
            </w:r>
          </w:p>
        </w:tc>
        <w:tc>
          <w:tcPr>
            <w:tcW w:w="0" w:type="auto"/>
            <w:hideMark/>
          </w:tcPr>
          <w:p w14:paraId="6455E349" w14:textId="77777777" w:rsidR="002D1880" w:rsidRPr="000B4E2C" w:rsidRDefault="002D1880" w:rsidP="000B4E2C">
            <w:pPr>
              <w:autoSpaceDE w:val="0"/>
              <w:autoSpaceDN w:val="0"/>
              <w:adjustRightInd w:val="0"/>
              <w:rPr>
                <w:color w:val="000000" w:themeColor="text1"/>
                <w:sz w:val="22"/>
              </w:rPr>
            </w:pPr>
            <w:r w:rsidRPr="000B4E2C">
              <w:rPr>
                <w:sz w:val="22"/>
              </w:rPr>
              <w:t>0.049</w:t>
            </w:r>
          </w:p>
        </w:tc>
        <w:tc>
          <w:tcPr>
            <w:tcW w:w="0" w:type="auto"/>
            <w:hideMark/>
          </w:tcPr>
          <w:p w14:paraId="4DFD493A" w14:textId="77777777" w:rsidR="002D1880" w:rsidRPr="000B4E2C" w:rsidRDefault="002D1880" w:rsidP="000B4E2C">
            <w:pPr>
              <w:autoSpaceDE w:val="0"/>
              <w:autoSpaceDN w:val="0"/>
              <w:adjustRightInd w:val="0"/>
              <w:rPr>
                <w:color w:val="000000" w:themeColor="text1"/>
                <w:sz w:val="22"/>
              </w:rPr>
            </w:pPr>
            <w:r w:rsidRPr="000B4E2C">
              <w:rPr>
                <w:sz w:val="22"/>
              </w:rPr>
              <w:t>0.0069</w:t>
            </w:r>
          </w:p>
        </w:tc>
        <w:tc>
          <w:tcPr>
            <w:tcW w:w="0" w:type="auto"/>
            <w:hideMark/>
          </w:tcPr>
          <w:p w14:paraId="08EF0A85" w14:textId="77777777" w:rsidR="002D1880" w:rsidRPr="000B4E2C" w:rsidRDefault="002D1880" w:rsidP="000B4E2C">
            <w:pPr>
              <w:autoSpaceDE w:val="0"/>
              <w:autoSpaceDN w:val="0"/>
              <w:adjustRightInd w:val="0"/>
              <w:rPr>
                <w:bCs/>
                <w:color w:val="000000" w:themeColor="text1"/>
                <w:sz w:val="22"/>
              </w:rPr>
            </w:pPr>
            <w:r w:rsidRPr="000B4E2C">
              <w:rPr>
                <w:sz w:val="22"/>
              </w:rPr>
              <w:t>Beta</w:t>
            </w:r>
          </w:p>
        </w:tc>
        <w:tc>
          <w:tcPr>
            <w:tcW w:w="0" w:type="auto"/>
            <w:hideMark/>
          </w:tcPr>
          <w:p w14:paraId="557338A0" w14:textId="4E74DF7A" w:rsidR="002D1880" w:rsidRPr="000B4E2C" w:rsidRDefault="002D1880" w:rsidP="000B4E2C">
            <w:pPr>
              <w:autoSpaceDE w:val="0"/>
              <w:autoSpaceDN w:val="0"/>
              <w:adjustRightInd w:val="0"/>
              <w:rPr>
                <w:bCs/>
                <w:color w:val="000000" w:themeColor="text1"/>
                <w:sz w:val="22"/>
              </w:rPr>
            </w:pPr>
            <w:r w:rsidRPr="000B4E2C">
              <w:rPr>
                <w:sz w:val="22"/>
              </w:rPr>
              <w:t>Grampian data</w:t>
            </w:r>
            <w:r w:rsidRPr="000B4E2C">
              <w:rPr>
                <w:noProof/>
                <w:sz w:val="22"/>
                <w:vertAlign w:val="superscript"/>
              </w:rPr>
              <w:t>105</w:t>
            </w:r>
          </w:p>
        </w:tc>
      </w:tr>
      <w:tr w:rsidR="000B4E2C" w:rsidRPr="000B4E2C" w14:paraId="26B0BC85" w14:textId="77777777" w:rsidTr="000B4E2C">
        <w:trPr>
          <w:cantSplit/>
        </w:trPr>
        <w:tc>
          <w:tcPr>
            <w:tcW w:w="0" w:type="auto"/>
            <w:hideMark/>
          </w:tcPr>
          <w:p w14:paraId="62DB048D" w14:textId="77777777" w:rsidR="002D1880" w:rsidRPr="000B4E2C" w:rsidRDefault="002D1880" w:rsidP="000B4E2C">
            <w:pPr>
              <w:autoSpaceDE w:val="0"/>
              <w:autoSpaceDN w:val="0"/>
              <w:adjustRightInd w:val="0"/>
              <w:rPr>
                <w:b/>
                <w:sz w:val="22"/>
              </w:rPr>
            </w:pPr>
            <w:r w:rsidRPr="000B4E2C">
              <w:rPr>
                <w:sz w:val="22"/>
              </w:rPr>
              <w:t>AKI 1</w:t>
            </w:r>
          </w:p>
        </w:tc>
        <w:tc>
          <w:tcPr>
            <w:tcW w:w="0" w:type="auto"/>
            <w:hideMark/>
          </w:tcPr>
          <w:p w14:paraId="074A785B"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0.215</w:t>
            </w:r>
          </w:p>
        </w:tc>
        <w:tc>
          <w:tcPr>
            <w:tcW w:w="0" w:type="auto"/>
            <w:hideMark/>
          </w:tcPr>
          <w:p w14:paraId="4EF7FA73" w14:textId="77777777" w:rsidR="002D1880" w:rsidRPr="000B4E2C" w:rsidRDefault="002D1880" w:rsidP="000B4E2C">
            <w:pPr>
              <w:autoSpaceDE w:val="0"/>
              <w:autoSpaceDN w:val="0"/>
              <w:adjustRightInd w:val="0"/>
              <w:rPr>
                <w:color w:val="000000" w:themeColor="text1"/>
                <w:sz w:val="22"/>
              </w:rPr>
            </w:pPr>
            <w:r w:rsidRPr="000B4E2C">
              <w:rPr>
                <w:sz w:val="22"/>
              </w:rPr>
              <w:t>0.0347</w:t>
            </w:r>
          </w:p>
        </w:tc>
        <w:tc>
          <w:tcPr>
            <w:tcW w:w="0" w:type="auto"/>
            <w:hideMark/>
          </w:tcPr>
          <w:p w14:paraId="1A4FDAE2" w14:textId="77777777" w:rsidR="002D1880" w:rsidRPr="000B4E2C" w:rsidRDefault="002D1880" w:rsidP="000B4E2C">
            <w:pPr>
              <w:autoSpaceDE w:val="0"/>
              <w:autoSpaceDN w:val="0"/>
              <w:adjustRightInd w:val="0"/>
              <w:rPr>
                <w:bCs/>
                <w:color w:val="000000" w:themeColor="text1"/>
                <w:sz w:val="22"/>
              </w:rPr>
            </w:pPr>
            <w:r w:rsidRPr="000B4E2C">
              <w:rPr>
                <w:sz w:val="22"/>
              </w:rPr>
              <w:t>Beta</w:t>
            </w:r>
          </w:p>
        </w:tc>
        <w:tc>
          <w:tcPr>
            <w:tcW w:w="0" w:type="auto"/>
            <w:hideMark/>
          </w:tcPr>
          <w:p w14:paraId="048CC00F" w14:textId="6E76FAD7" w:rsidR="002D1880" w:rsidRPr="000B4E2C" w:rsidRDefault="002D1880" w:rsidP="000B4E2C">
            <w:pPr>
              <w:autoSpaceDE w:val="0"/>
              <w:autoSpaceDN w:val="0"/>
              <w:adjustRightInd w:val="0"/>
              <w:rPr>
                <w:bCs/>
                <w:color w:val="000000" w:themeColor="text1"/>
                <w:sz w:val="22"/>
              </w:rPr>
            </w:pPr>
            <w:r w:rsidRPr="000B4E2C">
              <w:rPr>
                <w:sz w:val="22"/>
              </w:rPr>
              <w:t>Grampian data</w:t>
            </w:r>
            <w:r w:rsidRPr="000B4E2C">
              <w:rPr>
                <w:noProof/>
                <w:sz w:val="22"/>
                <w:vertAlign w:val="superscript"/>
              </w:rPr>
              <w:t>105</w:t>
            </w:r>
          </w:p>
        </w:tc>
      </w:tr>
      <w:tr w:rsidR="00AD673E" w:rsidRPr="000B4E2C" w14:paraId="6DB1F3F5" w14:textId="77777777" w:rsidTr="000B4E2C">
        <w:trPr>
          <w:cantSplit/>
        </w:trPr>
        <w:tc>
          <w:tcPr>
            <w:tcW w:w="0" w:type="auto"/>
            <w:gridSpan w:val="5"/>
            <w:hideMark/>
          </w:tcPr>
          <w:p w14:paraId="653CEF37" w14:textId="77777777" w:rsidR="0045468A" w:rsidRPr="000B4E2C" w:rsidRDefault="0045468A" w:rsidP="000B4E2C">
            <w:pPr>
              <w:autoSpaceDE w:val="0"/>
              <w:autoSpaceDN w:val="0"/>
              <w:adjustRightInd w:val="0"/>
              <w:rPr>
                <w:bCs/>
                <w:i/>
                <w:color w:val="000000" w:themeColor="text1"/>
                <w:sz w:val="22"/>
              </w:rPr>
            </w:pPr>
            <w:r w:rsidRPr="000B4E2C">
              <w:rPr>
                <w:i/>
                <w:color w:val="000000" w:themeColor="text1"/>
                <w:sz w:val="22"/>
              </w:rPr>
              <w:t>RR of 90-day mortality vs. AKI1</w:t>
            </w:r>
          </w:p>
        </w:tc>
      </w:tr>
      <w:tr w:rsidR="000B4E2C" w:rsidRPr="000B4E2C" w14:paraId="6FFE0977" w14:textId="77777777" w:rsidTr="000B4E2C">
        <w:trPr>
          <w:cantSplit/>
        </w:trPr>
        <w:tc>
          <w:tcPr>
            <w:tcW w:w="0" w:type="auto"/>
            <w:hideMark/>
          </w:tcPr>
          <w:p w14:paraId="5EE8FC2E" w14:textId="77777777" w:rsidR="002D1880" w:rsidRPr="000B4E2C" w:rsidRDefault="002D1880" w:rsidP="000B4E2C">
            <w:pPr>
              <w:autoSpaceDE w:val="0"/>
              <w:autoSpaceDN w:val="0"/>
              <w:adjustRightInd w:val="0"/>
              <w:rPr>
                <w:b/>
                <w:sz w:val="22"/>
              </w:rPr>
            </w:pPr>
            <w:r w:rsidRPr="000B4E2C">
              <w:rPr>
                <w:sz w:val="22"/>
              </w:rPr>
              <w:t>AKI 2</w:t>
            </w:r>
          </w:p>
        </w:tc>
        <w:tc>
          <w:tcPr>
            <w:tcW w:w="0" w:type="auto"/>
            <w:hideMark/>
          </w:tcPr>
          <w:p w14:paraId="2B1F6C6B" w14:textId="77777777" w:rsidR="002D1880" w:rsidRPr="000B4E2C" w:rsidRDefault="002D1880" w:rsidP="000B4E2C">
            <w:pPr>
              <w:autoSpaceDE w:val="0"/>
              <w:autoSpaceDN w:val="0"/>
              <w:adjustRightInd w:val="0"/>
              <w:rPr>
                <w:color w:val="000000" w:themeColor="text1"/>
                <w:sz w:val="22"/>
              </w:rPr>
            </w:pPr>
            <w:r w:rsidRPr="000B4E2C">
              <w:rPr>
                <w:sz w:val="22"/>
              </w:rPr>
              <w:t>1.602</w:t>
            </w:r>
          </w:p>
        </w:tc>
        <w:tc>
          <w:tcPr>
            <w:tcW w:w="0" w:type="auto"/>
            <w:hideMark/>
          </w:tcPr>
          <w:p w14:paraId="6F8F1A70" w14:textId="77777777" w:rsidR="002D1880" w:rsidRPr="000B4E2C" w:rsidRDefault="002D1880" w:rsidP="000B4E2C">
            <w:pPr>
              <w:autoSpaceDE w:val="0"/>
              <w:autoSpaceDN w:val="0"/>
              <w:adjustRightInd w:val="0"/>
              <w:rPr>
                <w:color w:val="000000" w:themeColor="text1"/>
                <w:sz w:val="22"/>
              </w:rPr>
            </w:pPr>
            <w:r w:rsidRPr="000B4E2C">
              <w:rPr>
                <w:sz w:val="22"/>
              </w:rPr>
              <w:t>0.0640</w:t>
            </w:r>
          </w:p>
        </w:tc>
        <w:tc>
          <w:tcPr>
            <w:tcW w:w="0" w:type="auto"/>
            <w:hideMark/>
          </w:tcPr>
          <w:p w14:paraId="5FF62529" w14:textId="77777777" w:rsidR="002D1880" w:rsidRPr="000B4E2C" w:rsidRDefault="002D1880" w:rsidP="000B4E2C">
            <w:pPr>
              <w:autoSpaceDE w:val="0"/>
              <w:autoSpaceDN w:val="0"/>
              <w:adjustRightInd w:val="0"/>
              <w:rPr>
                <w:bCs/>
                <w:color w:val="000000" w:themeColor="text1"/>
                <w:sz w:val="22"/>
              </w:rPr>
            </w:pPr>
            <w:r w:rsidRPr="000B4E2C">
              <w:rPr>
                <w:sz w:val="22"/>
              </w:rPr>
              <w:t>LN vs. AKI 1</w:t>
            </w:r>
          </w:p>
        </w:tc>
        <w:tc>
          <w:tcPr>
            <w:tcW w:w="0" w:type="auto"/>
            <w:hideMark/>
          </w:tcPr>
          <w:p w14:paraId="00FC7415" w14:textId="24A735CF" w:rsidR="002D1880" w:rsidRPr="000B4E2C" w:rsidRDefault="002D1880" w:rsidP="000B4E2C">
            <w:pPr>
              <w:autoSpaceDE w:val="0"/>
              <w:autoSpaceDN w:val="0"/>
              <w:adjustRightInd w:val="0"/>
              <w:rPr>
                <w:bCs/>
                <w:color w:val="000000" w:themeColor="text1"/>
                <w:sz w:val="22"/>
              </w:rPr>
            </w:pPr>
            <w:r w:rsidRPr="000B4E2C">
              <w:rPr>
                <w:sz w:val="22"/>
              </w:rPr>
              <w:t>Grampian data</w:t>
            </w:r>
            <w:r w:rsidRPr="000B4E2C">
              <w:rPr>
                <w:noProof/>
                <w:sz w:val="22"/>
                <w:vertAlign w:val="superscript"/>
              </w:rPr>
              <w:t>105</w:t>
            </w:r>
          </w:p>
        </w:tc>
      </w:tr>
      <w:tr w:rsidR="000B4E2C" w:rsidRPr="000B4E2C" w14:paraId="575C3FC4" w14:textId="77777777" w:rsidTr="000B4E2C">
        <w:trPr>
          <w:cantSplit/>
        </w:trPr>
        <w:tc>
          <w:tcPr>
            <w:tcW w:w="0" w:type="auto"/>
            <w:hideMark/>
          </w:tcPr>
          <w:p w14:paraId="7FBE1124" w14:textId="77777777" w:rsidR="002D1880" w:rsidRPr="000B4E2C" w:rsidRDefault="002D1880" w:rsidP="000B4E2C">
            <w:pPr>
              <w:autoSpaceDE w:val="0"/>
              <w:autoSpaceDN w:val="0"/>
              <w:adjustRightInd w:val="0"/>
              <w:rPr>
                <w:b/>
                <w:sz w:val="22"/>
              </w:rPr>
            </w:pPr>
            <w:r w:rsidRPr="000B4E2C">
              <w:rPr>
                <w:sz w:val="22"/>
              </w:rPr>
              <w:t>AKI 3</w:t>
            </w:r>
          </w:p>
        </w:tc>
        <w:tc>
          <w:tcPr>
            <w:tcW w:w="0" w:type="auto"/>
            <w:hideMark/>
          </w:tcPr>
          <w:p w14:paraId="39A481A6" w14:textId="77777777" w:rsidR="002D1880" w:rsidRPr="000B4E2C" w:rsidRDefault="002D1880" w:rsidP="000B4E2C">
            <w:pPr>
              <w:autoSpaceDE w:val="0"/>
              <w:autoSpaceDN w:val="0"/>
              <w:adjustRightInd w:val="0"/>
              <w:rPr>
                <w:color w:val="000000" w:themeColor="text1"/>
                <w:sz w:val="22"/>
              </w:rPr>
            </w:pPr>
            <w:r w:rsidRPr="000B4E2C">
              <w:rPr>
                <w:sz w:val="22"/>
              </w:rPr>
              <w:t>2.151</w:t>
            </w:r>
          </w:p>
        </w:tc>
        <w:tc>
          <w:tcPr>
            <w:tcW w:w="0" w:type="auto"/>
            <w:hideMark/>
          </w:tcPr>
          <w:p w14:paraId="770E829C" w14:textId="77777777" w:rsidR="002D1880" w:rsidRPr="000B4E2C" w:rsidRDefault="002D1880" w:rsidP="000B4E2C">
            <w:pPr>
              <w:autoSpaceDE w:val="0"/>
              <w:autoSpaceDN w:val="0"/>
              <w:adjustRightInd w:val="0"/>
              <w:rPr>
                <w:color w:val="000000" w:themeColor="text1"/>
                <w:sz w:val="22"/>
              </w:rPr>
            </w:pPr>
            <w:r w:rsidRPr="000B4E2C">
              <w:rPr>
                <w:sz w:val="22"/>
              </w:rPr>
              <w:t>0.0624</w:t>
            </w:r>
          </w:p>
        </w:tc>
        <w:tc>
          <w:tcPr>
            <w:tcW w:w="0" w:type="auto"/>
            <w:hideMark/>
          </w:tcPr>
          <w:p w14:paraId="02B59B8D" w14:textId="77777777" w:rsidR="002D1880" w:rsidRPr="000B4E2C" w:rsidRDefault="002D1880" w:rsidP="000B4E2C">
            <w:pPr>
              <w:autoSpaceDE w:val="0"/>
              <w:autoSpaceDN w:val="0"/>
              <w:adjustRightInd w:val="0"/>
              <w:rPr>
                <w:bCs/>
                <w:color w:val="000000" w:themeColor="text1"/>
                <w:sz w:val="22"/>
              </w:rPr>
            </w:pPr>
            <w:r w:rsidRPr="000B4E2C">
              <w:rPr>
                <w:sz w:val="22"/>
              </w:rPr>
              <w:t>LN vs. AKI 1</w:t>
            </w:r>
          </w:p>
        </w:tc>
        <w:tc>
          <w:tcPr>
            <w:tcW w:w="0" w:type="auto"/>
            <w:hideMark/>
          </w:tcPr>
          <w:p w14:paraId="0C1D33E3" w14:textId="466B73FA" w:rsidR="002D1880" w:rsidRPr="000B4E2C" w:rsidRDefault="002D1880" w:rsidP="000B4E2C">
            <w:pPr>
              <w:autoSpaceDE w:val="0"/>
              <w:autoSpaceDN w:val="0"/>
              <w:adjustRightInd w:val="0"/>
              <w:rPr>
                <w:bCs/>
                <w:color w:val="000000" w:themeColor="text1"/>
                <w:sz w:val="22"/>
              </w:rPr>
            </w:pPr>
            <w:r w:rsidRPr="000B4E2C">
              <w:rPr>
                <w:sz w:val="22"/>
              </w:rPr>
              <w:t>Grampian data</w:t>
            </w:r>
            <w:r w:rsidRPr="000B4E2C">
              <w:rPr>
                <w:noProof/>
                <w:sz w:val="22"/>
                <w:vertAlign w:val="superscript"/>
              </w:rPr>
              <w:t>105</w:t>
            </w:r>
          </w:p>
        </w:tc>
      </w:tr>
      <w:tr w:rsidR="00AD673E" w:rsidRPr="000B4E2C" w14:paraId="12253A3F" w14:textId="77777777" w:rsidTr="000B4E2C">
        <w:trPr>
          <w:cantSplit/>
        </w:trPr>
        <w:tc>
          <w:tcPr>
            <w:tcW w:w="0" w:type="auto"/>
            <w:gridSpan w:val="5"/>
            <w:shd w:val="clear" w:color="auto" w:fill="D9D9D9" w:themeFill="background1" w:themeFillShade="D9"/>
            <w:hideMark/>
          </w:tcPr>
          <w:p w14:paraId="09072ACC" w14:textId="77777777" w:rsidR="0045468A" w:rsidRPr="000B4E2C" w:rsidRDefault="0045468A" w:rsidP="000B4E2C">
            <w:pPr>
              <w:autoSpaceDE w:val="0"/>
              <w:autoSpaceDN w:val="0"/>
              <w:adjustRightInd w:val="0"/>
              <w:rPr>
                <w:bCs/>
                <w:color w:val="000000" w:themeColor="text1"/>
                <w:sz w:val="22"/>
              </w:rPr>
            </w:pPr>
            <w:r w:rsidRPr="000B4E2C">
              <w:rPr>
                <w:b/>
                <w:sz w:val="22"/>
              </w:rPr>
              <w:t xml:space="preserve">Probability of requiring renal replacement therapy </w:t>
            </w:r>
            <w:r w:rsidRPr="000B4E2C">
              <w:rPr>
                <w:b/>
                <w:sz w:val="22"/>
                <w:vertAlign w:val="superscript"/>
              </w:rPr>
              <w:t>B</w:t>
            </w:r>
          </w:p>
        </w:tc>
      </w:tr>
      <w:tr w:rsidR="000B4E2C" w:rsidRPr="000B4E2C" w14:paraId="7A74E239" w14:textId="77777777" w:rsidTr="000B4E2C">
        <w:trPr>
          <w:cantSplit/>
        </w:trPr>
        <w:tc>
          <w:tcPr>
            <w:tcW w:w="0" w:type="auto"/>
            <w:vAlign w:val="center"/>
            <w:hideMark/>
          </w:tcPr>
          <w:p w14:paraId="1DB84BC9" w14:textId="77777777" w:rsidR="0045468A" w:rsidRPr="000B4E2C" w:rsidRDefault="0045468A" w:rsidP="000B4E2C">
            <w:pPr>
              <w:autoSpaceDE w:val="0"/>
              <w:autoSpaceDN w:val="0"/>
              <w:adjustRightInd w:val="0"/>
              <w:rPr>
                <w:b/>
                <w:bCs/>
                <w:color w:val="000000" w:themeColor="text1"/>
                <w:sz w:val="22"/>
              </w:rPr>
            </w:pPr>
            <w:r w:rsidRPr="000B4E2C">
              <w:rPr>
                <w:sz w:val="22"/>
              </w:rPr>
              <w:t>No AKI, AKI 1 &amp; 2</w:t>
            </w:r>
          </w:p>
        </w:tc>
        <w:tc>
          <w:tcPr>
            <w:tcW w:w="0" w:type="auto"/>
            <w:vAlign w:val="center"/>
            <w:hideMark/>
          </w:tcPr>
          <w:p w14:paraId="4240262D" w14:textId="77777777" w:rsidR="0045468A" w:rsidRPr="000B4E2C" w:rsidRDefault="0045468A" w:rsidP="000B4E2C">
            <w:pPr>
              <w:autoSpaceDE w:val="0"/>
              <w:autoSpaceDN w:val="0"/>
              <w:adjustRightInd w:val="0"/>
              <w:rPr>
                <w:color w:val="000000" w:themeColor="text1"/>
                <w:sz w:val="22"/>
              </w:rPr>
            </w:pPr>
            <w:r w:rsidRPr="000B4E2C">
              <w:rPr>
                <w:color w:val="000000" w:themeColor="text1"/>
                <w:sz w:val="22"/>
              </w:rPr>
              <w:t>0</w:t>
            </w:r>
          </w:p>
        </w:tc>
        <w:tc>
          <w:tcPr>
            <w:tcW w:w="0" w:type="auto"/>
            <w:vAlign w:val="center"/>
            <w:hideMark/>
          </w:tcPr>
          <w:p w14:paraId="3205631E" w14:textId="77777777" w:rsidR="0045468A" w:rsidRPr="000B4E2C" w:rsidRDefault="0045468A" w:rsidP="000B4E2C">
            <w:pPr>
              <w:autoSpaceDE w:val="0"/>
              <w:autoSpaceDN w:val="0"/>
              <w:adjustRightInd w:val="0"/>
              <w:rPr>
                <w:color w:val="000000" w:themeColor="text1"/>
                <w:sz w:val="22"/>
              </w:rPr>
            </w:pPr>
            <w:r w:rsidRPr="000B4E2C">
              <w:rPr>
                <w:color w:val="000000" w:themeColor="text1"/>
                <w:sz w:val="22"/>
              </w:rPr>
              <w:t>--</w:t>
            </w:r>
          </w:p>
        </w:tc>
        <w:tc>
          <w:tcPr>
            <w:tcW w:w="0" w:type="auto"/>
            <w:vAlign w:val="center"/>
            <w:hideMark/>
          </w:tcPr>
          <w:p w14:paraId="13B8366A" w14:textId="77777777" w:rsidR="0045468A" w:rsidRPr="000B4E2C" w:rsidRDefault="0045468A" w:rsidP="000B4E2C">
            <w:pPr>
              <w:autoSpaceDE w:val="0"/>
              <w:autoSpaceDN w:val="0"/>
              <w:adjustRightInd w:val="0"/>
              <w:rPr>
                <w:bCs/>
                <w:color w:val="000000" w:themeColor="text1"/>
                <w:sz w:val="22"/>
              </w:rPr>
            </w:pPr>
            <w:r w:rsidRPr="000B4E2C">
              <w:rPr>
                <w:bCs/>
                <w:color w:val="000000" w:themeColor="text1"/>
                <w:sz w:val="22"/>
              </w:rPr>
              <w:t>--</w:t>
            </w:r>
          </w:p>
        </w:tc>
        <w:tc>
          <w:tcPr>
            <w:tcW w:w="0" w:type="auto"/>
            <w:vAlign w:val="center"/>
            <w:hideMark/>
          </w:tcPr>
          <w:p w14:paraId="1D0C430C" w14:textId="77777777" w:rsidR="0045468A" w:rsidRPr="000B4E2C" w:rsidRDefault="0045468A" w:rsidP="000B4E2C">
            <w:pPr>
              <w:autoSpaceDE w:val="0"/>
              <w:autoSpaceDN w:val="0"/>
              <w:adjustRightInd w:val="0"/>
              <w:rPr>
                <w:bCs/>
                <w:color w:val="000000" w:themeColor="text1"/>
                <w:sz w:val="22"/>
              </w:rPr>
            </w:pPr>
            <w:r w:rsidRPr="000B4E2C">
              <w:rPr>
                <w:sz w:val="22"/>
              </w:rPr>
              <w:t>Assumption</w:t>
            </w:r>
          </w:p>
        </w:tc>
      </w:tr>
      <w:tr w:rsidR="000B4E2C" w:rsidRPr="000B4E2C" w14:paraId="59D7F990" w14:textId="77777777" w:rsidTr="000B4E2C">
        <w:trPr>
          <w:cantSplit/>
        </w:trPr>
        <w:tc>
          <w:tcPr>
            <w:tcW w:w="0" w:type="auto"/>
            <w:vAlign w:val="center"/>
            <w:hideMark/>
          </w:tcPr>
          <w:p w14:paraId="71178DC1" w14:textId="77777777" w:rsidR="0045468A" w:rsidRPr="000B4E2C" w:rsidRDefault="0045468A" w:rsidP="000B4E2C">
            <w:pPr>
              <w:autoSpaceDE w:val="0"/>
              <w:autoSpaceDN w:val="0"/>
              <w:adjustRightInd w:val="0"/>
              <w:rPr>
                <w:b/>
                <w:bCs/>
                <w:color w:val="000000" w:themeColor="text1"/>
                <w:sz w:val="22"/>
                <w:vertAlign w:val="superscript"/>
              </w:rPr>
            </w:pPr>
            <w:r w:rsidRPr="000B4E2C">
              <w:rPr>
                <w:sz w:val="22"/>
              </w:rPr>
              <w:t>AKI 3</w:t>
            </w:r>
          </w:p>
        </w:tc>
        <w:tc>
          <w:tcPr>
            <w:tcW w:w="0" w:type="auto"/>
            <w:vAlign w:val="center"/>
            <w:hideMark/>
          </w:tcPr>
          <w:p w14:paraId="2FA6186E" w14:textId="77777777" w:rsidR="0045468A" w:rsidRPr="000B4E2C" w:rsidRDefault="0045468A" w:rsidP="000B4E2C">
            <w:pPr>
              <w:autoSpaceDE w:val="0"/>
              <w:autoSpaceDN w:val="0"/>
              <w:adjustRightInd w:val="0"/>
              <w:rPr>
                <w:color w:val="000000" w:themeColor="text1"/>
                <w:sz w:val="22"/>
              </w:rPr>
            </w:pPr>
            <w:r w:rsidRPr="000B4E2C">
              <w:rPr>
                <w:sz w:val="22"/>
              </w:rPr>
              <w:t>0.552</w:t>
            </w:r>
          </w:p>
        </w:tc>
        <w:tc>
          <w:tcPr>
            <w:tcW w:w="0" w:type="auto"/>
            <w:vAlign w:val="center"/>
            <w:hideMark/>
          </w:tcPr>
          <w:p w14:paraId="1203FC6B" w14:textId="77777777" w:rsidR="0045468A" w:rsidRPr="000B4E2C" w:rsidRDefault="0045468A" w:rsidP="000B4E2C">
            <w:pPr>
              <w:autoSpaceDE w:val="0"/>
              <w:autoSpaceDN w:val="0"/>
              <w:adjustRightInd w:val="0"/>
              <w:rPr>
                <w:color w:val="000000" w:themeColor="text1"/>
                <w:sz w:val="22"/>
              </w:rPr>
            </w:pPr>
            <w:r w:rsidRPr="000B4E2C">
              <w:rPr>
                <w:color w:val="000000" w:themeColor="text1"/>
                <w:sz w:val="22"/>
              </w:rPr>
              <w:t>--</w:t>
            </w:r>
          </w:p>
        </w:tc>
        <w:tc>
          <w:tcPr>
            <w:tcW w:w="0" w:type="auto"/>
            <w:vAlign w:val="center"/>
            <w:hideMark/>
          </w:tcPr>
          <w:p w14:paraId="19D16F93" w14:textId="77777777" w:rsidR="0045468A" w:rsidRPr="000B4E2C" w:rsidRDefault="0045468A" w:rsidP="000B4E2C">
            <w:pPr>
              <w:autoSpaceDE w:val="0"/>
              <w:autoSpaceDN w:val="0"/>
              <w:adjustRightInd w:val="0"/>
              <w:rPr>
                <w:sz w:val="22"/>
              </w:rPr>
            </w:pPr>
            <w:r w:rsidRPr="000B4E2C">
              <w:rPr>
                <w:sz w:val="22"/>
              </w:rPr>
              <w:t>Beta</w:t>
            </w:r>
            <w:r w:rsidR="00CF3F49" w:rsidRPr="000B4E2C">
              <w:rPr>
                <w:sz w:val="22"/>
              </w:rPr>
              <w:t xml:space="preserve"> (count)</w:t>
            </w:r>
          </w:p>
          <w:p w14:paraId="3DF76126" w14:textId="2AB03391" w:rsidR="00CF3F49" w:rsidRPr="000B4E2C" w:rsidRDefault="00CF3F49" w:rsidP="000B4E2C">
            <w:pPr>
              <w:autoSpaceDE w:val="0"/>
              <w:autoSpaceDN w:val="0"/>
              <w:adjustRightInd w:val="0"/>
              <w:rPr>
                <w:bCs/>
                <w:color w:val="000000" w:themeColor="text1"/>
                <w:sz w:val="22"/>
              </w:rPr>
            </w:pPr>
            <w:r w:rsidRPr="000B4E2C">
              <w:rPr>
                <w:bCs/>
                <w:color w:val="000000" w:themeColor="text1"/>
                <w:sz w:val="22"/>
              </w:rPr>
              <w:t>(</w:t>
            </w:r>
            <w:r w:rsidRPr="000B4E2C">
              <w:rPr>
                <w:bCs/>
                <w:i/>
                <w:color w:val="00B0F0"/>
                <w:sz w:val="22"/>
              </w:rPr>
              <w:t>n</w:t>
            </w:r>
            <w:r w:rsidR="000B4E2C" w:rsidRPr="000B4E2C">
              <w:rPr>
                <w:bCs/>
                <w:color w:val="00B0F0"/>
                <w:sz w:val="22"/>
              </w:rPr>
              <w:t> = </w:t>
            </w:r>
            <w:r w:rsidRPr="000B4E2C">
              <w:rPr>
                <w:bCs/>
                <w:color w:val="000000" w:themeColor="text1"/>
                <w:sz w:val="22"/>
              </w:rPr>
              <w:t>885; N</w:t>
            </w:r>
            <w:r w:rsidR="000B4E2C" w:rsidRPr="000B4E2C">
              <w:rPr>
                <w:bCs/>
                <w:color w:val="00B0F0"/>
                <w:sz w:val="22"/>
              </w:rPr>
              <w:t> = </w:t>
            </w:r>
            <w:r w:rsidRPr="000B4E2C">
              <w:rPr>
                <w:bCs/>
                <w:color w:val="000000" w:themeColor="text1"/>
                <w:sz w:val="22"/>
              </w:rPr>
              <w:t>1603)</w:t>
            </w:r>
          </w:p>
        </w:tc>
        <w:tc>
          <w:tcPr>
            <w:tcW w:w="0" w:type="auto"/>
            <w:vAlign w:val="center"/>
            <w:hideMark/>
          </w:tcPr>
          <w:p w14:paraId="5656C532" w14:textId="34585B21" w:rsidR="0045468A" w:rsidRPr="000B4E2C" w:rsidRDefault="002D1880" w:rsidP="000B4E2C">
            <w:pPr>
              <w:autoSpaceDE w:val="0"/>
              <w:autoSpaceDN w:val="0"/>
              <w:adjustRightInd w:val="0"/>
              <w:rPr>
                <w:bCs/>
                <w:color w:val="000000" w:themeColor="text1"/>
                <w:sz w:val="22"/>
              </w:rPr>
            </w:pPr>
            <w:r w:rsidRPr="000B4E2C">
              <w:rPr>
                <w:sz w:val="22"/>
              </w:rPr>
              <w:t>Truche</w:t>
            </w:r>
            <w:r w:rsidRPr="000B4E2C">
              <w:rPr>
                <w:i/>
                <w:color w:val="00B0F0"/>
                <w:sz w:val="22"/>
              </w:rPr>
              <w:t xml:space="preserve"> et al</w:t>
            </w:r>
            <w:r w:rsidRPr="000B4E2C">
              <w:rPr>
                <w:sz w:val="22"/>
              </w:rPr>
              <w:t>. 2018</w:t>
            </w:r>
            <w:r w:rsidR="00280A97" w:rsidRPr="000B4E2C">
              <w:rPr>
                <w:noProof/>
                <w:sz w:val="22"/>
                <w:vertAlign w:val="superscript"/>
              </w:rPr>
              <w:t>110</w:t>
            </w:r>
          </w:p>
        </w:tc>
      </w:tr>
      <w:tr w:rsidR="00AD673E" w:rsidRPr="000B4E2C" w14:paraId="56E8A57F" w14:textId="77777777" w:rsidTr="000B4E2C">
        <w:trPr>
          <w:cantSplit/>
        </w:trPr>
        <w:tc>
          <w:tcPr>
            <w:tcW w:w="0" w:type="auto"/>
            <w:gridSpan w:val="5"/>
            <w:shd w:val="clear" w:color="auto" w:fill="D9D9D9" w:themeFill="background1" w:themeFillShade="D9"/>
            <w:vAlign w:val="center"/>
            <w:hideMark/>
          </w:tcPr>
          <w:p w14:paraId="4D8DE074" w14:textId="622DD00F" w:rsidR="0045468A" w:rsidRPr="000B4E2C" w:rsidRDefault="0045468A" w:rsidP="000B4E2C">
            <w:pPr>
              <w:autoSpaceDE w:val="0"/>
              <w:autoSpaceDN w:val="0"/>
              <w:adjustRightInd w:val="0"/>
              <w:rPr>
                <w:b/>
                <w:bCs/>
                <w:color w:val="000000" w:themeColor="text1"/>
                <w:sz w:val="22"/>
              </w:rPr>
            </w:pPr>
            <w:r w:rsidRPr="000B4E2C">
              <w:rPr>
                <w:b/>
                <w:sz w:val="22"/>
              </w:rPr>
              <w:t>Length of Stay (LOS) parameters</w:t>
            </w:r>
            <w:r w:rsidRPr="000B4E2C">
              <w:rPr>
                <w:b/>
                <w:sz w:val="22"/>
                <w:vertAlign w:val="superscript"/>
              </w:rPr>
              <w:t xml:space="preserve"> </w:t>
            </w:r>
          </w:p>
        </w:tc>
      </w:tr>
      <w:tr w:rsidR="000B4E2C" w:rsidRPr="000B4E2C" w14:paraId="43F88773" w14:textId="77777777" w:rsidTr="000B4E2C">
        <w:trPr>
          <w:cantSplit/>
        </w:trPr>
        <w:tc>
          <w:tcPr>
            <w:tcW w:w="0" w:type="auto"/>
            <w:vAlign w:val="center"/>
            <w:hideMark/>
          </w:tcPr>
          <w:p w14:paraId="3621CD6F" w14:textId="77777777" w:rsidR="0045468A" w:rsidRPr="000B4E2C" w:rsidRDefault="0045468A" w:rsidP="000B4E2C">
            <w:pPr>
              <w:autoSpaceDE w:val="0"/>
              <w:autoSpaceDN w:val="0"/>
              <w:adjustRightInd w:val="0"/>
              <w:rPr>
                <w:b/>
                <w:sz w:val="22"/>
              </w:rPr>
            </w:pPr>
            <w:r w:rsidRPr="000B4E2C">
              <w:rPr>
                <w:b/>
                <w:sz w:val="22"/>
              </w:rPr>
              <w:t>Hospital LOS</w:t>
            </w:r>
          </w:p>
        </w:tc>
        <w:tc>
          <w:tcPr>
            <w:tcW w:w="0" w:type="auto"/>
            <w:vAlign w:val="center"/>
            <w:hideMark/>
          </w:tcPr>
          <w:p w14:paraId="49D2DC10" w14:textId="77777777" w:rsidR="0045468A" w:rsidRPr="000B4E2C" w:rsidRDefault="0045468A" w:rsidP="000B4E2C">
            <w:pPr>
              <w:autoSpaceDE w:val="0"/>
              <w:autoSpaceDN w:val="0"/>
              <w:adjustRightInd w:val="0"/>
              <w:rPr>
                <w:b/>
                <w:color w:val="000000" w:themeColor="text1"/>
                <w:sz w:val="22"/>
              </w:rPr>
            </w:pPr>
            <w:r w:rsidRPr="000B4E2C">
              <w:rPr>
                <w:b/>
                <w:color w:val="000000" w:themeColor="text1"/>
                <w:sz w:val="22"/>
              </w:rPr>
              <w:t>Mean</w:t>
            </w:r>
          </w:p>
        </w:tc>
        <w:tc>
          <w:tcPr>
            <w:tcW w:w="0" w:type="auto"/>
            <w:vAlign w:val="center"/>
            <w:hideMark/>
          </w:tcPr>
          <w:p w14:paraId="39512941" w14:textId="77777777" w:rsidR="0045468A" w:rsidRPr="000B4E2C" w:rsidRDefault="0045468A" w:rsidP="000B4E2C">
            <w:pPr>
              <w:autoSpaceDE w:val="0"/>
              <w:autoSpaceDN w:val="0"/>
              <w:adjustRightInd w:val="0"/>
              <w:rPr>
                <w:b/>
                <w:color w:val="000000" w:themeColor="text1"/>
                <w:sz w:val="22"/>
              </w:rPr>
            </w:pPr>
            <w:r w:rsidRPr="000B4E2C">
              <w:rPr>
                <w:b/>
                <w:color w:val="000000" w:themeColor="text1"/>
                <w:sz w:val="22"/>
              </w:rPr>
              <w:t>Median</w:t>
            </w:r>
          </w:p>
        </w:tc>
        <w:tc>
          <w:tcPr>
            <w:tcW w:w="0" w:type="auto"/>
            <w:vAlign w:val="center"/>
          </w:tcPr>
          <w:p w14:paraId="79A87B7A" w14:textId="77777777" w:rsidR="0045468A" w:rsidRPr="000B4E2C" w:rsidRDefault="0045468A" w:rsidP="000B4E2C">
            <w:pPr>
              <w:autoSpaceDE w:val="0"/>
              <w:autoSpaceDN w:val="0"/>
              <w:adjustRightInd w:val="0"/>
              <w:rPr>
                <w:sz w:val="22"/>
              </w:rPr>
            </w:pPr>
          </w:p>
        </w:tc>
        <w:tc>
          <w:tcPr>
            <w:tcW w:w="0" w:type="auto"/>
            <w:vAlign w:val="center"/>
          </w:tcPr>
          <w:p w14:paraId="4F95E17E" w14:textId="77777777" w:rsidR="0045468A" w:rsidRPr="000B4E2C" w:rsidRDefault="0045468A" w:rsidP="000B4E2C">
            <w:pPr>
              <w:autoSpaceDE w:val="0"/>
              <w:autoSpaceDN w:val="0"/>
              <w:adjustRightInd w:val="0"/>
              <w:rPr>
                <w:sz w:val="22"/>
              </w:rPr>
            </w:pPr>
          </w:p>
        </w:tc>
      </w:tr>
      <w:tr w:rsidR="000B4E2C" w:rsidRPr="000B4E2C" w14:paraId="0540D1F2" w14:textId="77777777" w:rsidTr="000B4E2C">
        <w:trPr>
          <w:cantSplit/>
        </w:trPr>
        <w:tc>
          <w:tcPr>
            <w:tcW w:w="0" w:type="auto"/>
            <w:vAlign w:val="center"/>
            <w:hideMark/>
          </w:tcPr>
          <w:p w14:paraId="3071171A" w14:textId="77777777" w:rsidR="002D1880" w:rsidRPr="000B4E2C" w:rsidRDefault="002D1880" w:rsidP="000B4E2C">
            <w:pPr>
              <w:autoSpaceDE w:val="0"/>
              <w:autoSpaceDN w:val="0"/>
              <w:adjustRightInd w:val="0"/>
              <w:rPr>
                <w:b/>
                <w:bCs/>
                <w:color w:val="000000" w:themeColor="text1"/>
                <w:sz w:val="22"/>
              </w:rPr>
            </w:pPr>
            <w:r w:rsidRPr="000B4E2C">
              <w:rPr>
                <w:sz w:val="22"/>
              </w:rPr>
              <w:t>No AKI</w:t>
            </w:r>
          </w:p>
        </w:tc>
        <w:tc>
          <w:tcPr>
            <w:tcW w:w="0" w:type="auto"/>
            <w:vAlign w:val="center"/>
            <w:hideMark/>
          </w:tcPr>
          <w:p w14:paraId="7D900F7E"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8.1</w:t>
            </w:r>
          </w:p>
        </w:tc>
        <w:tc>
          <w:tcPr>
            <w:tcW w:w="0" w:type="auto"/>
            <w:vAlign w:val="center"/>
            <w:hideMark/>
          </w:tcPr>
          <w:p w14:paraId="1AAF46D1"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3</w:t>
            </w:r>
          </w:p>
        </w:tc>
        <w:tc>
          <w:tcPr>
            <w:tcW w:w="0" w:type="auto"/>
            <w:vAlign w:val="center"/>
            <w:hideMark/>
          </w:tcPr>
          <w:p w14:paraId="513C8515" w14:textId="77777777" w:rsidR="002D1880" w:rsidRPr="000B4E2C" w:rsidRDefault="002D1880" w:rsidP="000B4E2C">
            <w:pPr>
              <w:autoSpaceDE w:val="0"/>
              <w:autoSpaceDN w:val="0"/>
              <w:adjustRightInd w:val="0"/>
              <w:rPr>
                <w:sz w:val="22"/>
              </w:rPr>
            </w:pPr>
            <w:r w:rsidRPr="000B4E2C">
              <w:rPr>
                <w:sz w:val="22"/>
              </w:rPr>
              <w:t>LN</w:t>
            </w:r>
          </w:p>
        </w:tc>
        <w:tc>
          <w:tcPr>
            <w:tcW w:w="0" w:type="auto"/>
            <w:hideMark/>
          </w:tcPr>
          <w:p w14:paraId="19CA6992" w14:textId="043F69FB" w:rsidR="002D1880" w:rsidRPr="000B4E2C" w:rsidRDefault="002D1880" w:rsidP="000B4E2C">
            <w:pPr>
              <w:autoSpaceDE w:val="0"/>
              <w:autoSpaceDN w:val="0"/>
              <w:adjustRightInd w:val="0"/>
              <w:rPr>
                <w:sz w:val="22"/>
              </w:rPr>
            </w:pPr>
            <w:r w:rsidRPr="000B4E2C">
              <w:rPr>
                <w:sz w:val="22"/>
              </w:rPr>
              <w:t>Grampian data</w:t>
            </w:r>
            <w:r w:rsidRPr="000B4E2C">
              <w:rPr>
                <w:noProof/>
                <w:sz w:val="22"/>
                <w:vertAlign w:val="superscript"/>
              </w:rPr>
              <w:t>105</w:t>
            </w:r>
          </w:p>
        </w:tc>
      </w:tr>
      <w:tr w:rsidR="000B4E2C" w:rsidRPr="000B4E2C" w14:paraId="13E1187E" w14:textId="77777777" w:rsidTr="000B4E2C">
        <w:trPr>
          <w:cantSplit/>
        </w:trPr>
        <w:tc>
          <w:tcPr>
            <w:tcW w:w="0" w:type="auto"/>
            <w:vAlign w:val="center"/>
            <w:hideMark/>
          </w:tcPr>
          <w:p w14:paraId="22C2E478" w14:textId="77777777" w:rsidR="002D1880" w:rsidRPr="000B4E2C" w:rsidRDefault="002D1880" w:rsidP="000B4E2C">
            <w:pPr>
              <w:autoSpaceDE w:val="0"/>
              <w:autoSpaceDN w:val="0"/>
              <w:adjustRightInd w:val="0"/>
              <w:rPr>
                <w:b/>
                <w:bCs/>
                <w:color w:val="000000" w:themeColor="text1"/>
                <w:sz w:val="22"/>
              </w:rPr>
            </w:pPr>
            <w:r w:rsidRPr="000B4E2C">
              <w:rPr>
                <w:sz w:val="22"/>
              </w:rPr>
              <w:t>AKI 1</w:t>
            </w:r>
          </w:p>
        </w:tc>
        <w:tc>
          <w:tcPr>
            <w:tcW w:w="0" w:type="auto"/>
            <w:vAlign w:val="center"/>
            <w:hideMark/>
          </w:tcPr>
          <w:p w14:paraId="29C381DF"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26.3</w:t>
            </w:r>
          </w:p>
        </w:tc>
        <w:tc>
          <w:tcPr>
            <w:tcW w:w="0" w:type="auto"/>
            <w:vAlign w:val="center"/>
            <w:hideMark/>
          </w:tcPr>
          <w:p w14:paraId="4C5A1D48"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14</w:t>
            </w:r>
          </w:p>
        </w:tc>
        <w:tc>
          <w:tcPr>
            <w:tcW w:w="0" w:type="auto"/>
            <w:vAlign w:val="center"/>
            <w:hideMark/>
          </w:tcPr>
          <w:p w14:paraId="382221C2" w14:textId="77777777" w:rsidR="002D1880" w:rsidRPr="000B4E2C" w:rsidRDefault="002D1880" w:rsidP="000B4E2C">
            <w:pPr>
              <w:autoSpaceDE w:val="0"/>
              <w:autoSpaceDN w:val="0"/>
              <w:adjustRightInd w:val="0"/>
              <w:rPr>
                <w:sz w:val="22"/>
              </w:rPr>
            </w:pPr>
            <w:r w:rsidRPr="000B4E2C">
              <w:rPr>
                <w:sz w:val="22"/>
              </w:rPr>
              <w:t>LN</w:t>
            </w:r>
          </w:p>
        </w:tc>
        <w:tc>
          <w:tcPr>
            <w:tcW w:w="0" w:type="auto"/>
            <w:hideMark/>
          </w:tcPr>
          <w:p w14:paraId="1075D7B6" w14:textId="09094CAE" w:rsidR="002D1880" w:rsidRPr="000B4E2C" w:rsidRDefault="002D1880" w:rsidP="000B4E2C">
            <w:pPr>
              <w:autoSpaceDE w:val="0"/>
              <w:autoSpaceDN w:val="0"/>
              <w:adjustRightInd w:val="0"/>
              <w:rPr>
                <w:sz w:val="22"/>
              </w:rPr>
            </w:pPr>
            <w:r w:rsidRPr="000B4E2C">
              <w:rPr>
                <w:sz w:val="22"/>
              </w:rPr>
              <w:t>Grampian data</w:t>
            </w:r>
            <w:r w:rsidRPr="000B4E2C">
              <w:rPr>
                <w:noProof/>
                <w:sz w:val="22"/>
                <w:vertAlign w:val="superscript"/>
              </w:rPr>
              <w:t>105</w:t>
            </w:r>
          </w:p>
        </w:tc>
      </w:tr>
      <w:tr w:rsidR="000B4E2C" w:rsidRPr="000B4E2C" w14:paraId="50B8931F" w14:textId="77777777" w:rsidTr="000B4E2C">
        <w:trPr>
          <w:cantSplit/>
        </w:trPr>
        <w:tc>
          <w:tcPr>
            <w:tcW w:w="0" w:type="auto"/>
            <w:vAlign w:val="center"/>
            <w:hideMark/>
          </w:tcPr>
          <w:p w14:paraId="3D75562B" w14:textId="77777777" w:rsidR="002D1880" w:rsidRPr="000B4E2C" w:rsidRDefault="002D1880" w:rsidP="000B4E2C">
            <w:pPr>
              <w:autoSpaceDE w:val="0"/>
              <w:autoSpaceDN w:val="0"/>
              <w:adjustRightInd w:val="0"/>
              <w:rPr>
                <w:b/>
                <w:bCs/>
                <w:color w:val="000000" w:themeColor="text1"/>
                <w:sz w:val="22"/>
              </w:rPr>
            </w:pPr>
            <w:r w:rsidRPr="000B4E2C">
              <w:rPr>
                <w:sz w:val="22"/>
              </w:rPr>
              <w:t>AKI 2</w:t>
            </w:r>
          </w:p>
        </w:tc>
        <w:tc>
          <w:tcPr>
            <w:tcW w:w="0" w:type="auto"/>
            <w:vAlign w:val="center"/>
            <w:hideMark/>
          </w:tcPr>
          <w:p w14:paraId="59777288"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32.4</w:t>
            </w:r>
          </w:p>
        </w:tc>
        <w:tc>
          <w:tcPr>
            <w:tcW w:w="0" w:type="auto"/>
            <w:vAlign w:val="center"/>
            <w:hideMark/>
          </w:tcPr>
          <w:p w14:paraId="5671AD1D"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18</w:t>
            </w:r>
          </w:p>
        </w:tc>
        <w:tc>
          <w:tcPr>
            <w:tcW w:w="0" w:type="auto"/>
            <w:vAlign w:val="center"/>
            <w:hideMark/>
          </w:tcPr>
          <w:p w14:paraId="620B05FA" w14:textId="77777777" w:rsidR="002D1880" w:rsidRPr="000B4E2C" w:rsidRDefault="002D1880" w:rsidP="000B4E2C">
            <w:pPr>
              <w:autoSpaceDE w:val="0"/>
              <w:autoSpaceDN w:val="0"/>
              <w:adjustRightInd w:val="0"/>
              <w:rPr>
                <w:sz w:val="22"/>
              </w:rPr>
            </w:pPr>
            <w:r w:rsidRPr="000B4E2C">
              <w:rPr>
                <w:sz w:val="22"/>
              </w:rPr>
              <w:t>LN</w:t>
            </w:r>
          </w:p>
        </w:tc>
        <w:tc>
          <w:tcPr>
            <w:tcW w:w="0" w:type="auto"/>
            <w:hideMark/>
          </w:tcPr>
          <w:p w14:paraId="5BF13CDB" w14:textId="02B080B1" w:rsidR="002D1880" w:rsidRPr="000B4E2C" w:rsidRDefault="002D1880" w:rsidP="000B4E2C">
            <w:pPr>
              <w:autoSpaceDE w:val="0"/>
              <w:autoSpaceDN w:val="0"/>
              <w:adjustRightInd w:val="0"/>
              <w:rPr>
                <w:sz w:val="22"/>
              </w:rPr>
            </w:pPr>
            <w:r w:rsidRPr="000B4E2C">
              <w:rPr>
                <w:sz w:val="22"/>
              </w:rPr>
              <w:t>Grampian data</w:t>
            </w:r>
            <w:r w:rsidRPr="000B4E2C">
              <w:rPr>
                <w:noProof/>
                <w:sz w:val="22"/>
                <w:vertAlign w:val="superscript"/>
              </w:rPr>
              <w:t>105</w:t>
            </w:r>
          </w:p>
        </w:tc>
      </w:tr>
      <w:tr w:rsidR="000B4E2C" w:rsidRPr="000B4E2C" w14:paraId="22D82A3B" w14:textId="77777777" w:rsidTr="000B4E2C">
        <w:trPr>
          <w:cantSplit/>
        </w:trPr>
        <w:tc>
          <w:tcPr>
            <w:tcW w:w="0" w:type="auto"/>
            <w:vAlign w:val="center"/>
            <w:hideMark/>
          </w:tcPr>
          <w:p w14:paraId="53F0E5E0" w14:textId="77777777" w:rsidR="002D1880" w:rsidRPr="000B4E2C" w:rsidRDefault="002D1880" w:rsidP="000B4E2C">
            <w:pPr>
              <w:autoSpaceDE w:val="0"/>
              <w:autoSpaceDN w:val="0"/>
              <w:adjustRightInd w:val="0"/>
              <w:rPr>
                <w:b/>
                <w:bCs/>
                <w:color w:val="000000" w:themeColor="text1"/>
                <w:sz w:val="22"/>
              </w:rPr>
            </w:pPr>
            <w:r w:rsidRPr="000B4E2C">
              <w:rPr>
                <w:sz w:val="22"/>
              </w:rPr>
              <w:t>AKI 3</w:t>
            </w:r>
          </w:p>
        </w:tc>
        <w:tc>
          <w:tcPr>
            <w:tcW w:w="0" w:type="auto"/>
            <w:vAlign w:val="center"/>
            <w:hideMark/>
          </w:tcPr>
          <w:p w14:paraId="5BAFA581"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28.4</w:t>
            </w:r>
          </w:p>
        </w:tc>
        <w:tc>
          <w:tcPr>
            <w:tcW w:w="0" w:type="auto"/>
            <w:vAlign w:val="center"/>
            <w:hideMark/>
          </w:tcPr>
          <w:p w14:paraId="7C6D2B9D"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17</w:t>
            </w:r>
          </w:p>
        </w:tc>
        <w:tc>
          <w:tcPr>
            <w:tcW w:w="0" w:type="auto"/>
            <w:vAlign w:val="center"/>
            <w:hideMark/>
          </w:tcPr>
          <w:p w14:paraId="032F1981" w14:textId="77777777" w:rsidR="002D1880" w:rsidRPr="000B4E2C" w:rsidRDefault="002D1880" w:rsidP="000B4E2C">
            <w:pPr>
              <w:autoSpaceDE w:val="0"/>
              <w:autoSpaceDN w:val="0"/>
              <w:adjustRightInd w:val="0"/>
              <w:rPr>
                <w:sz w:val="22"/>
              </w:rPr>
            </w:pPr>
            <w:r w:rsidRPr="000B4E2C">
              <w:rPr>
                <w:sz w:val="22"/>
              </w:rPr>
              <w:t>LN</w:t>
            </w:r>
          </w:p>
        </w:tc>
        <w:tc>
          <w:tcPr>
            <w:tcW w:w="0" w:type="auto"/>
            <w:hideMark/>
          </w:tcPr>
          <w:p w14:paraId="40F219E5" w14:textId="14E31DA9" w:rsidR="002D1880" w:rsidRPr="000B4E2C" w:rsidRDefault="002D1880" w:rsidP="000B4E2C">
            <w:pPr>
              <w:autoSpaceDE w:val="0"/>
              <w:autoSpaceDN w:val="0"/>
              <w:adjustRightInd w:val="0"/>
              <w:rPr>
                <w:sz w:val="22"/>
              </w:rPr>
            </w:pPr>
            <w:r w:rsidRPr="000B4E2C">
              <w:rPr>
                <w:sz w:val="22"/>
              </w:rPr>
              <w:t>Grampian data</w:t>
            </w:r>
            <w:r w:rsidRPr="000B4E2C">
              <w:rPr>
                <w:noProof/>
                <w:sz w:val="22"/>
                <w:vertAlign w:val="superscript"/>
              </w:rPr>
              <w:t>105</w:t>
            </w:r>
          </w:p>
        </w:tc>
      </w:tr>
      <w:tr w:rsidR="000B4E2C" w:rsidRPr="000B4E2C" w14:paraId="552B985B" w14:textId="77777777" w:rsidTr="000B4E2C">
        <w:trPr>
          <w:cantSplit/>
        </w:trPr>
        <w:tc>
          <w:tcPr>
            <w:tcW w:w="0" w:type="auto"/>
            <w:vAlign w:val="center"/>
            <w:hideMark/>
          </w:tcPr>
          <w:p w14:paraId="59D8E137" w14:textId="71AF169A" w:rsidR="0045468A" w:rsidRPr="000B4E2C" w:rsidRDefault="0045468A" w:rsidP="000B4E2C">
            <w:pPr>
              <w:autoSpaceDE w:val="0"/>
              <w:autoSpaceDN w:val="0"/>
              <w:adjustRightInd w:val="0"/>
              <w:rPr>
                <w:b/>
                <w:bCs/>
                <w:color w:val="000000" w:themeColor="text1"/>
                <w:sz w:val="22"/>
                <w:vertAlign w:val="superscript"/>
              </w:rPr>
            </w:pPr>
            <w:r w:rsidRPr="000B4E2C">
              <w:rPr>
                <w:b/>
                <w:bCs/>
                <w:color w:val="000000" w:themeColor="text1"/>
                <w:sz w:val="22"/>
              </w:rPr>
              <w:t>ICU LOS</w:t>
            </w:r>
            <w:r w:rsidR="00993E1C" w:rsidRPr="000B4E2C">
              <w:rPr>
                <w:b/>
                <w:bCs/>
                <w:color w:val="000000" w:themeColor="text1"/>
                <w:sz w:val="22"/>
                <w:vertAlign w:val="superscript"/>
              </w:rPr>
              <w:t>B</w:t>
            </w:r>
          </w:p>
        </w:tc>
        <w:tc>
          <w:tcPr>
            <w:tcW w:w="0" w:type="auto"/>
            <w:vAlign w:val="center"/>
          </w:tcPr>
          <w:p w14:paraId="7044D544" w14:textId="77777777" w:rsidR="0045468A" w:rsidRPr="000B4E2C" w:rsidRDefault="0045468A" w:rsidP="000B4E2C">
            <w:pPr>
              <w:autoSpaceDE w:val="0"/>
              <w:autoSpaceDN w:val="0"/>
              <w:adjustRightInd w:val="0"/>
              <w:rPr>
                <w:color w:val="000000" w:themeColor="text1"/>
                <w:sz w:val="22"/>
              </w:rPr>
            </w:pPr>
          </w:p>
        </w:tc>
        <w:tc>
          <w:tcPr>
            <w:tcW w:w="0" w:type="auto"/>
            <w:vAlign w:val="center"/>
          </w:tcPr>
          <w:p w14:paraId="1BB68D30" w14:textId="77777777" w:rsidR="0045468A" w:rsidRPr="000B4E2C" w:rsidRDefault="0045468A" w:rsidP="000B4E2C">
            <w:pPr>
              <w:autoSpaceDE w:val="0"/>
              <w:autoSpaceDN w:val="0"/>
              <w:adjustRightInd w:val="0"/>
              <w:rPr>
                <w:color w:val="000000" w:themeColor="text1"/>
                <w:sz w:val="22"/>
              </w:rPr>
            </w:pPr>
          </w:p>
        </w:tc>
        <w:tc>
          <w:tcPr>
            <w:tcW w:w="0" w:type="auto"/>
            <w:vAlign w:val="center"/>
          </w:tcPr>
          <w:p w14:paraId="45532B1A" w14:textId="77777777" w:rsidR="0045468A" w:rsidRPr="000B4E2C" w:rsidRDefault="0045468A" w:rsidP="000B4E2C">
            <w:pPr>
              <w:autoSpaceDE w:val="0"/>
              <w:autoSpaceDN w:val="0"/>
              <w:adjustRightInd w:val="0"/>
              <w:rPr>
                <w:sz w:val="22"/>
              </w:rPr>
            </w:pPr>
          </w:p>
        </w:tc>
        <w:tc>
          <w:tcPr>
            <w:tcW w:w="0" w:type="auto"/>
            <w:vAlign w:val="center"/>
          </w:tcPr>
          <w:p w14:paraId="22A954EC" w14:textId="77777777" w:rsidR="0045468A" w:rsidRPr="000B4E2C" w:rsidRDefault="0045468A" w:rsidP="000B4E2C">
            <w:pPr>
              <w:autoSpaceDE w:val="0"/>
              <w:autoSpaceDN w:val="0"/>
              <w:adjustRightInd w:val="0"/>
              <w:rPr>
                <w:sz w:val="22"/>
              </w:rPr>
            </w:pPr>
          </w:p>
        </w:tc>
      </w:tr>
      <w:tr w:rsidR="000B4E2C" w:rsidRPr="000B4E2C" w14:paraId="24C60102" w14:textId="77777777" w:rsidTr="000B4E2C">
        <w:trPr>
          <w:cantSplit/>
        </w:trPr>
        <w:tc>
          <w:tcPr>
            <w:tcW w:w="0" w:type="auto"/>
            <w:vAlign w:val="center"/>
            <w:hideMark/>
          </w:tcPr>
          <w:p w14:paraId="0480C4DC" w14:textId="77777777" w:rsidR="0045468A" w:rsidRPr="000B4E2C" w:rsidRDefault="0045468A" w:rsidP="000B4E2C">
            <w:pPr>
              <w:autoSpaceDE w:val="0"/>
              <w:autoSpaceDN w:val="0"/>
              <w:adjustRightInd w:val="0"/>
              <w:rPr>
                <w:b/>
                <w:bCs/>
                <w:color w:val="000000" w:themeColor="text1"/>
                <w:sz w:val="22"/>
              </w:rPr>
            </w:pPr>
            <w:r w:rsidRPr="000B4E2C">
              <w:rPr>
                <w:sz w:val="22"/>
              </w:rPr>
              <w:t>No AKI</w:t>
            </w:r>
          </w:p>
        </w:tc>
        <w:tc>
          <w:tcPr>
            <w:tcW w:w="0" w:type="auto"/>
            <w:vAlign w:val="center"/>
            <w:hideMark/>
          </w:tcPr>
          <w:p w14:paraId="5B0CF1AE" w14:textId="77777777" w:rsidR="0045468A" w:rsidRPr="000B4E2C" w:rsidRDefault="0045468A" w:rsidP="000B4E2C">
            <w:pPr>
              <w:autoSpaceDE w:val="0"/>
              <w:autoSpaceDN w:val="0"/>
              <w:adjustRightInd w:val="0"/>
              <w:rPr>
                <w:color w:val="000000" w:themeColor="text1"/>
                <w:sz w:val="22"/>
              </w:rPr>
            </w:pPr>
            <w:r w:rsidRPr="000B4E2C">
              <w:rPr>
                <w:color w:val="000000" w:themeColor="text1"/>
                <w:sz w:val="22"/>
              </w:rPr>
              <w:t>2</w:t>
            </w:r>
          </w:p>
        </w:tc>
        <w:tc>
          <w:tcPr>
            <w:tcW w:w="0" w:type="auto"/>
            <w:vAlign w:val="center"/>
            <w:hideMark/>
          </w:tcPr>
          <w:p w14:paraId="1AA07E2C" w14:textId="77777777" w:rsidR="0045468A" w:rsidRPr="000B4E2C" w:rsidRDefault="0045468A" w:rsidP="000B4E2C">
            <w:pPr>
              <w:autoSpaceDE w:val="0"/>
              <w:autoSpaceDN w:val="0"/>
              <w:adjustRightInd w:val="0"/>
              <w:rPr>
                <w:color w:val="000000" w:themeColor="text1"/>
                <w:sz w:val="22"/>
              </w:rPr>
            </w:pPr>
            <w:r w:rsidRPr="000B4E2C">
              <w:rPr>
                <w:color w:val="000000" w:themeColor="text1"/>
                <w:sz w:val="22"/>
              </w:rPr>
              <w:t>1</w:t>
            </w:r>
          </w:p>
        </w:tc>
        <w:tc>
          <w:tcPr>
            <w:tcW w:w="0" w:type="auto"/>
            <w:vAlign w:val="center"/>
            <w:hideMark/>
          </w:tcPr>
          <w:p w14:paraId="1A152F49" w14:textId="77777777" w:rsidR="0045468A" w:rsidRPr="000B4E2C" w:rsidRDefault="0045468A" w:rsidP="000B4E2C">
            <w:pPr>
              <w:autoSpaceDE w:val="0"/>
              <w:autoSpaceDN w:val="0"/>
              <w:adjustRightInd w:val="0"/>
              <w:rPr>
                <w:sz w:val="22"/>
              </w:rPr>
            </w:pPr>
            <w:r w:rsidRPr="000B4E2C">
              <w:rPr>
                <w:sz w:val="22"/>
              </w:rPr>
              <w:t>LN</w:t>
            </w:r>
          </w:p>
        </w:tc>
        <w:tc>
          <w:tcPr>
            <w:tcW w:w="0" w:type="auto"/>
            <w:vAlign w:val="center"/>
            <w:hideMark/>
          </w:tcPr>
          <w:p w14:paraId="39C3BA11" w14:textId="76F53E45" w:rsidR="0045468A" w:rsidRPr="000B4E2C" w:rsidRDefault="002D1880" w:rsidP="000B4E2C">
            <w:pPr>
              <w:autoSpaceDE w:val="0"/>
              <w:autoSpaceDN w:val="0"/>
              <w:adjustRightInd w:val="0"/>
              <w:rPr>
                <w:sz w:val="22"/>
              </w:rPr>
            </w:pPr>
            <w:r w:rsidRPr="000B4E2C">
              <w:rPr>
                <w:sz w:val="22"/>
              </w:rPr>
              <w:t>Bastin</w:t>
            </w:r>
            <w:r w:rsidRPr="000B4E2C">
              <w:rPr>
                <w:i/>
                <w:color w:val="00B0F0"/>
                <w:sz w:val="22"/>
              </w:rPr>
              <w:t xml:space="preserve"> et al</w:t>
            </w:r>
            <w:r w:rsidRPr="000B4E2C">
              <w:rPr>
                <w:sz w:val="22"/>
              </w:rPr>
              <w:t>. 2013</w:t>
            </w:r>
            <w:r w:rsidR="00280A97" w:rsidRPr="000B4E2C">
              <w:rPr>
                <w:noProof/>
                <w:sz w:val="22"/>
                <w:vertAlign w:val="superscript"/>
              </w:rPr>
              <w:t>111</w:t>
            </w:r>
          </w:p>
        </w:tc>
      </w:tr>
      <w:tr w:rsidR="000B4E2C" w:rsidRPr="000B4E2C" w14:paraId="5879932B" w14:textId="77777777" w:rsidTr="000B4E2C">
        <w:trPr>
          <w:cantSplit/>
        </w:trPr>
        <w:tc>
          <w:tcPr>
            <w:tcW w:w="0" w:type="auto"/>
            <w:vAlign w:val="center"/>
            <w:hideMark/>
          </w:tcPr>
          <w:p w14:paraId="5B21739B" w14:textId="77777777" w:rsidR="0045468A" w:rsidRPr="000B4E2C" w:rsidRDefault="0045468A" w:rsidP="000B4E2C">
            <w:pPr>
              <w:autoSpaceDE w:val="0"/>
              <w:autoSpaceDN w:val="0"/>
              <w:adjustRightInd w:val="0"/>
              <w:rPr>
                <w:b/>
                <w:bCs/>
                <w:color w:val="000000" w:themeColor="text1"/>
                <w:sz w:val="22"/>
              </w:rPr>
            </w:pPr>
            <w:r w:rsidRPr="000B4E2C">
              <w:rPr>
                <w:sz w:val="22"/>
              </w:rPr>
              <w:t>AKI 1</w:t>
            </w:r>
          </w:p>
        </w:tc>
        <w:tc>
          <w:tcPr>
            <w:tcW w:w="0" w:type="auto"/>
            <w:vAlign w:val="center"/>
            <w:hideMark/>
          </w:tcPr>
          <w:p w14:paraId="2D5CDEE5" w14:textId="77777777" w:rsidR="0045468A" w:rsidRPr="000B4E2C" w:rsidRDefault="0045468A" w:rsidP="000B4E2C">
            <w:pPr>
              <w:autoSpaceDE w:val="0"/>
              <w:autoSpaceDN w:val="0"/>
              <w:adjustRightInd w:val="0"/>
              <w:rPr>
                <w:color w:val="000000" w:themeColor="text1"/>
                <w:sz w:val="22"/>
              </w:rPr>
            </w:pPr>
            <w:r w:rsidRPr="000B4E2C">
              <w:rPr>
                <w:color w:val="000000" w:themeColor="text1"/>
                <w:sz w:val="22"/>
              </w:rPr>
              <w:t>4</w:t>
            </w:r>
          </w:p>
        </w:tc>
        <w:tc>
          <w:tcPr>
            <w:tcW w:w="0" w:type="auto"/>
            <w:vAlign w:val="center"/>
            <w:hideMark/>
          </w:tcPr>
          <w:p w14:paraId="5EDFCC02" w14:textId="77777777" w:rsidR="0045468A" w:rsidRPr="000B4E2C" w:rsidRDefault="0045468A" w:rsidP="000B4E2C">
            <w:pPr>
              <w:autoSpaceDE w:val="0"/>
              <w:autoSpaceDN w:val="0"/>
              <w:adjustRightInd w:val="0"/>
              <w:rPr>
                <w:color w:val="000000" w:themeColor="text1"/>
                <w:sz w:val="22"/>
              </w:rPr>
            </w:pPr>
            <w:r w:rsidRPr="000B4E2C">
              <w:rPr>
                <w:color w:val="000000" w:themeColor="text1"/>
                <w:sz w:val="22"/>
              </w:rPr>
              <w:t>2</w:t>
            </w:r>
          </w:p>
        </w:tc>
        <w:tc>
          <w:tcPr>
            <w:tcW w:w="0" w:type="auto"/>
            <w:vAlign w:val="center"/>
            <w:hideMark/>
          </w:tcPr>
          <w:p w14:paraId="4AA25A3E" w14:textId="77777777" w:rsidR="0045468A" w:rsidRPr="000B4E2C" w:rsidRDefault="0045468A" w:rsidP="000B4E2C">
            <w:pPr>
              <w:autoSpaceDE w:val="0"/>
              <w:autoSpaceDN w:val="0"/>
              <w:adjustRightInd w:val="0"/>
              <w:rPr>
                <w:sz w:val="22"/>
              </w:rPr>
            </w:pPr>
            <w:r w:rsidRPr="000B4E2C">
              <w:rPr>
                <w:sz w:val="22"/>
              </w:rPr>
              <w:t>LN</w:t>
            </w:r>
          </w:p>
        </w:tc>
        <w:tc>
          <w:tcPr>
            <w:tcW w:w="0" w:type="auto"/>
            <w:vAlign w:val="center"/>
            <w:hideMark/>
          </w:tcPr>
          <w:p w14:paraId="516CDD7B" w14:textId="1236D0D9" w:rsidR="0045468A" w:rsidRPr="000B4E2C" w:rsidRDefault="002D1880" w:rsidP="000B4E2C">
            <w:pPr>
              <w:autoSpaceDE w:val="0"/>
              <w:autoSpaceDN w:val="0"/>
              <w:adjustRightInd w:val="0"/>
              <w:rPr>
                <w:sz w:val="22"/>
              </w:rPr>
            </w:pPr>
            <w:r w:rsidRPr="000B4E2C">
              <w:rPr>
                <w:sz w:val="22"/>
              </w:rPr>
              <w:t>Bastin</w:t>
            </w:r>
            <w:r w:rsidRPr="000B4E2C">
              <w:rPr>
                <w:i/>
                <w:color w:val="00B0F0"/>
                <w:sz w:val="22"/>
              </w:rPr>
              <w:t xml:space="preserve"> et al</w:t>
            </w:r>
            <w:r w:rsidRPr="000B4E2C">
              <w:rPr>
                <w:sz w:val="22"/>
              </w:rPr>
              <w:t>. 2013</w:t>
            </w:r>
            <w:r w:rsidR="00280A97" w:rsidRPr="000B4E2C">
              <w:rPr>
                <w:noProof/>
                <w:sz w:val="22"/>
                <w:vertAlign w:val="superscript"/>
              </w:rPr>
              <w:t>111</w:t>
            </w:r>
          </w:p>
        </w:tc>
      </w:tr>
      <w:tr w:rsidR="000B4E2C" w:rsidRPr="000B4E2C" w14:paraId="0C55A1BC" w14:textId="77777777" w:rsidTr="000B4E2C">
        <w:trPr>
          <w:cantSplit/>
        </w:trPr>
        <w:tc>
          <w:tcPr>
            <w:tcW w:w="0" w:type="auto"/>
            <w:vAlign w:val="center"/>
            <w:hideMark/>
          </w:tcPr>
          <w:p w14:paraId="4B0FD082" w14:textId="77777777" w:rsidR="002D1880" w:rsidRPr="000B4E2C" w:rsidRDefault="002D1880" w:rsidP="000B4E2C">
            <w:pPr>
              <w:autoSpaceDE w:val="0"/>
              <w:autoSpaceDN w:val="0"/>
              <w:adjustRightInd w:val="0"/>
              <w:rPr>
                <w:b/>
                <w:bCs/>
                <w:color w:val="000000" w:themeColor="text1"/>
                <w:sz w:val="22"/>
              </w:rPr>
            </w:pPr>
            <w:r w:rsidRPr="000B4E2C">
              <w:rPr>
                <w:sz w:val="22"/>
              </w:rPr>
              <w:t>AKI 2</w:t>
            </w:r>
          </w:p>
        </w:tc>
        <w:tc>
          <w:tcPr>
            <w:tcW w:w="0" w:type="auto"/>
            <w:vAlign w:val="center"/>
            <w:hideMark/>
          </w:tcPr>
          <w:p w14:paraId="38BED6AE"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8</w:t>
            </w:r>
          </w:p>
        </w:tc>
        <w:tc>
          <w:tcPr>
            <w:tcW w:w="0" w:type="auto"/>
            <w:vAlign w:val="center"/>
            <w:hideMark/>
          </w:tcPr>
          <w:p w14:paraId="0C3EA7AF"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4</w:t>
            </w:r>
          </w:p>
        </w:tc>
        <w:tc>
          <w:tcPr>
            <w:tcW w:w="0" w:type="auto"/>
            <w:vAlign w:val="center"/>
            <w:hideMark/>
          </w:tcPr>
          <w:p w14:paraId="5AB38936" w14:textId="77777777" w:rsidR="002D1880" w:rsidRPr="000B4E2C" w:rsidRDefault="002D1880" w:rsidP="000B4E2C">
            <w:pPr>
              <w:autoSpaceDE w:val="0"/>
              <w:autoSpaceDN w:val="0"/>
              <w:adjustRightInd w:val="0"/>
              <w:rPr>
                <w:sz w:val="22"/>
              </w:rPr>
            </w:pPr>
            <w:r w:rsidRPr="000B4E2C">
              <w:rPr>
                <w:sz w:val="22"/>
              </w:rPr>
              <w:t>LN</w:t>
            </w:r>
          </w:p>
        </w:tc>
        <w:tc>
          <w:tcPr>
            <w:tcW w:w="0" w:type="auto"/>
            <w:vAlign w:val="center"/>
            <w:hideMark/>
          </w:tcPr>
          <w:p w14:paraId="34A3D601" w14:textId="60A2F093" w:rsidR="002D1880" w:rsidRPr="000B4E2C" w:rsidRDefault="002D1880" w:rsidP="000B4E2C">
            <w:pPr>
              <w:autoSpaceDE w:val="0"/>
              <w:autoSpaceDN w:val="0"/>
              <w:adjustRightInd w:val="0"/>
              <w:rPr>
                <w:sz w:val="22"/>
              </w:rPr>
            </w:pPr>
            <w:r w:rsidRPr="000B4E2C">
              <w:rPr>
                <w:sz w:val="22"/>
              </w:rPr>
              <w:t>Bastin</w:t>
            </w:r>
            <w:r w:rsidRPr="000B4E2C">
              <w:rPr>
                <w:i/>
                <w:color w:val="00B0F0"/>
                <w:sz w:val="22"/>
              </w:rPr>
              <w:t xml:space="preserve"> et al</w:t>
            </w:r>
            <w:r w:rsidRPr="000B4E2C">
              <w:rPr>
                <w:sz w:val="22"/>
              </w:rPr>
              <w:t>. 2013</w:t>
            </w:r>
            <w:r w:rsidR="00280A97" w:rsidRPr="000B4E2C">
              <w:rPr>
                <w:noProof/>
                <w:sz w:val="22"/>
                <w:vertAlign w:val="superscript"/>
              </w:rPr>
              <w:t>111</w:t>
            </w:r>
          </w:p>
        </w:tc>
      </w:tr>
      <w:tr w:rsidR="000B4E2C" w:rsidRPr="000B4E2C" w14:paraId="18F3A0A2" w14:textId="77777777" w:rsidTr="000B4E2C">
        <w:trPr>
          <w:cantSplit/>
        </w:trPr>
        <w:tc>
          <w:tcPr>
            <w:tcW w:w="0" w:type="auto"/>
            <w:vAlign w:val="center"/>
            <w:hideMark/>
          </w:tcPr>
          <w:p w14:paraId="4C2A53B5" w14:textId="77777777" w:rsidR="002D1880" w:rsidRPr="000B4E2C" w:rsidRDefault="002D1880" w:rsidP="000B4E2C">
            <w:pPr>
              <w:autoSpaceDE w:val="0"/>
              <w:autoSpaceDN w:val="0"/>
              <w:adjustRightInd w:val="0"/>
              <w:rPr>
                <w:b/>
                <w:bCs/>
                <w:color w:val="000000" w:themeColor="text1"/>
                <w:sz w:val="22"/>
              </w:rPr>
            </w:pPr>
            <w:r w:rsidRPr="000B4E2C">
              <w:rPr>
                <w:sz w:val="22"/>
              </w:rPr>
              <w:lastRenderedPageBreak/>
              <w:t>AKI 3</w:t>
            </w:r>
          </w:p>
        </w:tc>
        <w:tc>
          <w:tcPr>
            <w:tcW w:w="0" w:type="auto"/>
            <w:vAlign w:val="center"/>
            <w:hideMark/>
          </w:tcPr>
          <w:p w14:paraId="0EDA1941"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26</w:t>
            </w:r>
          </w:p>
        </w:tc>
        <w:tc>
          <w:tcPr>
            <w:tcW w:w="0" w:type="auto"/>
            <w:vAlign w:val="center"/>
            <w:hideMark/>
          </w:tcPr>
          <w:p w14:paraId="60078590"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13</w:t>
            </w:r>
          </w:p>
        </w:tc>
        <w:tc>
          <w:tcPr>
            <w:tcW w:w="0" w:type="auto"/>
            <w:vAlign w:val="center"/>
            <w:hideMark/>
          </w:tcPr>
          <w:p w14:paraId="1B9BD2EF" w14:textId="77777777" w:rsidR="002D1880" w:rsidRPr="000B4E2C" w:rsidRDefault="002D1880" w:rsidP="000B4E2C">
            <w:pPr>
              <w:autoSpaceDE w:val="0"/>
              <w:autoSpaceDN w:val="0"/>
              <w:adjustRightInd w:val="0"/>
              <w:rPr>
                <w:bCs/>
                <w:color w:val="000000" w:themeColor="text1"/>
                <w:sz w:val="22"/>
              </w:rPr>
            </w:pPr>
            <w:r w:rsidRPr="000B4E2C">
              <w:rPr>
                <w:sz w:val="22"/>
              </w:rPr>
              <w:t>LN</w:t>
            </w:r>
          </w:p>
        </w:tc>
        <w:tc>
          <w:tcPr>
            <w:tcW w:w="0" w:type="auto"/>
            <w:vAlign w:val="center"/>
            <w:hideMark/>
          </w:tcPr>
          <w:p w14:paraId="43F7EAB3" w14:textId="10AAF621" w:rsidR="002D1880" w:rsidRPr="000B4E2C" w:rsidRDefault="002D1880" w:rsidP="000B4E2C">
            <w:pPr>
              <w:autoSpaceDE w:val="0"/>
              <w:autoSpaceDN w:val="0"/>
              <w:adjustRightInd w:val="0"/>
              <w:rPr>
                <w:bCs/>
                <w:color w:val="000000" w:themeColor="text1"/>
                <w:sz w:val="22"/>
              </w:rPr>
            </w:pPr>
            <w:r w:rsidRPr="000B4E2C">
              <w:rPr>
                <w:sz w:val="22"/>
              </w:rPr>
              <w:t>Bastin</w:t>
            </w:r>
            <w:r w:rsidRPr="000B4E2C">
              <w:rPr>
                <w:i/>
                <w:color w:val="00B0F0"/>
                <w:sz w:val="22"/>
              </w:rPr>
              <w:t xml:space="preserve"> et al</w:t>
            </w:r>
            <w:r w:rsidRPr="000B4E2C">
              <w:rPr>
                <w:sz w:val="22"/>
              </w:rPr>
              <w:t>. 2013</w:t>
            </w:r>
            <w:r w:rsidR="00280A97" w:rsidRPr="000B4E2C">
              <w:rPr>
                <w:noProof/>
                <w:sz w:val="22"/>
                <w:vertAlign w:val="superscript"/>
              </w:rPr>
              <w:t>111</w:t>
            </w:r>
          </w:p>
        </w:tc>
      </w:tr>
      <w:tr w:rsidR="00AD673E" w:rsidRPr="000B4E2C" w14:paraId="4AA227F4" w14:textId="77777777" w:rsidTr="000B4E2C">
        <w:trPr>
          <w:cantSplit/>
        </w:trPr>
        <w:tc>
          <w:tcPr>
            <w:tcW w:w="0" w:type="auto"/>
            <w:gridSpan w:val="5"/>
            <w:shd w:val="clear" w:color="auto" w:fill="D9D9D9" w:themeFill="background1" w:themeFillShade="D9"/>
            <w:hideMark/>
          </w:tcPr>
          <w:p w14:paraId="556624E4" w14:textId="6A5B8F44" w:rsidR="0045468A" w:rsidRPr="000B4E2C" w:rsidRDefault="0045468A" w:rsidP="000B4E2C">
            <w:pPr>
              <w:autoSpaceDE w:val="0"/>
              <w:autoSpaceDN w:val="0"/>
              <w:adjustRightInd w:val="0"/>
              <w:rPr>
                <w:sz w:val="22"/>
              </w:rPr>
            </w:pPr>
            <w:r w:rsidRPr="000B4E2C">
              <w:rPr>
                <w:b/>
                <w:bCs/>
                <w:sz w:val="22"/>
              </w:rPr>
              <w:t>The effects of early adoption of a KDIGO care bundle (RR)</w:t>
            </w:r>
            <w:r w:rsidR="00993E1C" w:rsidRPr="000B4E2C">
              <w:rPr>
                <w:b/>
                <w:bCs/>
                <w:sz w:val="22"/>
              </w:rPr>
              <w:t xml:space="preserve"> </w:t>
            </w:r>
            <w:r w:rsidR="00993E1C" w:rsidRPr="000B4E2C">
              <w:rPr>
                <w:b/>
                <w:bCs/>
                <w:sz w:val="22"/>
                <w:vertAlign w:val="superscript"/>
              </w:rPr>
              <w:t>C</w:t>
            </w:r>
          </w:p>
        </w:tc>
      </w:tr>
      <w:tr w:rsidR="000B4E2C" w:rsidRPr="000B4E2C" w14:paraId="53128074" w14:textId="77777777" w:rsidTr="000B4E2C">
        <w:trPr>
          <w:cantSplit/>
        </w:trPr>
        <w:tc>
          <w:tcPr>
            <w:tcW w:w="0" w:type="auto"/>
          </w:tcPr>
          <w:p w14:paraId="49E38F69" w14:textId="77777777" w:rsidR="0045468A" w:rsidRPr="000B4E2C" w:rsidRDefault="0045468A" w:rsidP="000B4E2C">
            <w:pPr>
              <w:autoSpaceDE w:val="0"/>
              <w:autoSpaceDN w:val="0"/>
              <w:adjustRightInd w:val="0"/>
              <w:rPr>
                <w:sz w:val="22"/>
              </w:rPr>
            </w:pPr>
          </w:p>
        </w:tc>
        <w:tc>
          <w:tcPr>
            <w:tcW w:w="0" w:type="auto"/>
            <w:hideMark/>
          </w:tcPr>
          <w:p w14:paraId="3A018BD5" w14:textId="6B96B52A" w:rsidR="0045468A" w:rsidRPr="000B4E2C" w:rsidRDefault="0045468A" w:rsidP="000B4E2C">
            <w:pPr>
              <w:autoSpaceDE w:val="0"/>
              <w:autoSpaceDN w:val="0"/>
              <w:adjustRightInd w:val="0"/>
              <w:rPr>
                <w:b/>
                <w:color w:val="000000" w:themeColor="text1"/>
                <w:sz w:val="22"/>
                <w:vertAlign w:val="superscript"/>
              </w:rPr>
            </w:pPr>
            <w:r w:rsidRPr="000B4E2C">
              <w:rPr>
                <w:b/>
                <w:color w:val="000000" w:themeColor="text1"/>
                <w:sz w:val="22"/>
              </w:rPr>
              <w:t>Mean RR</w:t>
            </w:r>
            <w:r w:rsidR="00993E1C" w:rsidRPr="000B4E2C">
              <w:rPr>
                <w:b/>
                <w:color w:val="000000" w:themeColor="text1"/>
                <w:sz w:val="22"/>
              </w:rPr>
              <w:t xml:space="preserve"> </w:t>
            </w:r>
            <w:r w:rsidR="00993E1C" w:rsidRPr="000B4E2C">
              <w:rPr>
                <w:b/>
                <w:color w:val="000000" w:themeColor="text1"/>
                <w:sz w:val="22"/>
                <w:vertAlign w:val="superscript"/>
              </w:rPr>
              <w:t>D</w:t>
            </w:r>
          </w:p>
        </w:tc>
        <w:tc>
          <w:tcPr>
            <w:tcW w:w="0" w:type="auto"/>
            <w:hideMark/>
          </w:tcPr>
          <w:p w14:paraId="685E384D" w14:textId="20F2BF11" w:rsidR="0045468A" w:rsidRPr="000B4E2C" w:rsidRDefault="0045468A" w:rsidP="000B4E2C">
            <w:pPr>
              <w:autoSpaceDE w:val="0"/>
              <w:autoSpaceDN w:val="0"/>
              <w:adjustRightInd w:val="0"/>
              <w:rPr>
                <w:b/>
                <w:sz w:val="22"/>
                <w:vertAlign w:val="superscript"/>
              </w:rPr>
            </w:pPr>
            <w:r w:rsidRPr="000B4E2C">
              <w:rPr>
                <w:b/>
                <w:sz w:val="22"/>
              </w:rPr>
              <w:t>SE Log RR</w:t>
            </w:r>
            <w:r w:rsidR="00993E1C" w:rsidRPr="000B4E2C">
              <w:rPr>
                <w:b/>
                <w:sz w:val="22"/>
              </w:rPr>
              <w:t xml:space="preserve"> </w:t>
            </w:r>
            <w:r w:rsidR="00993E1C" w:rsidRPr="000B4E2C">
              <w:rPr>
                <w:b/>
                <w:sz w:val="22"/>
                <w:vertAlign w:val="superscript"/>
              </w:rPr>
              <w:t>D</w:t>
            </w:r>
          </w:p>
        </w:tc>
        <w:tc>
          <w:tcPr>
            <w:tcW w:w="0" w:type="auto"/>
          </w:tcPr>
          <w:p w14:paraId="01A2DE95" w14:textId="77777777" w:rsidR="0045468A" w:rsidRPr="000B4E2C" w:rsidRDefault="0045468A" w:rsidP="000B4E2C">
            <w:pPr>
              <w:autoSpaceDE w:val="0"/>
              <w:autoSpaceDN w:val="0"/>
              <w:adjustRightInd w:val="0"/>
              <w:rPr>
                <w:b/>
                <w:sz w:val="22"/>
              </w:rPr>
            </w:pPr>
          </w:p>
        </w:tc>
        <w:tc>
          <w:tcPr>
            <w:tcW w:w="0" w:type="auto"/>
          </w:tcPr>
          <w:p w14:paraId="6041B03A" w14:textId="77777777" w:rsidR="0045468A" w:rsidRPr="000B4E2C" w:rsidRDefault="0045468A" w:rsidP="000B4E2C">
            <w:pPr>
              <w:autoSpaceDE w:val="0"/>
              <w:autoSpaceDN w:val="0"/>
              <w:adjustRightInd w:val="0"/>
              <w:rPr>
                <w:b/>
                <w:sz w:val="22"/>
              </w:rPr>
            </w:pPr>
          </w:p>
        </w:tc>
      </w:tr>
      <w:tr w:rsidR="000B4E2C" w:rsidRPr="000B4E2C" w14:paraId="2CAEA0EF" w14:textId="77777777" w:rsidTr="000B4E2C">
        <w:trPr>
          <w:cantSplit/>
        </w:trPr>
        <w:tc>
          <w:tcPr>
            <w:tcW w:w="0" w:type="auto"/>
            <w:hideMark/>
          </w:tcPr>
          <w:p w14:paraId="07D6D037" w14:textId="77777777" w:rsidR="0045468A" w:rsidRPr="000B4E2C" w:rsidRDefault="0045468A" w:rsidP="000B4E2C">
            <w:pPr>
              <w:autoSpaceDE w:val="0"/>
              <w:autoSpaceDN w:val="0"/>
              <w:adjustRightInd w:val="0"/>
              <w:rPr>
                <w:sz w:val="22"/>
              </w:rPr>
            </w:pPr>
            <w:r w:rsidRPr="000B4E2C">
              <w:rPr>
                <w:sz w:val="22"/>
              </w:rPr>
              <w:t>Any AKI</w:t>
            </w:r>
          </w:p>
        </w:tc>
        <w:tc>
          <w:tcPr>
            <w:tcW w:w="0" w:type="auto"/>
            <w:hideMark/>
          </w:tcPr>
          <w:p w14:paraId="56FE7AF0" w14:textId="77777777" w:rsidR="0045468A" w:rsidRPr="000B4E2C" w:rsidRDefault="0045468A" w:rsidP="000B4E2C">
            <w:pPr>
              <w:autoSpaceDE w:val="0"/>
              <w:autoSpaceDN w:val="0"/>
              <w:adjustRightInd w:val="0"/>
              <w:rPr>
                <w:sz w:val="22"/>
              </w:rPr>
            </w:pPr>
            <w:r w:rsidRPr="000B4E2C">
              <w:rPr>
                <w:sz w:val="22"/>
              </w:rPr>
              <w:t>0.768</w:t>
            </w:r>
          </w:p>
        </w:tc>
        <w:tc>
          <w:tcPr>
            <w:tcW w:w="0" w:type="auto"/>
            <w:hideMark/>
          </w:tcPr>
          <w:p w14:paraId="7BBF226C" w14:textId="77777777" w:rsidR="0045468A" w:rsidRPr="000B4E2C" w:rsidRDefault="0045468A" w:rsidP="000B4E2C">
            <w:pPr>
              <w:autoSpaceDE w:val="0"/>
              <w:autoSpaceDN w:val="0"/>
              <w:adjustRightInd w:val="0"/>
              <w:rPr>
                <w:sz w:val="22"/>
              </w:rPr>
            </w:pPr>
            <w:r w:rsidRPr="000B4E2C">
              <w:rPr>
                <w:sz w:val="22"/>
              </w:rPr>
              <w:t>0.094</w:t>
            </w:r>
          </w:p>
        </w:tc>
        <w:tc>
          <w:tcPr>
            <w:tcW w:w="0" w:type="auto"/>
            <w:hideMark/>
          </w:tcPr>
          <w:p w14:paraId="6E98963F" w14:textId="77777777" w:rsidR="0045468A" w:rsidRPr="000B4E2C" w:rsidRDefault="0045468A" w:rsidP="000B4E2C">
            <w:pPr>
              <w:autoSpaceDE w:val="0"/>
              <w:autoSpaceDN w:val="0"/>
              <w:adjustRightInd w:val="0"/>
              <w:rPr>
                <w:sz w:val="22"/>
              </w:rPr>
            </w:pPr>
            <w:r w:rsidRPr="000B4E2C">
              <w:rPr>
                <w:sz w:val="22"/>
              </w:rPr>
              <w:t>LN</w:t>
            </w:r>
          </w:p>
        </w:tc>
        <w:tc>
          <w:tcPr>
            <w:tcW w:w="0" w:type="auto"/>
            <w:hideMark/>
          </w:tcPr>
          <w:p w14:paraId="6EC8E964" w14:textId="602C8A46" w:rsidR="0045468A" w:rsidRPr="000B4E2C" w:rsidRDefault="002D1880" w:rsidP="000B4E2C">
            <w:pPr>
              <w:autoSpaceDE w:val="0"/>
              <w:autoSpaceDN w:val="0"/>
              <w:adjustRightInd w:val="0"/>
              <w:rPr>
                <w:sz w:val="22"/>
              </w:rPr>
            </w:pPr>
            <w:r w:rsidRPr="000B4E2C">
              <w:rPr>
                <w:sz w:val="22"/>
              </w:rPr>
              <w:t>Meersch</w:t>
            </w:r>
            <w:r w:rsidRPr="000B4E2C">
              <w:rPr>
                <w:i/>
                <w:color w:val="00B0F0"/>
                <w:sz w:val="22"/>
              </w:rPr>
              <w:t xml:space="preserve"> et al</w:t>
            </w:r>
            <w:r w:rsidR="00280A97" w:rsidRPr="000B4E2C">
              <w:rPr>
                <w:noProof/>
                <w:sz w:val="22"/>
                <w:vertAlign w:val="superscript"/>
              </w:rPr>
              <w:t>112</w:t>
            </w:r>
          </w:p>
        </w:tc>
      </w:tr>
      <w:tr w:rsidR="000B4E2C" w:rsidRPr="000B4E2C" w14:paraId="16B3BE56" w14:textId="77777777" w:rsidTr="000B4E2C">
        <w:trPr>
          <w:cantSplit/>
        </w:trPr>
        <w:tc>
          <w:tcPr>
            <w:tcW w:w="0" w:type="auto"/>
            <w:hideMark/>
          </w:tcPr>
          <w:p w14:paraId="75DD1DE5" w14:textId="77777777" w:rsidR="000B4E2C" w:rsidRPr="000B4E2C" w:rsidRDefault="0045468A" w:rsidP="000B4E2C">
            <w:pPr>
              <w:pStyle w:val="CommentText"/>
              <w:spacing w:line="360" w:lineRule="auto"/>
              <w:rPr>
                <w:sz w:val="22"/>
                <w:szCs w:val="22"/>
              </w:rPr>
            </w:pPr>
            <w:r w:rsidRPr="000B4E2C">
              <w:rPr>
                <w:sz w:val="22"/>
                <w:szCs w:val="22"/>
              </w:rPr>
              <w:t>AKI 1</w:t>
            </w:r>
          </w:p>
          <w:p w14:paraId="127A5967" w14:textId="0E01CB33" w:rsidR="0045468A" w:rsidRPr="000B4E2C" w:rsidRDefault="0045468A" w:rsidP="000B4E2C">
            <w:pPr>
              <w:autoSpaceDE w:val="0"/>
              <w:autoSpaceDN w:val="0"/>
              <w:adjustRightInd w:val="0"/>
              <w:rPr>
                <w:sz w:val="22"/>
              </w:rPr>
            </w:pPr>
            <w:r w:rsidRPr="000B4E2C">
              <w:rPr>
                <w:sz w:val="22"/>
              </w:rPr>
              <w:t>(given AKI)</w:t>
            </w:r>
          </w:p>
        </w:tc>
        <w:tc>
          <w:tcPr>
            <w:tcW w:w="0" w:type="auto"/>
            <w:hideMark/>
          </w:tcPr>
          <w:p w14:paraId="7AC48B86" w14:textId="77777777" w:rsidR="0045468A" w:rsidRPr="000B4E2C" w:rsidRDefault="0045468A" w:rsidP="000B4E2C">
            <w:pPr>
              <w:autoSpaceDE w:val="0"/>
              <w:autoSpaceDN w:val="0"/>
              <w:adjustRightInd w:val="0"/>
              <w:rPr>
                <w:color w:val="000000" w:themeColor="text1"/>
                <w:sz w:val="22"/>
              </w:rPr>
            </w:pPr>
            <w:r w:rsidRPr="000B4E2C">
              <w:rPr>
                <w:sz w:val="22"/>
              </w:rPr>
              <w:t>1.232</w:t>
            </w:r>
          </w:p>
        </w:tc>
        <w:tc>
          <w:tcPr>
            <w:tcW w:w="0" w:type="auto"/>
            <w:hideMark/>
          </w:tcPr>
          <w:p w14:paraId="61297BFA" w14:textId="77777777" w:rsidR="0045468A" w:rsidRPr="000B4E2C" w:rsidRDefault="0045468A" w:rsidP="000B4E2C">
            <w:pPr>
              <w:autoSpaceDE w:val="0"/>
              <w:autoSpaceDN w:val="0"/>
              <w:adjustRightInd w:val="0"/>
              <w:rPr>
                <w:sz w:val="22"/>
              </w:rPr>
            </w:pPr>
            <w:r w:rsidRPr="000B4E2C">
              <w:rPr>
                <w:sz w:val="22"/>
              </w:rPr>
              <w:t>0.180</w:t>
            </w:r>
          </w:p>
        </w:tc>
        <w:tc>
          <w:tcPr>
            <w:tcW w:w="0" w:type="auto"/>
            <w:hideMark/>
          </w:tcPr>
          <w:p w14:paraId="0F862008" w14:textId="77777777" w:rsidR="0045468A" w:rsidRPr="000B4E2C" w:rsidRDefault="0045468A" w:rsidP="000B4E2C">
            <w:pPr>
              <w:autoSpaceDE w:val="0"/>
              <w:autoSpaceDN w:val="0"/>
              <w:adjustRightInd w:val="0"/>
              <w:rPr>
                <w:sz w:val="22"/>
              </w:rPr>
            </w:pPr>
            <w:r w:rsidRPr="000B4E2C">
              <w:rPr>
                <w:sz w:val="22"/>
              </w:rPr>
              <w:t>LN</w:t>
            </w:r>
          </w:p>
        </w:tc>
        <w:tc>
          <w:tcPr>
            <w:tcW w:w="0" w:type="auto"/>
            <w:hideMark/>
          </w:tcPr>
          <w:p w14:paraId="27879033" w14:textId="5D5F90D5" w:rsidR="0045468A" w:rsidRPr="000B4E2C" w:rsidRDefault="002D1880" w:rsidP="000B4E2C">
            <w:pPr>
              <w:autoSpaceDE w:val="0"/>
              <w:autoSpaceDN w:val="0"/>
              <w:adjustRightInd w:val="0"/>
              <w:rPr>
                <w:sz w:val="22"/>
              </w:rPr>
            </w:pPr>
            <w:r w:rsidRPr="000B4E2C">
              <w:rPr>
                <w:sz w:val="22"/>
              </w:rPr>
              <w:t>Meersch</w:t>
            </w:r>
            <w:r w:rsidRPr="000B4E2C">
              <w:rPr>
                <w:i/>
                <w:color w:val="00B0F0"/>
                <w:sz w:val="22"/>
              </w:rPr>
              <w:t xml:space="preserve"> et al</w:t>
            </w:r>
            <w:r w:rsidR="00280A97" w:rsidRPr="000B4E2C">
              <w:rPr>
                <w:noProof/>
                <w:sz w:val="22"/>
                <w:vertAlign w:val="superscript"/>
              </w:rPr>
              <w:t>112</w:t>
            </w:r>
          </w:p>
        </w:tc>
      </w:tr>
      <w:tr w:rsidR="000B4E2C" w:rsidRPr="000B4E2C" w14:paraId="1F8AF977" w14:textId="77777777" w:rsidTr="000B4E2C">
        <w:trPr>
          <w:cantSplit/>
        </w:trPr>
        <w:tc>
          <w:tcPr>
            <w:tcW w:w="0" w:type="auto"/>
            <w:hideMark/>
          </w:tcPr>
          <w:p w14:paraId="6A7467BF" w14:textId="77777777" w:rsidR="000B4E2C" w:rsidRPr="000B4E2C" w:rsidRDefault="002D1880" w:rsidP="000B4E2C">
            <w:pPr>
              <w:pStyle w:val="CommentText"/>
              <w:spacing w:line="360" w:lineRule="auto"/>
              <w:rPr>
                <w:sz w:val="22"/>
                <w:szCs w:val="22"/>
              </w:rPr>
            </w:pPr>
            <w:r w:rsidRPr="000B4E2C">
              <w:rPr>
                <w:sz w:val="22"/>
                <w:szCs w:val="22"/>
              </w:rPr>
              <w:t>AKI 2</w:t>
            </w:r>
          </w:p>
          <w:p w14:paraId="07A27615" w14:textId="3ED0C723" w:rsidR="002D1880" w:rsidRPr="000B4E2C" w:rsidRDefault="002D1880" w:rsidP="000B4E2C">
            <w:pPr>
              <w:autoSpaceDE w:val="0"/>
              <w:autoSpaceDN w:val="0"/>
              <w:adjustRightInd w:val="0"/>
              <w:rPr>
                <w:sz w:val="22"/>
              </w:rPr>
            </w:pPr>
            <w:r w:rsidRPr="000B4E2C">
              <w:rPr>
                <w:sz w:val="22"/>
              </w:rPr>
              <w:t>(given AKI)</w:t>
            </w:r>
          </w:p>
        </w:tc>
        <w:tc>
          <w:tcPr>
            <w:tcW w:w="0" w:type="auto"/>
            <w:hideMark/>
          </w:tcPr>
          <w:p w14:paraId="7E98A80A" w14:textId="77777777" w:rsidR="002D1880" w:rsidRPr="000B4E2C" w:rsidRDefault="002D1880" w:rsidP="000B4E2C">
            <w:pPr>
              <w:autoSpaceDE w:val="0"/>
              <w:autoSpaceDN w:val="0"/>
              <w:adjustRightInd w:val="0"/>
              <w:rPr>
                <w:color w:val="000000" w:themeColor="text1"/>
                <w:sz w:val="22"/>
              </w:rPr>
            </w:pPr>
            <w:r w:rsidRPr="000B4E2C">
              <w:rPr>
                <w:sz w:val="22"/>
              </w:rPr>
              <w:t>0.868</w:t>
            </w:r>
          </w:p>
        </w:tc>
        <w:tc>
          <w:tcPr>
            <w:tcW w:w="0" w:type="auto"/>
            <w:hideMark/>
          </w:tcPr>
          <w:p w14:paraId="4173927A" w14:textId="77777777" w:rsidR="002D1880" w:rsidRPr="000B4E2C" w:rsidRDefault="002D1880" w:rsidP="000B4E2C">
            <w:pPr>
              <w:autoSpaceDE w:val="0"/>
              <w:autoSpaceDN w:val="0"/>
              <w:adjustRightInd w:val="0"/>
              <w:rPr>
                <w:sz w:val="22"/>
              </w:rPr>
            </w:pPr>
            <w:r w:rsidRPr="000B4E2C">
              <w:rPr>
                <w:sz w:val="22"/>
              </w:rPr>
              <w:t>0.180</w:t>
            </w:r>
          </w:p>
        </w:tc>
        <w:tc>
          <w:tcPr>
            <w:tcW w:w="0" w:type="auto"/>
            <w:hideMark/>
          </w:tcPr>
          <w:p w14:paraId="09C71C21" w14:textId="77777777" w:rsidR="002D1880" w:rsidRPr="000B4E2C" w:rsidRDefault="002D1880" w:rsidP="000B4E2C">
            <w:pPr>
              <w:autoSpaceDE w:val="0"/>
              <w:autoSpaceDN w:val="0"/>
              <w:adjustRightInd w:val="0"/>
              <w:rPr>
                <w:sz w:val="22"/>
              </w:rPr>
            </w:pPr>
            <w:r w:rsidRPr="000B4E2C">
              <w:rPr>
                <w:sz w:val="22"/>
              </w:rPr>
              <w:t>LN</w:t>
            </w:r>
          </w:p>
        </w:tc>
        <w:tc>
          <w:tcPr>
            <w:tcW w:w="0" w:type="auto"/>
            <w:hideMark/>
          </w:tcPr>
          <w:p w14:paraId="368ECE3E" w14:textId="0B98748E" w:rsidR="002D1880" w:rsidRPr="000B4E2C" w:rsidRDefault="002D1880" w:rsidP="000B4E2C">
            <w:pPr>
              <w:autoSpaceDE w:val="0"/>
              <w:autoSpaceDN w:val="0"/>
              <w:adjustRightInd w:val="0"/>
              <w:rPr>
                <w:sz w:val="22"/>
              </w:rPr>
            </w:pPr>
            <w:r w:rsidRPr="000B4E2C">
              <w:rPr>
                <w:sz w:val="22"/>
              </w:rPr>
              <w:t>Meersch</w:t>
            </w:r>
            <w:r w:rsidRPr="000B4E2C">
              <w:rPr>
                <w:i/>
                <w:color w:val="00B0F0"/>
                <w:sz w:val="22"/>
              </w:rPr>
              <w:t xml:space="preserve"> et al</w:t>
            </w:r>
            <w:r w:rsidR="00280A97" w:rsidRPr="000B4E2C">
              <w:rPr>
                <w:noProof/>
                <w:sz w:val="22"/>
                <w:vertAlign w:val="superscript"/>
              </w:rPr>
              <w:t>112</w:t>
            </w:r>
          </w:p>
        </w:tc>
      </w:tr>
      <w:tr w:rsidR="000B4E2C" w:rsidRPr="000B4E2C" w14:paraId="625D4EF5" w14:textId="77777777" w:rsidTr="000B4E2C">
        <w:trPr>
          <w:cantSplit/>
        </w:trPr>
        <w:tc>
          <w:tcPr>
            <w:tcW w:w="0" w:type="auto"/>
            <w:hideMark/>
          </w:tcPr>
          <w:p w14:paraId="050FB73F" w14:textId="77777777" w:rsidR="000B4E2C" w:rsidRPr="000B4E2C" w:rsidRDefault="002D1880" w:rsidP="000B4E2C">
            <w:pPr>
              <w:pStyle w:val="CommentText"/>
              <w:spacing w:line="360" w:lineRule="auto"/>
              <w:rPr>
                <w:sz w:val="22"/>
                <w:szCs w:val="22"/>
              </w:rPr>
            </w:pPr>
            <w:r w:rsidRPr="000B4E2C">
              <w:rPr>
                <w:sz w:val="22"/>
                <w:szCs w:val="22"/>
              </w:rPr>
              <w:t>AKI 3</w:t>
            </w:r>
          </w:p>
          <w:p w14:paraId="25DFD235" w14:textId="0EBD0905" w:rsidR="002D1880" w:rsidRPr="000B4E2C" w:rsidRDefault="002D1880" w:rsidP="000B4E2C">
            <w:pPr>
              <w:autoSpaceDE w:val="0"/>
              <w:autoSpaceDN w:val="0"/>
              <w:adjustRightInd w:val="0"/>
              <w:rPr>
                <w:sz w:val="22"/>
              </w:rPr>
            </w:pPr>
            <w:r w:rsidRPr="000B4E2C">
              <w:rPr>
                <w:sz w:val="22"/>
              </w:rPr>
              <w:t>(given AKI)</w:t>
            </w:r>
          </w:p>
        </w:tc>
        <w:tc>
          <w:tcPr>
            <w:tcW w:w="0" w:type="auto"/>
            <w:hideMark/>
          </w:tcPr>
          <w:p w14:paraId="169004FC" w14:textId="77777777" w:rsidR="002D1880" w:rsidRPr="000B4E2C" w:rsidRDefault="002D1880" w:rsidP="000B4E2C">
            <w:pPr>
              <w:autoSpaceDE w:val="0"/>
              <w:autoSpaceDN w:val="0"/>
              <w:adjustRightInd w:val="0"/>
              <w:rPr>
                <w:color w:val="000000" w:themeColor="text1"/>
                <w:sz w:val="22"/>
              </w:rPr>
            </w:pPr>
            <w:r w:rsidRPr="000B4E2C">
              <w:rPr>
                <w:sz w:val="22"/>
              </w:rPr>
              <w:t>0.843</w:t>
            </w:r>
          </w:p>
        </w:tc>
        <w:tc>
          <w:tcPr>
            <w:tcW w:w="0" w:type="auto"/>
            <w:hideMark/>
          </w:tcPr>
          <w:p w14:paraId="2E1C0732" w14:textId="77777777" w:rsidR="002D1880" w:rsidRPr="000B4E2C" w:rsidRDefault="002D1880" w:rsidP="000B4E2C">
            <w:pPr>
              <w:autoSpaceDE w:val="0"/>
              <w:autoSpaceDN w:val="0"/>
              <w:adjustRightInd w:val="0"/>
              <w:rPr>
                <w:sz w:val="22"/>
              </w:rPr>
            </w:pPr>
            <w:r w:rsidRPr="000B4E2C">
              <w:rPr>
                <w:sz w:val="22"/>
              </w:rPr>
              <w:t>0.356</w:t>
            </w:r>
          </w:p>
        </w:tc>
        <w:tc>
          <w:tcPr>
            <w:tcW w:w="0" w:type="auto"/>
            <w:hideMark/>
          </w:tcPr>
          <w:p w14:paraId="044CE63B" w14:textId="77777777" w:rsidR="002D1880" w:rsidRPr="000B4E2C" w:rsidRDefault="002D1880" w:rsidP="000B4E2C">
            <w:pPr>
              <w:autoSpaceDE w:val="0"/>
              <w:autoSpaceDN w:val="0"/>
              <w:adjustRightInd w:val="0"/>
              <w:rPr>
                <w:sz w:val="22"/>
              </w:rPr>
            </w:pPr>
            <w:r w:rsidRPr="000B4E2C">
              <w:rPr>
                <w:sz w:val="22"/>
              </w:rPr>
              <w:t>LN</w:t>
            </w:r>
          </w:p>
        </w:tc>
        <w:tc>
          <w:tcPr>
            <w:tcW w:w="0" w:type="auto"/>
            <w:hideMark/>
          </w:tcPr>
          <w:p w14:paraId="1529097A" w14:textId="322EF900" w:rsidR="002D1880" w:rsidRPr="000B4E2C" w:rsidRDefault="002D1880" w:rsidP="000B4E2C">
            <w:pPr>
              <w:autoSpaceDE w:val="0"/>
              <w:autoSpaceDN w:val="0"/>
              <w:adjustRightInd w:val="0"/>
              <w:rPr>
                <w:sz w:val="22"/>
              </w:rPr>
            </w:pPr>
            <w:r w:rsidRPr="000B4E2C">
              <w:rPr>
                <w:sz w:val="22"/>
              </w:rPr>
              <w:t>Meersch</w:t>
            </w:r>
            <w:r w:rsidRPr="000B4E2C">
              <w:rPr>
                <w:i/>
                <w:color w:val="00B0F0"/>
                <w:sz w:val="22"/>
              </w:rPr>
              <w:t xml:space="preserve"> et al</w:t>
            </w:r>
            <w:r w:rsidR="00280A97" w:rsidRPr="000B4E2C">
              <w:rPr>
                <w:noProof/>
                <w:sz w:val="22"/>
                <w:vertAlign w:val="superscript"/>
              </w:rPr>
              <w:t>112</w:t>
            </w:r>
          </w:p>
        </w:tc>
      </w:tr>
      <w:tr w:rsidR="00AD673E" w:rsidRPr="000B4E2C" w14:paraId="28133662" w14:textId="77777777" w:rsidTr="000B4E2C">
        <w:trPr>
          <w:cantSplit/>
        </w:trPr>
        <w:tc>
          <w:tcPr>
            <w:tcW w:w="0" w:type="auto"/>
            <w:gridSpan w:val="5"/>
            <w:shd w:val="clear" w:color="auto" w:fill="D9D9D9" w:themeFill="background1" w:themeFillShade="D9"/>
            <w:hideMark/>
          </w:tcPr>
          <w:p w14:paraId="30AAEB57" w14:textId="77777777" w:rsidR="0045468A" w:rsidRPr="000B4E2C" w:rsidRDefault="0045468A" w:rsidP="000B4E2C">
            <w:pPr>
              <w:autoSpaceDE w:val="0"/>
              <w:autoSpaceDN w:val="0"/>
              <w:adjustRightInd w:val="0"/>
              <w:rPr>
                <w:sz w:val="22"/>
              </w:rPr>
            </w:pPr>
            <w:r w:rsidRPr="000B4E2C">
              <w:rPr>
                <w:b/>
                <w:bCs/>
                <w:sz w:val="22"/>
              </w:rPr>
              <w:t>Parameters linking AKI and CKD</w:t>
            </w:r>
          </w:p>
        </w:tc>
      </w:tr>
      <w:tr w:rsidR="000B4E2C" w:rsidRPr="000B4E2C" w14:paraId="1F24B667" w14:textId="77777777" w:rsidTr="000B4E2C">
        <w:trPr>
          <w:cantSplit/>
        </w:trPr>
        <w:tc>
          <w:tcPr>
            <w:tcW w:w="0" w:type="auto"/>
          </w:tcPr>
          <w:p w14:paraId="041A15E9" w14:textId="77777777" w:rsidR="0045468A" w:rsidRPr="000B4E2C" w:rsidRDefault="0045468A" w:rsidP="000B4E2C">
            <w:pPr>
              <w:pStyle w:val="CommentText"/>
              <w:spacing w:line="360" w:lineRule="auto"/>
              <w:rPr>
                <w:b/>
                <w:bCs/>
                <w:sz w:val="22"/>
                <w:szCs w:val="22"/>
              </w:rPr>
            </w:pPr>
          </w:p>
        </w:tc>
        <w:tc>
          <w:tcPr>
            <w:tcW w:w="0" w:type="auto"/>
            <w:hideMark/>
          </w:tcPr>
          <w:p w14:paraId="77C749FB" w14:textId="77777777" w:rsidR="0045468A" w:rsidRPr="000B4E2C" w:rsidRDefault="0045468A" w:rsidP="000B4E2C">
            <w:pPr>
              <w:autoSpaceDE w:val="0"/>
              <w:autoSpaceDN w:val="0"/>
              <w:adjustRightInd w:val="0"/>
              <w:rPr>
                <w:b/>
                <w:sz w:val="22"/>
              </w:rPr>
            </w:pPr>
            <w:r w:rsidRPr="000B4E2C">
              <w:rPr>
                <w:b/>
                <w:sz w:val="22"/>
              </w:rPr>
              <w:t>Mean</w:t>
            </w:r>
          </w:p>
        </w:tc>
        <w:tc>
          <w:tcPr>
            <w:tcW w:w="0" w:type="auto"/>
            <w:hideMark/>
          </w:tcPr>
          <w:p w14:paraId="336E272F" w14:textId="77777777" w:rsidR="0045468A" w:rsidRPr="000B4E2C" w:rsidRDefault="0045468A" w:rsidP="000B4E2C">
            <w:pPr>
              <w:autoSpaceDE w:val="0"/>
              <w:autoSpaceDN w:val="0"/>
              <w:adjustRightInd w:val="0"/>
              <w:rPr>
                <w:b/>
                <w:sz w:val="22"/>
              </w:rPr>
            </w:pPr>
            <w:r w:rsidRPr="000B4E2C">
              <w:rPr>
                <w:b/>
                <w:sz w:val="22"/>
              </w:rPr>
              <w:t>SE</w:t>
            </w:r>
          </w:p>
        </w:tc>
        <w:tc>
          <w:tcPr>
            <w:tcW w:w="0" w:type="auto"/>
          </w:tcPr>
          <w:p w14:paraId="23E1F970" w14:textId="77777777" w:rsidR="0045468A" w:rsidRPr="000B4E2C" w:rsidRDefault="0045468A" w:rsidP="000B4E2C">
            <w:pPr>
              <w:autoSpaceDE w:val="0"/>
              <w:autoSpaceDN w:val="0"/>
              <w:adjustRightInd w:val="0"/>
              <w:rPr>
                <w:b/>
                <w:sz w:val="22"/>
              </w:rPr>
            </w:pPr>
          </w:p>
        </w:tc>
        <w:tc>
          <w:tcPr>
            <w:tcW w:w="0" w:type="auto"/>
          </w:tcPr>
          <w:p w14:paraId="2F2AFC7B" w14:textId="77777777" w:rsidR="0045468A" w:rsidRPr="000B4E2C" w:rsidRDefault="0045468A" w:rsidP="000B4E2C">
            <w:pPr>
              <w:autoSpaceDE w:val="0"/>
              <w:autoSpaceDN w:val="0"/>
              <w:adjustRightInd w:val="0"/>
              <w:rPr>
                <w:sz w:val="22"/>
              </w:rPr>
            </w:pPr>
          </w:p>
        </w:tc>
      </w:tr>
      <w:tr w:rsidR="000B4E2C" w:rsidRPr="000B4E2C" w14:paraId="02C8A0EA" w14:textId="77777777" w:rsidTr="000B4E2C">
        <w:trPr>
          <w:cantSplit/>
        </w:trPr>
        <w:tc>
          <w:tcPr>
            <w:tcW w:w="0" w:type="auto"/>
            <w:vAlign w:val="center"/>
            <w:hideMark/>
          </w:tcPr>
          <w:p w14:paraId="5E765E57" w14:textId="77777777" w:rsidR="0045468A" w:rsidRPr="000B4E2C" w:rsidRDefault="0045468A" w:rsidP="000B4E2C">
            <w:pPr>
              <w:autoSpaceDE w:val="0"/>
              <w:autoSpaceDN w:val="0"/>
              <w:adjustRightInd w:val="0"/>
              <w:rPr>
                <w:sz w:val="22"/>
              </w:rPr>
            </w:pPr>
            <w:r w:rsidRPr="000B4E2C">
              <w:rPr>
                <w:color w:val="000000" w:themeColor="text1"/>
                <w:sz w:val="22"/>
              </w:rPr>
              <w:t>Prevalence of CKD (starting proportion)</w:t>
            </w:r>
          </w:p>
        </w:tc>
        <w:tc>
          <w:tcPr>
            <w:tcW w:w="0" w:type="auto"/>
            <w:vAlign w:val="center"/>
            <w:hideMark/>
          </w:tcPr>
          <w:p w14:paraId="7E0E1009" w14:textId="77777777" w:rsidR="0045468A" w:rsidRPr="000B4E2C" w:rsidRDefault="0045468A" w:rsidP="000B4E2C">
            <w:pPr>
              <w:autoSpaceDE w:val="0"/>
              <w:autoSpaceDN w:val="0"/>
              <w:adjustRightInd w:val="0"/>
              <w:rPr>
                <w:color w:val="000000" w:themeColor="text1"/>
                <w:sz w:val="22"/>
              </w:rPr>
            </w:pPr>
            <w:r w:rsidRPr="000B4E2C">
              <w:rPr>
                <w:color w:val="000000" w:themeColor="text1"/>
                <w:sz w:val="22"/>
              </w:rPr>
              <w:t>0.1105</w:t>
            </w:r>
          </w:p>
        </w:tc>
        <w:tc>
          <w:tcPr>
            <w:tcW w:w="0" w:type="auto"/>
            <w:vAlign w:val="center"/>
            <w:hideMark/>
          </w:tcPr>
          <w:p w14:paraId="7C8A20B4" w14:textId="77777777" w:rsidR="0045468A" w:rsidRPr="000B4E2C" w:rsidRDefault="0045468A" w:rsidP="000B4E2C">
            <w:pPr>
              <w:autoSpaceDE w:val="0"/>
              <w:autoSpaceDN w:val="0"/>
              <w:adjustRightInd w:val="0"/>
              <w:rPr>
                <w:sz w:val="22"/>
              </w:rPr>
            </w:pPr>
            <w:r w:rsidRPr="000B4E2C">
              <w:rPr>
                <w:color w:val="000000" w:themeColor="text1"/>
                <w:sz w:val="22"/>
              </w:rPr>
              <w:t>--</w:t>
            </w:r>
          </w:p>
        </w:tc>
        <w:tc>
          <w:tcPr>
            <w:tcW w:w="0" w:type="auto"/>
            <w:vAlign w:val="center"/>
            <w:hideMark/>
          </w:tcPr>
          <w:p w14:paraId="5956D44A" w14:textId="77777777" w:rsidR="000B4E2C" w:rsidRPr="000B4E2C" w:rsidRDefault="0045468A" w:rsidP="000B4E2C">
            <w:pPr>
              <w:pStyle w:val="CommentText"/>
              <w:rPr>
                <w:color w:val="000000" w:themeColor="text1"/>
                <w:sz w:val="22"/>
                <w:szCs w:val="22"/>
              </w:rPr>
            </w:pPr>
            <w:r w:rsidRPr="000B4E2C">
              <w:rPr>
                <w:color w:val="000000" w:themeColor="text1"/>
                <w:sz w:val="22"/>
                <w:szCs w:val="22"/>
              </w:rPr>
              <w:t>Beta (count);</w:t>
            </w:r>
          </w:p>
          <w:p w14:paraId="070BCC7D" w14:textId="46F5A8BA" w:rsidR="0045468A" w:rsidRPr="000B4E2C" w:rsidRDefault="0045468A" w:rsidP="000B4E2C">
            <w:pPr>
              <w:pStyle w:val="CommentText"/>
              <w:rPr>
                <w:color w:val="000000" w:themeColor="text1"/>
                <w:sz w:val="22"/>
                <w:szCs w:val="22"/>
              </w:rPr>
            </w:pPr>
            <w:r w:rsidRPr="000B4E2C">
              <w:rPr>
                <w:i/>
                <w:color w:val="00B0F0"/>
                <w:sz w:val="22"/>
                <w:szCs w:val="22"/>
              </w:rPr>
              <w:t>n</w:t>
            </w:r>
            <w:r w:rsidRPr="000B4E2C">
              <w:rPr>
                <w:color w:val="000000" w:themeColor="text1"/>
                <w:sz w:val="22"/>
                <w:szCs w:val="22"/>
              </w:rPr>
              <w:t>:</w:t>
            </w:r>
            <w:r w:rsidR="000B4E2C" w:rsidRPr="000B4E2C">
              <w:rPr>
                <w:color w:val="000000" w:themeColor="text1"/>
                <w:sz w:val="22"/>
                <w:szCs w:val="22"/>
              </w:rPr>
              <w:t xml:space="preserve"> </w:t>
            </w:r>
            <w:r w:rsidRPr="000B4E2C">
              <w:rPr>
                <w:color w:val="000000" w:themeColor="text1"/>
                <w:sz w:val="22"/>
                <w:szCs w:val="22"/>
              </w:rPr>
              <w:t>5,935</w:t>
            </w:r>
          </w:p>
          <w:p w14:paraId="6AB09EE4" w14:textId="6D70480D" w:rsidR="0045468A" w:rsidRPr="000B4E2C" w:rsidRDefault="0045468A" w:rsidP="000B4E2C">
            <w:pPr>
              <w:pStyle w:val="CommentText"/>
              <w:rPr>
                <w:color w:val="000000" w:themeColor="text1"/>
                <w:sz w:val="22"/>
                <w:szCs w:val="22"/>
              </w:rPr>
            </w:pPr>
            <w:r w:rsidRPr="000B4E2C">
              <w:rPr>
                <w:color w:val="000000" w:themeColor="text1"/>
                <w:sz w:val="22"/>
                <w:szCs w:val="22"/>
              </w:rPr>
              <w:t>N:</w:t>
            </w:r>
            <w:r w:rsidR="000B4E2C" w:rsidRPr="000B4E2C">
              <w:rPr>
                <w:color w:val="000000" w:themeColor="text1"/>
                <w:sz w:val="22"/>
                <w:szCs w:val="22"/>
              </w:rPr>
              <w:t xml:space="preserve"> </w:t>
            </w:r>
            <w:r w:rsidRPr="000B4E2C">
              <w:rPr>
                <w:color w:val="000000" w:themeColor="text1"/>
                <w:sz w:val="22"/>
                <w:szCs w:val="22"/>
              </w:rPr>
              <w:t>53,691</w:t>
            </w:r>
          </w:p>
        </w:tc>
        <w:tc>
          <w:tcPr>
            <w:tcW w:w="0" w:type="auto"/>
            <w:vAlign w:val="center"/>
            <w:hideMark/>
          </w:tcPr>
          <w:p w14:paraId="14CC759C" w14:textId="16D190C2" w:rsidR="0045468A" w:rsidRPr="000B4E2C" w:rsidRDefault="002D1880" w:rsidP="000B4E2C">
            <w:pPr>
              <w:autoSpaceDE w:val="0"/>
              <w:autoSpaceDN w:val="0"/>
              <w:adjustRightInd w:val="0"/>
              <w:rPr>
                <w:sz w:val="22"/>
              </w:rPr>
            </w:pPr>
            <w:r w:rsidRPr="000B4E2C">
              <w:rPr>
                <w:sz w:val="22"/>
              </w:rPr>
              <w:t>Grampian data</w:t>
            </w:r>
            <w:r w:rsidRPr="000B4E2C">
              <w:rPr>
                <w:noProof/>
                <w:sz w:val="22"/>
                <w:vertAlign w:val="superscript"/>
              </w:rPr>
              <w:t>105</w:t>
            </w:r>
          </w:p>
        </w:tc>
      </w:tr>
      <w:tr w:rsidR="000B4E2C" w:rsidRPr="000B4E2C" w14:paraId="1F947F9C" w14:textId="77777777" w:rsidTr="000B4E2C">
        <w:trPr>
          <w:cantSplit/>
        </w:trPr>
        <w:tc>
          <w:tcPr>
            <w:tcW w:w="0" w:type="auto"/>
            <w:vAlign w:val="center"/>
            <w:hideMark/>
          </w:tcPr>
          <w:p w14:paraId="65D1F02C" w14:textId="77777777" w:rsidR="002D1880" w:rsidRPr="000B4E2C" w:rsidRDefault="002D1880" w:rsidP="000B4E2C">
            <w:pPr>
              <w:autoSpaceDE w:val="0"/>
              <w:autoSpaceDN w:val="0"/>
              <w:adjustRightInd w:val="0"/>
              <w:rPr>
                <w:sz w:val="22"/>
              </w:rPr>
            </w:pPr>
            <w:r w:rsidRPr="000B4E2C">
              <w:rPr>
                <w:color w:val="000000" w:themeColor="text1"/>
                <w:sz w:val="22"/>
              </w:rPr>
              <w:t xml:space="preserve">Baseline </w:t>
            </w:r>
            <w:r w:rsidRPr="000B4E2C">
              <w:rPr>
                <w:color w:val="000000" w:themeColor="text1"/>
                <w:sz w:val="22"/>
                <w:highlight w:val="magenta"/>
              </w:rPr>
              <w:t>incidence</w:t>
            </w:r>
            <w:r w:rsidRPr="000B4E2C">
              <w:rPr>
                <w:color w:val="000000" w:themeColor="text1"/>
                <w:sz w:val="22"/>
              </w:rPr>
              <w:t xml:space="preserve"> of CKD</w:t>
            </w:r>
          </w:p>
        </w:tc>
        <w:tc>
          <w:tcPr>
            <w:tcW w:w="0" w:type="auto"/>
            <w:vAlign w:val="center"/>
            <w:hideMark/>
          </w:tcPr>
          <w:p w14:paraId="41F7A68C"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0.0044</w:t>
            </w:r>
          </w:p>
        </w:tc>
        <w:tc>
          <w:tcPr>
            <w:tcW w:w="0" w:type="auto"/>
            <w:vAlign w:val="center"/>
            <w:hideMark/>
          </w:tcPr>
          <w:p w14:paraId="54BD1C2E" w14:textId="77777777" w:rsidR="002D1880" w:rsidRPr="000B4E2C" w:rsidRDefault="002D1880" w:rsidP="000B4E2C">
            <w:pPr>
              <w:autoSpaceDE w:val="0"/>
              <w:autoSpaceDN w:val="0"/>
              <w:adjustRightInd w:val="0"/>
              <w:rPr>
                <w:sz w:val="22"/>
              </w:rPr>
            </w:pPr>
            <w:r w:rsidRPr="000B4E2C">
              <w:rPr>
                <w:color w:val="000000" w:themeColor="text1"/>
                <w:sz w:val="22"/>
              </w:rPr>
              <w:t>0.0003</w:t>
            </w:r>
          </w:p>
        </w:tc>
        <w:tc>
          <w:tcPr>
            <w:tcW w:w="0" w:type="auto"/>
            <w:vAlign w:val="center"/>
            <w:hideMark/>
          </w:tcPr>
          <w:p w14:paraId="75EEE9F3" w14:textId="77777777" w:rsidR="002D1880" w:rsidRPr="000B4E2C" w:rsidRDefault="002D1880" w:rsidP="000B4E2C">
            <w:pPr>
              <w:autoSpaceDE w:val="0"/>
              <w:autoSpaceDN w:val="0"/>
              <w:adjustRightInd w:val="0"/>
              <w:rPr>
                <w:sz w:val="22"/>
              </w:rPr>
            </w:pPr>
            <w:r w:rsidRPr="000B4E2C">
              <w:rPr>
                <w:color w:val="000000" w:themeColor="text1"/>
                <w:sz w:val="22"/>
              </w:rPr>
              <w:t>Beta</w:t>
            </w:r>
          </w:p>
        </w:tc>
        <w:tc>
          <w:tcPr>
            <w:tcW w:w="0" w:type="auto"/>
            <w:vAlign w:val="center"/>
            <w:hideMark/>
          </w:tcPr>
          <w:p w14:paraId="6991F5ED" w14:textId="34BCB9B6" w:rsidR="002D1880" w:rsidRPr="000B4E2C" w:rsidRDefault="002D1880" w:rsidP="000B4E2C">
            <w:pPr>
              <w:autoSpaceDE w:val="0"/>
              <w:autoSpaceDN w:val="0"/>
              <w:adjustRightInd w:val="0"/>
              <w:rPr>
                <w:sz w:val="22"/>
              </w:rPr>
            </w:pPr>
            <w:r w:rsidRPr="000B4E2C">
              <w:rPr>
                <w:color w:val="000000" w:themeColor="text1"/>
                <w:sz w:val="22"/>
              </w:rPr>
              <w:t>Rimes-Stigare</w:t>
            </w:r>
            <w:r w:rsidRPr="000B4E2C">
              <w:rPr>
                <w:i/>
                <w:color w:val="00B0F0"/>
                <w:sz w:val="22"/>
              </w:rPr>
              <w:t xml:space="preserve"> et al</w:t>
            </w:r>
            <w:r w:rsidR="00280A97" w:rsidRPr="000B4E2C">
              <w:rPr>
                <w:noProof/>
                <w:color w:val="000000" w:themeColor="text1"/>
                <w:sz w:val="22"/>
                <w:vertAlign w:val="superscript"/>
              </w:rPr>
              <w:t>113</w:t>
            </w:r>
            <w:r w:rsidRPr="000B4E2C">
              <w:rPr>
                <w:color w:val="000000" w:themeColor="text1"/>
                <w:sz w:val="22"/>
              </w:rPr>
              <w:t>.</w:t>
            </w:r>
          </w:p>
        </w:tc>
      </w:tr>
      <w:tr w:rsidR="000B4E2C" w:rsidRPr="000B4E2C" w14:paraId="02A55812" w14:textId="77777777" w:rsidTr="000B4E2C">
        <w:trPr>
          <w:cantSplit/>
        </w:trPr>
        <w:tc>
          <w:tcPr>
            <w:tcW w:w="0" w:type="auto"/>
            <w:vAlign w:val="center"/>
          </w:tcPr>
          <w:p w14:paraId="1EF0367A" w14:textId="77777777" w:rsidR="002D1880" w:rsidRPr="000B4E2C" w:rsidRDefault="002D1880" w:rsidP="000B4E2C">
            <w:pPr>
              <w:autoSpaceDE w:val="0"/>
              <w:autoSpaceDN w:val="0"/>
              <w:adjustRightInd w:val="0"/>
              <w:rPr>
                <w:color w:val="000000" w:themeColor="text1"/>
                <w:sz w:val="22"/>
              </w:rPr>
            </w:pPr>
          </w:p>
        </w:tc>
        <w:tc>
          <w:tcPr>
            <w:tcW w:w="0" w:type="auto"/>
            <w:vAlign w:val="center"/>
            <w:hideMark/>
          </w:tcPr>
          <w:p w14:paraId="00669FA5" w14:textId="77777777" w:rsidR="002D1880" w:rsidRPr="000B4E2C" w:rsidRDefault="002D1880" w:rsidP="000B4E2C">
            <w:pPr>
              <w:autoSpaceDE w:val="0"/>
              <w:autoSpaceDN w:val="0"/>
              <w:adjustRightInd w:val="0"/>
              <w:rPr>
                <w:b/>
                <w:color w:val="000000" w:themeColor="text1"/>
                <w:sz w:val="22"/>
              </w:rPr>
            </w:pPr>
            <w:r w:rsidRPr="000B4E2C">
              <w:rPr>
                <w:b/>
                <w:color w:val="000000" w:themeColor="text1"/>
                <w:sz w:val="22"/>
              </w:rPr>
              <w:t>Mean HR</w:t>
            </w:r>
          </w:p>
        </w:tc>
        <w:tc>
          <w:tcPr>
            <w:tcW w:w="0" w:type="auto"/>
            <w:vAlign w:val="center"/>
            <w:hideMark/>
          </w:tcPr>
          <w:p w14:paraId="7C072EB1" w14:textId="77777777" w:rsidR="002D1880" w:rsidRPr="000B4E2C" w:rsidRDefault="002D1880" w:rsidP="000B4E2C">
            <w:pPr>
              <w:autoSpaceDE w:val="0"/>
              <w:autoSpaceDN w:val="0"/>
              <w:adjustRightInd w:val="0"/>
              <w:rPr>
                <w:b/>
                <w:color w:val="000000" w:themeColor="text1"/>
                <w:sz w:val="22"/>
              </w:rPr>
            </w:pPr>
            <w:r w:rsidRPr="000B4E2C">
              <w:rPr>
                <w:b/>
                <w:color w:val="000000" w:themeColor="text1"/>
                <w:sz w:val="22"/>
              </w:rPr>
              <w:t>Log SE</w:t>
            </w:r>
          </w:p>
        </w:tc>
        <w:tc>
          <w:tcPr>
            <w:tcW w:w="0" w:type="auto"/>
            <w:vAlign w:val="center"/>
          </w:tcPr>
          <w:p w14:paraId="3A972D85" w14:textId="77777777" w:rsidR="002D1880" w:rsidRPr="000B4E2C" w:rsidRDefault="002D1880" w:rsidP="000B4E2C">
            <w:pPr>
              <w:autoSpaceDE w:val="0"/>
              <w:autoSpaceDN w:val="0"/>
              <w:adjustRightInd w:val="0"/>
              <w:rPr>
                <w:color w:val="000000" w:themeColor="text1"/>
                <w:sz w:val="22"/>
              </w:rPr>
            </w:pPr>
          </w:p>
        </w:tc>
        <w:tc>
          <w:tcPr>
            <w:tcW w:w="0" w:type="auto"/>
            <w:vAlign w:val="center"/>
          </w:tcPr>
          <w:p w14:paraId="54BA1ADC" w14:textId="77777777" w:rsidR="002D1880" w:rsidRPr="000B4E2C" w:rsidRDefault="002D1880" w:rsidP="000B4E2C">
            <w:pPr>
              <w:autoSpaceDE w:val="0"/>
              <w:autoSpaceDN w:val="0"/>
              <w:adjustRightInd w:val="0"/>
              <w:rPr>
                <w:color w:val="000000" w:themeColor="text1"/>
                <w:sz w:val="22"/>
              </w:rPr>
            </w:pPr>
          </w:p>
        </w:tc>
      </w:tr>
      <w:tr w:rsidR="000B4E2C" w:rsidRPr="000B4E2C" w14:paraId="0CD28E58" w14:textId="77777777" w:rsidTr="000B4E2C">
        <w:trPr>
          <w:cantSplit/>
        </w:trPr>
        <w:tc>
          <w:tcPr>
            <w:tcW w:w="0" w:type="auto"/>
            <w:vAlign w:val="center"/>
            <w:hideMark/>
          </w:tcPr>
          <w:p w14:paraId="1C305E78"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Hazard Ratio of CKD given AKI1</w:t>
            </w:r>
          </w:p>
        </w:tc>
        <w:tc>
          <w:tcPr>
            <w:tcW w:w="0" w:type="auto"/>
            <w:vAlign w:val="center"/>
            <w:hideMark/>
          </w:tcPr>
          <w:p w14:paraId="06A4D05B"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2.32</w:t>
            </w:r>
          </w:p>
        </w:tc>
        <w:tc>
          <w:tcPr>
            <w:tcW w:w="0" w:type="auto"/>
            <w:vAlign w:val="center"/>
            <w:hideMark/>
          </w:tcPr>
          <w:p w14:paraId="7BD9E45C"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0.0363</w:t>
            </w:r>
          </w:p>
        </w:tc>
        <w:tc>
          <w:tcPr>
            <w:tcW w:w="0" w:type="auto"/>
            <w:vAlign w:val="center"/>
            <w:hideMark/>
          </w:tcPr>
          <w:p w14:paraId="711A8B30"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LN</w:t>
            </w:r>
          </w:p>
        </w:tc>
        <w:tc>
          <w:tcPr>
            <w:tcW w:w="0" w:type="auto"/>
            <w:vAlign w:val="center"/>
            <w:hideMark/>
          </w:tcPr>
          <w:p w14:paraId="225AB4B0" w14:textId="33B98215" w:rsidR="002D1880" w:rsidRPr="000B4E2C" w:rsidRDefault="002D1880" w:rsidP="000B4E2C">
            <w:pPr>
              <w:autoSpaceDE w:val="0"/>
              <w:autoSpaceDN w:val="0"/>
              <w:adjustRightInd w:val="0"/>
              <w:rPr>
                <w:color w:val="000000" w:themeColor="text1"/>
                <w:sz w:val="22"/>
              </w:rPr>
            </w:pPr>
            <w:r w:rsidRPr="000B4E2C">
              <w:rPr>
                <w:color w:val="000000" w:themeColor="text1"/>
                <w:sz w:val="22"/>
              </w:rPr>
              <w:t>See</w:t>
            </w:r>
            <w:r w:rsidRPr="000B4E2C">
              <w:rPr>
                <w:i/>
                <w:color w:val="00B0F0"/>
                <w:sz w:val="22"/>
              </w:rPr>
              <w:t xml:space="preserve"> et al</w:t>
            </w:r>
            <w:r w:rsidR="00280A97" w:rsidRPr="000B4E2C">
              <w:rPr>
                <w:noProof/>
                <w:color w:val="000000" w:themeColor="text1"/>
                <w:sz w:val="22"/>
                <w:vertAlign w:val="superscript"/>
              </w:rPr>
              <w:t>114</w:t>
            </w:r>
          </w:p>
        </w:tc>
      </w:tr>
      <w:tr w:rsidR="000B4E2C" w:rsidRPr="000B4E2C" w14:paraId="0E4680DD" w14:textId="77777777" w:rsidTr="000B4E2C">
        <w:trPr>
          <w:cantSplit/>
        </w:trPr>
        <w:tc>
          <w:tcPr>
            <w:tcW w:w="0" w:type="auto"/>
            <w:vAlign w:val="center"/>
            <w:hideMark/>
          </w:tcPr>
          <w:p w14:paraId="04AB879C"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Hazard Ratio of CKD given AKI2</w:t>
            </w:r>
          </w:p>
        </w:tc>
        <w:tc>
          <w:tcPr>
            <w:tcW w:w="0" w:type="auto"/>
            <w:vAlign w:val="center"/>
            <w:hideMark/>
          </w:tcPr>
          <w:p w14:paraId="437E23A5"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4.00</w:t>
            </w:r>
          </w:p>
        </w:tc>
        <w:tc>
          <w:tcPr>
            <w:tcW w:w="0" w:type="auto"/>
            <w:vAlign w:val="center"/>
            <w:hideMark/>
          </w:tcPr>
          <w:p w14:paraId="592A3EB7"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0.5656</w:t>
            </w:r>
          </w:p>
        </w:tc>
        <w:tc>
          <w:tcPr>
            <w:tcW w:w="0" w:type="auto"/>
            <w:vAlign w:val="center"/>
            <w:hideMark/>
          </w:tcPr>
          <w:p w14:paraId="44B4E126"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LN</w:t>
            </w:r>
          </w:p>
        </w:tc>
        <w:tc>
          <w:tcPr>
            <w:tcW w:w="0" w:type="auto"/>
            <w:vAlign w:val="center"/>
            <w:hideMark/>
          </w:tcPr>
          <w:p w14:paraId="6A2E5382" w14:textId="416FCAD0" w:rsidR="002D1880" w:rsidRPr="000B4E2C" w:rsidRDefault="002D1880" w:rsidP="000B4E2C">
            <w:pPr>
              <w:autoSpaceDE w:val="0"/>
              <w:autoSpaceDN w:val="0"/>
              <w:adjustRightInd w:val="0"/>
              <w:rPr>
                <w:color w:val="000000" w:themeColor="text1"/>
                <w:sz w:val="22"/>
              </w:rPr>
            </w:pPr>
            <w:r w:rsidRPr="000B4E2C">
              <w:rPr>
                <w:color w:val="000000" w:themeColor="text1"/>
                <w:sz w:val="22"/>
              </w:rPr>
              <w:t>See</w:t>
            </w:r>
            <w:r w:rsidRPr="000B4E2C">
              <w:rPr>
                <w:i/>
                <w:color w:val="00B0F0"/>
                <w:sz w:val="22"/>
              </w:rPr>
              <w:t xml:space="preserve"> et al</w:t>
            </w:r>
            <w:r w:rsidR="00280A97" w:rsidRPr="000B4E2C">
              <w:rPr>
                <w:noProof/>
                <w:color w:val="000000" w:themeColor="text1"/>
                <w:sz w:val="22"/>
                <w:vertAlign w:val="superscript"/>
              </w:rPr>
              <w:t>114</w:t>
            </w:r>
          </w:p>
        </w:tc>
      </w:tr>
      <w:tr w:rsidR="000B4E2C" w:rsidRPr="000B4E2C" w14:paraId="1B87FFF2" w14:textId="77777777" w:rsidTr="000B4E2C">
        <w:trPr>
          <w:cantSplit/>
        </w:trPr>
        <w:tc>
          <w:tcPr>
            <w:tcW w:w="0" w:type="auto"/>
            <w:vAlign w:val="center"/>
            <w:hideMark/>
          </w:tcPr>
          <w:p w14:paraId="41CA6192"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Hazard Ratio of CKD given AKI3</w:t>
            </w:r>
          </w:p>
        </w:tc>
        <w:tc>
          <w:tcPr>
            <w:tcW w:w="0" w:type="auto"/>
            <w:vAlign w:val="center"/>
            <w:hideMark/>
          </w:tcPr>
          <w:p w14:paraId="0C0DFC3A"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7.98</w:t>
            </w:r>
          </w:p>
        </w:tc>
        <w:tc>
          <w:tcPr>
            <w:tcW w:w="0" w:type="auto"/>
            <w:vAlign w:val="center"/>
            <w:hideMark/>
          </w:tcPr>
          <w:p w14:paraId="0F91FCEA"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0.9675</w:t>
            </w:r>
          </w:p>
        </w:tc>
        <w:tc>
          <w:tcPr>
            <w:tcW w:w="0" w:type="auto"/>
            <w:vAlign w:val="center"/>
            <w:hideMark/>
          </w:tcPr>
          <w:p w14:paraId="6EA04731"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LN</w:t>
            </w:r>
          </w:p>
        </w:tc>
        <w:tc>
          <w:tcPr>
            <w:tcW w:w="0" w:type="auto"/>
            <w:vAlign w:val="center"/>
            <w:hideMark/>
          </w:tcPr>
          <w:p w14:paraId="15D806C2" w14:textId="42ED9AD1" w:rsidR="002D1880" w:rsidRPr="000B4E2C" w:rsidRDefault="002D1880" w:rsidP="000B4E2C">
            <w:pPr>
              <w:autoSpaceDE w:val="0"/>
              <w:autoSpaceDN w:val="0"/>
              <w:adjustRightInd w:val="0"/>
              <w:rPr>
                <w:color w:val="000000" w:themeColor="text1"/>
                <w:sz w:val="22"/>
              </w:rPr>
            </w:pPr>
            <w:r w:rsidRPr="000B4E2C">
              <w:rPr>
                <w:color w:val="000000" w:themeColor="text1"/>
                <w:sz w:val="22"/>
              </w:rPr>
              <w:t>See</w:t>
            </w:r>
            <w:r w:rsidRPr="000B4E2C">
              <w:rPr>
                <w:i/>
                <w:color w:val="00B0F0"/>
                <w:sz w:val="22"/>
              </w:rPr>
              <w:t xml:space="preserve"> et al</w:t>
            </w:r>
            <w:r w:rsidR="00280A97" w:rsidRPr="000B4E2C">
              <w:rPr>
                <w:noProof/>
                <w:color w:val="000000" w:themeColor="text1"/>
                <w:sz w:val="22"/>
                <w:vertAlign w:val="superscript"/>
              </w:rPr>
              <w:t>114</w:t>
            </w:r>
          </w:p>
        </w:tc>
      </w:tr>
      <w:tr w:rsidR="00AD673E" w:rsidRPr="000B4E2C" w14:paraId="05BC69F6" w14:textId="77777777" w:rsidTr="000B4E2C">
        <w:trPr>
          <w:cantSplit/>
        </w:trPr>
        <w:tc>
          <w:tcPr>
            <w:tcW w:w="0" w:type="auto"/>
            <w:gridSpan w:val="5"/>
            <w:shd w:val="clear" w:color="auto" w:fill="D9D9D9" w:themeFill="background1" w:themeFillShade="D9"/>
            <w:vAlign w:val="center"/>
            <w:hideMark/>
          </w:tcPr>
          <w:p w14:paraId="4B72949F" w14:textId="77777777" w:rsidR="002D1880" w:rsidRPr="000B4E2C" w:rsidRDefault="002D1880" w:rsidP="000B4E2C">
            <w:pPr>
              <w:autoSpaceDE w:val="0"/>
              <w:autoSpaceDN w:val="0"/>
              <w:adjustRightInd w:val="0"/>
              <w:rPr>
                <w:color w:val="000000" w:themeColor="text1"/>
                <w:sz w:val="22"/>
              </w:rPr>
            </w:pPr>
            <w:r w:rsidRPr="000B4E2C">
              <w:rPr>
                <w:b/>
                <w:bCs/>
                <w:color w:val="000000" w:themeColor="text1"/>
                <w:sz w:val="22"/>
              </w:rPr>
              <w:t>Markov model transition probabilities</w:t>
            </w:r>
          </w:p>
        </w:tc>
      </w:tr>
      <w:tr w:rsidR="000B4E2C" w:rsidRPr="000B4E2C" w14:paraId="0A44B089" w14:textId="77777777" w:rsidTr="000B4E2C">
        <w:trPr>
          <w:cantSplit/>
        </w:trPr>
        <w:tc>
          <w:tcPr>
            <w:tcW w:w="0" w:type="auto"/>
            <w:vAlign w:val="center"/>
          </w:tcPr>
          <w:p w14:paraId="2839BFCF" w14:textId="77777777" w:rsidR="002D1880" w:rsidRPr="000B4E2C" w:rsidRDefault="002D1880" w:rsidP="000B4E2C">
            <w:pPr>
              <w:autoSpaceDE w:val="0"/>
              <w:autoSpaceDN w:val="0"/>
              <w:adjustRightInd w:val="0"/>
              <w:rPr>
                <w:b/>
                <w:bCs/>
                <w:color w:val="000000" w:themeColor="text1"/>
                <w:sz w:val="22"/>
              </w:rPr>
            </w:pPr>
          </w:p>
        </w:tc>
        <w:tc>
          <w:tcPr>
            <w:tcW w:w="0" w:type="auto"/>
            <w:vAlign w:val="center"/>
            <w:hideMark/>
          </w:tcPr>
          <w:p w14:paraId="4A803FF1" w14:textId="77777777" w:rsidR="002D1880" w:rsidRPr="000B4E2C" w:rsidRDefault="002D1880" w:rsidP="000B4E2C">
            <w:pPr>
              <w:autoSpaceDE w:val="0"/>
              <w:autoSpaceDN w:val="0"/>
              <w:adjustRightInd w:val="0"/>
              <w:rPr>
                <w:b/>
                <w:color w:val="000000" w:themeColor="text1"/>
                <w:sz w:val="22"/>
              </w:rPr>
            </w:pPr>
            <w:r w:rsidRPr="000B4E2C">
              <w:rPr>
                <w:b/>
                <w:color w:val="000000" w:themeColor="text1"/>
                <w:sz w:val="22"/>
              </w:rPr>
              <w:t>Mean</w:t>
            </w:r>
          </w:p>
        </w:tc>
        <w:tc>
          <w:tcPr>
            <w:tcW w:w="0" w:type="auto"/>
            <w:vAlign w:val="center"/>
            <w:hideMark/>
          </w:tcPr>
          <w:p w14:paraId="3521CEED" w14:textId="6200438C" w:rsidR="002D1880" w:rsidRPr="000B4E2C" w:rsidRDefault="002D1880" w:rsidP="000B4E2C">
            <w:pPr>
              <w:autoSpaceDE w:val="0"/>
              <w:autoSpaceDN w:val="0"/>
              <w:adjustRightInd w:val="0"/>
              <w:rPr>
                <w:b/>
                <w:iCs/>
                <w:color w:val="000000" w:themeColor="text1"/>
                <w:sz w:val="22"/>
              </w:rPr>
            </w:pPr>
            <w:r w:rsidRPr="000B4E2C">
              <w:rPr>
                <w:b/>
                <w:iCs/>
                <w:color w:val="000000" w:themeColor="text1"/>
                <w:sz w:val="22"/>
              </w:rPr>
              <w:t>Standard Error</w:t>
            </w:r>
          </w:p>
        </w:tc>
        <w:tc>
          <w:tcPr>
            <w:tcW w:w="0" w:type="auto"/>
            <w:vAlign w:val="center"/>
          </w:tcPr>
          <w:p w14:paraId="6D0C33C9" w14:textId="77777777" w:rsidR="002D1880" w:rsidRPr="000B4E2C" w:rsidRDefault="002D1880" w:rsidP="000B4E2C">
            <w:pPr>
              <w:autoSpaceDE w:val="0"/>
              <w:autoSpaceDN w:val="0"/>
              <w:adjustRightInd w:val="0"/>
              <w:rPr>
                <w:color w:val="000000" w:themeColor="text1"/>
                <w:sz w:val="22"/>
              </w:rPr>
            </w:pPr>
          </w:p>
        </w:tc>
        <w:tc>
          <w:tcPr>
            <w:tcW w:w="0" w:type="auto"/>
            <w:vAlign w:val="center"/>
          </w:tcPr>
          <w:p w14:paraId="082B901F" w14:textId="77777777" w:rsidR="002D1880" w:rsidRPr="000B4E2C" w:rsidRDefault="002D1880" w:rsidP="000B4E2C">
            <w:pPr>
              <w:autoSpaceDE w:val="0"/>
              <w:autoSpaceDN w:val="0"/>
              <w:adjustRightInd w:val="0"/>
              <w:rPr>
                <w:color w:val="000000" w:themeColor="text1"/>
                <w:sz w:val="22"/>
              </w:rPr>
            </w:pPr>
          </w:p>
        </w:tc>
      </w:tr>
      <w:tr w:rsidR="000B4E2C" w:rsidRPr="000B4E2C" w14:paraId="3C4302A4" w14:textId="77777777" w:rsidTr="000B4E2C">
        <w:trPr>
          <w:cantSplit/>
        </w:trPr>
        <w:tc>
          <w:tcPr>
            <w:tcW w:w="0" w:type="auto"/>
            <w:hideMark/>
          </w:tcPr>
          <w:p w14:paraId="08351EE3" w14:textId="77777777" w:rsidR="002D1880" w:rsidRPr="000B4E2C" w:rsidRDefault="002D1880" w:rsidP="000B4E2C">
            <w:pPr>
              <w:autoSpaceDE w:val="0"/>
              <w:autoSpaceDN w:val="0"/>
              <w:adjustRightInd w:val="0"/>
              <w:rPr>
                <w:color w:val="000000" w:themeColor="text1"/>
                <w:sz w:val="22"/>
              </w:rPr>
            </w:pPr>
            <w:r w:rsidRPr="000B4E2C">
              <w:rPr>
                <w:sz w:val="22"/>
              </w:rPr>
              <w:t>Outpatient to CKD</w:t>
            </w:r>
          </w:p>
        </w:tc>
        <w:tc>
          <w:tcPr>
            <w:tcW w:w="0" w:type="auto"/>
            <w:hideMark/>
          </w:tcPr>
          <w:p w14:paraId="78EE96E5"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0.0044</w:t>
            </w:r>
          </w:p>
        </w:tc>
        <w:tc>
          <w:tcPr>
            <w:tcW w:w="0" w:type="auto"/>
            <w:hideMark/>
          </w:tcPr>
          <w:p w14:paraId="741FC460"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0.0003</w:t>
            </w:r>
          </w:p>
        </w:tc>
        <w:tc>
          <w:tcPr>
            <w:tcW w:w="0" w:type="auto"/>
          </w:tcPr>
          <w:p w14:paraId="01BD9A61" w14:textId="6443BB88" w:rsidR="002D1880" w:rsidRPr="000B4E2C" w:rsidRDefault="00DA44F0" w:rsidP="000B4E2C">
            <w:pPr>
              <w:autoSpaceDE w:val="0"/>
              <w:autoSpaceDN w:val="0"/>
              <w:adjustRightInd w:val="0"/>
              <w:rPr>
                <w:color w:val="000000" w:themeColor="text1"/>
                <w:sz w:val="22"/>
              </w:rPr>
            </w:pPr>
            <w:r w:rsidRPr="000B4E2C">
              <w:rPr>
                <w:color w:val="000000" w:themeColor="text1"/>
                <w:sz w:val="22"/>
              </w:rPr>
              <w:t>Beta</w:t>
            </w:r>
          </w:p>
        </w:tc>
        <w:tc>
          <w:tcPr>
            <w:tcW w:w="0" w:type="auto"/>
          </w:tcPr>
          <w:p w14:paraId="61D82652" w14:textId="6B2B98BE" w:rsidR="002D1880" w:rsidRPr="000B4E2C" w:rsidRDefault="00DA44F0" w:rsidP="000B4E2C">
            <w:pPr>
              <w:autoSpaceDE w:val="0"/>
              <w:autoSpaceDN w:val="0"/>
              <w:adjustRightInd w:val="0"/>
              <w:rPr>
                <w:color w:val="000000" w:themeColor="text1"/>
                <w:sz w:val="22"/>
              </w:rPr>
            </w:pPr>
            <w:r w:rsidRPr="000B4E2C">
              <w:rPr>
                <w:color w:val="000000" w:themeColor="text1"/>
                <w:sz w:val="22"/>
              </w:rPr>
              <w:t>Rimes-Stigare</w:t>
            </w:r>
            <w:r w:rsidRPr="000B4E2C">
              <w:rPr>
                <w:i/>
                <w:color w:val="00B0F0"/>
                <w:sz w:val="22"/>
              </w:rPr>
              <w:t xml:space="preserve"> et al</w:t>
            </w:r>
            <w:r w:rsidR="00280A97" w:rsidRPr="000B4E2C">
              <w:rPr>
                <w:noProof/>
                <w:color w:val="000000" w:themeColor="text1"/>
                <w:sz w:val="22"/>
                <w:vertAlign w:val="superscript"/>
              </w:rPr>
              <w:t>113</w:t>
            </w:r>
          </w:p>
        </w:tc>
      </w:tr>
      <w:tr w:rsidR="000B4E2C" w:rsidRPr="000B4E2C" w14:paraId="40A96083" w14:textId="77777777" w:rsidTr="000B4E2C">
        <w:trPr>
          <w:cantSplit/>
        </w:trPr>
        <w:tc>
          <w:tcPr>
            <w:tcW w:w="0" w:type="auto"/>
            <w:vAlign w:val="center"/>
            <w:hideMark/>
          </w:tcPr>
          <w:p w14:paraId="71C918CE" w14:textId="77777777" w:rsidR="002D1880" w:rsidRPr="000B4E2C" w:rsidRDefault="002D1880" w:rsidP="000B4E2C">
            <w:pPr>
              <w:autoSpaceDE w:val="0"/>
              <w:autoSpaceDN w:val="0"/>
              <w:adjustRightInd w:val="0"/>
              <w:rPr>
                <w:sz w:val="22"/>
              </w:rPr>
            </w:pPr>
            <w:r w:rsidRPr="000B4E2C">
              <w:rPr>
                <w:sz w:val="22"/>
              </w:rPr>
              <w:t>CKD to death</w:t>
            </w:r>
          </w:p>
        </w:tc>
        <w:tc>
          <w:tcPr>
            <w:tcW w:w="0" w:type="auto"/>
            <w:vAlign w:val="center"/>
            <w:hideMark/>
          </w:tcPr>
          <w:p w14:paraId="4AC97EC3"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0.03</w:t>
            </w:r>
          </w:p>
        </w:tc>
        <w:tc>
          <w:tcPr>
            <w:tcW w:w="0" w:type="auto"/>
            <w:vAlign w:val="center"/>
            <w:hideMark/>
          </w:tcPr>
          <w:p w14:paraId="2F10D648"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0.002</w:t>
            </w:r>
          </w:p>
        </w:tc>
        <w:tc>
          <w:tcPr>
            <w:tcW w:w="0" w:type="auto"/>
            <w:vAlign w:val="center"/>
            <w:hideMark/>
          </w:tcPr>
          <w:p w14:paraId="33F96106" w14:textId="77777777" w:rsidR="002D1880" w:rsidRPr="000B4E2C" w:rsidRDefault="002D1880" w:rsidP="000B4E2C">
            <w:pPr>
              <w:autoSpaceDE w:val="0"/>
              <w:autoSpaceDN w:val="0"/>
              <w:adjustRightInd w:val="0"/>
              <w:rPr>
                <w:color w:val="000000" w:themeColor="text1"/>
                <w:sz w:val="22"/>
              </w:rPr>
            </w:pPr>
            <w:r w:rsidRPr="000B4E2C">
              <w:rPr>
                <w:sz w:val="22"/>
              </w:rPr>
              <w:t>Beta</w:t>
            </w:r>
          </w:p>
        </w:tc>
        <w:tc>
          <w:tcPr>
            <w:tcW w:w="0" w:type="auto"/>
            <w:vMerge w:val="restart"/>
            <w:vAlign w:val="center"/>
            <w:hideMark/>
          </w:tcPr>
          <w:p w14:paraId="010BE6FE" w14:textId="76165393" w:rsidR="002D1880" w:rsidRPr="000B4E2C" w:rsidRDefault="002D1880" w:rsidP="000B4E2C">
            <w:pPr>
              <w:autoSpaceDE w:val="0"/>
              <w:autoSpaceDN w:val="0"/>
              <w:adjustRightInd w:val="0"/>
              <w:rPr>
                <w:color w:val="000000" w:themeColor="text1"/>
                <w:sz w:val="22"/>
              </w:rPr>
            </w:pPr>
            <w:r w:rsidRPr="000B4E2C">
              <w:rPr>
                <w:sz w:val="22"/>
              </w:rPr>
              <w:t>Kent</w:t>
            </w:r>
            <w:r w:rsidRPr="000B4E2C">
              <w:rPr>
                <w:i/>
                <w:color w:val="00B0F0"/>
                <w:sz w:val="22"/>
              </w:rPr>
              <w:t xml:space="preserve"> et al</w:t>
            </w:r>
            <w:r w:rsidR="00280A97" w:rsidRPr="000B4E2C">
              <w:rPr>
                <w:noProof/>
                <w:sz w:val="22"/>
                <w:vertAlign w:val="superscript"/>
              </w:rPr>
              <w:t>115</w:t>
            </w:r>
          </w:p>
        </w:tc>
      </w:tr>
      <w:tr w:rsidR="000B4E2C" w:rsidRPr="000B4E2C" w14:paraId="34A099E2" w14:textId="77777777" w:rsidTr="000B4E2C">
        <w:trPr>
          <w:cantSplit/>
        </w:trPr>
        <w:tc>
          <w:tcPr>
            <w:tcW w:w="0" w:type="auto"/>
            <w:vAlign w:val="center"/>
            <w:hideMark/>
          </w:tcPr>
          <w:p w14:paraId="3CE84AF2" w14:textId="77777777" w:rsidR="002D1880" w:rsidRPr="000B4E2C" w:rsidRDefault="002D1880" w:rsidP="000B4E2C">
            <w:pPr>
              <w:autoSpaceDE w:val="0"/>
              <w:autoSpaceDN w:val="0"/>
              <w:adjustRightInd w:val="0"/>
              <w:rPr>
                <w:sz w:val="22"/>
              </w:rPr>
            </w:pPr>
            <w:r w:rsidRPr="000B4E2C">
              <w:rPr>
                <w:sz w:val="22"/>
              </w:rPr>
              <w:t>CKD (survivors) to ESRD</w:t>
            </w:r>
          </w:p>
        </w:tc>
        <w:tc>
          <w:tcPr>
            <w:tcW w:w="0" w:type="auto"/>
            <w:vAlign w:val="center"/>
            <w:hideMark/>
          </w:tcPr>
          <w:p w14:paraId="3690048D"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0.01</w:t>
            </w:r>
          </w:p>
        </w:tc>
        <w:tc>
          <w:tcPr>
            <w:tcW w:w="0" w:type="auto"/>
            <w:vAlign w:val="center"/>
            <w:hideMark/>
          </w:tcPr>
          <w:p w14:paraId="4E0B5882"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0.001</w:t>
            </w:r>
          </w:p>
        </w:tc>
        <w:tc>
          <w:tcPr>
            <w:tcW w:w="0" w:type="auto"/>
            <w:vAlign w:val="center"/>
            <w:hideMark/>
          </w:tcPr>
          <w:p w14:paraId="244F516A" w14:textId="77777777" w:rsidR="002D1880" w:rsidRPr="000B4E2C" w:rsidRDefault="002D1880" w:rsidP="000B4E2C">
            <w:pPr>
              <w:autoSpaceDE w:val="0"/>
              <w:autoSpaceDN w:val="0"/>
              <w:adjustRightInd w:val="0"/>
              <w:rPr>
                <w:color w:val="000000" w:themeColor="text1"/>
                <w:sz w:val="22"/>
              </w:rPr>
            </w:pPr>
            <w:r w:rsidRPr="000B4E2C">
              <w:rPr>
                <w:sz w:val="22"/>
              </w:rPr>
              <w:t>Beta</w:t>
            </w:r>
          </w:p>
        </w:tc>
        <w:tc>
          <w:tcPr>
            <w:tcW w:w="0" w:type="auto"/>
            <w:vMerge/>
            <w:vAlign w:val="center"/>
            <w:hideMark/>
          </w:tcPr>
          <w:p w14:paraId="11F30F5A" w14:textId="2B675D1E" w:rsidR="002D1880" w:rsidRPr="000B4E2C" w:rsidRDefault="002D1880" w:rsidP="000B4E2C">
            <w:pPr>
              <w:autoSpaceDE w:val="0"/>
              <w:autoSpaceDN w:val="0"/>
              <w:adjustRightInd w:val="0"/>
              <w:rPr>
                <w:color w:val="000000" w:themeColor="text1"/>
                <w:sz w:val="22"/>
              </w:rPr>
            </w:pPr>
          </w:p>
        </w:tc>
      </w:tr>
      <w:tr w:rsidR="000B4E2C" w:rsidRPr="000B4E2C" w14:paraId="0BE5A465" w14:textId="77777777" w:rsidTr="000B4E2C">
        <w:trPr>
          <w:cantSplit/>
        </w:trPr>
        <w:tc>
          <w:tcPr>
            <w:tcW w:w="0" w:type="auto"/>
            <w:vAlign w:val="center"/>
            <w:hideMark/>
          </w:tcPr>
          <w:p w14:paraId="103C30B2" w14:textId="77777777" w:rsidR="002D1880" w:rsidRPr="000B4E2C" w:rsidRDefault="002D1880" w:rsidP="000B4E2C">
            <w:pPr>
              <w:autoSpaceDE w:val="0"/>
              <w:autoSpaceDN w:val="0"/>
              <w:adjustRightInd w:val="0"/>
              <w:rPr>
                <w:sz w:val="22"/>
              </w:rPr>
            </w:pPr>
            <w:r w:rsidRPr="000B4E2C">
              <w:rPr>
                <w:sz w:val="22"/>
              </w:rPr>
              <w:t>CKD (survivors) to ESRD + dialysis</w:t>
            </w:r>
          </w:p>
        </w:tc>
        <w:tc>
          <w:tcPr>
            <w:tcW w:w="0" w:type="auto"/>
            <w:vAlign w:val="center"/>
            <w:hideMark/>
          </w:tcPr>
          <w:p w14:paraId="7024DBFA"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0.04</w:t>
            </w:r>
          </w:p>
        </w:tc>
        <w:tc>
          <w:tcPr>
            <w:tcW w:w="0" w:type="auto"/>
            <w:vAlign w:val="center"/>
            <w:hideMark/>
          </w:tcPr>
          <w:p w14:paraId="5117F251" w14:textId="77777777" w:rsidR="002D1880" w:rsidRPr="000B4E2C" w:rsidRDefault="002D1880" w:rsidP="000B4E2C">
            <w:pPr>
              <w:autoSpaceDE w:val="0"/>
              <w:autoSpaceDN w:val="0"/>
              <w:adjustRightInd w:val="0"/>
              <w:rPr>
                <w:color w:val="000000" w:themeColor="text1"/>
                <w:sz w:val="22"/>
              </w:rPr>
            </w:pPr>
            <w:r w:rsidRPr="000B4E2C">
              <w:rPr>
                <w:color w:val="000000" w:themeColor="text1"/>
                <w:sz w:val="22"/>
              </w:rPr>
              <w:t>0.002</w:t>
            </w:r>
          </w:p>
        </w:tc>
        <w:tc>
          <w:tcPr>
            <w:tcW w:w="0" w:type="auto"/>
            <w:vAlign w:val="center"/>
            <w:hideMark/>
          </w:tcPr>
          <w:p w14:paraId="1EB7E7DE" w14:textId="77777777" w:rsidR="002D1880" w:rsidRPr="000B4E2C" w:rsidRDefault="002D1880" w:rsidP="000B4E2C">
            <w:pPr>
              <w:autoSpaceDE w:val="0"/>
              <w:autoSpaceDN w:val="0"/>
              <w:adjustRightInd w:val="0"/>
              <w:rPr>
                <w:color w:val="000000" w:themeColor="text1"/>
                <w:sz w:val="22"/>
              </w:rPr>
            </w:pPr>
            <w:r w:rsidRPr="000B4E2C">
              <w:rPr>
                <w:sz w:val="22"/>
              </w:rPr>
              <w:t>Beta</w:t>
            </w:r>
          </w:p>
        </w:tc>
        <w:tc>
          <w:tcPr>
            <w:tcW w:w="0" w:type="auto"/>
            <w:vMerge/>
            <w:vAlign w:val="center"/>
            <w:hideMark/>
          </w:tcPr>
          <w:p w14:paraId="1046EC58" w14:textId="3EA7F82F" w:rsidR="002D1880" w:rsidRPr="000B4E2C" w:rsidRDefault="002D1880" w:rsidP="000B4E2C">
            <w:pPr>
              <w:autoSpaceDE w:val="0"/>
              <w:autoSpaceDN w:val="0"/>
              <w:adjustRightInd w:val="0"/>
              <w:rPr>
                <w:color w:val="000000" w:themeColor="text1"/>
                <w:sz w:val="22"/>
              </w:rPr>
            </w:pPr>
          </w:p>
        </w:tc>
      </w:tr>
      <w:tr w:rsidR="000B4E2C" w:rsidRPr="000B4E2C" w14:paraId="505FC492" w14:textId="77777777" w:rsidTr="000B4E2C">
        <w:trPr>
          <w:cantSplit/>
        </w:trPr>
        <w:tc>
          <w:tcPr>
            <w:tcW w:w="0" w:type="auto"/>
            <w:vAlign w:val="center"/>
            <w:hideMark/>
          </w:tcPr>
          <w:p w14:paraId="03E0618E" w14:textId="77777777" w:rsidR="002D1880" w:rsidRPr="000B4E2C" w:rsidRDefault="002D1880" w:rsidP="000B4E2C">
            <w:pPr>
              <w:autoSpaceDE w:val="0"/>
              <w:autoSpaceDN w:val="0"/>
              <w:adjustRightInd w:val="0"/>
              <w:rPr>
                <w:sz w:val="22"/>
              </w:rPr>
            </w:pPr>
            <w:r w:rsidRPr="000B4E2C">
              <w:rPr>
                <w:sz w:val="22"/>
              </w:rPr>
              <w:t>Remain with CKD</w:t>
            </w:r>
          </w:p>
        </w:tc>
        <w:tc>
          <w:tcPr>
            <w:tcW w:w="0" w:type="auto"/>
            <w:vAlign w:val="center"/>
          </w:tcPr>
          <w:p w14:paraId="520B342A" w14:textId="77777777" w:rsidR="002D1880" w:rsidRPr="000B4E2C" w:rsidRDefault="002D1880" w:rsidP="000B4E2C">
            <w:pPr>
              <w:autoSpaceDE w:val="0"/>
              <w:autoSpaceDN w:val="0"/>
              <w:adjustRightInd w:val="0"/>
              <w:rPr>
                <w:color w:val="000000" w:themeColor="text1"/>
                <w:sz w:val="22"/>
              </w:rPr>
            </w:pPr>
          </w:p>
        </w:tc>
        <w:tc>
          <w:tcPr>
            <w:tcW w:w="0" w:type="auto"/>
            <w:vAlign w:val="center"/>
          </w:tcPr>
          <w:p w14:paraId="12DD1636" w14:textId="77777777" w:rsidR="002D1880" w:rsidRPr="000B4E2C" w:rsidRDefault="002D1880" w:rsidP="000B4E2C">
            <w:pPr>
              <w:autoSpaceDE w:val="0"/>
              <w:autoSpaceDN w:val="0"/>
              <w:adjustRightInd w:val="0"/>
              <w:rPr>
                <w:color w:val="000000" w:themeColor="text1"/>
                <w:sz w:val="22"/>
              </w:rPr>
            </w:pPr>
          </w:p>
        </w:tc>
        <w:tc>
          <w:tcPr>
            <w:tcW w:w="0" w:type="auto"/>
            <w:vAlign w:val="center"/>
            <w:hideMark/>
          </w:tcPr>
          <w:p w14:paraId="46A9DF1F" w14:textId="77777777" w:rsidR="002D1880" w:rsidRPr="000B4E2C" w:rsidRDefault="002D1880" w:rsidP="000B4E2C">
            <w:pPr>
              <w:autoSpaceDE w:val="0"/>
              <w:autoSpaceDN w:val="0"/>
              <w:adjustRightInd w:val="0"/>
              <w:rPr>
                <w:sz w:val="22"/>
              </w:rPr>
            </w:pPr>
            <w:r w:rsidRPr="000B4E2C">
              <w:rPr>
                <w:sz w:val="22"/>
              </w:rPr>
              <w:t>Remainder</w:t>
            </w:r>
          </w:p>
        </w:tc>
        <w:tc>
          <w:tcPr>
            <w:tcW w:w="0" w:type="auto"/>
            <w:vAlign w:val="center"/>
          </w:tcPr>
          <w:p w14:paraId="7DE1895E" w14:textId="77777777" w:rsidR="002D1880" w:rsidRPr="000B4E2C" w:rsidRDefault="002D1880" w:rsidP="000B4E2C">
            <w:pPr>
              <w:autoSpaceDE w:val="0"/>
              <w:autoSpaceDN w:val="0"/>
              <w:adjustRightInd w:val="0"/>
              <w:rPr>
                <w:sz w:val="22"/>
              </w:rPr>
            </w:pPr>
          </w:p>
        </w:tc>
      </w:tr>
      <w:tr w:rsidR="000B4E2C" w:rsidRPr="000B4E2C" w14:paraId="34ECA810" w14:textId="77777777" w:rsidTr="000B4E2C">
        <w:trPr>
          <w:cantSplit/>
        </w:trPr>
        <w:tc>
          <w:tcPr>
            <w:tcW w:w="0" w:type="auto"/>
            <w:hideMark/>
          </w:tcPr>
          <w:p w14:paraId="050504C3" w14:textId="77777777" w:rsidR="002D1880" w:rsidRPr="000B4E2C" w:rsidRDefault="002D1880" w:rsidP="000B4E2C">
            <w:pPr>
              <w:rPr>
                <w:sz w:val="22"/>
              </w:rPr>
            </w:pPr>
            <w:r w:rsidRPr="000B4E2C">
              <w:rPr>
                <w:sz w:val="22"/>
              </w:rPr>
              <w:t>ESRD to death</w:t>
            </w:r>
          </w:p>
        </w:tc>
        <w:tc>
          <w:tcPr>
            <w:tcW w:w="0" w:type="auto"/>
            <w:hideMark/>
          </w:tcPr>
          <w:p w14:paraId="2C9459A6" w14:textId="77777777" w:rsidR="002D1880" w:rsidRPr="000B4E2C" w:rsidRDefault="002D1880" w:rsidP="000B4E2C">
            <w:pPr>
              <w:rPr>
                <w:color w:val="000000" w:themeColor="text1"/>
                <w:sz w:val="22"/>
              </w:rPr>
            </w:pPr>
            <w:r w:rsidRPr="000B4E2C">
              <w:rPr>
                <w:color w:val="000000" w:themeColor="text1"/>
                <w:sz w:val="22"/>
              </w:rPr>
              <w:t>0.12</w:t>
            </w:r>
          </w:p>
        </w:tc>
        <w:tc>
          <w:tcPr>
            <w:tcW w:w="0" w:type="auto"/>
            <w:hideMark/>
          </w:tcPr>
          <w:p w14:paraId="5240009B" w14:textId="77777777" w:rsidR="002D1880" w:rsidRPr="000B4E2C" w:rsidRDefault="002D1880" w:rsidP="000B4E2C">
            <w:pPr>
              <w:rPr>
                <w:color w:val="000000" w:themeColor="text1"/>
                <w:sz w:val="22"/>
              </w:rPr>
            </w:pPr>
            <w:r w:rsidRPr="000B4E2C">
              <w:rPr>
                <w:color w:val="000000" w:themeColor="text1"/>
                <w:sz w:val="22"/>
              </w:rPr>
              <w:t>0.005</w:t>
            </w:r>
          </w:p>
        </w:tc>
        <w:tc>
          <w:tcPr>
            <w:tcW w:w="0" w:type="auto"/>
            <w:vAlign w:val="center"/>
            <w:hideMark/>
          </w:tcPr>
          <w:p w14:paraId="7C642933" w14:textId="77777777" w:rsidR="002D1880" w:rsidRPr="000B4E2C" w:rsidRDefault="002D1880" w:rsidP="000B4E2C">
            <w:pPr>
              <w:rPr>
                <w:color w:val="000000" w:themeColor="text1"/>
                <w:sz w:val="22"/>
              </w:rPr>
            </w:pPr>
            <w:r w:rsidRPr="000B4E2C">
              <w:rPr>
                <w:sz w:val="22"/>
              </w:rPr>
              <w:t>Beta</w:t>
            </w:r>
          </w:p>
        </w:tc>
        <w:tc>
          <w:tcPr>
            <w:tcW w:w="0" w:type="auto"/>
            <w:vMerge w:val="restart"/>
            <w:vAlign w:val="center"/>
            <w:hideMark/>
          </w:tcPr>
          <w:p w14:paraId="298D8323" w14:textId="790D21BD" w:rsidR="002D1880" w:rsidRPr="000B4E2C" w:rsidRDefault="002D1880" w:rsidP="000B4E2C">
            <w:pPr>
              <w:rPr>
                <w:color w:val="000000" w:themeColor="text1"/>
                <w:sz w:val="22"/>
              </w:rPr>
            </w:pPr>
            <w:r w:rsidRPr="000B4E2C">
              <w:rPr>
                <w:sz w:val="22"/>
              </w:rPr>
              <w:t>Kent</w:t>
            </w:r>
            <w:r w:rsidRPr="000B4E2C">
              <w:rPr>
                <w:i/>
                <w:color w:val="00B0F0"/>
                <w:sz w:val="22"/>
              </w:rPr>
              <w:t xml:space="preserve"> et al</w:t>
            </w:r>
            <w:r w:rsidR="00280A97" w:rsidRPr="000B4E2C">
              <w:rPr>
                <w:noProof/>
                <w:sz w:val="22"/>
                <w:vertAlign w:val="superscript"/>
              </w:rPr>
              <w:t>115</w:t>
            </w:r>
            <w:r w:rsidRPr="000B4E2C">
              <w:rPr>
                <w:color w:val="000000" w:themeColor="text1"/>
                <w:sz w:val="22"/>
              </w:rPr>
              <w:t xml:space="preserve"> </w:t>
            </w:r>
          </w:p>
        </w:tc>
      </w:tr>
      <w:tr w:rsidR="000B4E2C" w:rsidRPr="000B4E2C" w14:paraId="718ACDDF" w14:textId="77777777" w:rsidTr="000B4E2C">
        <w:trPr>
          <w:cantSplit/>
        </w:trPr>
        <w:tc>
          <w:tcPr>
            <w:tcW w:w="0" w:type="auto"/>
            <w:hideMark/>
          </w:tcPr>
          <w:p w14:paraId="75F83930" w14:textId="77777777" w:rsidR="002D1880" w:rsidRPr="000B4E2C" w:rsidRDefault="002D1880" w:rsidP="000B4E2C">
            <w:pPr>
              <w:rPr>
                <w:sz w:val="22"/>
              </w:rPr>
            </w:pPr>
            <w:r w:rsidRPr="000B4E2C">
              <w:rPr>
                <w:sz w:val="22"/>
              </w:rPr>
              <w:t>ESRD (survivors) to ESRD + dialysis</w:t>
            </w:r>
          </w:p>
        </w:tc>
        <w:tc>
          <w:tcPr>
            <w:tcW w:w="0" w:type="auto"/>
            <w:hideMark/>
          </w:tcPr>
          <w:p w14:paraId="4EB6DC4D" w14:textId="77777777" w:rsidR="002D1880" w:rsidRPr="000B4E2C" w:rsidRDefault="002D1880" w:rsidP="000B4E2C">
            <w:pPr>
              <w:rPr>
                <w:color w:val="000000" w:themeColor="text1"/>
                <w:sz w:val="22"/>
              </w:rPr>
            </w:pPr>
            <w:r w:rsidRPr="000B4E2C">
              <w:rPr>
                <w:color w:val="000000" w:themeColor="text1"/>
                <w:sz w:val="22"/>
              </w:rPr>
              <w:t>0.18</w:t>
            </w:r>
          </w:p>
        </w:tc>
        <w:tc>
          <w:tcPr>
            <w:tcW w:w="0" w:type="auto"/>
            <w:hideMark/>
          </w:tcPr>
          <w:p w14:paraId="582E452C" w14:textId="77777777" w:rsidR="002D1880" w:rsidRPr="000B4E2C" w:rsidRDefault="002D1880" w:rsidP="000B4E2C">
            <w:pPr>
              <w:rPr>
                <w:color w:val="000000" w:themeColor="text1"/>
                <w:sz w:val="22"/>
              </w:rPr>
            </w:pPr>
            <w:r w:rsidRPr="000B4E2C">
              <w:rPr>
                <w:color w:val="000000" w:themeColor="text1"/>
                <w:sz w:val="22"/>
              </w:rPr>
              <w:t>0.006</w:t>
            </w:r>
          </w:p>
        </w:tc>
        <w:tc>
          <w:tcPr>
            <w:tcW w:w="0" w:type="auto"/>
            <w:vAlign w:val="center"/>
            <w:hideMark/>
          </w:tcPr>
          <w:p w14:paraId="0220829A" w14:textId="77777777" w:rsidR="002D1880" w:rsidRPr="000B4E2C" w:rsidRDefault="002D1880" w:rsidP="000B4E2C">
            <w:pPr>
              <w:rPr>
                <w:color w:val="000000" w:themeColor="text1"/>
                <w:sz w:val="22"/>
              </w:rPr>
            </w:pPr>
            <w:r w:rsidRPr="000B4E2C">
              <w:rPr>
                <w:sz w:val="22"/>
              </w:rPr>
              <w:t>Beta</w:t>
            </w:r>
          </w:p>
        </w:tc>
        <w:tc>
          <w:tcPr>
            <w:tcW w:w="0" w:type="auto"/>
            <w:vMerge/>
            <w:vAlign w:val="center"/>
            <w:hideMark/>
          </w:tcPr>
          <w:p w14:paraId="343F0AB7" w14:textId="32681903" w:rsidR="002D1880" w:rsidRPr="000B4E2C" w:rsidRDefault="002D1880" w:rsidP="000B4E2C">
            <w:pPr>
              <w:rPr>
                <w:color w:val="000000" w:themeColor="text1"/>
                <w:sz w:val="22"/>
              </w:rPr>
            </w:pPr>
          </w:p>
        </w:tc>
      </w:tr>
      <w:tr w:rsidR="000B4E2C" w:rsidRPr="000B4E2C" w14:paraId="3658581A" w14:textId="77777777" w:rsidTr="000B4E2C">
        <w:trPr>
          <w:cantSplit/>
        </w:trPr>
        <w:tc>
          <w:tcPr>
            <w:tcW w:w="0" w:type="auto"/>
            <w:hideMark/>
          </w:tcPr>
          <w:p w14:paraId="7508C81D" w14:textId="77777777" w:rsidR="002D1880" w:rsidRPr="000B4E2C" w:rsidRDefault="002D1880" w:rsidP="000B4E2C">
            <w:pPr>
              <w:rPr>
                <w:sz w:val="22"/>
              </w:rPr>
            </w:pPr>
            <w:r w:rsidRPr="000B4E2C">
              <w:rPr>
                <w:sz w:val="22"/>
              </w:rPr>
              <w:t>ESRD (survivors) to transplant</w:t>
            </w:r>
          </w:p>
        </w:tc>
        <w:tc>
          <w:tcPr>
            <w:tcW w:w="0" w:type="auto"/>
            <w:hideMark/>
          </w:tcPr>
          <w:p w14:paraId="6CF1F426" w14:textId="77777777" w:rsidR="002D1880" w:rsidRPr="000B4E2C" w:rsidRDefault="002D1880" w:rsidP="000B4E2C">
            <w:pPr>
              <w:rPr>
                <w:color w:val="000000" w:themeColor="text1"/>
                <w:sz w:val="22"/>
              </w:rPr>
            </w:pPr>
            <w:r w:rsidRPr="000B4E2C">
              <w:rPr>
                <w:color w:val="000000" w:themeColor="text1"/>
                <w:sz w:val="22"/>
              </w:rPr>
              <w:t>0.09</w:t>
            </w:r>
          </w:p>
        </w:tc>
        <w:tc>
          <w:tcPr>
            <w:tcW w:w="0" w:type="auto"/>
            <w:hideMark/>
          </w:tcPr>
          <w:p w14:paraId="19303A23" w14:textId="77777777" w:rsidR="002D1880" w:rsidRPr="000B4E2C" w:rsidRDefault="002D1880" w:rsidP="000B4E2C">
            <w:pPr>
              <w:rPr>
                <w:color w:val="000000" w:themeColor="text1"/>
                <w:sz w:val="22"/>
              </w:rPr>
            </w:pPr>
            <w:r w:rsidRPr="000B4E2C">
              <w:rPr>
                <w:color w:val="000000" w:themeColor="text1"/>
                <w:sz w:val="22"/>
              </w:rPr>
              <w:t>0.004</w:t>
            </w:r>
          </w:p>
        </w:tc>
        <w:tc>
          <w:tcPr>
            <w:tcW w:w="0" w:type="auto"/>
            <w:vAlign w:val="center"/>
            <w:hideMark/>
          </w:tcPr>
          <w:p w14:paraId="6A330C95" w14:textId="77777777" w:rsidR="002D1880" w:rsidRPr="000B4E2C" w:rsidRDefault="002D1880" w:rsidP="000B4E2C">
            <w:pPr>
              <w:rPr>
                <w:color w:val="000000" w:themeColor="text1"/>
                <w:sz w:val="22"/>
              </w:rPr>
            </w:pPr>
            <w:r w:rsidRPr="000B4E2C">
              <w:rPr>
                <w:sz w:val="22"/>
              </w:rPr>
              <w:t>Beta</w:t>
            </w:r>
          </w:p>
        </w:tc>
        <w:tc>
          <w:tcPr>
            <w:tcW w:w="0" w:type="auto"/>
            <w:vMerge/>
            <w:vAlign w:val="center"/>
            <w:hideMark/>
          </w:tcPr>
          <w:p w14:paraId="43768EFD" w14:textId="7A842C76" w:rsidR="002D1880" w:rsidRPr="000B4E2C" w:rsidRDefault="002D1880" w:rsidP="000B4E2C">
            <w:pPr>
              <w:rPr>
                <w:color w:val="000000" w:themeColor="text1"/>
                <w:sz w:val="22"/>
              </w:rPr>
            </w:pPr>
          </w:p>
        </w:tc>
      </w:tr>
      <w:tr w:rsidR="000B4E2C" w:rsidRPr="000B4E2C" w14:paraId="41EA02B1" w14:textId="77777777" w:rsidTr="000B4E2C">
        <w:trPr>
          <w:cantSplit/>
        </w:trPr>
        <w:tc>
          <w:tcPr>
            <w:tcW w:w="0" w:type="auto"/>
            <w:hideMark/>
          </w:tcPr>
          <w:p w14:paraId="7638AF44" w14:textId="77777777" w:rsidR="002D1880" w:rsidRPr="000B4E2C" w:rsidRDefault="002D1880" w:rsidP="000B4E2C">
            <w:pPr>
              <w:rPr>
                <w:sz w:val="22"/>
              </w:rPr>
            </w:pPr>
            <w:r w:rsidRPr="000B4E2C">
              <w:rPr>
                <w:sz w:val="22"/>
              </w:rPr>
              <w:t>Remain ESRD, no dialysis</w:t>
            </w:r>
          </w:p>
        </w:tc>
        <w:tc>
          <w:tcPr>
            <w:tcW w:w="0" w:type="auto"/>
          </w:tcPr>
          <w:p w14:paraId="77A8AB07" w14:textId="77777777" w:rsidR="002D1880" w:rsidRPr="000B4E2C" w:rsidRDefault="002D1880" w:rsidP="000B4E2C">
            <w:pPr>
              <w:rPr>
                <w:color w:val="000000" w:themeColor="text1"/>
                <w:sz w:val="22"/>
              </w:rPr>
            </w:pPr>
          </w:p>
        </w:tc>
        <w:tc>
          <w:tcPr>
            <w:tcW w:w="0" w:type="auto"/>
          </w:tcPr>
          <w:p w14:paraId="1CB617F7" w14:textId="77777777" w:rsidR="002D1880" w:rsidRPr="000B4E2C" w:rsidRDefault="002D1880" w:rsidP="000B4E2C">
            <w:pPr>
              <w:rPr>
                <w:color w:val="000000" w:themeColor="text1"/>
                <w:sz w:val="22"/>
              </w:rPr>
            </w:pPr>
          </w:p>
        </w:tc>
        <w:tc>
          <w:tcPr>
            <w:tcW w:w="0" w:type="auto"/>
            <w:vAlign w:val="center"/>
            <w:hideMark/>
          </w:tcPr>
          <w:p w14:paraId="10C23247" w14:textId="77777777" w:rsidR="002D1880" w:rsidRPr="000B4E2C" w:rsidRDefault="002D1880" w:rsidP="000B4E2C">
            <w:pPr>
              <w:rPr>
                <w:color w:val="000000" w:themeColor="text1"/>
                <w:sz w:val="22"/>
              </w:rPr>
            </w:pPr>
            <w:r w:rsidRPr="000B4E2C">
              <w:rPr>
                <w:sz w:val="22"/>
              </w:rPr>
              <w:t>Remainder</w:t>
            </w:r>
          </w:p>
        </w:tc>
        <w:tc>
          <w:tcPr>
            <w:tcW w:w="0" w:type="auto"/>
            <w:vAlign w:val="center"/>
          </w:tcPr>
          <w:p w14:paraId="050F9594" w14:textId="77777777" w:rsidR="002D1880" w:rsidRPr="000B4E2C" w:rsidRDefault="002D1880" w:rsidP="000B4E2C">
            <w:pPr>
              <w:rPr>
                <w:color w:val="000000" w:themeColor="text1"/>
                <w:sz w:val="22"/>
              </w:rPr>
            </w:pPr>
          </w:p>
        </w:tc>
      </w:tr>
      <w:tr w:rsidR="000B4E2C" w:rsidRPr="000B4E2C" w14:paraId="3232213A" w14:textId="77777777" w:rsidTr="000B4E2C">
        <w:trPr>
          <w:cantSplit/>
        </w:trPr>
        <w:tc>
          <w:tcPr>
            <w:tcW w:w="0" w:type="auto"/>
          </w:tcPr>
          <w:p w14:paraId="4976156B" w14:textId="77777777" w:rsidR="002D1880" w:rsidRPr="000B4E2C" w:rsidRDefault="002D1880" w:rsidP="000B4E2C">
            <w:pPr>
              <w:rPr>
                <w:b/>
                <w:sz w:val="22"/>
              </w:rPr>
            </w:pPr>
          </w:p>
        </w:tc>
        <w:tc>
          <w:tcPr>
            <w:tcW w:w="0" w:type="auto"/>
            <w:hideMark/>
          </w:tcPr>
          <w:p w14:paraId="522090E6" w14:textId="77777777" w:rsidR="002D1880" w:rsidRPr="000B4E2C" w:rsidRDefault="002D1880" w:rsidP="000B4E2C">
            <w:pPr>
              <w:rPr>
                <w:b/>
                <w:color w:val="000000" w:themeColor="text1"/>
                <w:sz w:val="22"/>
              </w:rPr>
            </w:pPr>
            <w:r w:rsidRPr="000B4E2C">
              <w:rPr>
                <w:b/>
                <w:color w:val="000000" w:themeColor="text1"/>
                <w:sz w:val="22"/>
              </w:rPr>
              <w:t>Alpha</w:t>
            </w:r>
          </w:p>
        </w:tc>
        <w:tc>
          <w:tcPr>
            <w:tcW w:w="0" w:type="auto"/>
            <w:hideMark/>
          </w:tcPr>
          <w:p w14:paraId="46639807" w14:textId="77777777" w:rsidR="002D1880" w:rsidRPr="000B4E2C" w:rsidRDefault="002D1880" w:rsidP="000B4E2C">
            <w:pPr>
              <w:rPr>
                <w:b/>
                <w:color w:val="000000" w:themeColor="text1"/>
                <w:sz w:val="22"/>
              </w:rPr>
            </w:pPr>
            <w:r w:rsidRPr="000B4E2C">
              <w:rPr>
                <w:b/>
                <w:color w:val="000000" w:themeColor="text1"/>
                <w:sz w:val="22"/>
              </w:rPr>
              <w:t>Beta</w:t>
            </w:r>
          </w:p>
        </w:tc>
        <w:tc>
          <w:tcPr>
            <w:tcW w:w="0" w:type="auto"/>
            <w:vAlign w:val="center"/>
          </w:tcPr>
          <w:p w14:paraId="75CC2187" w14:textId="77777777" w:rsidR="002D1880" w:rsidRPr="000B4E2C" w:rsidRDefault="002D1880" w:rsidP="000B4E2C">
            <w:pPr>
              <w:rPr>
                <w:b/>
                <w:sz w:val="22"/>
              </w:rPr>
            </w:pPr>
          </w:p>
        </w:tc>
        <w:tc>
          <w:tcPr>
            <w:tcW w:w="0" w:type="auto"/>
            <w:vAlign w:val="center"/>
          </w:tcPr>
          <w:p w14:paraId="332F21D8" w14:textId="77777777" w:rsidR="002D1880" w:rsidRPr="000B4E2C" w:rsidRDefault="002D1880" w:rsidP="000B4E2C">
            <w:pPr>
              <w:rPr>
                <w:b/>
                <w:color w:val="000000" w:themeColor="text1"/>
                <w:sz w:val="22"/>
              </w:rPr>
            </w:pPr>
          </w:p>
        </w:tc>
      </w:tr>
      <w:tr w:rsidR="000B4E2C" w:rsidRPr="000B4E2C" w14:paraId="0CDC2CC5" w14:textId="77777777" w:rsidTr="000B4E2C">
        <w:trPr>
          <w:cantSplit/>
        </w:trPr>
        <w:tc>
          <w:tcPr>
            <w:tcW w:w="0" w:type="auto"/>
            <w:vAlign w:val="center"/>
            <w:hideMark/>
          </w:tcPr>
          <w:p w14:paraId="48318C08" w14:textId="77777777" w:rsidR="002D1880" w:rsidRPr="000B4E2C" w:rsidRDefault="002D1880" w:rsidP="000B4E2C">
            <w:pPr>
              <w:autoSpaceDE w:val="0"/>
              <w:autoSpaceDN w:val="0"/>
              <w:adjustRightInd w:val="0"/>
              <w:rPr>
                <w:sz w:val="22"/>
                <w:vertAlign w:val="superscript"/>
              </w:rPr>
            </w:pPr>
            <w:r w:rsidRPr="000B4E2C">
              <w:rPr>
                <w:sz w:val="22"/>
              </w:rPr>
              <w:t xml:space="preserve">Outpatient to death </w:t>
            </w:r>
            <w:r w:rsidRPr="000B4E2C">
              <w:rPr>
                <w:sz w:val="22"/>
                <w:vertAlign w:val="superscript"/>
              </w:rPr>
              <w:t>E</w:t>
            </w:r>
          </w:p>
        </w:tc>
        <w:tc>
          <w:tcPr>
            <w:tcW w:w="0" w:type="auto"/>
            <w:vAlign w:val="center"/>
          </w:tcPr>
          <w:p w14:paraId="6F6429C3" w14:textId="77777777" w:rsidR="000B4E2C" w:rsidRPr="000B4E2C" w:rsidRDefault="002D1880" w:rsidP="000B4E2C">
            <w:pPr>
              <w:rPr>
                <w:sz w:val="22"/>
                <w:u w:val="single"/>
              </w:rPr>
            </w:pPr>
            <w:r w:rsidRPr="000B4E2C">
              <w:rPr>
                <w:sz w:val="22"/>
                <w:u w:val="single"/>
              </w:rPr>
              <w:t>No ICU:</w:t>
            </w:r>
          </w:p>
          <w:p w14:paraId="3B0707CD" w14:textId="731B0A39" w:rsidR="002D1880" w:rsidRPr="000B4E2C" w:rsidRDefault="002D1880" w:rsidP="000B4E2C">
            <w:pPr>
              <w:rPr>
                <w:sz w:val="22"/>
              </w:rPr>
            </w:pPr>
            <w:r w:rsidRPr="000B4E2C">
              <w:rPr>
                <w:sz w:val="22"/>
              </w:rPr>
              <w:t>Year 1:</w:t>
            </w:r>
            <w:r w:rsidR="000B4E2C" w:rsidRPr="000B4E2C">
              <w:rPr>
                <w:sz w:val="22"/>
              </w:rPr>
              <w:t xml:space="preserve"> </w:t>
            </w:r>
            <w:r w:rsidRPr="000B4E2C">
              <w:rPr>
                <w:sz w:val="22"/>
              </w:rPr>
              <w:t>391</w:t>
            </w:r>
          </w:p>
          <w:p w14:paraId="5B6FFD3D" w14:textId="7F0E153C" w:rsidR="000B4E2C" w:rsidRPr="000B4E2C" w:rsidRDefault="002D1880" w:rsidP="000B4E2C">
            <w:pPr>
              <w:rPr>
                <w:sz w:val="22"/>
              </w:rPr>
            </w:pPr>
            <w:r w:rsidRPr="000B4E2C">
              <w:rPr>
                <w:sz w:val="22"/>
              </w:rPr>
              <w:t>Years 2</w:t>
            </w:r>
            <w:r w:rsidR="000B4E2C" w:rsidRPr="000B4E2C">
              <w:rPr>
                <w:color w:val="00B0F0"/>
                <w:sz w:val="22"/>
              </w:rPr>
              <w:t>–</w:t>
            </w:r>
            <w:r w:rsidR="000B4E2C" w:rsidRPr="000B4E2C">
              <w:rPr>
                <w:color w:val="00B0F0"/>
                <w:sz w:val="22"/>
              </w:rPr>
              <w:t>5</w:t>
            </w:r>
            <w:r w:rsidR="00993E1C" w:rsidRPr="000B4E2C">
              <w:rPr>
                <w:sz w:val="22"/>
                <w:vertAlign w:val="superscript"/>
              </w:rPr>
              <w:t>F</w:t>
            </w:r>
            <w:r w:rsidRPr="000B4E2C">
              <w:rPr>
                <w:sz w:val="22"/>
              </w:rPr>
              <w:t>: 748</w:t>
            </w:r>
          </w:p>
          <w:p w14:paraId="2400FC64" w14:textId="0B7D27E4" w:rsidR="000B4E2C" w:rsidRPr="000B4E2C" w:rsidRDefault="002D1880" w:rsidP="000B4E2C">
            <w:pPr>
              <w:rPr>
                <w:sz w:val="22"/>
                <w:u w:val="single"/>
              </w:rPr>
            </w:pPr>
            <w:r w:rsidRPr="000B4E2C">
              <w:rPr>
                <w:sz w:val="22"/>
                <w:u w:val="single"/>
              </w:rPr>
              <w:t>ICU:</w:t>
            </w:r>
          </w:p>
          <w:p w14:paraId="3098E67F" w14:textId="1A074579" w:rsidR="002D1880" w:rsidRPr="000B4E2C" w:rsidRDefault="002D1880" w:rsidP="000B4E2C">
            <w:pPr>
              <w:rPr>
                <w:sz w:val="22"/>
              </w:rPr>
            </w:pPr>
            <w:r w:rsidRPr="000B4E2C">
              <w:rPr>
                <w:sz w:val="22"/>
              </w:rPr>
              <w:t>Year 1:</w:t>
            </w:r>
            <w:r w:rsidR="000B4E2C" w:rsidRPr="000B4E2C">
              <w:rPr>
                <w:sz w:val="22"/>
              </w:rPr>
              <w:t xml:space="preserve"> </w:t>
            </w:r>
            <w:r w:rsidRPr="000B4E2C">
              <w:rPr>
                <w:sz w:val="22"/>
              </w:rPr>
              <w:t>564</w:t>
            </w:r>
          </w:p>
          <w:p w14:paraId="74CF6149" w14:textId="04178995" w:rsidR="002D1880" w:rsidRPr="000B4E2C" w:rsidRDefault="002D1880" w:rsidP="000B4E2C">
            <w:pPr>
              <w:autoSpaceDE w:val="0"/>
              <w:autoSpaceDN w:val="0"/>
              <w:adjustRightInd w:val="0"/>
              <w:rPr>
                <w:color w:val="000000" w:themeColor="text1"/>
                <w:sz w:val="22"/>
              </w:rPr>
            </w:pPr>
            <w:r w:rsidRPr="000B4E2C">
              <w:rPr>
                <w:sz w:val="22"/>
              </w:rPr>
              <w:t>Year 2</w:t>
            </w:r>
            <w:r w:rsidR="000B4E2C" w:rsidRPr="000B4E2C">
              <w:rPr>
                <w:color w:val="00B0F0"/>
                <w:sz w:val="22"/>
              </w:rPr>
              <w:t>–</w:t>
            </w:r>
            <w:r w:rsidR="000B4E2C" w:rsidRPr="000B4E2C">
              <w:rPr>
                <w:color w:val="00B0F0"/>
                <w:sz w:val="22"/>
              </w:rPr>
              <w:t>5</w:t>
            </w:r>
            <w:r w:rsidR="00993E1C" w:rsidRPr="000B4E2C">
              <w:rPr>
                <w:sz w:val="22"/>
                <w:vertAlign w:val="superscript"/>
              </w:rPr>
              <w:t xml:space="preserve"> F</w:t>
            </w:r>
            <w:r w:rsidRPr="000B4E2C">
              <w:rPr>
                <w:sz w:val="22"/>
              </w:rPr>
              <w:t>:</w:t>
            </w:r>
            <w:r w:rsidR="000B4E2C" w:rsidRPr="000B4E2C">
              <w:rPr>
                <w:sz w:val="22"/>
              </w:rPr>
              <w:t xml:space="preserve"> </w:t>
            </w:r>
            <w:r w:rsidRPr="000B4E2C">
              <w:rPr>
                <w:sz w:val="22"/>
              </w:rPr>
              <w:t>964</w:t>
            </w:r>
          </w:p>
        </w:tc>
        <w:tc>
          <w:tcPr>
            <w:tcW w:w="0" w:type="auto"/>
            <w:vAlign w:val="center"/>
          </w:tcPr>
          <w:p w14:paraId="13119EFE" w14:textId="77777777" w:rsidR="000B4E2C" w:rsidRPr="000B4E2C" w:rsidRDefault="002D1880" w:rsidP="000B4E2C">
            <w:pPr>
              <w:autoSpaceDE w:val="0"/>
              <w:autoSpaceDN w:val="0"/>
              <w:adjustRightInd w:val="0"/>
              <w:rPr>
                <w:color w:val="000000" w:themeColor="text1"/>
                <w:sz w:val="22"/>
              </w:rPr>
            </w:pPr>
            <w:r w:rsidRPr="000B4E2C">
              <w:rPr>
                <w:color w:val="000000" w:themeColor="text1"/>
                <w:sz w:val="22"/>
                <w:u w:val="single"/>
              </w:rPr>
              <w:t>No ICU:</w:t>
            </w:r>
          </w:p>
          <w:p w14:paraId="31FBF7BE" w14:textId="54DF3C1A" w:rsidR="002D1880" w:rsidRPr="000B4E2C" w:rsidRDefault="002D1880" w:rsidP="000B4E2C">
            <w:pPr>
              <w:autoSpaceDE w:val="0"/>
              <w:autoSpaceDN w:val="0"/>
              <w:adjustRightInd w:val="0"/>
              <w:rPr>
                <w:color w:val="000000" w:themeColor="text1"/>
                <w:sz w:val="22"/>
              </w:rPr>
            </w:pPr>
            <w:r w:rsidRPr="000B4E2C">
              <w:rPr>
                <w:color w:val="000000" w:themeColor="text1"/>
                <w:sz w:val="22"/>
              </w:rPr>
              <w:t>Year 1:</w:t>
            </w:r>
            <w:r w:rsidR="000B4E2C" w:rsidRPr="000B4E2C">
              <w:rPr>
                <w:color w:val="000000" w:themeColor="text1"/>
                <w:sz w:val="22"/>
              </w:rPr>
              <w:t xml:space="preserve"> </w:t>
            </w:r>
            <w:r w:rsidRPr="000B4E2C">
              <w:rPr>
                <w:color w:val="000000" w:themeColor="text1"/>
                <w:sz w:val="22"/>
              </w:rPr>
              <w:t>4,824</w:t>
            </w:r>
          </w:p>
          <w:p w14:paraId="7493D8B7" w14:textId="7778303C" w:rsidR="000B4E2C" w:rsidRPr="000B4E2C" w:rsidRDefault="002D1880" w:rsidP="000B4E2C">
            <w:pPr>
              <w:autoSpaceDE w:val="0"/>
              <w:autoSpaceDN w:val="0"/>
              <w:adjustRightInd w:val="0"/>
              <w:rPr>
                <w:color w:val="000000" w:themeColor="text1"/>
                <w:sz w:val="22"/>
              </w:rPr>
            </w:pPr>
            <w:r w:rsidRPr="000B4E2C">
              <w:rPr>
                <w:color w:val="000000" w:themeColor="text1"/>
                <w:sz w:val="22"/>
              </w:rPr>
              <w:t>Years 2</w:t>
            </w:r>
            <w:r w:rsidR="000B4E2C" w:rsidRPr="000B4E2C">
              <w:rPr>
                <w:color w:val="00B0F0"/>
                <w:sz w:val="22"/>
              </w:rPr>
              <w:t>–</w:t>
            </w:r>
            <w:r w:rsidR="000B4E2C" w:rsidRPr="000B4E2C">
              <w:rPr>
                <w:color w:val="00B0F0"/>
                <w:sz w:val="22"/>
              </w:rPr>
              <w:t>5</w:t>
            </w:r>
            <w:r w:rsidRPr="000B4E2C">
              <w:rPr>
                <w:color w:val="000000" w:themeColor="text1"/>
                <w:sz w:val="22"/>
                <w:vertAlign w:val="superscript"/>
              </w:rPr>
              <w:t>A</w:t>
            </w:r>
            <w:r w:rsidRPr="000B4E2C">
              <w:rPr>
                <w:color w:val="000000" w:themeColor="text1"/>
                <w:sz w:val="22"/>
              </w:rPr>
              <w:t>:</w:t>
            </w:r>
            <w:r w:rsidR="000B4E2C" w:rsidRPr="000B4E2C">
              <w:rPr>
                <w:color w:val="000000" w:themeColor="text1"/>
                <w:sz w:val="22"/>
              </w:rPr>
              <w:t xml:space="preserve"> </w:t>
            </w:r>
            <w:r w:rsidRPr="000B4E2C">
              <w:rPr>
                <w:color w:val="000000" w:themeColor="text1"/>
                <w:sz w:val="22"/>
              </w:rPr>
              <w:t>3,810</w:t>
            </w:r>
          </w:p>
          <w:p w14:paraId="05DB9E32" w14:textId="7252FBD4" w:rsidR="002D1880" w:rsidRPr="000B4E2C" w:rsidRDefault="002D1880" w:rsidP="000B4E2C">
            <w:pPr>
              <w:autoSpaceDE w:val="0"/>
              <w:autoSpaceDN w:val="0"/>
              <w:adjustRightInd w:val="0"/>
              <w:rPr>
                <w:color w:val="000000" w:themeColor="text1"/>
                <w:sz w:val="22"/>
                <w:u w:val="single"/>
              </w:rPr>
            </w:pPr>
            <w:r w:rsidRPr="000B4E2C">
              <w:rPr>
                <w:color w:val="000000" w:themeColor="text1"/>
                <w:sz w:val="22"/>
                <w:u w:val="single"/>
              </w:rPr>
              <w:t>ICU:</w:t>
            </w:r>
          </w:p>
          <w:p w14:paraId="653D976F" w14:textId="77777777" w:rsidR="000B4E2C" w:rsidRPr="000B4E2C" w:rsidRDefault="002D1880" w:rsidP="000B4E2C">
            <w:pPr>
              <w:autoSpaceDE w:val="0"/>
              <w:autoSpaceDN w:val="0"/>
              <w:adjustRightInd w:val="0"/>
              <w:rPr>
                <w:color w:val="000000" w:themeColor="text1"/>
                <w:sz w:val="22"/>
              </w:rPr>
            </w:pPr>
            <w:r w:rsidRPr="000B4E2C">
              <w:rPr>
                <w:color w:val="000000" w:themeColor="text1"/>
                <w:sz w:val="22"/>
              </w:rPr>
              <w:t>Year 1:</w:t>
            </w:r>
            <w:r w:rsidR="000B4E2C" w:rsidRPr="000B4E2C">
              <w:rPr>
                <w:color w:val="000000" w:themeColor="text1"/>
                <w:sz w:val="22"/>
              </w:rPr>
              <w:t xml:space="preserve"> </w:t>
            </w:r>
            <w:r w:rsidRPr="000B4E2C">
              <w:rPr>
                <w:color w:val="000000" w:themeColor="text1"/>
                <w:sz w:val="22"/>
              </w:rPr>
              <w:t>4,651</w:t>
            </w:r>
          </w:p>
          <w:p w14:paraId="124EA3CD" w14:textId="02D5CBB0" w:rsidR="002D1880" w:rsidRPr="000B4E2C" w:rsidRDefault="002D1880" w:rsidP="000B4E2C">
            <w:pPr>
              <w:autoSpaceDE w:val="0"/>
              <w:autoSpaceDN w:val="0"/>
              <w:adjustRightInd w:val="0"/>
              <w:rPr>
                <w:color w:val="000000" w:themeColor="text1"/>
                <w:sz w:val="22"/>
              </w:rPr>
            </w:pPr>
            <w:r w:rsidRPr="000B4E2C">
              <w:rPr>
                <w:color w:val="000000" w:themeColor="text1"/>
                <w:sz w:val="22"/>
              </w:rPr>
              <w:t>Year 2</w:t>
            </w:r>
            <w:r w:rsidR="000B4E2C" w:rsidRPr="000B4E2C">
              <w:rPr>
                <w:color w:val="00B0F0"/>
                <w:sz w:val="22"/>
              </w:rPr>
              <w:t>–</w:t>
            </w:r>
            <w:r w:rsidR="000B4E2C" w:rsidRPr="000B4E2C">
              <w:rPr>
                <w:color w:val="00B0F0"/>
                <w:sz w:val="22"/>
              </w:rPr>
              <w:t>5</w:t>
            </w:r>
            <w:r w:rsidRPr="000B4E2C">
              <w:rPr>
                <w:color w:val="000000" w:themeColor="text1"/>
                <w:sz w:val="22"/>
              </w:rPr>
              <w:t>:</w:t>
            </w:r>
            <w:r w:rsidR="000B4E2C" w:rsidRPr="000B4E2C">
              <w:rPr>
                <w:color w:val="000000" w:themeColor="text1"/>
                <w:sz w:val="22"/>
              </w:rPr>
              <w:t xml:space="preserve"> </w:t>
            </w:r>
            <w:r w:rsidRPr="000B4E2C">
              <w:rPr>
                <w:color w:val="000000" w:themeColor="text1"/>
                <w:sz w:val="22"/>
              </w:rPr>
              <w:t>3,322</w:t>
            </w:r>
          </w:p>
        </w:tc>
        <w:tc>
          <w:tcPr>
            <w:tcW w:w="0" w:type="auto"/>
            <w:vAlign w:val="center"/>
            <w:hideMark/>
          </w:tcPr>
          <w:p w14:paraId="6DEEB095" w14:textId="77777777" w:rsidR="002D1880" w:rsidRPr="000B4E2C" w:rsidRDefault="002D1880" w:rsidP="000B4E2C">
            <w:pPr>
              <w:rPr>
                <w:iCs/>
                <w:sz w:val="22"/>
              </w:rPr>
            </w:pPr>
            <w:r w:rsidRPr="000B4E2C">
              <w:rPr>
                <w:iCs/>
                <w:sz w:val="22"/>
              </w:rPr>
              <w:t>Beta (Count)</w:t>
            </w:r>
          </w:p>
        </w:tc>
        <w:tc>
          <w:tcPr>
            <w:tcW w:w="0" w:type="auto"/>
            <w:vAlign w:val="center"/>
            <w:hideMark/>
          </w:tcPr>
          <w:p w14:paraId="78F93E69" w14:textId="4E6B5598" w:rsidR="002D1880" w:rsidRPr="000B4E2C" w:rsidRDefault="002D1880" w:rsidP="000B4E2C">
            <w:pPr>
              <w:autoSpaceDE w:val="0"/>
              <w:autoSpaceDN w:val="0"/>
              <w:adjustRightInd w:val="0"/>
              <w:rPr>
                <w:color w:val="000000" w:themeColor="text1"/>
                <w:sz w:val="22"/>
              </w:rPr>
            </w:pPr>
            <w:r w:rsidRPr="000B4E2C">
              <w:rPr>
                <w:sz w:val="22"/>
              </w:rPr>
              <w:t>Lone</w:t>
            </w:r>
            <w:r w:rsidRPr="000B4E2C">
              <w:rPr>
                <w:i/>
                <w:color w:val="00B0F0"/>
                <w:sz w:val="22"/>
              </w:rPr>
              <w:t xml:space="preserve"> et al</w:t>
            </w:r>
            <w:r w:rsidR="00280A97" w:rsidRPr="000B4E2C">
              <w:rPr>
                <w:noProof/>
                <w:sz w:val="22"/>
                <w:vertAlign w:val="superscript"/>
              </w:rPr>
              <w:t>116</w:t>
            </w:r>
          </w:p>
        </w:tc>
      </w:tr>
      <w:tr w:rsidR="000B4E2C" w:rsidRPr="000B4E2C" w14:paraId="5A0400E4" w14:textId="77777777" w:rsidTr="000B4E2C">
        <w:trPr>
          <w:cantSplit/>
        </w:trPr>
        <w:tc>
          <w:tcPr>
            <w:tcW w:w="0" w:type="auto"/>
            <w:hideMark/>
          </w:tcPr>
          <w:p w14:paraId="75AE4752" w14:textId="77777777" w:rsidR="002D1880" w:rsidRPr="000B4E2C" w:rsidRDefault="002D1880" w:rsidP="000B4E2C">
            <w:pPr>
              <w:rPr>
                <w:sz w:val="22"/>
              </w:rPr>
            </w:pPr>
            <w:r w:rsidRPr="000B4E2C">
              <w:rPr>
                <w:sz w:val="22"/>
              </w:rPr>
              <w:t>ESRD + dialysis to Death</w:t>
            </w:r>
          </w:p>
        </w:tc>
        <w:tc>
          <w:tcPr>
            <w:tcW w:w="0" w:type="auto"/>
            <w:hideMark/>
          </w:tcPr>
          <w:p w14:paraId="39F3191D" w14:textId="77777777" w:rsidR="002D1880" w:rsidRPr="000B4E2C" w:rsidRDefault="002D1880" w:rsidP="000B4E2C">
            <w:pPr>
              <w:rPr>
                <w:color w:val="000000" w:themeColor="text1"/>
                <w:sz w:val="22"/>
              </w:rPr>
            </w:pPr>
            <w:r w:rsidRPr="000B4E2C">
              <w:rPr>
                <w:color w:val="000000" w:themeColor="text1"/>
                <w:sz w:val="22"/>
              </w:rPr>
              <w:t>Year 1: 951</w:t>
            </w:r>
          </w:p>
          <w:p w14:paraId="3E173EFC" w14:textId="77777777" w:rsidR="002D1880" w:rsidRPr="000B4E2C" w:rsidRDefault="002D1880" w:rsidP="000B4E2C">
            <w:pPr>
              <w:rPr>
                <w:color w:val="000000" w:themeColor="text1"/>
                <w:sz w:val="22"/>
              </w:rPr>
            </w:pPr>
            <w:r w:rsidRPr="000B4E2C">
              <w:rPr>
                <w:color w:val="000000" w:themeColor="text1"/>
                <w:sz w:val="22"/>
              </w:rPr>
              <w:t>Year 3: 2116</w:t>
            </w:r>
          </w:p>
          <w:p w14:paraId="1CD80E09" w14:textId="77777777" w:rsidR="002D1880" w:rsidRPr="000B4E2C" w:rsidRDefault="002D1880" w:rsidP="000B4E2C">
            <w:pPr>
              <w:rPr>
                <w:color w:val="000000" w:themeColor="text1"/>
                <w:sz w:val="22"/>
              </w:rPr>
            </w:pPr>
            <w:r w:rsidRPr="000B4E2C">
              <w:rPr>
                <w:color w:val="000000" w:themeColor="text1"/>
                <w:sz w:val="22"/>
              </w:rPr>
              <w:t>Year 5: 2990</w:t>
            </w:r>
          </w:p>
        </w:tc>
        <w:tc>
          <w:tcPr>
            <w:tcW w:w="0" w:type="auto"/>
            <w:hideMark/>
          </w:tcPr>
          <w:p w14:paraId="279F237F" w14:textId="77777777" w:rsidR="002D1880" w:rsidRPr="000B4E2C" w:rsidRDefault="002D1880" w:rsidP="000B4E2C">
            <w:pPr>
              <w:rPr>
                <w:color w:val="000000" w:themeColor="text1"/>
                <w:sz w:val="22"/>
              </w:rPr>
            </w:pPr>
            <w:r w:rsidRPr="000B4E2C">
              <w:rPr>
                <w:color w:val="000000" w:themeColor="text1"/>
                <w:sz w:val="22"/>
              </w:rPr>
              <w:t>Year 1: 5178</w:t>
            </w:r>
          </w:p>
          <w:p w14:paraId="1F2189C5" w14:textId="77777777" w:rsidR="002D1880" w:rsidRPr="000B4E2C" w:rsidRDefault="002D1880" w:rsidP="000B4E2C">
            <w:pPr>
              <w:rPr>
                <w:color w:val="000000" w:themeColor="text1"/>
                <w:sz w:val="22"/>
              </w:rPr>
            </w:pPr>
            <w:r w:rsidRPr="000B4E2C">
              <w:rPr>
                <w:color w:val="000000" w:themeColor="text1"/>
                <w:sz w:val="22"/>
              </w:rPr>
              <w:t>Year 3: 3988</w:t>
            </w:r>
          </w:p>
          <w:p w14:paraId="64AEFABE" w14:textId="77777777" w:rsidR="002D1880" w:rsidRPr="000B4E2C" w:rsidRDefault="002D1880" w:rsidP="000B4E2C">
            <w:pPr>
              <w:rPr>
                <w:color w:val="000000" w:themeColor="text1"/>
                <w:sz w:val="22"/>
              </w:rPr>
            </w:pPr>
            <w:r w:rsidRPr="000B4E2C">
              <w:rPr>
                <w:color w:val="000000" w:themeColor="text1"/>
                <w:sz w:val="22"/>
              </w:rPr>
              <w:t>Year 5: 3254</w:t>
            </w:r>
          </w:p>
        </w:tc>
        <w:tc>
          <w:tcPr>
            <w:tcW w:w="0" w:type="auto"/>
            <w:vAlign w:val="center"/>
            <w:hideMark/>
          </w:tcPr>
          <w:p w14:paraId="27D6435C" w14:textId="77777777" w:rsidR="002D1880" w:rsidRPr="000B4E2C" w:rsidRDefault="002D1880" w:rsidP="000B4E2C">
            <w:pPr>
              <w:rPr>
                <w:color w:val="000000" w:themeColor="text1"/>
                <w:sz w:val="22"/>
              </w:rPr>
            </w:pPr>
            <w:r w:rsidRPr="000B4E2C">
              <w:rPr>
                <w:iCs/>
                <w:sz w:val="22"/>
              </w:rPr>
              <w:t>Beta (Count)</w:t>
            </w:r>
          </w:p>
        </w:tc>
        <w:tc>
          <w:tcPr>
            <w:tcW w:w="0" w:type="auto"/>
            <w:vMerge w:val="restart"/>
            <w:vAlign w:val="center"/>
            <w:hideMark/>
          </w:tcPr>
          <w:p w14:paraId="61E2EF52" w14:textId="38DC05FA" w:rsidR="002D1880" w:rsidRPr="000B4E2C" w:rsidRDefault="002D1880" w:rsidP="000B4E2C">
            <w:pPr>
              <w:rPr>
                <w:color w:val="000000" w:themeColor="text1"/>
                <w:sz w:val="22"/>
              </w:rPr>
            </w:pPr>
            <w:r w:rsidRPr="000B4E2C">
              <w:rPr>
                <w:sz w:val="22"/>
              </w:rPr>
              <w:t>UK Renal Registry report (</w:t>
            </w:r>
            <w:r w:rsidR="000B4E2C" w:rsidRPr="000B4E2C">
              <w:rPr>
                <w:i/>
                <w:color w:val="FF0000"/>
                <w:sz w:val="22"/>
              </w:rPr>
              <w:t>T</w:t>
            </w:r>
            <w:r w:rsidR="000B4E2C" w:rsidRPr="000B4E2C">
              <w:rPr>
                <w:i/>
                <w:color w:val="FF0000"/>
                <w:sz w:val="22"/>
              </w:rPr>
              <w:t>able</w:t>
            </w:r>
            <w:r w:rsidR="000B4E2C" w:rsidRPr="000B4E2C">
              <w:rPr>
                <w:i/>
                <w:color w:val="FF0000"/>
                <w:sz w:val="22"/>
              </w:rPr>
              <w:t xml:space="preserve"> </w:t>
            </w:r>
            <w:r w:rsidR="000B4E2C" w:rsidRPr="000B4E2C">
              <w:rPr>
                <w:i/>
                <w:color w:val="FF0000"/>
                <w:sz w:val="22"/>
              </w:rPr>
              <w:t>1</w:t>
            </w:r>
            <w:r w:rsidRPr="000B4E2C">
              <w:rPr>
                <w:sz w:val="22"/>
              </w:rPr>
              <w:t>.17)</w:t>
            </w:r>
            <w:r w:rsidR="00280A97" w:rsidRPr="000B4E2C">
              <w:rPr>
                <w:noProof/>
                <w:sz w:val="22"/>
                <w:vertAlign w:val="superscript"/>
              </w:rPr>
              <w:t>117</w:t>
            </w:r>
          </w:p>
        </w:tc>
      </w:tr>
      <w:tr w:rsidR="000B4E2C" w:rsidRPr="000B4E2C" w14:paraId="6F9E92DC" w14:textId="77777777" w:rsidTr="000B4E2C">
        <w:trPr>
          <w:cantSplit/>
        </w:trPr>
        <w:tc>
          <w:tcPr>
            <w:tcW w:w="0" w:type="auto"/>
            <w:hideMark/>
          </w:tcPr>
          <w:p w14:paraId="66A31E71" w14:textId="77777777" w:rsidR="002D1880" w:rsidRPr="000B4E2C" w:rsidRDefault="002D1880" w:rsidP="000B4E2C">
            <w:pPr>
              <w:rPr>
                <w:sz w:val="22"/>
              </w:rPr>
            </w:pPr>
            <w:r w:rsidRPr="000B4E2C">
              <w:rPr>
                <w:sz w:val="22"/>
              </w:rPr>
              <w:t>ESRD + dialysis to Transplant</w:t>
            </w:r>
          </w:p>
        </w:tc>
        <w:tc>
          <w:tcPr>
            <w:tcW w:w="0" w:type="auto"/>
            <w:hideMark/>
          </w:tcPr>
          <w:p w14:paraId="1AD3B94F" w14:textId="77777777" w:rsidR="002D1880" w:rsidRPr="000B4E2C" w:rsidRDefault="002D1880" w:rsidP="000B4E2C">
            <w:pPr>
              <w:rPr>
                <w:color w:val="000000" w:themeColor="text1"/>
                <w:sz w:val="22"/>
              </w:rPr>
            </w:pPr>
            <w:r w:rsidRPr="000B4E2C">
              <w:rPr>
                <w:color w:val="000000" w:themeColor="text1"/>
                <w:sz w:val="22"/>
              </w:rPr>
              <w:t>Year 1: 417</w:t>
            </w:r>
          </w:p>
          <w:p w14:paraId="4778C086" w14:textId="77777777" w:rsidR="002D1880" w:rsidRPr="000B4E2C" w:rsidRDefault="002D1880" w:rsidP="000B4E2C">
            <w:pPr>
              <w:rPr>
                <w:color w:val="000000" w:themeColor="text1"/>
                <w:sz w:val="22"/>
              </w:rPr>
            </w:pPr>
            <w:r w:rsidRPr="000B4E2C">
              <w:rPr>
                <w:color w:val="000000" w:themeColor="text1"/>
                <w:sz w:val="22"/>
              </w:rPr>
              <w:t>Year 3: 1056</w:t>
            </w:r>
          </w:p>
          <w:p w14:paraId="7E7EB0B0" w14:textId="77777777" w:rsidR="002D1880" w:rsidRPr="000B4E2C" w:rsidRDefault="002D1880" w:rsidP="000B4E2C">
            <w:pPr>
              <w:rPr>
                <w:color w:val="000000" w:themeColor="text1"/>
                <w:sz w:val="22"/>
              </w:rPr>
            </w:pPr>
            <w:r w:rsidRPr="000B4E2C">
              <w:rPr>
                <w:color w:val="000000" w:themeColor="text1"/>
                <w:sz w:val="22"/>
              </w:rPr>
              <w:t>Year 5: 1305</w:t>
            </w:r>
          </w:p>
        </w:tc>
        <w:tc>
          <w:tcPr>
            <w:tcW w:w="0" w:type="auto"/>
            <w:hideMark/>
          </w:tcPr>
          <w:p w14:paraId="5D4D523D" w14:textId="77777777" w:rsidR="002D1880" w:rsidRPr="000B4E2C" w:rsidRDefault="002D1880" w:rsidP="000B4E2C">
            <w:pPr>
              <w:rPr>
                <w:color w:val="000000" w:themeColor="text1"/>
                <w:sz w:val="22"/>
              </w:rPr>
            </w:pPr>
            <w:r w:rsidRPr="000B4E2C">
              <w:rPr>
                <w:color w:val="000000" w:themeColor="text1"/>
                <w:sz w:val="22"/>
              </w:rPr>
              <w:t>Year 1: 5712</w:t>
            </w:r>
          </w:p>
          <w:p w14:paraId="7A58C333" w14:textId="77777777" w:rsidR="002D1880" w:rsidRPr="000B4E2C" w:rsidRDefault="002D1880" w:rsidP="000B4E2C">
            <w:pPr>
              <w:rPr>
                <w:color w:val="000000" w:themeColor="text1"/>
                <w:sz w:val="22"/>
              </w:rPr>
            </w:pPr>
            <w:r w:rsidRPr="000B4E2C">
              <w:rPr>
                <w:color w:val="000000" w:themeColor="text1"/>
                <w:sz w:val="22"/>
              </w:rPr>
              <w:t>Year 3: 5048</w:t>
            </w:r>
          </w:p>
          <w:p w14:paraId="3A4581F3" w14:textId="77777777" w:rsidR="002D1880" w:rsidRPr="000B4E2C" w:rsidRDefault="002D1880" w:rsidP="000B4E2C">
            <w:pPr>
              <w:rPr>
                <w:color w:val="000000" w:themeColor="text1"/>
                <w:sz w:val="22"/>
              </w:rPr>
            </w:pPr>
            <w:r w:rsidRPr="000B4E2C">
              <w:rPr>
                <w:color w:val="000000" w:themeColor="text1"/>
                <w:sz w:val="22"/>
              </w:rPr>
              <w:t>Year 5: 4939</w:t>
            </w:r>
          </w:p>
        </w:tc>
        <w:tc>
          <w:tcPr>
            <w:tcW w:w="0" w:type="auto"/>
            <w:vAlign w:val="center"/>
            <w:hideMark/>
          </w:tcPr>
          <w:p w14:paraId="17971C06" w14:textId="77777777" w:rsidR="002D1880" w:rsidRPr="000B4E2C" w:rsidRDefault="002D1880" w:rsidP="000B4E2C">
            <w:pPr>
              <w:rPr>
                <w:color w:val="000000" w:themeColor="text1"/>
                <w:sz w:val="22"/>
              </w:rPr>
            </w:pPr>
            <w:r w:rsidRPr="000B4E2C">
              <w:rPr>
                <w:iCs/>
                <w:sz w:val="22"/>
              </w:rPr>
              <w:t>Beta (Count)</w:t>
            </w:r>
          </w:p>
        </w:tc>
        <w:tc>
          <w:tcPr>
            <w:tcW w:w="0" w:type="auto"/>
            <w:vMerge/>
            <w:vAlign w:val="center"/>
            <w:hideMark/>
          </w:tcPr>
          <w:p w14:paraId="1B1AD65E" w14:textId="289EC2DF" w:rsidR="002D1880" w:rsidRPr="000B4E2C" w:rsidRDefault="002D1880" w:rsidP="000B4E2C">
            <w:pPr>
              <w:rPr>
                <w:color w:val="000000" w:themeColor="text1"/>
                <w:sz w:val="22"/>
              </w:rPr>
            </w:pPr>
          </w:p>
        </w:tc>
      </w:tr>
      <w:tr w:rsidR="000B4E2C" w:rsidRPr="000B4E2C" w14:paraId="5155B1D2" w14:textId="77777777" w:rsidTr="000B4E2C">
        <w:trPr>
          <w:cantSplit/>
        </w:trPr>
        <w:tc>
          <w:tcPr>
            <w:tcW w:w="0" w:type="auto"/>
            <w:hideMark/>
          </w:tcPr>
          <w:p w14:paraId="31750366" w14:textId="77777777" w:rsidR="002D1880" w:rsidRPr="000B4E2C" w:rsidRDefault="002D1880" w:rsidP="000B4E2C">
            <w:pPr>
              <w:rPr>
                <w:sz w:val="22"/>
              </w:rPr>
            </w:pPr>
            <w:r w:rsidRPr="000B4E2C">
              <w:rPr>
                <w:sz w:val="22"/>
              </w:rPr>
              <w:t xml:space="preserve">Remain in ESRD + dialysis </w:t>
            </w:r>
          </w:p>
        </w:tc>
        <w:tc>
          <w:tcPr>
            <w:tcW w:w="0" w:type="auto"/>
          </w:tcPr>
          <w:p w14:paraId="71103518" w14:textId="77777777" w:rsidR="002D1880" w:rsidRPr="000B4E2C" w:rsidRDefault="002D1880" w:rsidP="000B4E2C">
            <w:pPr>
              <w:rPr>
                <w:color w:val="000000" w:themeColor="text1"/>
                <w:sz w:val="22"/>
              </w:rPr>
            </w:pPr>
          </w:p>
        </w:tc>
        <w:tc>
          <w:tcPr>
            <w:tcW w:w="0" w:type="auto"/>
          </w:tcPr>
          <w:p w14:paraId="15D1E025" w14:textId="77777777" w:rsidR="002D1880" w:rsidRPr="000B4E2C" w:rsidRDefault="002D1880" w:rsidP="000B4E2C">
            <w:pPr>
              <w:rPr>
                <w:color w:val="000000" w:themeColor="text1"/>
                <w:sz w:val="22"/>
              </w:rPr>
            </w:pPr>
          </w:p>
        </w:tc>
        <w:tc>
          <w:tcPr>
            <w:tcW w:w="0" w:type="auto"/>
            <w:vAlign w:val="center"/>
            <w:hideMark/>
          </w:tcPr>
          <w:p w14:paraId="2F9099D3" w14:textId="77777777" w:rsidR="002D1880" w:rsidRPr="000B4E2C" w:rsidRDefault="002D1880" w:rsidP="000B4E2C">
            <w:pPr>
              <w:rPr>
                <w:color w:val="000000" w:themeColor="text1"/>
                <w:sz w:val="22"/>
              </w:rPr>
            </w:pPr>
            <w:r w:rsidRPr="000B4E2C">
              <w:rPr>
                <w:sz w:val="22"/>
              </w:rPr>
              <w:t>Remainder</w:t>
            </w:r>
          </w:p>
        </w:tc>
        <w:tc>
          <w:tcPr>
            <w:tcW w:w="0" w:type="auto"/>
            <w:vAlign w:val="center"/>
          </w:tcPr>
          <w:p w14:paraId="5969F7D6" w14:textId="77777777" w:rsidR="002D1880" w:rsidRPr="000B4E2C" w:rsidRDefault="002D1880" w:rsidP="000B4E2C">
            <w:pPr>
              <w:rPr>
                <w:color w:val="000000" w:themeColor="text1"/>
                <w:sz w:val="22"/>
              </w:rPr>
            </w:pPr>
          </w:p>
        </w:tc>
      </w:tr>
      <w:tr w:rsidR="000B4E2C" w:rsidRPr="000B4E2C" w14:paraId="697233DE" w14:textId="77777777" w:rsidTr="000B4E2C">
        <w:trPr>
          <w:cantSplit/>
        </w:trPr>
        <w:tc>
          <w:tcPr>
            <w:tcW w:w="0" w:type="auto"/>
            <w:vAlign w:val="center"/>
            <w:hideMark/>
          </w:tcPr>
          <w:p w14:paraId="5F93A066" w14:textId="77777777" w:rsidR="002D1880" w:rsidRPr="000B4E2C" w:rsidRDefault="002D1880" w:rsidP="000B4E2C">
            <w:pPr>
              <w:rPr>
                <w:sz w:val="22"/>
              </w:rPr>
            </w:pPr>
            <w:r w:rsidRPr="000B4E2C">
              <w:rPr>
                <w:sz w:val="22"/>
              </w:rPr>
              <w:t>Transplant to ESRD + dialysis</w:t>
            </w:r>
          </w:p>
        </w:tc>
        <w:tc>
          <w:tcPr>
            <w:tcW w:w="0" w:type="auto"/>
            <w:vAlign w:val="center"/>
            <w:hideMark/>
          </w:tcPr>
          <w:p w14:paraId="3D7D6476" w14:textId="77777777" w:rsidR="002D1880" w:rsidRPr="000B4E2C" w:rsidRDefault="002D1880" w:rsidP="000B4E2C">
            <w:pPr>
              <w:rPr>
                <w:color w:val="000000" w:themeColor="text1"/>
                <w:sz w:val="22"/>
              </w:rPr>
            </w:pPr>
            <w:r w:rsidRPr="000B4E2C">
              <w:rPr>
                <w:color w:val="000000" w:themeColor="text1"/>
                <w:sz w:val="22"/>
              </w:rPr>
              <w:t>Year 1: 4</w:t>
            </w:r>
          </w:p>
          <w:p w14:paraId="0E83E2EE" w14:textId="77777777" w:rsidR="002D1880" w:rsidRPr="000B4E2C" w:rsidRDefault="002D1880" w:rsidP="000B4E2C">
            <w:pPr>
              <w:rPr>
                <w:color w:val="000000" w:themeColor="text1"/>
                <w:sz w:val="22"/>
              </w:rPr>
            </w:pPr>
            <w:r w:rsidRPr="000B4E2C">
              <w:rPr>
                <w:color w:val="000000" w:themeColor="text1"/>
                <w:sz w:val="22"/>
              </w:rPr>
              <w:t>Year 3: 16</w:t>
            </w:r>
          </w:p>
          <w:p w14:paraId="74A572B0" w14:textId="77777777" w:rsidR="002D1880" w:rsidRPr="000B4E2C" w:rsidRDefault="002D1880" w:rsidP="000B4E2C">
            <w:pPr>
              <w:rPr>
                <w:color w:val="000000" w:themeColor="text1"/>
                <w:sz w:val="22"/>
              </w:rPr>
            </w:pPr>
            <w:r w:rsidRPr="000B4E2C">
              <w:rPr>
                <w:color w:val="000000" w:themeColor="text1"/>
                <w:sz w:val="22"/>
              </w:rPr>
              <w:t>Year 5: 26</w:t>
            </w:r>
          </w:p>
        </w:tc>
        <w:tc>
          <w:tcPr>
            <w:tcW w:w="0" w:type="auto"/>
            <w:vAlign w:val="center"/>
            <w:hideMark/>
          </w:tcPr>
          <w:p w14:paraId="758EA657" w14:textId="77777777" w:rsidR="000B4E2C" w:rsidRPr="000B4E2C" w:rsidRDefault="002D1880" w:rsidP="000B4E2C">
            <w:pPr>
              <w:rPr>
                <w:color w:val="000000" w:themeColor="text1"/>
                <w:sz w:val="22"/>
              </w:rPr>
            </w:pPr>
            <w:r w:rsidRPr="000B4E2C">
              <w:rPr>
                <w:color w:val="000000" w:themeColor="text1"/>
                <w:sz w:val="22"/>
              </w:rPr>
              <w:t>Year 1: 487</w:t>
            </w:r>
          </w:p>
          <w:p w14:paraId="1A1AF3F8" w14:textId="06E7615B" w:rsidR="002D1880" w:rsidRPr="000B4E2C" w:rsidRDefault="002D1880" w:rsidP="000B4E2C">
            <w:pPr>
              <w:rPr>
                <w:color w:val="000000" w:themeColor="text1"/>
                <w:sz w:val="22"/>
              </w:rPr>
            </w:pPr>
            <w:r w:rsidRPr="000B4E2C">
              <w:rPr>
                <w:color w:val="000000" w:themeColor="text1"/>
                <w:sz w:val="22"/>
              </w:rPr>
              <w:t>Year 3: 475</w:t>
            </w:r>
          </w:p>
          <w:p w14:paraId="170E2519" w14:textId="77777777" w:rsidR="002D1880" w:rsidRPr="000B4E2C" w:rsidRDefault="002D1880" w:rsidP="000B4E2C">
            <w:pPr>
              <w:rPr>
                <w:color w:val="000000" w:themeColor="text1"/>
                <w:sz w:val="22"/>
              </w:rPr>
            </w:pPr>
            <w:r w:rsidRPr="000B4E2C">
              <w:rPr>
                <w:color w:val="000000" w:themeColor="text1"/>
                <w:sz w:val="22"/>
              </w:rPr>
              <w:t>Year 5: 431</w:t>
            </w:r>
          </w:p>
        </w:tc>
        <w:tc>
          <w:tcPr>
            <w:tcW w:w="0" w:type="auto"/>
            <w:vAlign w:val="center"/>
            <w:hideMark/>
          </w:tcPr>
          <w:p w14:paraId="14B1E5CF" w14:textId="77777777" w:rsidR="002D1880" w:rsidRPr="000B4E2C" w:rsidRDefault="002D1880" w:rsidP="000B4E2C">
            <w:pPr>
              <w:rPr>
                <w:sz w:val="22"/>
              </w:rPr>
            </w:pPr>
            <w:r w:rsidRPr="000B4E2C">
              <w:rPr>
                <w:iCs/>
                <w:sz w:val="22"/>
              </w:rPr>
              <w:t>Beta (Count)</w:t>
            </w:r>
          </w:p>
        </w:tc>
        <w:tc>
          <w:tcPr>
            <w:tcW w:w="0" w:type="auto"/>
            <w:vMerge w:val="restart"/>
            <w:vAlign w:val="center"/>
            <w:hideMark/>
          </w:tcPr>
          <w:p w14:paraId="07C9F2BF" w14:textId="7E729558" w:rsidR="002D1880" w:rsidRPr="000B4E2C" w:rsidRDefault="002D1880" w:rsidP="000B4E2C">
            <w:pPr>
              <w:rPr>
                <w:color w:val="000000" w:themeColor="text1"/>
                <w:sz w:val="22"/>
              </w:rPr>
            </w:pPr>
            <w:r w:rsidRPr="000B4E2C">
              <w:rPr>
                <w:sz w:val="22"/>
              </w:rPr>
              <w:t>UK Renal Registry report (</w:t>
            </w:r>
            <w:r w:rsidR="000B4E2C" w:rsidRPr="000B4E2C">
              <w:rPr>
                <w:i/>
                <w:color w:val="FF0000"/>
                <w:sz w:val="22"/>
              </w:rPr>
              <w:t>T</w:t>
            </w:r>
            <w:r w:rsidR="000B4E2C" w:rsidRPr="000B4E2C">
              <w:rPr>
                <w:i/>
                <w:color w:val="FF0000"/>
                <w:sz w:val="22"/>
              </w:rPr>
              <w:t>able</w:t>
            </w:r>
            <w:r w:rsidR="000B4E2C" w:rsidRPr="000B4E2C">
              <w:rPr>
                <w:i/>
                <w:color w:val="FF0000"/>
                <w:sz w:val="22"/>
              </w:rPr>
              <w:t xml:space="preserve"> </w:t>
            </w:r>
            <w:r w:rsidR="000B4E2C" w:rsidRPr="000B4E2C">
              <w:rPr>
                <w:i/>
                <w:color w:val="FF0000"/>
                <w:sz w:val="22"/>
              </w:rPr>
              <w:t>1</w:t>
            </w:r>
            <w:r w:rsidRPr="000B4E2C">
              <w:rPr>
                <w:sz w:val="22"/>
              </w:rPr>
              <w:t>.17)</w:t>
            </w:r>
            <w:r w:rsidR="00280A97" w:rsidRPr="000B4E2C">
              <w:rPr>
                <w:noProof/>
                <w:sz w:val="22"/>
                <w:vertAlign w:val="superscript"/>
              </w:rPr>
              <w:t>117</w:t>
            </w:r>
          </w:p>
        </w:tc>
      </w:tr>
      <w:tr w:rsidR="000B4E2C" w:rsidRPr="000B4E2C" w14:paraId="1A68CDFC" w14:textId="77777777" w:rsidTr="000B4E2C">
        <w:trPr>
          <w:cantSplit/>
        </w:trPr>
        <w:tc>
          <w:tcPr>
            <w:tcW w:w="0" w:type="auto"/>
            <w:vAlign w:val="center"/>
            <w:hideMark/>
          </w:tcPr>
          <w:p w14:paraId="5D3CCB7A" w14:textId="77777777" w:rsidR="002D1880" w:rsidRPr="000B4E2C" w:rsidRDefault="002D1880" w:rsidP="000B4E2C">
            <w:pPr>
              <w:rPr>
                <w:sz w:val="22"/>
              </w:rPr>
            </w:pPr>
            <w:r w:rsidRPr="000B4E2C">
              <w:rPr>
                <w:sz w:val="22"/>
              </w:rPr>
              <w:t>Transplant to Death</w:t>
            </w:r>
          </w:p>
        </w:tc>
        <w:tc>
          <w:tcPr>
            <w:tcW w:w="0" w:type="auto"/>
            <w:vAlign w:val="center"/>
            <w:hideMark/>
          </w:tcPr>
          <w:p w14:paraId="0056DC85" w14:textId="77777777" w:rsidR="002D1880" w:rsidRPr="000B4E2C" w:rsidRDefault="002D1880" w:rsidP="000B4E2C">
            <w:pPr>
              <w:rPr>
                <w:color w:val="000000" w:themeColor="text1"/>
                <w:sz w:val="22"/>
              </w:rPr>
            </w:pPr>
            <w:r w:rsidRPr="000B4E2C">
              <w:rPr>
                <w:color w:val="000000" w:themeColor="text1"/>
                <w:sz w:val="22"/>
              </w:rPr>
              <w:t>Year 1: 8</w:t>
            </w:r>
          </w:p>
          <w:p w14:paraId="1F567B96" w14:textId="77777777" w:rsidR="002D1880" w:rsidRPr="000B4E2C" w:rsidRDefault="002D1880" w:rsidP="000B4E2C">
            <w:pPr>
              <w:rPr>
                <w:color w:val="000000" w:themeColor="text1"/>
                <w:sz w:val="22"/>
              </w:rPr>
            </w:pPr>
            <w:r w:rsidRPr="000B4E2C">
              <w:rPr>
                <w:color w:val="000000" w:themeColor="text1"/>
                <w:sz w:val="22"/>
              </w:rPr>
              <w:t>Year 3: 16</w:t>
            </w:r>
          </w:p>
          <w:p w14:paraId="53CFF5D8" w14:textId="77777777" w:rsidR="002D1880" w:rsidRPr="000B4E2C" w:rsidRDefault="002D1880" w:rsidP="000B4E2C">
            <w:pPr>
              <w:rPr>
                <w:color w:val="000000" w:themeColor="text1"/>
                <w:sz w:val="22"/>
              </w:rPr>
            </w:pPr>
            <w:r w:rsidRPr="000B4E2C">
              <w:rPr>
                <w:color w:val="000000" w:themeColor="text1"/>
                <w:sz w:val="22"/>
              </w:rPr>
              <w:t>Year 5: 31</w:t>
            </w:r>
          </w:p>
        </w:tc>
        <w:tc>
          <w:tcPr>
            <w:tcW w:w="0" w:type="auto"/>
            <w:vAlign w:val="center"/>
            <w:hideMark/>
          </w:tcPr>
          <w:p w14:paraId="6C174B37" w14:textId="77777777" w:rsidR="002D1880" w:rsidRPr="000B4E2C" w:rsidRDefault="002D1880" w:rsidP="000B4E2C">
            <w:pPr>
              <w:rPr>
                <w:color w:val="000000" w:themeColor="text1"/>
                <w:sz w:val="22"/>
              </w:rPr>
            </w:pPr>
            <w:r w:rsidRPr="000B4E2C">
              <w:rPr>
                <w:color w:val="000000" w:themeColor="text1"/>
                <w:sz w:val="22"/>
              </w:rPr>
              <w:t>Year 1: 483</w:t>
            </w:r>
          </w:p>
          <w:p w14:paraId="54AD5E76" w14:textId="77777777" w:rsidR="002D1880" w:rsidRPr="000B4E2C" w:rsidRDefault="002D1880" w:rsidP="000B4E2C">
            <w:pPr>
              <w:rPr>
                <w:color w:val="000000" w:themeColor="text1"/>
                <w:sz w:val="22"/>
              </w:rPr>
            </w:pPr>
            <w:r w:rsidRPr="000B4E2C">
              <w:rPr>
                <w:color w:val="000000" w:themeColor="text1"/>
                <w:sz w:val="22"/>
              </w:rPr>
              <w:t>Year 3: 475</w:t>
            </w:r>
          </w:p>
          <w:p w14:paraId="1A0DBAD9" w14:textId="77777777" w:rsidR="002D1880" w:rsidRPr="000B4E2C" w:rsidRDefault="002D1880" w:rsidP="000B4E2C">
            <w:pPr>
              <w:rPr>
                <w:color w:val="000000" w:themeColor="text1"/>
                <w:sz w:val="22"/>
              </w:rPr>
            </w:pPr>
            <w:r w:rsidRPr="000B4E2C">
              <w:rPr>
                <w:color w:val="000000" w:themeColor="text1"/>
                <w:sz w:val="22"/>
              </w:rPr>
              <w:t>Year 5: 426</w:t>
            </w:r>
          </w:p>
        </w:tc>
        <w:tc>
          <w:tcPr>
            <w:tcW w:w="0" w:type="auto"/>
            <w:vAlign w:val="center"/>
            <w:hideMark/>
          </w:tcPr>
          <w:p w14:paraId="1BC5D27A" w14:textId="77777777" w:rsidR="002D1880" w:rsidRPr="000B4E2C" w:rsidRDefault="002D1880" w:rsidP="000B4E2C">
            <w:pPr>
              <w:rPr>
                <w:sz w:val="22"/>
              </w:rPr>
            </w:pPr>
            <w:r w:rsidRPr="000B4E2C">
              <w:rPr>
                <w:iCs/>
                <w:sz w:val="22"/>
              </w:rPr>
              <w:t>Beta (Count)</w:t>
            </w:r>
          </w:p>
        </w:tc>
        <w:tc>
          <w:tcPr>
            <w:tcW w:w="0" w:type="auto"/>
            <w:vMerge/>
            <w:vAlign w:val="center"/>
            <w:hideMark/>
          </w:tcPr>
          <w:p w14:paraId="0F285C47" w14:textId="59F7FAA0" w:rsidR="002D1880" w:rsidRPr="000B4E2C" w:rsidRDefault="002D1880" w:rsidP="000B4E2C">
            <w:pPr>
              <w:rPr>
                <w:color w:val="000000" w:themeColor="text1"/>
                <w:sz w:val="22"/>
              </w:rPr>
            </w:pPr>
          </w:p>
        </w:tc>
      </w:tr>
      <w:tr w:rsidR="000B4E2C" w:rsidRPr="000B4E2C" w14:paraId="0E268013" w14:textId="77777777" w:rsidTr="000B4E2C">
        <w:trPr>
          <w:cantSplit/>
        </w:trPr>
        <w:tc>
          <w:tcPr>
            <w:tcW w:w="0" w:type="auto"/>
            <w:vAlign w:val="center"/>
            <w:hideMark/>
          </w:tcPr>
          <w:p w14:paraId="41B30D3F" w14:textId="77777777" w:rsidR="002D1880" w:rsidRPr="000B4E2C" w:rsidRDefault="002D1880" w:rsidP="000B4E2C">
            <w:pPr>
              <w:rPr>
                <w:sz w:val="22"/>
              </w:rPr>
            </w:pPr>
            <w:r w:rsidRPr="000B4E2C">
              <w:rPr>
                <w:sz w:val="22"/>
              </w:rPr>
              <w:t>Transplant successful</w:t>
            </w:r>
          </w:p>
        </w:tc>
        <w:tc>
          <w:tcPr>
            <w:tcW w:w="0" w:type="auto"/>
            <w:vAlign w:val="center"/>
          </w:tcPr>
          <w:p w14:paraId="0D0FF56B" w14:textId="77777777" w:rsidR="002D1880" w:rsidRPr="000B4E2C" w:rsidRDefault="002D1880" w:rsidP="000B4E2C">
            <w:pPr>
              <w:rPr>
                <w:color w:val="000000" w:themeColor="text1"/>
                <w:sz w:val="22"/>
              </w:rPr>
            </w:pPr>
          </w:p>
        </w:tc>
        <w:tc>
          <w:tcPr>
            <w:tcW w:w="0" w:type="auto"/>
            <w:vAlign w:val="center"/>
          </w:tcPr>
          <w:p w14:paraId="3846C0F2" w14:textId="77777777" w:rsidR="002D1880" w:rsidRPr="000B4E2C" w:rsidRDefault="002D1880" w:rsidP="000B4E2C">
            <w:pPr>
              <w:rPr>
                <w:color w:val="000000" w:themeColor="text1"/>
                <w:sz w:val="22"/>
              </w:rPr>
            </w:pPr>
          </w:p>
        </w:tc>
        <w:tc>
          <w:tcPr>
            <w:tcW w:w="0" w:type="auto"/>
            <w:vAlign w:val="center"/>
            <w:hideMark/>
          </w:tcPr>
          <w:p w14:paraId="0D64CACD" w14:textId="77777777" w:rsidR="002D1880" w:rsidRPr="000B4E2C" w:rsidRDefault="002D1880" w:rsidP="000B4E2C">
            <w:pPr>
              <w:rPr>
                <w:sz w:val="22"/>
              </w:rPr>
            </w:pPr>
            <w:r w:rsidRPr="000B4E2C">
              <w:rPr>
                <w:sz w:val="22"/>
              </w:rPr>
              <w:t>Remainder</w:t>
            </w:r>
          </w:p>
        </w:tc>
        <w:tc>
          <w:tcPr>
            <w:tcW w:w="0" w:type="auto"/>
            <w:vAlign w:val="center"/>
          </w:tcPr>
          <w:p w14:paraId="6EC4C781" w14:textId="77777777" w:rsidR="002D1880" w:rsidRPr="000B4E2C" w:rsidRDefault="002D1880" w:rsidP="000B4E2C">
            <w:pPr>
              <w:rPr>
                <w:color w:val="000000" w:themeColor="text1"/>
                <w:sz w:val="22"/>
              </w:rPr>
            </w:pPr>
          </w:p>
        </w:tc>
      </w:tr>
    </w:tbl>
    <w:p w14:paraId="5022D70B" w14:textId="77777777" w:rsidR="000B4E2C" w:rsidRPr="000B4E2C" w:rsidRDefault="00AD673E" w:rsidP="00AD673E">
      <w:r w:rsidRPr="000B4E2C">
        <w:rPr>
          <w:b/>
        </w:rPr>
        <w:t xml:space="preserve">Abbreviations: </w:t>
      </w:r>
      <w:r w:rsidR="00993E1C" w:rsidRPr="000B4E2C">
        <w:t xml:space="preserve">AKI: Acute Kidney Injury; </w:t>
      </w:r>
      <w:r w:rsidRPr="000B4E2C">
        <w:t xml:space="preserve">CKD: Chronic Kidney Disease; ESRD: End Stage Renal Disease; HR: Hazard Ratio; </w:t>
      </w:r>
      <w:r w:rsidR="00993E1C" w:rsidRPr="000B4E2C">
        <w:t>ICU: Intensive Care Unit; LOS: Length of Stay</w:t>
      </w:r>
      <w:r w:rsidRPr="000B4E2C">
        <w:t>; LN: Log Normal; RR: Relative Risk; SE: Standard Error;</w:t>
      </w:r>
    </w:p>
    <w:p w14:paraId="3505AE12" w14:textId="2559213E" w:rsidR="00AD673E" w:rsidRPr="000B4E2C" w:rsidRDefault="002039D4" w:rsidP="007D5F15">
      <w:pPr>
        <w:spacing w:line="276" w:lineRule="auto"/>
      </w:pPr>
      <w:r w:rsidRPr="000B4E2C">
        <w:rPr>
          <w:vertAlign w:val="superscript"/>
        </w:rPr>
        <w:t>A</w:t>
      </w:r>
      <w:r w:rsidRPr="000B4E2C">
        <w:t xml:space="preserve"> Note that </w:t>
      </w:r>
      <w:r w:rsidRPr="000B4E2C">
        <w:rPr>
          <w:highlight w:val="magenta"/>
        </w:rPr>
        <w:t>incidence</w:t>
      </w:r>
      <w:r w:rsidRPr="000B4E2C">
        <w:t xml:space="preserve"> of AKI </w:t>
      </w:r>
      <w:r w:rsidRPr="000B4E2C">
        <w:rPr>
          <w:highlight w:val="magenta"/>
        </w:rPr>
        <w:t>data</w:t>
      </w:r>
      <w:r w:rsidRPr="000B4E2C">
        <w:t xml:space="preserve"> are obtained from 2012 Grampian cohort, whereas probabilities of ICU admission and 90 day mortality are obtained from an earlier (2003) </w:t>
      </w:r>
      <w:r w:rsidR="000B4E2C" w:rsidRPr="000B4E2C">
        <w:rPr>
          <w:color w:val="00B0F0"/>
          <w:highlight w:val="magenta"/>
        </w:rPr>
        <w:t>data</w:t>
      </w:r>
      <w:r w:rsidR="000B4E2C" w:rsidRPr="000B4E2C">
        <w:rPr>
          <w:color w:val="00B0F0"/>
        </w:rPr>
        <w:t xml:space="preserve"> set</w:t>
      </w:r>
      <w:r w:rsidRPr="000B4E2C">
        <w:t>.</w:t>
      </w:r>
    </w:p>
    <w:p w14:paraId="33D223DD" w14:textId="3A7EFADA" w:rsidR="00993E1C" w:rsidRPr="000B4E2C" w:rsidRDefault="00993E1C" w:rsidP="007D5F15">
      <w:pPr>
        <w:spacing w:line="276" w:lineRule="auto"/>
      </w:pPr>
      <w:r w:rsidRPr="000B4E2C">
        <w:rPr>
          <w:vertAlign w:val="superscript"/>
        </w:rPr>
        <w:t>B</w:t>
      </w:r>
      <w:r w:rsidRPr="000B4E2C">
        <w:t xml:space="preserve"> For LOS in ICU, only median LOS information was available.</w:t>
      </w:r>
      <w:r w:rsidR="000B4E2C" w:rsidRPr="000B4E2C">
        <w:t xml:space="preserve"> </w:t>
      </w:r>
      <w:r w:rsidRPr="000B4E2C">
        <w:t xml:space="preserve">For the purposes of parameterising the LN distribution and to account for the likely skewed nature of the </w:t>
      </w:r>
      <w:r w:rsidRPr="000B4E2C">
        <w:rPr>
          <w:highlight w:val="magenta"/>
        </w:rPr>
        <w:t>data</w:t>
      </w:r>
      <w:r w:rsidRPr="000B4E2C">
        <w:t>, it was assumed that the mean was twice the median.</w:t>
      </w:r>
      <w:r w:rsidR="000B4E2C" w:rsidRPr="000B4E2C">
        <w:t xml:space="preserve"> </w:t>
      </w:r>
      <w:r w:rsidRPr="000B4E2C">
        <w:t>This ratio was obtained by dividing the mean LOS reported in Hall</w:t>
      </w:r>
      <w:r w:rsidRPr="000B4E2C">
        <w:rPr>
          <w:i/>
          <w:color w:val="00B0F0"/>
        </w:rPr>
        <w:t xml:space="preserve"> et al</w:t>
      </w:r>
      <w:r w:rsidRPr="000B4E2C">
        <w:t xml:space="preserve"> by the median LOS for all AKI patients in the ICU setting.</w:t>
      </w:r>
    </w:p>
    <w:p w14:paraId="4B67D0BE" w14:textId="6EE76272" w:rsidR="00993E1C" w:rsidRPr="000B4E2C" w:rsidRDefault="00993E1C" w:rsidP="007D5F15">
      <w:pPr>
        <w:pStyle w:val="CommentText"/>
        <w:spacing w:line="276" w:lineRule="auto"/>
      </w:pPr>
      <w:r w:rsidRPr="000B4E2C">
        <w:rPr>
          <w:vertAlign w:val="superscript"/>
        </w:rPr>
        <w:t>C</w:t>
      </w:r>
      <w:r w:rsidRPr="000B4E2C">
        <w:t xml:space="preserve"> Base case assumes that the impact of NGAL guided care on AKI is the same as NephroCheck guided care.</w:t>
      </w:r>
      <w:r w:rsidR="000B4E2C" w:rsidRPr="000B4E2C">
        <w:t xml:space="preserve"> </w:t>
      </w:r>
      <w:r w:rsidRPr="000B4E2C">
        <w:t>Sensitivity analysis explores a scenario where NGAL cannot avert AKI.</w:t>
      </w:r>
    </w:p>
    <w:p w14:paraId="68BFD4EC" w14:textId="7710DAC7" w:rsidR="00993E1C" w:rsidRPr="000B4E2C" w:rsidRDefault="00993E1C" w:rsidP="007D5F15">
      <w:pPr>
        <w:pStyle w:val="CommentText"/>
        <w:spacing w:line="276" w:lineRule="auto"/>
      </w:pPr>
      <w:r w:rsidRPr="000B4E2C">
        <w:rPr>
          <w:vertAlign w:val="superscript"/>
        </w:rPr>
        <w:t>D</w:t>
      </w:r>
      <w:r w:rsidRPr="000B4E2C">
        <w:t xml:space="preserve"> Mean RR and SE log RR calculated by the EAG using </w:t>
      </w:r>
      <w:r w:rsidRPr="000B4E2C">
        <w:rPr>
          <w:highlight w:val="magenta"/>
        </w:rPr>
        <w:t>data</w:t>
      </w:r>
      <w:r w:rsidRPr="000B4E2C">
        <w:t xml:space="preserve"> from Meersch</w:t>
      </w:r>
      <w:r w:rsidRPr="000B4E2C">
        <w:rPr>
          <w:i/>
          <w:color w:val="00B0F0"/>
        </w:rPr>
        <w:t xml:space="preserve"> et al</w:t>
      </w:r>
      <w:r w:rsidR="00280A97" w:rsidRPr="000B4E2C">
        <w:rPr>
          <w:noProof/>
          <w:vertAlign w:val="superscript"/>
        </w:rPr>
        <w:t>112</w:t>
      </w:r>
      <w:r w:rsidRPr="000B4E2C">
        <w:t>.</w:t>
      </w:r>
    </w:p>
    <w:p w14:paraId="12C8B2EA" w14:textId="2663905D" w:rsidR="00993E1C" w:rsidRPr="000B4E2C" w:rsidRDefault="00993E1C" w:rsidP="007D5F15">
      <w:pPr>
        <w:spacing w:line="276" w:lineRule="auto"/>
      </w:pPr>
      <w:r w:rsidRPr="000B4E2C">
        <w:rPr>
          <w:vertAlign w:val="superscript"/>
        </w:rPr>
        <w:t>E</w:t>
      </w:r>
      <w:r w:rsidRPr="000B4E2C">
        <w:t xml:space="preserve"> Average of ICU and hospitalised (non-icu) mortality applied in the model base case analysis.</w:t>
      </w:r>
    </w:p>
    <w:p w14:paraId="2512E1E3" w14:textId="77777777" w:rsidR="000B4E2C" w:rsidRPr="000B4E2C" w:rsidRDefault="00993E1C" w:rsidP="007D5F15">
      <w:pPr>
        <w:spacing w:line="276" w:lineRule="auto"/>
      </w:pPr>
      <w:r w:rsidRPr="000B4E2C">
        <w:rPr>
          <w:vertAlign w:val="superscript"/>
        </w:rPr>
        <w:t>F</w:t>
      </w:r>
      <w:r w:rsidRPr="000B4E2C">
        <w:t xml:space="preserve"> Converted to annual cycle specific probabilities for application in the model.</w:t>
      </w:r>
    </w:p>
    <w:p w14:paraId="6226F985" w14:textId="63A0A626" w:rsidR="002F0133" w:rsidRPr="000B4E2C" w:rsidRDefault="002F0133" w:rsidP="007D5F15">
      <w:pPr>
        <w:pStyle w:val="Heading3"/>
      </w:pPr>
      <w:r w:rsidRPr="000B4E2C">
        <w:t>Early phase probabilities and length of stay (LOS):</w:t>
      </w:r>
    </w:p>
    <w:p w14:paraId="59ACC065" w14:textId="78157E24" w:rsidR="000B4E2C" w:rsidRPr="000B4E2C" w:rsidRDefault="002F0133" w:rsidP="008A7464">
      <w:pPr>
        <w:rPr>
          <w:color w:val="000000" w:themeColor="text1"/>
          <w:szCs w:val="24"/>
        </w:rPr>
      </w:pPr>
      <w:r w:rsidRPr="000B4E2C">
        <w:t xml:space="preserve">The potential associative links between AKI and ICU admission, ICU LOS, hospital LOS and 90-day mortality are all sourced from the Grampian </w:t>
      </w:r>
      <w:r w:rsidR="000B4E2C" w:rsidRPr="000B4E2C">
        <w:rPr>
          <w:color w:val="00B0F0"/>
          <w:highlight w:val="magenta"/>
        </w:rPr>
        <w:t>data</w:t>
      </w:r>
      <w:r w:rsidR="000B4E2C" w:rsidRPr="000B4E2C">
        <w:rPr>
          <w:color w:val="00B0F0"/>
        </w:rPr>
        <w:t xml:space="preserve"> set</w:t>
      </w:r>
      <w:r w:rsidR="00476B9E" w:rsidRPr="000B4E2C">
        <w:t>.</w:t>
      </w:r>
      <w:r w:rsidRPr="000B4E2C">
        <w:t xml:space="preserve"> </w:t>
      </w:r>
      <w:r w:rsidRPr="000B4E2C">
        <w:rPr>
          <w:color w:val="000000" w:themeColor="text1"/>
          <w:szCs w:val="24"/>
        </w:rPr>
        <w:t>For chance nodes in the decision tree with only two possible branches, probabilities are sampled from beta distributions</w:t>
      </w:r>
      <w:r w:rsidR="00A07828" w:rsidRPr="000B4E2C">
        <w:rPr>
          <w:color w:val="000000" w:themeColor="text1"/>
          <w:szCs w:val="24"/>
        </w:rPr>
        <w:t xml:space="preserve">. </w:t>
      </w:r>
      <w:r w:rsidRPr="000B4E2C">
        <w:rPr>
          <w:color w:val="000000" w:themeColor="text1"/>
          <w:szCs w:val="24"/>
        </w:rPr>
        <w:t>Where there are three or more branches, probabilities are incorporated using Dirichlet distributions.</w:t>
      </w:r>
    </w:p>
    <w:p w14:paraId="5285EBFE" w14:textId="58E70484" w:rsidR="000B4E2C" w:rsidRPr="000B4E2C" w:rsidRDefault="001C0A1E" w:rsidP="007D5F15">
      <w:pPr>
        <w:rPr>
          <w:color w:val="000000" w:themeColor="text1"/>
          <w:szCs w:val="24"/>
        </w:rPr>
      </w:pPr>
      <w:r w:rsidRPr="000B4E2C">
        <w:rPr>
          <w:color w:val="000000" w:themeColor="text1"/>
          <w:szCs w:val="24"/>
        </w:rPr>
        <w:t xml:space="preserve">The model assumes, </w:t>
      </w:r>
      <w:r w:rsidR="002F0133" w:rsidRPr="000B4E2C">
        <w:rPr>
          <w:color w:val="000000" w:themeColor="text1"/>
          <w:szCs w:val="24"/>
        </w:rPr>
        <w:t>based on expert opinion</w:t>
      </w:r>
      <w:r w:rsidRPr="000B4E2C">
        <w:rPr>
          <w:color w:val="000000" w:themeColor="text1"/>
          <w:szCs w:val="24"/>
        </w:rPr>
        <w:t xml:space="preserve"> and consistent with Hall</w:t>
      </w:r>
      <w:r w:rsidRPr="000B4E2C">
        <w:rPr>
          <w:i/>
          <w:color w:val="00B0F0"/>
          <w:szCs w:val="24"/>
        </w:rPr>
        <w:t xml:space="preserve"> et al</w:t>
      </w:r>
      <w:r w:rsidR="00726816" w:rsidRPr="000B4E2C">
        <w:rPr>
          <w:color w:val="000000" w:themeColor="text1"/>
          <w:szCs w:val="24"/>
          <w:vertAlign w:val="superscript"/>
        </w:rPr>
        <w:t>99</w:t>
      </w:r>
      <w:r w:rsidRPr="000B4E2C">
        <w:rPr>
          <w:color w:val="000000" w:themeColor="text1"/>
          <w:szCs w:val="24"/>
        </w:rPr>
        <w:t xml:space="preserve"> </w:t>
      </w:r>
      <w:r w:rsidR="002F0133" w:rsidRPr="000B4E2C">
        <w:rPr>
          <w:color w:val="000000" w:themeColor="text1"/>
          <w:szCs w:val="24"/>
        </w:rPr>
        <w:t>that RRT is</w:t>
      </w:r>
      <w:r w:rsidRPr="000B4E2C">
        <w:rPr>
          <w:color w:val="000000" w:themeColor="text1"/>
          <w:szCs w:val="24"/>
        </w:rPr>
        <w:t xml:space="preserve"> provided only in</w:t>
      </w:r>
      <w:r w:rsidR="002F0133" w:rsidRPr="000B4E2C">
        <w:rPr>
          <w:color w:val="000000" w:themeColor="text1"/>
          <w:szCs w:val="24"/>
        </w:rPr>
        <w:t xml:space="preserve"> AKI stage 3 a</w:t>
      </w:r>
      <w:r w:rsidRPr="000B4E2C">
        <w:rPr>
          <w:color w:val="000000" w:themeColor="text1"/>
          <w:szCs w:val="24"/>
        </w:rPr>
        <w:t>nd</w:t>
      </w:r>
      <w:r w:rsidR="002F0133" w:rsidRPr="000B4E2C">
        <w:rPr>
          <w:color w:val="000000" w:themeColor="text1"/>
          <w:szCs w:val="24"/>
        </w:rPr>
        <w:t xml:space="preserve"> this is </w:t>
      </w:r>
      <w:r w:rsidRPr="000B4E2C">
        <w:rPr>
          <w:color w:val="000000" w:themeColor="text1"/>
          <w:szCs w:val="24"/>
        </w:rPr>
        <w:t>deemed reflective of most</w:t>
      </w:r>
      <w:r w:rsidR="00A07828" w:rsidRPr="000B4E2C">
        <w:rPr>
          <w:color w:val="000000" w:themeColor="text1"/>
          <w:szCs w:val="24"/>
        </w:rPr>
        <w:t xml:space="preserve"> current clinical </w:t>
      </w:r>
      <w:r w:rsidR="00A07828" w:rsidRPr="000B4E2C">
        <w:rPr>
          <w:color w:val="000000" w:themeColor="text1"/>
          <w:szCs w:val="24"/>
          <w:highlight w:val="magenta"/>
        </w:rPr>
        <w:t>practice</w:t>
      </w:r>
      <w:r w:rsidR="00A07828" w:rsidRPr="000B4E2C">
        <w:rPr>
          <w:color w:val="000000" w:themeColor="text1"/>
          <w:szCs w:val="24"/>
        </w:rPr>
        <w:t xml:space="preserve">. </w:t>
      </w:r>
      <w:r w:rsidRPr="000B4E2C">
        <w:rPr>
          <w:color w:val="000000" w:themeColor="text1"/>
          <w:szCs w:val="24"/>
        </w:rPr>
        <w:t xml:space="preserve">Assuming no RRT in patients who have a peak AKI of stage 1 or 2 might be considered a favourable scenario for biomarker tests that </w:t>
      </w:r>
      <w:r w:rsidR="002F0133" w:rsidRPr="000B4E2C">
        <w:rPr>
          <w:color w:val="000000" w:themeColor="text1"/>
          <w:szCs w:val="24"/>
        </w:rPr>
        <w:t>can reduce AKI</w:t>
      </w:r>
      <w:r w:rsidRPr="000B4E2C">
        <w:rPr>
          <w:color w:val="000000" w:themeColor="text1"/>
          <w:szCs w:val="24"/>
        </w:rPr>
        <w:t xml:space="preserve"> severity, thereby generating reductions in cost</w:t>
      </w:r>
      <w:r w:rsidR="002F0133" w:rsidRPr="000B4E2C">
        <w:rPr>
          <w:color w:val="000000" w:themeColor="text1"/>
          <w:szCs w:val="24"/>
        </w:rPr>
        <w:t>.</w:t>
      </w:r>
      <w:r w:rsidR="000B4E2C" w:rsidRPr="000B4E2C">
        <w:rPr>
          <w:color w:val="000000" w:themeColor="text1"/>
          <w:szCs w:val="24"/>
        </w:rPr>
        <w:t xml:space="preserve"> </w:t>
      </w:r>
      <w:r w:rsidR="002F0133" w:rsidRPr="000B4E2C">
        <w:rPr>
          <w:color w:val="000000" w:themeColor="text1"/>
          <w:szCs w:val="24"/>
        </w:rPr>
        <w:t xml:space="preserve">In the absence of published UK </w:t>
      </w:r>
      <w:r w:rsidR="002F0133" w:rsidRPr="000B4E2C">
        <w:rPr>
          <w:color w:val="000000" w:themeColor="text1"/>
          <w:szCs w:val="24"/>
          <w:highlight w:val="magenta"/>
        </w:rPr>
        <w:t>data</w:t>
      </w:r>
      <w:r w:rsidR="002F0133" w:rsidRPr="000B4E2C">
        <w:rPr>
          <w:color w:val="000000" w:themeColor="text1"/>
          <w:szCs w:val="24"/>
        </w:rPr>
        <w:t>, the proportion of AKI 3 patients requiring RRT is taken from a retrospective analysis of N</w:t>
      </w:r>
      <w:r w:rsidR="000B4E2C" w:rsidRPr="000B4E2C">
        <w:rPr>
          <w:color w:val="00B0F0"/>
          <w:szCs w:val="24"/>
        </w:rPr>
        <w:t> = </w:t>
      </w:r>
      <w:r w:rsidR="002F0133" w:rsidRPr="000B4E2C">
        <w:rPr>
          <w:color w:val="000000" w:themeColor="text1"/>
          <w:szCs w:val="24"/>
        </w:rPr>
        <w:t xml:space="preserve">5242 ICU survivors with AKI, across 23 </w:t>
      </w:r>
      <w:r w:rsidR="002F0133" w:rsidRPr="000B4E2C">
        <w:rPr>
          <w:color w:val="000000" w:themeColor="text1"/>
          <w:szCs w:val="24"/>
        </w:rPr>
        <w:lastRenderedPageBreak/>
        <w:t>French intensive care units</w:t>
      </w:r>
      <w:r w:rsidR="00A07828" w:rsidRPr="000B4E2C">
        <w:rPr>
          <w:color w:val="000000" w:themeColor="text1"/>
          <w:szCs w:val="24"/>
        </w:rPr>
        <w:t>.</w:t>
      </w:r>
      <w:r w:rsidR="00280A97" w:rsidRPr="000B4E2C">
        <w:rPr>
          <w:noProof/>
          <w:color w:val="000000" w:themeColor="text1"/>
          <w:szCs w:val="24"/>
          <w:vertAlign w:val="superscript"/>
        </w:rPr>
        <w:t>110</w:t>
      </w:r>
      <w:r w:rsidR="002F0133" w:rsidRPr="000B4E2C">
        <w:rPr>
          <w:color w:val="000000" w:themeColor="text1"/>
          <w:szCs w:val="24"/>
        </w:rPr>
        <w:t xml:space="preserve"> N</w:t>
      </w:r>
      <w:r w:rsidR="000B4E2C" w:rsidRPr="000B4E2C">
        <w:rPr>
          <w:color w:val="00B0F0"/>
          <w:szCs w:val="24"/>
        </w:rPr>
        <w:t> = </w:t>
      </w:r>
      <w:r w:rsidR="002F0133" w:rsidRPr="000B4E2C">
        <w:rPr>
          <w:color w:val="000000" w:themeColor="text1"/>
          <w:szCs w:val="24"/>
        </w:rPr>
        <w:t>1603 had KDIGO AKI stage 3, of which 55.</w:t>
      </w:r>
      <w:r w:rsidR="00476B9E" w:rsidRPr="000B4E2C">
        <w:rPr>
          <w:color w:val="000000" w:themeColor="text1"/>
          <w:szCs w:val="24"/>
        </w:rPr>
        <w:t>2</w:t>
      </w:r>
      <w:r w:rsidR="00A07828" w:rsidRPr="000B4E2C">
        <w:rPr>
          <w:color w:val="000000" w:themeColor="text1"/>
          <w:szCs w:val="24"/>
        </w:rPr>
        <w:t xml:space="preserve">% received RRT. </w:t>
      </w:r>
      <w:r w:rsidR="002F0133" w:rsidRPr="000B4E2C">
        <w:rPr>
          <w:color w:val="000000" w:themeColor="text1"/>
          <w:szCs w:val="24"/>
        </w:rPr>
        <w:t xml:space="preserve">It is assumed that the French ICU setting is </w:t>
      </w:r>
      <w:r w:rsidRPr="000B4E2C">
        <w:rPr>
          <w:color w:val="000000" w:themeColor="text1"/>
          <w:szCs w:val="24"/>
        </w:rPr>
        <w:t xml:space="preserve">broadly </w:t>
      </w:r>
      <w:r w:rsidR="000B4E2C" w:rsidRPr="000B4E2C">
        <w:rPr>
          <w:color w:val="00B0F0"/>
          <w:szCs w:val="24"/>
        </w:rPr>
        <w:t>transferable</w:t>
      </w:r>
      <w:r w:rsidR="002F0133" w:rsidRPr="000B4E2C">
        <w:rPr>
          <w:color w:val="000000" w:themeColor="text1"/>
          <w:szCs w:val="24"/>
        </w:rPr>
        <w:t xml:space="preserve"> to a UK pre-ICU setting for critically ill patients and is therefore appropr</w:t>
      </w:r>
      <w:r w:rsidR="00A07828" w:rsidRPr="000B4E2C">
        <w:rPr>
          <w:color w:val="000000" w:themeColor="text1"/>
          <w:szCs w:val="24"/>
        </w:rPr>
        <w:t xml:space="preserve">iate for populating the model. </w:t>
      </w:r>
      <w:r w:rsidR="002F0133" w:rsidRPr="000B4E2C">
        <w:rPr>
          <w:color w:val="000000" w:themeColor="text1"/>
          <w:szCs w:val="24"/>
          <w:highlight w:val="magenta"/>
        </w:rPr>
        <w:t>Data</w:t>
      </w:r>
      <w:r w:rsidR="002F0133" w:rsidRPr="000B4E2C">
        <w:rPr>
          <w:color w:val="000000" w:themeColor="text1"/>
          <w:szCs w:val="24"/>
        </w:rPr>
        <w:t xml:space="preserve"> reported from Hall</w:t>
      </w:r>
      <w:r w:rsidR="002F0133" w:rsidRPr="000B4E2C">
        <w:rPr>
          <w:i/>
          <w:color w:val="00B0F0"/>
          <w:szCs w:val="24"/>
        </w:rPr>
        <w:t xml:space="preserve"> et al</w:t>
      </w:r>
      <w:r w:rsidR="002F0133" w:rsidRPr="000B4E2C">
        <w:rPr>
          <w:color w:val="000000" w:themeColor="text1"/>
          <w:szCs w:val="24"/>
        </w:rPr>
        <w:t xml:space="preserve"> are not used because they relate only to a single UK ICU setting with a</w:t>
      </w:r>
      <w:r w:rsidR="00A07828" w:rsidRPr="000B4E2C">
        <w:rPr>
          <w:color w:val="000000" w:themeColor="text1"/>
          <w:szCs w:val="24"/>
        </w:rPr>
        <w:t xml:space="preserve"> small sample of AKI 3 (N</w:t>
      </w:r>
      <w:r w:rsidR="000B4E2C" w:rsidRPr="000B4E2C">
        <w:rPr>
          <w:color w:val="00B0F0"/>
          <w:szCs w:val="24"/>
        </w:rPr>
        <w:t> = </w:t>
      </w:r>
      <w:r w:rsidR="00A07828" w:rsidRPr="000B4E2C">
        <w:rPr>
          <w:color w:val="000000" w:themeColor="text1"/>
          <w:szCs w:val="24"/>
        </w:rPr>
        <w:t xml:space="preserve">18). </w:t>
      </w:r>
      <w:r w:rsidR="002F0133" w:rsidRPr="000B4E2C">
        <w:rPr>
          <w:color w:val="000000" w:themeColor="text1"/>
          <w:szCs w:val="24"/>
        </w:rPr>
        <w:t>The EAG</w:t>
      </w:r>
      <w:r w:rsidR="0072128A" w:rsidRPr="000B4E2C">
        <w:rPr>
          <w:color w:val="00B0F0"/>
          <w:szCs w:val="24"/>
        </w:rPr>
        <w:t>$$SingleQuoteE$$</w:t>
      </w:r>
      <w:r w:rsidR="002F0133" w:rsidRPr="000B4E2C">
        <w:rPr>
          <w:color w:val="000000" w:themeColor="text1"/>
          <w:szCs w:val="24"/>
        </w:rPr>
        <w:t xml:space="preserve">s clinical experts validated these </w:t>
      </w:r>
      <w:r w:rsidR="002F0133" w:rsidRPr="000B4E2C">
        <w:rPr>
          <w:color w:val="000000" w:themeColor="text1"/>
          <w:szCs w:val="24"/>
          <w:highlight w:val="magenta"/>
        </w:rPr>
        <w:t>data</w:t>
      </w:r>
      <w:r w:rsidR="002F0133" w:rsidRPr="000B4E2C">
        <w:rPr>
          <w:color w:val="000000" w:themeColor="text1"/>
          <w:szCs w:val="24"/>
        </w:rPr>
        <w:t xml:space="preserve"> as relevant to the UK setting</w:t>
      </w:r>
      <w:r w:rsidRPr="000B4E2C">
        <w:rPr>
          <w:color w:val="000000" w:themeColor="text1"/>
          <w:szCs w:val="24"/>
        </w:rPr>
        <w:t xml:space="preserve"> and noted that the probability was lower than that applied in Hall</w:t>
      </w:r>
      <w:r w:rsidRPr="000B4E2C">
        <w:rPr>
          <w:i/>
          <w:color w:val="00B0F0"/>
          <w:szCs w:val="24"/>
        </w:rPr>
        <w:t xml:space="preserve"> et al</w:t>
      </w:r>
      <w:r w:rsidRPr="000B4E2C">
        <w:rPr>
          <w:color w:val="000000" w:themeColor="text1"/>
          <w:szCs w:val="24"/>
        </w:rPr>
        <w:t>, which was consistent with clinical experience outside the ICE setting</w:t>
      </w:r>
      <w:r w:rsidRPr="000B4E2C">
        <w:rPr>
          <w:color w:val="000000" w:themeColor="text1"/>
          <w:szCs w:val="24"/>
          <w:highlight w:val="magenta"/>
        </w:rPr>
        <w:t>.</w:t>
      </w:r>
      <w:r w:rsidR="000B4E2C" w:rsidRPr="000B4E2C">
        <w:rPr>
          <w:color w:val="000000" w:themeColor="text1"/>
          <w:szCs w:val="24"/>
          <w:highlight w:val="magenta"/>
        </w:rPr>
        <w:t xml:space="preserve"> </w:t>
      </w:r>
      <w:r w:rsidR="002F0133" w:rsidRPr="000B4E2C">
        <w:rPr>
          <w:color w:val="000000" w:themeColor="text1"/>
          <w:szCs w:val="24"/>
          <w:highlight w:val="magenta"/>
        </w:rPr>
        <w:t>Further</w:t>
      </w:r>
      <w:r w:rsidR="002F0133" w:rsidRPr="000B4E2C">
        <w:rPr>
          <w:color w:val="000000" w:themeColor="text1"/>
          <w:szCs w:val="24"/>
        </w:rPr>
        <w:t xml:space="preserve">, more detailed </w:t>
      </w:r>
      <w:r w:rsidR="002F0133" w:rsidRPr="000B4E2C">
        <w:rPr>
          <w:color w:val="000000" w:themeColor="text1"/>
          <w:szCs w:val="24"/>
          <w:highlight w:val="magenta"/>
        </w:rPr>
        <w:t>data</w:t>
      </w:r>
      <w:r w:rsidR="002F0133" w:rsidRPr="000B4E2C">
        <w:rPr>
          <w:color w:val="000000" w:themeColor="text1"/>
          <w:szCs w:val="24"/>
        </w:rPr>
        <w:t xml:space="preserve"> on need for RRT in England is currently being collected by the UK renal registry but is not yet </w:t>
      </w:r>
      <w:r w:rsidRPr="000B4E2C">
        <w:rPr>
          <w:color w:val="000000" w:themeColor="text1"/>
          <w:szCs w:val="24"/>
        </w:rPr>
        <w:t>publicly available</w:t>
      </w:r>
      <w:r w:rsidR="00A07828" w:rsidRPr="000B4E2C">
        <w:rPr>
          <w:color w:val="000000" w:themeColor="text1"/>
          <w:szCs w:val="24"/>
        </w:rPr>
        <w:t>.</w:t>
      </w:r>
    </w:p>
    <w:p w14:paraId="0D23EA5A" w14:textId="77777777" w:rsidR="000B4E2C" w:rsidRPr="000B4E2C" w:rsidRDefault="002F0133" w:rsidP="008A7464">
      <w:pPr>
        <w:rPr>
          <w:rFonts w:cstheme="majorBidi"/>
        </w:rPr>
      </w:pPr>
      <w:r w:rsidRPr="000B4E2C">
        <w:t>The</w:t>
      </w:r>
      <w:r w:rsidR="00A908B8" w:rsidRPr="000B4E2C">
        <w:t>re are</w:t>
      </w:r>
      <w:r w:rsidRPr="000B4E2C">
        <w:t xml:space="preserve"> potentially strong associations between AKI status or severity of AKI, and the probability of needing ICU care, and of dying within 90-days following hospital admission.</w:t>
      </w:r>
      <w:r w:rsidR="00A07828" w:rsidRPr="000B4E2C">
        <w:t xml:space="preserve"> </w:t>
      </w:r>
      <w:r w:rsidRPr="000B4E2C">
        <w:t xml:space="preserve">However, these </w:t>
      </w:r>
      <w:r w:rsidRPr="000B4E2C">
        <w:rPr>
          <w:highlight w:val="magenta"/>
        </w:rPr>
        <w:t>data</w:t>
      </w:r>
      <w:r w:rsidRPr="000B4E2C">
        <w:t xml:space="preserve"> should not be interpreted as definitive causative effects</w:t>
      </w:r>
      <w:r w:rsidR="00FF69B2" w:rsidRPr="000B4E2C">
        <w:t xml:space="preserve"> and sensitivity analysis explores the application of different assumptions around these highly uncertain associations.</w:t>
      </w:r>
    </w:p>
    <w:p w14:paraId="43D37AD3" w14:textId="261F3476" w:rsidR="000B4E2C" w:rsidRPr="000B4E2C" w:rsidRDefault="002F0133" w:rsidP="008A7464">
      <w:pPr>
        <w:pStyle w:val="CommentText"/>
        <w:spacing w:line="360" w:lineRule="auto"/>
        <w:rPr>
          <w:sz w:val="24"/>
          <w:szCs w:val="24"/>
        </w:rPr>
      </w:pPr>
      <w:r w:rsidRPr="000B4E2C">
        <w:rPr>
          <w:sz w:val="24"/>
          <w:szCs w:val="24"/>
          <w:highlight w:val="magenta"/>
        </w:rPr>
        <w:t>Data</w:t>
      </w:r>
      <w:r w:rsidRPr="000B4E2C">
        <w:rPr>
          <w:sz w:val="24"/>
          <w:szCs w:val="24"/>
        </w:rPr>
        <w:t xml:space="preserve"> for length of stay in hospital are obtained from the Grampian </w:t>
      </w:r>
      <w:r w:rsidR="000B4E2C" w:rsidRPr="000B4E2C">
        <w:rPr>
          <w:color w:val="00B0F0"/>
          <w:sz w:val="24"/>
          <w:szCs w:val="24"/>
          <w:highlight w:val="magenta"/>
        </w:rPr>
        <w:t>data</w:t>
      </w:r>
      <w:r w:rsidR="000B4E2C" w:rsidRPr="000B4E2C">
        <w:rPr>
          <w:color w:val="00B0F0"/>
          <w:sz w:val="24"/>
          <w:szCs w:val="24"/>
        </w:rPr>
        <w:t xml:space="preserve"> set</w:t>
      </w:r>
      <w:r w:rsidR="003E51EC" w:rsidRPr="000B4E2C">
        <w:rPr>
          <w:sz w:val="24"/>
          <w:szCs w:val="24"/>
        </w:rPr>
        <w:t xml:space="preserve"> but ICU LOS was unavailable by peak AKI status</w:t>
      </w:r>
      <w:r w:rsidR="00A07828" w:rsidRPr="000B4E2C">
        <w:rPr>
          <w:sz w:val="24"/>
          <w:szCs w:val="24"/>
        </w:rPr>
        <w:t xml:space="preserve">. </w:t>
      </w:r>
      <w:r w:rsidR="003E51EC" w:rsidRPr="000B4E2C">
        <w:rPr>
          <w:sz w:val="24"/>
          <w:szCs w:val="24"/>
        </w:rPr>
        <w:t>ICU LOS</w:t>
      </w:r>
      <w:r w:rsidRPr="000B4E2C">
        <w:rPr>
          <w:sz w:val="24"/>
          <w:szCs w:val="24"/>
        </w:rPr>
        <w:t xml:space="preserve"> </w:t>
      </w:r>
      <w:r w:rsidRPr="000B4E2C">
        <w:rPr>
          <w:sz w:val="24"/>
          <w:szCs w:val="24"/>
          <w:highlight w:val="magenta"/>
        </w:rPr>
        <w:t>data</w:t>
      </w:r>
      <w:r w:rsidRPr="000B4E2C">
        <w:rPr>
          <w:sz w:val="24"/>
          <w:szCs w:val="24"/>
        </w:rPr>
        <w:t xml:space="preserve"> were </w:t>
      </w:r>
      <w:r w:rsidR="003E51EC" w:rsidRPr="000B4E2C">
        <w:rPr>
          <w:sz w:val="24"/>
          <w:szCs w:val="24"/>
        </w:rPr>
        <w:t xml:space="preserve">therefore </w:t>
      </w:r>
      <w:r w:rsidRPr="000B4E2C">
        <w:rPr>
          <w:sz w:val="24"/>
          <w:szCs w:val="24"/>
        </w:rPr>
        <w:t xml:space="preserve">obtained from </w:t>
      </w:r>
      <w:r w:rsidR="003E51EC" w:rsidRPr="000B4E2C">
        <w:rPr>
          <w:sz w:val="24"/>
          <w:szCs w:val="24"/>
        </w:rPr>
        <w:t xml:space="preserve">an alternative source, </w:t>
      </w:r>
      <w:r w:rsidRPr="000B4E2C">
        <w:rPr>
          <w:sz w:val="24"/>
          <w:szCs w:val="24"/>
        </w:rPr>
        <w:t>Bastin</w:t>
      </w:r>
      <w:r w:rsidRPr="000B4E2C">
        <w:rPr>
          <w:i/>
          <w:color w:val="00B0F0"/>
          <w:sz w:val="24"/>
          <w:szCs w:val="24"/>
        </w:rPr>
        <w:t xml:space="preserve"> et al</w:t>
      </w:r>
      <w:r w:rsidRPr="000B4E2C">
        <w:rPr>
          <w:sz w:val="24"/>
          <w:szCs w:val="24"/>
        </w:rPr>
        <w:t>. 2013</w:t>
      </w:r>
      <w:r w:rsidR="00A07828" w:rsidRPr="000B4E2C">
        <w:rPr>
          <w:sz w:val="24"/>
          <w:szCs w:val="24"/>
        </w:rPr>
        <w:t>,</w:t>
      </w:r>
      <w:r w:rsidRPr="000B4E2C">
        <w:rPr>
          <w:sz w:val="24"/>
          <w:szCs w:val="24"/>
        </w:rPr>
        <w:t xml:space="preserve"> a large cohort study of N</w:t>
      </w:r>
      <w:r w:rsidR="000B4E2C" w:rsidRPr="000B4E2C">
        <w:rPr>
          <w:color w:val="00B0F0"/>
          <w:sz w:val="24"/>
          <w:szCs w:val="24"/>
        </w:rPr>
        <w:t> = </w:t>
      </w:r>
      <w:r w:rsidRPr="000B4E2C">
        <w:rPr>
          <w:sz w:val="24"/>
          <w:szCs w:val="24"/>
        </w:rPr>
        <w:t>1881 adults who had cardiac surgery (and therefore deemed critically ill, and sufficiently matching the scope for this assessment)</w:t>
      </w:r>
      <w:r w:rsidR="00A07828" w:rsidRPr="000B4E2C">
        <w:rPr>
          <w:sz w:val="24"/>
          <w:szCs w:val="24"/>
        </w:rPr>
        <w:t>.</w:t>
      </w:r>
      <w:r w:rsidR="00280A97" w:rsidRPr="000B4E2C">
        <w:rPr>
          <w:noProof/>
          <w:sz w:val="24"/>
          <w:szCs w:val="24"/>
          <w:vertAlign w:val="superscript"/>
        </w:rPr>
        <w:t>111</w:t>
      </w:r>
      <w:r w:rsidR="00A07828" w:rsidRPr="000B4E2C">
        <w:rPr>
          <w:sz w:val="24"/>
          <w:szCs w:val="24"/>
        </w:rPr>
        <w:t xml:space="preserve"> </w:t>
      </w:r>
      <w:r w:rsidR="003E51EC" w:rsidRPr="000B4E2C">
        <w:rPr>
          <w:sz w:val="24"/>
          <w:szCs w:val="24"/>
        </w:rPr>
        <w:t>Bastin</w:t>
      </w:r>
      <w:r w:rsidR="003E51EC" w:rsidRPr="000B4E2C">
        <w:rPr>
          <w:i/>
          <w:color w:val="00B0F0"/>
          <w:sz w:val="24"/>
          <w:szCs w:val="24"/>
        </w:rPr>
        <w:t xml:space="preserve"> et al</w:t>
      </w:r>
      <w:r w:rsidRPr="000B4E2C">
        <w:rPr>
          <w:sz w:val="24"/>
          <w:szCs w:val="24"/>
        </w:rPr>
        <w:t xml:space="preserve"> reported median los in ICU by AKI stage (according to AKIN and KDIGO criteria).</w:t>
      </w:r>
      <w:r w:rsidR="000B4E2C" w:rsidRPr="000B4E2C">
        <w:rPr>
          <w:sz w:val="24"/>
          <w:szCs w:val="24"/>
        </w:rPr>
        <w:t xml:space="preserve"> </w:t>
      </w:r>
      <w:r w:rsidRPr="000B4E2C">
        <w:rPr>
          <w:sz w:val="24"/>
          <w:szCs w:val="24"/>
        </w:rPr>
        <w:t xml:space="preserve">Given the likely skewed distribution of LOS </w:t>
      </w:r>
      <w:r w:rsidRPr="000B4E2C">
        <w:rPr>
          <w:sz w:val="24"/>
          <w:szCs w:val="24"/>
          <w:highlight w:val="magenta"/>
        </w:rPr>
        <w:t>data</w:t>
      </w:r>
      <w:r w:rsidRPr="000B4E2C">
        <w:rPr>
          <w:sz w:val="24"/>
          <w:szCs w:val="24"/>
        </w:rPr>
        <w:t>, a log-normal distribution, fitted to mean and median days duration is used to generate the simulated draws fo</w:t>
      </w:r>
      <w:r w:rsidR="00A07828" w:rsidRPr="000B4E2C">
        <w:rPr>
          <w:sz w:val="24"/>
          <w:szCs w:val="24"/>
        </w:rPr>
        <w:t xml:space="preserve">r the probabilistic analysis. </w:t>
      </w:r>
      <w:r w:rsidRPr="000B4E2C">
        <w:rPr>
          <w:sz w:val="24"/>
          <w:szCs w:val="24"/>
        </w:rPr>
        <w:t>As mean LOS in ICU was not available to parameterise the LN distribution, it was assumed that the mean was twice the median, reflecting the ratio of mean</w:t>
      </w:r>
      <w:r w:rsidR="000B4E2C" w:rsidRPr="000B4E2C">
        <w:rPr>
          <w:color w:val="00B0F0"/>
          <w:sz w:val="24"/>
          <w:szCs w:val="24"/>
        </w:rPr>
        <w:t xml:space="preserve">: </w:t>
      </w:r>
      <w:r w:rsidRPr="000B4E2C">
        <w:rPr>
          <w:sz w:val="24"/>
          <w:szCs w:val="24"/>
        </w:rPr>
        <w:t xml:space="preserve">median days stay reported in the Leeds Teaching Hospitals NHS Trust, AKI registry </w:t>
      </w:r>
      <w:r w:rsidRPr="000B4E2C">
        <w:rPr>
          <w:sz w:val="24"/>
          <w:szCs w:val="24"/>
          <w:highlight w:val="magenta"/>
        </w:rPr>
        <w:t>data</w:t>
      </w:r>
      <w:r w:rsidRPr="000B4E2C">
        <w:rPr>
          <w:sz w:val="24"/>
          <w:szCs w:val="24"/>
        </w:rPr>
        <w:t>, for ICU patients, as reported in Hall</w:t>
      </w:r>
      <w:r w:rsidRPr="000B4E2C">
        <w:rPr>
          <w:i/>
          <w:color w:val="00B0F0"/>
          <w:sz w:val="24"/>
          <w:szCs w:val="24"/>
        </w:rPr>
        <w:t xml:space="preserve"> et al</w:t>
      </w:r>
      <w:r w:rsidR="00A07828" w:rsidRPr="000B4E2C">
        <w:rPr>
          <w:sz w:val="24"/>
          <w:szCs w:val="24"/>
        </w:rPr>
        <w:t>.</w:t>
      </w:r>
      <w:r w:rsidR="005B5026" w:rsidRPr="000B4E2C">
        <w:rPr>
          <w:noProof/>
          <w:sz w:val="24"/>
          <w:szCs w:val="24"/>
          <w:vertAlign w:val="superscript"/>
        </w:rPr>
        <w:t>99</w:t>
      </w:r>
    </w:p>
    <w:p w14:paraId="7E4ABD63" w14:textId="77777777" w:rsidR="000B4E2C" w:rsidRPr="000B4E2C" w:rsidRDefault="002F0133" w:rsidP="007D5F15">
      <w:pPr>
        <w:rPr>
          <w:szCs w:val="24"/>
        </w:rPr>
      </w:pPr>
      <w:r w:rsidRPr="000B4E2C">
        <w:rPr>
          <w:szCs w:val="24"/>
        </w:rPr>
        <w:t xml:space="preserve">As the variable </w:t>
      </w:r>
      <w:r w:rsidR="0072128A" w:rsidRPr="000B4E2C">
        <w:rPr>
          <w:color w:val="00B0F0"/>
          <w:szCs w:val="24"/>
          <w:highlight w:val="green"/>
        </w:rPr>
        <w:t>‘</w:t>
      </w:r>
      <w:r w:rsidR="0072128A" w:rsidRPr="000B4E2C">
        <w:rPr>
          <w:szCs w:val="24"/>
          <w:highlight w:val="green"/>
        </w:rPr>
        <w:t>hospital length of stay</w:t>
      </w:r>
      <w:r w:rsidR="0072128A" w:rsidRPr="000B4E2C">
        <w:rPr>
          <w:color w:val="00B0F0"/>
          <w:szCs w:val="24"/>
          <w:highlight w:val="green"/>
        </w:rPr>
        <w:t>’</w:t>
      </w:r>
      <w:r w:rsidRPr="000B4E2C">
        <w:rPr>
          <w:szCs w:val="24"/>
        </w:rPr>
        <w:t xml:space="preserve"> also includes the time spent in ICU, the time on hospital ward is obtained by subtracting ICU LOS from total hospital LOS for the application of cos</w:t>
      </w:r>
      <w:r w:rsidR="00A07828" w:rsidRPr="000B4E2C">
        <w:rPr>
          <w:szCs w:val="24"/>
        </w:rPr>
        <w:t xml:space="preserve">ts and utilities in the model. </w:t>
      </w:r>
      <w:r w:rsidRPr="000B4E2C">
        <w:rPr>
          <w:szCs w:val="24"/>
        </w:rPr>
        <w:t>As the probabilistic analysis samples independently from these distributions, an additional correction is added to the model to ensure LOS in ICU cannot exceed LOS overall in hospital</w:t>
      </w:r>
      <w:r w:rsidR="00FE434D" w:rsidRPr="000B4E2C">
        <w:rPr>
          <w:szCs w:val="24"/>
        </w:rPr>
        <w:t xml:space="preserve"> in any of the sampled draws</w:t>
      </w:r>
      <w:r w:rsidRPr="000B4E2C">
        <w:rPr>
          <w:szCs w:val="24"/>
        </w:rPr>
        <w:t>. The average LOS in hospital</w:t>
      </w:r>
      <w:r w:rsidR="000B4E2C" w:rsidRPr="000B4E2C">
        <w:rPr>
          <w:color w:val="00B0F0"/>
          <w:szCs w:val="24"/>
        </w:rPr>
        <w:t>/</w:t>
      </w:r>
      <w:r w:rsidRPr="000B4E2C">
        <w:rPr>
          <w:szCs w:val="24"/>
        </w:rPr>
        <w:t>ICU for those with a peak AKI 3 is applied to both those requiring</w:t>
      </w:r>
      <w:r w:rsidR="000B4E2C" w:rsidRPr="000B4E2C">
        <w:rPr>
          <w:color w:val="00B0F0"/>
          <w:szCs w:val="24"/>
        </w:rPr>
        <w:t>/</w:t>
      </w:r>
      <w:r w:rsidRPr="000B4E2C">
        <w:rPr>
          <w:szCs w:val="24"/>
        </w:rPr>
        <w:t>not</w:t>
      </w:r>
      <w:r w:rsidR="00A07828" w:rsidRPr="000B4E2C">
        <w:rPr>
          <w:szCs w:val="24"/>
        </w:rPr>
        <w:t xml:space="preserve"> requiring RRT. </w:t>
      </w:r>
      <w:r w:rsidRPr="000B4E2C">
        <w:rPr>
          <w:szCs w:val="24"/>
        </w:rPr>
        <w:t xml:space="preserve">The assumption that requirement for RRT would not usually extend the hospital admission for this patient cohort </w:t>
      </w:r>
      <w:r w:rsidR="00A07828" w:rsidRPr="000B4E2C">
        <w:rPr>
          <w:szCs w:val="24"/>
        </w:rPr>
        <w:t>has been validated by the EAG</w:t>
      </w:r>
      <w:r w:rsidR="0072128A" w:rsidRPr="000B4E2C">
        <w:rPr>
          <w:color w:val="00B0F0"/>
          <w:szCs w:val="24"/>
        </w:rPr>
        <w:t>$$SingleQuoteE$$</w:t>
      </w:r>
      <w:r w:rsidR="00A07828" w:rsidRPr="000B4E2C">
        <w:rPr>
          <w:szCs w:val="24"/>
        </w:rPr>
        <w:t xml:space="preserve">s </w:t>
      </w:r>
      <w:r w:rsidRPr="000B4E2C">
        <w:rPr>
          <w:szCs w:val="24"/>
        </w:rPr>
        <w:t>clinical experts.</w:t>
      </w:r>
    </w:p>
    <w:p w14:paraId="1FA8E1CB" w14:textId="231BD86E" w:rsidR="000B4E2C" w:rsidRPr="000B4E2C" w:rsidRDefault="002F0133" w:rsidP="008A7464">
      <w:pPr>
        <w:pStyle w:val="Heading3"/>
      </w:pPr>
      <w:r w:rsidRPr="000B4E2C">
        <w:t>The relative effects of diagnostic biomarkers on AKI and clinical outcomes: the impact of early adoption of a KDIGO care bundle</w:t>
      </w:r>
    </w:p>
    <w:p w14:paraId="24834341" w14:textId="1B12147E" w:rsidR="002F0133" w:rsidRPr="000B4E2C" w:rsidRDefault="002F0133" w:rsidP="008A7464">
      <w:pPr>
        <w:pStyle w:val="Heading4"/>
      </w:pPr>
      <w:r w:rsidRPr="000B4E2C">
        <w:t>The impact of an early KDIGO care bundle on AKI</w:t>
      </w:r>
    </w:p>
    <w:p w14:paraId="6F36E5D9" w14:textId="77777777" w:rsidR="000B4E2C" w:rsidRPr="000B4E2C" w:rsidRDefault="002F0133" w:rsidP="008A7464">
      <w:r w:rsidRPr="000B4E2C">
        <w:t>National level guidelines</w:t>
      </w:r>
      <w:r w:rsidR="005B5026" w:rsidRPr="000B4E2C">
        <w:rPr>
          <w:noProof/>
          <w:vertAlign w:val="superscript"/>
        </w:rPr>
        <w:t>16</w:t>
      </w:r>
      <w:r w:rsidRPr="000B4E2C">
        <w:t xml:space="preserve"> indicate that a patient defined as being at risk of developing AKI, through a positive biomarker result, should have all appropriate efforts to ensure that AKI does not develop, and if it does, should be minimised in terms of severity (i.e.</w:t>
      </w:r>
      <w:r w:rsidR="00881500" w:rsidRPr="000B4E2C">
        <w:t>,</w:t>
      </w:r>
      <w:r w:rsidRPr="000B4E2C">
        <w:t xml:space="preserve"> providing maximum supp</w:t>
      </w:r>
      <w:r w:rsidR="00A07828" w:rsidRPr="000B4E2C">
        <w:t xml:space="preserve">ort possible for the kidneys). </w:t>
      </w:r>
      <w:r w:rsidRPr="000B4E2C">
        <w:t>The model therefore assumes that all AKI patients will receive a KDIGO care bundle, and the only difference between the testing strategies is the duration for which that bundle is implemented, with earlier implementation assumed to incur additional resource use in terms of fluid management, nephrologist review and pharmacist review of medications as well as the removal of any potentially nephrotoxic agents where necessary</w:t>
      </w:r>
      <w:r w:rsidR="00A07828" w:rsidRPr="000B4E2C">
        <w:t>.</w:t>
      </w:r>
      <w:r w:rsidR="005B5026" w:rsidRPr="000B4E2C">
        <w:rPr>
          <w:noProof/>
          <w:vertAlign w:val="superscript"/>
        </w:rPr>
        <w:t>15</w:t>
      </w:r>
    </w:p>
    <w:p w14:paraId="6F01FA4A" w14:textId="4FC6F203" w:rsidR="000B4E2C" w:rsidRPr="000B4E2C" w:rsidRDefault="002F0133" w:rsidP="008A7464">
      <w:pPr>
        <w:autoSpaceDE w:val="0"/>
        <w:autoSpaceDN w:val="0"/>
        <w:adjustRightInd w:val="0"/>
        <w:jc w:val="both"/>
        <w:rPr>
          <w:color w:val="000000" w:themeColor="text1"/>
          <w:szCs w:val="24"/>
        </w:rPr>
      </w:pPr>
      <w:r w:rsidRPr="000B4E2C">
        <w:rPr>
          <w:color w:val="000000" w:themeColor="text1"/>
          <w:szCs w:val="24"/>
        </w:rPr>
        <w:t xml:space="preserve">There are two potential mechanisms by which early adoption of a KDIGO care bundle </w:t>
      </w:r>
      <w:r w:rsidR="00A07828" w:rsidRPr="000B4E2C">
        <w:rPr>
          <w:color w:val="000000" w:themeColor="text1"/>
          <w:szCs w:val="24"/>
        </w:rPr>
        <w:t xml:space="preserve">might </w:t>
      </w:r>
      <w:r w:rsidR="00A07828" w:rsidRPr="000B4E2C">
        <w:rPr>
          <w:color w:val="000000" w:themeColor="text1"/>
          <w:szCs w:val="24"/>
          <w:highlight w:val="magenta"/>
        </w:rPr>
        <w:t>lead</w:t>
      </w:r>
      <w:r w:rsidR="00A07828" w:rsidRPr="000B4E2C">
        <w:rPr>
          <w:color w:val="000000" w:themeColor="text1"/>
          <w:szCs w:val="24"/>
        </w:rPr>
        <w:t xml:space="preserve"> to patient benefit. </w:t>
      </w:r>
      <w:r w:rsidRPr="000B4E2C">
        <w:rPr>
          <w:color w:val="000000" w:themeColor="text1"/>
          <w:szCs w:val="24"/>
        </w:rPr>
        <w:t>These are a) to avert AKI in people in whom it would otherwise develop, and b) to shift the distribution of AKI severity (between KDIGO AKI stages 1</w:t>
      </w:r>
      <w:r w:rsidR="000B4E2C" w:rsidRPr="000B4E2C">
        <w:rPr>
          <w:color w:val="00B0F0"/>
          <w:szCs w:val="24"/>
        </w:rPr>
        <w:t>–</w:t>
      </w:r>
      <w:r w:rsidR="000B4E2C" w:rsidRPr="000B4E2C">
        <w:rPr>
          <w:color w:val="00B0F0"/>
          <w:szCs w:val="24"/>
        </w:rPr>
        <w:t>3</w:t>
      </w:r>
      <w:r w:rsidRPr="000B4E2C">
        <w:rPr>
          <w:color w:val="000000" w:themeColor="text1"/>
          <w:szCs w:val="24"/>
        </w:rPr>
        <w:t>) given that it occurs.</w:t>
      </w:r>
    </w:p>
    <w:p w14:paraId="2845FABE" w14:textId="77777777" w:rsidR="000B4E2C" w:rsidRPr="000B4E2C" w:rsidRDefault="002F0133" w:rsidP="008A7464">
      <w:pPr>
        <w:pStyle w:val="CommentText"/>
        <w:spacing w:line="360" w:lineRule="auto"/>
        <w:rPr>
          <w:sz w:val="24"/>
          <w:szCs w:val="24"/>
        </w:rPr>
      </w:pPr>
      <w:r w:rsidRPr="000B4E2C">
        <w:rPr>
          <w:sz w:val="24"/>
          <w:szCs w:val="24"/>
        </w:rPr>
        <w:t>Hall</w:t>
      </w:r>
      <w:r w:rsidRPr="000B4E2C">
        <w:rPr>
          <w:i/>
          <w:color w:val="00B0F0"/>
          <w:sz w:val="24"/>
          <w:szCs w:val="24"/>
        </w:rPr>
        <w:t xml:space="preserve"> et al</w:t>
      </w:r>
      <w:r w:rsidRPr="000B4E2C">
        <w:rPr>
          <w:sz w:val="24"/>
          <w:szCs w:val="24"/>
        </w:rPr>
        <w:t>. conducted a review of the literature to identify studies testing the impact of early preventative intervention for AKI</w:t>
      </w:r>
      <w:r w:rsidR="00A07828" w:rsidRPr="000B4E2C">
        <w:rPr>
          <w:sz w:val="24"/>
          <w:szCs w:val="24"/>
        </w:rPr>
        <w:t>.</w:t>
      </w:r>
      <w:r w:rsidR="005B5026" w:rsidRPr="000B4E2C">
        <w:rPr>
          <w:noProof/>
          <w:sz w:val="24"/>
          <w:szCs w:val="24"/>
          <w:vertAlign w:val="superscript"/>
        </w:rPr>
        <w:t>99</w:t>
      </w:r>
      <w:r w:rsidR="00A07828" w:rsidRPr="000B4E2C">
        <w:rPr>
          <w:sz w:val="24"/>
          <w:szCs w:val="24"/>
        </w:rPr>
        <w:t xml:space="preserve"> </w:t>
      </w:r>
      <w:r w:rsidRPr="000B4E2C">
        <w:rPr>
          <w:sz w:val="24"/>
          <w:szCs w:val="24"/>
        </w:rPr>
        <w:t>Their searches identified 8 studies relevant to early intervention in the UK setting (excluding early RRT</w:t>
      </w:r>
      <w:r w:rsidR="00A07828" w:rsidRPr="000B4E2C">
        <w:rPr>
          <w:sz w:val="24"/>
          <w:szCs w:val="24"/>
        </w:rPr>
        <w:t xml:space="preserve"> which was deemed contentious).</w:t>
      </w:r>
      <w:r w:rsidRPr="000B4E2C">
        <w:rPr>
          <w:sz w:val="24"/>
          <w:szCs w:val="24"/>
        </w:rPr>
        <w:t xml:space="preserve"> Four </w:t>
      </w:r>
      <w:r w:rsidRPr="000B4E2C">
        <w:rPr>
          <w:sz w:val="24"/>
          <w:szCs w:val="24"/>
        </w:rPr>
        <w:lastRenderedPageBreak/>
        <w:t>studies explored the impact of early nephrologist involvement which was deemed to be most reflective proxy for the non-specific care bundles that a patient may access as part of the KDIGO care bundle recommendations</w:t>
      </w:r>
      <w:r w:rsidR="00A07828" w:rsidRPr="000B4E2C">
        <w:rPr>
          <w:sz w:val="24"/>
          <w:szCs w:val="24"/>
        </w:rPr>
        <w:t>.</w:t>
      </w:r>
      <w:r w:rsidR="005B5026" w:rsidRPr="000B4E2C">
        <w:rPr>
          <w:noProof/>
          <w:sz w:val="24"/>
          <w:szCs w:val="24"/>
          <w:vertAlign w:val="superscript"/>
        </w:rPr>
        <w:t>15</w:t>
      </w:r>
      <w:r w:rsidR="00A07828" w:rsidRPr="000B4E2C">
        <w:rPr>
          <w:sz w:val="24"/>
          <w:szCs w:val="24"/>
        </w:rPr>
        <w:t xml:space="preserve"> </w:t>
      </w:r>
      <w:r w:rsidRPr="000B4E2C">
        <w:rPr>
          <w:sz w:val="24"/>
          <w:szCs w:val="24"/>
        </w:rPr>
        <w:t>The largest of these 4 studies, with a sample of 1,096 was used in the Hall</w:t>
      </w:r>
      <w:r w:rsidRPr="000B4E2C">
        <w:rPr>
          <w:i/>
          <w:color w:val="00B0F0"/>
          <w:sz w:val="24"/>
          <w:szCs w:val="24"/>
        </w:rPr>
        <w:t xml:space="preserve"> et al</w:t>
      </w:r>
      <w:r w:rsidRPr="000B4E2C">
        <w:rPr>
          <w:sz w:val="24"/>
          <w:szCs w:val="24"/>
        </w:rPr>
        <w:t xml:space="preserve">. economic model, reporting that early nephrologist consultation reduced AKI </w:t>
      </w:r>
      <w:r w:rsidRPr="000B4E2C">
        <w:rPr>
          <w:sz w:val="24"/>
          <w:szCs w:val="24"/>
          <w:highlight w:val="magenta"/>
        </w:rPr>
        <w:t>incidence</w:t>
      </w:r>
      <w:r w:rsidRPr="000B4E2C">
        <w:rPr>
          <w:sz w:val="24"/>
          <w:szCs w:val="24"/>
        </w:rPr>
        <w:t>, adjusted odds ratio (early involvement vs. not): 0.71 (95% CI 0.53 to 0.95).</w:t>
      </w:r>
    </w:p>
    <w:p w14:paraId="656AD74C" w14:textId="77777777" w:rsidR="000B4E2C" w:rsidRPr="000B4E2C" w:rsidRDefault="002F0133" w:rsidP="008A7464">
      <w:pPr>
        <w:pStyle w:val="CommentText"/>
        <w:spacing w:line="360" w:lineRule="auto"/>
        <w:rPr>
          <w:sz w:val="24"/>
          <w:szCs w:val="24"/>
        </w:rPr>
      </w:pPr>
      <w:r w:rsidRPr="000B4E2C">
        <w:rPr>
          <w:sz w:val="24"/>
          <w:szCs w:val="24"/>
        </w:rPr>
        <w:t>The EAG have conducted a further supplementary targeted search of trials for the post-Hall period to identify any further potentially relevant studies exploring the impact of early preventative intervention or application of AKI care bundles on the probability of developing AKI and</w:t>
      </w:r>
      <w:r w:rsidR="000B4E2C" w:rsidRPr="000B4E2C">
        <w:rPr>
          <w:color w:val="00B0F0"/>
          <w:sz w:val="24"/>
          <w:szCs w:val="24"/>
        </w:rPr>
        <w:t>/</w:t>
      </w:r>
      <w:r w:rsidRPr="000B4E2C">
        <w:rPr>
          <w:sz w:val="24"/>
          <w:szCs w:val="24"/>
        </w:rPr>
        <w:t>or the severity of peak AKI</w:t>
      </w:r>
      <w:r w:rsidR="00A07828" w:rsidRPr="000B4E2C">
        <w:rPr>
          <w:sz w:val="24"/>
          <w:szCs w:val="24"/>
        </w:rPr>
        <w:t xml:space="preserve">. </w:t>
      </w:r>
      <w:r w:rsidRPr="000B4E2C">
        <w:rPr>
          <w:sz w:val="24"/>
          <w:szCs w:val="24"/>
        </w:rPr>
        <w:t>In brief, 39 additional titles and abstracts were identified from the targeted searches, of which 17 (44%) were full text assessed. Based on the NICE scope</w:t>
      </w:r>
      <w:r w:rsidR="00A07828" w:rsidRPr="000B4E2C">
        <w:rPr>
          <w:sz w:val="24"/>
          <w:szCs w:val="24"/>
        </w:rPr>
        <w:t>,</w:t>
      </w:r>
      <w:r w:rsidR="005B5026" w:rsidRPr="000B4E2C">
        <w:rPr>
          <w:noProof/>
          <w:sz w:val="24"/>
          <w:szCs w:val="24"/>
          <w:vertAlign w:val="superscript"/>
        </w:rPr>
        <w:t>102</w:t>
      </w:r>
      <w:r w:rsidR="00A07828" w:rsidRPr="000B4E2C">
        <w:rPr>
          <w:sz w:val="24"/>
          <w:szCs w:val="24"/>
        </w:rPr>
        <w:t xml:space="preserve"> </w:t>
      </w:r>
      <w:r w:rsidRPr="000B4E2C">
        <w:rPr>
          <w:sz w:val="24"/>
          <w:szCs w:val="24"/>
        </w:rPr>
        <w:t>KDIGO care guidelines</w:t>
      </w:r>
      <w:r w:rsidR="00A07828" w:rsidRPr="000B4E2C">
        <w:rPr>
          <w:sz w:val="24"/>
          <w:szCs w:val="24"/>
        </w:rPr>
        <w:t>,</w:t>
      </w:r>
      <w:r w:rsidR="005B5026" w:rsidRPr="000B4E2C">
        <w:rPr>
          <w:noProof/>
          <w:sz w:val="24"/>
          <w:szCs w:val="24"/>
          <w:vertAlign w:val="superscript"/>
        </w:rPr>
        <w:t>15</w:t>
      </w:r>
      <w:r w:rsidRPr="000B4E2C">
        <w:rPr>
          <w:sz w:val="24"/>
          <w:szCs w:val="24"/>
        </w:rPr>
        <w:t xml:space="preserve"> and clinical expert opinion, it was decided that studies testing the impact of a KDIGO care provided the most appropriate source of </w:t>
      </w:r>
      <w:r w:rsidRPr="000B4E2C">
        <w:rPr>
          <w:sz w:val="24"/>
          <w:szCs w:val="24"/>
          <w:highlight w:val="magenta"/>
        </w:rPr>
        <w:t>data</w:t>
      </w:r>
      <w:r w:rsidRPr="000B4E2C">
        <w:rPr>
          <w:sz w:val="24"/>
          <w:szCs w:val="24"/>
        </w:rPr>
        <w:t xml:space="preserve"> t</w:t>
      </w:r>
      <w:r w:rsidR="00A07828" w:rsidRPr="000B4E2C">
        <w:rPr>
          <w:sz w:val="24"/>
          <w:szCs w:val="24"/>
        </w:rPr>
        <w:t xml:space="preserve">o populate the economic model. </w:t>
      </w:r>
      <w:r w:rsidRPr="000B4E2C">
        <w:rPr>
          <w:sz w:val="24"/>
          <w:szCs w:val="24"/>
        </w:rPr>
        <w:t xml:space="preserve">Three trials (18%) assessed the effect of NephroCheck guided application of a KDIGO bundle </w:t>
      </w:r>
      <w:r w:rsidRPr="000B4E2C">
        <w:rPr>
          <w:sz w:val="24"/>
          <w:szCs w:val="24"/>
          <w:highlight w:val="magenta"/>
        </w:rPr>
        <w:t>compared to</w:t>
      </w:r>
      <w:r w:rsidRPr="000B4E2C">
        <w:rPr>
          <w:sz w:val="24"/>
          <w:szCs w:val="24"/>
        </w:rPr>
        <w:t xml:space="preserve"> standard care treatment where information about the NephroCheck test result was not available to the</w:t>
      </w:r>
      <w:r w:rsidR="00A07828" w:rsidRPr="000B4E2C">
        <w:rPr>
          <w:sz w:val="24"/>
          <w:szCs w:val="24"/>
        </w:rPr>
        <w:t xml:space="preserve"> patient</w:t>
      </w:r>
      <w:r w:rsidR="0072128A" w:rsidRPr="000B4E2C">
        <w:rPr>
          <w:color w:val="00B0F0"/>
          <w:sz w:val="24"/>
          <w:szCs w:val="24"/>
        </w:rPr>
        <w:t>$$SingleQuoteE$$</w:t>
      </w:r>
      <w:r w:rsidR="00A07828" w:rsidRPr="000B4E2C">
        <w:rPr>
          <w:sz w:val="24"/>
          <w:szCs w:val="24"/>
        </w:rPr>
        <w:t xml:space="preserve">s hospital care team. </w:t>
      </w:r>
      <w:r w:rsidRPr="000B4E2C">
        <w:rPr>
          <w:sz w:val="24"/>
          <w:szCs w:val="24"/>
        </w:rPr>
        <w:t>No studies assessed the impact of NGAL guided treatment.</w:t>
      </w:r>
    </w:p>
    <w:p w14:paraId="7A3E3B6A" w14:textId="1455511F" w:rsidR="000B4E2C" w:rsidRPr="000B4E2C" w:rsidRDefault="002F0133" w:rsidP="008A7464">
      <w:pPr>
        <w:pStyle w:val="CommentText"/>
        <w:spacing w:line="360" w:lineRule="auto"/>
        <w:rPr>
          <w:sz w:val="24"/>
          <w:szCs w:val="24"/>
        </w:rPr>
      </w:pPr>
      <w:r w:rsidRPr="000B4E2C">
        <w:rPr>
          <w:sz w:val="24"/>
          <w:szCs w:val="24"/>
        </w:rPr>
        <w:t>All three studies reported results in terms of the probability of developing AKI</w:t>
      </w:r>
      <w:r w:rsidR="00A07828" w:rsidRPr="000B4E2C">
        <w:rPr>
          <w:sz w:val="24"/>
          <w:szCs w:val="24"/>
        </w:rPr>
        <w:t>.</w:t>
      </w:r>
      <w:r w:rsidR="00280A97" w:rsidRPr="000B4E2C">
        <w:rPr>
          <w:noProof/>
          <w:sz w:val="24"/>
          <w:szCs w:val="24"/>
          <w:vertAlign w:val="superscript"/>
        </w:rPr>
        <w:t>112, 118, 119</w:t>
      </w:r>
      <w:r w:rsidRPr="000B4E2C">
        <w:rPr>
          <w:sz w:val="24"/>
          <w:szCs w:val="24"/>
        </w:rPr>
        <w:t xml:space="preserve"> Howev</w:t>
      </w:r>
      <w:r w:rsidR="00A07828" w:rsidRPr="000B4E2C">
        <w:rPr>
          <w:sz w:val="24"/>
          <w:szCs w:val="24"/>
        </w:rPr>
        <w:t>er, only 1 study (Meersch</w:t>
      </w:r>
      <w:r w:rsidR="00A07828" w:rsidRPr="000B4E2C">
        <w:rPr>
          <w:i/>
          <w:color w:val="00B0F0"/>
          <w:sz w:val="24"/>
          <w:szCs w:val="24"/>
        </w:rPr>
        <w:t xml:space="preserve"> et al</w:t>
      </w:r>
      <w:r w:rsidR="00A07828" w:rsidRPr="000B4E2C">
        <w:rPr>
          <w:sz w:val="24"/>
          <w:szCs w:val="24"/>
        </w:rPr>
        <w:t>)</w:t>
      </w:r>
      <w:r w:rsidR="00280A97" w:rsidRPr="000B4E2C">
        <w:rPr>
          <w:noProof/>
          <w:sz w:val="24"/>
          <w:szCs w:val="24"/>
          <w:vertAlign w:val="superscript"/>
        </w:rPr>
        <w:t>112</w:t>
      </w:r>
      <w:r w:rsidR="00A07828" w:rsidRPr="000B4E2C">
        <w:rPr>
          <w:sz w:val="24"/>
          <w:szCs w:val="24"/>
        </w:rPr>
        <w:t xml:space="preserve"> </w:t>
      </w:r>
      <w:r w:rsidRPr="000B4E2C">
        <w:rPr>
          <w:sz w:val="24"/>
          <w:szCs w:val="24"/>
        </w:rPr>
        <w:t>described the impact on both the</w:t>
      </w:r>
      <w:r w:rsidR="00A07828" w:rsidRPr="000B4E2C">
        <w:rPr>
          <w:sz w:val="24"/>
          <w:szCs w:val="24"/>
        </w:rPr>
        <w:t xml:space="preserve"> </w:t>
      </w:r>
      <w:r w:rsidR="00A07828" w:rsidRPr="000B4E2C">
        <w:rPr>
          <w:sz w:val="24"/>
          <w:szCs w:val="24"/>
          <w:highlight w:val="magenta"/>
        </w:rPr>
        <w:t>incidence</w:t>
      </w:r>
      <w:r w:rsidR="00A07828" w:rsidRPr="000B4E2C">
        <w:rPr>
          <w:sz w:val="24"/>
          <w:szCs w:val="24"/>
        </w:rPr>
        <w:t xml:space="preserve"> and severity of AKI.</w:t>
      </w:r>
      <w:r w:rsidRPr="000B4E2C">
        <w:rPr>
          <w:sz w:val="24"/>
          <w:szCs w:val="24"/>
        </w:rPr>
        <w:t xml:space="preserve"> </w:t>
      </w:r>
      <w:r w:rsidRPr="000B4E2C">
        <w:rPr>
          <w:color w:val="000000" w:themeColor="text1"/>
          <w:sz w:val="24"/>
          <w:szCs w:val="24"/>
        </w:rPr>
        <w:t>Meersch</w:t>
      </w:r>
      <w:r w:rsidRPr="000B4E2C">
        <w:rPr>
          <w:i/>
          <w:color w:val="00B0F0"/>
          <w:sz w:val="24"/>
          <w:szCs w:val="24"/>
        </w:rPr>
        <w:t xml:space="preserve"> et al</w:t>
      </w:r>
      <w:r w:rsidRPr="000B4E2C">
        <w:rPr>
          <w:color w:val="000000" w:themeColor="text1"/>
          <w:sz w:val="24"/>
          <w:szCs w:val="24"/>
        </w:rPr>
        <w:t xml:space="preserve"> reported the results of a single centre trial, with sample N</w:t>
      </w:r>
      <w:r w:rsidR="000B4E2C" w:rsidRPr="000B4E2C">
        <w:rPr>
          <w:color w:val="00B0F0"/>
          <w:sz w:val="24"/>
          <w:szCs w:val="24"/>
        </w:rPr>
        <w:t> = </w:t>
      </w:r>
      <w:r w:rsidRPr="000B4E2C">
        <w:rPr>
          <w:color w:val="000000" w:themeColor="text1"/>
          <w:sz w:val="24"/>
          <w:szCs w:val="24"/>
        </w:rPr>
        <w:t>276, in a German setting</w:t>
      </w:r>
      <w:r w:rsidR="00DA293A" w:rsidRPr="000B4E2C">
        <w:rPr>
          <w:color w:val="000000" w:themeColor="text1"/>
          <w:sz w:val="24"/>
          <w:szCs w:val="24"/>
        </w:rPr>
        <w:t xml:space="preserve">. </w:t>
      </w:r>
      <w:r w:rsidRPr="000B4E2C">
        <w:rPr>
          <w:color w:val="000000" w:themeColor="text1"/>
          <w:sz w:val="24"/>
          <w:szCs w:val="24"/>
        </w:rPr>
        <w:t xml:space="preserve">The population all had positive NephroCheck test results, using a 0.3 threshold, consistent with the sources of diagnostic accuracy </w:t>
      </w:r>
      <w:r w:rsidRPr="000B4E2C">
        <w:rPr>
          <w:color w:val="000000" w:themeColor="text1"/>
          <w:sz w:val="24"/>
          <w:szCs w:val="24"/>
          <w:highlight w:val="magenta"/>
        </w:rPr>
        <w:t>data</w:t>
      </w:r>
      <w:r w:rsidRPr="000B4E2C">
        <w:rPr>
          <w:color w:val="000000" w:themeColor="text1"/>
          <w:sz w:val="24"/>
          <w:szCs w:val="24"/>
        </w:rPr>
        <w:t xml:space="preserve"> obtained from the systematic review of diagnostic accuracy studies (</w:t>
      </w:r>
      <w:r w:rsidR="00A07828" w:rsidRPr="000B4E2C">
        <w:rPr>
          <w:color w:val="000000" w:themeColor="text1"/>
          <w:sz w:val="24"/>
          <w:szCs w:val="24"/>
        </w:rPr>
        <w:t xml:space="preserve">see </w:t>
      </w:r>
      <w:r w:rsidR="00BD3919" w:rsidRPr="000B4E2C">
        <w:rPr>
          <w:color w:val="000000" w:themeColor="text1"/>
          <w:sz w:val="24"/>
          <w:szCs w:val="24"/>
        </w:rPr>
        <w:t>Chapter 3</w:t>
      </w:r>
      <w:r w:rsidR="00A07828" w:rsidRPr="000B4E2C">
        <w:rPr>
          <w:color w:val="000000" w:themeColor="text1"/>
          <w:sz w:val="24"/>
          <w:szCs w:val="24"/>
        </w:rPr>
        <w:t xml:space="preserve">). </w:t>
      </w:r>
      <w:r w:rsidRPr="000B4E2C">
        <w:rPr>
          <w:color w:val="000000" w:themeColor="text1"/>
          <w:sz w:val="24"/>
          <w:szCs w:val="24"/>
        </w:rPr>
        <w:t>Patients were then randomised to receive a strict implementation of the KDIGO guidelines or standard care. The intervention group included avoidance of nephrotoxic agents, discontinuation of ACEi and ARBs, close monitoring of urine output, serum creatinine, avoidance of hyperglycemia (for 72 hours), consideration of alternatives to radiocontrast a</w:t>
      </w:r>
      <w:r w:rsidR="00A07828" w:rsidRPr="000B4E2C">
        <w:rPr>
          <w:color w:val="000000" w:themeColor="text1"/>
          <w:sz w:val="24"/>
          <w:szCs w:val="24"/>
        </w:rPr>
        <w:t xml:space="preserve">gents, and fluid optimisation. </w:t>
      </w:r>
      <w:r w:rsidRPr="000B4E2C">
        <w:rPr>
          <w:color w:val="000000" w:themeColor="text1"/>
          <w:sz w:val="24"/>
          <w:szCs w:val="24"/>
        </w:rPr>
        <w:t xml:space="preserve">The control (standard care) group </w:t>
      </w:r>
      <w:r w:rsidRPr="000B4E2C">
        <w:rPr>
          <w:sz w:val="24"/>
          <w:szCs w:val="24"/>
        </w:rPr>
        <w:t>followed the recommendations of the American College of Cardiology Foundation 2011 and in</w:t>
      </w:r>
      <w:r w:rsidRPr="000B4E2C">
        <w:rPr>
          <w:color w:val="000000" w:themeColor="text1"/>
          <w:sz w:val="24"/>
          <w:szCs w:val="24"/>
        </w:rPr>
        <w:t xml:space="preserve">cluded specification to keep mean arterial pressure (MAP) </w:t>
      </w:r>
      <w:r w:rsidR="000B4E2C" w:rsidRPr="000B4E2C">
        <w:rPr>
          <w:color w:val="00B0F0"/>
          <w:sz w:val="24"/>
          <w:szCs w:val="24"/>
        </w:rPr>
        <w:t>&gt;</w:t>
      </w:r>
      <w:r w:rsidR="000B4E2C" w:rsidRPr="000B4E2C">
        <w:rPr>
          <w:color w:val="00B0F0"/>
          <w:sz w:val="24"/>
          <w:szCs w:val="24"/>
        </w:rPr>
        <w:t> </w:t>
      </w:r>
      <w:r w:rsidR="000B4E2C" w:rsidRPr="000B4E2C">
        <w:rPr>
          <w:color w:val="00B0F0"/>
          <w:sz w:val="24"/>
          <w:szCs w:val="24"/>
        </w:rPr>
        <w:t>65</w:t>
      </w:r>
      <w:r w:rsidR="000B4E2C" w:rsidRPr="000B4E2C">
        <w:rPr>
          <w:color w:val="00B0F0"/>
          <w:sz w:val="24"/>
          <w:szCs w:val="24"/>
        </w:rPr>
        <w:t> </w:t>
      </w:r>
      <w:r w:rsidR="000B4E2C" w:rsidRPr="000B4E2C">
        <w:rPr>
          <w:color w:val="00B0F0"/>
          <w:sz w:val="24"/>
          <w:szCs w:val="24"/>
        </w:rPr>
        <w:t xml:space="preserve">mmHg </w:t>
      </w:r>
      <w:r w:rsidRPr="000B4E2C">
        <w:rPr>
          <w:color w:val="000000" w:themeColor="text1"/>
          <w:sz w:val="24"/>
          <w:szCs w:val="24"/>
        </w:rPr>
        <w:t>and central venous pressure (CVP) between 8 and 1</w:t>
      </w:r>
      <w:r w:rsidR="000B4E2C" w:rsidRPr="000B4E2C">
        <w:rPr>
          <w:color w:val="00B0F0"/>
          <w:sz w:val="24"/>
          <w:szCs w:val="24"/>
        </w:rPr>
        <w:t>0</w:t>
      </w:r>
      <w:r w:rsidR="000B4E2C" w:rsidRPr="000B4E2C">
        <w:rPr>
          <w:color w:val="00B0F0"/>
          <w:sz w:val="24"/>
          <w:szCs w:val="24"/>
        </w:rPr>
        <w:t> </w:t>
      </w:r>
      <w:r w:rsidR="000B4E2C" w:rsidRPr="000B4E2C">
        <w:rPr>
          <w:color w:val="00B0F0"/>
          <w:sz w:val="24"/>
          <w:szCs w:val="24"/>
        </w:rPr>
        <w:t>mmHg.</w:t>
      </w:r>
      <w:r w:rsidRPr="000B4E2C">
        <w:rPr>
          <w:color w:val="000000" w:themeColor="text1"/>
          <w:sz w:val="24"/>
          <w:szCs w:val="24"/>
        </w:rPr>
        <w:t xml:space="preserve"> ACEi and ARBs were used only when the </w:t>
      </w:r>
      <w:r w:rsidRPr="000B4E2C">
        <w:rPr>
          <w:sz w:val="24"/>
          <w:szCs w:val="24"/>
        </w:rPr>
        <w:t xml:space="preserve">hemodynamic situation stabilised and hypertension occurred. </w:t>
      </w:r>
      <w:r w:rsidR="00785F13" w:rsidRPr="000B4E2C">
        <w:rPr>
          <w:sz w:val="24"/>
          <w:szCs w:val="24"/>
        </w:rPr>
        <w:t>It is unclear whether k</w:t>
      </w:r>
      <w:r w:rsidRPr="000B4E2C">
        <w:rPr>
          <w:sz w:val="24"/>
          <w:szCs w:val="24"/>
        </w:rPr>
        <w:t xml:space="preserve">nowledge of the NephroCheck test result was revealed to the treating </w:t>
      </w:r>
      <w:r w:rsidRPr="000B4E2C">
        <w:rPr>
          <w:sz w:val="24"/>
          <w:szCs w:val="24"/>
        </w:rPr>
        <w:lastRenderedPageBreak/>
        <w:t>hospital team for patients in the standard care arm of the study. The primary outcome from Meersch</w:t>
      </w:r>
      <w:r w:rsidRPr="000B4E2C">
        <w:rPr>
          <w:i/>
          <w:color w:val="00B0F0"/>
          <w:sz w:val="24"/>
          <w:szCs w:val="24"/>
        </w:rPr>
        <w:t xml:space="preserve"> et al</w:t>
      </w:r>
      <w:r w:rsidRPr="000B4E2C">
        <w:rPr>
          <w:sz w:val="24"/>
          <w:szCs w:val="24"/>
        </w:rPr>
        <w:t xml:space="preserve"> was 72-hour AKI, and the study showed an absolute risk reduction of 1</w:t>
      </w:r>
      <w:r w:rsidR="00A07828" w:rsidRPr="000B4E2C">
        <w:rPr>
          <w:sz w:val="24"/>
          <w:szCs w:val="24"/>
        </w:rPr>
        <w:t xml:space="preserve">6.6% (95% CI: 5.5% to 27.99%). </w:t>
      </w:r>
      <w:r w:rsidRPr="000B4E2C">
        <w:rPr>
          <w:sz w:val="24"/>
          <w:szCs w:val="24"/>
        </w:rPr>
        <w:t>The Meersch</w:t>
      </w:r>
      <w:r w:rsidRPr="000B4E2C">
        <w:rPr>
          <w:i/>
          <w:color w:val="00B0F0"/>
          <w:sz w:val="24"/>
          <w:szCs w:val="24"/>
        </w:rPr>
        <w:t xml:space="preserve"> et al</w:t>
      </w:r>
      <w:r w:rsidRPr="000B4E2C">
        <w:rPr>
          <w:sz w:val="24"/>
          <w:szCs w:val="24"/>
        </w:rPr>
        <w:t xml:space="preserve"> study was supported by the German Research Foundation, the European Society of Intensive Care Medicine, the Innovative Medizinische Forschung, and an unrestricted research grant from Astute Medical.</w:t>
      </w:r>
    </w:p>
    <w:p w14:paraId="300D9FE5" w14:textId="5A6B9F23" w:rsidR="000B4E2C" w:rsidRPr="000B4E2C" w:rsidRDefault="002F0133" w:rsidP="008A7464">
      <w:pPr>
        <w:pStyle w:val="CommentText"/>
        <w:spacing w:line="360" w:lineRule="auto"/>
        <w:rPr>
          <w:sz w:val="24"/>
          <w:szCs w:val="24"/>
        </w:rPr>
      </w:pPr>
      <w:r w:rsidRPr="000B4E2C">
        <w:rPr>
          <w:sz w:val="24"/>
          <w:szCs w:val="24"/>
        </w:rPr>
        <w:t>A second (Göcze</w:t>
      </w:r>
      <w:r w:rsidRPr="000B4E2C">
        <w:rPr>
          <w:i/>
          <w:color w:val="00B0F0"/>
          <w:sz w:val="24"/>
          <w:szCs w:val="24"/>
        </w:rPr>
        <w:t xml:space="preserve"> et al</w:t>
      </w:r>
      <w:r w:rsidR="00A07828" w:rsidRPr="000B4E2C">
        <w:rPr>
          <w:sz w:val="24"/>
          <w:szCs w:val="24"/>
        </w:rPr>
        <w:t>),</w:t>
      </w:r>
      <w:r w:rsidR="00280A97" w:rsidRPr="000B4E2C">
        <w:rPr>
          <w:noProof/>
          <w:sz w:val="24"/>
          <w:szCs w:val="24"/>
          <w:vertAlign w:val="superscript"/>
        </w:rPr>
        <w:t>118</w:t>
      </w:r>
      <w:r w:rsidRPr="000B4E2C">
        <w:rPr>
          <w:sz w:val="24"/>
          <w:szCs w:val="24"/>
        </w:rPr>
        <w:t xml:space="preserve"> smaller study (N</w:t>
      </w:r>
      <w:r w:rsidR="000B4E2C" w:rsidRPr="000B4E2C">
        <w:rPr>
          <w:color w:val="00B0F0"/>
          <w:sz w:val="24"/>
          <w:szCs w:val="24"/>
        </w:rPr>
        <w:t> = </w:t>
      </w:r>
      <w:r w:rsidRPr="000B4E2C">
        <w:rPr>
          <w:sz w:val="24"/>
          <w:szCs w:val="24"/>
        </w:rPr>
        <w:t>121), also in a German setting, showed that NephroCheck guided care demonstrated a trend towards a lower probability of AKI, though results were not statistically significant with OR (95% CI) for standard care vs. Neph</w:t>
      </w:r>
      <w:r w:rsidR="00A07828" w:rsidRPr="000B4E2C">
        <w:rPr>
          <w:sz w:val="24"/>
          <w:szCs w:val="24"/>
        </w:rPr>
        <w:t>roCheck of 1.96 (0.93 to 4.10).</w:t>
      </w:r>
      <w:r w:rsidRPr="000B4E2C">
        <w:rPr>
          <w:sz w:val="24"/>
          <w:szCs w:val="24"/>
        </w:rPr>
        <w:t xml:space="preserve"> The study did however show a significantly greater odds of AKI (defined as stage 2 and 3 combined), in the standard care group </w:t>
      </w:r>
      <w:r w:rsidRPr="000B4E2C">
        <w:rPr>
          <w:sz w:val="24"/>
          <w:szCs w:val="24"/>
          <w:highlight w:val="magenta"/>
        </w:rPr>
        <w:t>compared to</w:t>
      </w:r>
      <w:r w:rsidRPr="000B4E2C">
        <w:rPr>
          <w:sz w:val="24"/>
          <w:szCs w:val="24"/>
        </w:rPr>
        <w:t xml:space="preserve"> NephroCheck: OR (95% CI) for standard care vs. Neph</w:t>
      </w:r>
      <w:r w:rsidR="00A07828" w:rsidRPr="000B4E2C">
        <w:rPr>
          <w:sz w:val="24"/>
          <w:szCs w:val="24"/>
        </w:rPr>
        <w:t xml:space="preserve">roCheck: 3.43 (1.04 to 11.32). </w:t>
      </w:r>
      <w:r w:rsidRPr="000B4E2C">
        <w:rPr>
          <w:sz w:val="24"/>
          <w:szCs w:val="24"/>
        </w:rPr>
        <w:t>A third study (Schanz</w:t>
      </w:r>
      <w:r w:rsidRPr="000B4E2C">
        <w:rPr>
          <w:i/>
          <w:color w:val="00B0F0"/>
          <w:sz w:val="24"/>
          <w:szCs w:val="24"/>
        </w:rPr>
        <w:t xml:space="preserve"> et al</w:t>
      </w:r>
      <w:r w:rsidR="00A07828" w:rsidRPr="000B4E2C">
        <w:rPr>
          <w:sz w:val="24"/>
          <w:szCs w:val="24"/>
        </w:rPr>
        <w:t>),</w:t>
      </w:r>
      <w:r w:rsidR="00280A97" w:rsidRPr="000B4E2C">
        <w:rPr>
          <w:noProof/>
          <w:sz w:val="24"/>
          <w:szCs w:val="24"/>
          <w:vertAlign w:val="superscript"/>
        </w:rPr>
        <w:t>119</w:t>
      </w:r>
      <w:r w:rsidRPr="000B4E2C">
        <w:rPr>
          <w:sz w:val="24"/>
          <w:szCs w:val="24"/>
        </w:rPr>
        <w:t xml:space="preserve"> with only N</w:t>
      </w:r>
      <w:r w:rsidR="000B4E2C" w:rsidRPr="000B4E2C">
        <w:rPr>
          <w:color w:val="00B0F0"/>
          <w:sz w:val="24"/>
          <w:szCs w:val="24"/>
        </w:rPr>
        <w:t> = </w:t>
      </w:r>
      <w:r w:rsidRPr="000B4E2C">
        <w:rPr>
          <w:sz w:val="24"/>
          <w:szCs w:val="24"/>
        </w:rPr>
        <w:t>100 participants, compared the effect of a NephroCheck triggered consultation with the patient implementing KDIGO recommendations for AKI to standard care alone in an emergency department in Germany. AKI outcome</w:t>
      </w:r>
      <w:r w:rsidR="00A07828" w:rsidRPr="000B4E2C">
        <w:rPr>
          <w:sz w:val="24"/>
          <w:szCs w:val="24"/>
        </w:rPr>
        <w:t xml:space="preserve">s were similar in both groups. </w:t>
      </w:r>
      <w:r w:rsidRPr="000B4E2C">
        <w:rPr>
          <w:sz w:val="24"/>
          <w:szCs w:val="24"/>
        </w:rPr>
        <w:t>The probability of AKI 2 or 3 at day 1 and day 3 post admission was intervention: 32.1%; control: 33.3% and intervention: 38.9% a</w:t>
      </w:r>
      <w:r w:rsidR="00A07828" w:rsidRPr="000B4E2C">
        <w:rPr>
          <w:sz w:val="24"/>
          <w:szCs w:val="24"/>
        </w:rPr>
        <w:t>nd control: 39.1% respectively.</w:t>
      </w:r>
      <w:r w:rsidRPr="000B4E2C">
        <w:rPr>
          <w:sz w:val="24"/>
          <w:szCs w:val="24"/>
        </w:rPr>
        <w:t xml:space="preserve"> Neither the Gocze</w:t>
      </w:r>
      <w:r w:rsidRPr="000B4E2C">
        <w:rPr>
          <w:i/>
          <w:color w:val="00B0F0"/>
          <w:sz w:val="24"/>
          <w:szCs w:val="24"/>
        </w:rPr>
        <w:t xml:space="preserve"> et al</w:t>
      </w:r>
      <w:r w:rsidRPr="000B4E2C">
        <w:rPr>
          <w:sz w:val="24"/>
          <w:szCs w:val="24"/>
        </w:rPr>
        <w:t xml:space="preserve"> study nor the Schanz</w:t>
      </w:r>
      <w:r w:rsidRPr="000B4E2C">
        <w:rPr>
          <w:i/>
          <w:color w:val="00B0F0"/>
          <w:sz w:val="24"/>
          <w:szCs w:val="24"/>
        </w:rPr>
        <w:t xml:space="preserve"> et al</w:t>
      </w:r>
      <w:r w:rsidRPr="000B4E2C">
        <w:rPr>
          <w:sz w:val="24"/>
          <w:szCs w:val="24"/>
        </w:rPr>
        <w:t xml:space="preserve"> study report any funding involvement from the test manufacturers.</w:t>
      </w:r>
    </w:p>
    <w:p w14:paraId="66960FD8" w14:textId="77777777" w:rsidR="000B4E2C" w:rsidRPr="000B4E2C" w:rsidRDefault="002F0133" w:rsidP="008A7464">
      <w:pPr>
        <w:rPr>
          <w:szCs w:val="24"/>
        </w:rPr>
      </w:pPr>
      <w:r w:rsidRPr="000B4E2C">
        <w:rPr>
          <w:szCs w:val="24"/>
        </w:rPr>
        <w:t>As the Meersch</w:t>
      </w:r>
      <w:r w:rsidRPr="000B4E2C">
        <w:rPr>
          <w:i/>
          <w:color w:val="00B0F0"/>
          <w:szCs w:val="24"/>
        </w:rPr>
        <w:t xml:space="preserve"> et al</w:t>
      </w:r>
      <w:r w:rsidRPr="000B4E2C">
        <w:rPr>
          <w:szCs w:val="24"/>
        </w:rPr>
        <w:t xml:space="preserve"> study has a larger sample, and reports </w:t>
      </w:r>
      <w:r w:rsidRPr="000B4E2C">
        <w:rPr>
          <w:szCs w:val="24"/>
          <w:highlight w:val="magenta"/>
        </w:rPr>
        <w:t>data</w:t>
      </w:r>
      <w:r w:rsidRPr="000B4E2C">
        <w:rPr>
          <w:szCs w:val="24"/>
        </w:rPr>
        <w:t xml:space="preserve"> for both the probability of AKI and the distribution of AKI severity given that it occurs</w:t>
      </w:r>
      <w:r w:rsidR="00785F13" w:rsidRPr="000B4E2C">
        <w:rPr>
          <w:szCs w:val="24"/>
        </w:rPr>
        <w:t>,</w:t>
      </w:r>
      <w:r w:rsidRPr="000B4E2C">
        <w:rPr>
          <w:szCs w:val="24"/>
        </w:rPr>
        <w:t xml:space="preserve"> these </w:t>
      </w:r>
      <w:r w:rsidRPr="000B4E2C">
        <w:rPr>
          <w:szCs w:val="24"/>
          <w:highlight w:val="magenta"/>
        </w:rPr>
        <w:t>data</w:t>
      </w:r>
      <w:r w:rsidRPr="000B4E2C">
        <w:rPr>
          <w:szCs w:val="24"/>
        </w:rPr>
        <w:t xml:space="preserve"> were used for</w:t>
      </w:r>
      <w:r w:rsidR="00A07828" w:rsidRPr="000B4E2C">
        <w:rPr>
          <w:szCs w:val="24"/>
        </w:rPr>
        <w:t xml:space="preserve"> the model base case analysis. </w:t>
      </w:r>
      <w:r w:rsidRPr="000B4E2C">
        <w:t>While the clinical context of the immediate post-operative period after cardiac surgery from Meersch</w:t>
      </w:r>
      <w:r w:rsidRPr="000B4E2C">
        <w:rPr>
          <w:i/>
          <w:color w:val="00B0F0"/>
        </w:rPr>
        <w:t xml:space="preserve"> et al</w:t>
      </w:r>
      <w:r w:rsidRPr="000B4E2C">
        <w:t>. is likely to be generalisable between the UK and other countries, the nature of the AKI insult (ischaemia/reperfusion, post-operative haemodynamic, oxidative stress, haemolysis, in people with cardiac comorbidity) is specific to this context, as is acknowledged by the authors. Accordingly, this study may not be generalisable to AKI in the context of other acute or critical illness circumstances where biomarker performance and the potential for AKI prevention</w:t>
      </w:r>
      <w:r w:rsidR="000B4E2C" w:rsidRPr="000B4E2C">
        <w:rPr>
          <w:color w:val="00B0F0"/>
        </w:rPr>
        <w:t>/</w:t>
      </w:r>
      <w:r w:rsidRPr="000B4E2C">
        <w:t>mitigation may be different.</w:t>
      </w:r>
    </w:p>
    <w:p w14:paraId="37252296" w14:textId="2B226A62" w:rsidR="000B4E2C" w:rsidRPr="000B4E2C" w:rsidRDefault="00CB6496" w:rsidP="008A7464">
      <w:pPr>
        <w:pStyle w:val="CommentText"/>
        <w:spacing w:line="360" w:lineRule="auto"/>
        <w:rPr>
          <w:sz w:val="24"/>
          <w:szCs w:val="24"/>
        </w:rPr>
      </w:pPr>
      <w:r w:rsidRPr="000B4E2C">
        <w:rPr>
          <w:sz w:val="24"/>
          <w:szCs w:val="24"/>
        </w:rPr>
        <w:t>The model describes the</w:t>
      </w:r>
      <w:r w:rsidR="002F0133" w:rsidRPr="000B4E2C">
        <w:rPr>
          <w:sz w:val="24"/>
          <w:szCs w:val="24"/>
        </w:rPr>
        <w:t xml:space="preserve"> potential impacts of a </w:t>
      </w:r>
      <w:r w:rsidR="00F751C8" w:rsidRPr="000B4E2C">
        <w:rPr>
          <w:sz w:val="24"/>
          <w:szCs w:val="24"/>
        </w:rPr>
        <w:t>biomarker</w:t>
      </w:r>
      <w:r w:rsidR="002F0133" w:rsidRPr="000B4E2C">
        <w:rPr>
          <w:sz w:val="24"/>
          <w:szCs w:val="24"/>
        </w:rPr>
        <w:t xml:space="preserve"> guided care bundle on 1) the chance that patients may get AKI, and 2) the severit</w:t>
      </w:r>
      <w:r w:rsidR="00A07828" w:rsidRPr="000B4E2C">
        <w:rPr>
          <w:sz w:val="24"/>
          <w:szCs w:val="24"/>
        </w:rPr>
        <w:t xml:space="preserve">y of AKI given that it occurs. </w:t>
      </w:r>
      <w:r w:rsidR="002F0133" w:rsidRPr="000B4E2C">
        <w:rPr>
          <w:sz w:val="24"/>
          <w:szCs w:val="24"/>
        </w:rPr>
        <w:t xml:space="preserve">The assumption is that early </w:t>
      </w:r>
      <w:r w:rsidR="00F751C8" w:rsidRPr="000B4E2C">
        <w:rPr>
          <w:sz w:val="24"/>
          <w:szCs w:val="24"/>
        </w:rPr>
        <w:t>biomarker</w:t>
      </w:r>
      <w:r w:rsidR="002F0133" w:rsidRPr="000B4E2C">
        <w:rPr>
          <w:sz w:val="24"/>
          <w:szCs w:val="24"/>
        </w:rPr>
        <w:t xml:space="preserve"> guided implementation of the KDIGO care bundle may reduce the proportion who get AKI and help ensure that if they do get AKI, </w:t>
      </w:r>
      <w:r w:rsidR="00A07828" w:rsidRPr="000B4E2C">
        <w:rPr>
          <w:sz w:val="24"/>
          <w:szCs w:val="24"/>
        </w:rPr>
        <w:t>it will be of reduced severity.</w:t>
      </w:r>
      <w:r w:rsidR="002F0133" w:rsidRPr="000B4E2C">
        <w:rPr>
          <w:sz w:val="24"/>
          <w:szCs w:val="24"/>
        </w:rPr>
        <w:t xml:space="preserve"> </w:t>
      </w:r>
      <w:r w:rsidR="00BD3919" w:rsidRPr="000B4E2C">
        <w:rPr>
          <w:sz w:val="24"/>
          <w:szCs w:val="24"/>
        </w:rPr>
        <w:t>T</w:t>
      </w:r>
      <w:r w:rsidR="002F0133" w:rsidRPr="000B4E2C">
        <w:rPr>
          <w:sz w:val="24"/>
          <w:szCs w:val="24"/>
        </w:rPr>
        <w:t>hese effects</w:t>
      </w:r>
      <w:r w:rsidR="00BD3919" w:rsidRPr="000B4E2C">
        <w:rPr>
          <w:sz w:val="24"/>
          <w:szCs w:val="24"/>
        </w:rPr>
        <w:t xml:space="preserve"> are</w:t>
      </w:r>
      <w:r w:rsidR="002F0133" w:rsidRPr="000B4E2C">
        <w:rPr>
          <w:sz w:val="24"/>
          <w:szCs w:val="24"/>
        </w:rPr>
        <w:t xml:space="preserve"> applied </w:t>
      </w:r>
      <w:r w:rsidR="00FE434D" w:rsidRPr="000B4E2C">
        <w:rPr>
          <w:sz w:val="24"/>
          <w:szCs w:val="24"/>
        </w:rPr>
        <w:t>p</w:t>
      </w:r>
      <w:r w:rsidR="002F0133" w:rsidRPr="000B4E2C">
        <w:rPr>
          <w:sz w:val="24"/>
          <w:szCs w:val="24"/>
        </w:rPr>
        <w:t xml:space="preserve">robabilistically as relative risks in the model for those with a true positive test results only, using </w:t>
      </w:r>
      <w:r w:rsidR="000B4E2C" w:rsidRPr="000B4E2C">
        <w:rPr>
          <w:color w:val="00B0F0"/>
          <w:sz w:val="24"/>
          <w:szCs w:val="24"/>
        </w:rPr>
        <w:t>Log-normal distribution</w:t>
      </w:r>
      <w:r w:rsidR="002F0133" w:rsidRPr="000B4E2C">
        <w:rPr>
          <w:sz w:val="24"/>
          <w:szCs w:val="24"/>
        </w:rPr>
        <w:t>s.</w:t>
      </w:r>
    </w:p>
    <w:p w14:paraId="49BCE3A5" w14:textId="4669028B" w:rsidR="000B4E2C" w:rsidRPr="000B4E2C" w:rsidRDefault="002F0133" w:rsidP="008A7464">
      <w:pPr>
        <w:pStyle w:val="CommentText"/>
        <w:spacing w:line="360" w:lineRule="auto"/>
        <w:rPr>
          <w:sz w:val="24"/>
          <w:szCs w:val="24"/>
        </w:rPr>
      </w:pPr>
      <w:r w:rsidRPr="000B4E2C">
        <w:rPr>
          <w:sz w:val="24"/>
          <w:szCs w:val="24"/>
        </w:rPr>
        <w:t xml:space="preserve">In the absence of any </w:t>
      </w:r>
      <w:r w:rsidRPr="000B4E2C">
        <w:rPr>
          <w:sz w:val="24"/>
          <w:szCs w:val="24"/>
          <w:highlight w:val="magenta"/>
        </w:rPr>
        <w:t>data</w:t>
      </w:r>
      <w:r w:rsidRPr="000B4E2C">
        <w:rPr>
          <w:sz w:val="24"/>
          <w:szCs w:val="24"/>
        </w:rPr>
        <w:t xml:space="preserve"> on the impact of NGAL guided KDIGO care bundles on the probability of developing AKI, or the severity of AKI, the base case model assumes that the potential to avert AKI is similar for both </w:t>
      </w:r>
      <w:r w:rsidR="00F751C8" w:rsidRPr="000B4E2C">
        <w:rPr>
          <w:sz w:val="24"/>
          <w:szCs w:val="24"/>
        </w:rPr>
        <w:t>biomarker</w:t>
      </w:r>
      <w:r w:rsidR="00A07828" w:rsidRPr="000B4E2C">
        <w:rPr>
          <w:sz w:val="24"/>
          <w:szCs w:val="24"/>
        </w:rPr>
        <w:t xml:space="preserve">s. </w:t>
      </w:r>
      <w:r w:rsidRPr="000B4E2C">
        <w:rPr>
          <w:sz w:val="24"/>
          <w:szCs w:val="24"/>
        </w:rPr>
        <w:t xml:space="preserve">However, based on clinical expert </w:t>
      </w:r>
      <w:r w:rsidRPr="000B4E2C">
        <w:rPr>
          <w:sz w:val="24"/>
          <w:szCs w:val="24"/>
        </w:rPr>
        <w:lastRenderedPageBreak/>
        <w:t>opinion and the manufacturer described role of the tests, NGAL measures injury and can be used to define AKI, whereas NephroCheck can identify stress enabling int</w:t>
      </w:r>
      <w:r w:rsidR="00A07828" w:rsidRPr="000B4E2C">
        <w:rPr>
          <w:sz w:val="24"/>
          <w:szCs w:val="24"/>
        </w:rPr>
        <w:t xml:space="preserve">ervention before AKI develops. </w:t>
      </w:r>
      <w:r w:rsidRPr="000B4E2C">
        <w:rPr>
          <w:sz w:val="24"/>
          <w:szCs w:val="24"/>
        </w:rPr>
        <w:t xml:space="preserve">Therefore, sensitivity analysis explores a scenario where the RR of AKI for NGAL guided care is equal to 1, </w:t>
      </w:r>
      <w:r w:rsidR="000B4E2C" w:rsidRPr="000B4E2C">
        <w:rPr>
          <w:color w:val="00B0F0"/>
          <w:sz w:val="24"/>
          <w:szCs w:val="24"/>
        </w:rPr>
        <w:t>while</w:t>
      </w:r>
      <w:r w:rsidRPr="000B4E2C">
        <w:rPr>
          <w:sz w:val="24"/>
          <w:szCs w:val="24"/>
        </w:rPr>
        <w:t xml:space="preserve"> retaining the same effect on the AKI distribution given that </w:t>
      </w:r>
      <w:r w:rsidR="00A07828" w:rsidRPr="000B4E2C">
        <w:rPr>
          <w:sz w:val="24"/>
          <w:szCs w:val="24"/>
        </w:rPr>
        <w:t xml:space="preserve">AKI occurs as for NephroCheck. </w:t>
      </w:r>
      <w:r w:rsidRPr="000B4E2C">
        <w:rPr>
          <w:sz w:val="24"/>
          <w:szCs w:val="24"/>
        </w:rPr>
        <w:t xml:space="preserve">It is acknowledged that these assumptions are uncertain, and the sensitivity analysis may present a bias against NGAL if </w:t>
      </w:r>
      <w:r w:rsidRPr="000B4E2C">
        <w:rPr>
          <w:sz w:val="24"/>
          <w:szCs w:val="24"/>
          <w:highlight w:val="magenta"/>
        </w:rPr>
        <w:t>data</w:t>
      </w:r>
      <w:r w:rsidRPr="000B4E2C">
        <w:rPr>
          <w:sz w:val="24"/>
          <w:szCs w:val="24"/>
        </w:rPr>
        <w:t xml:space="preserve"> were to become available to suggest an effect on AKI prevention.</w:t>
      </w:r>
    </w:p>
    <w:p w14:paraId="42E43CAE" w14:textId="77777777" w:rsidR="000B4E2C" w:rsidRPr="000B4E2C" w:rsidRDefault="002F0133" w:rsidP="008A7464">
      <w:pPr>
        <w:pStyle w:val="CommentText"/>
        <w:spacing w:line="360" w:lineRule="auto"/>
        <w:rPr>
          <w:sz w:val="24"/>
          <w:szCs w:val="24"/>
        </w:rPr>
      </w:pPr>
      <w:r w:rsidRPr="000B4E2C">
        <w:rPr>
          <w:sz w:val="24"/>
          <w:szCs w:val="24"/>
        </w:rPr>
        <w:t xml:space="preserve">It was assumed that there are no negative health effects of early intervention for the proportion of the </w:t>
      </w:r>
      <w:r w:rsidRPr="000B4E2C">
        <w:rPr>
          <w:sz w:val="24"/>
          <w:szCs w:val="24"/>
          <w:highlight w:val="magenta"/>
        </w:rPr>
        <w:t>respective</w:t>
      </w:r>
      <w:r w:rsidRPr="000B4E2C">
        <w:rPr>
          <w:sz w:val="24"/>
          <w:szCs w:val="24"/>
        </w:rPr>
        <w:t xml:space="preserve"> test groups with FP results, but the additional costs of t</w:t>
      </w:r>
      <w:r w:rsidR="00A07828" w:rsidRPr="000B4E2C">
        <w:rPr>
          <w:sz w:val="24"/>
          <w:szCs w:val="24"/>
        </w:rPr>
        <w:t xml:space="preserve">he bundle were still incurred. </w:t>
      </w:r>
      <w:r w:rsidRPr="000B4E2C">
        <w:rPr>
          <w:sz w:val="24"/>
          <w:szCs w:val="24"/>
        </w:rPr>
        <w:t xml:space="preserve">The model also includes the functionality to explore the impact of an additional mortality risk; for example, </w:t>
      </w:r>
      <w:r w:rsidRPr="000B4E2C">
        <w:rPr>
          <w:sz w:val="24"/>
          <w:szCs w:val="24"/>
          <w:highlight w:val="magenta"/>
        </w:rPr>
        <w:t>due to</w:t>
      </w:r>
      <w:r w:rsidRPr="000B4E2C">
        <w:rPr>
          <w:sz w:val="24"/>
          <w:szCs w:val="24"/>
        </w:rPr>
        <w:t xml:space="preserve"> excessive resuscitation as a result of fluid administration or removal of effective but nephrotoxic treatments in patients with a false positive test result.</w:t>
      </w:r>
    </w:p>
    <w:p w14:paraId="08D479EA" w14:textId="77918627" w:rsidR="000B4E2C" w:rsidRPr="000B4E2C" w:rsidRDefault="000B4E2C" w:rsidP="008A7464">
      <w:pPr>
        <w:pStyle w:val="CommentText"/>
        <w:spacing w:line="360" w:lineRule="auto"/>
        <w:rPr>
          <w:color w:val="000000" w:themeColor="text1"/>
          <w:sz w:val="24"/>
          <w:szCs w:val="24"/>
        </w:rPr>
      </w:pPr>
      <w:r w:rsidRPr="000B4E2C">
        <w:rPr>
          <w:color w:val="00B0F0"/>
          <w:sz w:val="24"/>
          <w:szCs w:val="24"/>
        </w:rPr>
        <w:t>While</w:t>
      </w:r>
      <w:r w:rsidR="002F0133" w:rsidRPr="000B4E2C">
        <w:rPr>
          <w:color w:val="000000" w:themeColor="text1"/>
          <w:sz w:val="24"/>
          <w:szCs w:val="24"/>
        </w:rPr>
        <w:t xml:space="preserve"> the model describes the impact of </w:t>
      </w:r>
      <w:r w:rsidR="00F751C8" w:rsidRPr="000B4E2C">
        <w:rPr>
          <w:color w:val="000000" w:themeColor="text1"/>
          <w:sz w:val="24"/>
          <w:szCs w:val="24"/>
        </w:rPr>
        <w:t>biomarker</w:t>
      </w:r>
      <w:r w:rsidR="002F0133" w:rsidRPr="000B4E2C">
        <w:rPr>
          <w:color w:val="000000" w:themeColor="text1"/>
          <w:sz w:val="24"/>
          <w:szCs w:val="24"/>
        </w:rPr>
        <w:t xml:space="preserve"> guided early intervention on the distribution of AKI, it is unclear whether these effects translate into final clinical and patient relevant health outcomes like requirement for ICU care, need for RRT, mortal</w:t>
      </w:r>
      <w:r w:rsidR="00A07828" w:rsidRPr="000B4E2C">
        <w:rPr>
          <w:color w:val="000000" w:themeColor="text1"/>
          <w:sz w:val="24"/>
          <w:szCs w:val="24"/>
        </w:rPr>
        <w:t xml:space="preserve">ity or the development of CKD. </w:t>
      </w:r>
      <w:r w:rsidR="002F0133" w:rsidRPr="000B4E2C">
        <w:rPr>
          <w:color w:val="000000" w:themeColor="text1"/>
          <w:sz w:val="24"/>
          <w:szCs w:val="24"/>
        </w:rPr>
        <w:t>The limited evidence that exists from Meersch</w:t>
      </w:r>
      <w:r w:rsidR="002F0133" w:rsidRPr="000B4E2C">
        <w:rPr>
          <w:i/>
          <w:color w:val="00B0F0"/>
          <w:sz w:val="24"/>
          <w:szCs w:val="24"/>
        </w:rPr>
        <w:t xml:space="preserve"> et al</w:t>
      </w:r>
      <w:r w:rsidR="002F0133" w:rsidRPr="000B4E2C">
        <w:rPr>
          <w:color w:val="000000" w:themeColor="text1"/>
          <w:sz w:val="24"/>
          <w:szCs w:val="24"/>
        </w:rPr>
        <w:t xml:space="preserve">. suggests that </w:t>
      </w:r>
      <w:r w:rsidRPr="000B4E2C">
        <w:rPr>
          <w:color w:val="00B0F0"/>
          <w:sz w:val="24"/>
          <w:szCs w:val="24"/>
        </w:rPr>
        <w:t>while</w:t>
      </w:r>
      <w:r w:rsidR="002F0133" w:rsidRPr="000B4E2C">
        <w:rPr>
          <w:color w:val="000000" w:themeColor="text1"/>
          <w:sz w:val="24"/>
          <w:szCs w:val="24"/>
        </w:rPr>
        <w:t xml:space="preserve"> there is a significant reduction in the primary study outcome of AKI within 72 hours for NephroCheck guided implementation of a care bundle </w:t>
      </w:r>
      <w:r w:rsidR="002F0133" w:rsidRPr="000B4E2C">
        <w:rPr>
          <w:color w:val="000000" w:themeColor="text1"/>
          <w:sz w:val="24"/>
          <w:szCs w:val="24"/>
          <w:highlight w:val="magenta"/>
        </w:rPr>
        <w:t>compared to</w:t>
      </w:r>
      <w:r w:rsidR="002F0133" w:rsidRPr="000B4E2C">
        <w:rPr>
          <w:color w:val="000000" w:themeColor="text1"/>
          <w:sz w:val="24"/>
          <w:szCs w:val="24"/>
        </w:rPr>
        <w:t xml:space="preserve"> standard critical care, OR (95% CI): 0.483 (0.293, 0.796), this ability to avert AKI was not demonstrated to translate into improvements in a range of clinical and patient relevant outcomes, including: requirement for RRT therapy in hospital, OR (95% CI): 1.618 (0.676, 3.874), 90 day all-cause mortality, OR (95% CI): 1.213 (0.486, 3.028), ICU LOS, median difference (95% CI): 0(</w:t>
      </w:r>
      <w:r w:rsidRPr="000B4E2C">
        <w:rPr>
          <w:color w:val="00B0F0"/>
          <w:sz w:val="24"/>
          <w:szCs w:val="24"/>
        </w:rPr>
        <w:t>–</w:t>
      </w:r>
      <w:r w:rsidRPr="000B4E2C">
        <w:rPr>
          <w:color w:val="00B0F0"/>
          <w:sz w:val="24"/>
          <w:szCs w:val="24"/>
        </w:rPr>
        <w:t>1</w:t>
      </w:r>
      <w:r w:rsidR="002F0133" w:rsidRPr="000B4E2C">
        <w:rPr>
          <w:color w:val="000000" w:themeColor="text1"/>
          <w:sz w:val="24"/>
          <w:szCs w:val="24"/>
        </w:rPr>
        <w:t>,0) or hospital LOS, median diffe</w:t>
      </w:r>
      <w:r w:rsidR="00DB7447" w:rsidRPr="000B4E2C">
        <w:rPr>
          <w:color w:val="000000" w:themeColor="text1"/>
          <w:sz w:val="24"/>
          <w:szCs w:val="24"/>
        </w:rPr>
        <w:t>rence (95% CI): 0(</w:t>
      </w:r>
      <w:r w:rsidRPr="000B4E2C">
        <w:rPr>
          <w:color w:val="00B0F0"/>
          <w:sz w:val="24"/>
          <w:szCs w:val="24"/>
        </w:rPr>
        <w:t>–</w:t>
      </w:r>
      <w:r w:rsidRPr="000B4E2C">
        <w:rPr>
          <w:color w:val="00B0F0"/>
          <w:sz w:val="24"/>
          <w:szCs w:val="24"/>
        </w:rPr>
        <w:t>1</w:t>
      </w:r>
      <w:r w:rsidR="00DB7447" w:rsidRPr="000B4E2C">
        <w:rPr>
          <w:color w:val="000000" w:themeColor="text1"/>
          <w:sz w:val="24"/>
          <w:szCs w:val="24"/>
        </w:rPr>
        <w:t>,1). While</w:t>
      </w:r>
      <w:r w:rsidR="002F0133" w:rsidRPr="000B4E2C">
        <w:rPr>
          <w:color w:val="000000" w:themeColor="text1"/>
          <w:sz w:val="24"/>
          <w:szCs w:val="24"/>
        </w:rPr>
        <w:t xml:space="preserve"> the study was not powered to detect differences in these outcomes, there are no trends in the </w:t>
      </w:r>
      <w:r w:rsidR="002F0133" w:rsidRPr="000B4E2C">
        <w:rPr>
          <w:color w:val="000000" w:themeColor="text1"/>
          <w:sz w:val="24"/>
          <w:szCs w:val="24"/>
          <w:highlight w:val="magenta"/>
        </w:rPr>
        <w:t>data</w:t>
      </w:r>
      <w:r w:rsidR="002F0133" w:rsidRPr="000B4E2C">
        <w:rPr>
          <w:color w:val="000000" w:themeColor="text1"/>
          <w:sz w:val="24"/>
          <w:szCs w:val="24"/>
        </w:rPr>
        <w:t xml:space="preserve"> that are</w:t>
      </w:r>
      <w:r w:rsidR="00DB7447" w:rsidRPr="000B4E2C">
        <w:rPr>
          <w:color w:val="000000" w:themeColor="text1"/>
          <w:sz w:val="24"/>
          <w:szCs w:val="24"/>
        </w:rPr>
        <w:t xml:space="preserve"> suggestive of an effect size. </w:t>
      </w:r>
      <w:r w:rsidR="002F0133" w:rsidRPr="000B4E2C">
        <w:rPr>
          <w:color w:val="000000" w:themeColor="text1"/>
          <w:sz w:val="24"/>
          <w:szCs w:val="24"/>
        </w:rPr>
        <w:t>Furthermore, the uncertainty regarding the link between increased resource use and clinical outcomes is emphasised by Wilson</w:t>
      </w:r>
      <w:r w:rsidR="002F0133" w:rsidRPr="000B4E2C">
        <w:rPr>
          <w:i/>
          <w:color w:val="00B0F0"/>
          <w:sz w:val="24"/>
          <w:szCs w:val="24"/>
        </w:rPr>
        <w:t xml:space="preserve"> et al</w:t>
      </w:r>
      <w:r w:rsidR="00DB7447" w:rsidRPr="000B4E2C">
        <w:rPr>
          <w:color w:val="00B0F0"/>
          <w:sz w:val="24"/>
          <w:szCs w:val="24"/>
        </w:rPr>
        <w:t>.</w:t>
      </w:r>
      <w:r w:rsidR="00B27E9E" w:rsidRPr="000B4E2C">
        <w:rPr>
          <w:color w:val="00B0F0"/>
          <w:sz w:val="24"/>
          <w:szCs w:val="24"/>
        </w:rPr>
        <w:t>,</w:t>
      </w:r>
      <w:r w:rsidR="00DB7447" w:rsidRPr="000B4E2C">
        <w:rPr>
          <w:color w:val="000000" w:themeColor="text1"/>
          <w:sz w:val="24"/>
          <w:szCs w:val="24"/>
        </w:rPr>
        <w:t xml:space="preserve"> </w:t>
      </w:r>
      <w:r w:rsidR="002F0133" w:rsidRPr="000B4E2C">
        <w:rPr>
          <w:color w:val="000000" w:themeColor="text1"/>
          <w:sz w:val="24"/>
          <w:szCs w:val="24"/>
        </w:rPr>
        <w:t>who show in their RCT of an electronic alert system for AKI that an early warning system increase resource utilisation (e.g. renal consultation), but with no evidence that this translates into measurable clinical or patient benefit in terms of mortality, or length of stay.</w:t>
      </w:r>
      <w:r w:rsidR="00280A97" w:rsidRPr="000B4E2C">
        <w:rPr>
          <w:noProof/>
          <w:color w:val="000000" w:themeColor="text1"/>
          <w:sz w:val="24"/>
          <w:szCs w:val="24"/>
          <w:vertAlign w:val="superscript"/>
        </w:rPr>
        <w:t>120</w:t>
      </w:r>
      <w:r w:rsidRPr="000B4E2C">
        <w:rPr>
          <w:color w:val="000000" w:themeColor="text1"/>
          <w:sz w:val="24"/>
          <w:szCs w:val="24"/>
        </w:rPr>
        <w:t xml:space="preserve"> </w:t>
      </w:r>
      <w:r w:rsidR="002F0133" w:rsidRPr="000B4E2C">
        <w:rPr>
          <w:color w:val="000000" w:themeColor="text1"/>
          <w:sz w:val="24"/>
          <w:szCs w:val="24"/>
        </w:rPr>
        <w:t>Indeed, for a subgroup on a surgical ward, the mortality rate was significantly higher in the electronic alert g</w:t>
      </w:r>
      <w:r w:rsidR="00DB7447" w:rsidRPr="000B4E2C">
        <w:rPr>
          <w:color w:val="000000" w:themeColor="text1"/>
          <w:sz w:val="24"/>
          <w:szCs w:val="24"/>
        </w:rPr>
        <w:t xml:space="preserve">roup. </w:t>
      </w:r>
      <w:r w:rsidR="002F0133" w:rsidRPr="000B4E2C">
        <w:rPr>
          <w:color w:val="000000" w:themeColor="text1"/>
          <w:sz w:val="24"/>
          <w:szCs w:val="24"/>
        </w:rPr>
        <w:t xml:space="preserve">As these causal links between AKI and changes in health outcomes are all highly </w:t>
      </w:r>
      <w:r w:rsidR="002F0133" w:rsidRPr="000B4E2C">
        <w:rPr>
          <w:color w:val="000000" w:themeColor="text1"/>
          <w:sz w:val="24"/>
          <w:szCs w:val="24"/>
        </w:rPr>
        <w:lastRenderedPageBreak/>
        <w:t xml:space="preserve">uncertain and are hypothesised based on observational </w:t>
      </w:r>
      <w:r w:rsidR="002F0133" w:rsidRPr="000B4E2C">
        <w:rPr>
          <w:color w:val="000000" w:themeColor="text1"/>
          <w:sz w:val="24"/>
          <w:szCs w:val="24"/>
          <w:highlight w:val="magenta"/>
        </w:rPr>
        <w:t>data</w:t>
      </w:r>
      <w:r w:rsidR="002F0133" w:rsidRPr="000B4E2C">
        <w:rPr>
          <w:color w:val="000000" w:themeColor="text1"/>
          <w:sz w:val="24"/>
          <w:szCs w:val="24"/>
        </w:rPr>
        <w:t xml:space="preserve"> in the model, extensive sensitivity analyses are conducted to test the impact of a range of plausible assumptions on cost-effectiveness</w:t>
      </w:r>
      <w:r w:rsidR="00BD3919" w:rsidRPr="000B4E2C">
        <w:rPr>
          <w:color w:val="000000" w:themeColor="text1"/>
          <w:sz w:val="24"/>
          <w:szCs w:val="24"/>
        </w:rPr>
        <w:t>.</w:t>
      </w:r>
    </w:p>
    <w:p w14:paraId="53F878E9" w14:textId="48F8B8C0" w:rsidR="002F0133" w:rsidRPr="000B4E2C" w:rsidRDefault="002F0133" w:rsidP="008A7464">
      <w:pPr>
        <w:pStyle w:val="Heading3"/>
      </w:pPr>
      <w:r w:rsidRPr="000B4E2C">
        <w:t>Follow-up phase probabilities</w:t>
      </w:r>
    </w:p>
    <w:p w14:paraId="7E4354B0" w14:textId="77777777" w:rsidR="002F0133" w:rsidRPr="000B4E2C" w:rsidRDefault="002F0133" w:rsidP="008A7464">
      <w:pPr>
        <w:pStyle w:val="Heading4"/>
      </w:pPr>
      <w:r w:rsidRPr="000B4E2C">
        <w:t>Starting proportions applied in Markov cohorts</w:t>
      </w:r>
    </w:p>
    <w:p w14:paraId="2820C00B" w14:textId="5FBEB0E9" w:rsidR="000B4E2C" w:rsidRPr="000B4E2C" w:rsidRDefault="002F0133" w:rsidP="008A7464">
      <w:pPr>
        <w:pStyle w:val="CommentText"/>
        <w:spacing w:line="360" w:lineRule="auto"/>
        <w:rPr>
          <w:color w:val="000000" w:themeColor="text1"/>
          <w:sz w:val="24"/>
          <w:szCs w:val="24"/>
        </w:rPr>
      </w:pPr>
      <w:r w:rsidRPr="000B4E2C">
        <w:rPr>
          <w:sz w:val="24"/>
          <w:szCs w:val="24"/>
        </w:rPr>
        <w:t>One plausible route to patient benefit from averting or reducing the severity of AKI is through the prevention of new CKD and the indirectly associated longer-term progression to ESRD and transplant. It should be noted that the model does not assume a direct effect of peak AKI on ESRD at 90 days, therefore patients can only enter the Markov model in either the outpatient follow-up, or CKD (stage 1</w:t>
      </w:r>
      <w:r w:rsidR="000B4E2C" w:rsidRPr="000B4E2C">
        <w:rPr>
          <w:color w:val="00B0F0"/>
          <w:sz w:val="24"/>
          <w:szCs w:val="24"/>
        </w:rPr>
        <w:t>–</w:t>
      </w:r>
      <w:r w:rsidR="000B4E2C" w:rsidRPr="000B4E2C">
        <w:rPr>
          <w:color w:val="00B0F0"/>
          <w:sz w:val="24"/>
          <w:szCs w:val="24"/>
        </w:rPr>
        <w:t>4</w:t>
      </w:r>
      <w:r w:rsidRPr="000B4E2C">
        <w:rPr>
          <w:sz w:val="24"/>
          <w:szCs w:val="24"/>
        </w:rPr>
        <w:t>) health state.</w:t>
      </w:r>
      <w:r w:rsidR="000B4E2C" w:rsidRPr="000B4E2C">
        <w:rPr>
          <w:sz w:val="24"/>
          <w:szCs w:val="24"/>
        </w:rPr>
        <w:t xml:space="preserve"> </w:t>
      </w:r>
      <w:r w:rsidRPr="000B4E2C">
        <w:rPr>
          <w:sz w:val="24"/>
          <w:szCs w:val="24"/>
        </w:rPr>
        <w:t xml:space="preserve">A re-analysis of 2012 </w:t>
      </w:r>
      <w:r w:rsidRPr="000B4E2C">
        <w:rPr>
          <w:sz w:val="24"/>
          <w:szCs w:val="24"/>
          <w:highlight w:val="magenta"/>
        </w:rPr>
        <w:t>data</w:t>
      </w:r>
      <w:r w:rsidRPr="000B4E2C">
        <w:rPr>
          <w:sz w:val="24"/>
          <w:szCs w:val="24"/>
        </w:rPr>
        <w:t xml:space="preserve"> from the Grampian cohort indicate that only a very small proportion 13/4314 (~0.03%) of </w:t>
      </w:r>
      <w:r w:rsidR="00BD3919" w:rsidRPr="000B4E2C">
        <w:rPr>
          <w:sz w:val="24"/>
          <w:szCs w:val="24"/>
        </w:rPr>
        <w:t xml:space="preserve">patients with </w:t>
      </w:r>
      <w:r w:rsidRPr="000B4E2C">
        <w:rPr>
          <w:sz w:val="24"/>
          <w:szCs w:val="24"/>
        </w:rPr>
        <w:t>AKI, almost all of whom had underlying CKD</w:t>
      </w:r>
      <w:r w:rsidR="00BD3919" w:rsidRPr="000B4E2C">
        <w:rPr>
          <w:sz w:val="24"/>
          <w:szCs w:val="24"/>
        </w:rPr>
        <w:t>, progress</w:t>
      </w:r>
      <w:r w:rsidR="00DB7447" w:rsidRPr="000B4E2C">
        <w:rPr>
          <w:sz w:val="24"/>
          <w:szCs w:val="24"/>
        </w:rPr>
        <w:t>ed directly to ESRD at 90 days.</w:t>
      </w:r>
      <w:r w:rsidR="00BD3919" w:rsidRPr="000B4E2C">
        <w:rPr>
          <w:sz w:val="24"/>
          <w:szCs w:val="24"/>
        </w:rPr>
        <w:t xml:space="preserve"> Therefore, we assumed no direct transition from the decision tree to the ESRD state in the Markov model.</w:t>
      </w:r>
      <w:r w:rsidRPr="000B4E2C">
        <w:rPr>
          <w:sz w:val="24"/>
          <w:szCs w:val="24"/>
        </w:rPr>
        <w:t xml:space="preserve"> The starting proportions (after 90 days) for each health state are </w:t>
      </w:r>
      <w:r w:rsidRPr="000B4E2C">
        <w:rPr>
          <w:sz w:val="24"/>
          <w:szCs w:val="24"/>
          <w:highlight w:val="magenta"/>
        </w:rPr>
        <w:t>dependent</w:t>
      </w:r>
      <w:r w:rsidRPr="000B4E2C">
        <w:rPr>
          <w:sz w:val="24"/>
          <w:szCs w:val="24"/>
        </w:rPr>
        <w:t xml:space="preserve"> on the decision tree pathway through which the cohort have come, and what peak AKI severity they had.</w:t>
      </w:r>
      <w:r w:rsidR="000B4E2C" w:rsidRPr="000B4E2C">
        <w:rPr>
          <w:sz w:val="24"/>
          <w:szCs w:val="24"/>
        </w:rPr>
        <w:t xml:space="preserve"> </w:t>
      </w:r>
      <w:r w:rsidRPr="000B4E2C">
        <w:rPr>
          <w:color w:val="000000" w:themeColor="text1"/>
          <w:sz w:val="24"/>
          <w:szCs w:val="24"/>
        </w:rPr>
        <w:t>The baseline prevalence of CKD in the UK general population has been estimated from Kerr 2017 at 6.1%</w:t>
      </w:r>
      <w:r w:rsidR="00DB7447" w:rsidRPr="000B4E2C">
        <w:rPr>
          <w:color w:val="000000" w:themeColor="text1"/>
          <w:sz w:val="24"/>
          <w:szCs w:val="24"/>
        </w:rPr>
        <w:t>.</w:t>
      </w:r>
      <w:r w:rsidR="00280A97" w:rsidRPr="000B4E2C">
        <w:rPr>
          <w:noProof/>
          <w:color w:val="000000" w:themeColor="text1"/>
          <w:sz w:val="24"/>
          <w:szCs w:val="24"/>
          <w:vertAlign w:val="superscript"/>
        </w:rPr>
        <w:t>121</w:t>
      </w:r>
      <w:r w:rsidR="00DB7447" w:rsidRPr="000B4E2C">
        <w:rPr>
          <w:color w:val="000000" w:themeColor="text1"/>
          <w:sz w:val="24"/>
          <w:szCs w:val="24"/>
        </w:rPr>
        <w:t xml:space="preserve"> </w:t>
      </w:r>
      <w:r w:rsidRPr="000B4E2C">
        <w:rPr>
          <w:color w:val="000000" w:themeColor="text1"/>
          <w:sz w:val="24"/>
          <w:szCs w:val="24"/>
        </w:rPr>
        <w:t xml:space="preserve">However, in a group of critically ill, hospitalised patients, this prevalence may be substantially higher. For the base case analysis, we use the underlying prevalence of CKD in the Grampian </w:t>
      </w:r>
      <w:r w:rsidR="000B4E2C" w:rsidRPr="000B4E2C">
        <w:rPr>
          <w:color w:val="00B0F0"/>
          <w:sz w:val="24"/>
          <w:szCs w:val="24"/>
          <w:highlight w:val="magenta"/>
        </w:rPr>
        <w:t>data</w:t>
      </w:r>
      <w:r w:rsidR="000B4E2C" w:rsidRPr="000B4E2C">
        <w:rPr>
          <w:color w:val="00B0F0"/>
          <w:sz w:val="24"/>
          <w:szCs w:val="24"/>
        </w:rPr>
        <w:t xml:space="preserve"> set</w:t>
      </w:r>
      <w:r w:rsidRPr="000B4E2C">
        <w:rPr>
          <w:color w:val="000000" w:themeColor="text1"/>
          <w:sz w:val="24"/>
          <w:szCs w:val="24"/>
        </w:rPr>
        <w:t>, calculated as the prevalence of CKD in all hospitalised patients having their kidney function monitored. Multiplying through by the sampling fraction for no CKD (20%) and taking the proportion of CKD</w:t>
      </w:r>
      <w:r w:rsidR="000B4E2C" w:rsidRPr="000B4E2C">
        <w:rPr>
          <w:color w:val="00B0F0"/>
          <w:sz w:val="24"/>
          <w:szCs w:val="24"/>
        </w:rPr>
        <w:t>/</w:t>
      </w:r>
      <w:r w:rsidRPr="000B4E2C">
        <w:rPr>
          <w:color w:val="000000" w:themeColor="text1"/>
          <w:sz w:val="24"/>
          <w:szCs w:val="24"/>
        </w:rPr>
        <w:t>full sample gives the baseline prevalence in this group, calculated as 5,935</w:t>
      </w:r>
      <w:r w:rsidR="000B4E2C" w:rsidRPr="000B4E2C">
        <w:rPr>
          <w:color w:val="00B0F0"/>
          <w:sz w:val="24"/>
          <w:szCs w:val="24"/>
        </w:rPr>
        <w:t>/</w:t>
      </w:r>
      <w:r w:rsidRPr="000B4E2C">
        <w:rPr>
          <w:color w:val="000000" w:themeColor="text1"/>
          <w:sz w:val="24"/>
          <w:szCs w:val="24"/>
        </w:rPr>
        <w:t>53,691 (11.05%).</w:t>
      </w:r>
    </w:p>
    <w:p w14:paraId="20F814C1" w14:textId="5A55C984" w:rsidR="002F0133" w:rsidRPr="000B4E2C" w:rsidRDefault="002F0133" w:rsidP="008A7464">
      <w:pPr>
        <w:pStyle w:val="Heading4"/>
      </w:pPr>
      <w:r w:rsidRPr="000B4E2C">
        <w:t>Health state transition probabilities</w:t>
      </w:r>
    </w:p>
    <w:p w14:paraId="05C1C66B" w14:textId="6F95B9D2" w:rsidR="000B4E2C" w:rsidRPr="000B4E2C" w:rsidRDefault="002F0133" w:rsidP="008A7464">
      <w:pPr>
        <w:pStyle w:val="CommentText"/>
        <w:spacing w:line="360" w:lineRule="auto"/>
        <w:rPr>
          <w:color w:val="000000" w:themeColor="text1"/>
          <w:sz w:val="24"/>
          <w:szCs w:val="24"/>
        </w:rPr>
      </w:pPr>
      <w:r w:rsidRPr="000B4E2C">
        <w:rPr>
          <w:color w:val="000000" w:themeColor="text1"/>
          <w:sz w:val="24"/>
          <w:szCs w:val="24"/>
        </w:rPr>
        <w:t xml:space="preserve">The baseline </w:t>
      </w:r>
      <w:r w:rsidRPr="000B4E2C">
        <w:rPr>
          <w:color w:val="000000" w:themeColor="text1"/>
          <w:sz w:val="24"/>
          <w:szCs w:val="24"/>
          <w:highlight w:val="magenta"/>
        </w:rPr>
        <w:t>incidence</w:t>
      </w:r>
      <w:r w:rsidRPr="000B4E2C">
        <w:rPr>
          <w:color w:val="000000" w:themeColor="text1"/>
          <w:sz w:val="24"/>
          <w:szCs w:val="24"/>
        </w:rPr>
        <w:t xml:space="preserve"> of new onset CKD for the Markov model uses the same source as Hall</w:t>
      </w:r>
      <w:r w:rsidRPr="000B4E2C">
        <w:rPr>
          <w:i/>
          <w:color w:val="00B0F0"/>
          <w:sz w:val="24"/>
          <w:szCs w:val="24"/>
        </w:rPr>
        <w:t xml:space="preserve"> et al</w:t>
      </w:r>
      <w:r w:rsidRPr="000B4E2C">
        <w:rPr>
          <w:color w:val="000000" w:themeColor="text1"/>
          <w:sz w:val="24"/>
          <w:szCs w:val="24"/>
        </w:rPr>
        <w:t>. with an annual probability of progressing from the outpatient to CKD state of 0.0044 95% CI: (0.0039 to 0.0049) for patients in the no AKI cohort</w:t>
      </w:r>
      <w:r w:rsidR="00DB7447" w:rsidRPr="000B4E2C">
        <w:rPr>
          <w:color w:val="000000" w:themeColor="text1"/>
          <w:sz w:val="24"/>
          <w:szCs w:val="24"/>
        </w:rPr>
        <w:t>.</w:t>
      </w:r>
      <w:r w:rsidR="00280A97" w:rsidRPr="000B4E2C">
        <w:rPr>
          <w:noProof/>
          <w:color w:val="000000" w:themeColor="text1"/>
          <w:sz w:val="24"/>
          <w:szCs w:val="24"/>
          <w:vertAlign w:val="superscript"/>
        </w:rPr>
        <w:t>113</w:t>
      </w:r>
      <w:r w:rsidRPr="000B4E2C">
        <w:rPr>
          <w:color w:val="000000" w:themeColor="text1"/>
          <w:sz w:val="24"/>
          <w:szCs w:val="24"/>
        </w:rPr>
        <w:t xml:space="preserve"> The </w:t>
      </w:r>
      <w:r w:rsidRPr="000B4E2C">
        <w:rPr>
          <w:color w:val="000000" w:themeColor="text1"/>
          <w:sz w:val="24"/>
          <w:szCs w:val="24"/>
          <w:highlight w:val="magenta"/>
        </w:rPr>
        <w:t>data</w:t>
      </w:r>
      <w:r w:rsidRPr="000B4E2C">
        <w:rPr>
          <w:color w:val="000000" w:themeColor="text1"/>
          <w:sz w:val="24"/>
          <w:szCs w:val="24"/>
        </w:rPr>
        <w:t xml:space="preserve"> are obtained from a large cohort study of 97,782 ICU patients enrolled on the Sw</w:t>
      </w:r>
      <w:r w:rsidR="00DB7447" w:rsidRPr="000B4E2C">
        <w:rPr>
          <w:color w:val="000000" w:themeColor="text1"/>
          <w:sz w:val="24"/>
          <w:szCs w:val="24"/>
        </w:rPr>
        <w:t xml:space="preserve">edish intensive care register. </w:t>
      </w:r>
      <w:r w:rsidRPr="000B4E2C">
        <w:rPr>
          <w:color w:val="000000" w:themeColor="text1"/>
          <w:sz w:val="24"/>
          <w:szCs w:val="24"/>
        </w:rPr>
        <w:t xml:space="preserve">The parameter value 0.0044 reflects the CKD </w:t>
      </w:r>
      <w:r w:rsidRPr="000B4E2C">
        <w:rPr>
          <w:color w:val="000000" w:themeColor="text1"/>
          <w:sz w:val="24"/>
          <w:szCs w:val="24"/>
          <w:highlight w:val="magenta"/>
        </w:rPr>
        <w:t>incidence</w:t>
      </w:r>
      <w:r w:rsidRPr="000B4E2C">
        <w:rPr>
          <w:color w:val="000000" w:themeColor="text1"/>
          <w:sz w:val="24"/>
          <w:szCs w:val="24"/>
        </w:rPr>
        <w:t xml:space="preserve"> at 1-year post ICU admission for the proportion of patients with no AKI. The same baseline proportion of CKD was applied for those without AKI, and for those modelled to have AKI averted </w:t>
      </w:r>
      <w:r w:rsidRPr="000B4E2C">
        <w:rPr>
          <w:color w:val="000000" w:themeColor="text1"/>
          <w:sz w:val="24"/>
          <w:szCs w:val="24"/>
          <w:highlight w:val="magenta"/>
        </w:rPr>
        <w:t>due to</w:t>
      </w:r>
      <w:r w:rsidRPr="000B4E2C">
        <w:rPr>
          <w:color w:val="000000" w:themeColor="text1"/>
          <w:sz w:val="24"/>
          <w:szCs w:val="24"/>
        </w:rPr>
        <w:t xml:space="preserve"> early preventative treatment. The proportion of the </w:t>
      </w:r>
      <w:r w:rsidR="000B4E2C" w:rsidRPr="000B4E2C">
        <w:rPr>
          <w:color w:val="00B0F0"/>
          <w:sz w:val="24"/>
          <w:szCs w:val="24"/>
        </w:rPr>
        <w:t>‘</w:t>
      </w:r>
      <w:r w:rsidR="0072128A" w:rsidRPr="000B4E2C">
        <w:rPr>
          <w:color w:val="000000" w:themeColor="text1"/>
          <w:sz w:val="24"/>
          <w:szCs w:val="24"/>
        </w:rPr>
        <w:t>no AKI</w:t>
      </w:r>
      <w:r w:rsidR="000B4E2C" w:rsidRPr="000B4E2C">
        <w:rPr>
          <w:color w:val="00B0F0"/>
          <w:sz w:val="24"/>
          <w:szCs w:val="24"/>
        </w:rPr>
        <w:t>’</w:t>
      </w:r>
      <w:r w:rsidRPr="000B4E2C">
        <w:rPr>
          <w:color w:val="000000" w:themeColor="text1"/>
          <w:sz w:val="24"/>
          <w:szCs w:val="24"/>
        </w:rPr>
        <w:t xml:space="preserve"> cohorts starting in the CKD state at day 90 was calculated as the underlying prevalence + the new annual </w:t>
      </w:r>
      <w:r w:rsidRPr="000B4E2C">
        <w:rPr>
          <w:color w:val="000000" w:themeColor="text1"/>
          <w:sz w:val="24"/>
          <w:szCs w:val="24"/>
          <w:highlight w:val="magenta"/>
        </w:rPr>
        <w:t>incidence</w:t>
      </w:r>
      <w:r w:rsidRPr="000B4E2C">
        <w:rPr>
          <w:color w:val="000000" w:themeColor="text1"/>
          <w:sz w:val="24"/>
          <w:szCs w:val="24"/>
        </w:rPr>
        <w:t xml:space="preserve"> adjusted to the 90-day time horizon of the decision tree component of the model.</w:t>
      </w:r>
    </w:p>
    <w:p w14:paraId="06B3AAC9" w14:textId="727C11E2" w:rsidR="000B4E2C" w:rsidRPr="000B4E2C" w:rsidRDefault="002F0133" w:rsidP="008A7464">
      <w:pPr>
        <w:pStyle w:val="CommentText"/>
        <w:spacing w:line="360" w:lineRule="auto"/>
        <w:rPr>
          <w:color w:val="000000" w:themeColor="text1"/>
          <w:sz w:val="24"/>
          <w:szCs w:val="24"/>
        </w:rPr>
      </w:pPr>
      <w:r w:rsidRPr="000B4E2C">
        <w:rPr>
          <w:color w:val="000000" w:themeColor="text1"/>
          <w:sz w:val="24"/>
          <w:szCs w:val="24"/>
        </w:rPr>
        <w:lastRenderedPageBreak/>
        <w:t>Hazard ratios for AKI1, AKI2 and AKI3 on the development of CKD (defined as CKD stage 3 or above) were obtained from a systematic review by See</w:t>
      </w:r>
      <w:r w:rsidRPr="000B4E2C">
        <w:rPr>
          <w:i/>
          <w:color w:val="00B0F0"/>
          <w:sz w:val="24"/>
          <w:szCs w:val="24"/>
        </w:rPr>
        <w:t xml:space="preserve"> et al</w:t>
      </w:r>
      <w:r w:rsidR="00DB7447" w:rsidRPr="000B4E2C">
        <w:rPr>
          <w:color w:val="000000" w:themeColor="text1"/>
          <w:sz w:val="24"/>
          <w:szCs w:val="24"/>
        </w:rPr>
        <w:t>.</w:t>
      </w:r>
      <w:r w:rsidR="00280A97" w:rsidRPr="000B4E2C">
        <w:rPr>
          <w:noProof/>
          <w:color w:val="000000" w:themeColor="text1"/>
          <w:sz w:val="24"/>
          <w:szCs w:val="24"/>
          <w:vertAlign w:val="superscript"/>
        </w:rPr>
        <w:t>114</w:t>
      </w:r>
      <w:r w:rsidRPr="000B4E2C">
        <w:rPr>
          <w:color w:val="000000" w:themeColor="text1"/>
          <w:sz w:val="24"/>
          <w:szCs w:val="24"/>
        </w:rPr>
        <w:t xml:space="preserve"> The review included a total of 82 studies quantifying the association between AKI and longer-term renal outcomes (including CKD) and mortality. However, only 3 studies reported the impact of each KDIGO stage of AKI on CKD development.</w:t>
      </w:r>
      <w:r w:rsidR="000B4E2C" w:rsidRPr="000B4E2C">
        <w:rPr>
          <w:color w:val="000000" w:themeColor="text1"/>
          <w:sz w:val="24"/>
          <w:szCs w:val="24"/>
        </w:rPr>
        <w:t xml:space="preserve"> </w:t>
      </w:r>
      <w:r w:rsidRPr="000B4E2C">
        <w:rPr>
          <w:color w:val="000000" w:themeColor="text1"/>
          <w:sz w:val="24"/>
          <w:szCs w:val="24"/>
        </w:rPr>
        <w:t>One study (N</w:t>
      </w:r>
      <w:r w:rsidR="000B4E2C" w:rsidRPr="000B4E2C">
        <w:rPr>
          <w:color w:val="00B0F0"/>
          <w:sz w:val="24"/>
          <w:szCs w:val="24"/>
        </w:rPr>
        <w:t> = </w:t>
      </w:r>
      <w:r w:rsidRPr="000B4E2C">
        <w:rPr>
          <w:color w:val="000000" w:themeColor="text1"/>
          <w:sz w:val="24"/>
          <w:szCs w:val="24"/>
        </w:rPr>
        <w:t>104,764) in a US setting generated slightly counter intuitive results with point estimates of the HR re</w:t>
      </w:r>
      <w:r w:rsidR="00DB7447" w:rsidRPr="000B4E2C">
        <w:rPr>
          <w:color w:val="000000" w:themeColor="text1"/>
          <w:sz w:val="24"/>
          <w:szCs w:val="24"/>
        </w:rPr>
        <w:t xml:space="preserve">ducing as AKI stage increases. </w:t>
      </w:r>
      <w:r w:rsidRPr="000B4E2C">
        <w:rPr>
          <w:color w:val="000000" w:themeColor="text1"/>
          <w:sz w:val="24"/>
          <w:szCs w:val="24"/>
        </w:rPr>
        <w:t>However, two other Asian studies (N</w:t>
      </w:r>
      <w:r w:rsidR="000B4E2C" w:rsidRPr="000B4E2C">
        <w:rPr>
          <w:color w:val="00B0F0"/>
          <w:sz w:val="24"/>
          <w:szCs w:val="24"/>
        </w:rPr>
        <w:t> = </w:t>
      </w:r>
      <w:r w:rsidRPr="000B4E2C">
        <w:rPr>
          <w:color w:val="000000" w:themeColor="text1"/>
          <w:sz w:val="24"/>
          <w:szCs w:val="24"/>
        </w:rPr>
        <w:t>77 and N</w:t>
      </w:r>
      <w:r w:rsidR="000B4E2C" w:rsidRPr="000B4E2C">
        <w:rPr>
          <w:color w:val="00B0F0"/>
          <w:sz w:val="24"/>
          <w:szCs w:val="24"/>
        </w:rPr>
        <w:t> = </w:t>
      </w:r>
      <w:r w:rsidRPr="000B4E2C">
        <w:rPr>
          <w:color w:val="000000" w:themeColor="text1"/>
          <w:sz w:val="24"/>
          <w:szCs w:val="24"/>
        </w:rPr>
        <w:t>1363) illustrated an increasing HR for more severe AKI stages.</w:t>
      </w:r>
      <w:r w:rsidR="000B4E2C" w:rsidRPr="000B4E2C">
        <w:rPr>
          <w:color w:val="000000" w:themeColor="text1"/>
          <w:sz w:val="24"/>
          <w:szCs w:val="24"/>
        </w:rPr>
        <w:t xml:space="preserve"> </w:t>
      </w:r>
      <w:r w:rsidRPr="000B4E2C">
        <w:rPr>
          <w:color w:val="000000" w:themeColor="text1"/>
          <w:sz w:val="24"/>
          <w:szCs w:val="24"/>
        </w:rPr>
        <w:t>The systematic review has meta-analysed these three studies and the summary effects by AKI stage on CKD, defined as CKD stage 3, are used in the base case analysis.</w:t>
      </w:r>
      <w:r w:rsidR="000B4E2C" w:rsidRPr="000B4E2C">
        <w:rPr>
          <w:color w:val="000000" w:themeColor="text1"/>
          <w:sz w:val="24"/>
          <w:szCs w:val="24"/>
        </w:rPr>
        <w:t xml:space="preserve"> </w:t>
      </w:r>
      <w:r w:rsidRPr="000B4E2C">
        <w:rPr>
          <w:color w:val="000000" w:themeColor="text1"/>
          <w:sz w:val="24"/>
          <w:szCs w:val="24"/>
        </w:rPr>
        <w:t>The advantage of these studies is that they allow a demonstration of the impact of adapting the distribution of AKI severity on longer term development of CKD.</w:t>
      </w:r>
      <w:r w:rsidR="000B4E2C" w:rsidRPr="000B4E2C">
        <w:rPr>
          <w:color w:val="000000" w:themeColor="text1"/>
          <w:sz w:val="24"/>
          <w:szCs w:val="24"/>
        </w:rPr>
        <w:t xml:space="preserve"> </w:t>
      </w:r>
      <w:r w:rsidRPr="000B4E2C">
        <w:rPr>
          <w:color w:val="000000" w:themeColor="text1"/>
          <w:sz w:val="24"/>
          <w:szCs w:val="24"/>
        </w:rPr>
        <w:t>However, they are not conducted in a UK setting and may lack relevance.</w:t>
      </w:r>
      <w:r w:rsidR="000B4E2C" w:rsidRPr="000B4E2C">
        <w:rPr>
          <w:color w:val="000000" w:themeColor="text1"/>
          <w:sz w:val="24"/>
          <w:szCs w:val="24"/>
        </w:rPr>
        <w:t xml:space="preserve"> </w:t>
      </w:r>
      <w:r w:rsidR="00A14E87" w:rsidRPr="000B4E2C">
        <w:rPr>
          <w:color w:val="000000" w:themeColor="text1"/>
          <w:sz w:val="24"/>
          <w:szCs w:val="24"/>
        </w:rPr>
        <w:t xml:space="preserve">An alternative source, reporting the </w:t>
      </w:r>
      <w:r w:rsidRPr="000B4E2C">
        <w:rPr>
          <w:color w:val="000000" w:themeColor="text1"/>
          <w:sz w:val="24"/>
          <w:szCs w:val="24"/>
        </w:rPr>
        <w:t xml:space="preserve">HR for the association between AKI and CKD that is constant across all AKI stages, </w:t>
      </w:r>
      <w:r w:rsidR="00A14E87" w:rsidRPr="000B4E2C">
        <w:rPr>
          <w:color w:val="000000" w:themeColor="text1"/>
          <w:sz w:val="24"/>
          <w:szCs w:val="24"/>
        </w:rPr>
        <w:t>i</w:t>
      </w:r>
      <w:r w:rsidRPr="000B4E2C">
        <w:rPr>
          <w:color w:val="000000" w:themeColor="text1"/>
          <w:sz w:val="24"/>
          <w:szCs w:val="24"/>
        </w:rPr>
        <w:t>s reported by Sawhney</w:t>
      </w:r>
      <w:r w:rsidR="00A14E87" w:rsidRPr="000B4E2C">
        <w:rPr>
          <w:i/>
          <w:color w:val="00B0F0"/>
          <w:sz w:val="24"/>
          <w:szCs w:val="24"/>
        </w:rPr>
        <w:t xml:space="preserve"> et al</w:t>
      </w:r>
      <w:r w:rsidR="00A14E87" w:rsidRPr="000B4E2C">
        <w:rPr>
          <w:color w:val="00B0F0"/>
          <w:sz w:val="24"/>
          <w:szCs w:val="24"/>
        </w:rPr>
        <w:t>.</w:t>
      </w:r>
      <w:r w:rsidRPr="000B4E2C">
        <w:rPr>
          <w:color w:val="00B0F0"/>
          <w:sz w:val="24"/>
          <w:szCs w:val="24"/>
        </w:rPr>
        <w:t>,</w:t>
      </w:r>
      <w:r w:rsidRPr="000B4E2C">
        <w:rPr>
          <w:color w:val="000000" w:themeColor="text1"/>
          <w:sz w:val="24"/>
          <w:szCs w:val="24"/>
        </w:rPr>
        <w:t xml:space="preserve"> 2017 for N</w:t>
      </w:r>
      <w:r w:rsidR="000B4E2C" w:rsidRPr="000B4E2C">
        <w:rPr>
          <w:color w:val="00B0F0"/>
          <w:sz w:val="24"/>
          <w:szCs w:val="24"/>
        </w:rPr>
        <w:t> = </w:t>
      </w:r>
      <w:r w:rsidRPr="000B4E2C">
        <w:rPr>
          <w:color w:val="000000" w:themeColor="text1"/>
          <w:sz w:val="24"/>
          <w:szCs w:val="24"/>
        </w:rPr>
        <w:t xml:space="preserve">9004 hospitalised </w:t>
      </w:r>
      <w:r w:rsidR="00DB7447" w:rsidRPr="000B4E2C">
        <w:rPr>
          <w:color w:val="000000" w:themeColor="text1"/>
          <w:sz w:val="24"/>
          <w:szCs w:val="24"/>
        </w:rPr>
        <w:t xml:space="preserve">patients with AKI in Grampian. </w:t>
      </w:r>
      <w:r w:rsidRPr="000B4E2C">
        <w:rPr>
          <w:color w:val="000000" w:themeColor="text1"/>
          <w:sz w:val="24"/>
          <w:szCs w:val="24"/>
        </w:rPr>
        <w:t>The HR for development of stage 4 CKD (AKI vs. no AKI) was 2.55 (1.41 to 4.64).</w:t>
      </w:r>
      <w:r w:rsidR="000B4E2C" w:rsidRPr="000B4E2C">
        <w:rPr>
          <w:color w:val="000000" w:themeColor="text1"/>
          <w:sz w:val="24"/>
          <w:szCs w:val="24"/>
        </w:rPr>
        <w:t xml:space="preserve"> </w:t>
      </w:r>
      <w:r w:rsidRPr="000B4E2C">
        <w:rPr>
          <w:color w:val="000000" w:themeColor="text1"/>
          <w:sz w:val="24"/>
          <w:szCs w:val="24"/>
        </w:rPr>
        <w:t xml:space="preserve">This study has the advantage of relevance to the setting but does not </w:t>
      </w:r>
      <w:r w:rsidR="00DB7447" w:rsidRPr="000B4E2C">
        <w:rPr>
          <w:color w:val="000000" w:themeColor="text1"/>
          <w:sz w:val="24"/>
          <w:szCs w:val="24"/>
        </w:rPr>
        <w:t xml:space="preserve">include risks by AKI severity. </w:t>
      </w:r>
      <w:r w:rsidRPr="000B4E2C">
        <w:rPr>
          <w:color w:val="000000" w:themeColor="text1"/>
          <w:sz w:val="24"/>
          <w:szCs w:val="24"/>
        </w:rPr>
        <w:t>However, it should be noted that the definition of CKD is stage 4 in Sawhney</w:t>
      </w:r>
      <w:r w:rsidRPr="000B4E2C">
        <w:rPr>
          <w:i/>
          <w:color w:val="00B0F0"/>
          <w:sz w:val="24"/>
          <w:szCs w:val="24"/>
        </w:rPr>
        <w:t xml:space="preserve"> et al</w:t>
      </w:r>
      <w:r w:rsidRPr="000B4E2C">
        <w:rPr>
          <w:color w:val="000000" w:themeColor="text1"/>
          <w:sz w:val="24"/>
          <w:szCs w:val="24"/>
        </w:rPr>
        <w:t xml:space="preserve"> </w:t>
      </w:r>
      <w:r w:rsidRPr="000B4E2C">
        <w:rPr>
          <w:color w:val="000000" w:themeColor="text1"/>
          <w:sz w:val="24"/>
          <w:szCs w:val="24"/>
          <w:highlight w:val="magenta"/>
        </w:rPr>
        <w:t>compared to</w:t>
      </w:r>
      <w:r w:rsidRPr="000B4E2C">
        <w:rPr>
          <w:color w:val="000000" w:themeColor="text1"/>
          <w:sz w:val="24"/>
          <w:szCs w:val="24"/>
        </w:rPr>
        <w:t xml:space="preserve"> Stage 3 in the meta-analysed studies which may limit comparability of the reported HRs.</w:t>
      </w:r>
    </w:p>
    <w:p w14:paraId="10503620" w14:textId="77777777" w:rsidR="000B4E2C" w:rsidRPr="000B4E2C" w:rsidRDefault="002F0133" w:rsidP="008A7464">
      <w:pPr>
        <w:pStyle w:val="CommentText"/>
        <w:spacing w:line="360" w:lineRule="auto"/>
        <w:rPr>
          <w:color w:val="000000" w:themeColor="text1"/>
          <w:sz w:val="24"/>
          <w:szCs w:val="24"/>
        </w:rPr>
      </w:pPr>
      <w:r w:rsidRPr="000B4E2C">
        <w:rPr>
          <w:color w:val="000000" w:themeColor="text1"/>
          <w:sz w:val="24"/>
          <w:szCs w:val="24"/>
        </w:rPr>
        <w:t xml:space="preserve">The HRs of CKD by AKI stage are applied to the new </w:t>
      </w:r>
      <w:r w:rsidRPr="000B4E2C">
        <w:rPr>
          <w:color w:val="000000" w:themeColor="text1"/>
          <w:sz w:val="24"/>
          <w:szCs w:val="24"/>
          <w:highlight w:val="magenta"/>
        </w:rPr>
        <w:t>incidence</w:t>
      </w:r>
      <w:r w:rsidRPr="000B4E2C">
        <w:rPr>
          <w:color w:val="000000" w:themeColor="text1"/>
          <w:sz w:val="24"/>
          <w:szCs w:val="24"/>
        </w:rPr>
        <w:t xml:space="preserve"> over the first 90 days and to the first a</w:t>
      </w:r>
      <w:r w:rsidR="00DB7447" w:rsidRPr="000B4E2C">
        <w:rPr>
          <w:color w:val="000000" w:themeColor="text1"/>
          <w:sz w:val="24"/>
          <w:szCs w:val="24"/>
        </w:rPr>
        <w:t xml:space="preserve">nnual transition in the model. </w:t>
      </w:r>
      <w:r w:rsidRPr="000B4E2C">
        <w:rPr>
          <w:color w:val="000000" w:themeColor="text1"/>
          <w:sz w:val="24"/>
          <w:szCs w:val="24"/>
        </w:rPr>
        <w:t xml:space="preserve">Thereafter, the transition probabilities from outpatient </w:t>
      </w:r>
      <w:r w:rsidRPr="000B4E2C">
        <w:rPr>
          <w:color w:val="000000" w:themeColor="text1"/>
          <w:sz w:val="24"/>
          <w:szCs w:val="24"/>
          <w:highlight w:val="magenta"/>
        </w:rPr>
        <w:t>follow up</w:t>
      </w:r>
      <w:r w:rsidRPr="000B4E2C">
        <w:rPr>
          <w:color w:val="000000" w:themeColor="text1"/>
          <w:sz w:val="24"/>
          <w:szCs w:val="24"/>
        </w:rPr>
        <w:t xml:space="preserve"> to CKD follow</w:t>
      </w:r>
      <w:r w:rsidR="001E605D" w:rsidRPr="000B4E2C">
        <w:rPr>
          <w:color w:val="000000" w:themeColor="text1"/>
          <w:sz w:val="24"/>
          <w:szCs w:val="24"/>
        </w:rPr>
        <w:t xml:space="preserve"> the baseline 0.0044 per year. </w:t>
      </w:r>
      <w:r w:rsidRPr="000B4E2C">
        <w:rPr>
          <w:color w:val="000000" w:themeColor="text1"/>
          <w:sz w:val="24"/>
          <w:szCs w:val="24"/>
        </w:rPr>
        <w:t>This approach is based on expert opinion that any longer-term effect of AKI on CKD development will become attenuated over time, particularly if it has not occurred in the first yea</w:t>
      </w:r>
      <w:r w:rsidR="001E605D" w:rsidRPr="000B4E2C">
        <w:rPr>
          <w:color w:val="000000" w:themeColor="text1"/>
          <w:sz w:val="24"/>
          <w:szCs w:val="24"/>
        </w:rPr>
        <w:t>r following hospital discharge.</w:t>
      </w:r>
      <w:r w:rsidRPr="000B4E2C">
        <w:rPr>
          <w:color w:val="000000" w:themeColor="text1"/>
          <w:sz w:val="24"/>
          <w:szCs w:val="24"/>
        </w:rPr>
        <w:t xml:space="preserve"> Sensitivity analysis explores a scenario where the HR of CKD is applied for the full duration of the model, reflecting the assumption applied in Hall</w:t>
      </w:r>
      <w:r w:rsidRPr="000B4E2C">
        <w:rPr>
          <w:i/>
          <w:color w:val="00B0F0"/>
          <w:sz w:val="24"/>
          <w:szCs w:val="24"/>
        </w:rPr>
        <w:t xml:space="preserve"> et al</w:t>
      </w:r>
      <w:r w:rsidR="001E605D" w:rsidRPr="000B4E2C">
        <w:rPr>
          <w:color w:val="000000" w:themeColor="text1"/>
          <w:sz w:val="24"/>
          <w:szCs w:val="24"/>
        </w:rPr>
        <w:t>.</w:t>
      </w:r>
      <w:r w:rsidR="005B5026" w:rsidRPr="000B4E2C">
        <w:rPr>
          <w:noProof/>
          <w:color w:val="000000" w:themeColor="text1"/>
          <w:sz w:val="24"/>
          <w:szCs w:val="24"/>
          <w:vertAlign w:val="superscript"/>
        </w:rPr>
        <w:t>99</w:t>
      </w:r>
    </w:p>
    <w:p w14:paraId="5B2C73F6" w14:textId="624972EF" w:rsidR="000B4E2C" w:rsidRPr="000B4E2C" w:rsidRDefault="002F0133" w:rsidP="008A7464">
      <w:pPr>
        <w:pStyle w:val="CommentText"/>
        <w:spacing w:line="360" w:lineRule="auto"/>
        <w:rPr>
          <w:color w:val="000000" w:themeColor="text1"/>
          <w:sz w:val="24"/>
          <w:szCs w:val="24"/>
        </w:rPr>
      </w:pPr>
      <w:r w:rsidRPr="000B4E2C">
        <w:rPr>
          <w:color w:val="000000" w:themeColor="text1"/>
          <w:sz w:val="24"/>
          <w:szCs w:val="24"/>
        </w:rPr>
        <w:t xml:space="preserve">Prevalence of CKD and </w:t>
      </w:r>
      <w:r w:rsidRPr="000B4E2C">
        <w:rPr>
          <w:color w:val="000000" w:themeColor="text1"/>
          <w:sz w:val="24"/>
          <w:szCs w:val="24"/>
          <w:highlight w:val="magenta"/>
        </w:rPr>
        <w:t>incidence</w:t>
      </w:r>
      <w:r w:rsidRPr="000B4E2C">
        <w:rPr>
          <w:color w:val="000000" w:themeColor="text1"/>
          <w:sz w:val="24"/>
          <w:szCs w:val="24"/>
        </w:rPr>
        <w:t xml:space="preserve"> of new onset CKD are parameterised in the model using beta distributions and the hazard ratios for the effect of peak AKI severity on CKD </w:t>
      </w:r>
      <w:r w:rsidRPr="000B4E2C">
        <w:rPr>
          <w:color w:val="000000" w:themeColor="text1"/>
          <w:sz w:val="24"/>
          <w:szCs w:val="24"/>
          <w:highlight w:val="magenta"/>
        </w:rPr>
        <w:t>incidence</w:t>
      </w:r>
      <w:r w:rsidRPr="000B4E2C">
        <w:rPr>
          <w:color w:val="000000" w:themeColor="text1"/>
          <w:sz w:val="24"/>
          <w:szCs w:val="24"/>
        </w:rPr>
        <w:t xml:space="preserve"> (i.e.</w:t>
      </w:r>
      <w:r w:rsidR="00881500" w:rsidRPr="000B4E2C">
        <w:rPr>
          <w:color w:val="000000" w:themeColor="text1"/>
          <w:sz w:val="24"/>
          <w:szCs w:val="24"/>
        </w:rPr>
        <w:t>,</w:t>
      </w:r>
      <w:r w:rsidRPr="000B4E2C">
        <w:rPr>
          <w:color w:val="000000" w:themeColor="text1"/>
          <w:sz w:val="24"/>
          <w:szCs w:val="24"/>
        </w:rPr>
        <w:t xml:space="preserve"> transition probabilities to CKD state) are parameterised using </w:t>
      </w:r>
      <w:r w:rsidR="000B4E2C" w:rsidRPr="000B4E2C">
        <w:rPr>
          <w:color w:val="00B0F0"/>
          <w:sz w:val="24"/>
          <w:szCs w:val="24"/>
        </w:rPr>
        <w:t>log-normal distribution</w:t>
      </w:r>
      <w:r w:rsidRPr="000B4E2C">
        <w:rPr>
          <w:color w:val="000000" w:themeColor="text1"/>
          <w:sz w:val="24"/>
          <w:szCs w:val="24"/>
        </w:rPr>
        <w:t>s</w:t>
      </w:r>
      <w:r w:rsidR="001E605D" w:rsidRPr="000B4E2C">
        <w:rPr>
          <w:color w:val="000000" w:themeColor="text1"/>
          <w:sz w:val="24"/>
          <w:szCs w:val="24"/>
        </w:rPr>
        <w:t>.</w:t>
      </w:r>
    </w:p>
    <w:p w14:paraId="0915CDA8" w14:textId="70392424" w:rsidR="002F0133" w:rsidRPr="000B4E2C" w:rsidRDefault="002F0133" w:rsidP="008A7464">
      <w:pPr>
        <w:pStyle w:val="Heading4"/>
      </w:pPr>
      <w:r w:rsidRPr="000B4E2C">
        <w:t>Progression from CKD</w:t>
      </w:r>
    </w:p>
    <w:p w14:paraId="7C0732DD" w14:textId="18C4DB36" w:rsidR="000B4E2C" w:rsidRPr="000B4E2C" w:rsidRDefault="002F0133" w:rsidP="001E605D">
      <w:pPr>
        <w:autoSpaceDE w:val="0"/>
        <w:autoSpaceDN w:val="0"/>
        <w:adjustRightInd w:val="0"/>
        <w:rPr>
          <w:szCs w:val="24"/>
        </w:rPr>
      </w:pPr>
      <w:r w:rsidRPr="000B4E2C">
        <w:rPr>
          <w:color w:val="000000" w:themeColor="text1"/>
          <w:szCs w:val="24"/>
        </w:rPr>
        <w:t>The transition probability from outpatient follow-up to CKD</w:t>
      </w:r>
      <w:r w:rsidR="001E605D" w:rsidRPr="000B4E2C">
        <w:rPr>
          <w:color w:val="000000" w:themeColor="text1"/>
          <w:szCs w:val="24"/>
        </w:rPr>
        <w:t xml:space="preserve"> is 0.0044 as described above. </w:t>
      </w:r>
      <w:r w:rsidRPr="000B4E2C">
        <w:rPr>
          <w:color w:val="000000" w:themeColor="text1"/>
          <w:szCs w:val="24"/>
        </w:rPr>
        <w:t>The model cohort can then subsequently progress from CKD to ESRD, with or without dialysis and from ESRD to transplant according to the mod</w:t>
      </w:r>
      <w:r w:rsidR="001E605D" w:rsidRPr="000B4E2C">
        <w:rPr>
          <w:color w:val="000000" w:themeColor="text1"/>
          <w:szCs w:val="24"/>
        </w:rPr>
        <w:t>elled transition probabilities.</w:t>
      </w:r>
      <w:r w:rsidRPr="000B4E2C">
        <w:rPr>
          <w:color w:val="000000" w:themeColor="text1"/>
          <w:szCs w:val="24"/>
        </w:rPr>
        <w:t xml:space="preserve"> It is assumed that AKI can only influence the number of people who get CKD, and then has no further direct effect on how fast they progress through the CKD stages to</w:t>
      </w:r>
      <w:r w:rsidR="001E605D" w:rsidRPr="000B4E2C">
        <w:rPr>
          <w:color w:val="000000" w:themeColor="text1"/>
          <w:szCs w:val="24"/>
        </w:rPr>
        <w:t xml:space="preserve"> </w:t>
      </w:r>
      <w:r w:rsidR="001E605D" w:rsidRPr="000B4E2C">
        <w:rPr>
          <w:color w:val="000000" w:themeColor="text1"/>
          <w:szCs w:val="24"/>
        </w:rPr>
        <w:lastRenderedPageBreak/>
        <w:t xml:space="preserve">ESRD, dialysis or transplant. </w:t>
      </w:r>
      <w:r w:rsidRPr="000B4E2C">
        <w:rPr>
          <w:color w:val="000000" w:themeColor="text1"/>
          <w:szCs w:val="24"/>
        </w:rPr>
        <w:t>The cohort are also exposed to an increasing mortality risk as they progress through more severe disease states from CKD (1</w:t>
      </w:r>
      <w:r w:rsidR="000B4E2C" w:rsidRPr="000B4E2C">
        <w:rPr>
          <w:color w:val="00B0F0"/>
          <w:szCs w:val="24"/>
        </w:rPr>
        <w:t>–</w:t>
      </w:r>
      <w:r w:rsidR="000B4E2C" w:rsidRPr="000B4E2C">
        <w:rPr>
          <w:color w:val="00B0F0"/>
          <w:szCs w:val="24"/>
        </w:rPr>
        <w:t>4</w:t>
      </w:r>
      <w:r w:rsidRPr="000B4E2C">
        <w:rPr>
          <w:color w:val="000000" w:themeColor="text1"/>
          <w:szCs w:val="24"/>
        </w:rPr>
        <w:t>) to ESRD without dia</w:t>
      </w:r>
      <w:r w:rsidR="001E605D" w:rsidRPr="000B4E2C">
        <w:rPr>
          <w:color w:val="000000" w:themeColor="text1"/>
          <w:szCs w:val="24"/>
        </w:rPr>
        <w:t xml:space="preserve">lysis, and ESRD with dialysis. </w:t>
      </w:r>
      <w:r w:rsidRPr="000B4E2C">
        <w:rPr>
          <w:color w:val="000000" w:themeColor="text1"/>
          <w:szCs w:val="24"/>
        </w:rPr>
        <w:t>Transitions from CKD (1</w:t>
      </w:r>
      <w:r w:rsidR="000B4E2C" w:rsidRPr="000B4E2C">
        <w:rPr>
          <w:color w:val="00B0F0"/>
          <w:szCs w:val="24"/>
        </w:rPr>
        <w:t>–</w:t>
      </w:r>
      <w:r w:rsidR="000B4E2C" w:rsidRPr="000B4E2C">
        <w:rPr>
          <w:color w:val="00B0F0"/>
          <w:szCs w:val="24"/>
        </w:rPr>
        <w:t>4</w:t>
      </w:r>
      <w:r w:rsidRPr="000B4E2C">
        <w:rPr>
          <w:color w:val="000000" w:themeColor="text1"/>
          <w:szCs w:val="24"/>
        </w:rPr>
        <w:t>) to ESRD, from ESRD (no dialysis) to ESRD (with dialysis) and from CKD (1</w:t>
      </w:r>
      <w:r w:rsidR="000B4E2C" w:rsidRPr="000B4E2C">
        <w:rPr>
          <w:color w:val="00B0F0"/>
          <w:szCs w:val="24"/>
        </w:rPr>
        <w:t>–</w:t>
      </w:r>
      <w:r w:rsidR="000B4E2C" w:rsidRPr="000B4E2C">
        <w:rPr>
          <w:color w:val="00B0F0"/>
          <w:szCs w:val="24"/>
        </w:rPr>
        <w:t>4</w:t>
      </w:r>
      <w:r w:rsidRPr="000B4E2C">
        <w:rPr>
          <w:color w:val="000000" w:themeColor="text1"/>
          <w:szCs w:val="24"/>
        </w:rPr>
        <w:t>)</w:t>
      </w:r>
      <w:r w:rsidR="000B4E2C" w:rsidRPr="000B4E2C">
        <w:rPr>
          <w:color w:val="00B0F0"/>
          <w:szCs w:val="24"/>
        </w:rPr>
        <w:t>/</w:t>
      </w:r>
      <w:r w:rsidRPr="000B4E2C">
        <w:rPr>
          <w:color w:val="000000" w:themeColor="text1"/>
          <w:szCs w:val="24"/>
        </w:rPr>
        <w:t>ESRD to death are obtained from Kent</w:t>
      </w:r>
      <w:r w:rsidRPr="000B4E2C">
        <w:rPr>
          <w:i/>
          <w:color w:val="00B0F0"/>
          <w:szCs w:val="24"/>
        </w:rPr>
        <w:t xml:space="preserve"> et al</w:t>
      </w:r>
      <w:r w:rsidRPr="000B4E2C">
        <w:rPr>
          <w:color w:val="000000" w:themeColor="text1"/>
          <w:szCs w:val="24"/>
        </w:rPr>
        <w:t xml:space="preserve">. who reported </w:t>
      </w:r>
      <w:r w:rsidRPr="000B4E2C">
        <w:rPr>
          <w:color w:val="000000" w:themeColor="text1"/>
          <w:szCs w:val="24"/>
          <w:highlight w:val="magenta"/>
        </w:rPr>
        <w:t>data</w:t>
      </w:r>
      <w:r w:rsidRPr="000B4E2C">
        <w:rPr>
          <w:color w:val="000000" w:themeColor="text1"/>
          <w:szCs w:val="24"/>
        </w:rPr>
        <w:t xml:space="preserve"> on progression of kidney disease from the large (N</w:t>
      </w:r>
      <w:r w:rsidR="000B4E2C" w:rsidRPr="000B4E2C">
        <w:rPr>
          <w:color w:val="00B0F0"/>
          <w:szCs w:val="24"/>
        </w:rPr>
        <w:t> = </w:t>
      </w:r>
      <w:r w:rsidRPr="000B4E2C">
        <w:rPr>
          <w:color w:val="000000" w:themeColor="text1"/>
          <w:szCs w:val="24"/>
        </w:rPr>
        <w:t>7246), international (Europe, North America and Australasia) Study of Heart and Renal Protection (SHARP) RCT</w:t>
      </w:r>
      <w:r w:rsidR="001E605D" w:rsidRPr="000B4E2C">
        <w:rPr>
          <w:color w:val="000000" w:themeColor="text1"/>
          <w:szCs w:val="24"/>
        </w:rPr>
        <w:t>.</w:t>
      </w:r>
      <w:r w:rsidR="00280A97" w:rsidRPr="000B4E2C">
        <w:rPr>
          <w:noProof/>
          <w:color w:val="000000" w:themeColor="text1"/>
          <w:szCs w:val="24"/>
          <w:vertAlign w:val="superscript"/>
        </w:rPr>
        <w:t>115</w:t>
      </w:r>
      <w:r w:rsidRPr="000B4E2C">
        <w:rPr>
          <w:color w:val="000000" w:themeColor="text1"/>
          <w:szCs w:val="24"/>
        </w:rPr>
        <w:t xml:space="preserve"> </w:t>
      </w:r>
      <w:r w:rsidRPr="000B4E2C">
        <w:rPr>
          <w:szCs w:val="24"/>
        </w:rPr>
        <w:t xml:space="preserve">The median study follow-up was 4.9 years, with a mean age of 63 and 64% </w:t>
      </w:r>
      <w:r w:rsidR="00A14E87" w:rsidRPr="000B4E2C">
        <w:rPr>
          <w:szCs w:val="24"/>
        </w:rPr>
        <w:t xml:space="preserve">were </w:t>
      </w:r>
      <w:r w:rsidRPr="000B4E2C">
        <w:rPr>
          <w:szCs w:val="24"/>
        </w:rPr>
        <w:t>male.</w:t>
      </w:r>
    </w:p>
    <w:p w14:paraId="107A902C" w14:textId="1BE58891" w:rsidR="000B4E2C" w:rsidRPr="000B4E2C" w:rsidRDefault="002F0133" w:rsidP="001E605D">
      <w:pPr>
        <w:autoSpaceDE w:val="0"/>
        <w:autoSpaceDN w:val="0"/>
        <w:adjustRightInd w:val="0"/>
        <w:rPr>
          <w:color w:val="000000" w:themeColor="text1"/>
          <w:szCs w:val="24"/>
        </w:rPr>
      </w:pPr>
      <w:r w:rsidRPr="000B4E2C">
        <w:rPr>
          <w:color w:val="000000" w:themeColor="text1"/>
          <w:szCs w:val="24"/>
        </w:rPr>
        <w:t xml:space="preserve">For those with ESRD on dialysis, the proportion transiting to kidney transplant and mortality were obtained from 5-year </w:t>
      </w:r>
      <w:r w:rsidRPr="000B4E2C">
        <w:rPr>
          <w:color w:val="000000" w:themeColor="text1"/>
          <w:szCs w:val="24"/>
          <w:highlight w:val="magenta"/>
        </w:rPr>
        <w:t>data</w:t>
      </w:r>
      <w:r w:rsidRPr="000B4E2C">
        <w:rPr>
          <w:color w:val="000000" w:themeColor="text1"/>
          <w:szCs w:val="24"/>
        </w:rPr>
        <w:t xml:space="preserve"> published in the 2018 </w:t>
      </w:r>
      <w:r w:rsidRPr="000B4E2C">
        <w:t>UK Renal Registry report</w:t>
      </w:r>
      <w:r w:rsidRPr="000B4E2C">
        <w:rPr>
          <w:color w:val="000000" w:themeColor="text1"/>
          <w:szCs w:val="24"/>
        </w:rPr>
        <w:t xml:space="preserve">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1</w:t>
      </w:r>
      <w:r w:rsidRPr="000B4E2C">
        <w:rPr>
          <w:color w:val="000000" w:themeColor="text1"/>
          <w:szCs w:val="24"/>
        </w:rPr>
        <w:t>.17) which provided information on transition from incident RRT in 2012, to transplant and mortality 1, 3 and 5 years later</w:t>
      </w:r>
      <w:r w:rsidR="001E605D" w:rsidRPr="000B4E2C">
        <w:rPr>
          <w:color w:val="000000" w:themeColor="text1"/>
          <w:szCs w:val="24"/>
        </w:rPr>
        <w:t>.</w:t>
      </w:r>
      <w:r w:rsidR="00280A97" w:rsidRPr="000B4E2C">
        <w:rPr>
          <w:noProof/>
          <w:color w:val="000000" w:themeColor="text1"/>
          <w:szCs w:val="24"/>
          <w:vertAlign w:val="superscript"/>
        </w:rPr>
        <w:t>117</w:t>
      </w:r>
      <w:r w:rsidR="001E605D" w:rsidRPr="000B4E2C">
        <w:rPr>
          <w:color w:val="000000" w:themeColor="text1"/>
          <w:szCs w:val="24"/>
        </w:rPr>
        <w:t xml:space="preserve"> </w:t>
      </w:r>
      <w:r w:rsidRPr="000B4E2C">
        <w:t xml:space="preserve">The 3- and 5-year probabilities were annualised; the year 3 probability was applied to year 2 and 3, while the 5-year probability was applied to years 4 onwards. </w:t>
      </w:r>
      <w:r w:rsidRPr="000B4E2C">
        <w:rPr>
          <w:color w:val="000000" w:themeColor="text1"/>
          <w:szCs w:val="24"/>
        </w:rPr>
        <w:t>These probabilities were converted to the relevant annual cycle specific probabilities and applied in the model using tunnel states to track time from</w:t>
      </w:r>
      <w:r w:rsidR="001E605D" w:rsidRPr="000B4E2C">
        <w:rPr>
          <w:color w:val="000000" w:themeColor="text1"/>
          <w:szCs w:val="24"/>
        </w:rPr>
        <w:t xml:space="preserve"> entering a given health state.</w:t>
      </w:r>
      <w:r w:rsidRPr="000B4E2C">
        <w:rPr>
          <w:color w:val="000000" w:themeColor="text1"/>
          <w:szCs w:val="24"/>
        </w:rPr>
        <w:t xml:space="preserve"> The UK renal registry also provided </w:t>
      </w:r>
      <w:r w:rsidRPr="000B4E2C">
        <w:rPr>
          <w:color w:val="000000" w:themeColor="text1"/>
          <w:szCs w:val="24"/>
          <w:highlight w:val="magenta"/>
        </w:rPr>
        <w:t>data</w:t>
      </w:r>
      <w:r w:rsidRPr="000B4E2C">
        <w:rPr>
          <w:color w:val="000000" w:themeColor="text1"/>
          <w:szCs w:val="24"/>
        </w:rPr>
        <w:t xml:space="preserve"> on the probability of transition back to dialysis for failed transplants and the probability of death over 5 years following transplant. After 5 years post-transplant, mortality is assumed to revert to the general population all-cause mortality probability and the annual probability of transplant failure remains at that reported from years 3</w:t>
      </w:r>
      <w:r w:rsidR="000B4E2C" w:rsidRPr="000B4E2C">
        <w:rPr>
          <w:color w:val="00B0F0"/>
          <w:szCs w:val="24"/>
        </w:rPr>
        <w:t>–</w:t>
      </w:r>
      <w:r w:rsidR="000B4E2C" w:rsidRPr="000B4E2C">
        <w:rPr>
          <w:color w:val="00B0F0"/>
          <w:szCs w:val="24"/>
        </w:rPr>
        <w:t>5</w:t>
      </w:r>
      <w:r w:rsidRPr="000B4E2C">
        <w:rPr>
          <w:color w:val="000000" w:themeColor="text1"/>
          <w:szCs w:val="24"/>
        </w:rPr>
        <w:t xml:space="preserve"> in the UK renal regi</w:t>
      </w:r>
      <w:r w:rsidR="001E605D" w:rsidRPr="000B4E2C">
        <w:rPr>
          <w:color w:val="000000" w:themeColor="text1"/>
          <w:szCs w:val="24"/>
        </w:rPr>
        <w:t xml:space="preserve">stry. </w:t>
      </w:r>
      <w:r w:rsidRPr="000B4E2C">
        <w:rPr>
          <w:color w:val="000000" w:themeColor="text1"/>
          <w:szCs w:val="24"/>
        </w:rPr>
        <w:t>It is further assumed that the proportion of the cohort with a transplant failure return to dialysis where their probability of progressing from ESRD on dialysis to a second transplant is the same as progression to the first transplant.</w:t>
      </w:r>
    </w:p>
    <w:p w14:paraId="2AD38F48" w14:textId="77777777" w:rsidR="000B4E2C" w:rsidRPr="000B4E2C" w:rsidRDefault="002F0133" w:rsidP="001E605D">
      <w:r w:rsidRPr="000B4E2C">
        <w:t xml:space="preserve">In the first 5 years of the follow-up phase of the model, mortality in all Markov states is modelled as the average mortality risk for patients discharged from hospital and ICU, unless health-state specific (ESRD, dialysis or transplant) mortality was higher, in which case the </w:t>
      </w:r>
      <w:r w:rsidRPr="000B4E2C">
        <w:rPr>
          <w:highlight w:val="magenta"/>
        </w:rPr>
        <w:t>latter</w:t>
      </w:r>
      <w:r w:rsidRPr="000B4E2C">
        <w:t xml:space="preserve"> is applied. If at any point mortality falls below all-cause mortality, all-cause mortality is applied in the model. The 5-year post-discharge mortality </w:t>
      </w:r>
      <w:r w:rsidRPr="000B4E2C">
        <w:rPr>
          <w:highlight w:val="magenta"/>
        </w:rPr>
        <w:t>data</w:t>
      </w:r>
      <w:r w:rsidRPr="000B4E2C">
        <w:t xml:space="preserve"> were based on Lone</w:t>
      </w:r>
      <w:r w:rsidRPr="000B4E2C">
        <w:rPr>
          <w:i/>
          <w:color w:val="00B0F0"/>
        </w:rPr>
        <w:t xml:space="preserve"> et al</w:t>
      </w:r>
      <w:r w:rsidRPr="000B4E2C">
        <w:rPr>
          <w:color w:val="00B0F0"/>
        </w:rPr>
        <w:t>.,</w:t>
      </w:r>
      <w:r w:rsidRPr="000B4E2C">
        <w:t xml:space="preserve"> a matched UK cohort study (mean age of 60) using national registries; the Scottish Intensive Care Society Audit Group (SIGSAG), the Scottish Morbidity Record of acute hospital admissions (SMR01) and the Scottish death records. The model base case used an average of the ICU and non-ICU cohorts.</w:t>
      </w:r>
      <w:r w:rsidR="000B4E2C" w:rsidRPr="000B4E2C">
        <w:t xml:space="preserve"> </w:t>
      </w:r>
      <w:r w:rsidRPr="000B4E2C">
        <w:t>Beyond 5 years, patients in the outpatient follow-up health state were applied the age and sex adjusted all-cause mortality probability</w:t>
      </w:r>
      <w:r w:rsidR="005B5026" w:rsidRPr="000B4E2C">
        <w:rPr>
          <w:noProof/>
          <w:vertAlign w:val="superscript"/>
        </w:rPr>
        <w:t>122</w:t>
      </w:r>
      <w:r w:rsidRPr="000B4E2C">
        <w:t xml:space="preserve">, and those with CKD, ESRD, chronic dialysis or a transplant would be assigned the health state specific mortality probability, unless age and sex adjusted all-cause mortality was higher than the health state specific mortality. Sensitivity analysis explores the impact of assigning long-term mortality risks that are </w:t>
      </w:r>
      <w:r w:rsidRPr="000B4E2C">
        <w:rPr>
          <w:highlight w:val="magenta"/>
        </w:rPr>
        <w:t>dependent</w:t>
      </w:r>
      <w:r w:rsidRPr="000B4E2C">
        <w:t xml:space="preserve"> on whether the cohort had been admitted to ICU or not during their index hospitalisation.</w:t>
      </w:r>
    </w:p>
    <w:p w14:paraId="755C154F" w14:textId="77777777" w:rsidR="000B4E2C" w:rsidRPr="000B4E2C" w:rsidRDefault="002F0133" w:rsidP="008A7464">
      <w:pPr>
        <w:pStyle w:val="CommentText"/>
        <w:spacing w:line="360" w:lineRule="auto"/>
        <w:rPr>
          <w:color w:val="000000" w:themeColor="text1"/>
          <w:sz w:val="24"/>
          <w:szCs w:val="24"/>
        </w:rPr>
      </w:pPr>
      <w:r w:rsidRPr="000B4E2C">
        <w:rPr>
          <w:color w:val="000000" w:themeColor="text1"/>
          <w:sz w:val="24"/>
          <w:szCs w:val="24"/>
        </w:rPr>
        <w:t>Transition probabilities are incorporated into the model probabilistically using beta distributions.</w:t>
      </w:r>
      <w:r w:rsidR="000B4E2C" w:rsidRPr="000B4E2C">
        <w:rPr>
          <w:color w:val="000000" w:themeColor="text1"/>
          <w:sz w:val="24"/>
          <w:szCs w:val="24"/>
        </w:rPr>
        <w:t xml:space="preserve"> </w:t>
      </w:r>
      <w:r w:rsidRPr="000B4E2C">
        <w:rPr>
          <w:color w:val="000000" w:themeColor="text1"/>
          <w:sz w:val="24"/>
          <w:szCs w:val="24"/>
        </w:rPr>
        <w:t>As the cycle lengths for the model in Hall</w:t>
      </w:r>
      <w:r w:rsidRPr="000B4E2C">
        <w:rPr>
          <w:i/>
          <w:color w:val="00B0F0"/>
          <w:sz w:val="24"/>
          <w:szCs w:val="24"/>
        </w:rPr>
        <w:t xml:space="preserve"> et al</w:t>
      </w:r>
      <w:r w:rsidRPr="000B4E2C">
        <w:rPr>
          <w:color w:val="000000" w:themeColor="text1"/>
          <w:sz w:val="24"/>
          <w:szCs w:val="24"/>
        </w:rPr>
        <w:t xml:space="preserve"> are the same as the current assessment (annual), it was not necessary to provide any further adjustment of the published transition probabilities.</w:t>
      </w:r>
    </w:p>
    <w:p w14:paraId="5C21CEFC" w14:textId="112C8E4F" w:rsidR="000B4E2C" w:rsidRPr="000B4E2C" w:rsidRDefault="002F0133" w:rsidP="008A7464">
      <w:pPr>
        <w:pStyle w:val="Heading3"/>
      </w:pPr>
      <w:r w:rsidRPr="000B4E2C">
        <w:t>Model parameters – costs</w:t>
      </w:r>
    </w:p>
    <w:p w14:paraId="6B9C0F22" w14:textId="73C52F92" w:rsidR="000B4E2C" w:rsidRPr="000B4E2C" w:rsidRDefault="002F0133" w:rsidP="008A7464">
      <w:r w:rsidRPr="000B4E2C">
        <w:t>The health care costs included are: 1) the costs of conducting the tests, including equipment and staff resource use; 2) acute care within the first 90 days post hospital admission, including the additional cost of early application of a KDIGO care bundle, the cost of hospital/ICU length of stay, and acute renal replacement therapy; and 3) the annual, cycle-specific costs associated with Markov health states (CKD,</w:t>
      </w:r>
      <w:r w:rsidR="000B4E2C" w:rsidRPr="000B4E2C">
        <w:t xml:space="preserve"> </w:t>
      </w:r>
      <w:r w:rsidRPr="000B4E2C">
        <w:t>ESRD, dialysis and transplant) over the longer term follow-up phase.</w:t>
      </w:r>
      <w:r w:rsidR="000B4E2C" w:rsidRPr="000B4E2C">
        <w:t xml:space="preserve"> </w:t>
      </w:r>
      <w:r w:rsidRPr="000B4E2C">
        <w:t>All costs are included from a UK NHS perspective and are reported in 2017/18-GBP values.</w:t>
      </w:r>
      <w:r w:rsidR="000B4E2C" w:rsidRPr="000B4E2C">
        <w:t xml:space="preserve"> </w:t>
      </w:r>
      <w:r w:rsidRPr="000B4E2C">
        <w:t>Where possible, resource use has been costed directly using 2017/18 UK national unit cost sources (PSSRU for staff time, NHS reference costs for secondary care procedures and the BNF for drugs).</w:t>
      </w:r>
      <w:r w:rsidR="000B4E2C" w:rsidRPr="000B4E2C">
        <w:t xml:space="preserve"> </w:t>
      </w:r>
      <w:r w:rsidRPr="000B4E2C">
        <w:t xml:space="preserve">Where this has not been possible, for example if total costs are reported in the literature without enough </w:t>
      </w:r>
      <w:r w:rsidRPr="000B4E2C">
        <w:rPr>
          <w:highlight w:val="magenta"/>
        </w:rPr>
        <w:t>data</w:t>
      </w:r>
      <w:r w:rsidRPr="000B4E2C">
        <w:t xml:space="preserve"> regarding the underlying resource use to enable re-costing, these costs are inflated from their base year to 2017</w:t>
      </w:r>
      <w:r w:rsidR="000B4E2C" w:rsidRPr="000B4E2C">
        <w:rPr>
          <w:color w:val="00B0F0"/>
        </w:rPr>
        <w:t>–</w:t>
      </w:r>
      <w:r w:rsidR="000B4E2C" w:rsidRPr="000B4E2C">
        <w:rPr>
          <w:color w:val="00B0F0"/>
        </w:rPr>
        <w:t>1</w:t>
      </w:r>
      <w:r w:rsidRPr="000B4E2C">
        <w:t>8 values using the Cochrane and Campbell economic methods group online inflation calculation tool</w:t>
      </w:r>
      <w:r w:rsidR="007D5F15" w:rsidRPr="000B4E2C">
        <w:t>.</w:t>
      </w:r>
      <w:r w:rsidR="00280A97" w:rsidRPr="000B4E2C">
        <w:rPr>
          <w:noProof/>
          <w:vertAlign w:val="superscript"/>
        </w:rPr>
        <w:t>123</w:t>
      </w:r>
      <w:r w:rsidR="00D57D49" w:rsidRPr="000B4E2C">
        <w:t xml:space="preserve">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17</w:t>
      </w:r>
      <w:r w:rsidR="00D57D49" w:rsidRPr="000B4E2C">
        <w:t xml:space="preserve"> details the cost parameters used in the economic model.</w:t>
      </w:r>
      <w:r w:rsidR="000B4E2C" w:rsidRPr="000B4E2C">
        <w:t xml:space="preserve"> </w:t>
      </w:r>
      <w:r w:rsidR="00D57D49" w:rsidRPr="000B4E2C">
        <w:t>Full details of the costing approach and associated assumptions are provided in the following sections</w:t>
      </w:r>
      <w:r w:rsidR="00CB6496" w:rsidRPr="000B4E2C">
        <w:t>.</w:t>
      </w:r>
    </w:p>
    <w:p w14:paraId="620D793F" w14:textId="24261260" w:rsidR="00FB077C" w:rsidRPr="000B4E2C" w:rsidRDefault="000B4E2C" w:rsidP="007D5F15">
      <w:pPr>
        <w:pStyle w:val="Heading2"/>
      </w:pPr>
      <w:r w:rsidRPr="000B4E2C">
        <w:rPr>
          <w:i/>
          <w:color w:val="FF0000"/>
        </w:rPr>
        <w:lastRenderedPageBreak/>
        <w:t>T</w:t>
      </w:r>
      <w:r w:rsidRPr="000B4E2C">
        <w:rPr>
          <w:i/>
          <w:color w:val="FF0000"/>
        </w:rPr>
        <w:t>able</w:t>
      </w:r>
      <w:r w:rsidRPr="000B4E2C">
        <w:rPr>
          <w:i/>
          <w:color w:val="FF0000"/>
        </w:rPr>
        <w:t xml:space="preserve"> </w:t>
      </w:r>
      <w:r w:rsidRPr="000B4E2C">
        <w:rPr>
          <w:i/>
          <w:color w:val="FF0000"/>
        </w:rPr>
        <w:t>17</w:t>
      </w:r>
      <w:r w:rsidR="00FB077C" w:rsidRPr="000B4E2C">
        <w:tab/>
        <w:t>Cost parameters used in the economic model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498"/>
        <w:gridCol w:w="536"/>
        <w:gridCol w:w="811"/>
        <w:gridCol w:w="1083"/>
        <w:gridCol w:w="5098"/>
      </w:tblGrid>
      <w:tr w:rsidR="00FB077C" w:rsidRPr="000B4E2C" w14:paraId="0E0241EE" w14:textId="77777777" w:rsidTr="000B4E2C">
        <w:trPr>
          <w:cantSplit/>
        </w:trPr>
        <w:tc>
          <w:tcPr>
            <w:tcW w:w="0" w:type="auto"/>
            <w:vAlign w:val="center"/>
            <w:hideMark/>
          </w:tcPr>
          <w:p w14:paraId="39F13E61" w14:textId="77777777" w:rsidR="00FB077C" w:rsidRPr="000B4E2C" w:rsidRDefault="00FB077C" w:rsidP="000B4E2C">
            <w:pPr>
              <w:rPr>
                <w:b/>
                <w:bCs/>
                <w:sz w:val="22"/>
              </w:rPr>
            </w:pPr>
            <w:r w:rsidRPr="000B4E2C">
              <w:rPr>
                <w:b/>
                <w:color w:val="000000" w:themeColor="text1"/>
                <w:sz w:val="22"/>
              </w:rPr>
              <w:t>Parameter</w:t>
            </w:r>
          </w:p>
        </w:tc>
        <w:tc>
          <w:tcPr>
            <w:tcW w:w="0" w:type="auto"/>
            <w:vAlign w:val="center"/>
            <w:hideMark/>
          </w:tcPr>
          <w:p w14:paraId="76F2D691" w14:textId="77777777" w:rsidR="00FB077C" w:rsidRPr="000B4E2C" w:rsidRDefault="00FB077C" w:rsidP="000B4E2C">
            <w:pPr>
              <w:rPr>
                <w:color w:val="000000" w:themeColor="text1"/>
                <w:sz w:val="22"/>
              </w:rPr>
            </w:pPr>
            <w:r w:rsidRPr="000B4E2C">
              <w:rPr>
                <w:b/>
                <w:color w:val="000000" w:themeColor="text1"/>
                <w:sz w:val="22"/>
              </w:rPr>
              <w:t>Mean parameter value</w:t>
            </w:r>
          </w:p>
        </w:tc>
        <w:tc>
          <w:tcPr>
            <w:tcW w:w="0" w:type="auto"/>
            <w:vAlign w:val="center"/>
            <w:hideMark/>
          </w:tcPr>
          <w:p w14:paraId="5D1E75E1" w14:textId="77777777" w:rsidR="00FB077C" w:rsidRPr="000B4E2C" w:rsidRDefault="00FB077C" w:rsidP="000B4E2C">
            <w:pPr>
              <w:rPr>
                <w:color w:val="000000" w:themeColor="text1"/>
                <w:sz w:val="22"/>
              </w:rPr>
            </w:pPr>
            <w:r w:rsidRPr="000B4E2C">
              <w:rPr>
                <w:b/>
                <w:color w:val="000000" w:themeColor="text1"/>
                <w:sz w:val="22"/>
              </w:rPr>
              <w:t>Standard Error</w:t>
            </w:r>
          </w:p>
        </w:tc>
        <w:tc>
          <w:tcPr>
            <w:tcW w:w="0" w:type="auto"/>
            <w:vAlign w:val="center"/>
            <w:hideMark/>
          </w:tcPr>
          <w:p w14:paraId="749D26A8" w14:textId="77777777" w:rsidR="00FB077C" w:rsidRPr="000B4E2C" w:rsidRDefault="00FB077C" w:rsidP="000B4E2C">
            <w:pPr>
              <w:rPr>
                <w:sz w:val="22"/>
              </w:rPr>
            </w:pPr>
            <w:r w:rsidRPr="000B4E2C">
              <w:rPr>
                <w:b/>
                <w:color w:val="000000" w:themeColor="text1"/>
                <w:sz w:val="22"/>
              </w:rPr>
              <w:t>Distribution</w:t>
            </w:r>
          </w:p>
        </w:tc>
        <w:tc>
          <w:tcPr>
            <w:tcW w:w="0" w:type="auto"/>
            <w:vAlign w:val="center"/>
            <w:hideMark/>
          </w:tcPr>
          <w:p w14:paraId="4BE0E6C7" w14:textId="77777777" w:rsidR="00FB077C" w:rsidRPr="000B4E2C" w:rsidRDefault="00FB077C" w:rsidP="000B4E2C">
            <w:pPr>
              <w:rPr>
                <w:color w:val="000000" w:themeColor="text1"/>
                <w:sz w:val="22"/>
              </w:rPr>
            </w:pPr>
            <w:r w:rsidRPr="000B4E2C">
              <w:rPr>
                <w:b/>
                <w:color w:val="000000" w:themeColor="text1"/>
                <w:sz w:val="22"/>
              </w:rPr>
              <w:t>Source</w:t>
            </w:r>
          </w:p>
        </w:tc>
      </w:tr>
      <w:tr w:rsidR="00FB077C" w:rsidRPr="000B4E2C" w14:paraId="50785033" w14:textId="77777777" w:rsidTr="000B4E2C">
        <w:trPr>
          <w:cantSplit/>
        </w:trPr>
        <w:tc>
          <w:tcPr>
            <w:tcW w:w="0" w:type="auto"/>
            <w:gridSpan w:val="5"/>
            <w:shd w:val="clear" w:color="auto" w:fill="D9D9D9" w:themeFill="background1" w:themeFillShade="D9"/>
            <w:vAlign w:val="center"/>
            <w:hideMark/>
          </w:tcPr>
          <w:p w14:paraId="07A7EE94" w14:textId="77777777" w:rsidR="00FB077C" w:rsidRPr="000B4E2C" w:rsidRDefault="00FB077C" w:rsidP="000B4E2C">
            <w:pPr>
              <w:rPr>
                <w:b/>
                <w:color w:val="000000" w:themeColor="text1"/>
                <w:sz w:val="22"/>
              </w:rPr>
            </w:pPr>
            <w:r w:rsidRPr="000B4E2C">
              <w:rPr>
                <w:b/>
                <w:bCs/>
                <w:sz w:val="22"/>
              </w:rPr>
              <w:t>Test costs</w:t>
            </w:r>
          </w:p>
        </w:tc>
      </w:tr>
      <w:tr w:rsidR="00FB077C" w:rsidRPr="000B4E2C" w14:paraId="13F9F8B9" w14:textId="77777777" w:rsidTr="000B4E2C">
        <w:trPr>
          <w:cantSplit/>
        </w:trPr>
        <w:tc>
          <w:tcPr>
            <w:tcW w:w="0" w:type="auto"/>
            <w:vAlign w:val="center"/>
            <w:hideMark/>
          </w:tcPr>
          <w:p w14:paraId="32A9835A" w14:textId="77777777" w:rsidR="00FB077C" w:rsidRPr="000B4E2C" w:rsidRDefault="00FB077C" w:rsidP="000B4E2C">
            <w:pPr>
              <w:rPr>
                <w:sz w:val="22"/>
              </w:rPr>
            </w:pPr>
            <w:r w:rsidRPr="000B4E2C">
              <w:rPr>
                <w:sz w:val="22"/>
              </w:rPr>
              <w:t>Astute medical</w:t>
            </w:r>
          </w:p>
          <w:p w14:paraId="2C20F0D5" w14:textId="77777777" w:rsidR="00FB077C" w:rsidRPr="000B4E2C" w:rsidRDefault="00FB077C" w:rsidP="000B4E2C">
            <w:pPr>
              <w:rPr>
                <w:sz w:val="22"/>
              </w:rPr>
            </w:pPr>
            <w:r w:rsidRPr="000B4E2C">
              <w:rPr>
                <w:sz w:val="22"/>
              </w:rPr>
              <w:t>NephroCheck</w:t>
            </w:r>
          </w:p>
        </w:tc>
        <w:tc>
          <w:tcPr>
            <w:tcW w:w="0" w:type="auto"/>
            <w:vAlign w:val="center"/>
            <w:hideMark/>
          </w:tcPr>
          <w:p w14:paraId="06C3ECC1" w14:textId="77777777" w:rsidR="00FB077C" w:rsidRPr="000B4E2C" w:rsidRDefault="00FB077C" w:rsidP="000B4E2C">
            <w:pPr>
              <w:rPr>
                <w:color w:val="000000" w:themeColor="text1"/>
                <w:sz w:val="22"/>
              </w:rPr>
            </w:pPr>
            <w:r w:rsidRPr="000B4E2C">
              <w:rPr>
                <w:color w:val="000000" w:themeColor="text1"/>
                <w:sz w:val="22"/>
              </w:rPr>
              <w:t>£92.26</w:t>
            </w:r>
          </w:p>
        </w:tc>
        <w:tc>
          <w:tcPr>
            <w:tcW w:w="0" w:type="auto"/>
            <w:vAlign w:val="center"/>
            <w:hideMark/>
          </w:tcPr>
          <w:p w14:paraId="255E65A2" w14:textId="77777777" w:rsidR="00FB077C" w:rsidRPr="000B4E2C" w:rsidRDefault="00FB077C" w:rsidP="000B4E2C">
            <w:pPr>
              <w:rPr>
                <w:color w:val="000000" w:themeColor="text1"/>
                <w:sz w:val="22"/>
              </w:rPr>
            </w:pPr>
            <w:r w:rsidRPr="000B4E2C">
              <w:rPr>
                <w:color w:val="000000" w:themeColor="text1"/>
                <w:sz w:val="22"/>
              </w:rPr>
              <w:t>--</w:t>
            </w:r>
          </w:p>
        </w:tc>
        <w:tc>
          <w:tcPr>
            <w:tcW w:w="0" w:type="auto"/>
            <w:vAlign w:val="center"/>
            <w:hideMark/>
          </w:tcPr>
          <w:p w14:paraId="316DB033" w14:textId="77777777" w:rsidR="00FB077C" w:rsidRPr="000B4E2C" w:rsidRDefault="00FB077C" w:rsidP="000B4E2C">
            <w:pPr>
              <w:rPr>
                <w:sz w:val="22"/>
              </w:rPr>
            </w:pPr>
            <w:r w:rsidRPr="000B4E2C">
              <w:rPr>
                <w:sz w:val="22"/>
              </w:rPr>
              <w:t>Applied deterministically</w:t>
            </w:r>
          </w:p>
        </w:tc>
        <w:tc>
          <w:tcPr>
            <w:tcW w:w="0" w:type="auto"/>
            <w:vAlign w:val="center"/>
            <w:hideMark/>
          </w:tcPr>
          <w:p w14:paraId="580D5EC8" w14:textId="5AD4168F" w:rsidR="00FB077C" w:rsidRPr="000B4E2C" w:rsidRDefault="00FB077C" w:rsidP="000B4E2C">
            <w:pPr>
              <w:rPr>
                <w:color w:val="000000" w:themeColor="text1"/>
                <w:sz w:val="22"/>
              </w:rPr>
            </w:pPr>
            <w:r w:rsidRPr="000B4E2C">
              <w:rPr>
                <w:color w:val="000000" w:themeColor="text1"/>
                <w:sz w:val="22"/>
              </w:rPr>
              <w:t xml:space="preserve">See Appendix </w:t>
            </w:r>
            <w:r w:rsidR="00B9602B" w:rsidRPr="000B4E2C">
              <w:rPr>
                <w:color w:val="000000" w:themeColor="text1"/>
                <w:sz w:val="22"/>
              </w:rPr>
              <w:t>15</w:t>
            </w:r>
            <w:r w:rsidRPr="000B4E2C">
              <w:rPr>
                <w:color w:val="000000" w:themeColor="text1"/>
                <w:sz w:val="22"/>
              </w:rPr>
              <w:t xml:space="preserve">, </w:t>
            </w:r>
            <w:r w:rsidR="000B4E2C" w:rsidRPr="000B4E2C">
              <w:rPr>
                <w:i/>
                <w:color w:val="FF0000"/>
                <w:sz w:val="22"/>
              </w:rPr>
              <w:t>T</w:t>
            </w:r>
            <w:r w:rsidR="000B4E2C" w:rsidRPr="000B4E2C">
              <w:rPr>
                <w:i/>
                <w:color w:val="FF0000"/>
                <w:sz w:val="22"/>
              </w:rPr>
              <w:t>able</w:t>
            </w:r>
            <w:r w:rsidR="000B4E2C" w:rsidRPr="000B4E2C">
              <w:rPr>
                <w:i/>
                <w:color w:val="FF0000"/>
                <w:sz w:val="22"/>
              </w:rPr>
              <w:t xml:space="preserve"> </w:t>
            </w:r>
            <w:r w:rsidR="000B4E2C" w:rsidRPr="000B4E2C">
              <w:rPr>
                <w:i/>
                <w:color w:val="FF0000"/>
                <w:sz w:val="22"/>
              </w:rPr>
              <w:t>31</w:t>
            </w:r>
          </w:p>
        </w:tc>
      </w:tr>
      <w:tr w:rsidR="00FB077C" w:rsidRPr="000B4E2C" w14:paraId="785CBD1C" w14:textId="77777777" w:rsidTr="000B4E2C">
        <w:trPr>
          <w:cantSplit/>
        </w:trPr>
        <w:tc>
          <w:tcPr>
            <w:tcW w:w="0" w:type="auto"/>
            <w:vAlign w:val="center"/>
            <w:hideMark/>
          </w:tcPr>
          <w:p w14:paraId="77C7916B" w14:textId="77777777" w:rsidR="00FB077C" w:rsidRPr="000B4E2C" w:rsidRDefault="00FB077C" w:rsidP="000B4E2C">
            <w:pPr>
              <w:rPr>
                <w:sz w:val="22"/>
              </w:rPr>
            </w:pPr>
            <w:r w:rsidRPr="000B4E2C">
              <w:rPr>
                <w:sz w:val="22"/>
              </w:rPr>
              <w:t>BioPorto (urine and plasma)</w:t>
            </w:r>
          </w:p>
        </w:tc>
        <w:tc>
          <w:tcPr>
            <w:tcW w:w="0" w:type="auto"/>
            <w:vAlign w:val="center"/>
            <w:hideMark/>
          </w:tcPr>
          <w:p w14:paraId="3E22A943" w14:textId="77777777" w:rsidR="00FB077C" w:rsidRPr="000B4E2C" w:rsidRDefault="00FB077C" w:rsidP="000B4E2C">
            <w:pPr>
              <w:rPr>
                <w:color w:val="000000" w:themeColor="text1"/>
                <w:sz w:val="22"/>
              </w:rPr>
            </w:pPr>
            <w:r w:rsidRPr="000B4E2C">
              <w:rPr>
                <w:color w:val="000000" w:themeColor="text1"/>
                <w:sz w:val="22"/>
              </w:rPr>
              <w:t>£59.55</w:t>
            </w:r>
          </w:p>
        </w:tc>
        <w:tc>
          <w:tcPr>
            <w:tcW w:w="0" w:type="auto"/>
            <w:vAlign w:val="center"/>
            <w:hideMark/>
          </w:tcPr>
          <w:p w14:paraId="52C43EB0" w14:textId="77777777" w:rsidR="00FB077C" w:rsidRPr="000B4E2C" w:rsidRDefault="00FB077C" w:rsidP="000B4E2C">
            <w:pPr>
              <w:rPr>
                <w:color w:val="000000" w:themeColor="text1"/>
                <w:sz w:val="22"/>
              </w:rPr>
            </w:pPr>
            <w:r w:rsidRPr="000B4E2C">
              <w:rPr>
                <w:color w:val="000000" w:themeColor="text1"/>
                <w:sz w:val="22"/>
              </w:rPr>
              <w:t>--</w:t>
            </w:r>
          </w:p>
        </w:tc>
        <w:tc>
          <w:tcPr>
            <w:tcW w:w="0" w:type="auto"/>
            <w:vAlign w:val="center"/>
            <w:hideMark/>
          </w:tcPr>
          <w:p w14:paraId="4DA5CD7D" w14:textId="77777777" w:rsidR="00FB077C" w:rsidRPr="000B4E2C" w:rsidRDefault="00FB077C" w:rsidP="000B4E2C">
            <w:pPr>
              <w:rPr>
                <w:sz w:val="22"/>
              </w:rPr>
            </w:pPr>
            <w:r w:rsidRPr="000B4E2C">
              <w:rPr>
                <w:sz w:val="22"/>
              </w:rPr>
              <w:t>Applied deterministically</w:t>
            </w:r>
          </w:p>
        </w:tc>
        <w:tc>
          <w:tcPr>
            <w:tcW w:w="0" w:type="auto"/>
            <w:vAlign w:val="center"/>
            <w:hideMark/>
          </w:tcPr>
          <w:p w14:paraId="6CC90F4C" w14:textId="4F024B7B" w:rsidR="00FB077C" w:rsidRPr="000B4E2C" w:rsidRDefault="00FB077C" w:rsidP="000B4E2C">
            <w:pPr>
              <w:rPr>
                <w:color w:val="000000" w:themeColor="text1"/>
                <w:sz w:val="22"/>
              </w:rPr>
            </w:pPr>
            <w:r w:rsidRPr="000B4E2C">
              <w:rPr>
                <w:color w:val="000000" w:themeColor="text1"/>
                <w:sz w:val="22"/>
              </w:rPr>
              <w:t xml:space="preserve">See Appendix </w:t>
            </w:r>
            <w:r w:rsidR="00B9602B" w:rsidRPr="000B4E2C">
              <w:rPr>
                <w:color w:val="000000" w:themeColor="text1"/>
                <w:sz w:val="22"/>
              </w:rPr>
              <w:t>15</w:t>
            </w:r>
            <w:r w:rsidRPr="000B4E2C">
              <w:rPr>
                <w:color w:val="000000" w:themeColor="text1"/>
                <w:sz w:val="22"/>
              </w:rPr>
              <w:t xml:space="preserve">, </w:t>
            </w:r>
            <w:r w:rsidR="000B4E2C" w:rsidRPr="000B4E2C">
              <w:rPr>
                <w:i/>
                <w:color w:val="FF0000"/>
                <w:sz w:val="22"/>
              </w:rPr>
              <w:t>T</w:t>
            </w:r>
            <w:r w:rsidR="000B4E2C" w:rsidRPr="000B4E2C">
              <w:rPr>
                <w:i/>
                <w:color w:val="FF0000"/>
                <w:sz w:val="22"/>
              </w:rPr>
              <w:t>able</w:t>
            </w:r>
            <w:r w:rsidR="000B4E2C" w:rsidRPr="000B4E2C">
              <w:rPr>
                <w:i/>
                <w:color w:val="FF0000"/>
                <w:sz w:val="22"/>
              </w:rPr>
              <w:t xml:space="preserve"> </w:t>
            </w:r>
            <w:r w:rsidR="000B4E2C" w:rsidRPr="000B4E2C">
              <w:rPr>
                <w:i/>
                <w:color w:val="FF0000"/>
                <w:sz w:val="22"/>
              </w:rPr>
              <w:t>31</w:t>
            </w:r>
          </w:p>
        </w:tc>
      </w:tr>
      <w:tr w:rsidR="00FB077C" w:rsidRPr="000B4E2C" w14:paraId="2FDD38BB" w14:textId="77777777" w:rsidTr="000B4E2C">
        <w:trPr>
          <w:cantSplit/>
        </w:trPr>
        <w:tc>
          <w:tcPr>
            <w:tcW w:w="0" w:type="auto"/>
            <w:vAlign w:val="center"/>
            <w:hideMark/>
          </w:tcPr>
          <w:p w14:paraId="18CFC799" w14:textId="77777777" w:rsidR="00FB077C" w:rsidRPr="000B4E2C" w:rsidRDefault="00FB077C" w:rsidP="000B4E2C">
            <w:pPr>
              <w:rPr>
                <w:sz w:val="22"/>
              </w:rPr>
            </w:pPr>
            <w:r w:rsidRPr="000B4E2C">
              <w:rPr>
                <w:sz w:val="22"/>
              </w:rPr>
              <w:t>Abbott ARCHITECT</w:t>
            </w:r>
          </w:p>
        </w:tc>
        <w:tc>
          <w:tcPr>
            <w:tcW w:w="0" w:type="auto"/>
            <w:vAlign w:val="center"/>
            <w:hideMark/>
          </w:tcPr>
          <w:p w14:paraId="7628E5C3" w14:textId="77777777" w:rsidR="00FB077C" w:rsidRPr="000B4E2C" w:rsidRDefault="00FB077C" w:rsidP="000B4E2C">
            <w:pPr>
              <w:rPr>
                <w:color w:val="000000" w:themeColor="text1"/>
                <w:sz w:val="22"/>
              </w:rPr>
            </w:pPr>
            <w:r w:rsidRPr="000B4E2C">
              <w:rPr>
                <w:color w:val="000000" w:themeColor="text1"/>
                <w:sz w:val="22"/>
              </w:rPr>
              <w:t>£66.87</w:t>
            </w:r>
          </w:p>
        </w:tc>
        <w:tc>
          <w:tcPr>
            <w:tcW w:w="0" w:type="auto"/>
            <w:vAlign w:val="center"/>
            <w:hideMark/>
          </w:tcPr>
          <w:p w14:paraId="1A0357FD" w14:textId="77777777" w:rsidR="00FB077C" w:rsidRPr="000B4E2C" w:rsidRDefault="00FB077C" w:rsidP="000B4E2C">
            <w:pPr>
              <w:rPr>
                <w:color w:val="000000" w:themeColor="text1"/>
                <w:sz w:val="22"/>
              </w:rPr>
            </w:pPr>
            <w:r w:rsidRPr="000B4E2C">
              <w:rPr>
                <w:color w:val="000000" w:themeColor="text1"/>
                <w:sz w:val="22"/>
              </w:rPr>
              <w:t>--</w:t>
            </w:r>
          </w:p>
        </w:tc>
        <w:tc>
          <w:tcPr>
            <w:tcW w:w="0" w:type="auto"/>
            <w:vAlign w:val="center"/>
            <w:hideMark/>
          </w:tcPr>
          <w:p w14:paraId="0D5338FD" w14:textId="77777777" w:rsidR="00FB077C" w:rsidRPr="000B4E2C" w:rsidRDefault="00FB077C" w:rsidP="000B4E2C">
            <w:pPr>
              <w:rPr>
                <w:sz w:val="22"/>
              </w:rPr>
            </w:pPr>
            <w:r w:rsidRPr="000B4E2C">
              <w:rPr>
                <w:sz w:val="22"/>
              </w:rPr>
              <w:t>Applied deterministically</w:t>
            </w:r>
          </w:p>
        </w:tc>
        <w:tc>
          <w:tcPr>
            <w:tcW w:w="0" w:type="auto"/>
            <w:vAlign w:val="center"/>
            <w:hideMark/>
          </w:tcPr>
          <w:p w14:paraId="4CBDFE9A" w14:textId="29F08237" w:rsidR="00FB077C" w:rsidRPr="000B4E2C" w:rsidRDefault="00FB077C" w:rsidP="000B4E2C">
            <w:pPr>
              <w:rPr>
                <w:color w:val="000000" w:themeColor="text1"/>
                <w:sz w:val="22"/>
              </w:rPr>
            </w:pPr>
            <w:r w:rsidRPr="000B4E2C">
              <w:rPr>
                <w:color w:val="000000" w:themeColor="text1"/>
                <w:sz w:val="22"/>
              </w:rPr>
              <w:t xml:space="preserve">See Appendix </w:t>
            </w:r>
            <w:r w:rsidR="00FD4713" w:rsidRPr="000B4E2C">
              <w:rPr>
                <w:color w:val="000000" w:themeColor="text1"/>
                <w:sz w:val="22"/>
              </w:rPr>
              <w:t>15</w:t>
            </w:r>
            <w:r w:rsidRPr="000B4E2C">
              <w:rPr>
                <w:color w:val="000000" w:themeColor="text1"/>
                <w:sz w:val="22"/>
              </w:rPr>
              <w:t xml:space="preserve">, </w:t>
            </w:r>
            <w:r w:rsidR="000B4E2C" w:rsidRPr="000B4E2C">
              <w:rPr>
                <w:i/>
                <w:color w:val="FF0000"/>
                <w:sz w:val="22"/>
              </w:rPr>
              <w:t>T</w:t>
            </w:r>
            <w:r w:rsidR="000B4E2C" w:rsidRPr="000B4E2C">
              <w:rPr>
                <w:i/>
                <w:color w:val="FF0000"/>
                <w:sz w:val="22"/>
              </w:rPr>
              <w:t>able</w:t>
            </w:r>
            <w:r w:rsidR="000B4E2C" w:rsidRPr="000B4E2C">
              <w:rPr>
                <w:i/>
                <w:color w:val="FF0000"/>
                <w:sz w:val="22"/>
              </w:rPr>
              <w:t xml:space="preserve"> </w:t>
            </w:r>
            <w:r w:rsidR="000B4E2C" w:rsidRPr="000B4E2C">
              <w:rPr>
                <w:i/>
                <w:color w:val="FF0000"/>
                <w:sz w:val="22"/>
              </w:rPr>
              <w:t>31</w:t>
            </w:r>
          </w:p>
        </w:tc>
      </w:tr>
      <w:tr w:rsidR="00FB077C" w:rsidRPr="000B4E2C" w14:paraId="37DBE77A" w14:textId="77777777" w:rsidTr="000B4E2C">
        <w:trPr>
          <w:cantSplit/>
        </w:trPr>
        <w:tc>
          <w:tcPr>
            <w:tcW w:w="0" w:type="auto"/>
            <w:gridSpan w:val="5"/>
            <w:shd w:val="clear" w:color="auto" w:fill="D9D9D9" w:themeFill="background1" w:themeFillShade="D9"/>
            <w:vAlign w:val="center"/>
            <w:hideMark/>
          </w:tcPr>
          <w:p w14:paraId="54D62F28" w14:textId="77777777" w:rsidR="00FB077C" w:rsidRPr="000B4E2C" w:rsidRDefault="00FB077C" w:rsidP="000B4E2C">
            <w:pPr>
              <w:rPr>
                <w:b/>
                <w:color w:val="000000" w:themeColor="text1"/>
                <w:sz w:val="22"/>
              </w:rPr>
            </w:pPr>
            <w:r w:rsidRPr="000B4E2C">
              <w:rPr>
                <w:b/>
                <w:color w:val="000000" w:themeColor="text1"/>
                <w:sz w:val="22"/>
              </w:rPr>
              <w:t>Costs incurred up to 90 days (acute decision tree phase of the model)</w:t>
            </w:r>
          </w:p>
        </w:tc>
      </w:tr>
      <w:tr w:rsidR="00FB077C" w:rsidRPr="000B4E2C" w14:paraId="4BAE2C7E" w14:textId="77777777" w:rsidTr="000B4E2C">
        <w:trPr>
          <w:cantSplit/>
        </w:trPr>
        <w:tc>
          <w:tcPr>
            <w:tcW w:w="0" w:type="auto"/>
            <w:vAlign w:val="center"/>
            <w:hideMark/>
          </w:tcPr>
          <w:p w14:paraId="0A4BF3E9" w14:textId="77777777" w:rsidR="00FB077C" w:rsidRPr="000B4E2C" w:rsidRDefault="00FB077C" w:rsidP="000B4E2C">
            <w:pPr>
              <w:rPr>
                <w:bCs/>
                <w:sz w:val="22"/>
              </w:rPr>
            </w:pPr>
            <w:r w:rsidRPr="000B4E2C">
              <w:rPr>
                <w:bCs/>
                <w:sz w:val="22"/>
              </w:rPr>
              <w:t>3 Days of KDIGO care bundle</w:t>
            </w:r>
          </w:p>
        </w:tc>
        <w:tc>
          <w:tcPr>
            <w:tcW w:w="0" w:type="auto"/>
            <w:vAlign w:val="center"/>
            <w:hideMark/>
          </w:tcPr>
          <w:p w14:paraId="1ED8FB27" w14:textId="77777777" w:rsidR="00FB077C" w:rsidRPr="000B4E2C" w:rsidRDefault="00FB077C" w:rsidP="000B4E2C">
            <w:pPr>
              <w:rPr>
                <w:color w:val="000000" w:themeColor="text1"/>
                <w:sz w:val="22"/>
              </w:rPr>
            </w:pPr>
            <w:r w:rsidRPr="000B4E2C">
              <w:rPr>
                <w:color w:val="000000" w:themeColor="text1"/>
                <w:sz w:val="22"/>
              </w:rPr>
              <w:t>£106.36</w:t>
            </w:r>
          </w:p>
        </w:tc>
        <w:tc>
          <w:tcPr>
            <w:tcW w:w="0" w:type="auto"/>
            <w:vAlign w:val="center"/>
            <w:hideMark/>
          </w:tcPr>
          <w:p w14:paraId="0527C1EA" w14:textId="77777777" w:rsidR="00FB077C" w:rsidRPr="000B4E2C" w:rsidRDefault="00FB077C" w:rsidP="000B4E2C">
            <w:pPr>
              <w:rPr>
                <w:color w:val="000000" w:themeColor="text1"/>
                <w:sz w:val="22"/>
              </w:rPr>
            </w:pPr>
            <w:r w:rsidRPr="000B4E2C">
              <w:rPr>
                <w:color w:val="000000" w:themeColor="text1"/>
                <w:sz w:val="22"/>
              </w:rPr>
              <w:t>£10.64 (mean x 10%)</w:t>
            </w:r>
          </w:p>
        </w:tc>
        <w:tc>
          <w:tcPr>
            <w:tcW w:w="0" w:type="auto"/>
            <w:vAlign w:val="center"/>
            <w:hideMark/>
          </w:tcPr>
          <w:p w14:paraId="6146F111" w14:textId="77777777" w:rsidR="00FB077C" w:rsidRPr="000B4E2C" w:rsidRDefault="00FB077C" w:rsidP="000B4E2C">
            <w:pPr>
              <w:rPr>
                <w:sz w:val="22"/>
              </w:rPr>
            </w:pPr>
            <w:r w:rsidRPr="000B4E2C">
              <w:rPr>
                <w:sz w:val="22"/>
              </w:rPr>
              <w:t>Gamma</w:t>
            </w:r>
          </w:p>
        </w:tc>
        <w:tc>
          <w:tcPr>
            <w:tcW w:w="0" w:type="auto"/>
            <w:vAlign w:val="center"/>
            <w:hideMark/>
          </w:tcPr>
          <w:p w14:paraId="799B08D1" w14:textId="1396FEAD" w:rsidR="00FB077C" w:rsidRPr="000B4E2C" w:rsidRDefault="00FB077C" w:rsidP="000B4E2C">
            <w:pPr>
              <w:rPr>
                <w:color w:val="000000" w:themeColor="text1"/>
                <w:sz w:val="22"/>
              </w:rPr>
            </w:pPr>
            <w:r w:rsidRPr="000B4E2C">
              <w:rPr>
                <w:color w:val="000000" w:themeColor="text1"/>
                <w:sz w:val="22"/>
              </w:rPr>
              <w:t xml:space="preserve">See Appendix </w:t>
            </w:r>
            <w:r w:rsidR="00FD4713" w:rsidRPr="000B4E2C">
              <w:rPr>
                <w:color w:val="000000" w:themeColor="text1"/>
                <w:sz w:val="22"/>
              </w:rPr>
              <w:t>15</w:t>
            </w:r>
            <w:r w:rsidRPr="000B4E2C">
              <w:rPr>
                <w:color w:val="000000" w:themeColor="text1"/>
                <w:sz w:val="22"/>
              </w:rPr>
              <w:t xml:space="preserve">, </w:t>
            </w:r>
            <w:r w:rsidR="000B4E2C" w:rsidRPr="000B4E2C">
              <w:rPr>
                <w:i/>
                <w:color w:val="FF0000"/>
                <w:sz w:val="22"/>
              </w:rPr>
              <w:t>T</w:t>
            </w:r>
            <w:r w:rsidR="000B4E2C" w:rsidRPr="000B4E2C">
              <w:rPr>
                <w:i/>
                <w:color w:val="FF0000"/>
                <w:sz w:val="22"/>
              </w:rPr>
              <w:t>able</w:t>
            </w:r>
            <w:r w:rsidR="000B4E2C" w:rsidRPr="000B4E2C">
              <w:rPr>
                <w:i/>
                <w:color w:val="FF0000"/>
                <w:sz w:val="22"/>
              </w:rPr>
              <w:t xml:space="preserve"> </w:t>
            </w:r>
            <w:r w:rsidR="000B4E2C" w:rsidRPr="000B4E2C">
              <w:rPr>
                <w:i/>
                <w:color w:val="FF0000"/>
                <w:sz w:val="22"/>
              </w:rPr>
              <w:t>32</w:t>
            </w:r>
          </w:p>
        </w:tc>
      </w:tr>
      <w:tr w:rsidR="00FB077C" w:rsidRPr="000B4E2C" w14:paraId="6804136E" w14:textId="77777777" w:rsidTr="000B4E2C">
        <w:trPr>
          <w:cantSplit/>
        </w:trPr>
        <w:tc>
          <w:tcPr>
            <w:tcW w:w="0" w:type="auto"/>
            <w:vAlign w:val="center"/>
            <w:hideMark/>
          </w:tcPr>
          <w:p w14:paraId="73EDAD45" w14:textId="77777777" w:rsidR="00FB077C" w:rsidRPr="000B4E2C" w:rsidRDefault="00FB077C" w:rsidP="000B4E2C">
            <w:pPr>
              <w:rPr>
                <w:bCs/>
                <w:sz w:val="22"/>
              </w:rPr>
            </w:pPr>
            <w:r w:rsidRPr="000B4E2C">
              <w:rPr>
                <w:bCs/>
                <w:sz w:val="22"/>
              </w:rPr>
              <w:t>Hospital ward setting – daily cost</w:t>
            </w:r>
          </w:p>
        </w:tc>
        <w:tc>
          <w:tcPr>
            <w:tcW w:w="0" w:type="auto"/>
            <w:vAlign w:val="center"/>
            <w:hideMark/>
          </w:tcPr>
          <w:p w14:paraId="001D258F" w14:textId="77777777" w:rsidR="00FB077C" w:rsidRPr="000B4E2C" w:rsidRDefault="00FB077C" w:rsidP="000B4E2C">
            <w:pPr>
              <w:rPr>
                <w:color w:val="000000" w:themeColor="text1"/>
                <w:sz w:val="22"/>
              </w:rPr>
            </w:pPr>
            <w:r w:rsidRPr="000B4E2C">
              <w:rPr>
                <w:sz w:val="22"/>
              </w:rPr>
              <w:t>£313</w:t>
            </w:r>
          </w:p>
        </w:tc>
        <w:tc>
          <w:tcPr>
            <w:tcW w:w="0" w:type="auto"/>
            <w:vAlign w:val="center"/>
            <w:hideMark/>
          </w:tcPr>
          <w:p w14:paraId="79368B3B" w14:textId="77777777" w:rsidR="00FB077C" w:rsidRPr="000B4E2C" w:rsidRDefault="00FB077C" w:rsidP="000B4E2C">
            <w:pPr>
              <w:rPr>
                <w:color w:val="000000" w:themeColor="text1"/>
                <w:sz w:val="22"/>
              </w:rPr>
            </w:pPr>
            <w:r w:rsidRPr="000B4E2C">
              <w:rPr>
                <w:sz w:val="22"/>
              </w:rPr>
              <w:t>£38.27</w:t>
            </w:r>
          </w:p>
        </w:tc>
        <w:tc>
          <w:tcPr>
            <w:tcW w:w="0" w:type="auto"/>
            <w:vAlign w:val="center"/>
            <w:hideMark/>
          </w:tcPr>
          <w:p w14:paraId="3C883DB0" w14:textId="77777777" w:rsidR="00FB077C" w:rsidRPr="000B4E2C" w:rsidRDefault="00FB077C" w:rsidP="000B4E2C">
            <w:pPr>
              <w:rPr>
                <w:sz w:val="22"/>
              </w:rPr>
            </w:pPr>
            <w:r w:rsidRPr="000B4E2C">
              <w:rPr>
                <w:sz w:val="22"/>
              </w:rPr>
              <w:t>Gamma</w:t>
            </w:r>
          </w:p>
        </w:tc>
        <w:tc>
          <w:tcPr>
            <w:tcW w:w="0" w:type="auto"/>
            <w:vAlign w:val="center"/>
            <w:hideMark/>
          </w:tcPr>
          <w:p w14:paraId="51B35656" w14:textId="6ACFD5C5" w:rsidR="00FB077C" w:rsidRPr="000B4E2C" w:rsidRDefault="00FB077C" w:rsidP="000B4E2C">
            <w:pPr>
              <w:rPr>
                <w:color w:val="000000" w:themeColor="text1"/>
                <w:sz w:val="22"/>
              </w:rPr>
            </w:pPr>
            <w:r w:rsidRPr="000B4E2C">
              <w:rPr>
                <w:sz w:val="22"/>
              </w:rPr>
              <w:t>NHS reference costs 2017/18</w:t>
            </w:r>
            <w:r w:rsidR="00280A97" w:rsidRPr="000B4E2C">
              <w:rPr>
                <w:noProof/>
                <w:sz w:val="22"/>
                <w:vertAlign w:val="superscript"/>
              </w:rPr>
              <w:t>124</w:t>
            </w:r>
          </w:p>
        </w:tc>
      </w:tr>
      <w:tr w:rsidR="00FB077C" w:rsidRPr="000B4E2C" w14:paraId="06112FFB" w14:textId="77777777" w:rsidTr="000B4E2C">
        <w:trPr>
          <w:cantSplit/>
        </w:trPr>
        <w:tc>
          <w:tcPr>
            <w:tcW w:w="0" w:type="auto"/>
            <w:vAlign w:val="center"/>
            <w:hideMark/>
          </w:tcPr>
          <w:p w14:paraId="7F6A5C44" w14:textId="77777777" w:rsidR="00FB077C" w:rsidRPr="000B4E2C" w:rsidRDefault="00FB077C" w:rsidP="000B4E2C">
            <w:pPr>
              <w:rPr>
                <w:sz w:val="22"/>
              </w:rPr>
            </w:pPr>
            <w:r w:rsidRPr="000B4E2C">
              <w:rPr>
                <w:sz w:val="22"/>
              </w:rPr>
              <w:t>ICU setting – daily cost</w:t>
            </w:r>
          </w:p>
        </w:tc>
        <w:tc>
          <w:tcPr>
            <w:tcW w:w="0" w:type="auto"/>
            <w:vAlign w:val="center"/>
            <w:hideMark/>
          </w:tcPr>
          <w:p w14:paraId="2E629FD4" w14:textId="77777777" w:rsidR="00FB077C" w:rsidRPr="000B4E2C" w:rsidRDefault="00FB077C" w:rsidP="000B4E2C">
            <w:pPr>
              <w:rPr>
                <w:color w:val="000000" w:themeColor="text1"/>
                <w:sz w:val="22"/>
              </w:rPr>
            </w:pPr>
            <w:r w:rsidRPr="000B4E2C">
              <w:rPr>
                <w:sz w:val="22"/>
              </w:rPr>
              <w:t>£1,395</w:t>
            </w:r>
          </w:p>
        </w:tc>
        <w:tc>
          <w:tcPr>
            <w:tcW w:w="0" w:type="auto"/>
            <w:vAlign w:val="center"/>
            <w:hideMark/>
          </w:tcPr>
          <w:p w14:paraId="189A5D10" w14:textId="77777777" w:rsidR="00FB077C" w:rsidRPr="000B4E2C" w:rsidRDefault="00FB077C" w:rsidP="000B4E2C">
            <w:pPr>
              <w:rPr>
                <w:color w:val="000000" w:themeColor="text1"/>
                <w:sz w:val="22"/>
              </w:rPr>
            </w:pPr>
            <w:r w:rsidRPr="000B4E2C">
              <w:rPr>
                <w:sz w:val="22"/>
              </w:rPr>
              <w:t>£251.38</w:t>
            </w:r>
          </w:p>
        </w:tc>
        <w:tc>
          <w:tcPr>
            <w:tcW w:w="0" w:type="auto"/>
            <w:vAlign w:val="center"/>
            <w:hideMark/>
          </w:tcPr>
          <w:p w14:paraId="74F0E881" w14:textId="77777777" w:rsidR="00FB077C" w:rsidRPr="000B4E2C" w:rsidRDefault="00FB077C" w:rsidP="000B4E2C">
            <w:pPr>
              <w:rPr>
                <w:sz w:val="22"/>
              </w:rPr>
            </w:pPr>
            <w:r w:rsidRPr="000B4E2C">
              <w:rPr>
                <w:sz w:val="22"/>
              </w:rPr>
              <w:t>Gamma</w:t>
            </w:r>
          </w:p>
        </w:tc>
        <w:tc>
          <w:tcPr>
            <w:tcW w:w="0" w:type="auto"/>
            <w:vAlign w:val="center"/>
            <w:hideMark/>
          </w:tcPr>
          <w:p w14:paraId="591497D2" w14:textId="1ED575DF" w:rsidR="00FB077C" w:rsidRPr="000B4E2C" w:rsidRDefault="00FB077C" w:rsidP="000B4E2C">
            <w:pPr>
              <w:rPr>
                <w:color w:val="000000" w:themeColor="text1"/>
                <w:sz w:val="22"/>
              </w:rPr>
            </w:pPr>
            <w:r w:rsidRPr="000B4E2C">
              <w:rPr>
                <w:sz w:val="22"/>
              </w:rPr>
              <w:t>NHS reference costs 2017/18</w:t>
            </w:r>
            <w:r w:rsidR="007D5F15" w:rsidRPr="000B4E2C">
              <w:rPr>
                <w:sz w:val="22"/>
              </w:rPr>
              <w:t>.</w:t>
            </w:r>
            <w:r w:rsidR="00280A97" w:rsidRPr="000B4E2C">
              <w:rPr>
                <w:noProof/>
                <w:sz w:val="22"/>
                <w:vertAlign w:val="superscript"/>
              </w:rPr>
              <w:t>124</w:t>
            </w:r>
            <w:r w:rsidR="007D5F15" w:rsidRPr="000B4E2C">
              <w:rPr>
                <w:sz w:val="22"/>
              </w:rPr>
              <w:t xml:space="preserve"> </w:t>
            </w:r>
            <w:r w:rsidRPr="000B4E2C">
              <w:rPr>
                <w:sz w:val="22"/>
              </w:rPr>
              <w:t xml:space="preserve">SD calculated using quartiles published from 2015/16 reference costs inflated to 2018 values. </w:t>
            </w:r>
            <w:r w:rsidRPr="000B4E2C">
              <w:rPr>
                <w:sz w:val="22"/>
                <w:vertAlign w:val="superscript"/>
              </w:rPr>
              <w:t>A</w:t>
            </w:r>
          </w:p>
        </w:tc>
      </w:tr>
      <w:tr w:rsidR="00FB077C" w:rsidRPr="000B4E2C" w14:paraId="2AB25B99" w14:textId="77777777" w:rsidTr="000B4E2C">
        <w:trPr>
          <w:cantSplit/>
        </w:trPr>
        <w:tc>
          <w:tcPr>
            <w:tcW w:w="0" w:type="auto"/>
            <w:vAlign w:val="center"/>
            <w:hideMark/>
          </w:tcPr>
          <w:p w14:paraId="5C6A57BF" w14:textId="57709446" w:rsidR="00FB077C" w:rsidRPr="000B4E2C" w:rsidRDefault="00FB077C" w:rsidP="000B4E2C">
            <w:pPr>
              <w:rPr>
                <w:sz w:val="22"/>
              </w:rPr>
            </w:pPr>
            <w:r w:rsidRPr="000B4E2C">
              <w:rPr>
                <w:sz w:val="22"/>
              </w:rPr>
              <w:t>Excess daily cost of AKI</w:t>
            </w:r>
            <w:r w:rsidRPr="000B4E2C">
              <w:rPr>
                <w:sz w:val="22"/>
                <w:vertAlign w:val="superscript"/>
              </w:rPr>
              <w:t>B</w:t>
            </w:r>
          </w:p>
        </w:tc>
        <w:tc>
          <w:tcPr>
            <w:tcW w:w="0" w:type="auto"/>
            <w:vAlign w:val="center"/>
            <w:hideMark/>
          </w:tcPr>
          <w:p w14:paraId="76B510A0" w14:textId="77777777" w:rsidR="00FB077C" w:rsidRPr="000B4E2C" w:rsidRDefault="00FB077C" w:rsidP="000B4E2C">
            <w:pPr>
              <w:rPr>
                <w:color w:val="000000" w:themeColor="text1"/>
                <w:sz w:val="22"/>
              </w:rPr>
            </w:pPr>
            <w:r w:rsidRPr="000B4E2C">
              <w:rPr>
                <w:sz w:val="22"/>
              </w:rPr>
              <w:t>£298</w:t>
            </w:r>
          </w:p>
        </w:tc>
        <w:tc>
          <w:tcPr>
            <w:tcW w:w="0" w:type="auto"/>
            <w:vAlign w:val="center"/>
            <w:hideMark/>
          </w:tcPr>
          <w:p w14:paraId="1B4BCCF4" w14:textId="77777777" w:rsidR="00FB077C" w:rsidRPr="000B4E2C" w:rsidRDefault="00FB077C" w:rsidP="000B4E2C">
            <w:pPr>
              <w:rPr>
                <w:color w:val="000000" w:themeColor="text1"/>
                <w:sz w:val="22"/>
              </w:rPr>
            </w:pPr>
            <w:r w:rsidRPr="000B4E2C">
              <w:rPr>
                <w:sz w:val="22"/>
              </w:rPr>
              <w:t>£65.65</w:t>
            </w:r>
          </w:p>
        </w:tc>
        <w:tc>
          <w:tcPr>
            <w:tcW w:w="0" w:type="auto"/>
            <w:vAlign w:val="center"/>
            <w:hideMark/>
          </w:tcPr>
          <w:p w14:paraId="460265D0" w14:textId="77777777" w:rsidR="00FB077C" w:rsidRPr="000B4E2C" w:rsidRDefault="00FB077C" w:rsidP="000B4E2C">
            <w:pPr>
              <w:rPr>
                <w:sz w:val="22"/>
              </w:rPr>
            </w:pPr>
            <w:r w:rsidRPr="000B4E2C">
              <w:rPr>
                <w:sz w:val="22"/>
              </w:rPr>
              <w:t>Gamma</w:t>
            </w:r>
          </w:p>
        </w:tc>
        <w:tc>
          <w:tcPr>
            <w:tcW w:w="0" w:type="auto"/>
            <w:vAlign w:val="center"/>
            <w:hideMark/>
          </w:tcPr>
          <w:p w14:paraId="02C91BD4" w14:textId="77777777" w:rsidR="000B4E2C" w:rsidRPr="000B4E2C" w:rsidRDefault="00FB077C" w:rsidP="000B4E2C">
            <w:pPr>
              <w:rPr>
                <w:sz w:val="22"/>
                <w:vertAlign w:val="superscript"/>
              </w:rPr>
            </w:pPr>
            <w:r w:rsidRPr="000B4E2C">
              <w:rPr>
                <w:sz w:val="22"/>
              </w:rPr>
              <w:t>NHS reference costs 2017/18</w:t>
            </w:r>
            <w:r w:rsidR="007D5F15" w:rsidRPr="000B4E2C">
              <w:rPr>
                <w:sz w:val="22"/>
              </w:rPr>
              <w:t>.</w:t>
            </w:r>
            <w:r w:rsidR="00280A97" w:rsidRPr="000B4E2C">
              <w:rPr>
                <w:noProof/>
                <w:sz w:val="22"/>
                <w:vertAlign w:val="superscript"/>
              </w:rPr>
              <w:t>124</w:t>
            </w:r>
            <w:r w:rsidRPr="000B4E2C">
              <w:rPr>
                <w:sz w:val="22"/>
              </w:rPr>
              <w:t xml:space="preserve"> SD calculated using quartiles published from 2016/17 reference costs inflated to 2018 values </w:t>
            </w:r>
            <w:r w:rsidRPr="000B4E2C">
              <w:rPr>
                <w:sz w:val="22"/>
                <w:vertAlign w:val="superscript"/>
              </w:rPr>
              <w:t>A</w:t>
            </w:r>
          </w:p>
          <w:p w14:paraId="17F19A1F" w14:textId="5CFD76F2" w:rsidR="00FB077C" w:rsidRPr="000B4E2C" w:rsidRDefault="00FB077C" w:rsidP="000B4E2C">
            <w:pPr>
              <w:rPr>
                <w:color w:val="000000" w:themeColor="text1"/>
                <w:sz w:val="22"/>
              </w:rPr>
            </w:pPr>
            <w:r w:rsidRPr="000B4E2C">
              <w:rPr>
                <w:sz w:val="22"/>
              </w:rPr>
              <w:t>(Applied in sensitivity analysis only)</w:t>
            </w:r>
          </w:p>
        </w:tc>
      </w:tr>
      <w:tr w:rsidR="00FB077C" w:rsidRPr="000B4E2C" w14:paraId="5163C788" w14:textId="77777777" w:rsidTr="000B4E2C">
        <w:trPr>
          <w:cantSplit/>
        </w:trPr>
        <w:tc>
          <w:tcPr>
            <w:tcW w:w="0" w:type="auto"/>
            <w:noWrap/>
            <w:vAlign w:val="center"/>
            <w:hideMark/>
          </w:tcPr>
          <w:p w14:paraId="1770C93D" w14:textId="5F285B65" w:rsidR="00FB077C" w:rsidRPr="000B4E2C" w:rsidRDefault="00FB077C" w:rsidP="000B4E2C">
            <w:pPr>
              <w:rPr>
                <w:bCs/>
                <w:sz w:val="22"/>
              </w:rPr>
            </w:pPr>
            <w:r w:rsidRPr="000B4E2C">
              <w:rPr>
                <w:bCs/>
                <w:sz w:val="22"/>
              </w:rPr>
              <w:t>Estimated daily cost of RRT</w:t>
            </w:r>
            <w:r w:rsidRPr="000B4E2C">
              <w:rPr>
                <w:bCs/>
                <w:sz w:val="22"/>
                <w:vertAlign w:val="superscript"/>
              </w:rPr>
              <w:t>C</w:t>
            </w:r>
          </w:p>
        </w:tc>
        <w:tc>
          <w:tcPr>
            <w:tcW w:w="0" w:type="auto"/>
            <w:noWrap/>
            <w:vAlign w:val="center"/>
            <w:hideMark/>
          </w:tcPr>
          <w:p w14:paraId="5CE4D5AB" w14:textId="77777777" w:rsidR="00FB077C" w:rsidRPr="000B4E2C" w:rsidRDefault="00FB077C" w:rsidP="000B4E2C">
            <w:pPr>
              <w:rPr>
                <w:sz w:val="22"/>
              </w:rPr>
            </w:pPr>
            <w:r w:rsidRPr="000B4E2C">
              <w:rPr>
                <w:sz w:val="22"/>
              </w:rPr>
              <w:t>£197</w:t>
            </w:r>
          </w:p>
        </w:tc>
        <w:tc>
          <w:tcPr>
            <w:tcW w:w="0" w:type="auto"/>
            <w:noWrap/>
            <w:vAlign w:val="center"/>
          </w:tcPr>
          <w:p w14:paraId="51E5D6EA" w14:textId="77777777" w:rsidR="00FB077C" w:rsidRPr="000B4E2C" w:rsidRDefault="00FB077C" w:rsidP="000B4E2C">
            <w:pPr>
              <w:rPr>
                <w:sz w:val="22"/>
              </w:rPr>
            </w:pPr>
          </w:p>
        </w:tc>
        <w:tc>
          <w:tcPr>
            <w:tcW w:w="0" w:type="auto"/>
            <w:noWrap/>
            <w:vAlign w:val="center"/>
            <w:hideMark/>
          </w:tcPr>
          <w:p w14:paraId="7972A805" w14:textId="77777777" w:rsidR="00FB077C" w:rsidRPr="000B4E2C" w:rsidRDefault="00FB077C" w:rsidP="000B4E2C">
            <w:pPr>
              <w:rPr>
                <w:sz w:val="22"/>
              </w:rPr>
            </w:pPr>
            <w:r w:rsidRPr="000B4E2C">
              <w:rPr>
                <w:sz w:val="22"/>
              </w:rPr>
              <w:t>Applied deterministically</w:t>
            </w:r>
          </w:p>
        </w:tc>
        <w:tc>
          <w:tcPr>
            <w:tcW w:w="0" w:type="auto"/>
            <w:noWrap/>
            <w:vAlign w:val="center"/>
            <w:hideMark/>
          </w:tcPr>
          <w:p w14:paraId="3EA4BFED" w14:textId="7C1CC4BE" w:rsidR="00FB077C" w:rsidRPr="000B4E2C" w:rsidRDefault="00FB077C" w:rsidP="000B4E2C">
            <w:pPr>
              <w:rPr>
                <w:sz w:val="22"/>
              </w:rPr>
            </w:pPr>
            <w:r w:rsidRPr="000B4E2C">
              <w:rPr>
                <w:sz w:val="22"/>
              </w:rPr>
              <w:t>NHS reference costs 2017/18</w:t>
            </w:r>
            <w:r w:rsidR="007D5F15" w:rsidRPr="000B4E2C">
              <w:rPr>
                <w:sz w:val="22"/>
              </w:rPr>
              <w:t>,</w:t>
            </w:r>
            <w:r w:rsidR="00280A97" w:rsidRPr="000B4E2C">
              <w:rPr>
                <w:noProof/>
                <w:sz w:val="22"/>
                <w:vertAlign w:val="superscript"/>
              </w:rPr>
              <w:t>124</w:t>
            </w:r>
            <w:r w:rsidRPr="000B4E2C">
              <w:rPr>
                <w:sz w:val="22"/>
              </w:rPr>
              <w:t xml:space="preserve"> assumes 48% on intermittent HD</w:t>
            </w:r>
            <w:r w:rsidR="000B4E2C" w:rsidRPr="000B4E2C">
              <w:rPr>
                <w:color w:val="00B0F0"/>
                <w:sz w:val="22"/>
              </w:rPr>
              <w:t>/</w:t>
            </w:r>
            <w:r w:rsidRPr="000B4E2C">
              <w:rPr>
                <w:sz w:val="22"/>
              </w:rPr>
              <w:t xml:space="preserve">52% on continuous HD from </w:t>
            </w:r>
            <w:r w:rsidR="0072128A" w:rsidRPr="000B4E2C">
              <w:rPr>
                <w:color w:val="00B0F0"/>
                <w:sz w:val="22"/>
                <w:highlight w:val="green"/>
              </w:rPr>
              <w:t>‘</w:t>
            </w:r>
            <w:r w:rsidR="0072128A" w:rsidRPr="000B4E2C">
              <w:rPr>
                <w:sz w:val="22"/>
                <w:highlight w:val="green"/>
              </w:rPr>
              <w:t>Adding insult to injury</w:t>
            </w:r>
            <w:r w:rsidR="0072128A" w:rsidRPr="000B4E2C">
              <w:rPr>
                <w:color w:val="00B0F0"/>
                <w:sz w:val="22"/>
                <w:highlight w:val="green"/>
              </w:rPr>
              <w:t>’</w:t>
            </w:r>
            <w:r w:rsidRPr="000B4E2C">
              <w:rPr>
                <w:sz w:val="22"/>
              </w:rPr>
              <w:t xml:space="preserve"> report 2009.</w:t>
            </w:r>
            <w:r w:rsidRPr="000B4E2C">
              <w:rPr>
                <w:noProof/>
                <w:sz w:val="22"/>
                <w:vertAlign w:val="superscript"/>
              </w:rPr>
              <w:t>3</w:t>
            </w:r>
          </w:p>
        </w:tc>
      </w:tr>
      <w:tr w:rsidR="00FB077C" w:rsidRPr="000B4E2C" w14:paraId="6DDC9FB0" w14:textId="77777777" w:rsidTr="000B4E2C">
        <w:trPr>
          <w:cantSplit/>
        </w:trPr>
        <w:tc>
          <w:tcPr>
            <w:tcW w:w="0" w:type="auto"/>
            <w:gridSpan w:val="5"/>
            <w:shd w:val="clear" w:color="auto" w:fill="D9D9D9" w:themeFill="background1" w:themeFillShade="D9"/>
            <w:noWrap/>
            <w:vAlign w:val="center"/>
            <w:hideMark/>
          </w:tcPr>
          <w:p w14:paraId="7BEA7D7A" w14:textId="650BD438" w:rsidR="00FB077C" w:rsidRPr="000B4E2C" w:rsidRDefault="00FB077C" w:rsidP="000B4E2C">
            <w:pPr>
              <w:rPr>
                <w:sz w:val="22"/>
              </w:rPr>
            </w:pPr>
            <w:r w:rsidRPr="000B4E2C">
              <w:rPr>
                <w:b/>
                <w:bCs/>
                <w:sz w:val="22"/>
                <w:highlight w:val="magenta"/>
              </w:rPr>
              <w:t>Follow up</w:t>
            </w:r>
            <w:r w:rsidRPr="000B4E2C">
              <w:rPr>
                <w:b/>
                <w:bCs/>
                <w:sz w:val="22"/>
              </w:rPr>
              <w:t xml:space="preserve"> costs applied in the Markov model (day 9</w:t>
            </w:r>
            <w:r w:rsidR="000B4E2C" w:rsidRPr="000B4E2C">
              <w:rPr>
                <w:b/>
                <w:bCs/>
                <w:color w:val="00B0F0"/>
                <w:sz w:val="22"/>
              </w:rPr>
              <w:t>0</w:t>
            </w:r>
            <w:r w:rsidR="000B4E2C" w:rsidRPr="000B4E2C">
              <w:rPr>
                <w:b/>
                <w:bCs/>
                <w:color w:val="00B0F0"/>
                <w:sz w:val="22"/>
              </w:rPr>
              <w:t> </w:t>
            </w:r>
            <w:r w:rsidR="000B4E2C" w:rsidRPr="000B4E2C">
              <w:rPr>
                <w:b/>
                <w:bCs/>
                <w:color w:val="00B0F0"/>
                <w:sz w:val="22"/>
              </w:rPr>
              <w:t>+</w:t>
            </w:r>
            <w:r w:rsidRPr="000B4E2C">
              <w:rPr>
                <w:b/>
                <w:bCs/>
                <w:sz w:val="22"/>
              </w:rPr>
              <w:t>)</w:t>
            </w:r>
          </w:p>
        </w:tc>
      </w:tr>
      <w:tr w:rsidR="00FB077C" w:rsidRPr="000B4E2C" w14:paraId="12B24B0E" w14:textId="77777777" w:rsidTr="000B4E2C">
        <w:trPr>
          <w:cantSplit/>
        </w:trPr>
        <w:tc>
          <w:tcPr>
            <w:tcW w:w="0" w:type="auto"/>
            <w:gridSpan w:val="5"/>
            <w:noWrap/>
            <w:vAlign w:val="center"/>
            <w:hideMark/>
          </w:tcPr>
          <w:p w14:paraId="43E71235" w14:textId="1CE6D8EA" w:rsidR="00FB077C" w:rsidRPr="000B4E2C" w:rsidRDefault="00FB077C" w:rsidP="000B4E2C">
            <w:pPr>
              <w:rPr>
                <w:sz w:val="22"/>
              </w:rPr>
            </w:pPr>
            <w:r w:rsidRPr="000B4E2C">
              <w:rPr>
                <w:i/>
                <w:iCs/>
                <w:sz w:val="22"/>
              </w:rPr>
              <w:t xml:space="preserve">Annual </w:t>
            </w:r>
            <w:r w:rsidRPr="000B4E2C">
              <w:rPr>
                <w:i/>
                <w:iCs/>
                <w:sz w:val="22"/>
                <w:highlight w:val="magenta"/>
              </w:rPr>
              <w:t>follow up</w:t>
            </w:r>
            <w:r w:rsidRPr="000B4E2C">
              <w:rPr>
                <w:i/>
                <w:iCs/>
                <w:sz w:val="22"/>
              </w:rPr>
              <w:t xml:space="preserve"> costs for the proportion of the cohort that were </w:t>
            </w:r>
            <w:r w:rsidRPr="000B4E2C">
              <w:rPr>
                <w:b/>
                <w:i/>
                <w:iCs/>
                <w:sz w:val="22"/>
                <w:u w:val="single"/>
              </w:rPr>
              <w:t>not</w:t>
            </w:r>
            <w:r w:rsidRPr="000B4E2C">
              <w:rPr>
                <w:i/>
                <w:iCs/>
                <w:sz w:val="22"/>
              </w:rPr>
              <w:t xml:space="preserve"> admitted to ICU during the acute phase</w:t>
            </w:r>
            <w:r w:rsidRPr="000B4E2C">
              <w:rPr>
                <w:i/>
                <w:iCs/>
                <w:sz w:val="22"/>
                <w:vertAlign w:val="superscript"/>
              </w:rPr>
              <w:t>D</w:t>
            </w:r>
          </w:p>
        </w:tc>
      </w:tr>
      <w:tr w:rsidR="00FB077C" w:rsidRPr="000B4E2C" w14:paraId="4CFC42E4" w14:textId="77777777" w:rsidTr="000B4E2C">
        <w:trPr>
          <w:cantSplit/>
        </w:trPr>
        <w:tc>
          <w:tcPr>
            <w:tcW w:w="0" w:type="auto"/>
            <w:noWrap/>
            <w:vAlign w:val="center"/>
            <w:hideMark/>
          </w:tcPr>
          <w:p w14:paraId="5CF61CB8" w14:textId="77777777" w:rsidR="00FB077C" w:rsidRPr="000B4E2C" w:rsidRDefault="00FB077C" w:rsidP="000B4E2C">
            <w:pPr>
              <w:rPr>
                <w:b/>
                <w:bCs/>
                <w:sz w:val="22"/>
              </w:rPr>
            </w:pPr>
            <w:r w:rsidRPr="000B4E2C">
              <w:rPr>
                <w:sz w:val="22"/>
              </w:rPr>
              <w:t>Year 1</w:t>
            </w:r>
          </w:p>
        </w:tc>
        <w:tc>
          <w:tcPr>
            <w:tcW w:w="0" w:type="auto"/>
            <w:noWrap/>
            <w:vAlign w:val="center"/>
            <w:hideMark/>
          </w:tcPr>
          <w:p w14:paraId="68B8A75E" w14:textId="77777777" w:rsidR="00FB077C" w:rsidRPr="000B4E2C" w:rsidRDefault="00FB077C" w:rsidP="000B4E2C">
            <w:pPr>
              <w:rPr>
                <w:sz w:val="22"/>
              </w:rPr>
            </w:pPr>
            <w:r w:rsidRPr="000B4E2C">
              <w:rPr>
                <w:sz w:val="22"/>
              </w:rPr>
              <w:t>£3,954</w:t>
            </w:r>
          </w:p>
        </w:tc>
        <w:tc>
          <w:tcPr>
            <w:tcW w:w="0" w:type="auto"/>
            <w:noWrap/>
            <w:vAlign w:val="center"/>
            <w:hideMark/>
          </w:tcPr>
          <w:p w14:paraId="0EF9A9E7" w14:textId="77777777" w:rsidR="00FB077C" w:rsidRPr="000B4E2C" w:rsidRDefault="00FB077C" w:rsidP="000B4E2C">
            <w:pPr>
              <w:rPr>
                <w:sz w:val="22"/>
              </w:rPr>
            </w:pPr>
            <w:r w:rsidRPr="000B4E2C">
              <w:rPr>
                <w:sz w:val="22"/>
              </w:rPr>
              <w:t>£158</w:t>
            </w:r>
          </w:p>
        </w:tc>
        <w:tc>
          <w:tcPr>
            <w:tcW w:w="0" w:type="auto"/>
            <w:noWrap/>
            <w:vAlign w:val="center"/>
            <w:hideMark/>
          </w:tcPr>
          <w:p w14:paraId="1AF7B3D9" w14:textId="77777777" w:rsidR="00FB077C" w:rsidRPr="000B4E2C" w:rsidRDefault="00FB077C" w:rsidP="000B4E2C">
            <w:pPr>
              <w:rPr>
                <w:sz w:val="22"/>
              </w:rPr>
            </w:pPr>
            <w:r w:rsidRPr="000B4E2C">
              <w:rPr>
                <w:sz w:val="22"/>
              </w:rPr>
              <w:t>Gamma</w:t>
            </w:r>
          </w:p>
        </w:tc>
        <w:tc>
          <w:tcPr>
            <w:tcW w:w="0" w:type="auto"/>
            <w:vMerge w:val="restart"/>
            <w:noWrap/>
            <w:vAlign w:val="center"/>
            <w:hideMark/>
          </w:tcPr>
          <w:p w14:paraId="2BBB56C3" w14:textId="314F6232" w:rsidR="00FB077C" w:rsidRPr="000B4E2C" w:rsidRDefault="00FB077C" w:rsidP="000B4E2C">
            <w:pPr>
              <w:rPr>
                <w:sz w:val="22"/>
              </w:rPr>
            </w:pPr>
            <w:r w:rsidRPr="000B4E2C">
              <w:rPr>
                <w:bCs/>
                <w:sz w:val="22"/>
              </w:rPr>
              <w:t>Lone</w:t>
            </w:r>
            <w:r w:rsidRPr="000B4E2C">
              <w:rPr>
                <w:bCs/>
                <w:i/>
                <w:color w:val="00B0F0"/>
                <w:sz w:val="22"/>
              </w:rPr>
              <w:t xml:space="preserve"> et al</w:t>
            </w:r>
            <w:r w:rsidR="007D5F15" w:rsidRPr="000B4E2C">
              <w:rPr>
                <w:bCs/>
                <w:sz w:val="22"/>
              </w:rPr>
              <w:t>.</w:t>
            </w:r>
            <w:r w:rsidR="00280A97" w:rsidRPr="000B4E2C">
              <w:rPr>
                <w:bCs/>
                <w:noProof/>
                <w:sz w:val="22"/>
                <w:vertAlign w:val="superscript"/>
              </w:rPr>
              <w:t>116</w:t>
            </w:r>
          </w:p>
        </w:tc>
      </w:tr>
      <w:tr w:rsidR="00FB077C" w:rsidRPr="000B4E2C" w14:paraId="4D802CF8" w14:textId="77777777" w:rsidTr="000B4E2C">
        <w:trPr>
          <w:cantSplit/>
        </w:trPr>
        <w:tc>
          <w:tcPr>
            <w:tcW w:w="0" w:type="auto"/>
            <w:noWrap/>
            <w:vAlign w:val="center"/>
            <w:hideMark/>
          </w:tcPr>
          <w:p w14:paraId="049F0CAF" w14:textId="77777777" w:rsidR="00FB077C" w:rsidRPr="000B4E2C" w:rsidRDefault="00FB077C" w:rsidP="000B4E2C">
            <w:pPr>
              <w:rPr>
                <w:b/>
                <w:bCs/>
                <w:sz w:val="22"/>
              </w:rPr>
            </w:pPr>
            <w:r w:rsidRPr="000B4E2C">
              <w:rPr>
                <w:sz w:val="22"/>
              </w:rPr>
              <w:t>Year 2</w:t>
            </w:r>
          </w:p>
        </w:tc>
        <w:tc>
          <w:tcPr>
            <w:tcW w:w="0" w:type="auto"/>
            <w:noWrap/>
            <w:vAlign w:val="center"/>
            <w:hideMark/>
          </w:tcPr>
          <w:p w14:paraId="64B63F9B" w14:textId="77777777" w:rsidR="00FB077C" w:rsidRPr="000B4E2C" w:rsidRDefault="00FB077C" w:rsidP="000B4E2C">
            <w:pPr>
              <w:rPr>
                <w:sz w:val="22"/>
              </w:rPr>
            </w:pPr>
            <w:r w:rsidRPr="000B4E2C">
              <w:rPr>
                <w:sz w:val="22"/>
              </w:rPr>
              <w:t>£2,864</w:t>
            </w:r>
          </w:p>
        </w:tc>
        <w:tc>
          <w:tcPr>
            <w:tcW w:w="0" w:type="auto"/>
            <w:noWrap/>
            <w:vAlign w:val="center"/>
            <w:hideMark/>
          </w:tcPr>
          <w:p w14:paraId="3EB319B1" w14:textId="77777777" w:rsidR="00FB077C" w:rsidRPr="000B4E2C" w:rsidRDefault="00FB077C" w:rsidP="000B4E2C">
            <w:pPr>
              <w:rPr>
                <w:sz w:val="22"/>
              </w:rPr>
            </w:pPr>
            <w:r w:rsidRPr="000B4E2C">
              <w:rPr>
                <w:sz w:val="22"/>
              </w:rPr>
              <w:t>£139</w:t>
            </w:r>
          </w:p>
        </w:tc>
        <w:tc>
          <w:tcPr>
            <w:tcW w:w="0" w:type="auto"/>
            <w:noWrap/>
            <w:vAlign w:val="center"/>
            <w:hideMark/>
          </w:tcPr>
          <w:p w14:paraId="77ED62DB" w14:textId="77777777" w:rsidR="00FB077C" w:rsidRPr="000B4E2C" w:rsidRDefault="00FB077C" w:rsidP="000B4E2C">
            <w:pPr>
              <w:rPr>
                <w:sz w:val="22"/>
              </w:rPr>
            </w:pPr>
            <w:r w:rsidRPr="000B4E2C">
              <w:rPr>
                <w:sz w:val="22"/>
              </w:rPr>
              <w:t>Gamma</w:t>
            </w:r>
          </w:p>
        </w:tc>
        <w:tc>
          <w:tcPr>
            <w:tcW w:w="0" w:type="auto"/>
            <w:vMerge/>
            <w:vAlign w:val="center"/>
            <w:hideMark/>
          </w:tcPr>
          <w:p w14:paraId="68F6574E" w14:textId="77777777" w:rsidR="00FB077C" w:rsidRPr="000B4E2C" w:rsidRDefault="00FB077C" w:rsidP="000B4E2C">
            <w:pPr>
              <w:rPr>
                <w:sz w:val="22"/>
              </w:rPr>
            </w:pPr>
          </w:p>
        </w:tc>
      </w:tr>
      <w:tr w:rsidR="00FB077C" w:rsidRPr="000B4E2C" w14:paraId="085A49B5" w14:textId="77777777" w:rsidTr="000B4E2C">
        <w:trPr>
          <w:cantSplit/>
        </w:trPr>
        <w:tc>
          <w:tcPr>
            <w:tcW w:w="0" w:type="auto"/>
            <w:noWrap/>
            <w:vAlign w:val="center"/>
            <w:hideMark/>
          </w:tcPr>
          <w:p w14:paraId="4949F392" w14:textId="77777777" w:rsidR="00FB077C" w:rsidRPr="000B4E2C" w:rsidRDefault="00FB077C" w:rsidP="000B4E2C">
            <w:pPr>
              <w:rPr>
                <w:b/>
                <w:bCs/>
                <w:sz w:val="22"/>
              </w:rPr>
            </w:pPr>
            <w:r w:rsidRPr="000B4E2C">
              <w:rPr>
                <w:sz w:val="22"/>
              </w:rPr>
              <w:t>Year 3</w:t>
            </w:r>
          </w:p>
        </w:tc>
        <w:tc>
          <w:tcPr>
            <w:tcW w:w="0" w:type="auto"/>
            <w:noWrap/>
            <w:vAlign w:val="center"/>
            <w:hideMark/>
          </w:tcPr>
          <w:p w14:paraId="3511FAD6" w14:textId="77777777" w:rsidR="00FB077C" w:rsidRPr="000B4E2C" w:rsidRDefault="00FB077C" w:rsidP="000B4E2C">
            <w:pPr>
              <w:rPr>
                <w:sz w:val="22"/>
              </w:rPr>
            </w:pPr>
            <w:r w:rsidRPr="000B4E2C">
              <w:rPr>
                <w:sz w:val="22"/>
              </w:rPr>
              <w:t>£2,547</w:t>
            </w:r>
          </w:p>
        </w:tc>
        <w:tc>
          <w:tcPr>
            <w:tcW w:w="0" w:type="auto"/>
            <w:noWrap/>
            <w:vAlign w:val="center"/>
            <w:hideMark/>
          </w:tcPr>
          <w:p w14:paraId="0DD0B292" w14:textId="77777777" w:rsidR="00FB077C" w:rsidRPr="000B4E2C" w:rsidRDefault="00FB077C" w:rsidP="000B4E2C">
            <w:pPr>
              <w:rPr>
                <w:sz w:val="22"/>
              </w:rPr>
            </w:pPr>
            <w:r w:rsidRPr="000B4E2C">
              <w:rPr>
                <w:sz w:val="22"/>
              </w:rPr>
              <w:t>£140</w:t>
            </w:r>
          </w:p>
        </w:tc>
        <w:tc>
          <w:tcPr>
            <w:tcW w:w="0" w:type="auto"/>
            <w:noWrap/>
            <w:vAlign w:val="center"/>
            <w:hideMark/>
          </w:tcPr>
          <w:p w14:paraId="1A5F41D0" w14:textId="77777777" w:rsidR="00FB077C" w:rsidRPr="000B4E2C" w:rsidRDefault="00FB077C" w:rsidP="000B4E2C">
            <w:pPr>
              <w:rPr>
                <w:sz w:val="22"/>
              </w:rPr>
            </w:pPr>
            <w:r w:rsidRPr="000B4E2C">
              <w:rPr>
                <w:sz w:val="22"/>
              </w:rPr>
              <w:t>Gamma</w:t>
            </w:r>
          </w:p>
        </w:tc>
        <w:tc>
          <w:tcPr>
            <w:tcW w:w="0" w:type="auto"/>
            <w:vMerge/>
            <w:vAlign w:val="center"/>
            <w:hideMark/>
          </w:tcPr>
          <w:p w14:paraId="536C99EF" w14:textId="77777777" w:rsidR="00FB077C" w:rsidRPr="000B4E2C" w:rsidRDefault="00FB077C" w:rsidP="000B4E2C">
            <w:pPr>
              <w:rPr>
                <w:sz w:val="22"/>
              </w:rPr>
            </w:pPr>
          </w:p>
        </w:tc>
      </w:tr>
      <w:tr w:rsidR="00FB077C" w:rsidRPr="000B4E2C" w14:paraId="488BF48B" w14:textId="77777777" w:rsidTr="000B4E2C">
        <w:trPr>
          <w:cantSplit/>
        </w:trPr>
        <w:tc>
          <w:tcPr>
            <w:tcW w:w="0" w:type="auto"/>
            <w:noWrap/>
            <w:vAlign w:val="center"/>
            <w:hideMark/>
          </w:tcPr>
          <w:p w14:paraId="0ACA5D1B" w14:textId="77777777" w:rsidR="00FB077C" w:rsidRPr="000B4E2C" w:rsidRDefault="00FB077C" w:rsidP="000B4E2C">
            <w:pPr>
              <w:rPr>
                <w:b/>
                <w:bCs/>
                <w:sz w:val="22"/>
              </w:rPr>
            </w:pPr>
            <w:r w:rsidRPr="000B4E2C">
              <w:rPr>
                <w:sz w:val="22"/>
              </w:rPr>
              <w:t>Year 4</w:t>
            </w:r>
          </w:p>
        </w:tc>
        <w:tc>
          <w:tcPr>
            <w:tcW w:w="0" w:type="auto"/>
            <w:noWrap/>
            <w:vAlign w:val="center"/>
            <w:hideMark/>
          </w:tcPr>
          <w:p w14:paraId="106278B4" w14:textId="77777777" w:rsidR="00FB077C" w:rsidRPr="000B4E2C" w:rsidRDefault="00FB077C" w:rsidP="000B4E2C">
            <w:pPr>
              <w:rPr>
                <w:sz w:val="22"/>
              </w:rPr>
            </w:pPr>
            <w:r w:rsidRPr="000B4E2C">
              <w:rPr>
                <w:sz w:val="22"/>
              </w:rPr>
              <w:t>£2,277</w:t>
            </w:r>
          </w:p>
        </w:tc>
        <w:tc>
          <w:tcPr>
            <w:tcW w:w="0" w:type="auto"/>
            <w:noWrap/>
            <w:vAlign w:val="center"/>
            <w:hideMark/>
          </w:tcPr>
          <w:p w14:paraId="2CBD4518" w14:textId="77777777" w:rsidR="00FB077C" w:rsidRPr="000B4E2C" w:rsidRDefault="00FB077C" w:rsidP="000B4E2C">
            <w:pPr>
              <w:rPr>
                <w:sz w:val="22"/>
              </w:rPr>
            </w:pPr>
            <w:r w:rsidRPr="000B4E2C">
              <w:rPr>
                <w:sz w:val="22"/>
              </w:rPr>
              <w:t>£129</w:t>
            </w:r>
          </w:p>
        </w:tc>
        <w:tc>
          <w:tcPr>
            <w:tcW w:w="0" w:type="auto"/>
            <w:noWrap/>
            <w:vAlign w:val="center"/>
            <w:hideMark/>
          </w:tcPr>
          <w:p w14:paraId="741069EE" w14:textId="77777777" w:rsidR="00FB077C" w:rsidRPr="000B4E2C" w:rsidRDefault="00FB077C" w:rsidP="000B4E2C">
            <w:pPr>
              <w:rPr>
                <w:sz w:val="22"/>
              </w:rPr>
            </w:pPr>
            <w:r w:rsidRPr="000B4E2C">
              <w:rPr>
                <w:sz w:val="22"/>
              </w:rPr>
              <w:t>Gamma</w:t>
            </w:r>
          </w:p>
        </w:tc>
        <w:tc>
          <w:tcPr>
            <w:tcW w:w="0" w:type="auto"/>
            <w:vMerge/>
            <w:vAlign w:val="center"/>
            <w:hideMark/>
          </w:tcPr>
          <w:p w14:paraId="34BCC2DA" w14:textId="77777777" w:rsidR="00FB077C" w:rsidRPr="000B4E2C" w:rsidRDefault="00FB077C" w:rsidP="000B4E2C">
            <w:pPr>
              <w:rPr>
                <w:sz w:val="22"/>
              </w:rPr>
            </w:pPr>
          </w:p>
        </w:tc>
      </w:tr>
      <w:tr w:rsidR="00FB077C" w:rsidRPr="000B4E2C" w14:paraId="5D0D0A5F" w14:textId="77777777" w:rsidTr="000B4E2C">
        <w:trPr>
          <w:cantSplit/>
        </w:trPr>
        <w:tc>
          <w:tcPr>
            <w:tcW w:w="0" w:type="auto"/>
            <w:noWrap/>
            <w:vAlign w:val="center"/>
            <w:hideMark/>
          </w:tcPr>
          <w:p w14:paraId="3C31600C" w14:textId="77777777" w:rsidR="00FB077C" w:rsidRPr="000B4E2C" w:rsidRDefault="00FB077C" w:rsidP="000B4E2C">
            <w:pPr>
              <w:rPr>
                <w:b/>
                <w:bCs/>
                <w:sz w:val="22"/>
              </w:rPr>
            </w:pPr>
            <w:r w:rsidRPr="000B4E2C">
              <w:rPr>
                <w:sz w:val="22"/>
              </w:rPr>
              <w:lastRenderedPageBreak/>
              <w:t>Year 5</w:t>
            </w:r>
          </w:p>
        </w:tc>
        <w:tc>
          <w:tcPr>
            <w:tcW w:w="0" w:type="auto"/>
            <w:noWrap/>
            <w:vAlign w:val="center"/>
            <w:hideMark/>
          </w:tcPr>
          <w:p w14:paraId="4D3E873F" w14:textId="77777777" w:rsidR="00FB077C" w:rsidRPr="000B4E2C" w:rsidRDefault="00FB077C" w:rsidP="000B4E2C">
            <w:pPr>
              <w:rPr>
                <w:sz w:val="22"/>
              </w:rPr>
            </w:pPr>
            <w:r w:rsidRPr="000B4E2C">
              <w:rPr>
                <w:sz w:val="22"/>
              </w:rPr>
              <w:t>£2,090</w:t>
            </w:r>
          </w:p>
        </w:tc>
        <w:tc>
          <w:tcPr>
            <w:tcW w:w="0" w:type="auto"/>
            <w:noWrap/>
            <w:vAlign w:val="center"/>
            <w:hideMark/>
          </w:tcPr>
          <w:p w14:paraId="72D76263" w14:textId="77777777" w:rsidR="00FB077C" w:rsidRPr="000B4E2C" w:rsidRDefault="00FB077C" w:rsidP="000B4E2C">
            <w:pPr>
              <w:rPr>
                <w:sz w:val="22"/>
              </w:rPr>
            </w:pPr>
            <w:r w:rsidRPr="000B4E2C">
              <w:rPr>
                <w:sz w:val="22"/>
              </w:rPr>
              <w:t>£125</w:t>
            </w:r>
          </w:p>
        </w:tc>
        <w:tc>
          <w:tcPr>
            <w:tcW w:w="0" w:type="auto"/>
            <w:noWrap/>
            <w:vAlign w:val="center"/>
            <w:hideMark/>
          </w:tcPr>
          <w:p w14:paraId="4BE65C63" w14:textId="77777777" w:rsidR="00FB077C" w:rsidRPr="000B4E2C" w:rsidRDefault="00FB077C" w:rsidP="000B4E2C">
            <w:pPr>
              <w:rPr>
                <w:sz w:val="22"/>
              </w:rPr>
            </w:pPr>
            <w:r w:rsidRPr="000B4E2C">
              <w:rPr>
                <w:sz w:val="22"/>
              </w:rPr>
              <w:t>Gamma</w:t>
            </w:r>
          </w:p>
        </w:tc>
        <w:tc>
          <w:tcPr>
            <w:tcW w:w="0" w:type="auto"/>
            <w:vMerge/>
            <w:vAlign w:val="center"/>
            <w:hideMark/>
          </w:tcPr>
          <w:p w14:paraId="5F731582" w14:textId="77777777" w:rsidR="00FB077C" w:rsidRPr="000B4E2C" w:rsidRDefault="00FB077C" w:rsidP="000B4E2C">
            <w:pPr>
              <w:rPr>
                <w:sz w:val="22"/>
              </w:rPr>
            </w:pPr>
          </w:p>
        </w:tc>
      </w:tr>
      <w:tr w:rsidR="00FB077C" w:rsidRPr="000B4E2C" w14:paraId="77D149C3" w14:textId="77777777" w:rsidTr="000B4E2C">
        <w:trPr>
          <w:cantSplit/>
        </w:trPr>
        <w:tc>
          <w:tcPr>
            <w:tcW w:w="0" w:type="auto"/>
            <w:noWrap/>
            <w:vAlign w:val="center"/>
            <w:hideMark/>
          </w:tcPr>
          <w:p w14:paraId="5853B8CD" w14:textId="77777777" w:rsidR="00FB077C" w:rsidRPr="000B4E2C" w:rsidRDefault="00FB077C" w:rsidP="000B4E2C">
            <w:pPr>
              <w:rPr>
                <w:b/>
                <w:bCs/>
                <w:sz w:val="22"/>
              </w:rPr>
            </w:pPr>
            <w:r w:rsidRPr="000B4E2C">
              <w:rPr>
                <w:sz w:val="22"/>
              </w:rPr>
              <w:t xml:space="preserve">Year 6 </w:t>
            </w:r>
          </w:p>
        </w:tc>
        <w:tc>
          <w:tcPr>
            <w:tcW w:w="0" w:type="auto"/>
            <w:noWrap/>
            <w:vAlign w:val="center"/>
            <w:hideMark/>
          </w:tcPr>
          <w:p w14:paraId="1EE56598" w14:textId="77777777" w:rsidR="00FB077C" w:rsidRPr="000B4E2C" w:rsidRDefault="00FB077C" w:rsidP="000B4E2C">
            <w:pPr>
              <w:rPr>
                <w:sz w:val="22"/>
              </w:rPr>
            </w:pPr>
            <w:r w:rsidRPr="000B4E2C">
              <w:rPr>
                <w:sz w:val="22"/>
              </w:rPr>
              <w:t>£1,794</w:t>
            </w:r>
          </w:p>
        </w:tc>
        <w:tc>
          <w:tcPr>
            <w:tcW w:w="0" w:type="auto"/>
            <w:noWrap/>
            <w:vAlign w:val="center"/>
            <w:hideMark/>
          </w:tcPr>
          <w:p w14:paraId="617738E1" w14:textId="77777777" w:rsidR="00FB077C" w:rsidRPr="000B4E2C" w:rsidRDefault="00FB077C" w:rsidP="000B4E2C">
            <w:pPr>
              <w:rPr>
                <w:sz w:val="22"/>
              </w:rPr>
            </w:pPr>
            <w:r w:rsidRPr="000B4E2C">
              <w:rPr>
                <w:sz w:val="22"/>
              </w:rPr>
              <w:t>£125 (assumption)</w:t>
            </w:r>
          </w:p>
        </w:tc>
        <w:tc>
          <w:tcPr>
            <w:tcW w:w="0" w:type="auto"/>
            <w:noWrap/>
            <w:vAlign w:val="center"/>
            <w:hideMark/>
          </w:tcPr>
          <w:p w14:paraId="35CE0693" w14:textId="77777777" w:rsidR="00FB077C" w:rsidRPr="000B4E2C" w:rsidRDefault="00FB077C" w:rsidP="000B4E2C">
            <w:pPr>
              <w:rPr>
                <w:sz w:val="22"/>
              </w:rPr>
            </w:pPr>
            <w:r w:rsidRPr="000B4E2C">
              <w:rPr>
                <w:sz w:val="22"/>
              </w:rPr>
              <w:t>Gamma</w:t>
            </w:r>
          </w:p>
        </w:tc>
        <w:tc>
          <w:tcPr>
            <w:tcW w:w="0" w:type="auto"/>
            <w:vMerge w:val="restart"/>
            <w:noWrap/>
            <w:vAlign w:val="center"/>
            <w:hideMark/>
          </w:tcPr>
          <w:p w14:paraId="3BDF1264" w14:textId="3AAA399D" w:rsidR="00FB077C" w:rsidRPr="000B4E2C" w:rsidRDefault="00FB077C" w:rsidP="000B4E2C">
            <w:pPr>
              <w:rPr>
                <w:sz w:val="22"/>
              </w:rPr>
            </w:pPr>
            <w:r w:rsidRPr="000B4E2C">
              <w:rPr>
                <w:sz w:val="22"/>
              </w:rPr>
              <w:t>Calculation based on</w:t>
            </w:r>
            <w:r w:rsidR="000B4E2C" w:rsidRPr="000B4E2C">
              <w:rPr>
                <w:sz w:val="22"/>
              </w:rPr>
              <w:t xml:space="preserve"> </w:t>
            </w:r>
            <w:r w:rsidRPr="000B4E2C">
              <w:rPr>
                <w:bCs/>
                <w:sz w:val="22"/>
              </w:rPr>
              <w:t>Lone</w:t>
            </w:r>
            <w:r w:rsidRPr="000B4E2C">
              <w:rPr>
                <w:bCs/>
                <w:i/>
                <w:color w:val="00B0F0"/>
                <w:sz w:val="22"/>
              </w:rPr>
              <w:t xml:space="preserve"> et al</w:t>
            </w:r>
            <w:r w:rsidR="007D5F15" w:rsidRPr="000B4E2C">
              <w:rPr>
                <w:bCs/>
                <w:sz w:val="22"/>
              </w:rPr>
              <w:t>.</w:t>
            </w:r>
            <w:r w:rsidR="00280A97" w:rsidRPr="000B4E2C">
              <w:rPr>
                <w:bCs/>
                <w:noProof/>
                <w:sz w:val="22"/>
                <w:vertAlign w:val="superscript"/>
              </w:rPr>
              <w:t>116</w:t>
            </w:r>
            <w:r w:rsidR="007D5F15" w:rsidRPr="000B4E2C">
              <w:rPr>
                <w:bCs/>
                <w:sz w:val="22"/>
              </w:rPr>
              <w:t xml:space="preserve"> </w:t>
            </w:r>
            <w:r w:rsidRPr="000B4E2C">
              <w:rPr>
                <w:sz w:val="22"/>
              </w:rPr>
              <w:t>Costs from years 6 onwards applied in sensitivity analysis only</w:t>
            </w:r>
          </w:p>
        </w:tc>
      </w:tr>
      <w:tr w:rsidR="00FB077C" w:rsidRPr="000B4E2C" w14:paraId="7D23C5A1" w14:textId="77777777" w:rsidTr="000B4E2C">
        <w:trPr>
          <w:cantSplit/>
        </w:trPr>
        <w:tc>
          <w:tcPr>
            <w:tcW w:w="0" w:type="auto"/>
            <w:noWrap/>
            <w:vAlign w:val="center"/>
            <w:hideMark/>
          </w:tcPr>
          <w:p w14:paraId="3307A9F6" w14:textId="77777777" w:rsidR="00FB077C" w:rsidRPr="000B4E2C" w:rsidRDefault="00FB077C" w:rsidP="000B4E2C">
            <w:pPr>
              <w:rPr>
                <w:b/>
                <w:bCs/>
                <w:sz w:val="22"/>
              </w:rPr>
            </w:pPr>
            <w:r w:rsidRPr="000B4E2C">
              <w:rPr>
                <w:sz w:val="22"/>
              </w:rPr>
              <w:t xml:space="preserve">Year 7 </w:t>
            </w:r>
          </w:p>
        </w:tc>
        <w:tc>
          <w:tcPr>
            <w:tcW w:w="0" w:type="auto"/>
            <w:noWrap/>
            <w:vAlign w:val="center"/>
            <w:hideMark/>
          </w:tcPr>
          <w:p w14:paraId="48102067" w14:textId="77777777" w:rsidR="00FB077C" w:rsidRPr="000B4E2C" w:rsidRDefault="00FB077C" w:rsidP="000B4E2C">
            <w:pPr>
              <w:rPr>
                <w:sz w:val="22"/>
              </w:rPr>
            </w:pPr>
            <w:r w:rsidRPr="000B4E2C">
              <w:rPr>
                <w:sz w:val="22"/>
              </w:rPr>
              <w:t>£1,618</w:t>
            </w:r>
          </w:p>
        </w:tc>
        <w:tc>
          <w:tcPr>
            <w:tcW w:w="0" w:type="auto"/>
            <w:noWrap/>
            <w:vAlign w:val="center"/>
            <w:hideMark/>
          </w:tcPr>
          <w:p w14:paraId="2DB7E7AF" w14:textId="77777777" w:rsidR="00FB077C" w:rsidRPr="000B4E2C" w:rsidRDefault="00FB077C" w:rsidP="000B4E2C">
            <w:pPr>
              <w:rPr>
                <w:sz w:val="22"/>
              </w:rPr>
            </w:pPr>
            <w:r w:rsidRPr="000B4E2C">
              <w:rPr>
                <w:sz w:val="22"/>
              </w:rPr>
              <w:t>£125 (assumption)</w:t>
            </w:r>
          </w:p>
        </w:tc>
        <w:tc>
          <w:tcPr>
            <w:tcW w:w="0" w:type="auto"/>
            <w:noWrap/>
            <w:vAlign w:val="center"/>
            <w:hideMark/>
          </w:tcPr>
          <w:p w14:paraId="033FFD5E" w14:textId="77777777" w:rsidR="00FB077C" w:rsidRPr="000B4E2C" w:rsidRDefault="00FB077C" w:rsidP="000B4E2C">
            <w:pPr>
              <w:rPr>
                <w:sz w:val="22"/>
              </w:rPr>
            </w:pPr>
            <w:r w:rsidRPr="000B4E2C">
              <w:rPr>
                <w:sz w:val="22"/>
              </w:rPr>
              <w:t>Gamma</w:t>
            </w:r>
          </w:p>
        </w:tc>
        <w:tc>
          <w:tcPr>
            <w:tcW w:w="0" w:type="auto"/>
            <w:vMerge/>
            <w:vAlign w:val="center"/>
            <w:hideMark/>
          </w:tcPr>
          <w:p w14:paraId="48E7BBFD" w14:textId="77777777" w:rsidR="00FB077C" w:rsidRPr="000B4E2C" w:rsidRDefault="00FB077C" w:rsidP="000B4E2C">
            <w:pPr>
              <w:rPr>
                <w:sz w:val="22"/>
              </w:rPr>
            </w:pPr>
          </w:p>
        </w:tc>
      </w:tr>
      <w:tr w:rsidR="00FB077C" w:rsidRPr="000B4E2C" w14:paraId="44FE9770" w14:textId="77777777" w:rsidTr="000B4E2C">
        <w:trPr>
          <w:cantSplit/>
        </w:trPr>
        <w:tc>
          <w:tcPr>
            <w:tcW w:w="0" w:type="auto"/>
            <w:noWrap/>
            <w:vAlign w:val="center"/>
            <w:hideMark/>
          </w:tcPr>
          <w:p w14:paraId="6061B7D5" w14:textId="77777777" w:rsidR="00FB077C" w:rsidRPr="000B4E2C" w:rsidRDefault="00FB077C" w:rsidP="000B4E2C">
            <w:pPr>
              <w:rPr>
                <w:b/>
                <w:bCs/>
                <w:sz w:val="22"/>
              </w:rPr>
            </w:pPr>
            <w:r w:rsidRPr="000B4E2C">
              <w:rPr>
                <w:sz w:val="22"/>
              </w:rPr>
              <w:t xml:space="preserve">Year 8 </w:t>
            </w:r>
          </w:p>
        </w:tc>
        <w:tc>
          <w:tcPr>
            <w:tcW w:w="0" w:type="auto"/>
            <w:noWrap/>
            <w:vAlign w:val="center"/>
            <w:hideMark/>
          </w:tcPr>
          <w:p w14:paraId="1FD65A72" w14:textId="77777777" w:rsidR="00FB077C" w:rsidRPr="000B4E2C" w:rsidRDefault="00FB077C" w:rsidP="000B4E2C">
            <w:pPr>
              <w:rPr>
                <w:sz w:val="22"/>
              </w:rPr>
            </w:pPr>
            <w:r w:rsidRPr="000B4E2C">
              <w:rPr>
                <w:sz w:val="22"/>
              </w:rPr>
              <w:t>£1,465</w:t>
            </w:r>
          </w:p>
        </w:tc>
        <w:tc>
          <w:tcPr>
            <w:tcW w:w="0" w:type="auto"/>
            <w:noWrap/>
            <w:vAlign w:val="center"/>
            <w:hideMark/>
          </w:tcPr>
          <w:p w14:paraId="7D5888C0" w14:textId="77777777" w:rsidR="00FB077C" w:rsidRPr="000B4E2C" w:rsidRDefault="00FB077C" w:rsidP="000B4E2C">
            <w:pPr>
              <w:rPr>
                <w:sz w:val="22"/>
              </w:rPr>
            </w:pPr>
            <w:r w:rsidRPr="000B4E2C">
              <w:rPr>
                <w:sz w:val="22"/>
              </w:rPr>
              <w:t>£125 (assumption)</w:t>
            </w:r>
          </w:p>
        </w:tc>
        <w:tc>
          <w:tcPr>
            <w:tcW w:w="0" w:type="auto"/>
            <w:noWrap/>
            <w:vAlign w:val="center"/>
            <w:hideMark/>
          </w:tcPr>
          <w:p w14:paraId="48831693" w14:textId="77777777" w:rsidR="00FB077C" w:rsidRPr="000B4E2C" w:rsidRDefault="00FB077C" w:rsidP="000B4E2C">
            <w:pPr>
              <w:rPr>
                <w:sz w:val="22"/>
              </w:rPr>
            </w:pPr>
            <w:r w:rsidRPr="000B4E2C">
              <w:rPr>
                <w:sz w:val="22"/>
              </w:rPr>
              <w:t>Gamma</w:t>
            </w:r>
          </w:p>
        </w:tc>
        <w:tc>
          <w:tcPr>
            <w:tcW w:w="0" w:type="auto"/>
            <w:vMerge/>
            <w:vAlign w:val="center"/>
            <w:hideMark/>
          </w:tcPr>
          <w:p w14:paraId="6805E3BC" w14:textId="77777777" w:rsidR="00FB077C" w:rsidRPr="000B4E2C" w:rsidRDefault="00FB077C" w:rsidP="000B4E2C">
            <w:pPr>
              <w:rPr>
                <w:sz w:val="22"/>
              </w:rPr>
            </w:pPr>
          </w:p>
        </w:tc>
      </w:tr>
      <w:tr w:rsidR="00FB077C" w:rsidRPr="000B4E2C" w14:paraId="56FC26F4" w14:textId="77777777" w:rsidTr="000B4E2C">
        <w:trPr>
          <w:cantSplit/>
        </w:trPr>
        <w:tc>
          <w:tcPr>
            <w:tcW w:w="0" w:type="auto"/>
            <w:noWrap/>
            <w:vAlign w:val="center"/>
            <w:hideMark/>
          </w:tcPr>
          <w:p w14:paraId="76046BFE" w14:textId="77777777" w:rsidR="00FB077C" w:rsidRPr="000B4E2C" w:rsidRDefault="00FB077C" w:rsidP="000B4E2C">
            <w:pPr>
              <w:rPr>
                <w:b/>
                <w:bCs/>
                <w:sz w:val="22"/>
              </w:rPr>
            </w:pPr>
            <w:r w:rsidRPr="000B4E2C">
              <w:rPr>
                <w:sz w:val="22"/>
              </w:rPr>
              <w:t xml:space="preserve">Year 9 </w:t>
            </w:r>
          </w:p>
        </w:tc>
        <w:tc>
          <w:tcPr>
            <w:tcW w:w="0" w:type="auto"/>
            <w:noWrap/>
            <w:vAlign w:val="center"/>
            <w:hideMark/>
          </w:tcPr>
          <w:p w14:paraId="22AFD3FB" w14:textId="77777777" w:rsidR="00FB077C" w:rsidRPr="000B4E2C" w:rsidRDefault="00FB077C" w:rsidP="000B4E2C">
            <w:pPr>
              <w:rPr>
                <w:sz w:val="22"/>
              </w:rPr>
            </w:pPr>
            <w:r w:rsidRPr="000B4E2C">
              <w:rPr>
                <w:sz w:val="22"/>
              </w:rPr>
              <w:t>£1,331</w:t>
            </w:r>
          </w:p>
        </w:tc>
        <w:tc>
          <w:tcPr>
            <w:tcW w:w="0" w:type="auto"/>
            <w:noWrap/>
            <w:vAlign w:val="center"/>
            <w:hideMark/>
          </w:tcPr>
          <w:p w14:paraId="4E63FC74" w14:textId="77777777" w:rsidR="00FB077C" w:rsidRPr="000B4E2C" w:rsidRDefault="00FB077C" w:rsidP="000B4E2C">
            <w:pPr>
              <w:rPr>
                <w:sz w:val="22"/>
              </w:rPr>
            </w:pPr>
            <w:r w:rsidRPr="000B4E2C">
              <w:rPr>
                <w:sz w:val="22"/>
              </w:rPr>
              <w:t>£125 (assumption)</w:t>
            </w:r>
          </w:p>
        </w:tc>
        <w:tc>
          <w:tcPr>
            <w:tcW w:w="0" w:type="auto"/>
            <w:noWrap/>
            <w:vAlign w:val="center"/>
            <w:hideMark/>
          </w:tcPr>
          <w:p w14:paraId="6CD8D7C9" w14:textId="77777777" w:rsidR="00FB077C" w:rsidRPr="000B4E2C" w:rsidRDefault="00FB077C" w:rsidP="000B4E2C">
            <w:pPr>
              <w:rPr>
                <w:sz w:val="22"/>
              </w:rPr>
            </w:pPr>
            <w:r w:rsidRPr="000B4E2C">
              <w:rPr>
                <w:sz w:val="22"/>
              </w:rPr>
              <w:t>Gamma</w:t>
            </w:r>
          </w:p>
        </w:tc>
        <w:tc>
          <w:tcPr>
            <w:tcW w:w="0" w:type="auto"/>
            <w:vMerge/>
            <w:vAlign w:val="center"/>
            <w:hideMark/>
          </w:tcPr>
          <w:p w14:paraId="55DB3E91" w14:textId="77777777" w:rsidR="00FB077C" w:rsidRPr="000B4E2C" w:rsidRDefault="00FB077C" w:rsidP="000B4E2C">
            <w:pPr>
              <w:rPr>
                <w:sz w:val="22"/>
              </w:rPr>
            </w:pPr>
          </w:p>
        </w:tc>
      </w:tr>
      <w:tr w:rsidR="00FB077C" w:rsidRPr="000B4E2C" w14:paraId="460578C7" w14:textId="77777777" w:rsidTr="000B4E2C">
        <w:trPr>
          <w:cantSplit/>
        </w:trPr>
        <w:tc>
          <w:tcPr>
            <w:tcW w:w="0" w:type="auto"/>
            <w:noWrap/>
            <w:vAlign w:val="center"/>
            <w:hideMark/>
          </w:tcPr>
          <w:p w14:paraId="226F3629" w14:textId="77777777" w:rsidR="00FB077C" w:rsidRPr="000B4E2C" w:rsidRDefault="00FB077C" w:rsidP="000B4E2C">
            <w:pPr>
              <w:rPr>
                <w:b/>
                <w:bCs/>
                <w:sz w:val="22"/>
              </w:rPr>
            </w:pPr>
            <w:r w:rsidRPr="000B4E2C">
              <w:rPr>
                <w:sz w:val="22"/>
              </w:rPr>
              <w:t xml:space="preserve">Year 10 </w:t>
            </w:r>
          </w:p>
        </w:tc>
        <w:tc>
          <w:tcPr>
            <w:tcW w:w="0" w:type="auto"/>
            <w:noWrap/>
            <w:vAlign w:val="center"/>
            <w:hideMark/>
          </w:tcPr>
          <w:p w14:paraId="1F7D7C5E" w14:textId="77777777" w:rsidR="00FB077C" w:rsidRPr="000B4E2C" w:rsidRDefault="00FB077C" w:rsidP="000B4E2C">
            <w:pPr>
              <w:rPr>
                <w:sz w:val="22"/>
              </w:rPr>
            </w:pPr>
            <w:r w:rsidRPr="000B4E2C">
              <w:rPr>
                <w:sz w:val="22"/>
              </w:rPr>
              <w:t>£1,210</w:t>
            </w:r>
          </w:p>
        </w:tc>
        <w:tc>
          <w:tcPr>
            <w:tcW w:w="0" w:type="auto"/>
            <w:noWrap/>
            <w:vAlign w:val="center"/>
            <w:hideMark/>
          </w:tcPr>
          <w:p w14:paraId="2C18E1D7" w14:textId="77777777" w:rsidR="00FB077C" w:rsidRPr="000B4E2C" w:rsidRDefault="00FB077C" w:rsidP="000B4E2C">
            <w:pPr>
              <w:rPr>
                <w:sz w:val="22"/>
              </w:rPr>
            </w:pPr>
            <w:r w:rsidRPr="000B4E2C">
              <w:rPr>
                <w:sz w:val="22"/>
              </w:rPr>
              <w:t>£125 (assumption)</w:t>
            </w:r>
          </w:p>
        </w:tc>
        <w:tc>
          <w:tcPr>
            <w:tcW w:w="0" w:type="auto"/>
            <w:noWrap/>
            <w:vAlign w:val="center"/>
            <w:hideMark/>
          </w:tcPr>
          <w:p w14:paraId="519CB7B7" w14:textId="77777777" w:rsidR="00FB077C" w:rsidRPr="000B4E2C" w:rsidRDefault="00FB077C" w:rsidP="000B4E2C">
            <w:pPr>
              <w:rPr>
                <w:sz w:val="22"/>
              </w:rPr>
            </w:pPr>
            <w:r w:rsidRPr="000B4E2C">
              <w:rPr>
                <w:sz w:val="22"/>
              </w:rPr>
              <w:t>Gamma</w:t>
            </w:r>
          </w:p>
        </w:tc>
        <w:tc>
          <w:tcPr>
            <w:tcW w:w="0" w:type="auto"/>
            <w:vMerge/>
            <w:vAlign w:val="center"/>
            <w:hideMark/>
          </w:tcPr>
          <w:p w14:paraId="0440D3AE" w14:textId="77777777" w:rsidR="00FB077C" w:rsidRPr="000B4E2C" w:rsidRDefault="00FB077C" w:rsidP="000B4E2C">
            <w:pPr>
              <w:rPr>
                <w:sz w:val="22"/>
              </w:rPr>
            </w:pPr>
          </w:p>
        </w:tc>
      </w:tr>
      <w:tr w:rsidR="00FB077C" w:rsidRPr="000B4E2C" w14:paraId="4FE8EC4C" w14:textId="77777777" w:rsidTr="000B4E2C">
        <w:trPr>
          <w:cantSplit/>
        </w:trPr>
        <w:tc>
          <w:tcPr>
            <w:tcW w:w="0" w:type="auto"/>
            <w:noWrap/>
            <w:vAlign w:val="center"/>
            <w:hideMark/>
          </w:tcPr>
          <w:p w14:paraId="5AF73778" w14:textId="5001E901" w:rsidR="00FB077C" w:rsidRPr="000B4E2C" w:rsidRDefault="00FB077C" w:rsidP="000B4E2C">
            <w:pPr>
              <w:rPr>
                <w:b/>
                <w:bCs/>
                <w:sz w:val="22"/>
              </w:rPr>
            </w:pPr>
            <w:r w:rsidRPr="000B4E2C">
              <w:rPr>
                <w:sz w:val="22"/>
              </w:rPr>
              <w:t>Year 1</w:t>
            </w:r>
            <w:r w:rsidR="000B4E2C" w:rsidRPr="000B4E2C">
              <w:rPr>
                <w:color w:val="00B0F0"/>
                <w:sz w:val="22"/>
              </w:rPr>
              <w:t>1</w:t>
            </w:r>
            <w:r w:rsidR="000B4E2C" w:rsidRPr="000B4E2C">
              <w:rPr>
                <w:color w:val="00B0F0"/>
                <w:sz w:val="22"/>
              </w:rPr>
              <w:t> </w:t>
            </w:r>
            <w:r w:rsidR="000B4E2C" w:rsidRPr="000B4E2C">
              <w:rPr>
                <w:color w:val="00B0F0"/>
                <w:sz w:val="22"/>
              </w:rPr>
              <w:t>+</w:t>
            </w:r>
            <w:r w:rsidRPr="000B4E2C">
              <w:rPr>
                <w:sz w:val="22"/>
              </w:rPr>
              <w:t xml:space="preserve"> </w:t>
            </w:r>
          </w:p>
        </w:tc>
        <w:tc>
          <w:tcPr>
            <w:tcW w:w="0" w:type="auto"/>
            <w:noWrap/>
            <w:vAlign w:val="center"/>
            <w:hideMark/>
          </w:tcPr>
          <w:p w14:paraId="5917D3E1" w14:textId="77777777" w:rsidR="00FB077C" w:rsidRPr="000B4E2C" w:rsidRDefault="00FB077C" w:rsidP="000B4E2C">
            <w:pPr>
              <w:rPr>
                <w:sz w:val="22"/>
              </w:rPr>
            </w:pPr>
            <w:r w:rsidRPr="000B4E2C">
              <w:rPr>
                <w:sz w:val="22"/>
              </w:rPr>
              <w:t>£1,102</w:t>
            </w:r>
          </w:p>
        </w:tc>
        <w:tc>
          <w:tcPr>
            <w:tcW w:w="0" w:type="auto"/>
            <w:noWrap/>
            <w:vAlign w:val="center"/>
            <w:hideMark/>
          </w:tcPr>
          <w:p w14:paraId="02283E0D" w14:textId="77777777" w:rsidR="00FB077C" w:rsidRPr="000B4E2C" w:rsidRDefault="00FB077C" w:rsidP="000B4E2C">
            <w:pPr>
              <w:rPr>
                <w:sz w:val="22"/>
              </w:rPr>
            </w:pPr>
            <w:r w:rsidRPr="000B4E2C">
              <w:rPr>
                <w:sz w:val="22"/>
              </w:rPr>
              <w:t>£125 (assumption)</w:t>
            </w:r>
          </w:p>
        </w:tc>
        <w:tc>
          <w:tcPr>
            <w:tcW w:w="0" w:type="auto"/>
            <w:noWrap/>
            <w:vAlign w:val="center"/>
            <w:hideMark/>
          </w:tcPr>
          <w:p w14:paraId="5CE12DFF" w14:textId="77777777" w:rsidR="00FB077C" w:rsidRPr="000B4E2C" w:rsidRDefault="00FB077C" w:rsidP="000B4E2C">
            <w:pPr>
              <w:rPr>
                <w:sz w:val="22"/>
              </w:rPr>
            </w:pPr>
            <w:r w:rsidRPr="000B4E2C">
              <w:rPr>
                <w:sz w:val="22"/>
              </w:rPr>
              <w:t>Gamma</w:t>
            </w:r>
          </w:p>
        </w:tc>
        <w:tc>
          <w:tcPr>
            <w:tcW w:w="0" w:type="auto"/>
            <w:vMerge/>
            <w:vAlign w:val="center"/>
            <w:hideMark/>
          </w:tcPr>
          <w:p w14:paraId="45AE6F19" w14:textId="77777777" w:rsidR="00FB077C" w:rsidRPr="000B4E2C" w:rsidRDefault="00FB077C" w:rsidP="000B4E2C">
            <w:pPr>
              <w:rPr>
                <w:sz w:val="22"/>
              </w:rPr>
            </w:pPr>
          </w:p>
        </w:tc>
      </w:tr>
      <w:tr w:rsidR="00FB077C" w:rsidRPr="000B4E2C" w14:paraId="525716A0" w14:textId="77777777" w:rsidTr="000B4E2C">
        <w:trPr>
          <w:cantSplit/>
        </w:trPr>
        <w:tc>
          <w:tcPr>
            <w:tcW w:w="0" w:type="auto"/>
            <w:gridSpan w:val="5"/>
            <w:noWrap/>
            <w:vAlign w:val="center"/>
            <w:hideMark/>
          </w:tcPr>
          <w:p w14:paraId="35BDEDC3" w14:textId="4F3B106B" w:rsidR="00FB077C" w:rsidRPr="000B4E2C" w:rsidRDefault="00FB077C" w:rsidP="000B4E2C">
            <w:pPr>
              <w:rPr>
                <w:sz w:val="22"/>
              </w:rPr>
            </w:pPr>
            <w:r w:rsidRPr="000B4E2C">
              <w:rPr>
                <w:i/>
                <w:iCs/>
                <w:sz w:val="22"/>
              </w:rPr>
              <w:t xml:space="preserve">Annual </w:t>
            </w:r>
            <w:r w:rsidRPr="000B4E2C">
              <w:rPr>
                <w:i/>
                <w:iCs/>
                <w:sz w:val="22"/>
                <w:highlight w:val="magenta"/>
              </w:rPr>
              <w:t>follow up</w:t>
            </w:r>
            <w:r w:rsidRPr="000B4E2C">
              <w:rPr>
                <w:i/>
                <w:iCs/>
                <w:sz w:val="22"/>
              </w:rPr>
              <w:t xml:space="preserve"> costs for the proportion of the cohort that were admitted to ICU during the acute phase</w:t>
            </w:r>
            <w:r w:rsidRPr="000B4E2C">
              <w:rPr>
                <w:i/>
                <w:iCs/>
                <w:sz w:val="22"/>
                <w:vertAlign w:val="superscript"/>
              </w:rPr>
              <w:t>D</w:t>
            </w:r>
          </w:p>
        </w:tc>
      </w:tr>
      <w:tr w:rsidR="00FB077C" w:rsidRPr="000B4E2C" w14:paraId="4972C0D6" w14:textId="77777777" w:rsidTr="000B4E2C">
        <w:trPr>
          <w:cantSplit/>
        </w:trPr>
        <w:tc>
          <w:tcPr>
            <w:tcW w:w="0" w:type="auto"/>
            <w:noWrap/>
            <w:vAlign w:val="center"/>
            <w:hideMark/>
          </w:tcPr>
          <w:p w14:paraId="720BC838" w14:textId="77777777" w:rsidR="00FB077C" w:rsidRPr="000B4E2C" w:rsidRDefault="00FB077C" w:rsidP="000B4E2C">
            <w:pPr>
              <w:rPr>
                <w:b/>
                <w:bCs/>
                <w:sz w:val="22"/>
              </w:rPr>
            </w:pPr>
            <w:r w:rsidRPr="000B4E2C">
              <w:rPr>
                <w:sz w:val="22"/>
              </w:rPr>
              <w:t>Year 1</w:t>
            </w:r>
          </w:p>
        </w:tc>
        <w:tc>
          <w:tcPr>
            <w:tcW w:w="0" w:type="auto"/>
            <w:noWrap/>
            <w:vAlign w:val="center"/>
            <w:hideMark/>
          </w:tcPr>
          <w:p w14:paraId="490D1337" w14:textId="77777777" w:rsidR="00FB077C" w:rsidRPr="000B4E2C" w:rsidRDefault="00FB077C" w:rsidP="000B4E2C">
            <w:pPr>
              <w:rPr>
                <w:sz w:val="22"/>
              </w:rPr>
            </w:pPr>
            <w:r w:rsidRPr="000B4E2C">
              <w:rPr>
                <w:sz w:val="22"/>
              </w:rPr>
              <w:t>£6,500</w:t>
            </w:r>
          </w:p>
        </w:tc>
        <w:tc>
          <w:tcPr>
            <w:tcW w:w="0" w:type="auto"/>
            <w:noWrap/>
            <w:vAlign w:val="center"/>
            <w:hideMark/>
          </w:tcPr>
          <w:p w14:paraId="15A6FD06" w14:textId="77777777" w:rsidR="00FB077C" w:rsidRPr="000B4E2C" w:rsidRDefault="00FB077C" w:rsidP="000B4E2C">
            <w:pPr>
              <w:rPr>
                <w:sz w:val="22"/>
              </w:rPr>
            </w:pPr>
            <w:r w:rsidRPr="000B4E2C">
              <w:rPr>
                <w:sz w:val="22"/>
              </w:rPr>
              <w:t>£198</w:t>
            </w:r>
          </w:p>
        </w:tc>
        <w:tc>
          <w:tcPr>
            <w:tcW w:w="0" w:type="auto"/>
            <w:noWrap/>
            <w:vAlign w:val="center"/>
            <w:hideMark/>
          </w:tcPr>
          <w:p w14:paraId="42459311" w14:textId="77777777" w:rsidR="00FB077C" w:rsidRPr="000B4E2C" w:rsidRDefault="00FB077C" w:rsidP="000B4E2C">
            <w:pPr>
              <w:rPr>
                <w:sz w:val="22"/>
              </w:rPr>
            </w:pPr>
            <w:r w:rsidRPr="000B4E2C">
              <w:rPr>
                <w:sz w:val="22"/>
              </w:rPr>
              <w:t>Gamma</w:t>
            </w:r>
          </w:p>
        </w:tc>
        <w:tc>
          <w:tcPr>
            <w:tcW w:w="0" w:type="auto"/>
            <w:vMerge w:val="restart"/>
            <w:noWrap/>
            <w:vAlign w:val="center"/>
            <w:hideMark/>
          </w:tcPr>
          <w:p w14:paraId="0227BC63" w14:textId="78BE872D" w:rsidR="00FB077C" w:rsidRPr="000B4E2C" w:rsidRDefault="00FB077C" w:rsidP="000B4E2C">
            <w:pPr>
              <w:rPr>
                <w:sz w:val="22"/>
              </w:rPr>
            </w:pPr>
            <w:r w:rsidRPr="000B4E2C">
              <w:rPr>
                <w:bCs/>
                <w:sz w:val="22"/>
              </w:rPr>
              <w:t>Lone</w:t>
            </w:r>
            <w:r w:rsidRPr="000B4E2C">
              <w:rPr>
                <w:bCs/>
                <w:i/>
                <w:color w:val="00B0F0"/>
                <w:sz w:val="22"/>
              </w:rPr>
              <w:t xml:space="preserve"> et al</w:t>
            </w:r>
            <w:r w:rsidR="00280A97" w:rsidRPr="000B4E2C">
              <w:rPr>
                <w:bCs/>
                <w:noProof/>
                <w:sz w:val="22"/>
                <w:vertAlign w:val="superscript"/>
              </w:rPr>
              <w:t>116</w:t>
            </w:r>
          </w:p>
        </w:tc>
      </w:tr>
      <w:tr w:rsidR="00FB077C" w:rsidRPr="000B4E2C" w14:paraId="50C28C16" w14:textId="77777777" w:rsidTr="000B4E2C">
        <w:trPr>
          <w:cantSplit/>
        </w:trPr>
        <w:tc>
          <w:tcPr>
            <w:tcW w:w="0" w:type="auto"/>
            <w:noWrap/>
            <w:vAlign w:val="center"/>
            <w:hideMark/>
          </w:tcPr>
          <w:p w14:paraId="525CA54A" w14:textId="77777777" w:rsidR="00FB077C" w:rsidRPr="000B4E2C" w:rsidRDefault="00FB077C" w:rsidP="000B4E2C">
            <w:pPr>
              <w:rPr>
                <w:b/>
                <w:bCs/>
                <w:sz w:val="22"/>
              </w:rPr>
            </w:pPr>
            <w:r w:rsidRPr="000B4E2C">
              <w:rPr>
                <w:sz w:val="22"/>
              </w:rPr>
              <w:t>Year 2</w:t>
            </w:r>
          </w:p>
        </w:tc>
        <w:tc>
          <w:tcPr>
            <w:tcW w:w="0" w:type="auto"/>
            <w:noWrap/>
            <w:vAlign w:val="center"/>
            <w:hideMark/>
          </w:tcPr>
          <w:p w14:paraId="473DE6AB" w14:textId="77777777" w:rsidR="00FB077C" w:rsidRPr="000B4E2C" w:rsidRDefault="00FB077C" w:rsidP="000B4E2C">
            <w:pPr>
              <w:rPr>
                <w:sz w:val="22"/>
              </w:rPr>
            </w:pPr>
            <w:r w:rsidRPr="000B4E2C">
              <w:rPr>
                <w:sz w:val="22"/>
              </w:rPr>
              <w:t>£4,183</w:t>
            </w:r>
          </w:p>
        </w:tc>
        <w:tc>
          <w:tcPr>
            <w:tcW w:w="0" w:type="auto"/>
            <w:noWrap/>
            <w:vAlign w:val="center"/>
            <w:hideMark/>
          </w:tcPr>
          <w:p w14:paraId="2CC6FF58" w14:textId="77777777" w:rsidR="00FB077C" w:rsidRPr="000B4E2C" w:rsidRDefault="00FB077C" w:rsidP="000B4E2C">
            <w:pPr>
              <w:rPr>
                <w:sz w:val="22"/>
              </w:rPr>
            </w:pPr>
            <w:r w:rsidRPr="000B4E2C">
              <w:rPr>
                <w:sz w:val="22"/>
              </w:rPr>
              <w:t>£163</w:t>
            </w:r>
          </w:p>
        </w:tc>
        <w:tc>
          <w:tcPr>
            <w:tcW w:w="0" w:type="auto"/>
            <w:noWrap/>
            <w:vAlign w:val="center"/>
            <w:hideMark/>
          </w:tcPr>
          <w:p w14:paraId="693EA8E9" w14:textId="77777777" w:rsidR="00FB077C" w:rsidRPr="000B4E2C" w:rsidRDefault="00FB077C" w:rsidP="000B4E2C">
            <w:pPr>
              <w:rPr>
                <w:sz w:val="22"/>
              </w:rPr>
            </w:pPr>
            <w:r w:rsidRPr="000B4E2C">
              <w:rPr>
                <w:sz w:val="22"/>
              </w:rPr>
              <w:t>Gamma</w:t>
            </w:r>
          </w:p>
        </w:tc>
        <w:tc>
          <w:tcPr>
            <w:tcW w:w="0" w:type="auto"/>
            <w:vMerge/>
            <w:vAlign w:val="center"/>
            <w:hideMark/>
          </w:tcPr>
          <w:p w14:paraId="23E2D999" w14:textId="77777777" w:rsidR="00FB077C" w:rsidRPr="000B4E2C" w:rsidRDefault="00FB077C" w:rsidP="000B4E2C">
            <w:pPr>
              <w:rPr>
                <w:sz w:val="22"/>
              </w:rPr>
            </w:pPr>
          </w:p>
        </w:tc>
      </w:tr>
      <w:tr w:rsidR="00FB077C" w:rsidRPr="000B4E2C" w14:paraId="325C6D1F" w14:textId="77777777" w:rsidTr="000B4E2C">
        <w:trPr>
          <w:cantSplit/>
        </w:trPr>
        <w:tc>
          <w:tcPr>
            <w:tcW w:w="0" w:type="auto"/>
            <w:noWrap/>
            <w:vAlign w:val="center"/>
            <w:hideMark/>
          </w:tcPr>
          <w:p w14:paraId="52850919" w14:textId="77777777" w:rsidR="00FB077C" w:rsidRPr="000B4E2C" w:rsidRDefault="00FB077C" w:rsidP="000B4E2C">
            <w:pPr>
              <w:rPr>
                <w:b/>
                <w:bCs/>
                <w:sz w:val="22"/>
              </w:rPr>
            </w:pPr>
            <w:r w:rsidRPr="000B4E2C">
              <w:rPr>
                <w:sz w:val="22"/>
              </w:rPr>
              <w:t>Year 3</w:t>
            </w:r>
          </w:p>
        </w:tc>
        <w:tc>
          <w:tcPr>
            <w:tcW w:w="0" w:type="auto"/>
            <w:noWrap/>
            <w:vAlign w:val="center"/>
            <w:hideMark/>
          </w:tcPr>
          <w:p w14:paraId="54BAED81" w14:textId="77777777" w:rsidR="00FB077C" w:rsidRPr="000B4E2C" w:rsidRDefault="00FB077C" w:rsidP="000B4E2C">
            <w:pPr>
              <w:rPr>
                <w:sz w:val="22"/>
              </w:rPr>
            </w:pPr>
            <w:r w:rsidRPr="000B4E2C">
              <w:rPr>
                <w:sz w:val="22"/>
              </w:rPr>
              <w:t>£3,975</w:t>
            </w:r>
          </w:p>
        </w:tc>
        <w:tc>
          <w:tcPr>
            <w:tcW w:w="0" w:type="auto"/>
            <w:noWrap/>
            <w:vAlign w:val="center"/>
            <w:hideMark/>
          </w:tcPr>
          <w:p w14:paraId="22365D82" w14:textId="77777777" w:rsidR="00FB077C" w:rsidRPr="000B4E2C" w:rsidRDefault="00FB077C" w:rsidP="000B4E2C">
            <w:pPr>
              <w:rPr>
                <w:sz w:val="22"/>
              </w:rPr>
            </w:pPr>
            <w:r w:rsidRPr="000B4E2C">
              <w:rPr>
                <w:sz w:val="22"/>
              </w:rPr>
              <w:t>£176</w:t>
            </w:r>
          </w:p>
        </w:tc>
        <w:tc>
          <w:tcPr>
            <w:tcW w:w="0" w:type="auto"/>
            <w:noWrap/>
            <w:vAlign w:val="center"/>
            <w:hideMark/>
          </w:tcPr>
          <w:p w14:paraId="1AAE106E" w14:textId="77777777" w:rsidR="00FB077C" w:rsidRPr="000B4E2C" w:rsidRDefault="00FB077C" w:rsidP="000B4E2C">
            <w:pPr>
              <w:rPr>
                <w:sz w:val="22"/>
              </w:rPr>
            </w:pPr>
            <w:r w:rsidRPr="000B4E2C">
              <w:rPr>
                <w:sz w:val="22"/>
              </w:rPr>
              <w:t>Gamma</w:t>
            </w:r>
          </w:p>
        </w:tc>
        <w:tc>
          <w:tcPr>
            <w:tcW w:w="0" w:type="auto"/>
            <w:vMerge/>
            <w:vAlign w:val="center"/>
            <w:hideMark/>
          </w:tcPr>
          <w:p w14:paraId="22B91B63" w14:textId="77777777" w:rsidR="00FB077C" w:rsidRPr="000B4E2C" w:rsidRDefault="00FB077C" w:rsidP="000B4E2C">
            <w:pPr>
              <w:rPr>
                <w:sz w:val="22"/>
              </w:rPr>
            </w:pPr>
          </w:p>
        </w:tc>
      </w:tr>
      <w:tr w:rsidR="00FB077C" w:rsidRPr="000B4E2C" w14:paraId="4FC7A5E9" w14:textId="77777777" w:rsidTr="000B4E2C">
        <w:trPr>
          <w:cantSplit/>
        </w:trPr>
        <w:tc>
          <w:tcPr>
            <w:tcW w:w="0" w:type="auto"/>
            <w:noWrap/>
            <w:vAlign w:val="center"/>
            <w:hideMark/>
          </w:tcPr>
          <w:p w14:paraId="1ED31508" w14:textId="77777777" w:rsidR="00FB077C" w:rsidRPr="000B4E2C" w:rsidRDefault="00FB077C" w:rsidP="000B4E2C">
            <w:pPr>
              <w:rPr>
                <w:b/>
                <w:bCs/>
                <w:sz w:val="22"/>
              </w:rPr>
            </w:pPr>
            <w:r w:rsidRPr="000B4E2C">
              <w:rPr>
                <w:sz w:val="22"/>
              </w:rPr>
              <w:t>Year 4</w:t>
            </w:r>
          </w:p>
        </w:tc>
        <w:tc>
          <w:tcPr>
            <w:tcW w:w="0" w:type="auto"/>
            <w:noWrap/>
            <w:vAlign w:val="center"/>
            <w:hideMark/>
          </w:tcPr>
          <w:p w14:paraId="22DA946C" w14:textId="77777777" w:rsidR="00FB077C" w:rsidRPr="000B4E2C" w:rsidRDefault="00FB077C" w:rsidP="000B4E2C">
            <w:pPr>
              <w:rPr>
                <w:sz w:val="22"/>
              </w:rPr>
            </w:pPr>
            <w:r w:rsidRPr="000B4E2C">
              <w:rPr>
                <w:sz w:val="22"/>
              </w:rPr>
              <w:t>£3,774</w:t>
            </w:r>
          </w:p>
        </w:tc>
        <w:tc>
          <w:tcPr>
            <w:tcW w:w="0" w:type="auto"/>
            <w:noWrap/>
            <w:vAlign w:val="center"/>
            <w:hideMark/>
          </w:tcPr>
          <w:p w14:paraId="367CB5C6" w14:textId="77777777" w:rsidR="00FB077C" w:rsidRPr="000B4E2C" w:rsidRDefault="00FB077C" w:rsidP="000B4E2C">
            <w:pPr>
              <w:rPr>
                <w:sz w:val="22"/>
              </w:rPr>
            </w:pPr>
            <w:r w:rsidRPr="000B4E2C">
              <w:rPr>
                <w:sz w:val="22"/>
              </w:rPr>
              <w:t>£190</w:t>
            </w:r>
          </w:p>
        </w:tc>
        <w:tc>
          <w:tcPr>
            <w:tcW w:w="0" w:type="auto"/>
            <w:noWrap/>
            <w:vAlign w:val="center"/>
            <w:hideMark/>
          </w:tcPr>
          <w:p w14:paraId="69562BCB" w14:textId="77777777" w:rsidR="00FB077C" w:rsidRPr="000B4E2C" w:rsidRDefault="00FB077C" w:rsidP="000B4E2C">
            <w:pPr>
              <w:rPr>
                <w:sz w:val="22"/>
              </w:rPr>
            </w:pPr>
            <w:r w:rsidRPr="000B4E2C">
              <w:rPr>
                <w:sz w:val="22"/>
              </w:rPr>
              <w:t>Gamma</w:t>
            </w:r>
          </w:p>
        </w:tc>
        <w:tc>
          <w:tcPr>
            <w:tcW w:w="0" w:type="auto"/>
            <w:vMerge/>
            <w:vAlign w:val="center"/>
            <w:hideMark/>
          </w:tcPr>
          <w:p w14:paraId="29DAF3CC" w14:textId="77777777" w:rsidR="00FB077C" w:rsidRPr="000B4E2C" w:rsidRDefault="00FB077C" w:rsidP="000B4E2C">
            <w:pPr>
              <w:rPr>
                <w:sz w:val="22"/>
              </w:rPr>
            </w:pPr>
          </w:p>
        </w:tc>
      </w:tr>
      <w:tr w:rsidR="00FB077C" w:rsidRPr="000B4E2C" w14:paraId="2BDD571A" w14:textId="77777777" w:rsidTr="000B4E2C">
        <w:trPr>
          <w:cantSplit/>
        </w:trPr>
        <w:tc>
          <w:tcPr>
            <w:tcW w:w="0" w:type="auto"/>
            <w:noWrap/>
            <w:vAlign w:val="center"/>
            <w:hideMark/>
          </w:tcPr>
          <w:p w14:paraId="3934BC74" w14:textId="77777777" w:rsidR="00FB077C" w:rsidRPr="000B4E2C" w:rsidRDefault="00FB077C" w:rsidP="000B4E2C">
            <w:pPr>
              <w:rPr>
                <w:b/>
                <w:bCs/>
                <w:sz w:val="22"/>
              </w:rPr>
            </w:pPr>
            <w:r w:rsidRPr="000B4E2C">
              <w:rPr>
                <w:sz w:val="22"/>
              </w:rPr>
              <w:t>Year 5</w:t>
            </w:r>
          </w:p>
        </w:tc>
        <w:tc>
          <w:tcPr>
            <w:tcW w:w="0" w:type="auto"/>
            <w:noWrap/>
            <w:vAlign w:val="center"/>
            <w:hideMark/>
          </w:tcPr>
          <w:p w14:paraId="372E7BB1" w14:textId="77777777" w:rsidR="00FB077C" w:rsidRPr="000B4E2C" w:rsidRDefault="00FB077C" w:rsidP="000B4E2C">
            <w:pPr>
              <w:rPr>
                <w:sz w:val="22"/>
              </w:rPr>
            </w:pPr>
            <w:r w:rsidRPr="000B4E2C">
              <w:rPr>
                <w:sz w:val="22"/>
              </w:rPr>
              <w:t>£3,315</w:t>
            </w:r>
          </w:p>
        </w:tc>
        <w:tc>
          <w:tcPr>
            <w:tcW w:w="0" w:type="auto"/>
            <w:noWrap/>
            <w:vAlign w:val="center"/>
            <w:hideMark/>
          </w:tcPr>
          <w:p w14:paraId="0D4C0F11" w14:textId="77777777" w:rsidR="00FB077C" w:rsidRPr="000B4E2C" w:rsidRDefault="00FB077C" w:rsidP="000B4E2C">
            <w:pPr>
              <w:rPr>
                <w:sz w:val="22"/>
              </w:rPr>
            </w:pPr>
            <w:r w:rsidRPr="000B4E2C">
              <w:rPr>
                <w:sz w:val="22"/>
              </w:rPr>
              <w:t>£172</w:t>
            </w:r>
          </w:p>
        </w:tc>
        <w:tc>
          <w:tcPr>
            <w:tcW w:w="0" w:type="auto"/>
            <w:noWrap/>
            <w:vAlign w:val="center"/>
            <w:hideMark/>
          </w:tcPr>
          <w:p w14:paraId="39EAC9E1" w14:textId="77777777" w:rsidR="00FB077C" w:rsidRPr="000B4E2C" w:rsidRDefault="00FB077C" w:rsidP="000B4E2C">
            <w:pPr>
              <w:rPr>
                <w:sz w:val="22"/>
              </w:rPr>
            </w:pPr>
            <w:r w:rsidRPr="000B4E2C">
              <w:rPr>
                <w:sz w:val="22"/>
              </w:rPr>
              <w:t>Gamma</w:t>
            </w:r>
          </w:p>
        </w:tc>
        <w:tc>
          <w:tcPr>
            <w:tcW w:w="0" w:type="auto"/>
            <w:vMerge/>
            <w:vAlign w:val="center"/>
            <w:hideMark/>
          </w:tcPr>
          <w:p w14:paraId="7F4F9A3F" w14:textId="77777777" w:rsidR="00FB077C" w:rsidRPr="000B4E2C" w:rsidRDefault="00FB077C" w:rsidP="000B4E2C">
            <w:pPr>
              <w:rPr>
                <w:sz w:val="22"/>
              </w:rPr>
            </w:pPr>
          </w:p>
        </w:tc>
      </w:tr>
      <w:tr w:rsidR="00FB077C" w:rsidRPr="000B4E2C" w14:paraId="7F558FC2" w14:textId="77777777" w:rsidTr="000B4E2C">
        <w:trPr>
          <w:cantSplit/>
        </w:trPr>
        <w:tc>
          <w:tcPr>
            <w:tcW w:w="0" w:type="auto"/>
            <w:noWrap/>
            <w:vAlign w:val="center"/>
            <w:hideMark/>
          </w:tcPr>
          <w:p w14:paraId="65634FCB" w14:textId="77777777" w:rsidR="00FB077C" w:rsidRPr="000B4E2C" w:rsidRDefault="00FB077C" w:rsidP="000B4E2C">
            <w:pPr>
              <w:rPr>
                <w:b/>
                <w:bCs/>
                <w:sz w:val="22"/>
              </w:rPr>
            </w:pPr>
            <w:r w:rsidRPr="000B4E2C">
              <w:rPr>
                <w:sz w:val="22"/>
              </w:rPr>
              <w:t xml:space="preserve">Year 6 </w:t>
            </w:r>
          </w:p>
        </w:tc>
        <w:tc>
          <w:tcPr>
            <w:tcW w:w="0" w:type="auto"/>
            <w:noWrap/>
            <w:vAlign w:val="center"/>
            <w:hideMark/>
          </w:tcPr>
          <w:p w14:paraId="2DF9064C" w14:textId="77777777" w:rsidR="00FB077C" w:rsidRPr="000B4E2C" w:rsidRDefault="00FB077C" w:rsidP="000B4E2C">
            <w:pPr>
              <w:rPr>
                <w:sz w:val="22"/>
              </w:rPr>
            </w:pPr>
            <w:r w:rsidRPr="000B4E2C">
              <w:rPr>
                <w:sz w:val="22"/>
              </w:rPr>
              <w:t>£2,806</w:t>
            </w:r>
          </w:p>
        </w:tc>
        <w:tc>
          <w:tcPr>
            <w:tcW w:w="0" w:type="auto"/>
            <w:noWrap/>
            <w:vAlign w:val="center"/>
            <w:hideMark/>
          </w:tcPr>
          <w:p w14:paraId="45736C7F" w14:textId="77777777" w:rsidR="00FB077C" w:rsidRPr="000B4E2C" w:rsidRDefault="00FB077C" w:rsidP="000B4E2C">
            <w:pPr>
              <w:rPr>
                <w:sz w:val="22"/>
              </w:rPr>
            </w:pPr>
            <w:r w:rsidRPr="000B4E2C">
              <w:rPr>
                <w:sz w:val="22"/>
              </w:rPr>
              <w:t>£172 (assumption)</w:t>
            </w:r>
          </w:p>
        </w:tc>
        <w:tc>
          <w:tcPr>
            <w:tcW w:w="0" w:type="auto"/>
            <w:noWrap/>
            <w:vAlign w:val="center"/>
            <w:hideMark/>
          </w:tcPr>
          <w:p w14:paraId="78162AA3" w14:textId="77777777" w:rsidR="00FB077C" w:rsidRPr="000B4E2C" w:rsidRDefault="00FB077C" w:rsidP="000B4E2C">
            <w:pPr>
              <w:rPr>
                <w:sz w:val="22"/>
              </w:rPr>
            </w:pPr>
            <w:r w:rsidRPr="000B4E2C">
              <w:rPr>
                <w:sz w:val="22"/>
              </w:rPr>
              <w:t>Gamma</w:t>
            </w:r>
          </w:p>
        </w:tc>
        <w:tc>
          <w:tcPr>
            <w:tcW w:w="0" w:type="auto"/>
            <w:vMerge w:val="restart"/>
            <w:noWrap/>
            <w:vAlign w:val="center"/>
            <w:hideMark/>
          </w:tcPr>
          <w:p w14:paraId="056E9BA4" w14:textId="1EB79730" w:rsidR="00FB077C" w:rsidRPr="000B4E2C" w:rsidRDefault="00FB077C" w:rsidP="000B4E2C">
            <w:pPr>
              <w:rPr>
                <w:sz w:val="22"/>
              </w:rPr>
            </w:pPr>
            <w:r w:rsidRPr="000B4E2C">
              <w:rPr>
                <w:sz w:val="22"/>
              </w:rPr>
              <w:t xml:space="preserve">Calculation based on </w:t>
            </w:r>
            <w:r w:rsidRPr="000B4E2C">
              <w:rPr>
                <w:bCs/>
                <w:sz w:val="22"/>
              </w:rPr>
              <w:t>Lone</w:t>
            </w:r>
            <w:r w:rsidRPr="000B4E2C">
              <w:rPr>
                <w:bCs/>
                <w:i/>
                <w:color w:val="00B0F0"/>
                <w:sz w:val="22"/>
              </w:rPr>
              <w:t xml:space="preserve"> et al</w:t>
            </w:r>
            <w:r w:rsidR="00280A97" w:rsidRPr="000B4E2C">
              <w:rPr>
                <w:bCs/>
                <w:noProof/>
                <w:sz w:val="22"/>
                <w:vertAlign w:val="superscript"/>
              </w:rPr>
              <w:t>116</w:t>
            </w:r>
            <w:r w:rsidRPr="000B4E2C">
              <w:rPr>
                <w:sz w:val="22"/>
              </w:rPr>
              <w:t>.</w:t>
            </w:r>
            <w:r w:rsidR="000B4E2C" w:rsidRPr="000B4E2C">
              <w:rPr>
                <w:sz w:val="22"/>
              </w:rPr>
              <w:t xml:space="preserve"> </w:t>
            </w:r>
            <w:r w:rsidRPr="000B4E2C">
              <w:rPr>
                <w:sz w:val="22"/>
              </w:rPr>
              <w:t>Costs from years 6 onwards applied in sensitivity analysis only</w:t>
            </w:r>
          </w:p>
        </w:tc>
      </w:tr>
      <w:tr w:rsidR="00FB077C" w:rsidRPr="000B4E2C" w14:paraId="6CD5913F" w14:textId="77777777" w:rsidTr="000B4E2C">
        <w:trPr>
          <w:cantSplit/>
        </w:trPr>
        <w:tc>
          <w:tcPr>
            <w:tcW w:w="0" w:type="auto"/>
            <w:noWrap/>
            <w:vAlign w:val="center"/>
            <w:hideMark/>
          </w:tcPr>
          <w:p w14:paraId="1078F3A0" w14:textId="77777777" w:rsidR="00FB077C" w:rsidRPr="000B4E2C" w:rsidRDefault="00FB077C" w:rsidP="000B4E2C">
            <w:pPr>
              <w:rPr>
                <w:b/>
                <w:bCs/>
                <w:sz w:val="22"/>
              </w:rPr>
            </w:pPr>
            <w:r w:rsidRPr="000B4E2C">
              <w:rPr>
                <w:sz w:val="22"/>
              </w:rPr>
              <w:t xml:space="preserve">Year 7 </w:t>
            </w:r>
          </w:p>
        </w:tc>
        <w:tc>
          <w:tcPr>
            <w:tcW w:w="0" w:type="auto"/>
            <w:noWrap/>
            <w:vAlign w:val="center"/>
            <w:hideMark/>
          </w:tcPr>
          <w:p w14:paraId="0B26F534" w14:textId="77777777" w:rsidR="00FB077C" w:rsidRPr="000B4E2C" w:rsidRDefault="00FB077C" w:rsidP="000B4E2C">
            <w:pPr>
              <w:rPr>
                <w:sz w:val="22"/>
              </w:rPr>
            </w:pPr>
            <w:r w:rsidRPr="000B4E2C">
              <w:rPr>
                <w:sz w:val="22"/>
              </w:rPr>
              <w:t>£2,521</w:t>
            </w:r>
          </w:p>
        </w:tc>
        <w:tc>
          <w:tcPr>
            <w:tcW w:w="0" w:type="auto"/>
            <w:noWrap/>
            <w:vAlign w:val="center"/>
            <w:hideMark/>
          </w:tcPr>
          <w:p w14:paraId="70998894" w14:textId="77777777" w:rsidR="00FB077C" w:rsidRPr="000B4E2C" w:rsidRDefault="00FB077C" w:rsidP="000B4E2C">
            <w:pPr>
              <w:rPr>
                <w:sz w:val="22"/>
              </w:rPr>
            </w:pPr>
            <w:r w:rsidRPr="000B4E2C">
              <w:rPr>
                <w:sz w:val="22"/>
              </w:rPr>
              <w:t>£172 (assumption)</w:t>
            </w:r>
          </w:p>
        </w:tc>
        <w:tc>
          <w:tcPr>
            <w:tcW w:w="0" w:type="auto"/>
            <w:noWrap/>
            <w:vAlign w:val="center"/>
            <w:hideMark/>
          </w:tcPr>
          <w:p w14:paraId="4D199AEA" w14:textId="77777777" w:rsidR="00FB077C" w:rsidRPr="000B4E2C" w:rsidRDefault="00FB077C" w:rsidP="000B4E2C">
            <w:pPr>
              <w:rPr>
                <w:sz w:val="22"/>
              </w:rPr>
            </w:pPr>
            <w:r w:rsidRPr="000B4E2C">
              <w:rPr>
                <w:sz w:val="22"/>
              </w:rPr>
              <w:t>Gamma</w:t>
            </w:r>
          </w:p>
        </w:tc>
        <w:tc>
          <w:tcPr>
            <w:tcW w:w="0" w:type="auto"/>
            <w:vMerge/>
            <w:vAlign w:val="center"/>
            <w:hideMark/>
          </w:tcPr>
          <w:p w14:paraId="6A58D44E" w14:textId="77777777" w:rsidR="00FB077C" w:rsidRPr="000B4E2C" w:rsidRDefault="00FB077C" w:rsidP="000B4E2C">
            <w:pPr>
              <w:rPr>
                <w:sz w:val="22"/>
              </w:rPr>
            </w:pPr>
          </w:p>
        </w:tc>
      </w:tr>
      <w:tr w:rsidR="00FB077C" w:rsidRPr="000B4E2C" w14:paraId="46871857" w14:textId="77777777" w:rsidTr="000B4E2C">
        <w:trPr>
          <w:cantSplit/>
        </w:trPr>
        <w:tc>
          <w:tcPr>
            <w:tcW w:w="0" w:type="auto"/>
            <w:noWrap/>
            <w:vAlign w:val="center"/>
            <w:hideMark/>
          </w:tcPr>
          <w:p w14:paraId="583200B7" w14:textId="77777777" w:rsidR="00FB077C" w:rsidRPr="000B4E2C" w:rsidRDefault="00FB077C" w:rsidP="000B4E2C">
            <w:pPr>
              <w:rPr>
                <w:b/>
                <w:bCs/>
                <w:sz w:val="22"/>
              </w:rPr>
            </w:pPr>
            <w:r w:rsidRPr="000B4E2C">
              <w:rPr>
                <w:sz w:val="22"/>
              </w:rPr>
              <w:t xml:space="preserve">Year 8 </w:t>
            </w:r>
          </w:p>
        </w:tc>
        <w:tc>
          <w:tcPr>
            <w:tcW w:w="0" w:type="auto"/>
            <w:noWrap/>
            <w:vAlign w:val="center"/>
            <w:hideMark/>
          </w:tcPr>
          <w:p w14:paraId="11525CCD" w14:textId="77777777" w:rsidR="00FB077C" w:rsidRPr="000B4E2C" w:rsidRDefault="00FB077C" w:rsidP="000B4E2C">
            <w:pPr>
              <w:rPr>
                <w:sz w:val="22"/>
              </w:rPr>
            </w:pPr>
            <w:r w:rsidRPr="000B4E2C">
              <w:rPr>
                <w:sz w:val="22"/>
              </w:rPr>
              <w:t>£2,274</w:t>
            </w:r>
          </w:p>
        </w:tc>
        <w:tc>
          <w:tcPr>
            <w:tcW w:w="0" w:type="auto"/>
            <w:noWrap/>
            <w:vAlign w:val="center"/>
            <w:hideMark/>
          </w:tcPr>
          <w:p w14:paraId="1FBEE2AA" w14:textId="77777777" w:rsidR="00FB077C" w:rsidRPr="000B4E2C" w:rsidRDefault="00FB077C" w:rsidP="000B4E2C">
            <w:pPr>
              <w:rPr>
                <w:sz w:val="22"/>
              </w:rPr>
            </w:pPr>
            <w:r w:rsidRPr="000B4E2C">
              <w:rPr>
                <w:sz w:val="22"/>
              </w:rPr>
              <w:t>£172 (assumption)</w:t>
            </w:r>
          </w:p>
        </w:tc>
        <w:tc>
          <w:tcPr>
            <w:tcW w:w="0" w:type="auto"/>
            <w:noWrap/>
            <w:vAlign w:val="center"/>
            <w:hideMark/>
          </w:tcPr>
          <w:p w14:paraId="790A6474" w14:textId="77777777" w:rsidR="00FB077C" w:rsidRPr="000B4E2C" w:rsidRDefault="00FB077C" w:rsidP="000B4E2C">
            <w:pPr>
              <w:rPr>
                <w:sz w:val="22"/>
              </w:rPr>
            </w:pPr>
            <w:r w:rsidRPr="000B4E2C">
              <w:rPr>
                <w:sz w:val="22"/>
              </w:rPr>
              <w:t>Gamma</w:t>
            </w:r>
          </w:p>
        </w:tc>
        <w:tc>
          <w:tcPr>
            <w:tcW w:w="0" w:type="auto"/>
            <w:vMerge/>
            <w:vAlign w:val="center"/>
            <w:hideMark/>
          </w:tcPr>
          <w:p w14:paraId="1EBCA809" w14:textId="77777777" w:rsidR="00FB077C" w:rsidRPr="000B4E2C" w:rsidRDefault="00FB077C" w:rsidP="000B4E2C">
            <w:pPr>
              <w:rPr>
                <w:sz w:val="22"/>
              </w:rPr>
            </w:pPr>
          </w:p>
        </w:tc>
      </w:tr>
      <w:tr w:rsidR="00FB077C" w:rsidRPr="000B4E2C" w14:paraId="5EFE464F" w14:textId="77777777" w:rsidTr="000B4E2C">
        <w:trPr>
          <w:cantSplit/>
        </w:trPr>
        <w:tc>
          <w:tcPr>
            <w:tcW w:w="0" w:type="auto"/>
            <w:noWrap/>
            <w:vAlign w:val="center"/>
            <w:hideMark/>
          </w:tcPr>
          <w:p w14:paraId="47BDAEDA" w14:textId="77777777" w:rsidR="00FB077C" w:rsidRPr="000B4E2C" w:rsidRDefault="00FB077C" w:rsidP="000B4E2C">
            <w:pPr>
              <w:rPr>
                <w:b/>
                <w:bCs/>
                <w:sz w:val="22"/>
              </w:rPr>
            </w:pPr>
            <w:r w:rsidRPr="000B4E2C">
              <w:rPr>
                <w:sz w:val="22"/>
              </w:rPr>
              <w:t xml:space="preserve">Year 9 </w:t>
            </w:r>
          </w:p>
        </w:tc>
        <w:tc>
          <w:tcPr>
            <w:tcW w:w="0" w:type="auto"/>
            <w:noWrap/>
            <w:vAlign w:val="center"/>
            <w:hideMark/>
          </w:tcPr>
          <w:p w14:paraId="52E9B497" w14:textId="77777777" w:rsidR="00FB077C" w:rsidRPr="000B4E2C" w:rsidRDefault="00FB077C" w:rsidP="000B4E2C">
            <w:pPr>
              <w:rPr>
                <w:sz w:val="22"/>
              </w:rPr>
            </w:pPr>
            <w:r w:rsidRPr="000B4E2C">
              <w:rPr>
                <w:sz w:val="22"/>
              </w:rPr>
              <w:t>£2,056</w:t>
            </w:r>
          </w:p>
        </w:tc>
        <w:tc>
          <w:tcPr>
            <w:tcW w:w="0" w:type="auto"/>
            <w:noWrap/>
            <w:vAlign w:val="center"/>
            <w:hideMark/>
          </w:tcPr>
          <w:p w14:paraId="6AC1E510" w14:textId="77777777" w:rsidR="00FB077C" w:rsidRPr="000B4E2C" w:rsidRDefault="00FB077C" w:rsidP="000B4E2C">
            <w:pPr>
              <w:rPr>
                <w:sz w:val="22"/>
              </w:rPr>
            </w:pPr>
            <w:r w:rsidRPr="000B4E2C">
              <w:rPr>
                <w:sz w:val="22"/>
              </w:rPr>
              <w:t>£172 (assumption)</w:t>
            </w:r>
          </w:p>
        </w:tc>
        <w:tc>
          <w:tcPr>
            <w:tcW w:w="0" w:type="auto"/>
            <w:noWrap/>
            <w:vAlign w:val="center"/>
            <w:hideMark/>
          </w:tcPr>
          <w:p w14:paraId="2B7D7958" w14:textId="77777777" w:rsidR="00FB077C" w:rsidRPr="000B4E2C" w:rsidRDefault="00FB077C" w:rsidP="000B4E2C">
            <w:pPr>
              <w:rPr>
                <w:sz w:val="22"/>
              </w:rPr>
            </w:pPr>
            <w:r w:rsidRPr="000B4E2C">
              <w:rPr>
                <w:sz w:val="22"/>
              </w:rPr>
              <w:t>Gamma</w:t>
            </w:r>
          </w:p>
        </w:tc>
        <w:tc>
          <w:tcPr>
            <w:tcW w:w="0" w:type="auto"/>
            <w:vMerge/>
            <w:vAlign w:val="center"/>
            <w:hideMark/>
          </w:tcPr>
          <w:p w14:paraId="07A4F957" w14:textId="77777777" w:rsidR="00FB077C" w:rsidRPr="000B4E2C" w:rsidRDefault="00FB077C" w:rsidP="000B4E2C">
            <w:pPr>
              <w:rPr>
                <w:sz w:val="22"/>
              </w:rPr>
            </w:pPr>
          </w:p>
        </w:tc>
      </w:tr>
      <w:tr w:rsidR="00FB077C" w:rsidRPr="000B4E2C" w14:paraId="0C22A601" w14:textId="77777777" w:rsidTr="000B4E2C">
        <w:trPr>
          <w:cantSplit/>
        </w:trPr>
        <w:tc>
          <w:tcPr>
            <w:tcW w:w="0" w:type="auto"/>
            <w:noWrap/>
            <w:vAlign w:val="center"/>
            <w:hideMark/>
          </w:tcPr>
          <w:p w14:paraId="5BDC3E62" w14:textId="77777777" w:rsidR="00FB077C" w:rsidRPr="000B4E2C" w:rsidRDefault="00FB077C" w:rsidP="000B4E2C">
            <w:pPr>
              <w:rPr>
                <w:b/>
                <w:bCs/>
                <w:sz w:val="22"/>
              </w:rPr>
            </w:pPr>
            <w:r w:rsidRPr="000B4E2C">
              <w:rPr>
                <w:sz w:val="22"/>
              </w:rPr>
              <w:lastRenderedPageBreak/>
              <w:t xml:space="preserve">Year 10 </w:t>
            </w:r>
          </w:p>
        </w:tc>
        <w:tc>
          <w:tcPr>
            <w:tcW w:w="0" w:type="auto"/>
            <w:noWrap/>
            <w:vAlign w:val="center"/>
            <w:hideMark/>
          </w:tcPr>
          <w:p w14:paraId="2B520ED8" w14:textId="77777777" w:rsidR="00FB077C" w:rsidRPr="000B4E2C" w:rsidRDefault="00FB077C" w:rsidP="000B4E2C">
            <w:pPr>
              <w:rPr>
                <w:sz w:val="22"/>
              </w:rPr>
            </w:pPr>
            <w:r w:rsidRPr="000B4E2C">
              <w:rPr>
                <w:sz w:val="22"/>
              </w:rPr>
              <w:t>£1,861</w:t>
            </w:r>
          </w:p>
        </w:tc>
        <w:tc>
          <w:tcPr>
            <w:tcW w:w="0" w:type="auto"/>
            <w:noWrap/>
            <w:vAlign w:val="center"/>
            <w:hideMark/>
          </w:tcPr>
          <w:p w14:paraId="061034C3" w14:textId="77777777" w:rsidR="00FB077C" w:rsidRPr="000B4E2C" w:rsidRDefault="00FB077C" w:rsidP="000B4E2C">
            <w:pPr>
              <w:rPr>
                <w:sz w:val="22"/>
              </w:rPr>
            </w:pPr>
            <w:r w:rsidRPr="000B4E2C">
              <w:rPr>
                <w:sz w:val="22"/>
              </w:rPr>
              <w:t>£172 (assumption)</w:t>
            </w:r>
          </w:p>
        </w:tc>
        <w:tc>
          <w:tcPr>
            <w:tcW w:w="0" w:type="auto"/>
            <w:noWrap/>
            <w:vAlign w:val="center"/>
            <w:hideMark/>
          </w:tcPr>
          <w:p w14:paraId="36C4CA79" w14:textId="77777777" w:rsidR="00FB077C" w:rsidRPr="000B4E2C" w:rsidRDefault="00FB077C" w:rsidP="000B4E2C">
            <w:pPr>
              <w:rPr>
                <w:sz w:val="22"/>
              </w:rPr>
            </w:pPr>
            <w:r w:rsidRPr="000B4E2C">
              <w:rPr>
                <w:sz w:val="22"/>
              </w:rPr>
              <w:t>Gamma</w:t>
            </w:r>
          </w:p>
        </w:tc>
        <w:tc>
          <w:tcPr>
            <w:tcW w:w="0" w:type="auto"/>
            <w:vMerge/>
            <w:vAlign w:val="center"/>
            <w:hideMark/>
          </w:tcPr>
          <w:p w14:paraId="36984F30" w14:textId="77777777" w:rsidR="00FB077C" w:rsidRPr="000B4E2C" w:rsidRDefault="00FB077C" w:rsidP="000B4E2C">
            <w:pPr>
              <w:rPr>
                <w:sz w:val="22"/>
              </w:rPr>
            </w:pPr>
          </w:p>
        </w:tc>
      </w:tr>
      <w:tr w:rsidR="00FB077C" w:rsidRPr="000B4E2C" w14:paraId="3E711B23" w14:textId="77777777" w:rsidTr="000B4E2C">
        <w:trPr>
          <w:cantSplit/>
        </w:trPr>
        <w:tc>
          <w:tcPr>
            <w:tcW w:w="0" w:type="auto"/>
            <w:noWrap/>
            <w:vAlign w:val="center"/>
            <w:hideMark/>
          </w:tcPr>
          <w:p w14:paraId="2847255E" w14:textId="62AB759D" w:rsidR="00FB077C" w:rsidRPr="000B4E2C" w:rsidRDefault="00FB077C" w:rsidP="000B4E2C">
            <w:pPr>
              <w:rPr>
                <w:b/>
                <w:bCs/>
                <w:sz w:val="22"/>
              </w:rPr>
            </w:pPr>
            <w:r w:rsidRPr="000B4E2C">
              <w:rPr>
                <w:sz w:val="22"/>
              </w:rPr>
              <w:t>Year 1</w:t>
            </w:r>
            <w:r w:rsidR="000B4E2C" w:rsidRPr="000B4E2C">
              <w:rPr>
                <w:color w:val="00B0F0"/>
                <w:sz w:val="22"/>
              </w:rPr>
              <w:t>1</w:t>
            </w:r>
            <w:r w:rsidR="000B4E2C" w:rsidRPr="000B4E2C">
              <w:rPr>
                <w:color w:val="00B0F0"/>
                <w:sz w:val="22"/>
              </w:rPr>
              <w:t> </w:t>
            </w:r>
            <w:r w:rsidR="000B4E2C" w:rsidRPr="000B4E2C">
              <w:rPr>
                <w:color w:val="00B0F0"/>
                <w:sz w:val="22"/>
              </w:rPr>
              <w:t>+</w:t>
            </w:r>
            <w:r w:rsidRPr="000B4E2C">
              <w:rPr>
                <w:sz w:val="22"/>
              </w:rPr>
              <w:t xml:space="preserve"> </w:t>
            </w:r>
          </w:p>
        </w:tc>
        <w:tc>
          <w:tcPr>
            <w:tcW w:w="0" w:type="auto"/>
            <w:noWrap/>
            <w:vAlign w:val="center"/>
            <w:hideMark/>
          </w:tcPr>
          <w:p w14:paraId="4C71590B" w14:textId="77777777" w:rsidR="00FB077C" w:rsidRPr="000B4E2C" w:rsidRDefault="00FB077C" w:rsidP="000B4E2C">
            <w:pPr>
              <w:rPr>
                <w:sz w:val="22"/>
              </w:rPr>
            </w:pPr>
            <w:r w:rsidRPr="000B4E2C">
              <w:rPr>
                <w:sz w:val="22"/>
              </w:rPr>
              <w:t>£1,685</w:t>
            </w:r>
          </w:p>
        </w:tc>
        <w:tc>
          <w:tcPr>
            <w:tcW w:w="0" w:type="auto"/>
            <w:noWrap/>
            <w:vAlign w:val="center"/>
            <w:hideMark/>
          </w:tcPr>
          <w:p w14:paraId="3371E94B" w14:textId="77777777" w:rsidR="00FB077C" w:rsidRPr="000B4E2C" w:rsidRDefault="00FB077C" w:rsidP="000B4E2C">
            <w:pPr>
              <w:rPr>
                <w:sz w:val="22"/>
              </w:rPr>
            </w:pPr>
            <w:r w:rsidRPr="000B4E2C">
              <w:rPr>
                <w:sz w:val="22"/>
              </w:rPr>
              <w:t>£172 (assumption)</w:t>
            </w:r>
          </w:p>
        </w:tc>
        <w:tc>
          <w:tcPr>
            <w:tcW w:w="0" w:type="auto"/>
            <w:noWrap/>
            <w:vAlign w:val="center"/>
            <w:hideMark/>
          </w:tcPr>
          <w:p w14:paraId="340FA41C" w14:textId="77777777" w:rsidR="00FB077C" w:rsidRPr="000B4E2C" w:rsidRDefault="00FB077C" w:rsidP="000B4E2C">
            <w:pPr>
              <w:rPr>
                <w:sz w:val="22"/>
              </w:rPr>
            </w:pPr>
            <w:r w:rsidRPr="000B4E2C">
              <w:rPr>
                <w:sz w:val="22"/>
              </w:rPr>
              <w:t>Gamma</w:t>
            </w:r>
          </w:p>
        </w:tc>
        <w:tc>
          <w:tcPr>
            <w:tcW w:w="0" w:type="auto"/>
            <w:vMerge/>
            <w:vAlign w:val="center"/>
            <w:hideMark/>
          </w:tcPr>
          <w:p w14:paraId="5717930C" w14:textId="77777777" w:rsidR="00FB077C" w:rsidRPr="000B4E2C" w:rsidRDefault="00FB077C" w:rsidP="000B4E2C">
            <w:pPr>
              <w:rPr>
                <w:sz w:val="22"/>
              </w:rPr>
            </w:pPr>
          </w:p>
        </w:tc>
      </w:tr>
      <w:tr w:rsidR="00FB077C" w:rsidRPr="000B4E2C" w14:paraId="4A8C8094" w14:textId="77777777" w:rsidTr="000B4E2C">
        <w:trPr>
          <w:cantSplit/>
        </w:trPr>
        <w:tc>
          <w:tcPr>
            <w:tcW w:w="0" w:type="auto"/>
            <w:gridSpan w:val="5"/>
            <w:shd w:val="clear" w:color="auto" w:fill="D9D9D9" w:themeFill="background1" w:themeFillShade="D9"/>
            <w:noWrap/>
            <w:vAlign w:val="center"/>
            <w:hideMark/>
          </w:tcPr>
          <w:p w14:paraId="142AD726" w14:textId="77777777" w:rsidR="00FB077C" w:rsidRPr="000B4E2C" w:rsidRDefault="00FB077C" w:rsidP="000B4E2C">
            <w:pPr>
              <w:rPr>
                <w:b/>
                <w:sz w:val="22"/>
              </w:rPr>
            </w:pPr>
            <w:r w:rsidRPr="000B4E2C">
              <w:rPr>
                <w:b/>
                <w:sz w:val="22"/>
              </w:rPr>
              <w:t>Health state specific costs applied in the Markov model</w:t>
            </w:r>
          </w:p>
        </w:tc>
      </w:tr>
      <w:tr w:rsidR="00FB077C" w:rsidRPr="000B4E2C" w14:paraId="0D810FE6" w14:textId="77777777" w:rsidTr="000B4E2C">
        <w:trPr>
          <w:cantSplit/>
        </w:trPr>
        <w:tc>
          <w:tcPr>
            <w:tcW w:w="0" w:type="auto"/>
            <w:noWrap/>
            <w:vAlign w:val="center"/>
            <w:hideMark/>
          </w:tcPr>
          <w:p w14:paraId="0B2D9B50" w14:textId="7E3CC0FC" w:rsidR="00FB077C" w:rsidRPr="000B4E2C" w:rsidRDefault="00FB077C" w:rsidP="000B4E2C">
            <w:pPr>
              <w:rPr>
                <w:bCs/>
                <w:sz w:val="22"/>
              </w:rPr>
            </w:pPr>
            <w:r w:rsidRPr="000B4E2C">
              <w:rPr>
                <w:sz w:val="22"/>
              </w:rPr>
              <w:t>CKD 1</w:t>
            </w:r>
            <w:r w:rsidR="000B4E2C" w:rsidRPr="000B4E2C">
              <w:rPr>
                <w:color w:val="00B0F0"/>
                <w:sz w:val="22"/>
              </w:rPr>
              <w:t>–</w:t>
            </w:r>
            <w:r w:rsidR="000B4E2C" w:rsidRPr="000B4E2C">
              <w:rPr>
                <w:color w:val="00B0F0"/>
                <w:sz w:val="22"/>
              </w:rPr>
              <w:t>3</w:t>
            </w:r>
          </w:p>
        </w:tc>
        <w:tc>
          <w:tcPr>
            <w:tcW w:w="0" w:type="auto"/>
            <w:noWrap/>
            <w:vAlign w:val="center"/>
            <w:hideMark/>
          </w:tcPr>
          <w:p w14:paraId="6FAC14F7" w14:textId="77777777" w:rsidR="00FB077C" w:rsidRPr="000B4E2C" w:rsidRDefault="00FB077C" w:rsidP="000B4E2C">
            <w:pPr>
              <w:rPr>
                <w:sz w:val="22"/>
              </w:rPr>
            </w:pPr>
            <w:r w:rsidRPr="000B4E2C">
              <w:rPr>
                <w:sz w:val="22"/>
              </w:rPr>
              <w:t>£453</w:t>
            </w:r>
          </w:p>
        </w:tc>
        <w:tc>
          <w:tcPr>
            <w:tcW w:w="0" w:type="auto"/>
            <w:noWrap/>
            <w:vAlign w:val="center"/>
            <w:hideMark/>
          </w:tcPr>
          <w:p w14:paraId="37AD3DD1" w14:textId="77777777" w:rsidR="00FB077C" w:rsidRPr="000B4E2C" w:rsidRDefault="00FB077C" w:rsidP="000B4E2C">
            <w:pPr>
              <w:rPr>
                <w:sz w:val="22"/>
              </w:rPr>
            </w:pPr>
            <w:r w:rsidRPr="000B4E2C">
              <w:rPr>
                <w:sz w:val="22"/>
              </w:rPr>
              <w:t>£33.53</w:t>
            </w:r>
          </w:p>
        </w:tc>
        <w:tc>
          <w:tcPr>
            <w:tcW w:w="0" w:type="auto"/>
            <w:noWrap/>
            <w:vAlign w:val="center"/>
            <w:hideMark/>
          </w:tcPr>
          <w:p w14:paraId="0C295EF5" w14:textId="77777777" w:rsidR="00FB077C" w:rsidRPr="000B4E2C" w:rsidRDefault="00FB077C" w:rsidP="000B4E2C">
            <w:pPr>
              <w:rPr>
                <w:sz w:val="22"/>
              </w:rPr>
            </w:pPr>
            <w:r w:rsidRPr="000B4E2C">
              <w:rPr>
                <w:sz w:val="22"/>
              </w:rPr>
              <w:t>Gamma</w:t>
            </w:r>
          </w:p>
        </w:tc>
        <w:tc>
          <w:tcPr>
            <w:tcW w:w="0" w:type="auto"/>
            <w:noWrap/>
            <w:vAlign w:val="center"/>
            <w:hideMark/>
          </w:tcPr>
          <w:p w14:paraId="2A2CA34A" w14:textId="5A126962" w:rsidR="00FB077C" w:rsidRPr="000B4E2C" w:rsidRDefault="00FB077C" w:rsidP="000B4E2C">
            <w:pPr>
              <w:rPr>
                <w:sz w:val="22"/>
              </w:rPr>
            </w:pPr>
            <w:r w:rsidRPr="000B4E2C">
              <w:rPr>
                <w:sz w:val="22"/>
              </w:rPr>
              <w:t>Kent</w:t>
            </w:r>
            <w:r w:rsidRPr="000B4E2C">
              <w:rPr>
                <w:i/>
                <w:color w:val="00B0F0"/>
                <w:sz w:val="22"/>
              </w:rPr>
              <w:t xml:space="preserve"> et al</w:t>
            </w:r>
            <w:r w:rsidRPr="000B4E2C">
              <w:rPr>
                <w:sz w:val="22"/>
              </w:rPr>
              <w:t>. 2015</w:t>
            </w:r>
            <w:r w:rsidR="00280A97" w:rsidRPr="000B4E2C">
              <w:rPr>
                <w:noProof/>
                <w:sz w:val="22"/>
                <w:vertAlign w:val="superscript"/>
              </w:rPr>
              <w:t>115</w:t>
            </w:r>
          </w:p>
        </w:tc>
      </w:tr>
      <w:tr w:rsidR="00FB077C" w:rsidRPr="000B4E2C" w14:paraId="190C8833" w14:textId="77777777" w:rsidTr="000B4E2C">
        <w:trPr>
          <w:cantSplit/>
        </w:trPr>
        <w:tc>
          <w:tcPr>
            <w:tcW w:w="0" w:type="auto"/>
            <w:noWrap/>
            <w:vAlign w:val="center"/>
            <w:hideMark/>
          </w:tcPr>
          <w:p w14:paraId="2B4B9F02" w14:textId="77777777" w:rsidR="00FB077C" w:rsidRPr="000B4E2C" w:rsidRDefault="00FB077C" w:rsidP="000B4E2C">
            <w:pPr>
              <w:rPr>
                <w:bCs/>
                <w:sz w:val="22"/>
              </w:rPr>
            </w:pPr>
            <w:r w:rsidRPr="000B4E2C">
              <w:rPr>
                <w:sz w:val="22"/>
              </w:rPr>
              <w:t>CKD 4</w:t>
            </w:r>
          </w:p>
        </w:tc>
        <w:tc>
          <w:tcPr>
            <w:tcW w:w="0" w:type="auto"/>
            <w:noWrap/>
            <w:vAlign w:val="center"/>
            <w:hideMark/>
          </w:tcPr>
          <w:p w14:paraId="0F1FC8E6" w14:textId="77777777" w:rsidR="00FB077C" w:rsidRPr="000B4E2C" w:rsidRDefault="00FB077C" w:rsidP="000B4E2C">
            <w:pPr>
              <w:rPr>
                <w:sz w:val="22"/>
              </w:rPr>
            </w:pPr>
            <w:r w:rsidRPr="000B4E2C">
              <w:rPr>
                <w:sz w:val="22"/>
              </w:rPr>
              <w:t>£441</w:t>
            </w:r>
          </w:p>
        </w:tc>
        <w:tc>
          <w:tcPr>
            <w:tcW w:w="0" w:type="auto"/>
            <w:noWrap/>
            <w:vAlign w:val="center"/>
            <w:hideMark/>
          </w:tcPr>
          <w:p w14:paraId="516AE9BC" w14:textId="77777777" w:rsidR="00FB077C" w:rsidRPr="000B4E2C" w:rsidRDefault="00FB077C" w:rsidP="000B4E2C">
            <w:pPr>
              <w:rPr>
                <w:sz w:val="22"/>
              </w:rPr>
            </w:pPr>
            <w:r w:rsidRPr="000B4E2C">
              <w:rPr>
                <w:sz w:val="22"/>
              </w:rPr>
              <w:t>£14.61</w:t>
            </w:r>
          </w:p>
        </w:tc>
        <w:tc>
          <w:tcPr>
            <w:tcW w:w="0" w:type="auto"/>
            <w:noWrap/>
            <w:vAlign w:val="center"/>
            <w:hideMark/>
          </w:tcPr>
          <w:p w14:paraId="0D95A465" w14:textId="77777777" w:rsidR="00FB077C" w:rsidRPr="000B4E2C" w:rsidRDefault="00FB077C" w:rsidP="000B4E2C">
            <w:pPr>
              <w:rPr>
                <w:sz w:val="22"/>
              </w:rPr>
            </w:pPr>
            <w:r w:rsidRPr="000B4E2C">
              <w:rPr>
                <w:sz w:val="22"/>
              </w:rPr>
              <w:t>Gamma</w:t>
            </w:r>
          </w:p>
        </w:tc>
        <w:tc>
          <w:tcPr>
            <w:tcW w:w="0" w:type="auto"/>
            <w:noWrap/>
            <w:vAlign w:val="center"/>
            <w:hideMark/>
          </w:tcPr>
          <w:p w14:paraId="40D07B07" w14:textId="35D0A8AB" w:rsidR="00FB077C" w:rsidRPr="000B4E2C" w:rsidRDefault="00FB077C" w:rsidP="000B4E2C">
            <w:pPr>
              <w:rPr>
                <w:sz w:val="22"/>
              </w:rPr>
            </w:pPr>
            <w:r w:rsidRPr="000B4E2C">
              <w:rPr>
                <w:sz w:val="22"/>
              </w:rPr>
              <w:t>Kent</w:t>
            </w:r>
            <w:r w:rsidRPr="000B4E2C">
              <w:rPr>
                <w:i/>
                <w:color w:val="00B0F0"/>
                <w:sz w:val="22"/>
              </w:rPr>
              <w:t xml:space="preserve"> et al</w:t>
            </w:r>
            <w:r w:rsidRPr="000B4E2C">
              <w:rPr>
                <w:sz w:val="22"/>
              </w:rPr>
              <w:t>. 2015</w:t>
            </w:r>
            <w:r w:rsidR="00280A97" w:rsidRPr="000B4E2C">
              <w:rPr>
                <w:noProof/>
                <w:sz w:val="22"/>
                <w:vertAlign w:val="superscript"/>
              </w:rPr>
              <w:t>115</w:t>
            </w:r>
          </w:p>
        </w:tc>
      </w:tr>
      <w:tr w:rsidR="00FB077C" w:rsidRPr="000B4E2C" w14:paraId="6D1323A1" w14:textId="77777777" w:rsidTr="000B4E2C">
        <w:trPr>
          <w:cantSplit/>
        </w:trPr>
        <w:tc>
          <w:tcPr>
            <w:tcW w:w="0" w:type="auto"/>
            <w:noWrap/>
            <w:vAlign w:val="center"/>
            <w:hideMark/>
          </w:tcPr>
          <w:p w14:paraId="10D1B90A" w14:textId="442684D8" w:rsidR="00FB077C" w:rsidRPr="000B4E2C" w:rsidRDefault="00FB077C" w:rsidP="000B4E2C">
            <w:pPr>
              <w:rPr>
                <w:bCs/>
                <w:sz w:val="22"/>
              </w:rPr>
            </w:pPr>
            <w:r w:rsidRPr="000B4E2C">
              <w:rPr>
                <w:sz w:val="22"/>
              </w:rPr>
              <w:t>Weighted average (CKD 1</w:t>
            </w:r>
            <w:r w:rsidR="000B4E2C" w:rsidRPr="000B4E2C">
              <w:rPr>
                <w:color w:val="00B0F0"/>
                <w:sz w:val="22"/>
              </w:rPr>
              <w:t>–</w:t>
            </w:r>
            <w:r w:rsidR="000B4E2C" w:rsidRPr="000B4E2C">
              <w:rPr>
                <w:color w:val="00B0F0"/>
                <w:sz w:val="22"/>
              </w:rPr>
              <w:t>4</w:t>
            </w:r>
            <w:r w:rsidRPr="000B4E2C">
              <w:rPr>
                <w:sz w:val="22"/>
              </w:rPr>
              <w:t xml:space="preserve">) </w:t>
            </w:r>
          </w:p>
        </w:tc>
        <w:tc>
          <w:tcPr>
            <w:tcW w:w="0" w:type="auto"/>
            <w:noWrap/>
            <w:vAlign w:val="center"/>
            <w:hideMark/>
          </w:tcPr>
          <w:p w14:paraId="58B46410" w14:textId="77777777" w:rsidR="00FB077C" w:rsidRPr="000B4E2C" w:rsidRDefault="00FB077C" w:rsidP="000B4E2C">
            <w:pPr>
              <w:rPr>
                <w:sz w:val="22"/>
              </w:rPr>
            </w:pPr>
            <w:r w:rsidRPr="000B4E2C">
              <w:rPr>
                <w:sz w:val="22"/>
              </w:rPr>
              <w:t>£446</w:t>
            </w:r>
          </w:p>
        </w:tc>
        <w:tc>
          <w:tcPr>
            <w:tcW w:w="0" w:type="auto"/>
            <w:noWrap/>
            <w:vAlign w:val="center"/>
            <w:hideMark/>
          </w:tcPr>
          <w:p w14:paraId="1B6F92D4" w14:textId="77777777" w:rsidR="00FB077C" w:rsidRPr="000B4E2C" w:rsidRDefault="00FB077C" w:rsidP="000B4E2C">
            <w:pPr>
              <w:rPr>
                <w:sz w:val="22"/>
              </w:rPr>
            </w:pPr>
            <w:r w:rsidRPr="000B4E2C">
              <w:rPr>
                <w:sz w:val="22"/>
              </w:rPr>
              <w:t>--</w:t>
            </w:r>
          </w:p>
        </w:tc>
        <w:tc>
          <w:tcPr>
            <w:tcW w:w="0" w:type="auto"/>
            <w:noWrap/>
            <w:vAlign w:val="center"/>
            <w:hideMark/>
          </w:tcPr>
          <w:p w14:paraId="2260A0C4" w14:textId="77777777" w:rsidR="00FB077C" w:rsidRPr="000B4E2C" w:rsidRDefault="00FB077C" w:rsidP="000B4E2C">
            <w:pPr>
              <w:rPr>
                <w:sz w:val="22"/>
              </w:rPr>
            </w:pPr>
            <w:r w:rsidRPr="000B4E2C">
              <w:rPr>
                <w:sz w:val="22"/>
              </w:rPr>
              <w:t>--</w:t>
            </w:r>
          </w:p>
        </w:tc>
        <w:tc>
          <w:tcPr>
            <w:tcW w:w="0" w:type="auto"/>
            <w:noWrap/>
            <w:vAlign w:val="center"/>
            <w:hideMark/>
          </w:tcPr>
          <w:p w14:paraId="70043932" w14:textId="77777777" w:rsidR="00FB077C" w:rsidRPr="000B4E2C" w:rsidRDefault="00FB077C" w:rsidP="000B4E2C">
            <w:pPr>
              <w:rPr>
                <w:sz w:val="22"/>
              </w:rPr>
            </w:pPr>
            <w:r w:rsidRPr="000B4E2C">
              <w:rPr>
                <w:sz w:val="22"/>
              </w:rPr>
              <w:t>--</w:t>
            </w:r>
          </w:p>
        </w:tc>
      </w:tr>
      <w:tr w:rsidR="00FB077C" w:rsidRPr="000B4E2C" w14:paraId="5C49C622" w14:textId="77777777" w:rsidTr="000B4E2C">
        <w:trPr>
          <w:cantSplit/>
        </w:trPr>
        <w:tc>
          <w:tcPr>
            <w:tcW w:w="0" w:type="auto"/>
            <w:noWrap/>
            <w:vAlign w:val="center"/>
            <w:hideMark/>
          </w:tcPr>
          <w:p w14:paraId="124ACA0F" w14:textId="0FAFD202" w:rsidR="00FB077C" w:rsidRPr="000B4E2C" w:rsidRDefault="00FB077C" w:rsidP="000B4E2C">
            <w:pPr>
              <w:rPr>
                <w:bCs/>
                <w:sz w:val="22"/>
              </w:rPr>
            </w:pPr>
            <w:r w:rsidRPr="000B4E2C">
              <w:rPr>
                <w:sz w:val="22"/>
              </w:rPr>
              <w:t xml:space="preserve">ESRD (no dialysis) </w:t>
            </w:r>
            <w:r w:rsidRPr="000B4E2C">
              <w:rPr>
                <w:sz w:val="22"/>
                <w:vertAlign w:val="superscript"/>
              </w:rPr>
              <w:t>E</w:t>
            </w:r>
          </w:p>
        </w:tc>
        <w:tc>
          <w:tcPr>
            <w:tcW w:w="0" w:type="auto"/>
            <w:noWrap/>
            <w:vAlign w:val="center"/>
            <w:hideMark/>
          </w:tcPr>
          <w:p w14:paraId="5A364A95" w14:textId="77777777" w:rsidR="00FB077C" w:rsidRPr="000B4E2C" w:rsidRDefault="00FB077C" w:rsidP="000B4E2C">
            <w:pPr>
              <w:rPr>
                <w:sz w:val="22"/>
              </w:rPr>
            </w:pPr>
            <w:r w:rsidRPr="000B4E2C">
              <w:rPr>
                <w:sz w:val="22"/>
              </w:rPr>
              <w:t>£590</w:t>
            </w:r>
          </w:p>
        </w:tc>
        <w:tc>
          <w:tcPr>
            <w:tcW w:w="0" w:type="auto"/>
            <w:noWrap/>
            <w:vAlign w:val="center"/>
            <w:hideMark/>
          </w:tcPr>
          <w:p w14:paraId="6FD82B9D" w14:textId="77777777" w:rsidR="00FB077C" w:rsidRPr="000B4E2C" w:rsidRDefault="00FB077C" w:rsidP="000B4E2C">
            <w:pPr>
              <w:rPr>
                <w:sz w:val="22"/>
              </w:rPr>
            </w:pPr>
            <w:r w:rsidRPr="000B4E2C">
              <w:rPr>
                <w:sz w:val="22"/>
              </w:rPr>
              <w:t>£43.84</w:t>
            </w:r>
          </w:p>
        </w:tc>
        <w:tc>
          <w:tcPr>
            <w:tcW w:w="0" w:type="auto"/>
            <w:noWrap/>
            <w:vAlign w:val="center"/>
            <w:hideMark/>
          </w:tcPr>
          <w:p w14:paraId="530E1F0B" w14:textId="77777777" w:rsidR="00FB077C" w:rsidRPr="000B4E2C" w:rsidRDefault="00FB077C" w:rsidP="000B4E2C">
            <w:pPr>
              <w:rPr>
                <w:sz w:val="22"/>
              </w:rPr>
            </w:pPr>
            <w:r w:rsidRPr="000B4E2C">
              <w:rPr>
                <w:sz w:val="22"/>
              </w:rPr>
              <w:t>Gamma</w:t>
            </w:r>
          </w:p>
        </w:tc>
        <w:tc>
          <w:tcPr>
            <w:tcW w:w="0" w:type="auto"/>
            <w:noWrap/>
            <w:vAlign w:val="center"/>
            <w:hideMark/>
          </w:tcPr>
          <w:p w14:paraId="5FC9D052" w14:textId="4620E0AE" w:rsidR="00FB077C" w:rsidRPr="000B4E2C" w:rsidRDefault="00FB077C" w:rsidP="000B4E2C">
            <w:pPr>
              <w:rPr>
                <w:sz w:val="22"/>
              </w:rPr>
            </w:pPr>
            <w:r w:rsidRPr="000B4E2C">
              <w:rPr>
                <w:sz w:val="22"/>
              </w:rPr>
              <w:t>Kent</w:t>
            </w:r>
            <w:r w:rsidRPr="000B4E2C">
              <w:rPr>
                <w:i/>
                <w:color w:val="00B0F0"/>
                <w:sz w:val="22"/>
              </w:rPr>
              <w:t xml:space="preserve"> et al</w:t>
            </w:r>
            <w:r w:rsidRPr="000B4E2C">
              <w:rPr>
                <w:sz w:val="22"/>
              </w:rPr>
              <w:t>. 2015</w:t>
            </w:r>
            <w:r w:rsidR="00280A97" w:rsidRPr="000B4E2C">
              <w:rPr>
                <w:noProof/>
                <w:sz w:val="22"/>
                <w:vertAlign w:val="superscript"/>
              </w:rPr>
              <w:t>115</w:t>
            </w:r>
          </w:p>
        </w:tc>
      </w:tr>
      <w:tr w:rsidR="00FB077C" w:rsidRPr="000B4E2C" w14:paraId="70A2D781" w14:textId="77777777" w:rsidTr="000B4E2C">
        <w:trPr>
          <w:cantSplit/>
        </w:trPr>
        <w:tc>
          <w:tcPr>
            <w:tcW w:w="0" w:type="auto"/>
            <w:noWrap/>
            <w:vAlign w:val="center"/>
            <w:hideMark/>
          </w:tcPr>
          <w:p w14:paraId="1542F938" w14:textId="77777777" w:rsidR="00FB077C" w:rsidRPr="000B4E2C" w:rsidRDefault="00FB077C" w:rsidP="000B4E2C">
            <w:pPr>
              <w:rPr>
                <w:bCs/>
                <w:sz w:val="22"/>
              </w:rPr>
            </w:pPr>
            <w:r w:rsidRPr="000B4E2C">
              <w:rPr>
                <w:sz w:val="22"/>
              </w:rPr>
              <w:t>ESRD year 1 (with dialysis)</w:t>
            </w:r>
          </w:p>
        </w:tc>
        <w:tc>
          <w:tcPr>
            <w:tcW w:w="0" w:type="auto"/>
            <w:noWrap/>
            <w:vAlign w:val="center"/>
            <w:hideMark/>
          </w:tcPr>
          <w:p w14:paraId="455F9E47" w14:textId="77777777" w:rsidR="00FB077C" w:rsidRPr="000B4E2C" w:rsidRDefault="00FB077C" w:rsidP="000B4E2C">
            <w:pPr>
              <w:rPr>
                <w:sz w:val="22"/>
              </w:rPr>
            </w:pPr>
            <w:r w:rsidRPr="000B4E2C">
              <w:rPr>
                <w:sz w:val="22"/>
              </w:rPr>
              <w:t>£21,328</w:t>
            </w:r>
          </w:p>
        </w:tc>
        <w:tc>
          <w:tcPr>
            <w:tcW w:w="0" w:type="auto"/>
            <w:noWrap/>
            <w:vAlign w:val="center"/>
            <w:hideMark/>
          </w:tcPr>
          <w:p w14:paraId="0047E7D5" w14:textId="77777777" w:rsidR="00FB077C" w:rsidRPr="000B4E2C" w:rsidRDefault="00FB077C" w:rsidP="000B4E2C">
            <w:pPr>
              <w:rPr>
                <w:sz w:val="22"/>
              </w:rPr>
            </w:pPr>
            <w:r w:rsidRPr="000B4E2C">
              <w:rPr>
                <w:sz w:val="22"/>
              </w:rPr>
              <w:t>£209.77</w:t>
            </w:r>
          </w:p>
        </w:tc>
        <w:tc>
          <w:tcPr>
            <w:tcW w:w="0" w:type="auto"/>
            <w:noWrap/>
            <w:vAlign w:val="center"/>
            <w:hideMark/>
          </w:tcPr>
          <w:p w14:paraId="61958848" w14:textId="77777777" w:rsidR="00FB077C" w:rsidRPr="000B4E2C" w:rsidRDefault="00FB077C" w:rsidP="000B4E2C">
            <w:pPr>
              <w:rPr>
                <w:sz w:val="22"/>
              </w:rPr>
            </w:pPr>
            <w:r w:rsidRPr="000B4E2C">
              <w:rPr>
                <w:sz w:val="22"/>
              </w:rPr>
              <w:t>Gamma</w:t>
            </w:r>
          </w:p>
        </w:tc>
        <w:tc>
          <w:tcPr>
            <w:tcW w:w="0" w:type="auto"/>
            <w:noWrap/>
            <w:vAlign w:val="center"/>
            <w:hideMark/>
          </w:tcPr>
          <w:p w14:paraId="409A0AF3" w14:textId="6121ECE0" w:rsidR="00FB077C" w:rsidRPr="000B4E2C" w:rsidRDefault="00FB077C" w:rsidP="000B4E2C">
            <w:pPr>
              <w:rPr>
                <w:sz w:val="22"/>
              </w:rPr>
            </w:pPr>
            <w:r w:rsidRPr="000B4E2C">
              <w:rPr>
                <w:sz w:val="22"/>
              </w:rPr>
              <w:t>Kent</w:t>
            </w:r>
            <w:r w:rsidRPr="000B4E2C">
              <w:rPr>
                <w:i/>
                <w:color w:val="00B0F0"/>
                <w:sz w:val="22"/>
              </w:rPr>
              <w:t xml:space="preserve"> et al</w:t>
            </w:r>
            <w:r w:rsidRPr="000B4E2C">
              <w:rPr>
                <w:sz w:val="22"/>
              </w:rPr>
              <w:t>. 2015</w:t>
            </w:r>
            <w:r w:rsidR="00280A97" w:rsidRPr="000B4E2C">
              <w:rPr>
                <w:noProof/>
                <w:sz w:val="22"/>
                <w:vertAlign w:val="superscript"/>
              </w:rPr>
              <w:t>115</w:t>
            </w:r>
          </w:p>
        </w:tc>
      </w:tr>
      <w:tr w:rsidR="00FB077C" w:rsidRPr="000B4E2C" w14:paraId="421C5A6D" w14:textId="77777777" w:rsidTr="000B4E2C">
        <w:trPr>
          <w:cantSplit/>
        </w:trPr>
        <w:tc>
          <w:tcPr>
            <w:tcW w:w="0" w:type="auto"/>
            <w:noWrap/>
            <w:vAlign w:val="center"/>
            <w:hideMark/>
          </w:tcPr>
          <w:p w14:paraId="323257CA" w14:textId="77777777" w:rsidR="00FB077C" w:rsidRPr="000B4E2C" w:rsidRDefault="00FB077C" w:rsidP="000B4E2C">
            <w:pPr>
              <w:rPr>
                <w:bCs/>
                <w:sz w:val="22"/>
              </w:rPr>
            </w:pPr>
            <w:r w:rsidRPr="000B4E2C">
              <w:rPr>
                <w:sz w:val="22"/>
              </w:rPr>
              <w:t>ESRD year 2 onwards (with dialysis)</w:t>
            </w:r>
          </w:p>
        </w:tc>
        <w:tc>
          <w:tcPr>
            <w:tcW w:w="0" w:type="auto"/>
            <w:noWrap/>
            <w:vAlign w:val="center"/>
            <w:hideMark/>
          </w:tcPr>
          <w:p w14:paraId="505EB7D3" w14:textId="77777777" w:rsidR="00FB077C" w:rsidRPr="000B4E2C" w:rsidRDefault="00FB077C" w:rsidP="000B4E2C">
            <w:pPr>
              <w:rPr>
                <w:sz w:val="22"/>
              </w:rPr>
            </w:pPr>
            <w:r w:rsidRPr="000B4E2C">
              <w:rPr>
                <w:sz w:val="22"/>
              </w:rPr>
              <w:t>£26,203</w:t>
            </w:r>
          </w:p>
        </w:tc>
        <w:tc>
          <w:tcPr>
            <w:tcW w:w="0" w:type="auto"/>
            <w:noWrap/>
            <w:vAlign w:val="center"/>
            <w:hideMark/>
          </w:tcPr>
          <w:p w14:paraId="5CBEF284" w14:textId="77777777" w:rsidR="00FB077C" w:rsidRPr="000B4E2C" w:rsidRDefault="00FB077C" w:rsidP="000B4E2C">
            <w:pPr>
              <w:rPr>
                <w:sz w:val="22"/>
              </w:rPr>
            </w:pPr>
            <w:r w:rsidRPr="000B4E2C">
              <w:rPr>
                <w:sz w:val="22"/>
              </w:rPr>
              <w:t>£54.45</w:t>
            </w:r>
          </w:p>
        </w:tc>
        <w:tc>
          <w:tcPr>
            <w:tcW w:w="0" w:type="auto"/>
            <w:noWrap/>
            <w:vAlign w:val="center"/>
            <w:hideMark/>
          </w:tcPr>
          <w:p w14:paraId="246A9C21" w14:textId="77777777" w:rsidR="00FB077C" w:rsidRPr="000B4E2C" w:rsidRDefault="00FB077C" w:rsidP="000B4E2C">
            <w:pPr>
              <w:rPr>
                <w:sz w:val="22"/>
              </w:rPr>
            </w:pPr>
            <w:r w:rsidRPr="000B4E2C">
              <w:rPr>
                <w:sz w:val="22"/>
              </w:rPr>
              <w:t>Gamma</w:t>
            </w:r>
          </w:p>
        </w:tc>
        <w:tc>
          <w:tcPr>
            <w:tcW w:w="0" w:type="auto"/>
            <w:noWrap/>
            <w:vAlign w:val="center"/>
            <w:hideMark/>
          </w:tcPr>
          <w:p w14:paraId="28F4603A" w14:textId="1CE3F3F9" w:rsidR="00FB077C" w:rsidRPr="000B4E2C" w:rsidRDefault="00FB077C" w:rsidP="000B4E2C">
            <w:pPr>
              <w:rPr>
                <w:sz w:val="22"/>
              </w:rPr>
            </w:pPr>
            <w:r w:rsidRPr="000B4E2C">
              <w:rPr>
                <w:sz w:val="22"/>
              </w:rPr>
              <w:t>Kent</w:t>
            </w:r>
            <w:r w:rsidRPr="000B4E2C">
              <w:rPr>
                <w:i/>
                <w:color w:val="00B0F0"/>
                <w:sz w:val="22"/>
              </w:rPr>
              <w:t xml:space="preserve"> et al</w:t>
            </w:r>
            <w:r w:rsidRPr="000B4E2C">
              <w:rPr>
                <w:sz w:val="22"/>
              </w:rPr>
              <w:t>. 2015</w:t>
            </w:r>
            <w:r w:rsidR="00280A97" w:rsidRPr="000B4E2C">
              <w:rPr>
                <w:noProof/>
                <w:sz w:val="22"/>
                <w:vertAlign w:val="superscript"/>
              </w:rPr>
              <w:t>115</w:t>
            </w:r>
          </w:p>
        </w:tc>
      </w:tr>
      <w:tr w:rsidR="00FB077C" w:rsidRPr="000B4E2C" w14:paraId="28AEA72C" w14:textId="77777777" w:rsidTr="000B4E2C">
        <w:trPr>
          <w:cantSplit/>
        </w:trPr>
        <w:tc>
          <w:tcPr>
            <w:tcW w:w="0" w:type="auto"/>
            <w:noWrap/>
            <w:vAlign w:val="center"/>
            <w:hideMark/>
          </w:tcPr>
          <w:p w14:paraId="54C5DAC4" w14:textId="77777777" w:rsidR="00FB077C" w:rsidRPr="000B4E2C" w:rsidRDefault="00FB077C" w:rsidP="000B4E2C">
            <w:pPr>
              <w:rPr>
                <w:bCs/>
                <w:sz w:val="22"/>
              </w:rPr>
            </w:pPr>
            <w:r w:rsidRPr="000B4E2C">
              <w:rPr>
                <w:sz w:val="22"/>
              </w:rPr>
              <w:t>Functioning transplant year 1</w:t>
            </w:r>
          </w:p>
        </w:tc>
        <w:tc>
          <w:tcPr>
            <w:tcW w:w="0" w:type="auto"/>
            <w:noWrap/>
            <w:vAlign w:val="center"/>
            <w:hideMark/>
          </w:tcPr>
          <w:p w14:paraId="456682DF" w14:textId="77777777" w:rsidR="00FB077C" w:rsidRPr="000B4E2C" w:rsidRDefault="00FB077C" w:rsidP="000B4E2C">
            <w:pPr>
              <w:rPr>
                <w:sz w:val="22"/>
              </w:rPr>
            </w:pPr>
            <w:r w:rsidRPr="000B4E2C">
              <w:rPr>
                <w:sz w:val="22"/>
              </w:rPr>
              <w:t>£27,636</w:t>
            </w:r>
          </w:p>
        </w:tc>
        <w:tc>
          <w:tcPr>
            <w:tcW w:w="0" w:type="auto"/>
            <w:noWrap/>
            <w:vAlign w:val="center"/>
            <w:hideMark/>
          </w:tcPr>
          <w:p w14:paraId="08B76D8C" w14:textId="77777777" w:rsidR="00FB077C" w:rsidRPr="000B4E2C" w:rsidRDefault="00FB077C" w:rsidP="000B4E2C">
            <w:pPr>
              <w:rPr>
                <w:sz w:val="22"/>
              </w:rPr>
            </w:pPr>
            <w:r w:rsidRPr="000B4E2C">
              <w:rPr>
                <w:sz w:val="22"/>
              </w:rPr>
              <w:t>£329.84</w:t>
            </w:r>
          </w:p>
        </w:tc>
        <w:tc>
          <w:tcPr>
            <w:tcW w:w="0" w:type="auto"/>
            <w:noWrap/>
            <w:vAlign w:val="center"/>
            <w:hideMark/>
          </w:tcPr>
          <w:p w14:paraId="7FF240BD" w14:textId="77777777" w:rsidR="00FB077C" w:rsidRPr="000B4E2C" w:rsidRDefault="00FB077C" w:rsidP="000B4E2C">
            <w:pPr>
              <w:rPr>
                <w:sz w:val="22"/>
              </w:rPr>
            </w:pPr>
            <w:r w:rsidRPr="000B4E2C">
              <w:rPr>
                <w:sz w:val="22"/>
              </w:rPr>
              <w:t>Gamma</w:t>
            </w:r>
          </w:p>
        </w:tc>
        <w:tc>
          <w:tcPr>
            <w:tcW w:w="0" w:type="auto"/>
            <w:noWrap/>
            <w:vAlign w:val="center"/>
            <w:hideMark/>
          </w:tcPr>
          <w:p w14:paraId="0BAA8B4C" w14:textId="2B464ADA" w:rsidR="00FB077C" w:rsidRPr="000B4E2C" w:rsidRDefault="00FB077C" w:rsidP="000B4E2C">
            <w:pPr>
              <w:rPr>
                <w:sz w:val="22"/>
              </w:rPr>
            </w:pPr>
            <w:r w:rsidRPr="000B4E2C">
              <w:rPr>
                <w:sz w:val="22"/>
                <w:lang w:val="da-DK"/>
              </w:rPr>
              <w:t>Kent</w:t>
            </w:r>
            <w:r w:rsidRPr="000B4E2C">
              <w:rPr>
                <w:i/>
                <w:color w:val="00B0F0"/>
                <w:sz w:val="22"/>
                <w:lang w:val="da-DK"/>
              </w:rPr>
              <w:t xml:space="preserve"> et al</w:t>
            </w:r>
            <w:r w:rsidRPr="000B4E2C">
              <w:rPr>
                <w:sz w:val="22"/>
                <w:lang w:val="da-DK"/>
              </w:rPr>
              <w:t>. 2015</w:t>
            </w:r>
            <w:r w:rsidR="00280A97" w:rsidRPr="000B4E2C">
              <w:rPr>
                <w:noProof/>
                <w:sz w:val="22"/>
                <w:vertAlign w:val="superscript"/>
                <w:lang w:val="da-DK"/>
              </w:rPr>
              <w:t>115</w:t>
            </w:r>
          </w:p>
        </w:tc>
      </w:tr>
      <w:tr w:rsidR="00FB077C" w:rsidRPr="000B4E2C" w14:paraId="1EBAB39D" w14:textId="77777777" w:rsidTr="000B4E2C">
        <w:trPr>
          <w:cantSplit/>
        </w:trPr>
        <w:tc>
          <w:tcPr>
            <w:tcW w:w="0" w:type="auto"/>
            <w:noWrap/>
            <w:vAlign w:val="center"/>
            <w:hideMark/>
          </w:tcPr>
          <w:p w14:paraId="4F4FFE2D" w14:textId="77777777" w:rsidR="00FB077C" w:rsidRPr="000B4E2C" w:rsidRDefault="00FB077C" w:rsidP="000B4E2C">
            <w:pPr>
              <w:rPr>
                <w:bCs/>
                <w:sz w:val="22"/>
              </w:rPr>
            </w:pPr>
            <w:r w:rsidRPr="000B4E2C">
              <w:rPr>
                <w:sz w:val="22"/>
              </w:rPr>
              <w:t xml:space="preserve">Transplant </w:t>
            </w:r>
            <w:r w:rsidRPr="000B4E2C">
              <w:rPr>
                <w:sz w:val="22"/>
                <w:highlight w:val="magenta"/>
              </w:rPr>
              <w:t>follow up</w:t>
            </w:r>
          </w:p>
        </w:tc>
        <w:tc>
          <w:tcPr>
            <w:tcW w:w="0" w:type="auto"/>
            <w:noWrap/>
            <w:vAlign w:val="center"/>
            <w:hideMark/>
          </w:tcPr>
          <w:p w14:paraId="4AD6F138" w14:textId="77777777" w:rsidR="00FB077C" w:rsidRPr="000B4E2C" w:rsidRDefault="00FB077C" w:rsidP="000B4E2C">
            <w:pPr>
              <w:rPr>
                <w:sz w:val="22"/>
              </w:rPr>
            </w:pPr>
            <w:r w:rsidRPr="000B4E2C">
              <w:rPr>
                <w:sz w:val="22"/>
              </w:rPr>
              <w:t>£1,290</w:t>
            </w:r>
          </w:p>
        </w:tc>
        <w:tc>
          <w:tcPr>
            <w:tcW w:w="0" w:type="auto"/>
            <w:noWrap/>
            <w:vAlign w:val="center"/>
            <w:hideMark/>
          </w:tcPr>
          <w:p w14:paraId="32F0C843" w14:textId="77777777" w:rsidR="00FB077C" w:rsidRPr="000B4E2C" w:rsidRDefault="00FB077C" w:rsidP="000B4E2C">
            <w:pPr>
              <w:rPr>
                <w:sz w:val="22"/>
              </w:rPr>
            </w:pPr>
            <w:r w:rsidRPr="000B4E2C">
              <w:rPr>
                <w:sz w:val="22"/>
              </w:rPr>
              <w:t>£97.43</w:t>
            </w:r>
          </w:p>
        </w:tc>
        <w:tc>
          <w:tcPr>
            <w:tcW w:w="0" w:type="auto"/>
            <w:noWrap/>
            <w:vAlign w:val="center"/>
            <w:hideMark/>
          </w:tcPr>
          <w:p w14:paraId="5A3F80CA" w14:textId="77777777" w:rsidR="00FB077C" w:rsidRPr="000B4E2C" w:rsidRDefault="00FB077C" w:rsidP="000B4E2C">
            <w:pPr>
              <w:rPr>
                <w:sz w:val="22"/>
              </w:rPr>
            </w:pPr>
            <w:r w:rsidRPr="000B4E2C">
              <w:rPr>
                <w:sz w:val="22"/>
              </w:rPr>
              <w:t>Gamma</w:t>
            </w:r>
          </w:p>
        </w:tc>
        <w:tc>
          <w:tcPr>
            <w:tcW w:w="0" w:type="auto"/>
            <w:noWrap/>
            <w:vAlign w:val="center"/>
            <w:hideMark/>
          </w:tcPr>
          <w:p w14:paraId="513CA60A" w14:textId="16424831" w:rsidR="00FB077C" w:rsidRPr="000B4E2C" w:rsidRDefault="00FB077C" w:rsidP="000B4E2C">
            <w:pPr>
              <w:rPr>
                <w:sz w:val="22"/>
              </w:rPr>
            </w:pPr>
            <w:r w:rsidRPr="000B4E2C">
              <w:rPr>
                <w:sz w:val="22"/>
                <w:lang w:val="da-DK"/>
              </w:rPr>
              <w:t>Kent</w:t>
            </w:r>
            <w:r w:rsidRPr="000B4E2C">
              <w:rPr>
                <w:i/>
                <w:color w:val="00B0F0"/>
                <w:sz w:val="22"/>
                <w:lang w:val="da-DK"/>
              </w:rPr>
              <w:t xml:space="preserve"> et al</w:t>
            </w:r>
            <w:r w:rsidRPr="000B4E2C">
              <w:rPr>
                <w:sz w:val="22"/>
                <w:lang w:val="da-DK"/>
              </w:rPr>
              <w:t>. 2015</w:t>
            </w:r>
            <w:r w:rsidR="00280A97" w:rsidRPr="000B4E2C">
              <w:rPr>
                <w:noProof/>
                <w:sz w:val="22"/>
                <w:vertAlign w:val="superscript"/>
                <w:lang w:val="da-DK"/>
              </w:rPr>
              <w:t>115</w:t>
            </w:r>
          </w:p>
        </w:tc>
      </w:tr>
      <w:tr w:rsidR="00FB077C" w:rsidRPr="000B4E2C" w14:paraId="2F4A8DF5" w14:textId="77777777" w:rsidTr="000B4E2C">
        <w:trPr>
          <w:cantSplit/>
        </w:trPr>
        <w:tc>
          <w:tcPr>
            <w:tcW w:w="0" w:type="auto"/>
            <w:gridSpan w:val="5"/>
            <w:noWrap/>
            <w:vAlign w:val="center"/>
          </w:tcPr>
          <w:p w14:paraId="2ECDFC08" w14:textId="17379B46" w:rsidR="00FB077C" w:rsidRPr="000B4E2C" w:rsidRDefault="00FB077C" w:rsidP="000B4E2C">
            <w:pPr>
              <w:rPr>
                <w:i/>
                <w:sz w:val="22"/>
                <w:lang w:val="da-DK"/>
              </w:rPr>
            </w:pPr>
            <w:r w:rsidRPr="000B4E2C">
              <w:rPr>
                <w:i/>
                <w:sz w:val="22"/>
                <w:lang w:val="da-DK"/>
              </w:rPr>
              <w:t>Additional medication costs applied to health states</w:t>
            </w:r>
          </w:p>
        </w:tc>
      </w:tr>
      <w:tr w:rsidR="00FB077C" w:rsidRPr="000B4E2C" w14:paraId="286A9C4A" w14:textId="77777777" w:rsidTr="000B4E2C">
        <w:trPr>
          <w:cantSplit/>
        </w:trPr>
        <w:tc>
          <w:tcPr>
            <w:tcW w:w="0" w:type="auto"/>
            <w:noWrap/>
            <w:vAlign w:val="center"/>
            <w:hideMark/>
          </w:tcPr>
          <w:p w14:paraId="7B8949AD" w14:textId="77777777" w:rsidR="00FB077C" w:rsidRPr="000B4E2C" w:rsidRDefault="00FB077C" w:rsidP="000B4E2C">
            <w:pPr>
              <w:rPr>
                <w:bCs/>
                <w:sz w:val="22"/>
              </w:rPr>
            </w:pPr>
            <w:r w:rsidRPr="000B4E2C">
              <w:rPr>
                <w:sz w:val="22"/>
              </w:rPr>
              <w:t>ESRD year 1 (with dialysis)</w:t>
            </w:r>
          </w:p>
        </w:tc>
        <w:tc>
          <w:tcPr>
            <w:tcW w:w="0" w:type="auto"/>
            <w:noWrap/>
            <w:vAlign w:val="center"/>
            <w:hideMark/>
          </w:tcPr>
          <w:p w14:paraId="5CDC622A" w14:textId="7E8E40C2" w:rsidR="00FB077C" w:rsidRPr="000B4E2C" w:rsidRDefault="00FB077C" w:rsidP="000B4E2C">
            <w:pPr>
              <w:rPr>
                <w:sz w:val="22"/>
              </w:rPr>
            </w:pPr>
            <w:r w:rsidRPr="000B4E2C">
              <w:rPr>
                <w:sz w:val="22"/>
              </w:rPr>
              <w:t>£2,601</w:t>
            </w:r>
            <w:r w:rsidRPr="000B4E2C">
              <w:rPr>
                <w:sz w:val="22"/>
                <w:vertAlign w:val="superscript"/>
              </w:rPr>
              <w:t>F</w:t>
            </w:r>
          </w:p>
        </w:tc>
        <w:tc>
          <w:tcPr>
            <w:tcW w:w="0" w:type="auto"/>
            <w:noWrap/>
            <w:vAlign w:val="center"/>
            <w:hideMark/>
          </w:tcPr>
          <w:p w14:paraId="0DAEC9E4" w14:textId="77777777" w:rsidR="00FB077C" w:rsidRPr="000B4E2C" w:rsidRDefault="00FB077C" w:rsidP="000B4E2C">
            <w:pPr>
              <w:rPr>
                <w:sz w:val="22"/>
              </w:rPr>
            </w:pPr>
            <w:r w:rsidRPr="000B4E2C">
              <w:rPr>
                <w:sz w:val="22"/>
              </w:rPr>
              <w:t>--</w:t>
            </w:r>
          </w:p>
        </w:tc>
        <w:tc>
          <w:tcPr>
            <w:tcW w:w="0" w:type="auto"/>
            <w:noWrap/>
            <w:vAlign w:val="center"/>
            <w:hideMark/>
          </w:tcPr>
          <w:p w14:paraId="0583E123" w14:textId="77777777" w:rsidR="00FB077C" w:rsidRPr="000B4E2C" w:rsidRDefault="00FB077C" w:rsidP="000B4E2C">
            <w:pPr>
              <w:rPr>
                <w:sz w:val="22"/>
              </w:rPr>
            </w:pPr>
            <w:r w:rsidRPr="000B4E2C">
              <w:rPr>
                <w:sz w:val="22"/>
              </w:rPr>
              <w:t>Applied Deterministically</w:t>
            </w:r>
          </w:p>
        </w:tc>
        <w:tc>
          <w:tcPr>
            <w:tcW w:w="0" w:type="auto"/>
            <w:noWrap/>
            <w:vAlign w:val="center"/>
            <w:hideMark/>
          </w:tcPr>
          <w:p w14:paraId="2F609CC2" w14:textId="75B8B302" w:rsidR="00FB077C" w:rsidRPr="000B4E2C" w:rsidRDefault="00FB077C" w:rsidP="000B4E2C">
            <w:pPr>
              <w:rPr>
                <w:sz w:val="22"/>
              </w:rPr>
            </w:pPr>
            <w:r w:rsidRPr="000B4E2C">
              <w:rPr>
                <w:sz w:val="22"/>
                <w:lang w:val="da-DK"/>
              </w:rPr>
              <w:t>NICE Guidance 2015</w:t>
            </w:r>
            <w:r w:rsidR="00280A97" w:rsidRPr="000B4E2C">
              <w:rPr>
                <w:noProof/>
                <w:sz w:val="22"/>
                <w:vertAlign w:val="superscript"/>
                <w:lang w:val="da-DK"/>
              </w:rPr>
              <w:t>125</w:t>
            </w:r>
            <w:r w:rsidRPr="000B4E2C">
              <w:rPr>
                <w:sz w:val="22"/>
                <w:lang w:val="da-DK"/>
              </w:rPr>
              <w:t xml:space="preserve"> and BNF 2019</w:t>
            </w:r>
            <w:r w:rsidRPr="000B4E2C">
              <w:rPr>
                <w:noProof/>
                <w:sz w:val="22"/>
                <w:vertAlign w:val="superscript"/>
                <w:lang w:val="da-DK"/>
              </w:rPr>
              <w:t>126</w:t>
            </w:r>
          </w:p>
        </w:tc>
      </w:tr>
      <w:tr w:rsidR="00FB077C" w:rsidRPr="000B4E2C" w14:paraId="635E8057" w14:textId="77777777" w:rsidTr="000B4E2C">
        <w:trPr>
          <w:cantSplit/>
        </w:trPr>
        <w:tc>
          <w:tcPr>
            <w:tcW w:w="0" w:type="auto"/>
            <w:noWrap/>
            <w:vAlign w:val="center"/>
            <w:hideMark/>
          </w:tcPr>
          <w:p w14:paraId="1CFA863F" w14:textId="77777777" w:rsidR="00FB077C" w:rsidRPr="000B4E2C" w:rsidRDefault="00FB077C" w:rsidP="000B4E2C">
            <w:pPr>
              <w:rPr>
                <w:bCs/>
                <w:sz w:val="22"/>
              </w:rPr>
            </w:pPr>
            <w:r w:rsidRPr="000B4E2C">
              <w:rPr>
                <w:sz w:val="22"/>
              </w:rPr>
              <w:t>ESRD year 2 onwards (with dialysis)</w:t>
            </w:r>
          </w:p>
        </w:tc>
        <w:tc>
          <w:tcPr>
            <w:tcW w:w="0" w:type="auto"/>
            <w:noWrap/>
            <w:vAlign w:val="center"/>
            <w:hideMark/>
          </w:tcPr>
          <w:p w14:paraId="51FCDDAD" w14:textId="5A91E0FB" w:rsidR="00FB077C" w:rsidRPr="000B4E2C" w:rsidRDefault="00FB077C" w:rsidP="000B4E2C">
            <w:pPr>
              <w:rPr>
                <w:sz w:val="22"/>
              </w:rPr>
            </w:pPr>
            <w:r w:rsidRPr="000B4E2C">
              <w:rPr>
                <w:sz w:val="22"/>
              </w:rPr>
              <w:t>£2,601</w:t>
            </w:r>
            <w:r w:rsidRPr="000B4E2C">
              <w:rPr>
                <w:sz w:val="22"/>
                <w:vertAlign w:val="superscript"/>
              </w:rPr>
              <w:t>F</w:t>
            </w:r>
          </w:p>
        </w:tc>
        <w:tc>
          <w:tcPr>
            <w:tcW w:w="0" w:type="auto"/>
            <w:noWrap/>
            <w:vAlign w:val="center"/>
            <w:hideMark/>
          </w:tcPr>
          <w:p w14:paraId="6CD117ED" w14:textId="77777777" w:rsidR="00FB077C" w:rsidRPr="000B4E2C" w:rsidRDefault="00FB077C" w:rsidP="000B4E2C">
            <w:pPr>
              <w:rPr>
                <w:sz w:val="22"/>
              </w:rPr>
            </w:pPr>
            <w:r w:rsidRPr="000B4E2C">
              <w:rPr>
                <w:sz w:val="22"/>
              </w:rPr>
              <w:t>--</w:t>
            </w:r>
          </w:p>
        </w:tc>
        <w:tc>
          <w:tcPr>
            <w:tcW w:w="0" w:type="auto"/>
            <w:noWrap/>
            <w:vAlign w:val="center"/>
            <w:hideMark/>
          </w:tcPr>
          <w:p w14:paraId="2C8FD663" w14:textId="77777777" w:rsidR="00FB077C" w:rsidRPr="000B4E2C" w:rsidRDefault="00FB077C" w:rsidP="000B4E2C">
            <w:pPr>
              <w:rPr>
                <w:sz w:val="22"/>
              </w:rPr>
            </w:pPr>
            <w:r w:rsidRPr="000B4E2C">
              <w:rPr>
                <w:sz w:val="22"/>
              </w:rPr>
              <w:t>Applied Deterministically</w:t>
            </w:r>
          </w:p>
        </w:tc>
        <w:tc>
          <w:tcPr>
            <w:tcW w:w="0" w:type="auto"/>
            <w:noWrap/>
            <w:vAlign w:val="center"/>
            <w:hideMark/>
          </w:tcPr>
          <w:p w14:paraId="25204E09" w14:textId="015B874F" w:rsidR="00FB077C" w:rsidRPr="000B4E2C" w:rsidRDefault="00FB077C" w:rsidP="000B4E2C">
            <w:pPr>
              <w:rPr>
                <w:sz w:val="22"/>
              </w:rPr>
            </w:pPr>
            <w:r w:rsidRPr="000B4E2C">
              <w:rPr>
                <w:sz w:val="22"/>
                <w:lang w:val="da-DK"/>
              </w:rPr>
              <w:t>NICE Guidance 2015</w:t>
            </w:r>
            <w:r w:rsidR="00280A97" w:rsidRPr="000B4E2C">
              <w:rPr>
                <w:noProof/>
                <w:sz w:val="22"/>
                <w:vertAlign w:val="superscript"/>
                <w:lang w:val="da-DK"/>
              </w:rPr>
              <w:t>125</w:t>
            </w:r>
            <w:r w:rsidRPr="000B4E2C">
              <w:rPr>
                <w:sz w:val="22"/>
                <w:lang w:val="da-DK"/>
              </w:rPr>
              <w:t xml:space="preserve"> and BNF 2019</w:t>
            </w:r>
            <w:r w:rsidRPr="000B4E2C">
              <w:rPr>
                <w:noProof/>
                <w:sz w:val="22"/>
                <w:vertAlign w:val="superscript"/>
                <w:lang w:val="da-DK"/>
              </w:rPr>
              <w:t>126</w:t>
            </w:r>
          </w:p>
        </w:tc>
      </w:tr>
      <w:tr w:rsidR="00FB077C" w:rsidRPr="000B4E2C" w14:paraId="7A8B19A6" w14:textId="77777777" w:rsidTr="000B4E2C">
        <w:trPr>
          <w:cantSplit/>
        </w:trPr>
        <w:tc>
          <w:tcPr>
            <w:tcW w:w="0" w:type="auto"/>
            <w:noWrap/>
            <w:vAlign w:val="center"/>
            <w:hideMark/>
          </w:tcPr>
          <w:p w14:paraId="3B6E77FA" w14:textId="77777777" w:rsidR="00FB077C" w:rsidRPr="000B4E2C" w:rsidRDefault="00FB077C" w:rsidP="000B4E2C">
            <w:pPr>
              <w:rPr>
                <w:bCs/>
                <w:sz w:val="22"/>
              </w:rPr>
            </w:pPr>
            <w:r w:rsidRPr="000B4E2C">
              <w:rPr>
                <w:sz w:val="22"/>
              </w:rPr>
              <w:t>Functioning transplant year 1</w:t>
            </w:r>
          </w:p>
        </w:tc>
        <w:tc>
          <w:tcPr>
            <w:tcW w:w="0" w:type="auto"/>
            <w:noWrap/>
            <w:vAlign w:val="center"/>
            <w:hideMark/>
          </w:tcPr>
          <w:p w14:paraId="17FD7AA7" w14:textId="77777777" w:rsidR="00FB077C" w:rsidRPr="000B4E2C" w:rsidRDefault="00FB077C" w:rsidP="000B4E2C">
            <w:pPr>
              <w:rPr>
                <w:sz w:val="22"/>
              </w:rPr>
            </w:pPr>
            <w:r w:rsidRPr="000B4E2C">
              <w:rPr>
                <w:sz w:val="22"/>
              </w:rPr>
              <w:t>£10,623</w:t>
            </w:r>
          </w:p>
        </w:tc>
        <w:tc>
          <w:tcPr>
            <w:tcW w:w="0" w:type="auto"/>
            <w:noWrap/>
            <w:vAlign w:val="center"/>
            <w:hideMark/>
          </w:tcPr>
          <w:p w14:paraId="7257216C" w14:textId="77777777" w:rsidR="00FB077C" w:rsidRPr="000B4E2C" w:rsidRDefault="00FB077C" w:rsidP="000B4E2C">
            <w:pPr>
              <w:rPr>
                <w:sz w:val="22"/>
              </w:rPr>
            </w:pPr>
            <w:r w:rsidRPr="000B4E2C">
              <w:rPr>
                <w:sz w:val="22"/>
              </w:rPr>
              <w:t>--</w:t>
            </w:r>
          </w:p>
        </w:tc>
        <w:tc>
          <w:tcPr>
            <w:tcW w:w="0" w:type="auto"/>
            <w:noWrap/>
            <w:vAlign w:val="center"/>
            <w:hideMark/>
          </w:tcPr>
          <w:p w14:paraId="13AA1463" w14:textId="77777777" w:rsidR="00FB077C" w:rsidRPr="000B4E2C" w:rsidRDefault="00FB077C" w:rsidP="000B4E2C">
            <w:pPr>
              <w:rPr>
                <w:sz w:val="22"/>
              </w:rPr>
            </w:pPr>
            <w:r w:rsidRPr="000B4E2C">
              <w:rPr>
                <w:sz w:val="22"/>
              </w:rPr>
              <w:t>Applied Deterministically</w:t>
            </w:r>
          </w:p>
        </w:tc>
        <w:tc>
          <w:tcPr>
            <w:tcW w:w="0" w:type="auto"/>
            <w:noWrap/>
            <w:vAlign w:val="center"/>
            <w:hideMark/>
          </w:tcPr>
          <w:p w14:paraId="7EDCE005" w14:textId="05CAC1F2" w:rsidR="00FB077C" w:rsidRPr="000B4E2C" w:rsidRDefault="00FB077C" w:rsidP="000B4E2C">
            <w:pPr>
              <w:rPr>
                <w:sz w:val="22"/>
              </w:rPr>
            </w:pPr>
            <w:r w:rsidRPr="000B4E2C">
              <w:rPr>
                <w:sz w:val="22"/>
                <w:lang w:val="da-DK"/>
              </w:rPr>
              <w:t>NICE Guidance 2015</w:t>
            </w:r>
            <w:r w:rsidR="00280A97" w:rsidRPr="000B4E2C">
              <w:rPr>
                <w:noProof/>
                <w:sz w:val="22"/>
                <w:vertAlign w:val="superscript"/>
                <w:lang w:val="da-DK"/>
              </w:rPr>
              <w:t>125</w:t>
            </w:r>
            <w:r w:rsidRPr="000B4E2C">
              <w:rPr>
                <w:sz w:val="22"/>
                <w:lang w:val="da-DK"/>
              </w:rPr>
              <w:t xml:space="preserve"> and BNF 2019</w:t>
            </w:r>
            <w:r w:rsidRPr="000B4E2C">
              <w:rPr>
                <w:noProof/>
                <w:sz w:val="22"/>
                <w:vertAlign w:val="superscript"/>
                <w:lang w:val="da-DK"/>
              </w:rPr>
              <w:t>126</w:t>
            </w:r>
          </w:p>
        </w:tc>
      </w:tr>
      <w:tr w:rsidR="00FB077C" w:rsidRPr="000B4E2C" w14:paraId="058FC8CA" w14:textId="77777777" w:rsidTr="000B4E2C">
        <w:trPr>
          <w:cantSplit/>
        </w:trPr>
        <w:tc>
          <w:tcPr>
            <w:tcW w:w="0" w:type="auto"/>
            <w:noWrap/>
            <w:vAlign w:val="center"/>
            <w:hideMark/>
          </w:tcPr>
          <w:p w14:paraId="4563DCA1" w14:textId="77777777" w:rsidR="00FB077C" w:rsidRPr="000B4E2C" w:rsidRDefault="00FB077C" w:rsidP="000B4E2C">
            <w:pPr>
              <w:rPr>
                <w:bCs/>
                <w:sz w:val="22"/>
              </w:rPr>
            </w:pPr>
            <w:r w:rsidRPr="000B4E2C">
              <w:rPr>
                <w:sz w:val="22"/>
              </w:rPr>
              <w:t xml:space="preserve">Transplant </w:t>
            </w:r>
            <w:r w:rsidRPr="000B4E2C">
              <w:rPr>
                <w:sz w:val="22"/>
                <w:highlight w:val="magenta"/>
              </w:rPr>
              <w:t>follow up</w:t>
            </w:r>
          </w:p>
        </w:tc>
        <w:tc>
          <w:tcPr>
            <w:tcW w:w="0" w:type="auto"/>
            <w:noWrap/>
            <w:vAlign w:val="center"/>
            <w:hideMark/>
          </w:tcPr>
          <w:p w14:paraId="2313F8E9" w14:textId="77777777" w:rsidR="00FB077C" w:rsidRPr="000B4E2C" w:rsidRDefault="00FB077C" w:rsidP="000B4E2C">
            <w:pPr>
              <w:rPr>
                <w:sz w:val="22"/>
              </w:rPr>
            </w:pPr>
            <w:r w:rsidRPr="000B4E2C">
              <w:rPr>
                <w:sz w:val="22"/>
              </w:rPr>
              <w:t>£9,063</w:t>
            </w:r>
          </w:p>
        </w:tc>
        <w:tc>
          <w:tcPr>
            <w:tcW w:w="0" w:type="auto"/>
            <w:noWrap/>
            <w:vAlign w:val="center"/>
            <w:hideMark/>
          </w:tcPr>
          <w:p w14:paraId="5040D61D" w14:textId="77777777" w:rsidR="00FB077C" w:rsidRPr="000B4E2C" w:rsidRDefault="00FB077C" w:rsidP="000B4E2C">
            <w:pPr>
              <w:rPr>
                <w:sz w:val="22"/>
              </w:rPr>
            </w:pPr>
            <w:r w:rsidRPr="000B4E2C">
              <w:rPr>
                <w:sz w:val="22"/>
              </w:rPr>
              <w:t>--</w:t>
            </w:r>
          </w:p>
        </w:tc>
        <w:tc>
          <w:tcPr>
            <w:tcW w:w="0" w:type="auto"/>
            <w:noWrap/>
            <w:vAlign w:val="center"/>
            <w:hideMark/>
          </w:tcPr>
          <w:p w14:paraId="6262FDB6" w14:textId="77777777" w:rsidR="00FB077C" w:rsidRPr="000B4E2C" w:rsidRDefault="00FB077C" w:rsidP="000B4E2C">
            <w:pPr>
              <w:rPr>
                <w:sz w:val="22"/>
              </w:rPr>
            </w:pPr>
            <w:r w:rsidRPr="000B4E2C">
              <w:rPr>
                <w:sz w:val="22"/>
              </w:rPr>
              <w:t>Applied Deterministically</w:t>
            </w:r>
          </w:p>
        </w:tc>
        <w:tc>
          <w:tcPr>
            <w:tcW w:w="0" w:type="auto"/>
            <w:noWrap/>
            <w:vAlign w:val="center"/>
            <w:hideMark/>
          </w:tcPr>
          <w:p w14:paraId="0AAC0D88" w14:textId="44C88E25" w:rsidR="00FB077C" w:rsidRPr="000B4E2C" w:rsidRDefault="00FB077C" w:rsidP="000B4E2C">
            <w:pPr>
              <w:rPr>
                <w:sz w:val="22"/>
              </w:rPr>
            </w:pPr>
            <w:r w:rsidRPr="000B4E2C">
              <w:rPr>
                <w:sz w:val="22"/>
                <w:lang w:val="da-DK"/>
              </w:rPr>
              <w:t>NICE Guidance 2015</w:t>
            </w:r>
            <w:r w:rsidR="00280A97" w:rsidRPr="000B4E2C">
              <w:rPr>
                <w:noProof/>
                <w:sz w:val="22"/>
                <w:vertAlign w:val="superscript"/>
                <w:lang w:val="da-DK"/>
              </w:rPr>
              <w:t>125</w:t>
            </w:r>
            <w:r w:rsidRPr="000B4E2C">
              <w:rPr>
                <w:sz w:val="22"/>
                <w:lang w:val="da-DK"/>
              </w:rPr>
              <w:t xml:space="preserve"> and BNF 2019</w:t>
            </w:r>
            <w:r w:rsidRPr="000B4E2C">
              <w:rPr>
                <w:noProof/>
                <w:sz w:val="22"/>
                <w:vertAlign w:val="superscript"/>
                <w:lang w:val="da-DK"/>
              </w:rPr>
              <w:t>126</w:t>
            </w:r>
          </w:p>
        </w:tc>
      </w:tr>
    </w:tbl>
    <w:p w14:paraId="475F63F1" w14:textId="3BFB4AF7" w:rsidR="002F0133" w:rsidRPr="000B4E2C" w:rsidRDefault="00FB077C" w:rsidP="007D5F15">
      <w:r w:rsidRPr="000B4E2C">
        <w:rPr>
          <w:b/>
        </w:rPr>
        <w:t>Abbreviations:</w:t>
      </w:r>
      <w:r w:rsidR="000B4E2C" w:rsidRPr="000B4E2C">
        <w:rPr>
          <w:b/>
        </w:rPr>
        <w:t xml:space="preserve"> </w:t>
      </w:r>
      <w:r w:rsidRPr="000B4E2C">
        <w:t xml:space="preserve">AKI: Acute Kidney Injury; BNF: </w:t>
      </w:r>
      <w:r w:rsidRPr="000B4E2C">
        <w:rPr>
          <w:i/>
          <w:color w:val="00B0F0"/>
        </w:rPr>
        <w:t>British National Formulary;</w:t>
      </w:r>
      <w:r w:rsidRPr="000B4E2C">
        <w:t xml:space="preserve"> CKD: Chronic Kidney Disease; ESRD: End Stage Renal Disease; HD: Haemodialysis; ICU: Intensive Care Unit; NHS: National Health Service; NICE: National Institute for health and Care Excellence; RRT: Renal Replacement Therapy; SD: Standard Deviation</w:t>
      </w:r>
    </w:p>
    <w:p w14:paraId="6F5FAD54" w14:textId="77777777" w:rsidR="000B4E2C" w:rsidRPr="000B4E2C" w:rsidRDefault="00FB077C" w:rsidP="00FB077C">
      <w:r w:rsidRPr="000B4E2C">
        <w:rPr>
          <w:vertAlign w:val="superscript"/>
        </w:rPr>
        <w:t>A</w:t>
      </w:r>
      <w:r w:rsidRPr="000B4E2C">
        <w:t xml:space="preserve"> Note that it has been necessary to obtain standard errors from older </w:t>
      </w:r>
      <w:r w:rsidRPr="000B4E2C">
        <w:rPr>
          <w:highlight w:val="magenta"/>
        </w:rPr>
        <w:t>data</w:t>
      </w:r>
      <w:r w:rsidRPr="000B4E2C">
        <w:t xml:space="preserve"> as variability in costs are not reported in the 17/18 NHS reference costs; Standard errors calculated as SD</w:t>
      </w:r>
      <w:r w:rsidR="000B4E2C" w:rsidRPr="000B4E2C">
        <w:rPr>
          <w:color w:val="00B0F0"/>
        </w:rPr>
        <w:t>/</w:t>
      </w:r>
      <w:r w:rsidRPr="000B4E2C">
        <w:t>sqrt (N);</w:t>
      </w:r>
    </w:p>
    <w:p w14:paraId="7AB97EC3" w14:textId="77777777" w:rsidR="000B4E2C" w:rsidRPr="000B4E2C" w:rsidRDefault="00FB077C" w:rsidP="00FB077C">
      <w:r w:rsidRPr="000B4E2C">
        <w:rPr>
          <w:vertAlign w:val="superscript"/>
        </w:rPr>
        <w:t>B</w:t>
      </w:r>
      <w:r w:rsidRPr="000B4E2C">
        <w:t xml:space="preserve"> Applied in sensitivity analysis as an additional cost over and above the ward</w:t>
      </w:r>
      <w:r w:rsidR="000B4E2C" w:rsidRPr="000B4E2C">
        <w:rPr>
          <w:color w:val="00B0F0"/>
        </w:rPr>
        <w:t>/</w:t>
      </w:r>
      <w:r w:rsidRPr="000B4E2C">
        <w:t>ICU daily cost;</w:t>
      </w:r>
    </w:p>
    <w:p w14:paraId="4E34BE7C" w14:textId="6F9DCAA7" w:rsidR="00FB077C" w:rsidRPr="000B4E2C" w:rsidRDefault="00FB077C" w:rsidP="00FB077C">
      <w:r w:rsidRPr="000B4E2C">
        <w:rPr>
          <w:vertAlign w:val="superscript"/>
        </w:rPr>
        <w:lastRenderedPageBreak/>
        <w:t>C</w:t>
      </w:r>
      <w:r w:rsidRPr="000B4E2C">
        <w:t xml:space="preserve"> Assumed 3 sessions per week for intermittent HD and 1 session per day for continuous HD. Per day cost calculated as (cost per session x proportion on intermittent HD x 3 days per week) + (cost per session x proportion on continuous HD x daily)</w:t>
      </w:r>
      <w:r w:rsidR="000B4E2C" w:rsidRPr="000B4E2C">
        <w:rPr>
          <w:color w:val="00B0F0"/>
        </w:rPr>
        <w:t> = </w:t>
      </w:r>
      <w:r w:rsidRPr="000B4E2C">
        <w:t>(£271 x 0.48 x 3/7) + (£271 x 0.52 x 1)</w:t>
      </w:r>
      <w:r w:rsidR="000B4E2C" w:rsidRPr="000B4E2C">
        <w:rPr>
          <w:color w:val="00B0F0"/>
        </w:rPr>
        <w:t> = </w:t>
      </w:r>
      <w:r w:rsidRPr="000B4E2C">
        <w:t>£196.67 per day on average.</w:t>
      </w:r>
    </w:p>
    <w:p w14:paraId="08052040" w14:textId="1B2D9046" w:rsidR="00FB077C" w:rsidRPr="000B4E2C" w:rsidRDefault="00FB077C" w:rsidP="00FB077C">
      <w:r w:rsidRPr="000B4E2C">
        <w:rPr>
          <w:vertAlign w:val="superscript"/>
        </w:rPr>
        <w:t xml:space="preserve">D </w:t>
      </w:r>
      <w:r w:rsidRPr="000B4E2C">
        <w:t>Note that the base case analysis applies the average of ICU and hospital, with differential costs applied as a sensitivity analysis to the proportion who require ICU care and hospital care in the initial 90-day phase</w:t>
      </w:r>
    </w:p>
    <w:p w14:paraId="28EE04CB" w14:textId="144AF7A9" w:rsidR="00FB077C" w:rsidRPr="000B4E2C" w:rsidRDefault="00FB077C" w:rsidP="00FB077C">
      <w:r w:rsidRPr="000B4E2C">
        <w:rPr>
          <w:vertAlign w:val="superscript"/>
        </w:rPr>
        <w:t>E</w:t>
      </w:r>
      <w:r w:rsidRPr="000B4E2C">
        <w:t xml:space="preserve"> ESRD reported as CKD stage 5 in Kent</w:t>
      </w:r>
      <w:r w:rsidRPr="000B4E2C">
        <w:rPr>
          <w:i/>
          <w:color w:val="00B0F0"/>
        </w:rPr>
        <w:t xml:space="preserve"> et al</w:t>
      </w:r>
      <w:r w:rsidRPr="000B4E2C">
        <w:t>.</w:t>
      </w:r>
    </w:p>
    <w:p w14:paraId="5F37BD9D" w14:textId="50DEAEF6" w:rsidR="000B4E2C" w:rsidRPr="000B4E2C" w:rsidRDefault="00FB077C" w:rsidP="00FB077C">
      <w:r w:rsidRPr="000B4E2C">
        <w:rPr>
          <w:vertAlign w:val="superscript"/>
        </w:rPr>
        <w:t xml:space="preserve">F </w:t>
      </w:r>
      <w:r w:rsidRPr="000B4E2C">
        <w:t xml:space="preserve">This cost is based on the total annual cost of both ESA medication and BP medication. See calculation in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35</w:t>
      </w:r>
      <w:r w:rsidRPr="000B4E2C">
        <w:t xml:space="preserve"> and </w:t>
      </w:r>
      <w:r w:rsidR="00974851" w:rsidRPr="000B4E2C">
        <w:t>36</w:t>
      </w:r>
      <w:r w:rsidRPr="000B4E2C">
        <w:t xml:space="preserve"> in Appendix 1</w:t>
      </w:r>
      <w:r w:rsidR="00974851" w:rsidRPr="000B4E2C">
        <w:t>5</w:t>
      </w:r>
      <w:r w:rsidRPr="000B4E2C">
        <w:t>.</w:t>
      </w:r>
    </w:p>
    <w:p w14:paraId="67DB8610" w14:textId="783D356E" w:rsidR="002F0133" w:rsidRPr="000B4E2C" w:rsidRDefault="002F0133" w:rsidP="008A7464">
      <w:pPr>
        <w:pStyle w:val="Heading4"/>
      </w:pPr>
      <w:r w:rsidRPr="000B4E2C">
        <w:t>Diagnostic test costs</w:t>
      </w:r>
    </w:p>
    <w:p w14:paraId="4CAF087E" w14:textId="137EDFCA" w:rsidR="000B4E2C" w:rsidRPr="000B4E2C" w:rsidRDefault="002F0133" w:rsidP="008A7464">
      <w:pPr>
        <w:rPr>
          <w:color w:val="000000" w:themeColor="text1"/>
          <w:szCs w:val="24"/>
        </w:rPr>
      </w:pPr>
      <w:r w:rsidRPr="000B4E2C">
        <w:rPr>
          <w:color w:val="000000" w:themeColor="text1"/>
          <w:szCs w:val="24"/>
        </w:rPr>
        <w:t xml:space="preserve">NephroCheck testing is usually conducted on an Astute 140 </w:t>
      </w:r>
      <w:r w:rsidR="000B4E2C" w:rsidRPr="000B4E2C">
        <w:rPr>
          <w:color w:val="00B0F0"/>
          <w:szCs w:val="24"/>
        </w:rPr>
        <w:t>Metre</w:t>
      </w:r>
      <w:r w:rsidRPr="000B4E2C">
        <w:rPr>
          <w:color w:val="000000" w:themeColor="text1"/>
          <w:szCs w:val="24"/>
        </w:rPr>
        <w:t xml:space="preserve">, costing £3000 and an additional </w:t>
      </w:r>
      <w:r w:rsidR="000B4E2C" w:rsidRPr="000B4E2C">
        <w:rPr>
          <w:color w:val="00B0F0"/>
          <w:szCs w:val="24"/>
        </w:rPr>
        <w:t>metre</w:t>
      </w:r>
      <w:r w:rsidRPr="000B4E2C">
        <w:rPr>
          <w:color w:val="000000" w:themeColor="text1"/>
          <w:szCs w:val="24"/>
        </w:rPr>
        <w:t xml:space="preserve"> would need to be purchased. This cost was converted to an annuity, assuming the platform</w:t>
      </w:r>
      <w:r w:rsidR="0072128A" w:rsidRPr="000B4E2C">
        <w:rPr>
          <w:color w:val="00B0F0"/>
          <w:szCs w:val="24"/>
        </w:rPr>
        <w:t>$$SingleQuoteE$$</w:t>
      </w:r>
      <w:r w:rsidRPr="000B4E2C">
        <w:rPr>
          <w:color w:val="000000" w:themeColor="text1"/>
          <w:szCs w:val="24"/>
        </w:rPr>
        <w:t>s lifetime is 5 years, and an annual depreciation rate of 3.5%. The test could also be conducted on a VITROS Immunodiagnostic System</w:t>
      </w:r>
      <w:r w:rsidR="00E932DA" w:rsidRPr="000B4E2C">
        <w:rPr>
          <w:color w:val="000000" w:themeColor="text1"/>
          <w:szCs w:val="24"/>
        </w:rPr>
        <w:t xml:space="preserve">, although currently, there is a limited installed base in </w:t>
      </w:r>
      <w:r w:rsidRPr="000B4E2C">
        <w:rPr>
          <w:color w:val="000000" w:themeColor="text1"/>
          <w:szCs w:val="24"/>
        </w:rPr>
        <w:t>UK hospitals (Hall</w:t>
      </w:r>
      <w:r w:rsidRPr="000B4E2C">
        <w:rPr>
          <w:i/>
          <w:color w:val="00B0F0"/>
          <w:szCs w:val="24"/>
        </w:rPr>
        <w:t xml:space="preserve"> et al</w:t>
      </w:r>
      <w:r w:rsidRPr="000B4E2C">
        <w:rPr>
          <w:color w:val="000000" w:themeColor="text1"/>
          <w:szCs w:val="24"/>
        </w:rPr>
        <w:t xml:space="preserve">. 2016), confirmed at NICE scoping workshop by clinical expert opinion. The NGAL tests would not require a new platform for NGAL only, because it would be performed on platforms already available at the hospital labs. </w:t>
      </w:r>
      <w:r w:rsidR="00BF3662" w:rsidRPr="000B4E2C">
        <w:rPr>
          <w:color w:val="000000" w:themeColor="text1"/>
          <w:szCs w:val="24"/>
        </w:rPr>
        <w:t>C</w:t>
      </w:r>
      <w:r w:rsidRPr="000B4E2C">
        <w:rPr>
          <w:color w:val="000000" w:themeColor="text1"/>
          <w:szCs w:val="24"/>
        </w:rPr>
        <w:t>apital costs of the lab analyser apportioned to each NGAL test are assumed to be negligible. Sensitivity analysis excludes capital and training costs to explore the impact on cost-effectiveness of scenarios where a hospital might already have the required analyser in place and all staff are fully trained in their use.</w:t>
      </w:r>
    </w:p>
    <w:p w14:paraId="10809E32" w14:textId="77777777" w:rsidR="000B4E2C" w:rsidRPr="000B4E2C" w:rsidRDefault="002F0133" w:rsidP="008A7464">
      <w:r w:rsidRPr="000B4E2C">
        <w:t>The process of taking the sample for analysis, sending samples to the lab, processing at the lab and interpretation of test results would require the involvement of several members of the hospital team. Firstly, a urine sample is collected by a nurse, which is thereafter picked up by a porter who takes it to the laboratory. It is assumed that because the tests are classified as urgent samples, a porter would generally prioritise singl</w:t>
      </w:r>
      <w:r w:rsidR="001E605D" w:rsidRPr="000B4E2C">
        <w:t xml:space="preserve">e test collection for the lab. </w:t>
      </w:r>
      <w:r w:rsidRPr="000B4E2C">
        <w:t>A biomedical scientist conducts the diagnostic test in the laboratory. After completion of the test, the results from the lab would be authorised by a biochemist and released for review on the hospital information management system where it can be interpreted by either a nephrologist, intensive care specialist or a junior doctor. The base case analysis assumes an average of the three healthcare professi</w:t>
      </w:r>
      <w:r w:rsidR="001E605D" w:rsidRPr="000B4E2C">
        <w:t xml:space="preserve">onal costs for interpretation. </w:t>
      </w:r>
      <w:r w:rsidRPr="000B4E2C">
        <w:t>Under some criteria (such as very abnormal results) a laboratory team might directly contact the care provider, but we assume this would not b</w:t>
      </w:r>
      <w:r w:rsidR="001E605D" w:rsidRPr="000B4E2C">
        <w:t xml:space="preserve">e the approach used routinely. </w:t>
      </w:r>
      <w:r w:rsidRPr="000B4E2C">
        <w:t xml:space="preserve">For the purposes of test cost calculation, it is assumed that, on average, the role of interpreting the tests is equally split across the </w:t>
      </w:r>
      <w:r w:rsidR="001E605D" w:rsidRPr="000B4E2C">
        <w:t xml:space="preserve">three specialist team members. </w:t>
      </w:r>
      <w:r w:rsidRPr="000B4E2C">
        <w:t xml:space="preserve">The unit costs </w:t>
      </w:r>
      <w:r w:rsidR="00E62483" w:rsidRPr="000B4E2C">
        <w:t xml:space="preserve">per hour for </w:t>
      </w:r>
      <w:r w:rsidRPr="000B4E2C">
        <w:t xml:space="preserve">each of the staff resources involved in the testing process are obtained from </w:t>
      </w:r>
      <w:r w:rsidR="00E62483" w:rsidRPr="000B4E2C">
        <w:t>PSSRU 2018</w:t>
      </w:r>
      <w:r w:rsidR="00280A97" w:rsidRPr="000B4E2C">
        <w:rPr>
          <w:iCs/>
          <w:noProof/>
          <w:sz w:val="22"/>
          <w:vertAlign w:val="superscript"/>
        </w:rPr>
        <w:t>127</w:t>
      </w:r>
      <w:r w:rsidR="00E62483" w:rsidRPr="000B4E2C">
        <w:t xml:space="preserve"> as follows: to conduct the test: band 5 nurse (£37.00), porter costed as healthcare assistant (£27.26), band 6 biomedical scientist (£44.00). To interpret the test: medical consultant</w:t>
      </w:r>
      <w:r w:rsidR="000B4E2C" w:rsidRPr="000B4E2C">
        <w:rPr>
          <w:color w:val="00B0F0"/>
        </w:rPr>
        <w:t>/</w:t>
      </w:r>
      <w:r w:rsidR="00E62483" w:rsidRPr="000B4E2C">
        <w:t>Nephrologist (£108) and junior foundation doctor FY2 (£32.00).</w:t>
      </w:r>
      <w:r w:rsidR="000B4E2C" w:rsidRPr="000B4E2C">
        <w:t xml:space="preserve"> </w:t>
      </w:r>
      <w:r w:rsidR="00E62483" w:rsidRPr="000B4E2C">
        <w:t>It is assumed that hospital consultant, nephrologist and junior doctor are all equally likely to be the healthcare professional interpreting the test.</w:t>
      </w:r>
    </w:p>
    <w:p w14:paraId="3C85BEB3" w14:textId="77777777" w:rsidR="000B4E2C" w:rsidRPr="000B4E2C" w:rsidRDefault="002F0133" w:rsidP="008A7464">
      <w:r w:rsidRPr="000B4E2C">
        <w:t>The duration of resource use for each member of the team is based on a combination of information provided by manufacturer and clinical expert opinion regarding the flow from obtaining the test sample to result interpretation. The staff time to process the test in the lab was based on the NICE request for information documents to the different test manufacturers and the Final scope. Estimates of the time taken to prepare the urine sample and interpret the test was based on the EAGs clinical expert opinion.</w:t>
      </w:r>
    </w:p>
    <w:p w14:paraId="5EAD143C" w14:textId="7D11D665" w:rsidR="000B4E2C" w:rsidRPr="000B4E2C" w:rsidRDefault="002F0133" w:rsidP="007D5F15">
      <w:r w:rsidRPr="000B4E2C">
        <w:t>Four test strategies were compared in the economic model (NephroCheck, NGAL urine (</w:t>
      </w:r>
      <w:r w:rsidR="009D7F5A" w:rsidRPr="000B4E2C">
        <w:t>BioPorto</w:t>
      </w:r>
      <w:r w:rsidRPr="000B4E2C">
        <w:t>), NGAL ARCHITECT (Abbott) and NGAL plasma (</w:t>
      </w:r>
      <w:r w:rsidR="009D7F5A" w:rsidRPr="000B4E2C">
        <w:t>BioPorto</w:t>
      </w:r>
      <w:r w:rsidR="001E605D" w:rsidRPr="000B4E2C">
        <w:t xml:space="preserve">). </w:t>
      </w:r>
      <w:r w:rsidRPr="000B4E2C">
        <w:t>The NGAL test manufacturer (</w:t>
      </w:r>
      <w:r w:rsidR="009D7F5A" w:rsidRPr="000B4E2C">
        <w:t>BioPorto</w:t>
      </w:r>
      <w:r w:rsidRPr="000B4E2C">
        <w:t>) have not identified costs separately by</w:t>
      </w:r>
      <w:r w:rsidR="001E605D" w:rsidRPr="000B4E2C">
        <w:t xml:space="preserve"> sample type (plasma or urine).</w:t>
      </w:r>
      <w:r w:rsidRPr="000B4E2C">
        <w:t xml:space="preserve"> It is therefore assumed that </w:t>
      </w:r>
      <w:r w:rsidR="001E605D" w:rsidRPr="000B4E2C">
        <w:t xml:space="preserve">these tests incur equal costs. </w:t>
      </w:r>
      <w:r w:rsidRPr="000B4E2C">
        <w:t xml:space="preserve">The cost of the Alinity NGAL urine test (Abbott) was not considered in the base case economic evaluation because the review identified no diagnostic </w:t>
      </w:r>
      <w:r w:rsidR="001E605D" w:rsidRPr="000B4E2C">
        <w:t xml:space="preserve">accuracy </w:t>
      </w:r>
      <w:r w:rsidR="001E605D" w:rsidRPr="000B4E2C">
        <w:rPr>
          <w:highlight w:val="magenta"/>
        </w:rPr>
        <w:t>data</w:t>
      </w:r>
      <w:r w:rsidR="001E605D" w:rsidRPr="000B4E2C">
        <w:t xml:space="preserve"> for the test. </w:t>
      </w:r>
      <w:r w:rsidR="00E62483" w:rsidRPr="000B4E2C">
        <w:t>Full costing of each test, is provided in Appendix 1</w:t>
      </w:r>
      <w:r w:rsidR="00101B12" w:rsidRPr="000B4E2C">
        <w:t>5</w:t>
      </w:r>
      <w:r w:rsidR="00E62483" w:rsidRPr="000B4E2C">
        <w:t xml:space="preserve">,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31</w:t>
      </w:r>
      <w:r w:rsidR="00B95DF3" w:rsidRPr="000B4E2C">
        <w:rPr>
          <w:highlight w:val="magenta"/>
        </w:rPr>
        <w:t>.</w:t>
      </w:r>
      <w:r w:rsidR="000B4E2C" w:rsidRPr="000B4E2C">
        <w:rPr>
          <w:highlight w:val="magenta"/>
        </w:rPr>
        <w:t xml:space="preserve"> </w:t>
      </w:r>
      <w:r w:rsidR="00B95DF3" w:rsidRPr="000B4E2C">
        <w:rPr>
          <w:highlight w:val="magenta"/>
        </w:rPr>
        <w:t>Further</w:t>
      </w:r>
      <w:r w:rsidR="00B95DF3" w:rsidRPr="000B4E2C">
        <w:t xml:space="preserve"> details of maintenance costs and consumables for each test can be found in Appendix 15,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34</w:t>
      </w:r>
      <w:r w:rsidR="00B95DF3" w:rsidRPr="000B4E2C">
        <w:t>.</w:t>
      </w:r>
    </w:p>
    <w:p w14:paraId="1DD3F164" w14:textId="71F1A753" w:rsidR="002F0133" w:rsidRPr="000B4E2C" w:rsidRDefault="002F0133" w:rsidP="007D5F15">
      <w:r w:rsidRPr="000B4E2C">
        <w:rPr>
          <w:i/>
        </w:rPr>
        <w:t>Cost of early treatment</w:t>
      </w:r>
    </w:p>
    <w:p w14:paraId="3CB4EAB6" w14:textId="15F597FE" w:rsidR="000B4E2C" w:rsidRPr="000B4E2C" w:rsidRDefault="002F0133" w:rsidP="008A7464">
      <w:pPr>
        <w:rPr>
          <w:szCs w:val="24"/>
        </w:rPr>
      </w:pPr>
      <w:r w:rsidRPr="000B4E2C">
        <w:rPr>
          <w:szCs w:val="24"/>
        </w:rPr>
        <w:t>The additional cost of early treatment with the KDIGO care bundle was calculated as £</w:t>
      </w:r>
      <w:r w:rsidRPr="000B4E2C">
        <w:rPr>
          <w:bCs/>
          <w:sz w:val="22"/>
        </w:rPr>
        <w:t>106.36</w:t>
      </w:r>
      <w:r w:rsidRPr="000B4E2C">
        <w:rPr>
          <w:szCs w:val="24"/>
        </w:rPr>
        <w:t xml:space="preserve"> per patient treated, assuming an additional three days application of the care bun</w:t>
      </w:r>
      <w:r w:rsidR="001E605D" w:rsidRPr="000B4E2C">
        <w:rPr>
          <w:szCs w:val="24"/>
        </w:rPr>
        <w:t xml:space="preserve">dle in test positive patients. </w:t>
      </w:r>
      <w:r w:rsidRPr="000B4E2C">
        <w:rPr>
          <w:szCs w:val="24"/>
        </w:rPr>
        <w:t>An additional three days of treatment was assumed in line with the primary outcome from Meersch</w:t>
      </w:r>
      <w:r w:rsidRPr="000B4E2C">
        <w:rPr>
          <w:i/>
          <w:color w:val="00B0F0"/>
          <w:szCs w:val="24"/>
        </w:rPr>
        <w:t xml:space="preserve"> et al</w:t>
      </w:r>
      <w:r w:rsidR="00280A97" w:rsidRPr="000B4E2C">
        <w:rPr>
          <w:noProof/>
          <w:szCs w:val="24"/>
          <w:vertAlign w:val="superscript"/>
        </w:rPr>
        <w:t>112</w:t>
      </w:r>
      <w:r w:rsidRPr="000B4E2C">
        <w:rPr>
          <w:szCs w:val="24"/>
        </w:rPr>
        <w:t xml:space="preserve"> (i.e.</w:t>
      </w:r>
      <w:r w:rsidR="00881500" w:rsidRPr="000B4E2C">
        <w:rPr>
          <w:szCs w:val="24"/>
        </w:rPr>
        <w:t>,</w:t>
      </w:r>
      <w:r w:rsidRPr="000B4E2C">
        <w:rPr>
          <w:szCs w:val="24"/>
        </w:rPr>
        <w:t xml:space="preserve"> AKI at 72 hours) and based on clinical expert opinion that a care bundle could potentially be implemented for up to an extra </w:t>
      </w:r>
      <w:r w:rsidR="00932166" w:rsidRPr="000B4E2C">
        <w:rPr>
          <w:szCs w:val="24"/>
        </w:rPr>
        <w:t>three</w:t>
      </w:r>
      <w:r w:rsidR="001E605D" w:rsidRPr="000B4E2C">
        <w:rPr>
          <w:szCs w:val="24"/>
        </w:rPr>
        <w:t xml:space="preserve"> days. </w:t>
      </w:r>
      <w:r w:rsidRPr="000B4E2C">
        <w:rPr>
          <w:szCs w:val="24"/>
        </w:rPr>
        <w:t>The care bundle cost is based on the NICE guidelines for preventing AKI</w:t>
      </w:r>
      <w:r w:rsidR="001E605D" w:rsidRPr="000B4E2C">
        <w:rPr>
          <w:szCs w:val="24"/>
        </w:rPr>
        <w:t>,</w:t>
      </w:r>
      <w:r w:rsidR="005B5026" w:rsidRPr="000B4E2C">
        <w:rPr>
          <w:noProof/>
          <w:szCs w:val="24"/>
          <w:vertAlign w:val="superscript"/>
        </w:rPr>
        <w:t>16</w:t>
      </w:r>
      <w:r w:rsidR="001E605D" w:rsidRPr="000B4E2C">
        <w:rPr>
          <w:szCs w:val="24"/>
        </w:rPr>
        <w:t xml:space="preserve"> </w:t>
      </w:r>
      <w:r w:rsidRPr="000B4E2C">
        <w:rPr>
          <w:szCs w:val="24"/>
        </w:rPr>
        <w:t xml:space="preserve">which state that measures to prevent AKI are: avoidance of nephrotoxic agents, discontinuation of medication (angiotensin-converting-enzyme (ACE) inhibitors and Angiotensin II receptor blockers (ARBs)), close monitoring of serum creatinine and urine output, avoidance of hyperglycaemia, alternatives to radio contrast and close hemodynamic monitoring. The NICE recommendations for preventing AKI include seeking advice from nephrology team and </w:t>
      </w:r>
      <w:r w:rsidRPr="000B4E2C">
        <w:rPr>
          <w:szCs w:val="24"/>
        </w:rPr>
        <w:lastRenderedPageBreak/>
        <w:t xml:space="preserve">pharmacist with regards to giving </w:t>
      </w:r>
      <w:r w:rsidR="0072128A" w:rsidRPr="000B4E2C">
        <w:rPr>
          <w:color w:val="00B0F0"/>
          <w:szCs w:val="24"/>
          <w:highlight w:val="green"/>
        </w:rPr>
        <w:t>“</w:t>
      </w:r>
      <w:r w:rsidR="0072128A" w:rsidRPr="000B4E2C">
        <w:rPr>
          <w:szCs w:val="24"/>
          <w:highlight w:val="green"/>
        </w:rPr>
        <w:t>iodinated contrast agent to adults with contraindications to intravenous fluids</w:t>
      </w:r>
      <w:r w:rsidR="0072128A" w:rsidRPr="000B4E2C">
        <w:rPr>
          <w:color w:val="00B0F0"/>
          <w:szCs w:val="24"/>
          <w:highlight w:val="green"/>
        </w:rPr>
        <w:t>”</w:t>
      </w:r>
      <w:r w:rsidRPr="000B4E2C">
        <w:rPr>
          <w:szCs w:val="24"/>
        </w:rPr>
        <w:t xml:space="preserve"> and medications (ACE inhibitors, ARBs), respectively. Therefore, both a nephrologist and pharmacist time are included in the cost of the care bundle</w:t>
      </w:r>
      <w:r w:rsidRPr="000B4E2C">
        <w:rPr>
          <w:szCs w:val="24"/>
          <w:highlight w:val="magenta"/>
        </w:rPr>
        <w:t xml:space="preserve">. </w:t>
      </w:r>
      <w:r w:rsidR="00B36483" w:rsidRPr="000B4E2C">
        <w:rPr>
          <w:szCs w:val="24"/>
          <w:highlight w:val="magenta"/>
        </w:rPr>
        <w:t>Further</w:t>
      </w:r>
      <w:r w:rsidR="00B36483" w:rsidRPr="000B4E2C">
        <w:rPr>
          <w:szCs w:val="24"/>
        </w:rPr>
        <w:t xml:space="preserve"> details of the cost calculation approach can be found in Appendix </w:t>
      </w:r>
      <w:r w:rsidR="00101B12" w:rsidRPr="000B4E2C">
        <w:rPr>
          <w:szCs w:val="24"/>
        </w:rPr>
        <w:t>15</w:t>
      </w:r>
      <w:r w:rsidR="00B36483" w:rsidRPr="000B4E2C">
        <w:rPr>
          <w:szCs w:val="24"/>
        </w:rPr>
        <w:t xml:space="preserve">, </w:t>
      </w:r>
      <w:r w:rsidR="000B4E2C" w:rsidRPr="000B4E2C">
        <w:rPr>
          <w:i/>
          <w:color w:val="FF0000"/>
          <w:szCs w:val="24"/>
        </w:rPr>
        <w:t>T</w:t>
      </w:r>
      <w:r w:rsidR="000B4E2C" w:rsidRPr="000B4E2C">
        <w:rPr>
          <w:i/>
          <w:color w:val="FF0000"/>
          <w:szCs w:val="24"/>
        </w:rPr>
        <w:t>able</w:t>
      </w:r>
      <w:r w:rsidR="000B4E2C" w:rsidRPr="000B4E2C">
        <w:rPr>
          <w:i/>
          <w:color w:val="FF0000"/>
          <w:szCs w:val="24"/>
        </w:rPr>
        <w:t xml:space="preserve"> </w:t>
      </w:r>
      <w:r w:rsidR="000B4E2C" w:rsidRPr="000B4E2C">
        <w:rPr>
          <w:i/>
          <w:color w:val="FF0000"/>
          <w:szCs w:val="24"/>
        </w:rPr>
        <w:t>32</w:t>
      </w:r>
      <w:r w:rsidR="00B36483" w:rsidRPr="000B4E2C">
        <w:rPr>
          <w:szCs w:val="24"/>
        </w:rPr>
        <w:t>.</w:t>
      </w:r>
      <w:r w:rsidRPr="000B4E2C">
        <w:rPr>
          <w:szCs w:val="24"/>
        </w:rPr>
        <w:t xml:space="preserve"> The additional cost of early adoption of the care bundle was applied to the proportion of the cohort with a positive biomarker test result, reflecting an assumption that care would be delivered for an additional </w:t>
      </w:r>
      <w:r w:rsidR="00932166" w:rsidRPr="000B4E2C">
        <w:rPr>
          <w:szCs w:val="24"/>
        </w:rPr>
        <w:t>three</w:t>
      </w:r>
      <w:r w:rsidRPr="000B4E2C">
        <w:rPr>
          <w:szCs w:val="24"/>
        </w:rPr>
        <w:t xml:space="preserve"> days over and above the cohort monitored using serum creatinine alone. The cost was applied using a gamma distribution with a standard deviation of 10% of the mean.</w:t>
      </w:r>
    </w:p>
    <w:p w14:paraId="448EA36B" w14:textId="30EE3005" w:rsidR="002F0133" w:rsidRPr="000B4E2C" w:rsidRDefault="002F0133" w:rsidP="008A7464">
      <w:pPr>
        <w:pStyle w:val="Heading4"/>
      </w:pPr>
      <w:r w:rsidRPr="000B4E2C">
        <w:t>Acute phase costs</w:t>
      </w:r>
    </w:p>
    <w:p w14:paraId="402BF249" w14:textId="2AECAC83" w:rsidR="000B4E2C" w:rsidRPr="000B4E2C" w:rsidRDefault="002F0133" w:rsidP="007D5F15">
      <w:pPr>
        <w:rPr>
          <w:szCs w:val="24"/>
        </w:rPr>
      </w:pPr>
      <w:r w:rsidRPr="000B4E2C">
        <w:rPr>
          <w:szCs w:val="24"/>
        </w:rPr>
        <w:t>The base case total cost in the acute phase (90 days) of the model depends on the number of days spent in hospital and ICU.</w:t>
      </w:r>
      <w:r w:rsidR="00AA6E5B" w:rsidRPr="000B4E2C">
        <w:rPr>
          <w:szCs w:val="24"/>
        </w:rPr>
        <w:t xml:space="preserve"> </w:t>
      </w:r>
      <w:r w:rsidRPr="000B4E2C">
        <w:rPr>
          <w:szCs w:val="24"/>
        </w:rPr>
        <w:t>It also depends on the duration of acute RRT delivered to the proportion of AKI stage 3 patients receiving RRT.</w:t>
      </w:r>
      <w:r w:rsidR="000B4E2C" w:rsidRPr="000B4E2C">
        <w:rPr>
          <w:szCs w:val="24"/>
        </w:rPr>
        <w:t xml:space="preserve"> </w:t>
      </w:r>
      <w:r w:rsidRPr="000B4E2C">
        <w:rPr>
          <w:szCs w:val="24"/>
        </w:rPr>
        <w:t xml:space="preserve">For the base case analysis, </w:t>
      </w:r>
      <w:r w:rsidRPr="000B4E2C">
        <w:rPr>
          <w:szCs w:val="24"/>
          <w:highlight w:val="magenta"/>
        </w:rPr>
        <w:t>data</w:t>
      </w:r>
      <w:r w:rsidRPr="000B4E2C">
        <w:rPr>
          <w:szCs w:val="24"/>
        </w:rPr>
        <w:t xml:space="preserve"> from the Adding Insult to Injury report show that 52</w:t>
      </w:r>
      <w:r w:rsidR="000B4E2C" w:rsidRPr="000B4E2C">
        <w:rPr>
          <w:color w:val="00B0F0"/>
          <w:szCs w:val="24"/>
        </w:rPr>
        <w:t>%</w:t>
      </w:r>
      <w:r w:rsidRPr="000B4E2C">
        <w:rPr>
          <w:szCs w:val="24"/>
        </w:rPr>
        <w:t xml:space="preserve"> of RRT patients receive continuous RRT (daily) and 48% receive intermittent dialysis (an average of 3 sessions per week)</w:t>
      </w:r>
      <w:r w:rsidR="005B5026" w:rsidRPr="000B4E2C">
        <w:rPr>
          <w:noProof/>
          <w:szCs w:val="24"/>
          <w:vertAlign w:val="superscript"/>
        </w:rPr>
        <w:t>3</w:t>
      </w:r>
      <w:r w:rsidRPr="000B4E2C">
        <w:rPr>
          <w:szCs w:val="24"/>
        </w:rPr>
        <w:t>. The duration of RRT delivery is obtained from a randomised trial conducted in a US critical care setting</w:t>
      </w:r>
      <w:r w:rsidR="00280A97" w:rsidRPr="000B4E2C">
        <w:rPr>
          <w:noProof/>
          <w:szCs w:val="24"/>
          <w:vertAlign w:val="superscript"/>
        </w:rPr>
        <w:t>128</w:t>
      </w:r>
      <w:r w:rsidRPr="000B4E2C">
        <w:rPr>
          <w:szCs w:val="24"/>
        </w:rPr>
        <w:t xml:space="preserve"> comparing intensive, six days per week (N</w:t>
      </w:r>
      <w:r w:rsidR="000B4E2C" w:rsidRPr="000B4E2C">
        <w:rPr>
          <w:color w:val="00B0F0"/>
          <w:szCs w:val="24"/>
        </w:rPr>
        <w:t> = </w:t>
      </w:r>
      <w:r w:rsidRPr="000B4E2C">
        <w:rPr>
          <w:szCs w:val="24"/>
        </w:rPr>
        <w:t>563) vs. less intensive three days per week (N</w:t>
      </w:r>
      <w:r w:rsidR="000B4E2C" w:rsidRPr="000B4E2C">
        <w:rPr>
          <w:color w:val="00B0F0"/>
          <w:szCs w:val="24"/>
        </w:rPr>
        <w:t> = </w:t>
      </w:r>
      <w:r w:rsidRPr="000B4E2C">
        <w:rPr>
          <w:szCs w:val="24"/>
        </w:rPr>
        <w:t>561) RRT strategies.</w:t>
      </w:r>
      <w:r w:rsidR="000B4E2C" w:rsidRPr="000B4E2C">
        <w:rPr>
          <w:szCs w:val="24"/>
        </w:rPr>
        <w:t xml:space="preserve"> </w:t>
      </w:r>
      <w:r w:rsidRPr="000B4E2C">
        <w:rPr>
          <w:szCs w:val="24"/>
        </w:rPr>
        <w:t>The mean (SD) N duration, in days, of RRT per patient was similar in both groups: intensive: 13.4 (9.6) 563; less intensive: 12.8 (9.3) 561. The base case model conservatively assumes the less intensive duration for the application o</w:t>
      </w:r>
      <w:r w:rsidR="001E605D" w:rsidRPr="000B4E2C">
        <w:rPr>
          <w:szCs w:val="24"/>
        </w:rPr>
        <w:t xml:space="preserve">f costs in the economic model. </w:t>
      </w:r>
      <w:r w:rsidRPr="000B4E2C">
        <w:rPr>
          <w:szCs w:val="24"/>
        </w:rPr>
        <w:t xml:space="preserve">To incorporate the uncertainty and to reflect the likely skewed nature of the distribution, duration of RRT is incorporated probabilistically into the model using a </w:t>
      </w:r>
      <w:r w:rsidR="000B4E2C" w:rsidRPr="000B4E2C">
        <w:rPr>
          <w:color w:val="00B0F0"/>
          <w:szCs w:val="24"/>
        </w:rPr>
        <w:t>log-normal distribution</w:t>
      </w:r>
      <w:r w:rsidRPr="000B4E2C">
        <w:rPr>
          <w:szCs w:val="24"/>
        </w:rPr>
        <w:t>.</w:t>
      </w:r>
      <w:r w:rsidR="000B4E2C" w:rsidRPr="000B4E2C">
        <w:rPr>
          <w:szCs w:val="24"/>
        </w:rPr>
        <w:t xml:space="preserve"> </w:t>
      </w:r>
      <w:r w:rsidRPr="000B4E2C">
        <w:rPr>
          <w:szCs w:val="24"/>
          <w:highlight w:val="magenta"/>
        </w:rPr>
        <w:t>Data</w:t>
      </w:r>
      <w:r w:rsidRPr="000B4E2C">
        <w:rPr>
          <w:szCs w:val="24"/>
        </w:rPr>
        <w:t xml:space="preserve"> available from an alternative source (Bagshaw, 2009</w:t>
      </w:r>
      <w:r w:rsidR="001E605D" w:rsidRPr="000B4E2C">
        <w:rPr>
          <w:szCs w:val="24"/>
        </w:rPr>
        <w:t>),</w:t>
      </w:r>
      <w:r w:rsidR="00280A97" w:rsidRPr="000B4E2C">
        <w:rPr>
          <w:noProof/>
          <w:szCs w:val="24"/>
          <w:vertAlign w:val="superscript"/>
        </w:rPr>
        <w:t>129</w:t>
      </w:r>
      <w:r w:rsidRPr="000B4E2C">
        <w:rPr>
          <w:szCs w:val="24"/>
        </w:rPr>
        <w:t xml:space="preserve"> as used in NICE guidance for the comparison of early vs. late renal replacement therapy was not considered because median rather than mean durations were reported, and the </w:t>
      </w:r>
      <w:r w:rsidRPr="000B4E2C">
        <w:rPr>
          <w:szCs w:val="24"/>
          <w:highlight w:val="magenta"/>
        </w:rPr>
        <w:t>data</w:t>
      </w:r>
      <w:r w:rsidRPr="000B4E2C">
        <w:rPr>
          <w:szCs w:val="24"/>
        </w:rPr>
        <w:t xml:space="preserve"> were assessed as low quality in the NICE guidance</w:t>
      </w:r>
      <w:r w:rsidR="001E605D" w:rsidRPr="000B4E2C">
        <w:rPr>
          <w:szCs w:val="24"/>
        </w:rPr>
        <w:t>.</w:t>
      </w:r>
      <w:r w:rsidR="005B5026" w:rsidRPr="000B4E2C">
        <w:rPr>
          <w:noProof/>
          <w:szCs w:val="24"/>
          <w:vertAlign w:val="superscript"/>
        </w:rPr>
        <w:t>16</w:t>
      </w:r>
      <w:r w:rsidR="001E605D" w:rsidRPr="000B4E2C">
        <w:rPr>
          <w:szCs w:val="24"/>
        </w:rPr>
        <w:t xml:space="preserve"> </w:t>
      </w:r>
      <w:r w:rsidRPr="000B4E2C">
        <w:rPr>
          <w:szCs w:val="24"/>
        </w:rPr>
        <w:t>An additional daily excess cost of AKI was applied in a sensitivity analysis to capture the potential excess cost per day in hospital or ICU of an AKI patient. This excess cost was not applied in the base case scenarios because it was assumed that the cost of having AKI is captured in the cos</w:t>
      </w:r>
      <w:r w:rsidR="001E605D" w:rsidRPr="000B4E2C">
        <w:rPr>
          <w:szCs w:val="24"/>
        </w:rPr>
        <w:t xml:space="preserve">t of being in hospital or ICU. </w:t>
      </w:r>
      <w:r w:rsidRPr="000B4E2C">
        <w:rPr>
          <w:szCs w:val="24"/>
        </w:rPr>
        <w:t>All other acute costs and follow-up costs are applied a gamma distribution.</w:t>
      </w:r>
    </w:p>
    <w:p w14:paraId="1D650F55" w14:textId="42C5FA9B" w:rsidR="002F0133" w:rsidRPr="000B4E2C" w:rsidRDefault="002F0133" w:rsidP="008A7464">
      <w:pPr>
        <w:pStyle w:val="Heading4"/>
      </w:pPr>
      <w:r w:rsidRPr="000B4E2C">
        <w:t>Long term follow-up costs</w:t>
      </w:r>
    </w:p>
    <w:p w14:paraId="3CD954F0" w14:textId="77777777" w:rsidR="000B4E2C" w:rsidRPr="000B4E2C" w:rsidRDefault="002F0133" w:rsidP="008A7464">
      <w:pPr>
        <w:rPr>
          <w:color w:val="000000" w:themeColor="text1"/>
          <w:szCs w:val="24"/>
        </w:rPr>
      </w:pPr>
      <w:r w:rsidRPr="000B4E2C">
        <w:rPr>
          <w:color w:val="000000" w:themeColor="text1"/>
          <w:szCs w:val="24"/>
        </w:rPr>
        <w:t xml:space="preserve">There are four ways in which long term </w:t>
      </w:r>
      <w:r w:rsidRPr="000B4E2C">
        <w:rPr>
          <w:color w:val="000000" w:themeColor="text1"/>
          <w:szCs w:val="24"/>
          <w:highlight w:val="magenta"/>
        </w:rPr>
        <w:t>follow up</w:t>
      </w:r>
      <w:r w:rsidRPr="000B4E2C">
        <w:rPr>
          <w:color w:val="000000" w:themeColor="text1"/>
          <w:szCs w:val="24"/>
        </w:rPr>
        <w:t xml:space="preserve"> costs may be driven by the proportion of the cohort that progress through different pathways from the initial decision tree.</w:t>
      </w:r>
      <w:r w:rsidR="000B4E2C" w:rsidRPr="000B4E2C">
        <w:rPr>
          <w:color w:val="000000" w:themeColor="text1"/>
          <w:szCs w:val="24"/>
        </w:rPr>
        <w:t xml:space="preserve"> </w:t>
      </w:r>
      <w:r w:rsidRPr="000B4E2C">
        <w:rPr>
          <w:color w:val="000000" w:themeColor="text1"/>
          <w:szCs w:val="24"/>
        </w:rPr>
        <w:t xml:space="preserve">These are: 1) whether or not long-term </w:t>
      </w:r>
      <w:r w:rsidRPr="000B4E2C">
        <w:rPr>
          <w:color w:val="000000" w:themeColor="text1"/>
          <w:szCs w:val="24"/>
          <w:highlight w:val="magenta"/>
        </w:rPr>
        <w:t>follow up</w:t>
      </w:r>
      <w:r w:rsidRPr="000B4E2C">
        <w:rPr>
          <w:color w:val="000000" w:themeColor="text1"/>
          <w:szCs w:val="24"/>
        </w:rPr>
        <w:t xml:space="preserve"> costs depend on whether the patient received ICU care in the initial decision tree; 2) </w:t>
      </w:r>
      <w:r w:rsidR="00932166" w:rsidRPr="000B4E2C">
        <w:rPr>
          <w:color w:val="000000" w:themeColor="text1"/>
          <w:szCs w:val="24"/>
        </w:rPr>
        <w:t>w</w:t>
      </w:r>
      <w:r w:rsidRPr="000B4E2C">
        <w:rPr>
          <w:color w:val="000000" w:themeColor="text1"/>
          <w:szCs w:val="24"/>
        </w:rPr>
        <w:t xml:space="preserve">hether there are additional </w:t>
      </w:r>
      <w:r w:rsidRPr="000B4E2C">
        <w:rPr>
          <w:color w:val="000000" w:themeColor="text1"/>
          <w:szCs w:val="24"/>
          <w:highlight w:val="magenta"/>
        </w:rPr>
        <w:t>follow up</w:t>
      </w:r>
      <w:r w:rsidRPr="000B4E2C">
        <w:rPr>
          <w:color w:val="000000" w:themeColor="text1"/>
          <w:szCs w:val="24"/>
        </w:rPr>
        <w:t xml:space="preserve"> costs beyond 5 years post index hospitalisation discharge; 3) whether an excess long term cost is applied for the proportion of the cohort coming through AKI arms of the decision tree; and 4) health state specific costs incurred as the cohort progress through CKD stages to dialysis or transplant.</w:t>
      </w:r>
    </w:p>
    <w:p w14:paraId="1E885576" w14:textId="77777777" w:rsidR="000B4E2C" w:rsidRPr="000B4E2C" w:rsidRDefault="002F0133" w:rsidP="008A7464">
      <w:pPr>
        <w:rPr>
          <w:color w:val="000000" w:themeColor="text1"/>
          <w:szCs w:val="24"/>
        </w:rPr>
      </w:pPr>
      <w:r w:rsidRPr="000B4E2C">
        <w:rPr>
          <w:color w:val="000000" w:themeColor="text1"/>
          <w:szCs w:val="24"/>
        </w:rPr>
        <w:t>The out-patient follow-up costs in the Markov model post index hospitalisation discharge were obtained from Lone</w:t>
      </w:r>
      <w:r w:rsidRPr="000B4E2C">
        <w:rPr>
          <w:i/>
          <w:color w:val="00B0F0"/>
          <w:szCs w:val="24"/>
        </w:rPr>
        <w:t xml:space="preserve"> et al</w:t>
      </w:r>
      <w:r w:rsidR="001E605D" w:rsidRPr="000B4E2C">
        <w:rPr>
          <w:color w:val="000000" w:themeColor="text1"/>
          <w:szCs w:val="24"/>
        </w:rPr>
        <w:t>,</w:t>
      </w:r>
      <w:r w:rsidR="00280A97" w:rsidRPr="000B4E2C">
        <w:rPr>
          <w:noProof/>
          <w:color w:val="000000" w:themeColor="text1"/>
          <w:szCs w:val="24"/>
          <w:vertAlign w:val="superscript"/>
        </w:rPr>
        <w:t>116</w:t>
      </w:r>
      <w:r w:rsidRPr="000B4E2C">
        <w:rPr>
          <w:color w:val="000000" w:themeColor="text1"/>
          <w:szCs w:val="24"/>
        </w:rPr>
        <w:t xml:space="preserve"> who reported 5 years of follow-up costs post index ICU and hospital discharge, using a matched cohort obtained from registries in Scotland (Scottish Intensive Care Society Audit Group (SICSAG), Scottish Morbidity Record of acute hospital admissions (SMR01),</w:t>
      </w:r>
      <w:r w:rsidR="001E605D" w:rsidRPr="000B4E2C">
        <w:rPr>
          <w:color w:val="000000" w:themeColor="text1"/>
          <w:szCs w:val="24"/>
        </w:rPr>
        <w:t xml:space="preserve"> and Scottish mortality </w:t>
      </w:r>
      <w:r w:rsidR="001E605D" w:rsidRPr="000B4E2C">
        <w:rPr>
          <w:color w:val="000000" w:themeColor="text1"/>
          <w:szCs w:val="24"/>
          <w:highlight w:val="magenta"/>
        </w:rPr>
        <w:t>data</w:t>
      </w:r>
      <w:r w:rsidR="001E605D" w:rsidRPr="000B4E2C">
        <w:rPr>
          <w:color w:val="000000" w:themeColor="text1"/>
          <w:szCs w:val="24"/>
        </w:rPr>
        <w:t xml:space="preserve">). </w:t>
      </w:r>
      <w:r w:rsidRPr="000B4E2C">
        <w:rPr>
          <w:color w:val="000000" w:themeColor="text1"/>
          <w:szCs w:val="24"/>
        </w:rPr>
        <w:t>The base case analysis assumes that the average of post-ICU and post-non-ICU admissions are appli</w:t>
      </w:r>
      <w:r w:rsidR="001E605D" w:rsidRPr="000B4E2C">
        <w:rPr>
          <w:color w:val="000000" w:themeColor="text1"/>
          <w:szCs w:val="24"/>
        </w:rPr>
        <w:t xml:space="preserve">ed in the Markov model. </w:t>
      </w:r>
      <w:r w:rsidRPr="000B4E2C">
        <w:rPr>
          <w:color w:val="000000" w:themeColor="text1"/>
          <w:szCs w:val="24"/>
        </w:rPr>
        <w:t>This is because the cohort for this assessment are already deemed to be critically ill and at risk of needing ICU care, so might all be expected to have significan</w:t>
      </w:r>
      <w:r w:rsidR="001E605D" w:rsidRPr="000B4E2C">
        <w:rPr>
          <w:color w:val="000000" w:themeColor="text1"/>
          <w:szCs w:val="24"/>
        </w:rPr>
        <w:t xml:space="preserve">t resource use post discharge. </w:t>
      </w:r>
      <w:r w:rsidRPr="000B4E2C">
        <w:rPr>
          <w:color w:val="000000" w:themeColor="text1"/>
          <w:szCs w:val="24"/>
        </w:rPr>
        <w:t>Sensitivity analysis allows the application of differential long-term costs that depend on the whether the patient had received ICU care in the first 90 days or not.</w:t>
      </w:r>
    </w:p>
    <w:p w14:paraId="052D399B" w14:textId="77777777" w:rsidR="000B4E2C" w:rsidRPr="000B4E2C" w:rsidRDefault="002F0133" w:rsidP="00FB077C">
      <w:pPr>
        <w:rPr>
          <w:color w:val="000000" w:themeColor="text1"/>
          <w:szCs w:val="24"/>
        </w:rPr>
      </w:pPr>
      <w:r w:rsidRPr="000B4E2C">
        <w:rPr>
          <w:color w:val="000000" w:themeColor="text1"/>
          <w:szCs w:val="24"/>
        </w:rPr>
        <w:t>The annual cos</w:t>
      </w:r>
      <w:r w:rsidR="001E605D" w:rsidRPr="000B4E2C">
        <w:rPr>
          <w:color w:val="000000" w:themeColor="text1"/>
          <w:szCs w:val="24"/>
        </w:rPr>
        <w:t xml:space="preserve">ts beyond 5 years are unknown. </w:t>
      </w:r>
      <w:r w:rsidRPr="000B4E2C">
        <w:rPr>
          <w:color w:val="000000" w:themeColor="text1"/>
          <w:szCs w:val="24"/>
        </w:rPr>
        <w:t>Therefore, the base case analysis assumes no additional costs beyond year five. Sensitivity analysis explores the impact of these assumptions by applying further costs between years 6 to 11 that reduce annually following a logarithmic function with year 11 costs applied for the remaining duration of the model.</w:t>
      </w:r>
    </w:p>
    <w:p w14:paraId="48333CB9" w14:textId="0AE409AC" w:rsidR="000B4E2C" w:rsidRPr="000B4E2C" w:rsidRDefault="002F0133" w:rsidP="008A7464">
      <w:r w:rsidRPr="000B4E2C">
        <w:t>The base case analysis assumes that there are no long-term excess follow-up costs as a result of having had AKI in the initial</w:t>
      </w:r>
      <w:r w:rsidR="001E605D" w:rsidRPr="000B4E2C">
        <w:t xml:space="preserve"> 90-days post hospitalisation. </w:t>
      </w:r>
      <w:r w:rsidRPr="000B4E2C">
        <w:t>However, sensitivity analysis explores a scenario where patients entering the Markov model having had AKI in hospital incur an additional 15% of the non-</w:t>
      </w:r>
      <w:r w:rsidR="00FA7D17" w:rsidRPr="000B4E2C">
        <w:t>AKI</w:t>
      </w:r>
      <w:r w:rsidRPr="000B4E2C">
        <w:t xml:space="preserve"> cohort costs for the f</w:t>
      </w:r>
      <w:r w:rsidR="001E605D" w:rsidRPr="000B4E2C">
        <w:t xml:space="preserve">irst 5 years. </w:t>
      </w:r>
      <w:r w:rsidRPr="000B4E2C">
        <w:t>The additional AKI cost factor was based on a proxy using the RR reported in Lone</w:t>
      </w:r>
      <w:r w:rsidRPr="000B4E2C">
        <w:rPr>
          <w:i/>
          <w:color w:val="00B0F0"/>
        </w:rPr>
        <w:t xml:space="preserve"> et al</w:t>
      </w:r>
      <w:r w:rsidRPr="000B4E2C">
        <w:t xml:space="preserve">. on the number of admissions patients on RRT had over five years </w:t>
      </w:r>
      <w:r w:rsidRPr="000B4E2C">
        <w:rPr>
          <w:highlight w:val="magenta"/>
        </w:rPr>
        <w:t>compared to</w:t>
      </w:r>
      <w:r w:rsidRPr="000B4E2C">
        <w:t xml:space="preserve"> those who were not on RRT. These additional costs are applied in the model as sensitivity analysis, with a mean ratio of 1.15, log SE: 0.074 sampling from a </w:t>
      </w:r>
      <w:r w:rsidR="000B4E2C" w:rsidRPr="000B4E2C">
        <w:rPr>
          <w:color w:val="00B0F0"/>
        </w:rPr>
        <w:t>log-normal distribution</w:t>
      </w:r>
      <w:r w:rsidRPr="000B4E2C">
        <w:t>.</w:t>
      </w:r>
    </w:p>
    <w:p w14:paraId="485D476D" w14:textId="1EBFA676" w:rsidR="000B4E2C" w:rsidRPr="000B4E2C" w:rsidRDefault="002F0133" w:rsidP="007D5F15">
      <w:r w:rsidRPr="000B4E2C">
        <w:t>Annual cycle-specific health-state costs were applied to the proportion of the cohort transiting through the CKD, ESRD, ESRD on dialysis and transplant health states. Costs were obtained from Kent</w:t>
      </w:r>
      <w:r w:rsidRPr="000B4E2C">
        <w:rPr>
          <w:i/>
          <w:color w:val="00B0F0"/>
        </w:rPr>
        <w:t xml:space="preserve"> et al</w:t>
      </w:r>
      <w:r w:rsidRPr="000B4E2C">
        <w:rPr>
          <w:color w:val="00B0F0"/>
        </w:rPr>
        <w:t>.,</w:t>
      </w:r>
      <w:r w:rsidRPr="000B4E2C">
        <w:t xml:space="preserve"> using </w:t>
      </w:r>
      <w:r w:rsidRPr="000B4E2C">
        <w:rPr>
          <w:highlight w:val="magenta"/>
        </w:rPr>
        <w:t>data</w:t>
      </w:r>
      <w:r w:rsidRPr="000B4E2C">
        <w:t xml:space="preserve"> from the SHARP trial reporting outpatient, day case and inpatient admissions. The CKD (stage 1</w:t>
      </w:r>
      <w:r w:rsidR="000B4E2C" w:rsidRPr="000B4E2C">
        <w:rPr>
          <w:color w:val="00B0F0"/>
        </w:rPr>
        <w:t>–</w:t>
      </w:r>
      <w:r w:rsidR="000B4E2C" w:rsidRPr="000B4E2C">
        <w:rPr>
          <w:color w:val="00B0F0"/>
        </w:rPr>
        <w:t>4</w:t>
      </w:r>
      <w:r w:rsidRPr="000B4E2C">
        <w:t>) health state cost applied in the model was calculated as the weighted average of CKD stage 1</w:t>
      </w:r>
      <w:r w:rsidR="000B4E2C" w:rsidRPr="000B4E2C">
        <w:rPr>
          <w:color w:val="00B0F0"/>
        </w:rPr>
        <w:t>–</w:t>
      </w:r>
      <w:r w:rsidR="000B4E2C" w:rsidRPr="000B4E2C">
        <w:rPr>
          <w:color w:val="00B0F0"/>
        </w:rPr>
        <w:t>3</w:t>
      </w:r>
      <w:r w:rsidRPr="000B4E2C">
        <w:t xml:space="preserve"> and CKD sta</w:t>
      </w:r>
      <w:r w:rsidR="001E605D" w:rsidRPr="000B4E2C">
        <w:t>ge 4 as reported in Kent</w:t>
      </w:r>
      <w:r w:rsidR="001E605D" w:rsidRPr="000B4E2C">
        <w:rPr>
          <w:i/>
          <w:color w:val="00B0F0"/>
        </w:rPr>
        <w:t xml:space="preserve"> et al</w:t>
      </w:r>
      <w:r w:rsidR="001E605D" w:rsidRPr="000B4E2C">
        <w:t>.</w:t>
      </w:r>
      <w:r w:rsidR="001E605D" w:rsidRPr="000B4E2C">
        <w:rPr>
          <w:noProof/>
          <w:vertAlign w:val="superscript"/>
        </w:rPr>
        <w:t xml:space="preserve"> 120</w:t>
      </w:r>
      <w:r w:rsidRPr="000B4E2C">
        <w:t xml:space="preserve"> The average weighted cost applied w</w:t>
      </w:r>
      <w:r w:rsidR="001E605D" w:rsidRPr="000B4E2C">
        <w:t>as therefore £445.98 per cycle.</w:t>
      </w:r>
      <w:r w:rsidRPr="000B4E2C">
        <w:t xml:space="preserve"> The cost of medications </w:t>
      </w:r>
      <w:r w:rsidRPr="000B4E2C">
        <w:lastRenderedPageBreak/>
        <w:t>(immunosuppressant for transplant patient, ESA for dialysis patients and blood pressure medications for dialysis patients) were not captured in the study, therefore, these costs were added to the costs observed in Kent</w:t>
      </w:r>
      <w:r w:rsidRPr="000B4E2C">
        <w:rPr>
          <w:i/>
          <w:color w:val="00B0F0"/>
        </w:rPr>
        <w:t xml:space="preserve"> et al</w:t>
      </w:r>
      <w:r w:rsidR="001E605D" w:rsidRPr="000B4E2C">
        <w:t>.</w:t>
      </w:r>
      <w:r w:rsidR="00280A97" w:rsidRPr="000B4E2C">
        <w:rPr>
          <w:noProof/>
          <w:vertAlign w:val="superscript"/>
        </w:rPr>
        <w:t>115</w:t>
      </w:r>
      <w:r w:rsidRPr="000B4E2C">
        <w:t xml:space="preserve"> The added transplant costs (immunosuppressants) were based on the approach applied in Scotland</w:t>
      </w:r>
      <w:r w:rsidRPr="000B4E2C">
        <w:rPr>
          <w:i/>
          <w:color w:val="00B0F0"/>
        </w:rPr>
        <w:t xml:space="preserve"> et al</w:t>
      </w:r>
      <w:r w:rsidRPr="000B4E2C">
        <w:t>. 2018</w:t>
      </w:r>
      <w:r w:rsidR="005B5026" w:rsidRPr="000B4E2C">
        <w:rPr>
          <w:noProof/>
          <w:vertAlign w:val="superscript"/>
        </w:rPr>
        <w:t>130</w:t>
      </w:r>
      <w:r w:rsidRPr="000B4E2C">
        <w:t xml:space="preserve"> for calculating the annual cost of immunosuppressants, using 2018 prices. The added costs to dialysis patients </w:t>
      </w:r>
      <w:r w:rsidRPr="000B4E2C">
        <w:rPr>
          <w:highlight w:val="magenta"/>
        </w:rPr>
        <w:t>due to</w:t>
      </w:r>
      <w:r w:rsidRPr="000B4E2C">
        <w:t xml:space="preserve"> medications for blood pressure and ESA are also based on the approach applied in Scotland</w:t>
      </w:r>
      <w:r w:rsidRPr="000B4E2C">
        <w:rPr>
          <w:i/>
          <w:color w:val="00B0F0"/>
        </w:rPr>
        <w:t xml:space="preserve"> et al</w:t>
      </w:r>
      <w:r w:rsidRPr="000B4E2C">
        <w:t>. 2018, with 2018 prices.</w:t>
      </w:r>
    </w:p>
    <w:p w14:paraId="78251F5C" w14:textId="70AD6DE1" w:rsidR="002F0133" w:rsidRPr="000B4E2C" w:rsidRDefault="002F0133" w:rsidP="008A7464">
      <w:pPr>
        <w:pStyle w:val="Heading2"/>
      </w:pPr>
      <w:r w:rsidRPr="000B4E2C">
        <w:t>Health measurement and valuation</w:t>
      </w:r>
    </w:p>
    <w:p w14:paraId="6FBB7EFB" w14:textId="1E385EAB" w:rsidR="000B4E2C" w:rsidRPr="000B4E2C" w:rsidRDefault="000B4E2C" w:rsidP="00043CF2">
      <w:pPr>
        <w:rPr>
          <w:lang w:val="en-GB" w:eastAsia="en-GB"/>
        </w:rPr>
      </w:pPr>
      <w:r w:rsidRPr="000B4E2C">
        <w:rPr>
          <w:i/>
          <w:color w:val="FF0000"/>
          <w:lang w:val="en-GB" w:eastAsia="en-GB"/>
        </w:rPr>
        <w:t>T</w:t>
      </w:r>
      <w:r w:rsidRPr="000B4E2C">
        <w:rPr>
          <w:i/>
          <w:color w:val="FF0000"/>
          <w:lang w:val="en-GB" w:eastAsia="en-GB"/>
        </w:rPr>
        <w:t>able</w:t>
      </w:r>
      <w:r w:rsidRPr="000B4E2C">
        <w:rPr>
          <w:i/>
          <w:color w:val="FF0000"/>
          <w:lang w:val="en-GB" w:eastAsia="en-GB"/>
        </w:rPr>
        <w:t xml:space="preserve"> </w:t>
      </w:r>
      <w:r w:rsidRPr="000B4E2C">
        <w:rPr>
          <w:i/>
          <w:color w:val="FF0000"/>
          <w:lang w:val="en-GB" w:eastAsia="en-GB"/>
        </w:rPr>
        <w:t>18</w:t>
      </w:r>
      <w:r w:rsidR="00043CF2" w:rsidRPr="000B4E2C">
        <w:rPr>
          <w:lang w:val="en-GB" w:eastAsia="en-GB"/>
        </w:rPr>
        <w:t xml:space="preserve"> summarises the utilities used throughout the economic model. These are described in further details in the sections that follow.</w:t>
      </w:r>
      <w:r w:rsidR="008523B9" w:rsidRPr="000B4E2C">
        <w:rPr>
          <w:lang w:val="en-GB" w:eastAsia="en-GB"/>
        </w:rPr>
        <w:t xml:space="preserve"> A full list of studies and utility values considered for population of the economic model can be found in Appendix </w:t>
      </w:r>
      <w:r w:rsidR="00101B12" w:rsidRPr="000B4E2C">
        <w:rPr>
          <w:lang w:val="en-GB" w:eastAsia="en-GB"/>
        </w:rPr>
        <w:t>15</w:t>
      </w:r>
      <w:r w:rsidR="008523B9" w:rsidRPr="000B4E2C">
        <w:rPr>
          <w:lang w:val="en-GB" w:eastAsia="en-GB"/>
        </w:rPr>
        <w:t xml:space="preserve">, </w:t>
      </w:r>
      <w:r w:rsidRPr="000B4E2C">
        <w:rPr>
          <w:i/>
          <w:color w:val="FF0000"/>
          <w:lang w:val="en-GB" w:eastAsia="en-GB"/>
        </w:rPr>
        <w:t>T</w:t>
      </w:r>
      <w:r w:rsidRPr="000B4E2C">
        <w:rPr>
          <w:i/>
          <w:color w:val="FF0000"/>
          <w:lang w:val="en-GB" w:eastAsia="en-GB"/>
        </w:rPr>
        <w:t>ables</w:t>
      </w:r>
      <w:r w:rsidRPr="000B4E2C">
        <w:rPr>
          <w:i/>
          <w:color w:val="FF0000"/>
          <w:lang w:val="en-GB" w:eastAsia="en-GB"/>
        </w:rPr>
        <w:t xml:space="preserve"> </w:t>
      </w:r>
      <w:r w:rsidRPr="000B4E2C">
        <w:rPr>
          <w:i/>
          <w:color w:val="FF0000"/>
          <w:lang w:val="en-GB" w:eastAsia="en-GB"/>
        </w:rPr>
        <w:t>33</w:t>
      </w:r>
      <w:r w:rsidR="00974851" w:rsidRPr="000B4E2C">
        <w:rPr>
          <w:lang w:val="en-GB" w:eastAsia="en-GB"/>
        </w:rPr>
        <w:t>, 37</w:t>
      </w:r>
      <w:r w:rsidR="00EA71BC" w:rsidRPr="000B4E2C">
        <w:rPr>
          <w:lang w:val="en-GB" w:eastAsia="en-GB"/>
        </w:rPr>
        <w:t xml:space="preserve"> and </w:t>
      </w:r>
      <w:r w:rsidR="00974851" w:rsidRPr="000B4E2C">
        <w:rPr>
          <w:lang w:val="en-GB" w:eastAsia="en-GB"/>
        </w:rPr>
        <w:t>38</w:t>
      </w:r>
      <w:r w:rsidR="008523B9" w:rsidRPr="000B4E2C">
        <w:rPr>
          <w:lang w:val="en-GB" w:eastAsia="en-GB"/>
        </w:rPr>
        <w:t>.</w:t>
      </w:r>
    </w:p>
    <w:p w14:paraId="0F500E18" w14:textId="5C7C42A1" w:rsidR="00EA71BC" w:rsidRPr="000B4E2C" w:rsidRDefault="000B4E2C" w:rsidP="007D5F15">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18</w:t>
      </w:r>
      <w:r w:rsidR="00EA71BC" w:rsidRPr="000B4E2C">
        <w:t>: Health State Utility Values used in the economic model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073"/>
        <w:gridCol w:w="2420"/>
        <w:gridCol w:w="1147"/>
        <w:gridCol w:w="678"/>
        <w:gridCol w:w="916"/>
        <w:gridCol w:w="1792"/>
      </w:tblGrid>
      <w:tr w:rsidR="00EA71BC" w:rsidRPr="000B4E2C" w14:paraId="7E773312" w14:textId="77777777" w:rsidTr="000B4E2C">
        <w:trPr>
          <w:cantSplit/>
        </w:trPr>
        <w:tc>
          <w:tcPr>
            <w:tcW w:w="0" w:type="auto"/>
            <w:noWrap/>
            <w:vAlign w:val="center"/>
            <w:hideMark/>
          </w:tcPr>
          <w:p w14:paraId="31CCDBC6" w14:textId="77777777" w:rsidR="00EA71BC" w:rsidRPr="000B4E2C" w:rsidRDefault="00EA71BC" w:rsidP="000B4E2C">
            <w:pPr>
              <w:spacing w:line="276" w:lineRule="auto"/>
              <w:rPr>
                <w:rFonts w:eastAsiaTheme="minorHAnsi"/>
                <w:sz w:val="22"/>
                <w:lang w:val="en-GB"/>
              </w:rPr>
            </w:pPr>
            <w:r w:rsidRPr="000B4E2C">
              <w:rPr>
                <w:b/>
                <w:color w:val="000000" w:themeColor="text1"/>
                <w:sz w:val="22"/>
              </w:rPr>
              <w:t>Parameter</w:t>
            </w:r>
          </w:p>
        </w:tc>
        <w:tc>
          <w:tcPr>
            <w:tcW w:w="0" w:type="auto"/>
            <w:noWrap/>
            <w:vAlign w:val="center"/>
            <w:hideMark/>
          </w:tcPr>
          <w:p w14:paraId="1B17F826" w14:textId="255FD78B" w:rsidR="00EA71BC" w:rsidRPr="000B4E2C" w:rsidRDefault="00EA71BC" w:rsidP="000B4E2C">
            <w:pPr>
              <w:spacing w:line="276" w:lineRule="auto"/>
              <w:rPr>
                <w:sz w:val="22"/>
              </w:rPr>
            </w:pPr>
            <w:r w:rsidRPr="000B4E2C">
              <w:rPr>
                <w:b/>
                <w:color w:val="000000" w:themeColor="text1"/>
                <w:sz w:val="22"/>
              </w:rPr>
              <w:t>Mean parameter value from source</w:t>
            </w:r>
          </w:p>
        </w:tc>
        <w:tc>
          <w:tcPr>
            <w:tcW w:w="0" w:type="auto"/>
            <w:noWrap/>
            <w:vAlign w:val="center"/>
            <w:hideMark/>
          </w:tcPr>
          <w:p w14:paraId="01978CA5" w14:textId="1D656637" w:rsidR="00EA71BC" w:rsidRPr="000B4E2C" w:rsidRDefault="00EA71BC" w:rsidP="000B4E2C">
            <w:pPr>
              <w:spacing w:line="276" w:lineRule="auto"/>
              <w:rPr>
                <w:sz w:val="22"/>
              </w:rPr>
            </w:pPr>
            <w:r w:rsidRPr="000B4E2C">
              <w:rPr>
                <w:b/>
                <w:color w:val="000000" w:themeColor="text1"/>
                <w:sz w:val="22"/>
              </w:rPr>
              <w:t>Standard Error</w:t>
            </w:r>
          </w:p>
        </w:tc>
        <w:tc>
          <w:tcPr>
            <w:tcW w:w="0" w:type="auto"/>
            <w:vAlign w:val="center"/>
          </w:tcPr>
          <w:p w14:paraId="19248E6A" w14:textId="6A2824AE" w:rsidR="00EA71BC" w:rsidRPr="000B4E2C" w:rsidRDefault="00EA71BC" w:rsidP="000B4E2C">
            <w:pPr>
              <w:spacing w:line="276" w:lineRule="auto"/>
              <w:rPr>
                <w:b/>
                <w:color w:val="000000" w:themeColor="text1"/>
                <w:sz w:val="22"/>
              </w:rPr>
            </w:pPr>
            <w:r w:rsidRPr="000B4E2C">
              <w:rPr>
                <w:b/>
                <w:color w:val="000000" w:themeColor="text1"/>
                <w:sz w:val="22"/>
              </w:rPr>
              <w:t>Age adjusted utility applied in the model</w:t>
            </w:r>
          </w:p>
        </w:tc>
        <w:tc>
          <w:tcPr>
            <w:tcW w:w="0" w:type="auto"/>
            <w:noWrap/>
            <w:vAlign w:val="center"/>
            <w:hideMark/>
          </w:tcPr>
          <w:p w14:paraId="2DFB4A51" w14:textId="55362489" w:rsidR="00EA71BC" w:rsidRPr="000B4E2C" w:rsidRDefault="00EA71BC" w:rsidP="000B4E2C">
            <w:pPr>
              <w:spacing w:line="276" w:lineRule="auto"/>
              <w:rPr>
                <w:sz w:val="22"/>
              </w:rPr>
            </w:pPr>
            <w:r w:rsidRPr="000B4E2C">
              <w:rPr>
                <w:b/>
                <w:color w:val="000000" w:themeColor="text1"/>
                <w:sz w:val="22"/>
              </w:rPr>
              <w:t>Distribution</w:t>
            </w:r>
          </w:p>
        </w:tc>
        <w:tc>
          <w:tcPr>
            <w:tcW w:w="0" w:type="auto"/>
            <w:noWrap/>
            <w:vAlign w:val="center"/>
            <w:hideMark/>
          </w:tcPr>
          <w:p w14:paraId="1C5EDDFF" w14:textId="77777777" w:rsidR="00EA71BC" w:rsidRPr="000B4E2C" w:rsidRDefault="00EA71BC" w:rsidP="000B4E2C">
            <w:pPr>
              <w:spacing w:line="276" w:lineRule="auto"/>
              <w:rPr>
                <w:sz w:val="22"/>
              </w:rPr>
            </w:pPr>
            <w:r w:rsidRPr="000B4E2C">
              <w:rPr>
                <w:b/>
                <w:color w:val="000000" w:themeColor="text1"/>
                <w:sz w:val="22"/>
              </w:rPr>
              <w:t>Source</w:t>
            </w:r>
          </w:p>
        </w:tc>
      </w:tr>
      <w:tr w:rsidR="00EA71BC" w:rsidRPr="000B4E2C" w14:paraId="1C4CBF9F" w14:textId="77777777" w:rsidTr="000B4E2C">
        <w:trPr>
          <w:cantSplit/>
        </w:trPr>
        <w:tc>
          <w:tcPr>
            <w:tcW w:w="0" w:type="auto"/>
            <w:gridSpan w:val="6"/>
            <w:shd w:val="clear" w:color="auto" w:fill="D9D9D9" w:themeFill="background1" w:themeFillShade="D9"/>
            <w:noWrap/>
            <w:vAlign w:val="center"/>
          </w:tcPr>
          <w:p w14:paraId="694BCEE3" w14:textId="335E0874" w:rsidR="00EA71BC" w:rsidRPr="000B4E2C" w:rsidRDefault="00EA71BC" w:rsidP="000B4E2C">
            <w:pPr>
              <w:spacing w:line="276" w:lineRule="auto"/>
              <w:rPr>
                <w:b/>
                <w:color w:val="000000" w:themeColor="text1"/>
                <w:sz w:val="22"/>
              </w:rPr>
            </w:pPr>
            <w:r w:rsidRPr="000B4E2C">
              <w:rPr>
                <w:b/>
                <w:color w:val="000000" w:themeColor="text1"/>
                <w:sz w:val="22"/>
              </w:rPr>
              <w:t>Utilities applied in the acute (Decision Tree) phase of the model</w:t>
            </w:r>
          </w:p>
        </w:tc>
      </w:tr>
      <w:tr w:rsidR="00EA71BC" w:rsidRPr="000B4E2C" w14:paraId="03934ED8" w14:textId="77777777" w:rsidTr="000B4E2C">
        <w:trPr>
          <w:cantSplit/>
        </w:trPr>
        <w:tc>
          <w:tcPr>
            <w:tcW w:w="0" w:type="auto"/>
            <w:noWrap/>
            <w:vAlign w:val="center"/>
            <w:hideMark/>
          </w:tcPr>
          <w:p w14:paraId="29B22B01" w14:textId="77777777" w:rsidR="00EA71BC" w:rsidRPr="000B4E2C" w:rsidRDefault="00EA71BC" w:rsidP="000B4E2C">
            <w:pPr>
              <w:spacing w:line="276" w:lineRule="auto"/>
              <w:rPr>
                <w:b/>
                <w:bCs/>
                <w:sz w:val="22"/>
              </w:rPr>
            </w:pPr>
            <w:r w:rsidRPr="000B4E2C">
              <w:rPr>
                <w:color w:val="000000" w:themeColor="text1"/>
                <w:sz w:val="22"/>
                <w:lang w:eastAsia="en-GB"/>
              </w:rPr>
              <w:t xml:space="preserve">ICU </w:t>
            </w:r>
            <w:r w:rsidRPr="000B4E2C">
              <w:rPr>
                <w:color w:val="000000" w:themeColor="text1"/>
                <w:sz w:val="22"/>
                <w:vertAlign w:val="superscript"/>
                <w:lang w:eastAsia="en-GB"/>
              </w:rPr>
              <w:t>A</w:t>
            </w:r>
          </w:p>
        </w:tc>
        <w:tc>
          <w:tcPr>
            <w:tcW w:w="0" w:type="auto"/>
            <w:noWrap/>
            <w:vAlign w:val="center"/>
            <w:hideMark/>
          </w:tcPr>
          <w:p w14:paraId="33287DA3" w14:textId="5261BFCA" w:rsidR="00EA71BC" w:rsidRPr="000B4E2C" w:rsidRDefault="000B4E2C" w:rsidP="000B4E2C">
            <w:pPr>
              <w:spacing w:line="276" w:lineRule="auto"/>
              <w:rPr>
                <w:sz w:val="22"/>
              </w:rPr>
            </w:pPr>
            <w:r w:rsidRPr="000B4E2C">
              <w:rPr>
                <w:color w:val="00B0F0"/>
                <w:sz w:val="22"/>
                <w:lang w:eastAsia="en-GB"/>
              </w:rPr>
              <w:t>–</w:t>
            </w:r>
            <w:r w:rsidRPr="000B4E2C">
              <w:rPr>
                <w:color w:val="00B0F0"/>
                <w:sz w:val="22"/>
                <w:lang w:eastAsia="en-GB"/>
              </w:rPr>
              <w:t>0</w:t>
            </w:r>
            <w:r w:rsidR="00EA71BC" w:rsidRPr="000B4E2C">
              <w:rPr>
                <w:color w:val="000000" w:themeColor="text1"/>
                <w:sz w:val="22"/>
                <w:lang w:eastAsia="en-GB"/>
              </w:rPr>
              <w:t>.402</w:t>
            </w:r>
          </w:p>
        </w:tc>
        <w:tc>
          <w:tcPr>
            <w:tcW w:w="0" w:type="auto"/>
            <w:noWrap/>
            <w:vAlign w:val="center"/>
            <w:hideMark/>
          </w:tcPr>
          <w:p w14:paraId="33689980" w14:textId="1AD7ECBF" w:rsidR="00EA71BC" w:rsidRPr="000B4E2C" w:rsidRDefault="00EA71BC" w:rsidP="000B4E2C">
            <w:pPr>
              <w:spacing w:line="276" w:lineRule="auto"/>
              <w:rPr>
                <w:sz w:val="22"/>
              </w:rPr>
            </w:pPr>
            <w:r w:rsidRPr="000B4E2C">
              <w:rPr>
                <w:color w:val="000000" w:themeColor="text1"/>
                <w:sz w:val="22"/>
                <w:lang w:eastAsia="en-GB"/>
              </w:rPr>
              <w:t>0.02</w:t>
            </w:r>
          </w:p>
        </w:tc>
        <w:tc>
          <w:tcPr>
            <w:tcW w:w="0" w:type="auto"/>
            <w:vAlign w:val="center"/>
          </w:tcPr>
          <w:p w14:paraId="5EB7FA2B" w14:textId="22D6E8F5" w:rsidR="00EA71BC" w:rsidRPr="000B4E2C" w:rsidRDefault="000B4E2C" w:rsidP="000B4E2C">
            <w:pPr>
              <w:spacing w:line="276" w:lineRule="auto"/>
              <w:rPr>
                <w:color w:val="000000" w:themeColor="text1"/>
                <w:sz w:val="22"/>
                <w:lang w:eastAsia="en-GB"/>
              </w:rPr>
            </w:pPr>
            <w:r w:rsidRPr="000B4E2C">
              <w:rPr>
                <w:color w:val="00B0F0"/>
                <w:sz w:val="22"/>
                <w:lang w:eastAsia="en-GB"/>
              </w:rPr>
              <w:t>–</w:t>
            </w:r>
            <w:r w:rsidRPr="000B4E2C">
              <w:rPr>
                <w:color w:val="00B0F0"/>
                <w:sz w:val="22"/>
                <w:lang w:eastAsia="en-GB"/>
              </w:rPr>
              <w:t>0</w:t>
            </w:r>
            <w:r w:rsidR="00EA71BC" w:rsidRPr="000B4E2C">
              <w:rPr>
                <w:color w:val="000000" w:themeColor="text1"/>
                <w:sz w:val="22"/>
                <w:lang w:eastAsia="en-GB"/>
              </w:rPr>
              <w:t>.402</w:t>
            </w:r>
          </w:p>
        </w:tc>
        <w:tc>
          <w:tcPr>
            <w:tcW w:w="0" w:type="auto"/>
            <w:noWrap/>
            <w:vAlign w:val="center"/>
            <w:hideMark/>
          </w:tcPr>
          <w:p w14:paraId="4ED5A1AF" w14:textId="2A78288A" w:rsidR="00EA71BC" w:rsidRPr="000B4E2C" w:rsidRDefault="00EA71BC" w:rsidP="000B4E2C">
            <w:pPr>
              <w:spacing w:line="276" w:lineRule="auto"/>
              <w:rPr>
                <w:sz w:val="22"/>
              </w:rPr>
            </w:pPr>
            <w:r w:rsidRPr="000B4E2C">
              <w:rPr>
                <w:color w:val="000000" w:themeColor="text1"/>
                <w:sz w:val="22"/>
                <w:lang w:eastAsia="en-GB"/>
              </w:rPr>
              <w:t>Normal</w:t>
            </w:r>
          </w:p>
        </w:tc>
        <w:tc>
          <w:tcPr>
            <w:tcW w:w="0" w:type="auto"/>
            <w:noWrap/>
            <w:vAlign w:val="center"/>
            <w:hideMark/>
          </w:tcPr>
          <w:p w14:paraId="74A89CC6" w14:textId="594A5702" w:rsidR="00EA71BC" w:rsidRPr="000B4E2C" w:rsidRDefault="00EA71BC" w:rsidP="000B4E2C">
            <w:pPr>
              <w:spacing w:line="276" w:lineRule="auto"/>
              <w:rPr>
                <w:sz w:val="22"/>
              </w:rPr>
            </w:pPr>
            <w:r w:rsidRPr="000B4E2C">
              <w:rPr>
                <w:color w:val="000000" w:themeColor="text1"/>
                <w:sz w:val="22"/>
                <w:lang w:val="da-DK" w:eastAsia="en-GB"/>
              </w:rPr>
              <w:t>Kind</w:t>
            </w:r>
            <w:r w:rsidRPr="000B4E2C">
              <w:rPr>
                <w:i/>
                <w:color w:val="00B0F0"/>
                <w:sz w:val="22"/>
                <w:lang w:val="da-DK" w:eastAsia="en-GB"/>
              </w:rPr>
              <w:t xml:space="preserve"> et al</w:t>
            </w:r>
            <w:r w:rsidRPr="000B4E2C">
              <w:rPr>
                <w:color w:val="000000" w:themeColor="text1"/>
                <w:sz w:val="22"/>
                <w:lang w:val="da-DK" w:eastAsia="en-GB"/>
              </w:rPr>
              <w:t>. (Appendix B)</w:t>
            </w:r>
            <w:r w:rsidR="00280A97" w:rsidRPr="000B4E2C">
              <w:rPr>
                <w:noProof/>
                <w:color w:val="000000" w:themeColor="text1"/>
                <w:sz w:val="22"/>
                <w:vertAlign w:val="superscript"/>
                <w:lang w:val="da-DK" w:eastAsia="en-GB"/>
              </w:rPr>
              <w:t>131</w:t>
            </w:r>
          </w:p>
        </w:tc>
      </w:tr>
      <w:tr w:rsidR="00EA71BC" w:rsidRPr="000B4E2C" w14:paraId="371BDD36" w14:textId="77777777" w:rsidTr="000B4E2C">
        <w:trPr>
          <w:cantSplit/>
        </w:trPr>
        <w:tc>
          <w:tcPr>
            <w:tcW w:w="0" w:type="auto"/>
            <w:noWrap/>
            <w:vAlign w:val="center"/>
            <w:hideMark/>
          </w:tcPr>
          <w:p w14:paraId="45447222" w14:textId="77777777" w:rsidR="00EA71BC" w:rsidRPr="000B4E2C" w:rsidRDefault="00EA71BC" w:rsidP="000B4E2C">
            <w:pPr>
              <w:spacing w:line="276" w:lineRule="auto"/>
              <w:rPr>
                <w:b/>
                <w:bCs/>
                <w:sz w:val="22"/>
              </w:rPr>
            </w:pPr>
            <w:r w:rsidRPr="000B4E2C">
              <w:rPr>
                <w:color w:val="000000" w:themeColor="text1"/>
                <w:sz w:val="22"/>
                <w:lang w:eastAsia="en-GB"/>
              </w:rPr>
              <w:t>Ward</w:t>
            </w:r>
          </w:p>
        </w:tc>
        <w:tc>
          <w:tcPr>
            <w:tcW w:w="0" w:type="auto"/>
            <w:noWrap/>
            <w:vAlign w:val="center"/>
            <w:hideMark/>
          </w:tcPr>
          <w:p w14:paraId="6DDB6EFF" w14:textId="77777777" w:rsidR="00EA71BC" w:rsidRPr="000B4E2C" w:rsidRDefault="00EA71BC" w:rsidP="000B4E2C">
            <w:pPr>
              <w:spacing w:line="276" w:lineRule="auto"/>
              <w:rPr>
                <w:sz w:val="22"/>
              </w:rPr>
            </w:pPr>
            <w:r w:rsidRPr="000B4E2C">
              <w:rPr>
                <w:color w:val="000000" w:themeColor="text1"/>
                <w:sz w:val="22"/>
                <w:lang w:eastAsia="en-GB"/>
              </w:rPr>
              <w:t>0.44</w:t>
            </w:r>
          </w:p>
        </w:tc>
        <w:tc>
          <w:tcPr>
            <w:tcW w:w="0" w:type="auto"/>
            <w:noWrap/>
            <w:vAlign w:val="center"/>
            <w:hideMark/>
          </w:tcPr>
          <w:p w14:paraId="163E1504" w14:textId="2D155AF7" w:rsidR="00EA71BC" w:rsidRPr="000B4E2C" w:rsidRDefault="00EA71BC" w:rsidP="000B4E2C">
            <w:pPr>
              <w:spacing w:line="276" w:lineRule="auto"/>
              <w:rPr>
                <w:sz w:val="22"/>
              </w:rPr>
            </w:pPr>
            <w:r w:rsidRPr="000B4E2C">
              <w:rPr>
                <w:color w:val="000000" w:themeColor="text1"/>
                <w:sz w:val="22"/>
                <w:lang w:eastAsia="en-GB"/>
              </w:rPr>
              <w:t>0.0259</w:t>
            </w:r>
          </w:p>
        </w:tc>
        <w:tc>
          <w:tcPr>
            <w:tcW w:w="0" w:type="auto"/>
            <w:vAlign w:val="center"/>
          </w:tcPr>
          <w:p w14:paraId="05E08E33" w14:textId="4D885C60" w:rsidR="00EA71BC" w:rsidRPr="000B4E2C" w:rsidRDefault="00EA71BC" w:rsidP="000B4E2C">
            <w:pPr>
              <w:spacing w:line="276" w:lineRule="auto"/>
              <w:rPr>
                <w:color w:val="000000" w:themeColor="text1"/>
                <w:sz w:val="22"/>
                <w:lang w:eastAsia="en-GB"/>
              </w:rPr>
            </w:pPr>
            <w:r w:rsidRPr="000B4E2C">
              <w:rPr>
                <w:color w:val="000000" w:themeColor="text1"/>
                <w:sz w:val="22"/>
                <w:lang w:eastAsia="en-GB"/>
              </w:rPr>
              <w:t>0.432</w:t>
            </w:r>
          </w:p>
        </w:tc>
        <w:tc>
          <w:tcPr>
            <w:tcW w:w="0" w:type="auto"/>
            <w:noWrap/>
            <w:vAlign w:val="center"/>
            <w:hideMark/>
          </w:tcPr>
          <w:p w14:paraId="66B8EEFA" w14:textId="53051AC3" w:rsidR="00EA71BC" w:rsidRPr="000B4E2C" w:rsidRDefault="00EA71BC" w:rsidP="000B4E2C">
            <w:pPr>
              <w:spacing w:line="276" w:lineRule="auto"/>
              <w:rPr>
                <w:sz w:val="22"/>
              </w:rPr>
            </w:pPr>
            <w:r w:rsidRPr="000B4E2C">
              <w:rPr>
                <w:color w:val="000000" w:themeColor="text1"/>
                <w:sz w:val="22"/>
                <w:lang w:eastAsia="en-GB"/>
              </w:rPr>
              <w:t>Beta</w:t>
            </w:r>
          </w:p>
        </w:tc>
        <w:tc>
          <w:tcPr>
            <w:tcW w:w="0" w:type="auto"/>
            <w:noWrap/>
            <w:vAlign w:val="center"/>
            <w:hideMark/>
          </w:tcPr>
          <w:p w14:paraId="5FB4D352" w14:textId="22DB38CA" w:rsidR="00EA71BC" w:rsidRPr="000B4E2C" w:rsidRDefault="00EA71BC" w:rsidP="000B4E2C">
            <w:pPr>
              <w:spacing w:line="276" w:lineRule="auto"/>
              <w:rPr>
                <w:sz w:val="22"/>
              </w:rPr>
            </w:pPr>
            <w:r w:rsidRPr="000B4E2C">
              <w:rPr>
                <w:sz w:val="22"/>
              </w:rPr>
              <w:t>Hernández</w:t>
            </w:r>
            <w:r w:rsidRPr="000B4E2C">
              <w:rPr>
                <w:i/>
                <w:color w:val="00B0F0"/>
                <w:sz w:val="22"/>
                <w:lang w:eastAsia="en-GB"/>
              </w:rPr>
              <w:t xml:space="preserve"> et al</w:t>
            </w:r>
            <w:r w:rsidR="00280A97" w:rsidRPr="000B4E2C">
              <w:rPr>
                <w:noProof/>
                <w:color w:val="000000" w:themeColor="text1"/>
                <w:sz w:val="22"/>
                <w:vertAlign w:val="superscript"/>
                <w:lang w:eastAsia="en-GB"/>
              </w:rPr>
              <w:t>132</w:t>
            </w:r>
            <w:r w:rsidRPr="000B4E2C">
              <w:rPr>
                <w:color w:val="000000" w:themeColor="text1"/>
                <w:sz w:val="22"/>
                <w:lang w:eastAsia="en-GB"/>
              </w:rPr>
              <w:t xml:space="preserve">. </w:t>
            </w:r>
          </w:p>
        </w:tc>
      </w:tr>
      <w:tr w:rsidR="00EA71BC" w:rsidRPr="000B4E2C" w14:paraId="6FEBC86C" w14:textId="77777777" w:rsidTr="000B4E2C">
        <w:trPr>
          <w:cantSplit/>
        </w:trPr>
        <w:tc>
          <w:tcPr>
            <w:tcW w:w="0" w:type="auto"/>
            <w:noWrap/>
            <w:vAlign w:val="center"/>
            <w:hideMark/>
          </w:tcPr>
          <w:p w14:paraId="43023416" w14:textId="77777777" w:rsidR="00EA71BC" w:rsidRPr="000B4E2C" w:rsidRDefault="00EA71BC" w:rsidP="000B4E2C">
            <w:pPr>
              <w:spacing w:line="276" w:lineRule="auto"/>
              <w:rPr>
                <w:b/>
                <w:bCs/>
                <w:sz w:val="22"/>
              </w:rPr>
            </w:pPr>
            <w:r w:rsidRPr="000B4E2C">
              <w:rPr>
                <w:color w:val="000000" w:themeColor="text1"/>
                <w:sz w:val="22"/>
                <w:lang w:eastAsia="en-GB"/>
              </w:rPr>
              <w:t>Discharge</w:t>
            </w:r>
          </w:p>
        </w:tc>
        <w:tc>
          <w:tcPr>
            <w:tcW w:w="0" w:type="auto"/>
            <w:noWrap/>
            <w:vAlign w:val="center"/>
            <w:hideMark/>
          </w:tcPr>
          <w:p w14:paraId="4695172B" w14:textId="77777777" w:rsidR="00EA71BC" w:rsidRPr="000B4E2C" w:rsidRDefault="00EA71BC" w:rsidP="000B4E2C">
            <w:pPr>
              <w:spacing w:line="276" w:lineRule="auto"/>
              <w:rPr>
                <w:sz w:val="22"/>
              </w:rPr>
            </w:pPr>
            <w:r w:rsidRPr="000B4E2C">
              <w:rPr>
                <w:color w:val="000000" w:themeColor="text1"/>
                <w:sz w:val="22"/>
                <w:lang w:eastAsia="en-GB"/>
              </w:rPr>
              <w:t>0.62</w:t>
            </w:r>
          </w:p>
        </w:tc>
        <w:tc>
          <w:tcPr>
            <w:tcW w:w="0" w:type="auto"/>
            <w:noWrap/>
            <w:vAlign w:val="center"/>
            <w:hideMark/>
          </w:tcPr>
          <w:p w14:paraId="60A6AB07" w14:textId="3171CF27" w:rsidR="00EA71BC" w:rsidRPr="000B4E2C" w:rsidRDefault="00EA71BC" w:rsidP="000B4E2C">
            <w:pPr>
              <w:spacing w:line="276" w:lineRule="auto"/>
              <w:rPr>
                <w:sz w:val="22"/>
              </w:rPr>
            </w:pPr>
            <w:r w:rsidRPr="000B4E2C">
              <w:rPr>
                <w:color w:val="000000" w:themeColor="text1"/>
                <w:sz w:val="22"/>
                <w:lang w:eastAsia="en-GB"/>
              </w:rPr>
              <w:t>0.0268</w:t>
            </w:r>
          </w:p>
        </w:tc>
        <w:tc>
          <w:tcPr>
            <w:tcW w:w="0" w:type="auto"/>
            <w:vAlign w:val="center"/>
          </w:tcPr>
          <w:p w14:paraId="4DD1B79B" w14:textId="6AABF0DE" w:rsidR="00EA71BC" w:rsidRPr="000B4E2C" w:rsidRDefault="00EA71BC" w:rsidP="000B4E2C">
            <w:pPr>
              <w:spacing w:line="276" w:lineRule="auto"/>
              <w:rPr>
                <w:color w:val="000000" w:themeColor="text1"/>
                <w:sz w:val="22"/>
                <w:lang w:eastAsia="en-GB"/>
              </w:rPr>
            </w:pPr>
            <w:r w:rsidRPr="000B4E2C">
              <w:rPr>
                <w:color w:val="000000" w:themeColor="text1"/>
                <w:sz w:val="22"/>
                <w:lang w:eastAsia="en-GB"/>
              </w:rPr>
              <w:t>0.608</w:t>
            </w:r>
          </w:p>
        </w:tc>
        <w:tc>
          <w:tcPr>
            <w:tcW w:w="0" w:type="auto"/>
            <w:noWrap/>
            <w:vAlign w:val="center"/>
            <w:hideMark/>
          </w:tcPr>
          <w:p w14:paraId="74FC26A6" w14:textId="12BBE876" w:rsidR="00EA71BC" w:rsidRPr="000B4E2C" w:rsidRDefault="00EA71BC" w:rsidP="000B4E2C">
            <w:pPr>
              <w:spacing w:line="276" w:lineRule="auto"/>
              <w:rPr>
                <w:sz w:val="22"/>
              </w:rPr>
            </w:pPr>
            <w:r w:rsidRPr="000B4E2C">
              <w:rPr>
                <w:color w:val="000000" w:themeColor="text1"/>
                <w:sz w:val="22"/>
                <w:lang w:eastAsia="en-GB"/>
              </w:rPr>
              <w:t>Beta</w:t>
            </w:r>
          </w:p>
        </w:tc>
        <w:tc>
          <w:tcPr>
            <w:tcW w:w="0" w:type="auto"/>
            <w:noWrap/>
            <w:vAlign w:val="center"/>
            <w:hideMark/>
          </w:tcPr>
          <w:p w14:paraId="086398DB" w14:textId="786B81A6" w:rsidR="00EA71BC" w:rsidRPr="000B4E2C" w:rsidRDefault="00EA71BC" w:rsidP="000B4E2C">
            <w:pPr>
              <w:spacing w:line="276" w:lineRule="auto"/>
              <w:rPr>
                <w:sz w:val="22"/>
              </w:rPr>
            </w:pPr>
            <w:r w:rsidRPr="000B4E2C">
              <w:rPr>
                <w:sz w:val="22"/>
              </w:rPr>
              <w:t>Hernández</w:t>
            </w:r>
            <w:r w:rsidRPr="000B4E2C">
              <w:rPr>
                <w:i/>
                <w:color w:val="00B0F0"/>
                <w:sz w:val="22"/>
                <w:lang w:eastAsia="en-GB"/>
              </w:rPr>
              <w:t xml:space="preserve"> et al</w:t>
            </w:r>
            <w:r w:rsidR="00280A97" w:rsidRPr="000B4E2C">
              <w:rPr>
                <w:noProof/>
                <w:color w:val="000000" w:themeColor="text1"/>
                <w:sz w:val="22"/>
                <w:vertAlign w:val="superscript"/>
                <w:lang w:eastAsia="en-GB"/>
              </w:rPr>
              <w:t>132</w:t>
            </w:r>
            <w:r w:rsidRPr="000B4E2C">
              <w:rPr>
                <w:color w:val="000000" w:themeColor="text1"/>
                <w:sz w:val="22"/>
                <w:lang w:eastAsia="en-GB"/>
              </w:rPr>
              <w:t>.</w:t>
            </w:r>
          </w:p>
        </w:tc>
      </w:tr>
      <w:tr w:rsidR="00EA71BC" w:rsidRPr="000B4E2C" w14:paraId="033D6820" w14:textId="77777777" w:rsidTr="000B4E2C">
        <w:trPr>
          <w:cantSplit/>
        </w:trPr>
        <w:tc>
          <w:tcPr>
            <w:tcW w:w="0" w:type="auto"/>
            <w:noWrap/>
            <w:vAlign w:val="center"/>
            <w:hideMark/>
          </w:tcPr>
          <w:p w14:paraId="4374C049" w14:textId="77777777" w:rsidR="00EA71BC" w:rsidRPr="000B4E2C" w:rsidRDefault="00EA71BC" w:rsidP="000B4E2C">
            <w:pPr>
              <w:spacing w:line="276" w:lineRule="auto"/>
              <w:rPr>
                <w:b/>
                <w:bCs/>
                <w:sz w:val="22"/>
              </w:rPr>
            </w:pPr>
            <w:r w:rsidRPr="000B4E2C">
              <w:rPr>
                <w:color w:val="000000" w:themeColor="text1"/>
                <w:sz w:val="22"/>
                <w:lang w:eastAsia="en-GB"/>
              </w:rPr>
              <w:t xml:space="preserve">Acute dialysis decrement </w:t>
            </w:r>
            <w:r w:rsidRPr="000B4E2C">
              <w:rPr>
                <w:color w:val="000000" w:themeColor="text1"/>
                <w:sz w:val="22"/>
                <w:vertAlign w:val="superscript"/>
                <w:lang w:eastAsia="en-GB"/>
              </w:rPr>
              <w:t>B</w:t>
            </w:r>
          </w:p>
        </w:tc>
        <w:tc>
          <w:tcPr>
            <w:tcW w:w="0" w:type="auto"/>
            <w:noWrap/>
            <w:vAlign w:val="center"/>
            <w:hideMark/>
          </w:tcPr>
          <w:p w14:paraId="71017D78" w14:textId="41D2310C" w:rsidR="00EA71BC" w:rsidRPr="000B4E2C" w:rsidRDefault="00EA71BC" w:rsidP="000B4E2C">
            <w:pPr>
              <w:spacing w:line="276" w:lineRule="auto"/>
              <w:rPr>
                <w:sz w:val="22"/>
              </w:rPr>
            </w:pPr>
            <w:r w:rsidRPr="000B4E2C">
              <w:rPr>
                <w:color w:val="000000" w:themeColor="text1"/>
                <w:sz w:val="22"/>
                <w:lang w:eastAsia="en-GB"/>
              </w:rPr>
              <w:t>(0.11)</w:t>
            </w:r>
          </w:p>
        </w:tc>
        <w:tc>
          <w:tcPr>
            <w:tcW w:w="0" w:type="auto"/>
            <w:noWrap/>
            <w:vAlign w:val="center"/>
            <w:hideMark/>
          </w:tcPr>
          <w:p w14:paraId="61375356" w14:textId="7F783AA5" w:rsidR="00EA71BC" w:rsidRPr="000B4E2C" w:rsidRDefault="00EA71BC" w:rsidP="000B4E2C">
            <w:pPr>
              <w:spacing w:line="276" w:lineRule="auto"/>
              <w:rPr>
                <w:sz w:val="22"/>
              </w:rPr>
            </w:pPr>
            <w:r w:rsidRPr="000B4E2C">
              <w:rPr>
                <w:color w:val="000000" w:themeColor="text1"/>
                <w:sz w:val="22"/>
                <w:lang w:eastAsia="en-GB"/>
              </w:rPr>
              <w:t>0.02</w:t>
            </w:r>
          </w:p>
        </w:tc>
        <w:tc>
          <w:tcPr>
            <w:tcW w:w="0" w:type="auto"/>
            <w:vAlign w:val="center"/>
          </w:tcPr>
          <w:p w14:paraId="488D7A9D" w14:textId="18D19087" w:rsidR="00EA71BC" w:rsidRPr="000B4E2C" w:rsidRDefault="00EA71BC" w:rsidP="000B4E2C">
            <w:pPr>
              <w:spacing w:line="276" w:lineRule="auto"/>
              <w:rPr>
                <w:color w:val="000000" w:themeColor="text1"/>
                <w:sz w:val="22"/>
                <w:lang w:eastAsia="en-GB"/>
              </w:rPr>
            </w:pPr>
            <w:r w:rsidRPr="000B4E2C">
              <w:rPr>
                <w:color w:val="000000" w:themeColor="text1"/>
                <w:sz w:val="22"/>
                <w:lang w:eastAsia="en-GB"/>
              </w:rPr>
              <w:t>(0.11)</w:t>
            </w:r>
          </w:p>
        </w:tc>
        <w:tc>
          <w:tcPr>
            <w:tcW w:w="0" w:type="auto"/>
            <w:noWrap/>
            <w:vAlign w:val="center"/>
            <w:hideMark/>
          </w:tcPr>
          <w:p w14:paraId="2284F611" w14:textId="017D8CC1" w:rsidR="00EA71BC" w:rsidRPr="000B4E2C" w:rsidRDefault="00EA71BC" w:rsidP="000B4E2C">
            <w:pPr>
              <w:spacing w:line="276" w:lineRule="auto"/>
              <w:rPr>
                <w:sz w:val="22"/>
              </w:rPr>
            </w:pPr>
            <w:r w:rsidRPr="000B4E2C">
              <w:rPr>
                <w:color w:val="000000" w:themeColor="text1"/>
                <w:sz w:val="22"/>
                <w:lang w:eastAsia="en-GB"/>
              </w:rPr>
              <w:t>Beta</w:t>
            </w:r>
          </w:p>
        </w:tc>
        <w:tc>
          <w:tcPr>
            <w:tcW w:w="0" w:type="auto"/>
            <w:noWrap/>
            <w:vAlign w:val="center"/>
            <w:hideMark/>
          </w:tcPr>
          <w:p w14:paraId="61E0AC43" w14:textId="2A771B5B" w:rsidR="00EA71BC" w:rsidRPr="000B4E2C" w:rsidRDefault="00EA71BC" w:rsidP="000B4E2C">
            <w:pPr>
              <w:spacing w:line="276" w:lineRule="auto"/>
              <w:rPr>
                <w:sz w:val="22"/>
              </w:rPr>
            </w:pPr>
            <w:r w:rsidRPr="000B4E2C">
              <w:rPr>
                <w:sz w:val="22"/>
              </w:rPr>
              <w:t>Wyld</w:t>
            </w:r>
            <w:r w:rsidRPr="000B4E2C">
              <w:rPr>
                <w:i/>
                <w:color w:val="00B0F0"/>
                <w:sz w:val="22"/>
              </w:rPr>
              <w:t xml:space="preserve"> et al</w:t>
            </w:r>
            <w:r w:rsidR="00280A97" w:rsidRPr="000B4E2C">
              <w:rPr>
                <w:noProof/>
                <w:sz w:val="22"/>
                <w:vertAlign w:val="superscript"/>
              </w:rPr>
              <w:t>133</w:t>
            </w:r>
          </w:p>
        </w:tc>
      </w:tr>
      <w:tr w:rsidR="00EA71BC" w:rsidRPr="000B4E2C" w14:paraId="696B03A7" w14:textId="77777777" w:rsidTr="000B4E2C">
        <w:trPr>
          <w:cantSplit/>
        </w:trPr>
        <w:tc>
          <w:tcPr>
            <w:tcW w:w="0" w:type="auto"/>
            <w:noWrap/>
            <w:vAlign w:val="center"/>
            <w:hideMark/>
          </w:tcPr>
          <w:p w14:paraId="65D048AC" w14:textId="77777777" w:rsidR="00EA71BC" w:rsidRPr="000B4E2C" w:rsidRDefault="00EA71BC" w:rsidP="000B4E2C">
            <w:pPr>
              <w:spacing w:line="276" w:lineRule="auto"/>
              <w:rPr>
                <w:b/>
                <w:bCs/>
                <w:sz w:val="22"/>
              </w:rPr>
            </w:pPr>
            <w:r w:rsidRPr="000B4E2C">
              <w:rPr>
                <w:color w:val="000000" w:themeColor="text1"/>
                <w:sz w:val="22"/>
                <w:lang w:eastAsia="en-GB"/>
              </w:rPr>
              <w:t>Death</w:t>
            </w:r>
          </w:p>
        </w:tc>
        <w:tc>
          <w:tcPr>
            <w:tcW w:w="0" w:type="auto"/>
            <w:noWrap/>
            <w:vAlign w:val="center"/>
            <w:hideMark/>
          </w:tcPr>
          <w:p w14:paraId="0280DF68" w14:textId="77777777" w:rsidR="00EA71BC" w:rsidRPr="000B4E2C" w:rsidRDefault="00EA71BC" w:rsidP="000B4E2C">
            <w:pPr>
              <w:spacing w:line="276" w:lineRule="auto"/>
              <w:rPr>
                <w:sz w:val="22"/>
              </w:rPr>
            </w:pPr>
            <w:r w:rsidRPr="000B4E2C">
              <w:rPr>
                <w:color w:val="000000" w:themeColor="text1"/>
                <w:sz w:val="22"/>
                <w:lang w:eastAsia="en-GB"/>
              </w:rPr>
              <w:t>0</w:t>
            </w:r>
          </w:p>
        </w:tc>
        <w:tc>
          <w:tcPr>
            <w:tcW w:w="0" w:type="auto"/>
            <w:noWrap/>
            <w:vAlign w:val="center"/>
            <w:hideMark/>
          </w:tcPr>
          <w:p w14:paraId="250758FF" w14:textId="3188E2F2" w:rsidR="00EA71BC" w:rsidRPr="000B4E2C" w:rsidRDefault="00EA71BC" w:rsidP="000B4E2C">
            <w:pPr>
              <w:spacing w:line="276" w:lineRule="auto"/>
              <w:rPr>
                <w:sz w:val="22"/>
              </w:rPr>
            </w:pPr>
            <w:r w:rsidRPr="000B4E2C">
              <w:rPr>
                <w:color w:val="000000" w:themeColor="text1"/>
                <w:sz w:val="22"/>
                <w:lang w:eastAsia="en-GB"/>
              </w:rPr>
              <w:t>--</w:t>
            </w:r>
          </w:p>
        </w:tc>
        <w:tc>
          <w:tcPr>
            <w:tcW w:w="0" w:type="auto"/>
            <w:vAlign w:val="center"/>
          </w:tcPr>
          <w:p w14:paraId="503EBC51" w14:textId="53B67485" w:rsidR="00EA71BC" w:rsidRPr="000B4E2C" w:rsidRDefault="00EA71BC" w:rsidP="000B4E2C">
            <w:pPr>
              <w:spacing w:line="276" w:lineRule="auto"/>
              <w:rPr>
                <w:sz w:val="22"/>
              </w:rPr>
            </w:pPr>
            <w:r w:rsidRPr="000B4E2C">
              <w:rPr>
                <w:sz w:val="22"/>
              </w:rPr>
              <w:t>0</w:t>
            </w:r>
          </w:p>
        </w:tc>
        <w:tc>
          <w:tcPr>
            <w:tcW w:w="0" w:type="auto"/>
            <w:noWrap/>
            <w:vAlign w:val="center"/>
            <w:hideMark/>
          </w:tcPr>
          <w:p w14:paraId="25EDFBAB" w14:textId="76A5C335" w:rsidR="00EA71BC" w:rsidRPr="000B4E2C" w:rsidRDefault="00EA71BC" w:rsidP="000B4E2C">
            <w:pPr>
              <w:spacing w:line="276" w:lineRule="auto"/>
              <w:rPr>
                <w:sz w:val="22"/>
              </w:rPr>
            </w:pPr>
            <w:r w:rsidRPr="000B4E2C">
              <w:rPr>
                <w:sz w:val="22"/>
              </w:rPr>
              <w:t>--</w:t>
            </w:r>
          </w:p>
        </w:tc>
        <w:tc>
          <w:tcPr>
            <w:tcW w:w="0" w:type="auto"/>
            <w:noWrap/>
            <w:vAlign w:val="center"/>
          </w:tcPr>
          <w:p w14:paraId="35DC8F1C" w14:textId="77777777" w:rsidR="00EA71BC" w:rsidRPr="000B4E2C" w:rsidRDefault="00EA71BC" w:rsidP="000B4E2C">
            <w:pPr>
              <w:spacing w:line="276" w:lineRule="auto"/>
              <w:rPr>
                <w:sz w:val="22"/>
              </w:rPr>
            </w:pPr>
          </w:p>
        </w:tc>
      </w:tr>
      <w:tr w:rsidR="00EA71BC" w:rsidRPr="000B4E2C" w14:paraId="760A55EF" w14:textId="77777777" w:rsidTr="000B4E2C">
        <w:trPr>
          <w:cantSplit/>
        </w:trPr>
        <w:tc>
          <w:tcPr>
            <w:tcW w:w="0" w:type="auto"/>
            <w:gridSpan w:val="6"/>
            <w:shd w:val="clear" w:color="auto" w:fill="D9D9D9" w:themeFill="background1" w:themeFillShade="D9"/>
            <w:noWrap/>
            <w:vAlign w:val="center"/>
          </w:tcPr>
          <w:p w14:paraId="44290DFC" w14:textId="4B8BFCB8" w:rsidR="00EA71BC" w:rsidRPr="000B4E2C" w:rsidRDefault="00EA71BC" w:rsidP="000B4E2C">
            <w:pPr>
              <w:spacing w:line="276" w:lineRule="auto"/>
              <w:rPr>
                <w:b/>
                <w:sz w:val="22"/>
              </w:rPr>
            </w:pPr>
            <w:r w:rsidRPr="000B4E2C">
              <w:rPr>
                <w:b/>
                <w:sz w:val="22"/>
              </w:rPr>
              <w:t>Utilities applied in the chronic (Markov) phase of the model</w:t>
            </w:r>
          </w:p>
        </w:tc>
      </w:tr>
      <w:tr w:rsidR="00EA71BC" w:rsidRPr="000B4E2C" w14:paraId="707CCD12" w14:textId="77777777" w:rsidTr="000B4E2C">
        <w:trPr>
          <w:cantSplit/>
        </w:trPr>
        <w:tc>
          <w:tcPr>
            <w:tcW w:w="0" w:type="auto"/>
            <w:noWrap/>
            <w:vAlign w:val="center"/>
            <w:hideMark/>
          </w:tcPr>
          <w:p w14:paraId="1C72FB3C" w14:textId="77777777" w:rsidR="00EA71BC" w:rsidRPr="000B4E2C" w:rsidRDefault="00EA71BC" w:rsidP="000B4E2C">
            <w:pPr>
              <w:spacing w:line="276" w:lineRule="auto"/>
              <w:rPr>
                <w:b/>
                <w:bCs/>
                <w:sz w:val="22"/>
              </w:rPr>
            </w:pPr>
            <w:r w:rsidRPr="000B4E2C">
              <w:rPr>
                <w:color w:val="000000" w:themeColor="text1"/>
                <w:sz w:val="22"/>
                <w:lang w:eastAsia="en-GB"/>
              </w:rPr>
              <w:t xml:space="preserve">Post discharge (year 1) </w:t>
            </w:r>
          </w:p>
        </w:tc>
        <w:tc>
          <w:tcPr>
            <w:tcW w:w="0" w:type="auto"/>
            <w:noWrap/>
            <w:vAlign w:val="center"/>
            <w:hideMark/>
          </w:tcPr>
          <w:p w14:paraId="021CDE07" w14:textId="77777777" w:rsidR="00EA71BC" w:rsidRPr="000B4E2C" w:rsidRDefault="00EA71BC" w:rsidP="000B4E2C">
            <w:pPr>
              <w:spacing w:line="276" w:lineRule="auto"/>
              <w:rPr>
                <w:sz w:val="22"/>
              </w:rPr>
            </w:pPr>
            <w:r w:rsidRPr="000B4E2C">
              <w:rPr>
                <w:color w:val="000000" w:themeColor="text1"/>
                <w:sz w:val="22"/>
                <w:lang w:eastAsia="en-GB"/>
              </w:rPr>
              <w:t>0.666</w:t>
            </w:r>
          </w:p>
        </w:tc>
        <w:tc>
          <w:tcPr>
            <w:tcW w:w="0" w:type="auto"/>
            <w:noWrap/>
            <w:vAlign w:val="center"/>
            <w:hideMark/>
          </w:tcPr>
          <w:p w14:paraId="287E72FC" w14:textId="55DF6D17" w:rsidR="00EA71BC" w:rsidRPr="000B4E2C" w:rsidRDefault="00EA71BC" w:rsidP="000B4E2C">
            <w:pPr>
              <w:spacing w:line="276" w:lineRule="auto"/>
              <w:rPr>
                <w:sz w:val="22"/>
              </w:rPr>
            </w:pPr>
            <w:r w:rsidRPr="000B4E2C">
              <w:rPr>
                <w:color w:val="000000" w:themeColor="text1"/>
                <w:sz w:val="22"/>
                <w:lang w:eastAsia="en-GB"/>
              </w:rPr>
              <w:t>0.016</w:t>
            </w:r>
          </w:p>
        </w:tc>
        <w:tc>
          <w:tcPr>
            <w:tcW w:w="0" w:type="auto"/>
            <w:vAlign w:val="center"/>
          </w:tcPr>
          <w:p w14:paraId="40DD2F52" w14:textId="6EE49C1C" w:rsidR="00EA71BC" w:rsidRPr="000B4E2C" w:rsidRDefault="00EA71BC" w:rsidP="000B4E2C">
            <w:pPr>
              <w:spacing w:line="276" w:lineRule="auto"/>
              <w:rPr>
                <w:color w:val="000000" w:themeColor="text1"/>
                <w:sz w:val="22"/>
                <w:lang w:eastAsia="en-GB"/>
              </w:rPr>
            </w:pPr>
            <w:r w:rsidRPr="000B4E2C">
              <w:rPr>
                <w:color w:val="000000" w:themeColor="text1"/>
                <w:sz w:val="22"/>
                <w:lang w:eastAsia="en-GB"/>
              </w:rPr>
              <w:t>0.655</w:t>
            </w:r>
          </w:p>
        </w:tc>
        <w:tc>
          <w:tcPr>
            <w:tcW w:w="0" w:type="auto"/>
            <w:noWrap/>
            <w:vAlign w:val="center"/>
            <w:hideMark/>
          </w:tcPr>
          <w:p w14:paraId="160DE91F" w14:textId="11CB5734" w:rsidR="00EA71BC" w:rsidRPr="000B4E2C" w:rsidRDefault="00EA71BC" w:rsidP="000B4E2C">
            <w:pPr>
              <w:spacing w:line="276" w:lineRule="auto"/>
              <w:rPr>
                <w:sz w:val="22"/>
              </w:rPr>
            </w:pPr>
            <w:r w:rsidRPr="000B4E2C">
              <w:rPr>
                <w:color w:val="000000" w:themeColor="text1"/>
                <w:sz w:val="22"/>
                <w:lang w:eastAsia="en-GB"/>
              </w:rPr>
              <w:t>Beta</w:t>
            </w:r>
          </w:p>
        </w:tc>
        <w:tc>
          <w:tcPr>
            <w:tcW w:w="0" w:type="auto"/>
            <w:noWrap/>
            <w:vAlign w:val="center"/>
            <w:hideMark/>
          </w:tcPr>
          <w:p w14:paraId="2EB4FDE4" w14:textId="23C2A445" w:rsidR="00EA71BC" w:rsidRPr="000B4E2C" w:rsidRDefault="00EA71BC" w:rsidP="000B4E2C">
            <w:pPr>
              <w:spacing w:line="276" w:lineRule="auto"/>
              <w:rPr>
                <w:sz w:val="22"/>
              </w:rPr>
            </w:pPr>
            <w:r w:rsidRPr="000B4E2C">
              <w:rPr>
                <w:color w:val="000000" w:themeColor="text1"/>
                <w:sz w:val="22"/>
                <w:lang w:eastAsia="en-GB"/>
              </w:rPr>
              <w:t>Cuthbertson</w:t>
            </w:r>
            <w:r w:rsidRPr="000B4E2C">
              <w:rPr>
                <w:i/>
                <w:color w:val="00B0F0"/>
                <w:sz w:val="22"/>
                <w:lang w:eastAsia="en-GB"/>
              </w:rPr>
              <w:t xml:space="preserve"> et al</w:t>
            </w:r>
            <w:r w:rsidRPr="000B4E2C">
              <w:rPr>
                <w:color w:val="000000" w:themeColor="text1"/>
                <w:sz w:val="22"/>
                <w:lang w:eastAsia="en-GB"/>
              </w:rPr>
              <w:t>.</w:t>
            </w:r>
            <w:r w:rsidR="000B4E2C" w:rsidRPr="000B4E2C">
              <w:rPr>
                <w:color w:val="000000" w:themeColor="text1"/>
                <w:sz w:val="22"/>
                <w:lang w:eastAsia="en-GB"/>
              </w:rPr>
              <w:t xml:space="preserve"> </w:t>
            </w:r>
            <w:r w:rsidRPr="000B4E2C">
              <w:rPr>
                <w:color w:val="000000" w:themeColor="text1"/>
                <w:sz w:val="22"/>
                <w:lang w:eastAsia="en-GB"/>
              </w:rPr>
              <w:t>2010</w:t>
            </w:r>
            <w:r w:rsidR="00280A97" w:rsidRPr="000B4E2C">
              <w:rPr>
                <w:noProof/>
                <w:color w:val="000000" w:themeColor="text1"/>
                <w:sz w:val="22"/>
                <w:vertAlign w:val="superscript"/>
                <w:lang w:eastAsia="en-GB"/>
              </w:rPr>
              <w:t>134</w:t>
            </w:r>
          </w:p>
        </w:tc>
      </w:tr>
      <w:tr w:rsidR="00EA71BC" w:rsidRPr="000B4E2C" w14:paraId="4CA89225" w14:textId="77777777" w:rsidTr="000B4E2C">
        <w:trPr>
          <w:cantSplit/>
        </w:trPr>
        <w:tc>
          <w:tcPr>
            <w:tcW w:w="0" w:type="auto"/>
            <w:noWrap/>
            <w:vAlign w:val="center"/>
            <w:hideMark/>
          </w:tcPr>
          <w:p w14:paraId="7ED4230C" w14:textId="52877B03" w:rsidR="00EA71BC" w:rsidRPr="000B4E2C" w:rsidRDefault="00EA71BC" w:rsidP="000B4E2C">
            <w:pPr>
              <w:spacing w:line="276" w:lineRule="auto"/>
              <w:rPr>
                <w:b/>
                <w:bCs/>
                <w:sz w:val="22"/>
              </w:rPr>
            </w:pPr>
            <w:r w:rsidRPr="000B4E2C">
              <w:rPr>
                <w:color w:val="000000" w:themeColor="text1"/>
                <w:sz w:val="22"/>
                <w:lang w:eastAsia="en-GB"/>
              </w:rPr>
              <w:t>Post discharge (years 2</w:t>
            </w:r>
            <w:r w:rsidR="000B4E2C" w:rsidRPr="000B4E2C">
              <w:rPr>
                <w:color w:val="00B0F0"/>
                <w:sz w:val="22"/>
                <w:lang w:eastAsia="en-GB"/>
              </w:rPr>
              <w:t>–</w:t>
            </w:r>
            <w:r w:rsidR="000B4E2C" w:rsidRPr="000B4E2C">
              <w:rPr>
                <w:color w:val="00B0F0"/>
                <w:sz w:val="22"/>
                <w:lang w:eastAsia="en-GB"/>
              </w:rPr>
              <w:t>4</w:t>
            </w:r>
            <w:r w:rsidRPr="000B4E2C">
              <w:rPr>
                <w:color w:val="000000" w:themeColor="text1"/>
                <w:sz w:val="22"/>
                <w:lang w:eastAsia="en-GB"/>
              </w:rPr>
              <w:t>)</w:t>
            </w:r>
          </w:p>
        </w:tc>
        <w:tc>
          <w:tcPr>
            <w:tcW w:w="0" w:type="auto"/>
            <w:noWrap/>
            <w:vAlign w:val="center"/>
            <w:hideMark/>
          </w:tcPr>
          <w:p w14:paraId="2B5178C6" w14:textId="77777777" w:rsidR="00EA71BC" w:rsidRPr="000B4E2C" w:rsidRDefault="00EA71BC" w:rsidP="000B4E2C">
            <w:pPr>
              <w:spacing w:line="276" w:lineRule="auto"/>
              <w:rPr>
                <w:sz w:val="22"/>
              </w:rPr>
            </w:pPr>
            <w:r w:rsidRPr="000B4E2C">
              <w:rPr>
                <w:color w:val="000000" w:themeColor="text1"/>
                <w:sz w:val="22"/>
                <w:lang w:eastAsia="en-GB"/>
              </w:rPr>
              <w:t>0.701</w:t>
            </w:r>
          </w:p>
        </w:tc>
        <w:tc>
          <w:tcPr>
            <w:tcW w:w="0" w:type="auto"/>
            <w:noWrap/>
            <w:vAlign w:val="center"/>
            <w:hideMark/>
          </w:tcPr>
          <w:p w14:paraId="6F930FAE" w14:textId="0D58CA69" w:rsidR="00EA71BC" w:rsidRPr="000B4E2C" w:rsidRDefault="00EA71BC" w:rsidP="000B4E2C">
            <w:pPr>
              <w:spacing w:line="276" w:lineRule="auto"/>
              <w:rPr>
                <w:sz w:val="22"/>
              </w:rPr>
            </w:pPr>
            <w:r w:rsidRPr="000B4E2C">
              <w:rPr>
                <w:color w:val="000000" w:themeColor="text1"/>
                <w:sz w:val="22"/>
                <w:lang w:eastAsia="en-GB"/>
              </w:rPr>
              <w:t>0.016</w:t>
            </w:r>
          </w:p>
        </w:tc>
        <w:tc>
          <w:tcPr>
            <w:tcW w:w="0" w:type="auto"/>
            <w:vAlign w:val="center"/>
          </w:tcPr>
          <w:p w14:paraId="78E10FA4" w14:textId="5345DE26" w:rsidR="00EA71BC" w:rsidRPr="000B4E2C" w:rsidRDefault="00EA71BC" w:rsidP="000B4E2C">
            <w:pPr>
              <w:spacing w:line="276" w:lineRule="auto"/>
              <w:rPr>
                <w:color w:val="000000" w:themeColor="text1"/>
                <w:sz w:val="22"/>
                <w:lang w:eastAsia="en-GB"/>
              </w:rPr>
            </w:pPr>
            <w:r w:rsidRPr="000B4E2C">
              <w:rPr>
                <w:color w:val="000000" w:themeColor="text1"/>
                <w:sz w:val="22"/>
                <w:lang w:eastAsia="en-GB"/>
              </w:rPr>
              <w:t>0.689</w:t>
            </w:r>
          </w:p>
        </w:tc>
        <w:tc>
          <w:tcPr>
            <w:tcW w:w="0" w:type="auto"/>
            <w:noWrap/>
            <w:vAlign w:val="center"/>
            <w:hideMark/>
          </w:tcPr>
          <w:p w14:paraId="77CD788C" w14:textId="006D36EF" w:rsidR="00EA71BC" w:rsidRPr="000B4E2C" w:rsidRDefault="00EA71BC" w:rsidP="000B4E2C">
            <w:pPr>
              <w:spacing w:line="276" w:lineRule="auto"/>
              <w:rPr>
                <w:sz w:val="22"/>
              </w:rPr>
            </w:pPr>
            <w:r w:rsidRPr="000B4E2C">
              <w:rPr>
                <w:color w:val="000000" w:themeColor="text1"/>
                <w:sz w:val="22"/>
                <w:lang w:eastAsia="en-GB"/>
              </w:rPr>
              <w:t>Beta</w:t>
            </w:r>
          </w:p>
        </w:tc>
        <w:tc>
          <w:tcPr>
            <w:tcW w:w="0" w:type="auto"/>
            <w:noWrap/>
            <w:vAlign w:val="center"/>
            <w:hideMark/>
          </w:tcPr>
          <w:p w14:paraId="20969A42" w14:textId="4038CC27" w:rsidR="00EA71BC" w:rsidRPr="000B4E2C" w:rsidRDefault="00EA71BC" w:rsidP="000B4E2C">
            <w:pPr>
              <w:spacing w:line="276" w:lineRule="auto"/>
              <w:rPr>
                <w:sz w:val="22"/>
              </w:rPr>
            </w:pPr>
            <w:r w:rsidRPr="000B4E2C">
              <w:rPr>
                <w:color w:val="000000" w:themeColor="text1"/>
                <w:sz w:val="22"/>
                <w:lang w:eastAsia="en-GB"/>
              </w:rPr>
              <w:t>Cuthbertson</w:t>
            </w:r>
            <w:r w:rsidRPr="000B4E2C">
              <w:rPr>
                <w:i/>
                <w:color w:val="00B0F0"/>
                <w:sz w:val="22"/>
                <w:lang w:eastAsia="en-GB"/>
              </w:rPr>
              <w:t xml:space="preserve"> et al</w:t>
            </w:r>
            <w:r w:rsidRPr="000B4E2C">
              <w:rPr>
                <w:color w:val="000000" w:themeColor="text1"/>
                <w:sz w:val="22"/>
                <w:lang w:eastAsia="en-GB"/>
              </w:rPr>
              <w:t>. 2010</w:t>
            </w:r>
            <w:r w:rsidR="00280A97" w:rsidRPr="000B4E2C">
              <w:rPr>
                <w:noProof/>
                <w:color w:val="000000" w:themeColor="text1"/>
                <w:sz w:val="22"/>
                <w:vertAlign w:val="superscript"/>
                <w:lang w:eastAsia="en-GB"/>
              </w:rPr>
              <w:t>134</w:t>
            </w:r>
          </w:p>
        </w:tc>
      </w:tr>
      <w:tr w:rsidR="00EA71BC" w:rsidRPr="000B4E2C" w14:paraId="39EE16B2" w14:textId="77777777" w:rsidTr="000B4E2C">
        <w:trPr>
          <w:cantSplit/>
        </w:trPr>
        <w:tc>
          <w:tcPr>
            <w:tcW w:w="0" w:type="auto"/>
            <w:noWrap/>
            <w:vAlign w:val="center"/>
            <w:hideMark/>
          </w:tcPr>
          <w:p w14:paraId="79FB69CF" w14:textId="77777777" w:rsidR="00EA71BC" w:rsidRPr="000B4E2C" w:rsidRDefault="00EA71BC" w:rsidP="000B4E2C">
            <w:pPr>
              <w:spacing w:line="276" w:lineRule="auto"/>
              <w:rPr>
                <w:b/>
                <w:bCs/>
                <w:sz w:val="22"/>
              </w:rPr>
            </w:pPr>
            <w:r w:rsidRPr="000B4E2C">
              <w:rPr>
                <w:color w:val="000000" w:themeColor="text1"/>
                <w:sz w:val="22"/>
                <w:lang w:eastAsia="en-GB"/>
              </w:rPr>
              <w:t>Post discharge (year 5 onwards)</w:t>
            </w:r>
          </w:p>
        </w:tc>
        <w:tc>
          <w:tcPr>
            <w:tcW w:w="0" w:type="auto"/>
            <w:noWrap/>
            <w:vAlign w:val="center"/>
            <w:hideMark/>
          </w:tcPr>
          <w:p w14:paraId="3D171845" w14:textId="77777777" w:rsidR="00EA71BC" w:rsidRPr="000B4E2C" w:rsidRDefault="00EA71BC" w:rsidP="000B4E2C">
            <w:pPr>
              <w:spacing w:line="276" w:lineRule="auto"/>
              <w:rPr>
                <w:sz w:val="22"/>
              </w:rPr>
            </w:pPr>
            <w:r w:rsidRPr="000B4E2C">
              <w:rPr>
                <w:color w:val="000000" w:themeColor="text1"/>
                <w:sz w:val="22"/>
                <w:lang w:eastAsia="en-GB"/>
              </w:rPr>
              <w:t>0.677</w:t>
            </w:r>
          </w:p>
        </w:tc>
        <w:tc>
          <w:tcPr>
            <w:tcW w:w="0" w:type="auto"/>
            <w:noWrap/>
            <w:vAlign w:val="center"/>
            <w:hideMark/>
          </w:tcPr>
          <w:p w14:paraId="3A0AE276" w14:textId="6A6F9692" w:rsidR="00EA71BC" w:rsidRPr="000B4E2C" w:rsidRDefault="00EA71BC" w:rsidP="000B4E2C">
            <w:pPr>
              <w:spacing w:line="276" w:lineRule="auto"/>
              <w:rPr>
                <w:sz w:val="22"/>
              </w:rPr>
            </w:pPr>
            <w:r w:rsidRPr="000B4E2C">
              <w:rPr>
                <w:color w:val="000000" w:themeColor="text1"/>
                <w:sz w:val="22"/>
                <w:lang w:eastAsia="en-GB"/>
              </w:rPr>
              <w:t>0.017</w:t>
            </w:r>
          </w:p>
        </w:tc>
        <w:tc>
          <w:tcPr>
            <w:tcW w:w="0" w:type="auto"/>
            <w:vAlign w:val="center"/>
          </w:tcPr>
          <w:p w14:paraId="4AE1612B" w14:textId="3A684679" w:rsidR="00EA71BC" w:rsidRPr="000B4E2C" w:rsidRDefault="00EA71BC" w:rsidP="000B4E2C">
            <w:pPr>
              <w:spacing w:line="276" w:lineRule="auto"/>
              <w:rPr>
                <w:color w:val="000000" w:themeColor="text1"/>
                <w:sz w:val="22"/>
                <w:lang w:eastAsia="en-GB"/>
              </w:rPr>
            </w:pPr>
            <w:r w:rsidRPr="000B4E2C">
              <w:rPr>
                <w:color w:val="000000" w:themeColor="text1"/>
                <w:sz w:val="22"/>
                <w:lang w:eastAsia="en-GB"/>
              </w:rPr>
              <w:t>0.665</w:t>
            </w:r>
          </w:p>
        </w:tc>
        <w:tc>
          <w:tcPr>
            <w:tcW w:w="0" w:type="auto"/>
            <w:noWrap/>
            <w:vAlign w:val="center"/>
            <w:hideMark/>
          </w:tcPr>
          <w:p w14:paraId="4E9EA913" w14:textId="6D21F5D8" w:rsidR="00EA71BC" w:rsidRPr="000B4E2C" w:rsidRDefault="00EA71BC" w:rsidP="000B4E2C">
            <w:pPr>
              <w:spacing w:line="276" w:lineRule="auto"/>
              <w:rPr>
                <w:sz w:val="22"/>
              </w:rPr>
            </w:pPr>
            <w:r w:rsidRPr="000B4E2C">
              <w:rPr>
                <w:color w:val="000000" w:themeColor="text1"/>
                <w:sz w:val="22"/>
                <w:lang w:eastAsia="en-GB"/>
              </w:rPr>
              <w:t>Beta</w:t>
            </w:r>
          </w:p>
        </w:tc>
        <w:tc>
          <w:tcPr>
            <w:tcW w:w="0" w:type="auto"/>
            <w:noWrap/>
            <w:vAlign w:val="center"/>
            <w:hideMark/>
          </w:tcPr>
          <w:p w14:paraId="37C9206F" w14:textId="7EFBF0E4" w:rsidR="00EA71BC" w:rsidRPr="000B4E2C" w:rsidRDefault="00EA71BC" w:rsidP="000B4E2C">
            <w:pPr>
              <w:spacing w:line="276" w:lineRule="auto"/>
              <w:rPr>
                <w:sz w:val="22"/>
              </w:rPr>
            </w:pPr>
            <w:r w:rsidRPr="000B4E2C">
              <w:rPr>
                <w:color w:val="000000" w:themeColor="text1"/>
                <w:sz w:val="22"/>
                <w:lang w:eastAsia="en-GB"/>
              </w:rPr>
              <w:t>Cuthbertson</w:t>
            </w:r>
            <w:r w:rsidRPr="000B4E2C">
              <w:rPr>
                <w:i/>
                <w:color w:val="00B0F0"/>
                <w:sz w:val="22"/>
                <w:lang w:eastAsia="en-GB"/>
              </w:rPr>
              <w:t xml:space="preserve"> et al</w:t>
            </w:r>
            <w:r w:rsidRPr="000B4E2C">
              <w:rPr>
                <w:color w:val="000000" w:themeColor="text1"/>
                <w:sz w:val="22"/>
                <w:lang w:eastAsia="en-GB"/>
              </w:rPr>
              <w:t>. 2010</w:t>
            </w:r>
            <w:r w:rsidR="00280A97" w:rsidRPr="000B4E2C">
              <w:rPr>
                <w:noProof/>
                <w:color w:val="000000" w:themeColor="text1"/>
                <w:sz w:val="22"/>
                <w:vertAlign w:val="superscript"/>
                <w:lang w:eastAsia="en-GB"/>
              </w:rPr>
              <w:t>134</w:t>
            </w:r>
          </w:p>
        </w:tc>
      </w:tr>
      <w:tr w:rsidR="00EA71BC" w:rsidRPr="000B4E2C" w14:paraId="3A2386F7" w14:textId="77777777" w:rsidTr="000B4E2C">
        <w:trPr>
          <w:cantSplit/>
        </w:trPr>
        <w:tc>
          <w:tcPr>
            <w:tcW w:w="0" w:type="auto"/>
            <w:noWrap/>
            <w:vAlign w:val="center"/>
            <w:hideMark/>
          </w:tcPr>
          <w:p w14:paraId="7DE9725E" w14:textId="430074BF" w:rsidR="00EA71BC" w:rsidRPr="000B4E2C" w:rsidRDefault="00EA71BC" w:rsidP="000B4E2C">
            <w:pPr>
              <w:spacing w:line="276" w:lineRule="auto"/>
              <w:rPr>
                <w:b/>
                <w:bCs/>
                <w:sz w:val="22"/>
              </w:rPr>
            </w:pPr>
            <w:r w:rsidRPr="000B4E2C">
              <w:rPr>
                <w:color w:val="000000" w:themeColor="text1"/>
                <w:sz w:val="22"/>
                <w:lang w:eastAsia="en-GB"/>
              </w:rPr>
              <w:t>CKD (1</w:t>
            </w:r>
            <w:r w:rsidR="000B4E2C" w:rsidRPr="000B4E2C">
              <w:rPr>
                <w:color w:val="00B0F0"/>
                <w:sz w:val="22"/>
                <w:lang w:eastAsia="en-GB"/>
              </w:rPr>
              <w:t>–</w:t>
            </w:r>
            <w:r w:rsidR="000B4E2C" w:rsidRPr="000B4E2C">
              <w:rPr>
                <w:color w:val="00B0F0"/>
                <w:sz w:val="22"/>
                <w:lang w:eastAsia="en-GB"/>
              </w:rPr>
              <w:t>4</w:t>
            </w:r>
            <w:r w:rsidRPr="000B4E2C">
              <w:rPr>
                <w:color w:val="000000" w:themeColor="text1"/>
                <w:sz w:val="22"/>
                <w:lang w:eastAsia="en-GB"/>
              </w:rPr>
              <w:t xml:space="preserve">) </w:t>
            </w:r>
            <w:r w:rsidRPr="000B4E2C">
              <w:rPr>
                <w:color w:val="000000" w:themeColor="text1"/>
                <w:sz w:val="22"/>
                <w:vertAlign w:val="superscript"/>
                <w:lang w:eastAsia="en-GB"/>
              </w:rPr>
              <w:t>C, E</w:t>
            </w:r>
          </w:p>
        </w:tc>
        <w:tc>
          <w:tcPr>
            <w:tcW w:w="0" w:type="auto"/>
            <w:noWrap/>
            <w:vAlign w:val="center"/>
            <w:hideMark/>
          </w:tcPr>
          <w:p w14:paraId="7FD579D4" w14:textId="77777777" w:rsidR="00EA71BC" w:rsidRPr="000B4E2C" w:rsidRDefault="00EA71BC" w:rsidP="000B4E2C">
            <w:pPr>
              <w:spacing w:line="276" w:lineRule="auto"/>
              <w:rPr>
                <w:sz w:val="22"/>
              </w:rPr>
            </w:pPr>
            <w:r w:rsidRPr="000B4E2C">
              <w:rPr>
                <w:color w:val="000000" w:themeColor="text1"/>
                <w:sz w:val="22"/>
                <w:lang w:eastAsia="en-GB"/>
              </w:rPr>
              <w:t>--</w:t>
            </w:r>
          </w:p>
        </w:tc>
        <w:tc>
          <w:tcPr>
            <w:tcW w:w="0" w:type="auto"/>
            <w:noWrap/>
            <w:vAlign w:val="center"/>
            <w:hideMark/>
          </w:tcPr>
          <w:p w14:paraId="3BAFB99E" w14:textId="7E358537" w:rsidR="00EA71BC" w:rsidRPr="000B4E2C" w:rsidRDefault="00EA71BC" w:rsidP="000B4E2C">
            <w:pPr>
              <w:spacing w:line="276" w:lineRule="auto"/>
              <w:rPr>
                <w:sz w:val="22"/>
              </w:rPr>
            </w:pPr>
            <w:r w:rsidRPr="000B4E2C">
              <w:rPr>
                <w:color w:val="000000" w:themeColor="text1"/>
                <w:sz w:val="22"/>
                <w:lang w:eastAsia="en-GB"/>
              </w:rPr>
              <w:t>--</w:t>
            </w:r>
          </w:p>
        </w:tc>
        <w:tc>
          <w:tcPr>
            <w:tcW w:w="0" w:type="auto"/>
            <w:vAlign w:val="center"/>
          </w:tcPr>
          <w:p w14:paraId="5F41CC9A" w14:textId="4D6474A9" w:rsidR="00EA71BC" w:rsidRPr="000B4E2C" w:rsidRDefault="00EA71BC" w:rsidP="000B4E2C">
            <w:pPr>
              <w:spacing w:line="276" w:lineRule="auto"/>
              <w:rPr>
                <w:color w:val="000000" w:themeColor="text1"/>
                <w:sz w:val="22"/>
                <w:lang w:eastAsia="en-GB"/>
              </w:rPr>
            </w:pPr>
            <w:r w:rsidRPr="000B4E2C">
              <w:rPr>
                <w:color w:val="000000" w:themeColor="text1"/>
                <w:sz w:val="22"/>
                <w:lang w:eastAsia="en-GB"/>
              </w:rPr>
              <w:t>0.575</w:t>
            </w:r>
          </w:p>
        </w:tc>
        <w:tc>
          <w:tcPr>
            <w:tcW w:w="0" w:type="auto"/>
            <w:noWrap/>
            <w:vAlign w:val="center"/>
            <w:hideMark/>
          </w:tcPr>
          <w:p w14:paraId="5F70C920" w14:textId="435998A5" w:rsidR="00EA71BC" w:rsidRPr="000B4E2C" w:rsidRDefault="00EA71BC" w:rsidP="000B4E2C">
            <w:pPr>
              <w:spacing w:line="276" w:lineRule="auto"/>
              <w:rPr>
                <w:sz w:val="22"/>
              </w:rPr>
            </w:pPr>
            <w:r w:rsidRPr="000B4E2C">
              <w:rPr>
                <w:color w:val="000000" w:themeColor="text1"/>
                <w:sz w:val="22"/>
                <w:lang w:eastAsia="en-GB"/>
              </w:rPr>
              <w:t>Beta</w:t>
            </w:r>
          </w:p>
        </w:tc>
        <w:tc>
          <w:tcPr>
            <w:tcW w:w="0" w:type="auto"/>
            <w:noWrap/>
            <w:vAlign w:val="center"/>
            <w:hideMark/>
          </w:tcPr>
          <w:p w14:paraId="04E0AB98" w14:textId="1A2995BE" w:rsidR="00EA71BC" w:rsidRPr="000B4E2C" w:rsidRDefault="00EA71BC" w:rsidP="000B4E2C">
            <w:pPr>
              <w:spacing w:line="276" w:lineRule="auto"/>
              <w:rPr>
                <w:sz w:val="22"/>
              </w:rPr>
            </w:pPr>
            <w:r w:rsidRPr="000B4E2C">
              <w:rPr>
                <w:color w:val="000000" w:themeColor="text1"/>
                <w:sz w:val="22"/>
                <w:lang w:eastAsia="en-GB"/>
              </w:rPr>
              <w:t>Nguyen</w:t>
            </w:r>
            <w:r w:rsidRPr="000B4E2C">
              <w:rPr>
                <w:i/>
                <w:color w:val="00B0F0"/>
                <w:sz w:val="22"/>
                <w:lang w:eastAsia="en-GB"/>
              </w:rPr>
              <w:t xml:space="preserve"> et al</w:t>
            </w:r>
            <w:r w:rsidRPr="000B4E2C">
              <w:rPr>
                <w:color w:val="000000" w:themeColor="text1"/>
                <w:sz w:val="22"/>
                <w:lang w:eastAsia="en-GB"/>
              </w:rPr>
              <w:t>. 2018</w:t>
            </w:r>
            <w:r w:rsidR="00280A97" w:rsidRPr="000B4E2C">
              <w:rPr>
                <w:noProof/>
                <w:color w:val="000000" w:themeColor="text1"/>
                <w:sz w:val="22"/>
                <w:vertAlign w:val="superscript"/>
                <w:lang w:eastAsia="en-GB"/>
              </w:rPr>
              <w:t>135</w:t>
            </w:r>
          </w:p>
        </w:tc>
      </w:tr>
      <w:tr w:rsidR="00EA71BC" w:rsidRPr="000B4E2C" w14:paraId="48B05437" w14:textId="77777777" w:rsidTr="000B4E2C">
        <w:trPr>
          <w:cantSplit/>
        </w:trPr>
        <w:tc>
          <w:tcPr>
            <w:tcW w:w="0" w:type="auto"/>
            <w:noWrap/>
            <w:vAlign w:val="center"/>
            <w:hideMark/>
          </w:tcPr>
          <w:p w14:paraId="7FFD73AA" w14:textId="767013BA" w:rsidR="00EA71BC" w:rsidRPr="000B4E2C" w:rsidRDefault="00EA71BC" w:rsidP="000B4E2C">
            <w:pPr>
              <w:spacing w:line="276" w:lineRule="auto"/>
              <w:rPr>
                <w:b/>
                <w:bCs/>
                <w:sz w:val="22"/>
              </w:rPr>
            </w:pPr>
            <w:r w:rsidRPr="000B4E2C">
              <w:rPr>
                <w:color w:val="000000" w:themeColor="text1"/>
                <w:sz w:val="22"/>
                <w:lang w:eastAsia="en-GB"/>
              </w:rPr>
              <w:t xml:space="preserve">ESRD </w:t>
            </w:r>
            <w:r w:rsidRPr="000B4E2C">
              <w:rPr>
                <w:color w:val="000000" w:themeColor="text1"/>
                <w:sz w:val="22"/>
                <w:vertAlign w:val="superscript"/>
                <w:lang w:eastAsia="en-GB"/>
              </w:rPr>
              <w:t>E</w:t>
            </w:r>
          </w:p>
        </w:tc>
        <w:tc>
          <w:tcPr>
            <w:tcW w:w="0" w:type="auto"/>
            <w:noWrap/>
            <w:vAlign w:val="center"/>
            <w:hideMark/>
          </w:tcPr>
          <w:p w14:paraId="394B3AF7" w14:textId="77777777" w:rsidR="00EA71BC" w:rsidRPr="000B4E2C" w:rsidRDefault="00EA71BC" w:rsidP="000B4E2C">
            <w:pPr>
              <w:spacing w:line="276" w:lineRule="auto"/>
              <w:rPr>
                <w:sz w:val="22"/>
              </w:rPr>
            </w:pPr>
            <w:r w:rsidRPr="000B4E2C">
              <w:rPr>
                <w:color w:val="000000" w:themeColor="text1"/>
                <w:sz w:val="22"/>
                <w:lang w:eastAsia="en-GB"/>
              </w:rPr>
              <w:t>--</w:t>
            </w:r>
          </w:p>
        </w:tc>
        <w:tc>
          <w:tcPr>
            <w:tcW w:w="0" w:type="auto"/>
            <w:noWrap/>
            <w:vAlign w:val="center"/>
            <w:hideMark/>
          </w:tcPr>
          <w:p w14:paraId="1621F977" w14:textId="6CBD6C45" w:rsidR="00EA71BC" w:rsidRPr="000B4E2C" w:rsidRDefault="00EA71BC" w:rsidP="000B4E2C">
            <w:pPr>
              <w:spacing w:line="276" w:lineRule="auto"/>
              <w:rPr>
                <w:sz w:val="22"/>
              </w:rPr>
            </w:pPr>
            <w:r w:rsidRPr="000B4E2C">
              <w:rPr>
                <w:color w:val="000000" w:themeColor="text1"/>
                <w:sz w:val="22"/>
                <w:lang w:eastAsia="en-GB"/>
              </w:rPr>
              <w:t>--</w:t>
            </w:r>
          </w:p>
        </w:tc>
        <w:tc>
          <w:tcPr>
            <w:tcW w:w="0" w:type="auto"/>
            <w:vAlign w:val="center"/>
          </w:tcPr>
          <w:p w14:paraId="632EC1B3" w14:textId="21DC5608" w:rsidR="00EA71BC" w:rsidRPr="000B4E2C" w:rsidRDefault="00EA71BC" w:rsidP="000B4E2C">
            <w:pPr>
              <w:spacing w:line="276" w:lineRule="auto"/>
              <w:rPr>
                <w:color w:val="000000" w:themeColor="text1"/>
                <w:sz w:val="22"/>
                <w:lang w:eastAsia="en-GB"/>
              </w:rPr>
            </w:pPr>
            <w:r w:rsidRPr="000B4E2C">
              <w:rPr>
                <w:color w:val="000000" w:themeColor="text1"/>
                <w:sz w:val="22"/>
                <w:lang w:eastAsia="en-GB"/>
              </w:rPr>
              <w:t>0.396</w:t>
            </w:r>
          </w:p>
        </w:tc>
        <w:tc>
          <w:tcPr>
            <w:tcW w:w="0" w:type="auto"/>
            <w:noWrap/>
            <w:vAlign w:val="center"/>
            <w:hideMark/>
          </w:tcPr>
          <w:p w14:paraId="306BF4A4" w14:textId="7A5327E7" w:rsidR="00EA71BC" w:rsidRPr="000B4E2C" w:rsidRDefault="00EA71BC" w:rsidP="000B4E2C">
            <w:pPr>
              <w:spacing w:line="276" w:lineRule="auto"/>
              <w:rPr>
                <w:sz w:val="22"/>
              </w:rPr>
            </w:pPr>
            <w:r w:rsidRPr="000B4E2C">
              <w:rPr>
                <w:color w:val="000000" w:themeColor="text1"/>
                <w:sz w:val="22"/>
                <w:lang w:eastAsia="en-GB"/>
              </w:rPr>
              <w:t>Beta</w:t>
            </w:r>
          </w:p>
        </w:tc>
        <w:tc>
          <w:tcPr>
            <w:tcW w:w="0" w:type="auto"/>
            <w:noWrap/>
            <w:vAlign w:val="center"/>
            <w:hideMark/>
          </w:tcPr>
          <w:p w14:paraId="38950A13" w14:textId="703867F4" w:rsidR="00EA71BC" w:rsidRPr="000B4E2C" w:rsidRDefault="00EA71BC" w:rsidP="000B4E2C">
            <w:pPr>
              <w:spacing w:line="276" w:lineRule="auto"/>
              <w:rPr>
                <w:sz w:val="22"/>
              </w:rPr>
            </w:pPr>
            <w:r w:rsidRPr="000B4E2C">
              <w:rPr>
                <w:color w:val="000000" w:themeColor="text1"/>
                <w:sz w:val="22"/>
                <w:lang w:eastAsia="en-GB"/>
              </w:rPr>
              <w:t>Nguyen</w:t>
            </w:r>
            <w:r w:rsidRPr="000B4E2C">
              <w:rPr>
                <w:i/>
                <w:color w:val="00B0F0"/>
                <w:sz w:val="22"/>
                <w:lang w:eastAsia="en-GB"/>
              </w:rPr>
              <w:t xml:space="preserve"> et al</w:t>
            </w:r>
            <w:r w:rsidRPr="000B4E2C">
              <w:rPr>
                <w:color w:val="000000" w:themeColor="text1"/>
                <w:sz w:val="22"/>
                <w:lang w:eastAsia="en-GB"/>
              </w:rPr>
              <w:t>. 2018</w:t>
            </w:r>
            <w:r w:rsidR="00280A97" w:rsidRPr="000B4E2C">
              <w:rPr>
                <w:noProof/>
                <w:color w:val="000000" w:themeColor="text1"/>
                <w:sz w:val="22"/>
                <w:vertAlign w:val="superscript"/>
                <w:lang w:eastAsia="en-GB"/>
              </w:rPr>
              <w:t>135</w:t>
            </w:r>
          </w:p>
        </w:tc>
      </w:tr>
      <w:tr w:rsidR="00EA71BC" w:rsidRPr="000B4E2C" w14:paraId="38911BF6" w14:textId="77777777" w:rsidTr="000B4E2C">
        <w:trPr>
          <w:cantSplit/>
        </w:trPr>
        <w:tc>
          <w:tcPr>
            <w:tcW w:w="0" w:type="auto"/>
            <w:noWrap/>
            <w:vAlign w:val="center"/>
            <w:hideMark/>
          </w:tcPr>
          <w:p w14:paraId="2F9BAF9A" w14:textId="00D3A72A" w:rsidR="00EA71BC" w:rsidRPr="000B4E2C" w:rsidRDefault="00EA71BC" w:rsidP="000B4E2C">
            <w:pPr>
              <w:spacing w:line="276" w:lineRule="auto"/>
              <w:rPr>
                <w:b/>
                <w:bCs/>
                <w:sz w:val="22"/>
              </w:rPr>
            </w:pPr>
            <w:r w:rsidRPr="000B4E2C">
              <w:rPr>
                <w:color w:val="000000" w:themeColor="text1"/>
                <w:sz w:val="22"/>
                <w:lang w:eastAsia="en-GB"/>
              </w:rPr>
              <w:lastRenderedPageBreak/>
              <w:t>ESRD: HD</w:t>
            </w:r>
            <w:r w:rsidRPr="000B4E2C">
              <w:rPr>
                <w:color w:val="000000" w:themeColor="text1"/>
                <w:sz w:val="22"/>
                <w:vertAlign w:val="superscript"/>
                <w:lang w:eastAsia="en-GB"/>
              </w:rPr>
              <w:t>D</w:t>
            </w:r>
          </w:p>
        </w:tc>
        <w:tc>
          <w:tcPr>
            <w:tcW w:w="0" w:type="auto"/>
            <w:noWrap/>
            <w:vAlign w:val="center"/>
            <w:hideMark/>
          </w:tcPr>
          <w:p w14:paraId="02AC76D3" w14:textId="77777777" w:rsidR="00EA71BC" w:rsidRPr="000B4E2C" w:rsidRDefault="00EA71BC" w:rsidP="000B4E2C">
            <w:pPr>
              <w:spacing w:line="276" w:lineRule="auto"/>
              <w:rPr>
                <w:sz w:val="22"/>
              </w:rPr>
            </w:pPr>
            <w:r w:rsidRPr="000B4E2C">
              <w:rPr>
                <w:color w:val="000000" w:themeColor="text1"/>
                <w:sz w:val="22"/>
                <w:lang w:eastAsia="en-GB"/>
              </w:rPr>
              <w:t>0.560</w:t>
            </w:r>
          </w:p>
        </w:tc>
        <w:tc>
          <w:tcPr>
            <w:tcW w:w="0" w:type="auto"/>
            <w:noWrap/>
            <w:vAlign w:val="center"/>
            <w:hideMark/>
          </w:tcPr>
          <w:p w14:paraId="2D5721E5" w14:textId="35CF3CF3" w:rsidR="00EA71BC" w:rsidRPr="000B4E2C" w:rsidRDefault="00EA71BC" w:rsidP="000B4E2C">
            <w:pPr>
              <w:spacing w:line="276" w:lineRule="auto"/>
              <w:rPr>
                <w:sz w:val="22"/>
              </w:rPr>
            </w:pPr>
            <w:r w:rsidRPr="000B4E2C">
              <w:rPr>
                <w:color w:val="000000" w:themeColor="text1"/>
                <w:sz w:val="22"/>
                <w:lang w:eastAsia="en-GB"/>
              </w:rPr>
              <w:t>0.033</w:t>
            </w:r>
          </w:p>
        </w:tc>
        <w:tc>
          <w:tcPr>
            <w:tcW w:w="0" w:type="auto"/>
            <w:vAlign w:val="center"/>
          </w:tcPr>
          <w:p w14:paraId="43F2660A" w14:textId="1CDD3432" w:rsidR="00EA71BC" w:rsidRPr="000B4E2C" w:rsidRDefault="00EA71BC" w:rsidP="000B4E2C">
            <w:pPr>
              <w:spacing w:line="276" w:lineRule="auto"/>
              <w:rPr>
                <w:color w:val="000000" w:themeColor="text1"/>
                <w:sz w:val="22"/>
                <w:lang w:eastAsia="en-GB"/>
              </w:rPr>
            </w:pPr>
            <w:r w:rsidRPr="000B4E2C">
              <w:rPr>
                <w:color w:val="000000" w:themeColor="text1"/>
                <w:sz w:val="22"/>
                <w:lang w:eastAsia="en-GB"/>
              </w:rPr>
              <w:t>0.551</w:t>
            </w:r>
          </w:p>
        </w:tc>
        <w:tc>
          <w:tcPr>
            <w:tcW w:w="0" w:type="auto"/>
            <w:noWrap/>
            <w:vAlign w:val="center"/>
            <w:hideMark/>
          </w:tcPr>
          <w:p w14:paraId="02BC0C3D" w14:textId="13C9E8BD" w:rsidR="00EA71BC" w:rsidRPr="000B4E2C" w:rsidRDefault="00EA71BC" w:rsidP="000B4E2C">
            <w:pPr>
              <w:spacing w:line="276" w:lineRule="auto"/>
              <w:rPr>
                <w:sz w:val="22"/>
              </w:rPr>
            </w:pPr>
            <w:r w:rsidRPr="000B4E2C">
              <w:rPr>
                <w:color w:val="000000" w:themeColor="text1"/>
                <w:sz w:val="22"/>
                <w:lang w:eastAsia="en-GB"/>
              </w:rPr>
              <w:t>Beta</w:t>
            </w:r>
          </w:p>
        </w:tc>
        <w:tc>
          <w:tcPr>
            <w:tcW w:w="0" w:type="auto"/>
            <w:noWrap/>
            <w:vAlign w:val="center"/>
            <w:hideMark/>
          </w:tcPr>
          <w:p w14:paraId="35A8E138" w14:textId="77777777" w:rsidR="000B4E2C" w:rsidRPr="000B4E2C" w:rsidRDefault="00EA71BC" w:rsidP="000B4E2C">
            <w:pPr>
              <w:tabs>
                <w:tab w:val="num" w:pos="1364"/>
                <w:tab w:val="center" w:pos="4153"/>
                <w:tab w:val="right" w:pos="8306"/>
              </w:tabs>
              <w:spacing w:line="276" w:lineRule="auto"/>
              <w:contextualSpacing/>
              <w:rPr>
                <w:color w:val="000000" w:themeColor="text1"/>
                <w:sz w:val="22"/>
                <w:lang w:val="da-DK" w:eastAsia="en-GB"/>
              </w:rPr>
            </w:pPr>
            <w:r w:rsidRPr="000B4E2C">
              <w:rPr>
                <w:color w:val="000000" w:themeColor="text1"/>
                <w:sz w:val="22"/>
                <w:lang w:val="da-DK" w:eastAsia="en-GB"/>
              </w:rPr>
              <w:t>Liem</w:t>
            </w:r>
            <w:r w:rsidRPr="000B4E2C">
              <w:rPr>
                <w:i/>
                <w:color w:val="00B0F0"/>
                <w:sz w:val="22"/>
                <w:lang w:val="da-DK" w:eastAsia="en-GB"/>
              </w:rPr>
              <w:t xml:space="preserve"> et al</w:t>
            </w:r>
            <w:r w:rsidRPr="000B4E2C">
              <w:rPr>
                <w:color w:val="000000" w:themeColor="text1"/>
                <w:sz w:val="22"/>
                <w:lang w:val="da-DK" w:eastAsia="en-GB"/>
              </w:rPr>
              <w:t>. 2008</w:t>
            </w:r>
            <w:r w:rsidR="00280A97" w:rsidRPr="000B4E2C">
              <w:rPr>
                <w:noProof/>
                <w:color w:val="000000" w:themeColor="text1"/>
                <w:sz w:val="22"/>
                <w:vertAlign w:val="superscript"/>
                <w:lang w:val="da-DK" w:eastAsia="en-GB"/>
              </w:rPr>
              <w:t>136</w:t>
            </w:r>
            <w:r w:rsidRPr="000B4E2C">
              <w:rPr>
                <w:color w:val="000000" w:themeColor="text1"/>
                <w:sz w:val="22"/>
                <w:lang w:val="da-DK" w:eastAsia="en-GB"/>
              </w:rPr>
              <w:t>;</w:t>
            </w:r>
          </w:p>
          <w:p w14:paraId="1E7CE605" w14:textId="5B4D0AEC" w:rsidR="00EA71BC" w:rsidRPr="000B4E2C" w:rsidRDefault="00EA71BC" w:rsidP="000B4E2C">
            <w:pPr>
              <w:spacing w:line="276" w:lineRule="auto"/>
              <w:rPr>
                <w:rFonts w:eastAsiaTheme="minorHAnsi"/>
                <w:sz w:val="22"/>
                <w:lang w:val="en-GB"/>
              </w:rPr>
            </w:pPr>
            <w:r w:rsidRPr="000B4E2C">
              <w:rPr>
                <w:color w:val="000000" w:themeColor="text1"/>
                <w:sz w:val="22"/>
                <w:lang w:val="da-DK" w:eastAsia="en-GB"/>
              </w:rPr>
              <w:t>Ara and Brazier, 2010</w:t>
            </w:r>
            <w:r w:rsidR="00280A97" w:rsidRPr="000B4E2C">
              <w:rPr>
                <w:noProof/>
                <w:color w:val="000000" w:themeColor="text1"/>
                <w:sz w:val="22"/>
                <w:vertAlign w:val="superscript"/>
                <w:lang w:val="da-DK" w:eastAsia="en-GB"/>
              </w:rPr>
              <w:t>137</w:t>
            </w:r>
          </w:p>
        </w:tc>
      </w:tr>
      <w:tr w:rsidR="00EA71BC" w:rsidRPr="000B4E2C" w14:paraId="13C3076D" w14:textId="77777777" w:rsidTr="000B4E2C">
        <w:trPr>
          <w:cantSplit/>
        </w:trPr>
        <w:tc>
          <w:tcPr>
            <w:tcW w:w="0" w:type="auto"/>
            <w:noWrap/>
            <w:vAlign w:val="center"/>
            <w:hideMark/>
          </w:tcPr>
          <w:p w14:paraId="31EA8FE0" w14:textId="6DB1AE85" w:rsidR="00EA71BC" w:rsidRPr="000B4E2C" w:rsidRDefault="00EA71BC" w:rsidP="000B4E2C">
            <w:pPr>
              <w:spacing w:line="276" w:lineRule="auto"/>
              <w:rPr>
                <w:b/>
                <w:bCs/>
                <w:sz w:val="22"/>
              </w:rPr>
            </w:pPr>
            <w:r w:rsidRPr="000B4E2C">
              <w:rPr>
                <w:color w:val="000000" w:themeColor="text1"/>
                <w:sz w:val="22"/>
                <w:lang w:eastAsia="en-GB"/>
              </w:rPr>
              <w:t>ESRD: PD</w:t>
            </w:r>
            <w:r w:rsidRPr="000B4E2C">
              <w:rPr>
                <w:color w:val="000000" w:themeColor="text1"/>
                <w:sz w:val="22"/>
                <w:vertAlign w:val="superscript"/>
                <w:lang w:eastAsia="en-GB"/>
              </w:rPr>
              <w:t>D</w:t>
            </w:r>
          </w:p>
        </w:tc>
        <w:tc>
          <w:tcPr>
            <w:tcW w:w="0" w:type="auto"/>
            <w:noWrap/>
            <w:vAlign w:val="center"/>
            <w:hideMark/>
          </w:tcPr>
          <w:p w14:paraId="0E9E403F" w14:textId="77777777" w:rsidR="00EA71BC" w:rsidRPr="000B4E2C" w:rsidRDefault="00EA71BC" w:rsidP="000B4E2C">
            <w:pPr>
              <w:spacing w:line="276" w:lineRule="auto"/>
              <w:rPr>
                <w:sz w:val="22"/>
              </w:rPr>
            </w:pPr>
            <w:r w:rsidRPr="000B4E2C">
              <w:rPr>
                <w:color w:val="000000" w:themeColor="text1"/>
                <w:sz w:val="22"/>
                <w:lang w:eastAsia="en-GB"/>
              </w:rPr>
              <w:t>0.580</w:t>
            </w:r>
          </w:p>
        </w:tc>
        <w:tc>
          <w:tcPr>
            <w:tcW w:w="0" w:type="auto"/>
            <w:noWrap/>
            <w:vAlign w:val="center"/>
            <w:hideMark/>
          </w:tcPr>
          <w:p w14:paraId="68136961" w14:textId="50393340" w:rsidR="00EA71BC" w:rsidRPr="000B4E2C" w:rsidRDefault="00EA71BC" w:rsidP="000B4E2C">
            <w:pPr>
              <w:spacing w:line="276" w:lineRule="auto"/>
              <w:rPr>
                <w:sz w:val="22"/>
              </w:rPr>
            </w:pPr>
            <w:r w:rsidRPr="000B4E2C">
              <w:rPr>
                <w:color w:val="000000" w:themeColor="text1"/>
                <w:sz w:val="22"/>
                <w:lang w:eastAsia="en-GB"/>
              </w:rPr>
              <w:t>0.043</w:t>
            </w:r>
          </w:p>
        </w:tc>
        <w:tc>
          <w:tcPr>
            <w:tcW w:w="0" w:type="auto"/>
            <w:vAlign w:val="center"/>
          </w:tcPr>
          <w:p w14:paraId="779EB079" w14:textId="6D2819FC" w:rsidR="00EA71BC" w:rsidRPr="000B4E2C" w:rsidRDefault="00EA71BC" w:rsidP="000B4E2C">
            <w:pPr>
              <w:spacing w:line="276" w:lineRule="auto"/>
              <w:rPr>
                <w:color w:val="000000" w:themeColor="text1"/>
                <w:sz w:val="22"/>
                <w:lang w:eastAsia="en-GB"/>
              </w:rPr>
            </w:pPr>
            <w:r w:rsidRPr="000B4E2C">
              <w:rPr>
                <w:color w:val="000000" w:themeColor="text1"/>
                <w:sz w:val="22"/>
                <w:lang w:eastAsia="en-GB"/>
              </w:rPr>
              <w:t>0.564</w:t>
            </w:r>
          </w:p>
        </w:tc>
        <w:tc>
          <w:tcPr>
            <w:tcW w:w="0" w:type="auto"/>
            <w:noWrap/>
            <w:vAlign w:val="center"/>
            <w:hideMark/>
          </w:tcPr>
          <w:p w14:paraId="4BBEACCB" w14:textId="45415D22" w:rsidR="00EA71BC" w:rsidRPr="000B4E2C" w:rsidRDefault="00EA71BC" w:rsidP="000B4E2C">
            <w:pPr>
              <w:spacing w:line="276" w:lineRule="auto"/>
              <w:rPr>
                <w:sz w:val="22"/>
              </w:rPr>
            </w:pPr>
            <w:r w:rsidRPr="000B4E2C">
              <w:rPr>
                <w:color w:val="000000" w:themeColor="text1"/>
                <w:sz w:val="22"/>
                <w:lang w:eastAsia="en-GB"/>
              </w:rPr>
              <w:t>Beta</w:t>
            </w:r>
          </w:p>
        </w:tc>
        <w:tc>
          <w:tcPr>
            <w:tcW w:w="0" w:type="auto"/>
            <w:noWrap/>
            <w:vAlign w:val="center"/>
            <w:hideMark/>
          </w:tcPr>
          <w:p w14:paraId="43C41924" w14:textId="77777777" w:rsidR="000B4E2C" w:rsidRPr="000B4E2C" w:rsidRDefault="00EA71BC" w:rsidP="000B4E2C">
            <w:pPr>
              <w:tabs>
                <w:tab w:val="num" w:pos="1364"/>
                <w:tab w:val="center" w:pos="4153"/>
                <w:tab w:val="right" w:pos="8306"/>
              </w:tabs>
              <w:spacing w:line="276" w:lineRule="auto"/>
              <w:contextualSpacing/>
              <w:rPr>
                <w:color w:val="000000" w:themeColor="text1"/>
                <w:sz w:val="22"/>
                <w:lang w:val="da-DK" w:eastAsia="en-GB"/>
              </w:rPr>
            </w:pPr>
            <w:r w:rsidRPr="000B4E2C">
              <w:rPr>
                <w:color w:val="000000" w:themeColor="text1"/>
                <w:sz w:val="22"/>
                <w:lang w:val="da-DK" w:eastAsia="en-GB"/>
              </w:rPr>
              <w:t>Liem</w:t>
            </w:r>
            <w:r w:rsidRPr="000B4E2C">
              <w:rPr>
                <w:i/>
                <w:color w:val="00B0F0"/>
                <w:sz w:val="22"/>
                <w:lang w:val="da-DK" w:eastAsia="en-GB"/>
              </w:rPr>
              <w:t xml:space="preserve"> et al</w:t>
            </w:r>
            <w:r w:rsidRPr="000B4E2C">
              <w:rPr>
                <w:color w:val="000000" w:themeColor="text1"/>
                <w:sz w:val="22"/>
                <w:lang w:val="da-DK" w:eastAsia="en-GB"/>
              </w:rPr>
              <w:t>. 2008</w:t>
            </w:r>
            <w:r w:rsidR="00280A97" w:rsidRPr="000B4E2C">
              <w:rPr>
                <w:noProof/>
                <w:color w:val="000000" w:themeColor="text1"/>
                <w:sz w:val="22"/>
                <w:vertAlign w:val="superscript"/>
                <w:lang w:val="da-DK" w:eastAsia="en-GB"/>
              </w:rPr>
              <w:t>136</w:t>
            </w:r>
            <w:r w:rsidRPr="000B4E2C">
              <w:rPr>
                <w:color w:val="000000" w:themeColor="text1"/>
                <w:sz w:val="22"/>
                <w:lang w:val="da-DK" w:eastAsia="en-GB"/>
              </w:rPr>
              <w:t>;</w:t>
            </w:r>
          </w:p>
          <w:p w14:paraId="7696D700" w14:textId="2AD4E0E2" w:rsidR="00EA71BC" w:rsidRPr="000B4E2C" w:rsidRDefault="00EA71BC" w:rsidP="000B4E2C">
            <w:pPr>
              <w:spacing w:line="276" w:lineRule="auto"/>
              <w:rPr>
                <w:rFonts w:eastAsiaTheme="minorHAnsi"/>
                <w:sz w:val="22"/>
                <w:lang w:val="en-GB"/>
              </w:rPr>
            </w:pPr>
            <w:r w:rsidRPr="000B4E2C">
              <w:rPr>
                <w:color w:val="000000" w:themeColor="text1"/>
                <w:sz w:val="22"/>
                <w:lang w:val="da-DK" w:eastAsia="en-GB"/>
              </w:rPr>
              <w:t>Ara and Brazier, 2010</w:t>
            </w:r>
            <w:r w:rsidR="00280A97" w:rsidRPr="000B4E2C">
              <w:rPr>
                <w:noProof/>
                <w:color w:val="000000" w:themeColor="text1"/>
                <w:sz w:val="22"/>
                <w:vertAlign w:val="superscript"/>
                <w:lang w:val="da-DK" w:eastAsia="en-GB"/>
              </w:rPr>
              <w:t>137</w:t>
            </w:r>
          </w:p>
        </w:tc>
      </w:tr>
    </w:tbl>
    <w:p w14:paraId="38774B32" w14:textId="5579EA31" w:rsidR="00EA71BC" w:rsidRPr="000B4E2C" w:rsidRDefault="00EA71BC" w:rsidP="00072244">
      <w:pPr>
        <w:tabs>
          <w:tab w:val="num" w:pos="1364"/>
          <w:tab w:val="center" w:pos="4153"/>
        </w:tabs>
        <w:spacing w:line="276" w:lineRule="auto"/>
        <w:contextualSpacing/>
        <w:rPr>
          <w:color w:val="000000" w:themeColor="text1"/>
          <w:lang w:eastAsia="en-GB"/>
        </w:rPr>
      </w:pPr>
      <w:r w:rsidRPr="000B4E2C">
        <w:rPr>
          <w:b/>
          <w:color w:val="000000" w:themeColor="text1"/>
          <w:lang w:eastAsia="en-GB"/>
        </w:rPr>
        <w:t xml:space="preserve">Abbreviations: </w:t>
      </w:r>
      <w:r w:rsidRPr="000B4E2C">
        <w:rPr>
          <w:color w:val="000000" w:themeColor="text1"/>
          <w:lang w:eastAsia="en-GB"/>
        </w:rPr>
        <w:t>CKD: Chronic Kidney Disease; ESRD: End Stage Renal Disease; HD: Haemodialysis; ICU: Intensive Care Unit; PD: Peritoneal Dialysis</w:t>
      </w:r>
    </w:p>
    <w:p w14:paraId="4322398F" w14:textId="0F546855" w:rsidR="00EA71BC" w:rsidRPr="000B4E2C" w:rsidRDefault="00EA71BC" w:rsidP="007D5F15">
      <w:pPr>
        <w:tabs>
          <w:tab w:val="num" w:pos="1364"/>
          <w:tab w:val="center" w:pos="4153"/>
          <w:tab w:val="right" w:pos="8306"/>
        </w:tabs>
        <w:spacing w:line="276" w:lineRule="auto"/>
        <w:contextualSpacing/>
        <w:rPr>
          <w:color w:val="000000" w:themeColor="text1"/>
          <w:lang w:eastAsia="en-GB"/>
        </w:rPr>
      </w:pPr>
      <w:r w:rsidRPr="000B4E2C">
        <w:rPr>
          <w:color w:val="000000" w:themeColor="text1"/>
          <w:vertAlign w:val="superscript"/>
          <w:lang w:eastAsia="en-GB"/>
        </w:rPr>
        <w:t>A</w:t>
      </w:r>
      <w:r w:rsidRPr="000B4E2C">
        <w:rPr>
          <w:color w:val="000000" w:themeColor="text1"/>
          <w:lang w:eastAsia="en-GB"/>
        </w:rPr>
        <w:t xml:space="preserve"> assumed standard error equal to 5% of the mean utility for an unconscious patient.</w:t>
      </w:r>
    </w:p>
    <w:p w14:paraId="1306F79F" w14:textId="3B1D6D12" w:rsidR="00EA71BC" w:rsidRPr="000B4E2C" w:rsidRDefault="00EA71BC" w:rsidP="007D5F15">
      <w:pPr>
        <w:tabs>
          <w:tab w:val="num" w:pos="1364"/>
          <w:tab w:val="center" w:pos="4153"/>
          <w:tab w:val="right" w:pos="8306"/>
        </w:tabs>
        <w:spacing w:line="276" w:lineRule="auto"/>
        <w:contextualSpacing/>
        <w:rPr>
          <w:color w:val="000000" w:themeColor="text1"/>
          <w:lang w:eastAsia="en-GB"/>
        </w:rPr>
      </w:pPr>
      <w:r w:rsidRPr="000B4E2C">
        <w:rPr>
          <w:color w:val="000000" w:themeColor="text1"/>
          <w:vertAlign w:val="superscript"/>
          <w:lang w:eastAsia="en-GB"/>
        </w:rPr>
        <w:t>B</w:t>
      </w:r>
      <w:r w:rsidRPr="000B4E2C">
        <w:rPr>
          <w:color w:val="000000" w:themeColor="text1"/>
          <w:lang w:eastAsia="en-GB"/>
        </w:rPr>
        <w:t xml:space="preserve"> decrement applied to utility in ward only.</w:t>
      </w:r>
    </w:p>
    <w:p w14:paraId="46ADE459" w14:textId="472E9B98" w:rsidR="000B4E2C" w:rsidRPr="000B4E2C" w:rsidRDefault="00EA71BC" w:rsidP="007D5F15">
      <w:pPr>
        <w:tabs>
          <w:tab w:val="num" w:pos="1364"/>
          <w:tab w:val="center" w:pos="4153"/>
          <w:tab w:val="right" w:pos="8306"/>
        </w:tabs>
        <w:spacing w:line="276" w:lineRule="auto"/>
        <w:rPr>
          <w:color w:val="000000" w:themeColor="text1"/>
          <w:lang w:eastAsia="en-GB"/>
        </w:rPr>
      </w:pPr>
      <w:r w:rsidRPr="000B4E2C">
        <w:rPr>
          <w:color w:val="000000" w:themeColor="text1"/>
          <w:vertAlign w:val="superscript"/>
          <w:lang w:eastAsia="en-GB"/>
        </w:rPr>
        <w:t>C</w:t>
      </w:r>
      <w:r w:rsidRPr="000B4E2C">
        <w:rPr>
          <w:color w:val="000000" w:themeColor="text1"/>
          <w:lang w:eastAsia="en-GB"/>
        </w:rPr>
        <w:t xml:space="preserve"> A weighted average utility value (with proportions based on Nguyen</w:t>
      </w:r>
      <w:r w:rsidRPr="000B4E2C">
        <w:rPr>
          <w:i/>
          <w:color w:val="00B0F0"/>
          <w:lang w:eastAsia="en-GB"/>
        </w:rPr>
        <w:t xml:space="preserve"> et al</w:t>
      </w:r>
      <w:r w:rsidRPr="000B4E2C">
        <w:rPr>
          <w:color w:val="000000" w:themeColor="text1"/>
          <w:lang w:eastAsia="en-GB"/>
        </w:rPr>
        <w:t>. 2018</w:t>
      </w:r>
      <w:r w:rsidR="00280A97" w:rsidRPr="000B4E2C">
        <w:rPr>
          <w:noProof/>
          <w:color w:val="000000" w:themeColor="text1"/>
          <w:vertAlign w:val="superscript"/>
          <w:lang w:eastAsia="en-GB"/>
        </w:rPr>
        <w:t>135</w:t>
      </w:r>
      <w:r w:rsidRPr="000B4E2C">
        <w:rPr>
          <w:color w:val="000000" w:themeColor="text1"/>
          <w:lang w:eastAsia="en-GB"/>
        </w:rPr>
        <w:t>) across the CKD stages 1</w:t>
      </w:r>
      <w:r w:rsidR="000B4E2C" w:rsidRPr="000B4E2C">
        <w:rPr>
          <w:color w:val="00B0F0"/>
          <w:lang w:eastAsia="en-GB"/>
        </w:rPr>
        <w:t>–</w:t>
      </w:r>
      <w:r w:rsidR="000B4E2C" w:rsidRPr="000B4E2C">
        <w:rPr>
          <w:color w:val="00B0F0"/>
          <w:lang w:eastAsia="en-GB"/>
        </w:rPr>
        <w:t>4</w:t>
      </w:r>
      <w:r w:rsidRPr="000B4E2C">
        <w:rPr>
          <w:color w:val="000000" w:themeColor="text1"/>
          <w:lang w:eastAsia="en-GB"/>
        </w:rPr>
        <w:t>.</w:t>
      </w:r>
    </w:p>
    <w:p w14:paraId="51BB475B" w14:textId="77777777" w:rsidR="000B4E2C" w:rsidRPr="000B4E2C" w:rsidRDefault="00EA71BC" w:rsidP="007D5F15">
      <w:pPr>
        <w:tabs>
          <w:tab w:val="num" w:pos="1364"/>
          <w:tab w:val="center" w:pos="4153"/>
          <w:tab w:val="right" w:pos="8306"/>
        </w:tabs>
        <w:spacing w:line="276" w:lineRule="auto"/>
        <w:rPr>
          <w:color w:val="000000" w:themeColor="text1"/>
          <w:lang w:eastAsia="en-GB"/>
        </w:rPr>
      </w:pPr>
      <w:r w:rsidRPr="000B4E2C">
        <w:rPr>
          <w:color w:val="000000" w:themeColor="text1"/>
          <w:vertAlign w:val="superscript"/>
          <w:lang w:eastAsia="en-GB"/>
        </w:rPr>
        <w:t>D</w:t>
      </w:r>
      <w:r w:rsidRPr="000B4E2C">
        <w:rPr>
          <w:color w:val="000000" w:themeColor="text1"/>
          <w:lang w:eastAsia="en-GB"/>
        </w:rPr>
        <w:t xml:space="preserve"> For application in the model, the ESRD (dialysis) utility is applied as the weighted average utility based on the proportion of long-term dialysis delivered as HD and PD, obtained from the UK renal registry report, 2018</w:t>
      </w:r>
    </w:p>
    <w:p w14:paraId="24E982AB" w14:textId="77777777" w:rsidR="000B4E2C" w:rsidRPr="000B4E2C" w:rsidRDefault="00EA71BC" w:rsidP="007D5F15">
      <w:pPr>
        <w:tabs>
          <w:tab w:val="num" w:pos="1364"/>
          <w:tab w:val="center" w:pos="4153"/>
          <w:tab w:val="right" w:pos="8306"/>
        </w:tabs>
        <w:spacing w:line="276" w:lineRule="auto"/>
        <w:rPr>
          <w:color w:val="000000" w:themeColor="text1"/>
          <w:lang w:eastAsia="en-GB"/>
        </w:rPr>
      </w:pPr>
      <w:r w:rsidRPr="000B4E2C">
        <w:rPr>
          <w:color w:val="000000" w:themeColor="text1"/>
          <w:vertAlign w:val="superscript"/>
          <w:lang w:eastAsia="en-GB"/>
        </w:rPr>
        <w:t xml:space="preserve">E </w:t>
      </w:r>
      <w:r w:rsidRPr="000B4E2C">
        <w:rPr>
          <w:color w:val="000000" w:themeColor="text1"/>
          <w:lang w:eastAsia="en-GB"/>
        </w:rPr>
        <w:t>The study reports utility decrements only and the mean utilty applied in the model is back calculated using the utility decrement from Nguyen</w:t>
      </w:r>
      <w:r w:rsidRPr="000B4E2C">
        <w:rPr>
          <w:i/>
          <w:color w:val="00B0F0"/>
          <w:lang w:eastAsia="en-GB"/>
        </w:rPr>
        <w:t xml:space="preserve"> et al</w:t>
      </w:r>
      <w:r w:rsidRPr="000B4E2C">
        <w:rPr>
          <w:color w:val="000000" w:themeColor="text1"/>
          <w:lang w:eastAsia="en-GB"/>
        </w:rPr>
        <w:t>. applied to age and sex-adjusted UK general population norms.</w:t>
      </w:r>
    </w:p>
    <w:p w14:paraId="433111B8" w14:textId="07034E8F" w:rsidR="002F0133" w:rsidRPr="000B4E2C" w:rsidRDefault="002F0133" w:rsidP="008A7464">
      <w:pPr>
        <w:pStyle w:val="Heading3"/>
        <w:rPr>
          <w:rFonts w:eastAsia="Times New Roman"/>
        </w:rPr>
      </w:pPr>
      <w:r w:rsidRPr="000B4E2C">
        <w:rPr>
          <w:rFonts w:eastAsia="Times New Roman"/>
        </w:rPr>
        <w:t>Acute (decision tree) phase of the model</w:t>
      </w:r>
    </w:p>
    <w:p w14:paraId="06E3D60F" w14:textId="1BA6DA7D" w:rsidR="000B4E2C" w:rsidRPr="000B4E2C" w:rsidRDefault="002F0133" w:rsidP="008A7464">
      <w:pPr>
        <w:tabs>
          <w:tab w:val="num" w:pos="1364"/>
          <w:tab w:val="center" w:pos="4153"/>
          <w:tab w:val="right" w:pos="8306"/>
        </w:tabs>
        <w:contextualSpacing/>
        <w:rPr>
          <w:color w:val="000000" w:themeColor="text1"/>
          <w:szCs w:val="24"/>
          <w:lang w:eastAsia="en-GB"/>
        </w:rPr>
      </w:pPr>
      <w:r w:rsidRPr="000B4E2C">
        <w:rPr>
          <w:color w:val="000000" w:themeColor="text1"/>
          <w:szCs w:val="24"/>
          <w:lang w:eastAsia="en-GB"/>
        </w:rPr>
        <w:t>We have updated the searches from Hall</w:t>
      </w:r>
      <w:r w:rsidRPr="000B4E2C">
        <w:rPr>
          <w:i/>
          <w:color w:val="00B0F0"/>
          <w:szCs w:val="24"/>
          <w:lang w:eastAsia="en-GB"/>
        </w:rPr>
        <w:t xml:space="preserve"> et al</w:t>
      </w:r>
      <w:r w:rsidRPr="000B4E2C">
        <w:rPr>
          <w:color w:val="000000" w:themeColor="text1"/>
          <w:szCs w:val="24"/>
          <w:lang w:eastAsia="en-GB"/>
        </w:rPr>
        <w:t>. to identify studies that report utilities for the initial decision tree phase of the model</w:t>
      </w:r>
      <w:r w:rsidR="001E605D" w:rsidRPr="000B4E2C">
        <w:rPr>
          <w:color w:val="000000" w:themeColor="text1"/>
          <w:szCs w:val="24"/>
          <w:lang w:eastAsia="en-GB"/>
        </w:rPr>
        <w:t xml:space="preserve">. </w:t>
      </w:r>
      <w:r w:rsidRPr="000B4E2C">
        <w:rPr>
          <w:color w:val="000000" w:themeColor="text1"/>
          <w:szCs w:val="24"/>
          <w:lang w:eastAsia="en-GB"/>
        </w:rPr>
        <w:t>Our post-Hall</w:t>
      </w:r>
      <w:r w:rsidRPr="000B4E2C">
        <w:rPr>
          <w:i/>
          <w:color w:val="00B0F0"/>
          <w:szCs w:val="24"/>
          <w:lang w:eastAsia="en-GB"/>
        </w:rPr>
        <w:t xml:space="preserve"> et al</w:t>
      </w:r>
      <w:r w:rsidRPr="000B4E2C">
        <w:rPr>
          <w:color w:val="000000" w:themeColor="text1"/>
          <w:szCs w:val="24"/>
          <w:lang w:eastAsia="en-GB"/>
        </w:rPr>
        <w:t xml:space="preserve">. review identified </w:t>
      </w:r>
      <w:r w:rsidR="00FA7D17" w:rsidRPr="000B4E2C">
        <w:rPr>
          <w:color w:val="000000" w:themeColor="text1"/>
          <w:szCs w:val="24"/>
          <w:lang w:eastAsia="en-GB"/>
        </w:rPr>
        <w:t>four</w:t>
      </w:r>
      <w:r w:rsidRPr="000B4E2C">
        <w:rPr>
          <w:color w:val="000000" w:themeColor="text1"/>
          <w:szCs w:val="24"/>
          <w:lang w:eastAsia="en-GB"/>
        </w:rPr>
        <w:t xml:space="preserve"> further potentially relevant studies.</w:t>
      </w:r>
      <w:r w:rsidR="000B4E2C" w:rsidRPr="000B4E2C">
        <w:rPr>
          <w:color w:val="000000" w:themeColor="text1"/>
          <w:szCs w:val="24"/>
          <w:lang w:eastAsia="en-GB"/>
        </w:rPr>
        <w:t xml:space="preserve"> </w:t>
      </w:r>
      <w:r w:rsidRPr="000B4E2C">
        <w:rPr>
          <w:color w:val="000000" w:themeColor="text1"/>
          <w:szCs w:val="24"/>
          <w:lang w:eastAsia="en-GB"/>
        </w:rPr>
        <w:t>However, the only utilities that meet the NICE reference case are</w:t>
      </w:r>
      <w:r w:rsidR="001E605D" w:rsidRPr="000B4E2C">
        <w:rPr>
          <w:color w:val="000000" w:themeColor="text1"/>
          <w:szCs w:val="24"/>
          <w:lang w:eastAsia="en-GB"/>
        </w:rPr>
        <w:t xml:space="preserve"> those proposed by Hall</w:t>
      </w:r>
      <w:r w:rsidR="001E605D" w:rsidRPr="000B4E2C">
        <w:rPr>
          <w:i/>
          <w:color w:val="00B0F0"/>
          <w:szCs w:val="24"/>
          <w:lang w:eastAsia="en-GB"/>
        </w:rPr>
        <w:t xml:space="preserve"> et al</w:t>
      </w:r>
      <w:r w:rsidR="001E605D" w:rsidRPr="000B4E2C">
        <w:rPr>
          <w:color w:val="000000" w:themeColor="text1"/>
          <w:szCs w:val="24"/>
          <w:lang w:eastAsia="en-GB"/>
        </w:rPr>
        <w:t xml:space="preserve">. </w:t>
      </w:r>
      <w:r w:rsidRPr="000B4E2C">
        <w:rPr>
          <w:color w:val="000000" w:themeColor="text1"/>
          <w:szCs w:val="24"/>
          <w:lang w:eastAsia="en-GB"/>
        </w:rPr>
        <w:t>All other studies identified from the literature review use non-UK value sets and so are not appro</w:t>
      </w:r>
      <w:r w:rsidR="001E605D" w:rsidRPr="000B4E2C">
        <w:rPr>
          <w:color w:val="000000" w:themeColor="text1"/>
          <w:szCs w:val="24"/>
          <w:lang w:eastAsia="en-GB"/>
        </w:rPr>
        <w:t xml:space="preserve">priate for UK </w:t>
      </w:r>
      <w:r w:rsidR="000B4E2C" w:rsidRPr="000B4E2C">
        <w:rPr>
          <w:color w:val="00B0F0"/>
          <w:szCs w:val="24"/>
          <w:lang w:eastAsia="en-GB"/>
        </w:rPr>
        <w:t>decision-mak</w:t>
      </w:r>
      <w:r w:rsidR="001E605D" w:rsidRPr="000B4E2C">
        <w:rPr>
          <w:color w:val="000000" w:themeColor="text1"/>
          <w:szCs w:val="24"/>
          <w:lang w:eastAsia="en-GB"/>
        </w:rPr>
        <w:t xml:space="preserve">ing. </w:t>
      </w:r>
      <w:r w:rsidRPr="000B4E2C">
        <w:rPr>
          <w:color w:val="000000" w:themeColor="text1"/>
          <w:szCs w:val="24"/>
          <w:lang w:eastAsia="en-GB"/>
        </w:rPr>
        <w:t>Given that there are no appropriate utility studies for AKI stage, the analysis uses the utilities identified in Hall</w:t>
      </w:r>
      <w:r w:rsidRPr="000B4E2C">
        <w:rPr>
          <w:i/>
          <w:color w:val="00B0F0"/>
          <w:szCs w:val="24"/>
          <w:lang w:eastAsia="en-GB"/>
        </w:rPr>
        <w:t xml:space="preserve"> et al</w:t>
      </w:r>
      <w:r w:rsidRPr="000B4E2C">
        <w:rPr>
          <w:color w:val="000000" w:themeColor="text1"/>
          <w:szCs w:val="24"/>
          <w:lang w:eastAsia="en-GB"/>
        </w:rPr>
        <w:t>. applied to the model based on length of stay in hospital, length of stay in ICU and duration discharged prior to 90 days following hospital admission</w:t>
      </w:r>
      <w:r w:rsidR="000B4E2C" w:rsidRPr="000B4E2C">
        <w:rPr>
          <w:color w:val="00B0F0"/>
          <w:szCs w:val="24"/>
          <w:lang w:eastAsia="en-GB"/>
        </w:rPr>
        <w:t xml:space="preserve">. </w:t>
      </w:r>
      <w:r w:rsidR="000B4E2C" w:rsidRPr="000B4E2C">
        <w:rPr>
          <w:color w:val="00B0F0"/>
          <w:szCs w:val="24"/>
          <w:lang w:eastAsia="en-GB"/>
        </w:rPr>
        <w:t>Owing to</w:t>
      </w:r>
      <w:r w:rsidRPr="000B4E2C">
        <w:rPr>
          <w:color w:val="000000" w:themeColor="text1"/>
          <w:szCs w:val="24"/>
          <w:lang w:eastAsia="en-GB"/>
        </w:rPr>
        <w:t xml:space="preserve"> a lack of appropriate </w:t>
      </w:r>
      <w:r w:rsidRPr="000B4E2C">
        <w:rPr>
          <w:color w:val="000000" w:themeColor="text1"/>
          <w:szCs w:val="24"/>
          <w:highlight w:val="magenta"/>
          <w:lang w:eastAsia="en-GB"/>
        </w:rPr>
        <w:t>data</w:t>
      </w:r>
      <w:r w:rsidRPr="000B4E2C">
        <w:rPr>
          <w:color w:val="000000" w:themeColor="text1"/>
          <w:szCs w:val="24"/>
          <w:lang w:eastAsia="en-GB"/>
        </w:rPr>
        <w:t>, and to avoid double counting the utility impact of time in hospital</w:t>
      </w:r>
      <w:r w:rsidR="000B4E2C" w:rsidRPr="000B4E2C">
        <w:rPr>
          <w:color w:val="00B0F0"/>
          <w:szCs w:val="24"/>
          <w:lang w:eastAsia="en-GB"/>
        </w:rPr>
        <w:t>/</w:t>
      </w:r>
      <w:r w:rsidRPr="000B4E2C">
        <w:rPr>
          <w:color w:val="000000" w:themeColor="text1"/>
          <w:szCs w:val="24"/>
          <w:lang w:eastAsia="en-GB"/>
        </w:rPr>
        <w:t>ICU, we have not attempted to apply any additional utility decrements by AKI stage (other than to those on acute RRT).</w:t>
      </w:r>
      <w:r w:rsidR="000B4E2C" w:rsidRPr="000B4E2C">
        <w:rPr>
          <w:color w:val="000000" w:themeColor="text1"/>
          <w:szCs w:val="24"/>
          <w:lang w:eastAsia="en-GB"/>
        </w:rPr>
        <w:t xml:space="preserve"> </w:t>
      </w:r>
      <w:r w:rsidRPr="000B4E2C">
        <w:rPr>
          <w:color w:val="000000" w:themeColor="text1"/>
          <w:szCs w:val="24"/>
          <w:lang w:eastAsia="en-GB"/>
        </w:rPr>
        <w:t>The application of utilities is consistent with that used by Hall</w:t>
      </w:r>
      <w:r w:rsidRPr="000B4E2C">
        <w:rPr>
          <w:i/>
          <w:color w:val="00B0F0"/>
          <w:szCs w:val="24"/>
          <w:lang w:eastAsia="en-GB"/>
        </w:rPr>
        <w:t xml:space="preserve"> et al</w:t>
      </w:r>
      <w:r w:rsidR="005B5026" w:rsidRPr="000B4E2C">
        <w:rPr>
          <w:noProof/>
          <w:color w:val="000000" w:themeColor="text1"/>
          <w:szCs w:val="24"/>
          <w:vertAlign w:val="superscript"/>
          <w:lang w:eastAsia="en-GB"/>
        </w:rPr>
        <w:t>99</w:t>
      </w:r>
      <w:r w:rsidRPr="000B4E2C">
        <w:rPr>
          <w:color w:val="000000" w:themeColor="text1"/>
          <w:szCs w:val="24"/>
          <w:lang w:eastAsia="en-GB"/>
        </w:rPr>
        <w:t xml:space="preserve"> </w:t>
      </w:r>
      <w:r w:rsidR="00EA71BC" w:rsidRPr="000B4E2C">
        <w:rPr>
          <w:color w:val="000000" w:themeColor="text1"/>
          <w:szCs w:val="24"/>
          <w:lang w:eastAsia="en-GB"/>
        </w:rPr>
        <w:t xml:space="preserve">with utilities age and sex adjusted where possible, with </w:t>
      </w:r>
      <w:r w:rsidRPr="000B4E2C">
        <w:rPr>
          <w:color w:val="000000" w:themeColor="text1"/>
          <w:szCs w:val="24"/>
          <w:lang w:eastAsia="en-GB"/>
        </w:rPr>
        <w:t xml:space="preserve">normal and beta distributions used to incorporate the </w:t>
      </w:r>
      <w:r w:rsidRPr="000B4E2C">
        <w:rPr>
          <w:color w:val="000000" w:themeColor="text1"/>
          <w:szCs w:val="24"/>
          <w:highlight w:val="magenta"/>
          <w:lang w:eastAsia="en-GB"/>
        </w:rPr>
        <w:t>data</w:t>
      </w:r>
      <w:r w:rsidRPr="000B4E2C">
        <w:rPr>
          <w:color w:val="000000" w:themeColor="text1"/>
          <w:szCs w:val="24"/>
          <w:lang w:eastAsia="en-GB"/>
        </w:rPr>
        <w:t xml:space="preserve"> probabilistically within the model. It is difficult to find utility values for patients in ICU. Two systematic reviews were consulted, one by Dritsaki</w:t>
      </w:r>
      <w:r w:rsidRPr="000B4E2C">
        <w:rPr>
          <w:i/>
          <w:color w:val="00B0F0"/>
          <w:szCs w:val="24"/>
          <w:lang w:eastAsia="en-GB"/>
        </w:rPr>
        <w:t xml:space="preserve"> et al</w:t>
      </w:r>
      <w:r w:rsidRPr="000B4E2C">
        <w:rPr>
          <w:color w:val="000000" w:themeColor="text1"/>
          <w:szCs w:val="24"/>
          <w:lang w:eastAsia="en-GB"/>
        </w:rPr>
        <w:t>. 2017</w:t>
      </w:r>
      <w:r w:rsidR="00280A97" w:rsidRPr="000B4E2C">
        <w:rPr>
          <w:noProof/>
          <w:color w:val="000000" w:themeColor="text1"/>
          <w:szCs w:val="24"/>
          <w:vertAlign w:val="superscript"/>
          <w:lang w:eastAsia="en-GB"/>
        </w:rPr>
        <w:t>138</w:t>
      </w:r>
      <w:r w:rsidRPr="000B4E2C">
        <w:rPr>
          <w:color w:val="000000" w:themeColor="text1"/>
          <w:szCs w:val="24"/>
          <w:lang w:eastAsia="en-GB"/>
        </w:rPr>
        <w:t xml:space="preserve"> and one by Gerth</w:t>
      </w:r>
      <w:r w:rsidRPr="000B4E2C">
        <w:rPr>
          <w:i/>
          <w:color w:val="00B0F0"/>
          <w:szCs w:val="24"/>
          <w:lang w:eastAsia="en-GB"/>
        </w:rPr>
        <w:t xml:space="preserve"> et al</w:t>
      </w:r>
      <w:r w:rsidRPr="000B4E2C">
        <w:rPr>
          <w:color w:val="000000" w:themeColor="text1"/>
          <w:szCs w:val="24"/>
          <w:lang w:eastAsia="en-GB"/>
        </w:rPr>
        <w:t>. 2019</w:t>
      </w:r>
      <w:r w:rsidR="001E605D" w:rsidRPr="000B4E2C">
        <w:rPr>
          <w:color w:val="000000" w:themeColor="text1"/>
          <w:szCs w:val="24"/>
          <w:lang w:eastAsia="en-GB"/>
        </w:rPr>
        <w:t>.</w:t>
      </w:r>
      <w:r w:rsidR="00280A97" w:rsidRPr="000B4E2C">
        <w:rPr>
          <w:noProof/>
          <w:color w:val="000000" w:themeColor="text1"/>
          <w:szCs w:val="24"/>
          <w:vertAlign w:val="superscript"/>
          <w:lang w:eastAsia="en-GB"/>
        </w:rPr>
        <w:t>139</w:t>
      </w:r>
      <w:r w:rsidRPr="000B4E2C">
        <w:rPr>
          <w:color w:val="000000" w:themeColor="text1"/>
          <w:szCs w:val="24"/>
          <w:lang w:eastAsia="en-GB"/>
        </w:rPr>
        <w:t xml:space="preserve"> Both reviews focused on a population admitted to ICU, however, no studies identified in the reviews were deemed suitable. Therefore, the utility value of an unconscious patient, has been applied for the duration of ICU stay, using </w:t>
      </w:r>
      <w:r w:rsidRPr="000B4E2C">
        <w:rPr>
          <w:color w:val="000000" w:themeColor="text1"/>
          <w:szCs w:val="24"/>
          <w:highlight w:val="magenta"/>
          <w:lang w:eastAsia="en-GB"/>
        </w:rPr>
        <w:t>data</w:t>
      </w:r>
      <w:r w:rsidRPr="000B4E2C">
        <w:rPr>
          <w:color w:val="000000" w:themeColor="text1"/>
          <w:szCs w:val="24"/>
          <w:lang w:eastAsia="en-GB"/>
        </w:rPr>
        <w:t xml:space="preserve"> sourced from Kind</w:t>
      </w:r>
      <w:r w:rsidRPr="000B4E2C">
        <w:rPr>
          <w:i/>
          <w:color w:val="00B0F0"/>
          <w:szCs w:val="24"/>
          <w:lang w:eastAsia="en-GB"/>
        </w:rPr>
        <w:t xml:space="preserve"> et al</w:t>
      </w:r>
      <w:r w:rsidR="00280A97" w:rsidRPr="000B4E2C">
        <w:rPr>
          <w:noProof/>
          <w:color w:val="000000" w:themeColor="text1"/>
          <w:szCs w:val="24"/>
          <w:vertAlign w:val="superscript"/>
          <w:lang w:eastAsia="en-GB"/>
        </w:rPr>
        <w:t>131</w:t>
      </w:r>
      <w:r w:rsidR="001E605D" w:rsidRPr="000B4E2C">
        <w:rPr>
          <w:color w:val="000000" w:themeColor="text1"/>
          <w:szCs w:val="24"/>
          <w:lang w:eastAsia="en-GB"/>
        </w:rPr>
        <w:t xml:space="preserve"> </w:t>
      </w:r>
      <w:r w:rsidRPr="000B4E2C">
        <w:rPr>
          <w:color w:val="000000" w:themeColor="text1"/>
          <w:szCs w:val="24"/>
          <w:lang w:eastAsia="en-GB"/>
        </w:rPr>
        <w:t>and following the same approach as Hall</w:t>
      </w:r>
      <w:r w:rsidRPr="000B4E2C">
        <w:rPr>
          <w:i/>
          <w:color w:val="00B0F0"/>
          <w:szCs w:val="24"/>
          <w:lang w:eastAsia="en-GB"/>
        </w:rPr>
        <w:t xml:space="preserve"> et al</w:t>
      </w:r>
      <w:r w:rsidR="001E605D" w:rsidRPr="000B4E2C">
        <w:rPr>
          <w:color w:val="000000" w:themeColor="text1"/>
          <w:szCs w:val="24"/>
          <w:lang w:eastAsia="en-GB"/>
        </w:rPr>
        <w:t>.</w:t>
      </w:r>
      <w:r w:rsidR="005B5026" w:rsidRPr="000B4E2C">
        <w:rPr>
          <w:noProof/>
          <w:color w:val="000000" w:themeColor="text1"/>
          <w:szCs w:val="24"/>
          <w:vertAlign w:val="superscript"/>
          <w:lang w:eastAsia="en-GB"/>
        </w:rPr>
        <w:t>99</w:t>
      </w:r>
      <w:r w:rsidRPr="000B4E2C">
        <w:rPr>
          <w:color w:val="000000" w:themeColor="text1"/>
          <w:szCs w:val="24"/>
          <w:lang w:eastAsia="en-GB"/>
        </w:rPr>
        <w:t xml:space="preserve"> As a sensitivity analysis we consider an alternative approach to calculate ICU utility to explore the substantial uncertainty in this parameter</w:t>
      </w:r>
      <w:r w:rsidR="001E605D" w:rsidRPr="000B4E2C">
        <w:rPr>
          <w:color w:val="000000" w:themeColor="text1"/>
          <w:szCs w:val="24"/>
          <w:lang w:eastAsia="en-GB"/>
        </w:rPr>
        <w:t xml:space="preserve">. </w:t>
      </w:r>
      <w:r w:rsidRPr="000B4E2C">
        <w:rPr>
          <w:color w:val="000000" w:themeColor="text1"/>
          <w:szCs w:val="24"/>
          <w:lang w:eastAsia="en-GB"/>
        </w:rPr>
        <w:t>The alternative value takes the average of the unconscious state (</w:t>
      </w:r>
      <w:r w:rsidR="000B4E2C" w:rsidRPr="000B4E2C">
        <w:rPr>
          <w:color w:val="00B0F0"/>
          <w:szCs w:val="24"/>
          <w:lang w:eastAsia="en-GB"/>
        </w:rPr>
        <w:t>–</w:t>
      </w:r>
      <w:r w:rsidR="000B4E2C" w:rsidRPr="000B4E2C">
        <w:rPr>
          <w:color w:val="00B0F0"/>
          <w:szCs w:val="24"/>
          <w:lang w:eastAsia="en-GB"/>
        </w:rPr>
        <w:t>0</w:t>
      </w:r>
      <w:r w:rsidRPr="000B4E2C">
        <w:rPr>
          <w:color w:val="000000" w:themeColor="text1"/>
          <w:szCs w:val="24"/>
          <w:lang w:eastAsia="en-GB"/>
        </w:rPr>
        <w:t>.402 from Kind</w:t>
      </w:r>
      <w:r w:rsidRPr="000B4E2C">
        <w:rPr>
          <w:i/>
          <w:color w:val="00B0F0"/>
          <w:szCs w:val="24"/>
          <w:lang w:eastAsia="en-GB"/>
        </w:rPr>
        <w:t xml:space="preserve"> et al</w:t>
      </w:r>
      <w:r w:rsidRPr="000B4E2C">
        <w:rPr>
          <w:color w:val="000000" w:themeColor="text1"/>
          <w:szCs w:val="24"/>
          <w:lang w:eastAsia="en-GB"/>
        </w:rPr>
        <w:t>) and the average post ICU discharge from Hernández</w:t>
      </w:r>
      <w:r w:rsidRPr="000B4E2C">
        <w:rPr>
          <w:i/>
          <w:color w:val="00B0F0"/>
          <w:szCs w:val="24"/>
          <w:lang w:eastAsia="en-GB"/>
        </w:rPr>
        <w:t xml:space="preserve"> et al</w:t>
      </w:r>
      <w:r w:rsidR="00280A97" w:rsidRPr="000B4E2C">
        <w:rPr>
          <w:noProof/>
          <w:color w:val="000000" w:themeColor="text1"/>
          <w:szCs w:val="24"/>
          <w:vertAlign w:val="superscript"/>
          <w:lang w:eastAsia="en-GB"/>
        </w:rPr>
        <w:t>132</w:t>
      </w:r>
      <w:r w:rsidRPr="000B4E2C">
        <w:rPr>
          <w:color w:val="000000" w:themeColor="text1"/>
          <w:szCs w:val="24"/>
          <w:lang w:eastAsia="en-GB"/>
        </w:rPr>
        <w:t xml:space="preserve"> from the PRACTICAL study (0.44)</w:t>
      </w:r>
      <w:r w:rsidR="00A74FFA" w:rsidRPr="000B4E2C">
        <w:rPr>
          <w:color w:val="000000" w:themeColor="text1"/>
          <w:szCs w:val="24"/>
          <w:lang w:eastAsia="en-GB"/>
        </w:rPr>
        <w:t xml:space="preserve"> </w:t>
      </w:r>
      <w:r w:rsidRPr="000B4E2C">
        <w:rPr>
          <w:color w:val="000000" w:themeColor="text1"/>
          <w:szCs w:val="24"/>
          <w:lang w:eastAsia="en-GB"/>
        </w:rPr>
        <w:t>that followed up a cohort of ICU survivors reporting their quality of li</w:t>
      </w:r>
      <w:r w:rsidR="001E605D" w:rsidRPr="000B4E2C">
        <w:rPr>
          <w:color w:val="000000" w:themeColor="text1"/>
          <w:szCs w:val="24"/>
          <w:lang w:eastAsia="en-GB"/>
        </w:rPr>
        <w:t>fe using the E</w:t>
      </w:r>
      <w:r w:rsidR="000B4E2C" w:rsidRPr="000B4E2C">
        <w:rPr>
          <w:color w:val="00B0F0"/>
          <w:szCs w:val="24"/>
          <w:lang w:eastAsia="en-GB"/>
        </w:rPr>
        <w:t>Q</w:t>
      </w:r>
      <w:r w:rsidR="000B4E2C" w:rsidRPr="000B4E2C">
        <w:rPr>
          <w:color w:val="00B0F0"/>
          <w:szCs w:val="24"/>
          <w:lang w:eastAsia="en-GB"/>
        </w:rPr>
        <w:t>-</w:t>
      </w:r>
      <w:r w:rsidR="000B4E2C" w:rsidRPr="000B4E2C">
        <w:rPr>
          <w:color w:val="00B0F0"/>
          <w:szCs w:val="24"/>
          <w:lang w:eastAsia="en-GB"/>
        </w:rPr>
        <w:t>5</w:t>
      </w:r>
      <w:r w:rsidR="001E605D" w:rsidRPr="000B4E2C">
        <w:rPr>
          <w:color w:val="000000" w:themeColor="text1"/>
          <w:szCs w:val="24"/>
          <w:lang w:eastAsia="en-GB"/>
        </w:rPr>
        <w:t xml:space="preserve">D instrument. </w:t>
      </w:r>
      <w:r w:rsidRPr="000B4E2C">
        <w:rPr>
          <w:color w:val="000000" w:themeColor="text1"/>
          <w:szCs w:val="24"/>
          <w:lang w:eastAsia="en-GB"/>
        </w:rPr>
        <w:t>The calculated utility value applied in sensitivity analysis was (</w:t>
      </w:r>
      <w:r w:rsidR="000B4E2C" w:rsidRPr="000B4E2C">
        <w:rPr>
          <w:color w:val="00B0F0"/>
          <w:szCs w:val="24"/>
          <w:lang w:eastAsia="en-GB"/>
        </w:rPr>
        <w:t>–</w:t>
      </w:r>
      <w:r w:rsidR="000B4E2C" w:rsidRPr="000B4E2C">
        <w:rPr>
          <w:color w:val="00B0F0"/>
          <w:szCs w:val="24"/>
          <w:lang w:eastAsia="en-GB"/>
        </w:rPr>
        <w:t>0</w:t>
      </w:r>
      <w:r w:rsidRPr="000B4E2C">
        <w:rPr>
          <w:color w:val="000000" w:themeColor="text1"/>
          <w:szCs w:val="24"/>
          <w:lang w:eastAsia="en-GB"/>
        </w:rPr>
        <w:t>.402 + 0.44)/2)</w:t>
      </w:r>
      <w:r w:rsidR="000B4E2C" w:rsidRPr="000B4E2C">
        <w:rPr>
          <w:color w:val="00B0F0"/>
          <w:szCs w:val="24"/>
          <w:lang w:eastAsia="en-GB"/>
        </w:rPr>
        <w:t> = </w:t>
      </w:r>
      <w:r w:rsidR="000B4E2C" w:rsidRPr="000B4E2C">
        <w:rPr>
          <w:color w:val="00B0F0"/>
          <w:szCs w:val="24"/>
          <w:lang w:eastAsia="en-GB"/>
        </w:rPr>
        <w:t>+</w:t>
      </w:r>
      <w:r w:rsidR="000B4E2C" w:rsidRPr="000B4E2C">
        <w:rPr>
          <w:color w:val="00B0F0"/>
          <w:szCs w:val="24"/>
          <w:lang w:eastAsia="en-GB"/>
        </w:rPr>
        <w:t> </w:t>
      </w:r>
      <w:r w:rsidR="000B4E2C" w:rsidRPr="000B4E2C">
        <w:rPr>
          <w:color w:val="00B0F0"/>
          <w:szCs w:val="24"/>
          <w:lang w:eastAsia="en-GB"/>
        </w:rPr>
        <w:t>0</w:t>
      </w:r>
      <w:r w:rsidRPr="000B4E2C">
        <w:rPr>
          <w:color w:val="000000" w:themeColor="text1"/>
          <w:szCs w:val="24"/>
          <w:lang w:eastAsia="en-GB"/>
        </w:rPr>
        <w:t>.019.</w:t>
      </w:r>
    </w:p>
    <w:p w14:paraId="168CD8E6" w14:textId="2D468EDF" w:rsidR="002F0133" w:rsidRPr="000B4E2C" w:rsidRDefault="002F0133" w:rsidP="008A7464">
      <w:pPr>
        <w:pStyle w:val="Heading3"/>
        <w:rPr>
          <w:rFonts w:eastAsia="Times New Roman"/>
        </w:rPr>
      </w:pPr>
      <w:r w:rsidRPr="000B4E2C">
        <w:rPr>
          <w:rFonts w:eastAsia="Times New Roman"/>
        </w:rPr>
        <w:t>Utility values for the chronic phase of the model</w:t>
      </w:r>
    </w:p>
    <w:p w14:paraId="7059DB08" w14:textId="7292408E" w:rsidR="000B4E2C" w:rsidRPr="000B4E2C" w:rsidRDefault="002F0133" w:rsidP="008A7464">
      <w:pPr>
        <w:tabs>
          <w:tab w:val="num" w:pos="1364"/>
          <w:tab w:val="center" w:pos="4153"/>
          <w:tab w:val="right" w:pos="8306"/>
        </w:tabs>
        <w:contextualSpacing/>
        <w:rPr>
          <w:color w:val="000000" w:themeColor="text1"/>
          <w:szCs w:val="24"/>
          <w:lang w:eastAsia="en-GB"/>
        </w:rPr>
      </w:pPr>
      <w:r w:rsidRPr="000B4E2C">
        <w:rPr>
          <w:color w:val="000000" w:themeColor="text1"/>
          <w:szCs w:val="24"/>
          <w:lang w:eastAsia="en-GB"/>
        </w:rPr>
        <w:t>First, the Hall</w:t>
      </w:r>
      <w:r w:rsidRPr="000B4E2C">
        <w:rPr>
          <w:i/>
          <w:color w:val="00B0F0"/>
          <w:szCs w:val="24"/>
          <w:lang w:eastAsia="en-GB"/>
        </w:rPr>
        <w:t xml:space="preserve"> et al</w:t>
      </w:r>
      <w:r w:rsidRPr="000B4E2C">
        <w:rPr>
          <w:color w:val="000000" w:themeColor="text1"/>
          <w:szCs w:val="24"/>
          <w:lang w:eastAsia="en-GB"/>
        </w:rPr>
        <w:t>. HTA assessment and economic model for long-term follow-up post AKI and the Scotland</w:t>
      </w:r>
      <w:r w:rsidRPr="000B4E2C">
        <w:rPr>
          <w:i/>
          <w:color w:val="00B0F0"/>
          <w:szCs w:val="24"/>
          <w:lang w:eastAsia="en-GB"/>
        </w:rPr>
        <w:t xml:space="preserve"> et al</w:t>
      </w:r>
      <w:r w:rsidRPr="000B4E2C">
        <w:rPr>
          <w:color w:val="000000" w:themeColor="text1"/>
          <w:szCs w:val="24"/>
          <w:lang w:eastAsia="en-GB"/>
        </w:rPr>
        <w:t xml:space="preserve">. assessment of </w:t>
      </w:r>
      <w:r w:rsidRPr="000B4E2C">
        <w:t xml:space="preserve">Multiple frequency bioimpedance devices to guide fluid management in people with chronic kidney disease having dialysis (DG29) </w:t>
      </w:r>
      <w:r w:rsidRPr="000B4E2C">
        <w:rPr>
          <w:color w:val="000000" w:themeColor="text1"/>
          <w:szCs w:val="24"/>
          <w:lang w:eastAsia="en-GB"/>
        </w:rPr>
        <w:t>for NICE</w:t>
      </w:r>
      <w:r w:rsidR="005B5026" w:rsidRPr="000B4E2C">
        <w:rPr>
          <w:noProof/>
          <w:color w:val="000000" w:themeColor="text1"/>
          <w:szCs w:val="24"/>
          <w:vertAlign w:val="superscript"/>
          <w:lang w:eastAsia="en-GB"/>
        </w:rPr>
        <w:t>130</w:t>
      </w:r>
      <w:r w:rsidRPr="000B4E2C">
        <w:rPr>
          <w:color w:val="000000" w:themeColor="text1"/>
          <w:szCs w:val="24"/>
          <w:lang w:eastAsia="en-GB"/>
        </w:rPr>
        <w:t xml:space="preserve"> were consulted to obtain appropriate health state utility values for application in the model.</w:t>
      </w:r>
      <w:r w:rsidR="000B4E2C" w:rsidRPr="000B4E2C">
        <w:rPr>
          <w:color w:val="000000" w:themeColor="text1"/>
          <w:szCs w:val="24"/>
          <w:lang w:eastAsia="en-GB"/>
        </w:rPr>
        <w:t xml:space="preserve"> </w:t>
      </w:r>
      <w:r w:rsidRPr="000B4E2C">
        <w:rPr>
          <w:color w:val="000000" w:themeColor="text1"/>
          <w:szCs w:val="24"/>
          <w:lang w:eastAsia="en-GB"/>
        </w:rPr>
        <w:t>The Hall report conducted a thorough review of the literature prior to 2016 for utility parameters.</w:t>
      </w:r>
      <w:r w:rsidR="000B4E2C" w:rsidRPr="000B4E2C">
        <w:rPr>
          <w:color w:val="000000" w:themeColor="text1"/>
          <w:szCs w:val="24"/>
          <w:lang w:eastAsia="en-GB"/>
        </w:rPr>
        <w:t xml:space="preserve"> </w:t>
      </w:r>
      <w:r w:rsidRPr="000B4E2C">
        <w:rPr>
          <w:color w:val="000000" w:themeColor="text1"/>
          <w:szCs w:val="24"/>
          <w:lang w:eastAsia="en-GB"/>
        </w:rPr>
        <w:t xml:space="preserve">They identified two systematic reviews of utility </w:t>
      </w:r>
      <w:r w:rsidRPr="000B4E2C">
        <w:rPr>
          <w:color w:val="000000" w:themeColor="text1"/>
          <w:szCs w:val="24"/>
          <w:highlight w:val="magenta"/>
          <w:lang w:eastAsia="en-GB"/>
        </w:rPr>
        <w:t>data</w:t>
      </w:r>
      <w:r w:rsidRPr="000B4E2C">
        <w:rPr>
          <w:color w:val="000000" w:themeColor="text1"/>
          <w:szCs w:val="24"/>
          <w:lang w:eastAsia="en-GB"/>
        </w:rPr>
        <w:t xml:space="preserve"> that provided </w:t>
      </w:r>
      <w:r w:rsidRPr="000B4E2C">
        <w:rPr>
          <w:color w:val="000000" w:themeColor="text1"/>
          <w:szCs w:val="24"/>
          <w:highlight w:val="magenta"/>
          <w:lang w:eastAsia="en-GB"/>
        </w:rPr>
        <w:t>data</w:t>
      </w:r>
      <w:r w:rsidRPr="000B4E2C">
        <w:rPr>
          <w:color w:val="000000" w:themeColor="text1"/>
          <w:szCs w:val="24"/>
          <w:lang w:eastAsia="en-GB"/>
        </w:rPr>
        <w:t xml:space="preserve"> that could be used in the economic model.</w:t>
      </w:r>
      <w:r w:rsidR="000B4E2C" w:rsidRPr="000B4E2C">
        <w:rPr>
          <w:color w:val="000000" w:themeColor="text1"/>
          <w:szCs w:val="24"/>
          <w:lang w:eastAsia="en-GB"/>
        </w:rPr>
        <w:t xml:space="preserve"> </w:t>
      </w:r>
      <w:r w:rsidRPr="000B4E2C">
        <w:rPr>
          <w:color w:val="000000" w:themeColor="text1"/>
          <w:szCs w:val="24"/>
          <w:lang w:eastAsia="en-GB"/>
        </w:rPr>
        <w:t>The first, a systematic review and meta-regression published by Wyld</w:t>
      </w:r>
      <w:r w:rsidRPr="000B4E2C">
        <w:rPr>
          <w:i/>
          <w:color w:val="00B0F0"/>
          <w:szCs w:val="24"/>
          <w:lang w:eastAsia="en-GB"/>
        </w:rPr>
        <w:t xml:space="preserve"> et al</w:t>
      </w:r>
      <w:r w:rsidR="00280A97" w:rsidRPr="000B4E2C">
        <w:rPr>
          <w:noProof/>
          <w:color w:val="000000" w:themeColor="text1"/>
          <w:szCs w:val="24"/>
          <w:vertAlign w:val="superscript"/>
          <w:lang w:eastAsia="en-GB"/>
        </w:rPr>
        <w:t>133</w:t>
      </w:r>
      <w:r w:rsidRPr="000B4E2C">
        <w:rPr>
          <w:color w:val="000000" w:themeColor="text1"/>
          <w:szCs w:val="24"/>
          <w:lang w:eastAsia="en-GB"/>
        </w:rPr>
        <w:t xml:space="preserve"> predicted utility according to treatment (transplant, dialysis, pre-treatment, conservative management).</w:t>
      </w:r>
      <w:r w:rsidR="000B4E2C" w:rsidRPr="000B4E2C">
        <w:rPr>
          <w:color w:val="000000" w:themeColor="text1"/>
          <w:szCs w:val="24"/>
          <w:lang w:eastAsia="en-GB"/>
        </w:rPr>
        <w:t xml:space="preserve"> </w:t>
      </w:r>
      <w:r w:rsidRPr="000B4E2C">
        <w:rPr>
          <w:color w:val="000000" w:themeColor="text1"/>
          <w:szCs w:val="24"/>
          <w:lang w:eastAsia="en-GB"/>
        </w:rPr>
        <w:t>This model predicted an E</w:t>
      </w:r>
      <w:r w:rsidR="000B4E2C" w:rsidRPr="000B4E2C">
        <w:rPr>
          <w:color w:val="00B0F0"/>
          <w:szCs w:val="24"/>
          <w:lang w:eastAsia="en-GB"/>
        </w:rPr>
        <w:t>Q</w:t>
      </w:r>
      <w:r w:rsidR="000B4E2C" w:rsidRPr="000B4E2C">
        <w:rPr>
          <w:color w:val="00B0F0"/>
          <w:szCs w:val="24"/>
          <w:lang w:eastAsia="en-GB"/>
        </w:rPr>
        <w:t>-</w:t>
      </w:r>
      <w:r w:rsidR="000B4E2C" w:rsidRPr="000B4E2C">
        <w:rPr>
          <w:color w:val="00B0F0"/>
          <w:szCs w:val="24"/>
          <w:lang w:eastAsia="en-GB"/>
        </w:rPr>
        <w:t>5</w:t>
      </w:r>
      <w:r w:rsidRPr="000B4E2C">
        <w:rPr>
          <w:color w:val="000000" w:themeColor="text1"/>
          <w:szCs w:val="24"/>
          <w:lang w:eastAsia="en-GB"/>
        </w:rPr>
        <w:t>D utility value for patients on dialysis of 0.64, and an E</w:t>
      </w:r>
      <w:r w:rsidR="000B4E2C" w:rsidRPr="000B4E2C">
        <w:rPr>
          <w:color w:val="00B0F0"/>
          <w:szCs w:val="24"/>
          <w:lang w:eastAsia="en-GB"/>
        </w:rPr>
        <w:t>Q</w:t>
      </w:r>
      <w:r w:rsidR="000B4E2C" w:rsidRPr="000B4E2C">
        <w:rPr>
          <w:color w:val="00B0F0"/>
          <w:szCs w:val="24"/>
          <w:lang w:eastAsia="en-GB"/>
        </w:rPr>
        <w:t>-</w:t>
      </w:r>
      <w:r w:rsidR="000B4E2C" w:rsidRPr="000B4E2C">
        <w:rPr>
          <w:color w:val="00B0F0"/>
          <w:szCs w:val="24"/>
          <w:lang w:eastAsia="en-GB"/>
        </w:rPr>
        <w:t>5</w:t>
      </w:r>
      <w:r w:rsidRPr="000B4E2C">
        <w:rPr>
          <w:color w:val="000000" w:themeColor="text1"/>
          <w:szCs w:val="24"/>
          <w:lang w:eastAsia="en-GB"/>
        </w:rPr>
        <w:t>D utility for transplant patients of 0.75. The utilities from Wyld</w:t>
      </w:r>
      <w:r w:rsidRPr="000B4E2C">
        <w:rPr>
          <w:i/>
          <w:color w:val="00B0F0"/>
          <w:szCs w:val="24"/>
          <w:lang w:eastAsia="en-GB"/>
        </w:rPr>
        <w:t xml:space="preserve"> et al</w:t>
      </w:r>
      <w:r w:rsidRPr="000B4E2C">
        <w:rPr>
          <w:color w:val="000000" w:themeColor="text1"/>
          <w:szCs w:val="24"/>
          <w:lang w:eastAsia="en-GB"/>
        </w:rPr>
        <w:t>. were used in the Hall</w:t>
      </w:r>
      <w:r w:rsidRPr="000B4E2C">
        <w:rPr>
          <w:i/>
          <w:color w:val="00B0F0"/>
          <w:szCs w:val="24"/>
          <w:lang w:eastAsia="en-GB"/>
        </w:rPr>
        <w:t xml:space="preserve"> et al</w:t>
      </w:r>
      <w:r w:rsidRPr="000B4E2C">
        <w:rPr>
          <w:color w:val="000000" w:themeColor="text1"/>
          <w:szCs w:val="24"/>
          <w:lang w:eastAsia="en-GB"/>
        </w:rPr>
        <w:t>. model.</w:t>
      </w:r>
    </w:p>
    <w:p w14:paraId="7D74B900" w14:textId="24FB99A7" w:rsidR="000B4E2C" w:rsidRPr="000B4E2C" w:rsidRDefault="002F0133" w:rsidP="008A7464">
      <w:pPr>
        <w:tabs>
          <w:tab w:val="num" w:pos="1364"/>
          <w:tab w:val="center" w:pos="4153"/>
          <w:tab w:val="right" w:pos="8306"/>
        </w:tabs>
        <w:contextualSpacing/>
        <w:rPr>
          <w:color w:val="000000" w:themeColor="text1"/>
          <w:szCs w:val="24"/>
          <w:lang w:eastAsia="en-GB"/>
        </w:rPr>
      </w:pPr>
      <w:r w:rsidRPr="000B4E2C">
        <w:rPr>
          <w:color w:val="000000" w:themeColor="text1"/>
          <w:szCs w:val="24"/>
          <w:lang w:eastAsia="en-GB"/>
        </w:rPr>
        <w:t>However, a limitation of Wyld</w:t>
      </w:r>
      <w:r w:rsidRPr="000B4E2C">
        <w:rPr>
          <w:i/>
          <w:color w:val="00B0F0"/>
          <w:szCs w:val="24"/>
          <w:lang w:eastAsia="en-GB"/>
        </w:rPr>
        <w:t xml:space="preserve"> et al</w:t>
      </w:r>
      <w:r w:rsidRPr="000B4E2C">
        <w:rPr>
          <w:color w:val="000000" w:themeColor="text1"/>
          <w:szCs w:val="24"/>
          <w:lang w:eastAsia="en-GB"/>
        </w:rPr>
        <w:t>. was that some of the E</w:t>
      </w:r>
      <w:r w:rsidR="000B4E2C" w:rsidRPr="000B4E2C">
        <w:rPr>
          <w:color w:val="00B0F0"/>
          <w:szCs w:val="24"/>
          <w:lang w:eastAsia="en-GB"/>
        </w:rPr>
        <w:t>Q</w:t>
      </w:r>
      <w:r w:rsidR="000B4E2C" w:rsidRPr="000B4E2C">
        <w:rPr>
          <w:color w:val="00B0F0"/>
          <w:szCs w:val="24"/>
          <w:lang w:eastAsia="en-GB"/>
        </w:rPr>
        <w:t>-</w:t>
      </w:r>
      <w:r w:rsidR="000B4E2C" w:rsidRPr="000B4E2C">
        <w:rPr>
          <w:color w:val="00B0F0"/>
          <w:szCs w:val="24"/>
          <w:lang w:eastAsia="en-GB"/>
        </w:rPr>
        <w:t>5</w:t>
      </w:r>
      <w:r w:rsidRPr="000B4E2C">
        <w:rPr>
          <w:color w:val="000000" w:themeColor="text1"/>
          <w:szCs w:val="24"/>
          <w:lang w:eastAsia="en-GB"/>
        </w:rPr>
        <w:t>D scores were calculated from mapping algorithms, and the age to which the mean utility estimates applied was not reported. The earlier systematic review by Liem</w:t>
      </w:r>
      <w:r w:rsidRPr="000B4E2C">
        <w:rPr>
          <w:i/>
          <w:color w:val="00B0F0"/>
          <w:szCs w:val="24"/>
          <w:lang w:eastAsia="en-GB"/>
        </w:rPr>
        <w:t xml:space="preserve"> et al</w:t>
      </w:r>
      <w:r w:rsidRPr="000B4E2C">
        <w:rPr>
          <w:color w:val="000000" w:themeColor="text1"/>
          <w:szCs w:val="24"/>
          <w:lang w:eastAsia="en-GB"/>
        </w:rPr>
        <w:t xml:space="preserve"> restricted a meta-analysis to those studies using the E</w:t>
      </w:r>
      <w:r w:rsidR="000B4E2C" w:rsidRPr="000B4E2C">
        <w:rPr>
          <w:color w:val="00B0F0"/>
          <w:szCs w:val="24"/>
          <w:lang w:eastAsia="en-GB"/>
        </w:rPr>
        <w:t>Q</w:t>
      </w:r>
      <w:r w:rsidR="000B4E2C" w:rsidRPr="000B4E2C">
        <w:rPr>
          <w:color w:val="00B0F0"/>
          <w:szCs w:val="24"/>
          <w:lang w:eastAsia="en-GB"/>
        </w:rPr>
        <w:t>-</w:t>
      </w:r>
      <w:r w:rsidR="000B4E2C" w:rsidRPr="000B4E2C">
        <w:rPr>
          <w:color w:val="00B0F0"/>
          <w:szCs w:val="24"/>
          <w:lang w:eastAsia="en-GB"/>
        </w:rPr>
        <w:t>5</w:t>
      </w:r>
      <w:r w:rsidRPr="000B4E2C">
        <w:rPr>
          <w:color w:val="000000" w:themeColor="text1"/>
          <w:szCs w:val="24"/>
          <w:lang w:eastAsia="en-GB"/>
        </w:rPr>
        <w:t xml:space="preserve">D index directly for each </w:t>
      </w:r>
      <w:r w:rsidRPr="000B4E2C">
        <w:rPr>
          <w:color w:val="000000" w:themeColor="text1"/>
          <w:szCs w:val="24"/>
          <w:lang w:eastAsia="en-GB"/>
        </w:rPr>
        <w:lastRenderedPageBreak/>
        <w:t>modality of chronic RRT, and reported the pooled mean age and sex distribution for the corresponding pooled E</w:t>
      </w:r>
      <w:r w:rsidR="000B4E2C" w:rsidRPr="000B4E2C">
        <w:rPr>
          <w:color w:val="00B0F0"/>
          <w:szCs w:val="24"/>
          <w:lang w:eastAsia="en-GB"/>
        </w:rPr>
        <w:t>Q</w:t>
      </w:r>
      <w:r w:rsidR="000B4E2C" w:rsidRPr="000B4E2C">
        <w:rPr>
          <w:color w:val="00B0F0"/>
          <w:szCs w:val="24"/>
          <w:lang w:eastAsia="en-GB"/>
        </w:rPr>
        <w:t>-</w:t>
      </w:r>
      <w:r w:rsidR="000B4E2C" w:rsidRPr="000B4E2C">
        <w:rPr>
          <w:color w:val="00B0F0"/>
          <w:szCs w:val="24"/>
          <w:lang w:eastAsia="en-GB"/>
        </w:rPr>
        <w:t>5</w:t>
      </w:r>
      <w:r w:rsidRPr="000B4E2C">
        <w:rPr>
          <w:color w:val="000000" w:themeColor="text1"/>
          <w:szCs w:val="24"/>
          <w:lang w:eastAsia="en-GB"/>
        </w:rPr>
        <w:t>D values</w:t>
      </w:r>
      <w:r w:rsidR="001E605D" w:rsidRPr="000B4E2C">
        <w:rPr>
          <w:color w:val="000000" w:themeColor="text1"/>
          <w:szCs w:val="24"/>
          <w:lang w:eastAsia="en-GB"/>
        </w:rPr>
        <w:t>.</w:t>
      </w:r>
      <w:r w:rsidR="00280A97" w:rsidRPr="000B4E2C">
        <w:rPr>
          <w:noProof/>
          <w:color w:val="000000" w:themeColor="text1"/>
          <w:szCs w:val="24"/>
          <w:vertAlign w:val="superscript"/>
          <w:lang w:eastAsia="en-GB"/>
        </w:rPr>
        <w:t>136</w:t>
      </w:r>
    </w:p>
    <w:p w14:paraId="118937BF" w14:textId="380B1890" w:rsidR="000B4E2C" w:rsidRPr="000B4E2C" w:rsidRDefault="002F0133" w:rsidP="008A7464">
      <w:pPr>
        <w:tabs>
          <w:tab w:val="num" w:pos="1364"/>
          <w:tab w:val="center" w:pos="4153"/>
          <w:tab w:val="right" w:pos="8306"/>
        </w:tabs>
        <w:contextualSpacing/>
        <w:rPr>
          <w:color w:val="000000" w:themeColor="text1"/>
          <w:szCs w:val="24"/>
          <w:lang w:eastAsia="en-GB"/>
        </w:rPr>
      </w:pPr>
      <w:r w:rsidRPr="000B4E2C">
        <w:rPr>
          <w:color w:val="000000" w:themeColor="text1"/>
          <w:szCs w:val="24"/>
          <w:lang w:eastAsia="en-GB"/>
        </w:rPr>
        <w:t>In addition to the two reviews identified by Hall</w:t>
      </w:r>
      <w:r w:rsidRPr="000B4E2C">
        <w:rPr>
          <w:i/>
          <w:color w:val="00B0F0"/>
          <w:szCs w:val="24"/>
          <w:lang w:eastAsia="en-GB"/>
        </w:rPr>
        <w:t xml:space="preserve"> et al</w:t>
      </w:r>
      <w:r w:rsidRPr="000B4E2C">
        <w:rPr>
          <w:color w:val="000000" w:themeColor="text1"/>
          <w:szCs w:val="24"/>
          <w:lang w:eastAsia="en-GB"/>
        </w:rPr>
        <w:t>, a further structured literature search was conducted to obtain any more recent utility studies that match the NICE DAP reference case (i.e.</w:t>
      </w:r>
      <w:r w:rsidR="00881500" w:rsidRPr="000B4E2C">
        <w:rPr>
          <w:color w:val="000000" w:themeColor="text1"/>
          <w:szCs w:val="24"/>
          <w:lang w:eastAsia="en-GB"/>
        </w:rPr>
        <w:t>,</w:t>
      </w:r>
      <w:r w:rsidRPr="000B4E2C">
        <w:rPr>
          <w:color w:val="000000" w:themeColor="text1"/>
          <w:szCs w:val="24"/>
          <w:lang w:eastAsia="en-GB"/>
        </w:rPr>
        <w:t xml:space="preserve"> studies that included E</w:t>
      </w:r>
      <w:r w:rsidR="000B4E2C" w:rsidRPr="000B4E2C">
        <w:rPr>
          <w:color w:val="00B0F0"/>
          <w:szCs w:val="24"/>
          <w:lang w:eastAsia="en-GB"/>
        </w:rPr>
        <w:t>Q</w:t>
      </w:r>
      <w:r w:rsidR="000B4E2C" w:rsidRPr="000B4E2C">
        <w:rPr>
          <w:color w:val="00B0F0"/>
          <w:szCs w:val="24"/>
          <w:lang w:eastAsia="en-GB"/>
        </w:rPr>
        <w:t>-</w:t>
      </w:r>
      <w:r w:rsidR="000B4E2C" w:rsidRPr="000B4E2C">
        <w:rPr>
          <w:color w:val="00B0F0"/>
          <w:szCs w:val="24"/>
          <w:lang w:eastAsia="en-GB"/>
        </w:rPr>
        <w:t>5D</w:t>
      </w:r>
      <w:r w:rsidR="000B4E2C" w:rsidRPr="000B4E2C">
        <w:rPr>
          <w:color w:val="00B0F0"/>
          <w:szCs w:val="24"/>
          <w:lang w:eastAsia="en-GB"/>
        </w:rPr>
        <w:t>-</w:t>
      </w:r>
      <w:r w:rsidR="000B4E2C" w:rsidRPr="000B4E2C">
        <w:rPr>
          <w:color w:val="00B0F0"/>
          <w:szCs w:val="24"/>
          <w:lang w:eastAsia="en-GB"/>
        </w:rPr>
        <w:t>3</w:t>
      </w:r>
      <w:r w:rsidRPr="000B4E2C">
        <w:rPr>
          <w:color w:val="000000" w:themeColor="text1"/>
          <w:szCs w:val="24"/>
          <w:lang w:eastAsia="en-GB"/>
        </w:rPr>
        <w:t xml:space="preserve">L </w:t>
      </w:r>
      <w:r w:rsidRPr="000B4E2C">
        <w:rPr>
          <w:color w:val="000000" w:themeColor="text1"/>
          <w:szCs w:val="24"/>
          <w:highlight w:val="magenta"/>
          <w:lang w:eastAsia="en-GB"/>
        </w:rPr>
        <w:t>data</w:t>
      </w:r>
      <w:r w:rsidRPr="000B4E2C">
        <w:rPr>
          <w:color w:val="000000" w:themeColor="text1"/>
          <w:szCs w:val="24"/>
          <w:lang w:eastAsia="en-GB"/>
        </w:rPr>
        <w:t xml:space="preserve"> for UK patients, valued using U</w:t>
      </w:r>
      <w:r w:rsidR="001E605D" w:rsidRPr="000B4E2C">
        <w:rPr>
          <w:color w:val="000000" w:themeColor="text1"/>
          <w:szCs w:val="24"/>
          <w:lang w:eastAsia="en-GB"/>
        </w:rPr>
        <w:t xml:space="preserve">K general population tariffs). </w:t>
      </w:r>
      <w:r w:rsidRPr="000B4E2C">
        <w:rPr>
          <w:color w:val="000000" w:themeColor="text1"/>
          <w:szCs w:val="24"/>
          <w:lang w:eastAsia="en-GB"/>
        </w:rPr>
        <w:t xml:space="preserve">A range of databases were searched for English language, full text publications, published between 2016 (end </w:t>
      </w:r>
      <w:r w:rsidRPr="000B4E2C">
        <w:rPr>
          <w:color w:val="000000" w:themeColor="text1"/>
          <w:szCs w:val="24"/>
          <w:highlight w:val="magenta"/>
          <w:lang w:eastAsia="en-GB"/>
        </w:rPr>
        <w:t>data</w:t>
      </w:r>
      <w:r w:rsidRPr="000B4E2C">
        <w:rPr>
          <w:color w:val="000000" w:themeColor="text1"/>
          <w:szCs w:val="24"/>
          <w:lang w:eastAsia="en-GB"/>
        </w:rPr>
        <w:t xml:space="preserve"> of Hall</w:t>
      </w:r>
      <w:r w:rsidRPr="000B4E2C">
        <w:rPr>
          <w:i/>
          <w:color w:val="00B0F0"/>
          <w:szCs w:val="24"/>
          <w:lang w:eastAsia="en-GB"/>
        </w:rPr>
        <w:t xml:space="preserve"> et al</w:t>
      </w:r>
      <w:r w:rsidRPr="000B4E2C">
        <w:rPr>
          <w:color w:val="000000" w:themeColor="text1"/>
          <w:szCs w:val="24"/>
          <w:lang w:eastAsia="en-GB"/>
        </w:rPr>
        <w:t>. searches) and 2019</w:t>
      </w:r>
      <w:r w:rsidR="001E605D" w:rsidRPr="000B4E2C">
        <w:rPr>
          <w:color w:val="000000" w:themeColor="text1"/>
          <w:szCs w:val="24"/>
          <w:lang w:eastAsia="en-GB"/>
        </w:rPr>
        <w:t>.</w:t>
      </w:r>
      <w:r w:rsidRPr="000B4E2C">
        <w:rPr>
          <w:color w:val="000000" w:themeColor="text1"/>
          <w:szCs w:val="24"/>
          <w:lang w:eastAsia="en-GB"/>
        </w:rPr>
        <w:t xml:space="preserve"> N</w:t>
      </w:r>
      <w:r w:rsidR="000B4E2C" w:rsidRPr="000B4E2C">
        <w:rPr>
          <w:color w:val="00B0F0"/>
          <w:szCs w:val="24"/>
          <w:lang w:eastAsia="en-GB"/>
        </w:rPr>
        <w:t> = </w:t>
      </w:r>
      <w:r w:rsidRPr="000B4E2C">
        <w:rPr>
          <w:color w:val="000000" w:themeColor="text1"/>
          <w:szCs w:val="24"/>
          <w:lang w:eastAsia="en-GB"/>
        </w:rPr>
        <w:t>7 were identified that were deemed appropriate to meet the NICE reference case for the DAP, specifically, they reported E</w:t>
      </w:r>
      <w:r w:rsidR="000B4E2C" w:rsidRPr="000B4E2C">
        <w:rPr>
          <w:color w:val="00B0F0"/>
          <w:szCs w:val="24"/>
          <w:lang w:eastAsia="en-GB"/>
        </w:rPr>
        <w:t>Q</w:t>
      </w:r>
      <w:r w:rsidR="000B4E2C" w:rsidRPr="000B4E2C">
        <w:rPr>
          <w:color w:val="00B0F0"/>
          <w:szCs w:val="24"/>
          <w:lang w:eastAsia="en-GB"/>
        </w:rPr>
        <w:t>-</w:t>
      </w:r>
      <w:r w:rsidR="000B4E2C" w:rsidRPr="000B4E2C">
        <w:rPr>
          <w:color w:val="00B0F0"/>
          <w:szCs w:val="24"/>
          <w:lang w:eastAsia="en-GB"/>
        </w:rPr>
        <w:t>5</w:t>
      </w:r>
      <w:r w:rsidRPr="000B4E2C">
        <w:rPr>
          <w:color w:val="000000" w:themeColor="text1"/>
          <w:szCs w:val="24"/>
          <w:lang w:eastAsia="en-GB"/>
        </w:rPr>
        <w:t>D based utilities valued according to the UK general populatio</w:t>
      </w:r>
      <w:r w:rsidR="001E605D" w:rsidRPr="000B4E2C">
        <w:rPr>
          <w:color w:val="000000" w:themeColor="text1"/>
          <w:szCs w:val="24"/>
          <w:lang w:eastAsia="en-GB"/>
        </w:rPr>
        <w:t xml:space="preserve">n preference-based value sets. </w:t>
      </w:r>
      <w:r w:rsidRPr="000B4E2C">
        <w:rPr>
          <w:color w:val="000000" w:themeColor="text1"/>
          <w:szCs w:val="24"/>
          <w:lang w:eastAsia="en-GB"/>
        </w:rPr>
        <w:t>Studies where E</w:t>
      </w:r>
      <w:r w:rsidR="000B4E2C" w:rsidRPr="000B4E2C">
        <w:rPr>
          <w:color w:val="00B0F0"/>
          <w:szCs w:val="24"/>
          <w:lang w:eastAsia="en-GB"/>
        </w:rPr>
        <w:t>Q</w:t>
      </w:r>
      <w:r w:rsidR="000B4E2C" w:rsidRPr="000B4E2C">
        <w:rPr>
          <w:color w:val="00B0F0"/>
          <w:szCs w:val="24"/>
          <w:lang w:eastAsia="en-GB"/>
        </w:rPr>
        <w:t>-</w:t>
      </w:r>
      <w:r w:rsidR="000B4E2C" w:rsidRPr="000B4E2C">
        <w:rPr>
          <w:color w:val="00B0F0"/>
          <w:szCs w:val="24"/>
          <w:lang w:eastAsia="en-GB"/>
        </w:rPr>
        <w:t>5</w:t>
      </w:r>
      <w:r w:rsidRPr="000B4E2C">
        <w:rPr>
          <w:color w:val="000000" w:themeColor="text1"/>
          <w:szCs w:val="24"/>
          <w:lang w:eastAsia="en-GB"/>
        </w:rPr>
        <w:t>D was administered to non-uk population but valued according to the</w:t>
      </w:r>
      <w:r w:rsidR="001E605D" w:rsidRPr="000B4E2C">
        <w:rPr>
          <w:color w:val="000000" w:themeColor="text1"/>
          <w:szCs w:val="24"/>
          <w:lang w:eastAsia="en-GB"/>
        </w:rPr>
        <w:t xml:space="preserve"> UK tariff were also included.</w:t>
      </w:r>
    </w:p>
    <w:p w14:paraId="379715BE" w14:textId="084DAC88" w:rsidR="000B4E2C" w:rsidRPr="000B4E2C" w:rsidRDefault="002F0133" w:rsidP="008A7464">
      <w:pPr>
        <w:tabs>
          <w:tab w:val="num" w:pos="1364"/>
          <w:tab w:val="center" w:pos="4153"/>
          <w:tab w:val="right" w:pos="8306"/>
        </w:tabs>
        <w:contextualSpacing/>
        <w:rPr>
          <w:color w:val="000000" w:themeColor="text1"/>
          <w:szCs w:val="24"/>
          <w:lang w:eastAsia="en-GB"/>
        </w:rPr>
      </w:pPr>
      <w:r w:rsidRPr="000B4E2C">
        <w:rPr>
          <w:color w:val="000000" w:themeColor="text1"/>
          <w:szCs w:val="24"/>
          <w:lang w:eastAsia="en-GB"/>
        </w:rPr>
        <w:t>The age and sex matched E</w:t>
      </w:r>
      <w:r w:rsidR="000B4E2C" w:rsidRPr="000B4E2C">
        <w:rPr>
          <w:color w:val="00B0F0"/>
          <w:szCs w:val="24"/>
          <w:lang w:eastAsia="en-GB"/>
        </w:rPr>
        <w:t>Q</w:t>
      </w:r>
      <w:r w:rsidR="000B4E2C" w:rsidRPr="000B4E2C">
        <w:rPr>
          <w:color w:val="00B0F0"/>
          <w:szCs w:val="24"/>
          <w:lang w:eastAsia="en-GB"/>
        </w:rPr>
        <w:t>-</w:t>
      </w:r>
      <w:r w:rsidR="000B4E2C" w:rsidRPr="000B4E2C">
        <w:rPr>
          <w:color w:val="00B0F0"/>
          <w:szCs w:val="24"/>
          <w:lang w:eastAsia="en-GB"/>
        </w:rPr>
        <w:t>5</w:t>
      </w:r>
      <w:r w:rsidRPr="000B4E2C">
        <w:rPr>
          <w:color w:val="000000" w:themeColor="text1"/>
          <w:szCs w:val="24"/>
          <w:lang w:eastAsia="en-GB"/>
        </w:rPr>
        <w:t>D UK population norms were calculated using an equation published by Ara and Brazier</w:t>
      </w:r>
      <w:r w:rsidR="00280A97" w:rsidRPr="000B4E2C">
        <w:rPr>
          <w:noProof/>
          <w:color w:val="000000" w:themeColor="text1"/>
          <w:szCs w:val="24"/>
          <w:vertAlign w:val="superscript"/>
          <w:lang w:eastAsia="en-GB"/>
        </w:rPr>
        <w:t>140</w:t>
      </w:r>
      <w:r w:rsidRPr="000B4E2C">
        <w:rPr>
          <w:color w:val="000000" w:themeColor="text1"/>
          <w:szCs w:val="24"/>
          <w:lang w:eastAsia="en-GB"/>
        </w:rPr>
        <w:t xml:space="preserve"> and used to derive age/sex adjusted utility multipliers from the raw pooled estimates, based on the age and sex distribution of the source studies</w:t>
      </w:r>
      <w:r w:rsidR="001E605D" w:rsidRPr="000B4E2C">
        <w:rPr>
          <w:color w:val="000000" w:themeColor="text1"/>
          <w:szCs w:val="24"/>
          <w:lang w:eastAsia="en-GB"/>
        </w:rPr>
        <w:t>.</w:t>
      </w:r>
      <w:r w:rsidR="00280A97" w:rsidRPr="000B4E2C">
        <w:rPr>
          <w:noProof/>
          <w:color w:val="000000" w:themeColor="text1"/>
          <w:szCs w:val="24"/>
          <w:vertAlign w:val="superscript"/>
          <w:lang w:eastAsia="en-GB"/>
        </w:rPr>
        <w:t>137</w:t>
      </w:r>
      <w:r w:rsidR="001E605D" w:rsidRPr="000B4E2C">
        <w:rPr>
          <w:color w:val="000000" w:themeColor="text1"/>
          <w:szCs w:val="24"/>
          <w:lang w:eastAsia="en-GB"/>
        </w:rPr>
        <w:t xml:space="preserve"> </w:t>
      </w:r>
      <w:r w:rsidRPr="000B4E2C">
        <w:rPr>
          <w:color w:val="000000" w:themeColor="text1"/>
          <w:szCs w:val="24"/>
          <w:lang w:eastAsia="en-GB"/>
        </w:rPr>
        <w:t xml:space="preserve">The utility of the proportion of the cohort having a successful transplant is assumed to revert to that of the outpatient </w:t>
      </w:r>
      <w:r w:rsidRPr="000B4E2C">
        <w:rPr>
          <w:color w:val="000000" w:themeColor="text1"/>
          <w:szCs w:val="24"/>
          <w:highlight w:val="magenta"/>
          <w:lang w:eastAsia="en-GB"/>
        </w:rPr>
        <w:t>follow up</w:t>
      </w:r>
      <w:r w:rsidRPr="000B4E2C">
        <w:rPr>
          <w:color w:val="000000" w:themeColor="text1"/>
          <w:szCs w:val="24"/>
          <w:lang w:eastAsia="en-GB"/>
        </w:rPr>
        <w:t xml:space="preserve"> state. All utility </w:t>
      </w:r>
      <w:r w:rsidRPr="000B4E2C">
        <w:rPr>
          <w:color w:val="000000" w:themeColor="text1"/>
          <w:szCs w:val="24"/>
          <w:highlight w:val="magenta"/>
          <w:lang w:eastAsia="en-GB"/>
        </w:rPr>
        <w:t>data</w:t>
      </w:r>
      <w:r w:rsidRPr="000B4E2C">
        <w:rPr>
          <w:color w:val="000000" w:themeColor="text1"/>
          <w:szCs w:val="24"/>
          <w:lang w:eastAsia="en-GB"/>
        </w:rPr>
        <w:t xml:space="preserve"> were incorporated into the model probabilistically using beta distributions.</w:t>
      </w:r>
    </w:p>
    <w:p w14:paraId="3C84A1B1" w14:textId="582C53C8" w:rsidR="002F0133" w:rsidRPr="000B4E2C" w:rsidRDefault="002F0133" w:rsidP="008A7464">
      <w:pPr>
        <w:pStyle w:val="Heading3"/>
        <w:rPr>
          <w:rFonts w:eastAsia="Times New Roman"/>
        </w:rPr>
      </w:pPr>
      <w:r w:rsidRPr="000B4E2C">
        <w:rPr>
          <w:rFonts w:eastAsia="Times New Roman"/>
        </w:rPr>
        <w:t>Time horizon and discounting</w:t>
      </w:r>
    </w:p>
    <w:p w14:paraId="7804255E" w14:textId="77777777" w:rsidR="000B4E2C" w:rsidRPr="000B4E2C" w:rsidRDefault="002F0133" w:rsidP="008A7464">
      <w:pPr>
        <w:tabs>
          <w:tab w:val="num" w:pos="1364"/>
          <w:tab w:val="center" w:pos="4153"/>
          <w:tab w:val="right" w:pos="8306"/>
        </w:tabs>
        <w:contextualSpacing/>
        <w:rPr>
          <w:color w:val="000000" w:themeColor="text1"/>
          <w:szCs w:val="24"/>
          <w:lang w:eastAsia="en-GB"/>
        </w:rPr>
      </w:pPr>
      <w:r w:rsidRPr="000B4E2C">
        <w:rPr>
          <w:color w:val="000000" w:themeColor="text1"/>
          <w:szCs w:val="24"/>
          <w:lang w:eastAsia="en-GB"/>
        </w:rPr>
        <w:t>The model was run over a life time horizon, up to age 100 (for a cohort with a starting age of 63 in the model)</w:t>
      </w:r>
      <w:r w:rsidR="001E605D" w:rsidRPr="000B4E2C">
        <w:rPr>
          <w:color w:val="000000" w:themeColor="text1"/>
          <w:szCs w:val="24"/>
          <w:lang w:eastAsia="en-GB"/>
        </w:rPr>
        <w:t xml:space="preserve">. </w:t>
      </w:r>
      <w:r w:rsidRPr="000B4E2C">
        <w:rPr>
          <w:color w:val="000000" w:themeColor="text1"/>
          <w:szCs w:val="24"/>
          <w:lang w:eastAsia="en-GB"/>
        </w:rPr>
        <w:t xml:space="preserve">The life-time horizon was chosen to ensure that all the long-term costs and consequences of AKI induced CKD were captured, including the long-term health effects of ultimate progression </w:t>
      </w:r>
      <w:r w:rsidR="001E605D" w:rsidRPr="000B4E2C">
        <w:rPr>
          <w:color w:val="000000" w:themeColor="text1"/>
          <w:szCs w:val="24"/>
          <w:lang w:eastAsia="en-GB"/>
        </w:rPr>
        <w:t xml:space="preserve">to ESRD, transplant and death. </w:t>
      </w:r>
      <w:r w:rsidRPr="000B4E2C">
        <w:rPr>
          <w:color w:val="000000" w:themeColor="text1"/>
          <w:szCs w:val="24"/>
          <w:lang w:eastAsia="en-GB"/>
        </w:rPr>
        <w:t xml:space="preserve">The cycle length for the model was annual and half cycle corrections have been applied to costs and </w:t>
      </w:r>
      <w:r w:rsidR="001E605D" w:rsidRPr="000B4E2C">
        <w:rPr>
          <w:color w:val="000000" w:themeColor="text1"/>
          <w:szCs w:val="24"/>
          <w:lang w:eastAsia="en-GB"/>
        </w:rPr>
        <w:t xml:space="preserve">utilities. </w:t>
      </w:r>
      <w:r w:rsidRPr="000B4E2C">
        <w:rPr>
          <w:color w:val="000000" w:themeColor="text1"/>
          <w:szCs w:val="24"/>
          <w:lang w:eastAsia="en-GB"/>
        </w:rPr>
        <w:t>All costs and outcomes accruing beyond the first yearly cycle of the model were discounted at a rate of 3.5% per annum in line</w:t>
      </w:r>
      <w:r w:rsidR="001E605D" w:rsidRPr="000B4E2C">
        <w:rPr>
          <w:color w:val="000000" w:themeColor="text1"/>
          <w:szCs w:val="24"/>
          <w:lang w:eastAsia="en-GB"/>
        </w:rPr>
        <w:t xml:space="preserve"> with the NICE reference case. </w:t>
      </w:r>
      <w:r w:rsidRPr="000B4E2C">
        <w:rPr>
          <w:color w:val="000000" w:themeColor="text1"/>
          <w:szCs w:val="24"/>
          <w:lang w:eastAsia="en-GB"/>
        </w:rPr>
        <w:t>The discount rate was varied between 0% and 6% in deterministic sensitivity analyses.</w:t>
      </w:r>
    </w:p>
    <w:p w14:paraId="201AF7AC" w14:textId="3A29FE0E" w:rsidR="002F0133" w:rsidRPr="000B4E2C" w:rsidRDefault="002F0133" w:rsidP="008A7464">
      <w:pPr>
        <w:pStyle w:val="Heading3"/>
      </w:pPr>
      <w:r w:rsidRPr="000B4E2C">
        <w:t>Analyses</w:t>
      </w:r>
    </w:p>
    <w:p w14:paraId="5B354291" w14:textId="77777777" w:rsidR="000B4E2C" w:rsidRPr="000B4E2C" w:rsidRDefault="002F0133" w:rsidP="008A7464">
      <w:pPr>
        <w:contextualSpacing/>
        <w:rPr>
          <w:rFonts w:eastAsia="Calibri"/>
          <w:szCs w:val="24"/>
        </w:rPr>
      </w:pPr>
      <w:r w:rsidRPr="000B4E2C">
        <w:rPr>
          <w:rFonts w:eastAsia="Calibri"/>
          <w:szCs w:val="24"/>
        </w:rPr>
        <w:t>The model calculated the expected costs and expected QALYs over the lifet</w:t>
      </w:r>
      <w:r w:rsidR="001E605D" w:rsidRPr="000B4E2C">
        <w:rPr>
          <w:rFonts w:eastAsia="Calibri"/>
          <w:szCs w:val="24"/>
        </w:rPr>
        <w:t xml:space="preserve">ime of the </w:t>
      </w:r>
      <w:r w:rsidR="001E605D" w:rsidRPr="000B4E2C">
        <w:rPr>
          <w:rFonts w:eastAsia="Calibri"/>
          <w:szCs w:val="24"/>
          <w:highlight w:val="magenta"/>
        </w:rPr>
        <w:t>respective</w:t>
      </w:r>
      <w:r w:rsidR="001E605D" w:rsidRPr="000B4E2C">
        <w:rPr>
          <w:rFonts w:eastAsia="Calibri"/>
          <w:szCs w:val="24"/>
        </w:rPr>
        <w:t xml:space="preserve"> cohorts. </w:t>
      </w:r>
      <w:r w:rsidRPr="000B4E2C">
        <w:rPr>
          <w:rFonts w:eastAsia="Calibri"/>
          <w:szCs w:val="24"/>
        </w:rPr>
        <w:t>This includes the costs and QALYs incurred in the first 90-day acute phase of the model, based on diagnostic test accuracy, preventative action to avert AKI, resultant peak AKI status and requ</w:t>
      </w:r>
      <w:r w:rsidR="001E605D" w:rsidRPr="000B4E2C">
        <w:rPr>
          <w:rFonts w:eastAsia="Calibri"/>
          <w:szCs w:val="24"/>
        </w:rPr>
        <w:t xml:space="preserve">irement for admission to ICU. </w:t>
      </w:r>
      <w:r w:rsidRPr="000B4E2C">
        <w:rPr>
          <w:rFonts w:eastAsia="Calibri"/>
          <w:szCs w:val="24"/>
        </w:rPr>
        <w:t>It also includes the longer-term extrapolations from the Markov cohort model, simulating the long-term transitions between progressive stages of CKD for those that develop it.</w:t>
      </w:r>
    </w:p>
    <w:p w14:paraId="4718F9C5" w14:textId="77777777" w:rsidR="000B4E2C" w:rsidRPr="000B4E2C" w:rsidRDefault="002F0133" w:rsidP="008A7464">
      <w:pPr>
        <w:contextualSpacing/>
        <w:rPr>
          <w:rFonts w:eastAsia="Calibri"/>
          <w:szCs w:val="24"/>
        </w:rPr>
      </w:pPr>
      <w:r w:rsidRPr="000B4E2C">
        <w:rPr>
          <w:rFonts w:eastAsia="Calibri"/>
          <w:szCs w:val="24"/>
        </w:rPr>
        <w:t>The model is fully probabilistic to simultaneously describe the impact of all parameter un</w:t>
      </w:r>
      <w:r w:rsidR="001E605D" w:rsidRPr="000B4E2C">
        <w:rPr>
          <w:rFonts w:eastAsia="Calibri"/>
          <w:szCs w:val="24"/>
        </w:rPr>
        <w:t>certainty on the model results.</w:t>
      </w:r>
      <w:r w:rsidRPr="000B4E2C">
        <w:rPr>
          <w:rFonts w:eastAsia="Calibri"/>
          <w:szCs w:val="24"/>
        </w:rPr>
        <w:t xml:space="preserve"> All model parameter estimates are sampled from their assigned distributions as described in the </w:t>
      </w:r>
      <w:r w:rsidRPr="000B4E2C">
        <w:rPr>
          <w:rFonts w:eastAsia="Calibri"/>
          <w:szCs w:val="24"/>
          <w:highlight w:val="magenta"/>
        </w:rPr>
        <w:t>preceding</w:t>
      </w:r>
      <w:r w:rsidRPr="000B4E2C">
        <w:rPr>
          <w:rFonts w:eastAsia="Calibri"/>
          <w:szCs w:val="24"/>
        </w:rPr>
        <w:t xml:space="preserve"> sections, using 1000 </w:t>
      </w:r>
      <w:r w:rsidR="001E605D" w:rsidRPr="000B4E2C">
        <w:rPr>
          <w:rFonts w:eastAsia="Calibri"/>
          <w:szCs w:val="24"/>
        </w:rPr>
        <w:t>simulations.</w:t>
      </w:r>
      <w:r w:rsidRPr="000B4E2C">
        <w:rPr>
          <w:rFonts w:eastAsia="Calibri"/>
          <w:szCs w:val="24"/>
        </w:rPr>
        <w:t xml:space="preserve"> Where it was not possible to derive a distribution, for example when insufficient information existed to determine the SD of the distribution, it was assumed that the SD of a parameter was equal to 10% of its mean unless otherwise stated.</w:t>
      </w:r>
    </w:p>
    <w:p w14:paraId="4C171672" w14:textId="472F7970" w:rsidR="000B4E2C" w:rsidRPr="000B4E2C" w:rsidRDefault="002F0133" w:rsidP="008A7464">
      <w:pPr>
        <w:contextualSpacing/>
        <w:rPr>
          <w:rFonts w:eastAsia="Calibri"/>
          <w:szCs w:val="24"/>
        </w:rPr>
      </w:pPr>
      <w:r w:rsidRPr="000B4E2C">
        <w:rPr>
          <w:rFonts w:eastAsia="Calibri"/>
          <w:szCs w:val="24"/>
        </w:rPr>
        <w:t xml:space="preserve">Results are reported as cost-utility analyses, in terms of incremental cost per QALY expressed as the incremental </w:t>
      </w:r>
      <w:r w:rsidR="000B4E2C" w:rsidRPr="000B4E2C">
        <w:rPr>
          <w:rFonts w:eastAsia="Calibri"/>
          <w:color w:val="00B0F0"/>
          <w:szCs w:val="24"/>
        </w:rPr>
        <w:t>cost-effectiveness</w:t>
      </w:r>
      <w:r w:rsidR="000B4E2C" w:rsidRPr="000B4E2C">
        <w:rPr>
          <w:rFonts w:eastAsia="Calibri"/>
          <w:color w:val="00B0F0"/>
          <w:szCs w:val="24"/>
        </w:rPr>
        <w:t xml:space="preserve"> ratio</w:t>
      </w:r>
      <w:r w:rsidR="001E605D" w:rsidRPr="000B4E2C">
        <w:rPr>
          <w:rFonts w:eastAsia="Calibri"/>
          <w:szCs w:val="24"/>
        </w:rPr>
        <w:t xml:space="preserve"> (ICER). </w:t>
      </w:r>
      <w:r w:rsidRPr="000B4E2C">
        <w:rPr>
          <w:rFonts w:eastAsia="Calibri"/>
          <w:szCs w:val="24"/>
        </w:rPr>
        <w:t>Test strategies are plotted on the cost-effectiveness frontier</w:t>
      </w:r>
      <w:r w:rsidR="001E605D" w:rsidRPr="000B4E2C">
        <w:rPr>
          <w:rFonts w:eastAsia="Calibri"/>
          <w:szCs w:val="24"/>
        </w:rPr>
        <w:t xml:space="preserve">. </w:t>
      </w:r>
      <w:r w:rsidRPr="000B4E2C">
        <w:rPr>
          <w:rFonts w:eastAsia="Calibri"/>
          <w:szCs w:val="24"/>
        </w:rPr>
        <w:t>Tests are ranked in ascending order of benefit (QALYs), with results reported for all tests incrementally against each other to enable the exclusion of strictly dominated (less beneficial and more costly) alternativ</w:t>
      </w:r>
      <w:r w:rsidR="006F2ECD" w:rsidRPr="000B4E2C">
        <w:rPr>
          <w:rFonts w:eastAsia="Calibri"/>
          <w:szCs w:val="24"/>
        </w:rPr>
        <w:t xml:space="preserve">es from the ICER calculations. </w:t>
      </w:r>
      <w:r w:rsidRPr="000B4E2C">
        <w:rPr>
          <w:rFonts w:eastAsia="Calibri"/>
          <w:szCs w:val="24"/>
        </w:rPr>
        <w:t>ICERs vs. standard care are also reported.</w:t>
      </w:r>
      <w:r w:rsidR="000B4E2C" w:rsidRPr="000B4E2C">
        <w:rPr>
          <w:rFonts w:eastAsia="Calibri"/>
          <w:szCs w:val="24"/>
        </w:rPr>
        <w:t xml:space="preserve"> </w:t>
      </w:r>
      <w:r w:rsidRPr="000B4E2C">
        <w:rPr>
          <w:rFonts w:eastAsia="Calibri"/>
          <w:szCs w:val="24"/>
        </w:rPr>
        <w:t>Results from the probabilistic analysis simulations are plotted using cost-effectiveness acceptability curves based on the net benefit calculation to identify the optimal diagnostic testing strategy at different threshold values of willingness to pay (WTP) for a QALY.</w:t>
      </w:r>
    </w:p>
    <w:p w14:paraId="25B6A6E6" w14:textId="2432CE0A" w:rsidR="002F0133" w:rsidRPr="000B4E2C" w:rsidRDefault="002F0133" w:rsidP="008A7464">
      <w:pPr>
        <w:pStyle w:val="Heading3"/>
      </w:pPr>
      <w:r w:rsidRPr="000B4E2C">
        <w:t>Model validation</w:t>
      </w:r>
    </w:p>
    <w:p w14:paraId="1A7E0066" w14:textId="77777777" w:rsidR="000B4E2C" w:rsidRPr="000B4E2C" w:rsidRDefault="002F0133" w:rsidP="008A7464">
      <w:pPr>
        <w:autoSpaceDE w:val="0"/>
        <w:autoSpaceDN w:val="0"/>
        <w:adjustRightInd w:val="0"/>
        <w:jc w:val="both"/>
        <w:rPr>
          <w:color w:val="000000" w:themeColor="text1"/>
          <w:szCs w:val="24"/>
        </w:rPr>
      </w:pPr>
      <w:r w:rsidRPr="000B4E2C">
        <w:rPr>
          <w:color w:val="000000" w:themeColor="text1"/>
          <w:szCs w:val="24"/>
        </w:rPr>
        <w:t>The economic model was checked for errors using the approach suggested by Tappenden and Chilcott</w:t>
      </w:r>
      <w:r w:rsidR="00280A97" w:rsidRPr="000B4E2C">
        <w:rPr>
          <w:noProof/>
          <w:color w:val="000000" w:themeColor="text1"/>
          <w:szCs w:val="24"/>
          <w:vertAlign w:val="superscript"/>
        </w:rPr>
        <w:t>141</w:t>
      </w:r>
      <w:r w:rsidRPr="000B4E2C">
        <w:rPr>
          <w:color w:val="000000" w:themeColor="text1"/>
          <w:szCs w:val="24"/>
        </w:rPr>
        <w:t xml:space="preserve"> that specified verification tests. Components of the model tested were the estimation of the costs and QALYs, distributions of model parameters and other general tests for accuracy of the implementation of input parameters. No specific issues were identified through the verification tests.</w:t>
      </w:r>
    </w:p>
    <w:p w14:paraId="05A34331" w14:textId="2CC4F1D3" w:rsidR="002F0133" w:rsidRPr="000B4E2C" w:rsidRDefault="002F0133" w:rsidP="008A7464">
      <w:pPr>
        <w:pStyle w:val="Heading2"/>
      </w:pPr>
      <w:r w:rsidRPr="000B4E2C">
        <w:t>Results</w:t>
      </w:r>
    </w:p>
    <w:p w14:paraId="7122C23C" w14:textId="77777777" w:rsidR="000B4E2C" w:rsidRPr="000B4E2C" w:rsidRDefault="002F0133" w:rsidP="008A7464">
      <w:bookmarkStart w:id="17" w:name="_Hlk23189273"/>
      <w:r w:rsidRPr="000B4E2C">
        <w:rPr>
          <w:lang w:eastAsia="en-GB"/>
        </w:rPr>
        <w:t>The model was developed and configured to assess the cost-effectiveness of the NephroCheck test, Urine NGAL (i.e.</w:t>
      </w:r>
      <w:r w:rsidR="00881500" w:rsidRPr="000B4E2C">
        <w:rPr>
          <w:lang w:eastAsia="en-GB"/>
        </w:rPr>
        <w:t>,</w:t>
      </w:r>
      <w:r w:rsidRPr="000B4E2C">
        <w:rPr>
          <w:lang w:eastAsia="en-GB"/>
        </w:rPr>
        <w:t xml:space="preserve"> </w:t>
      </w:r>
      <w:r w:rsidRPr="000B4E2C">
        <w:t xml:space="preserve">the ARCHITECT Urine NGAL assay and the </w:t>
      </w:r>
      <w:r w:rsidR="009D7F5A" w:rsidRPr="000B4E2C">
        <w:t>BioPorto</w:t>
      </w:r>
      <w:r w:rsidRPr="000B4E2C">
        <w:t xml:space="preserve"> NGAL urine test), and </w:t>
      </w:r>
      <w:r w:rsidR="009D7F5A" w:rsidRPr="000B4E2C">
        <w:t>BioPorto</w:t>
      </w:r>
      <w:r w:rsidRPr="000B4E2C">
        <w:t xml:space="preserve"> plasma NGAL in combination with standard clinical assessment, compared with standard clinical assessment alone.</w:t>
      </w:r>
    </w:p>
    <w:p w14:paraId="7176276B" w14:textId="77777777" w:rsidR="000B4E2C" w:rsidRPr="000B4E2C" w:rsidRDefault="002F0133" w:rsidP="008A7464">
      <w:r w:rsidRPr="000B4E2C">
        <w:t>There is no direct evidence to describe the impact of the use of the AKI biomarkers on important health outcomes (such as need for ICU care, length of hospital stay, risk of 90-day mortality or development of new</w:t>
      </w:r>
      <w:r w:rsidR="000B4E2C" w:rsidRPr="000B4E2C">
        <w:rPr>
          <w:color w:val="00B0F0"/>
        </w:rPr>
        <w:t>/</w:t>
      </w:r>
      <w:r w:rsidRPr="000B4E2C">
        <w:t xml:space="preserve">progression of existing chronic kidney disease). Accordingly, the cost-effectiveness results are based on a linked-evidence approach where we have relied on observational associations to </w:t>
      </w:r>
      <w:r w:rsidRPr="000B4E2C">
        <w:rPr>
          <w:highlight w:val="magenta"/>
        </w:rPr>
        <w:t>infer</w:t>
      </w:r>
      <w:r w:rsidRPr="000B4E2C">
        <w:t xml:space="preserve"> how prevention or mitigation of AKI may affect changes in health outcomes. These associations necessitate causal assumptions, but while a causal link between AKI and poor outcomes is plausible, the extent of this causal relationship is uncertain and controversial. The cost-effectiveness results are therefore presented for a range of alternative, but </w:t>
      </w:r>
      <w:r w:rsidRPr="000B4E2C">
        <w:lastRenderedPageBreak/>
        <w:t xml:space="preserve">potentially plausible, scenario analyses ranging from a set of optimistic assumptions where biomarker-guided care bundles may </w:t>
      </w:r>
      <w:r w:rsidRPr="000B4E2C">
        <w:rPr>
          <w:highlight w:val="magenta"/>
        </w:rPr>
        <w:t>lead</w:t>
      </w:r>
      <w:r w:rsidRPr="000B4E2C">
        <w:t xml:space="preserve"> to substantial improvements in health outcomes (need for ICU, CKD, mortality) to a set of more conservative assumptions where changing of AKI status has no effects on health outcomes. It is likely that the true estimate of cost-effectiveness lies somewhere between these two extremes.</w:t>
      </w:r>
    </w:p>
    <w:p w14:paraId="5E9A0F33" w14:textId="5D827959" w:rsidR="002F0133" w:rsidRPr="000B4E2C" w:rsidRDefault="002F0133" w:rsidP="008A7464">
      <w:r w:rsidRPr="000B4E2C">
        <w:t>Furthermore, the model includes the following key assumptions:</w:t>
      </w:r>
    </w:p>
    <w:p w14:paraId="57460C57" w14:textId="77777777" w:rsidR="002F0133" w:rsidRPr="000B4E2C" w:rsidRDefault="002F0133" w:rsidP="002F0133">
      <w:pPr>
        <w:pStyle w:val="ListParagraph"/>
        <w:numPr>
          <w:ilvl w:val="0"/>
          <w:numId w:val="40"/>
        </w:numPr>
        <w:rPr>
          <w:lang w:eastAsia="en-GB"/>
        </w:rPr>
      </w:pPr>
      <w:r w:rsidRPr="000B4E2C">
        <w:rPr>
          <w:color w:val="000000" w:themeColor="text1"/>
          <w:szCs w:val="24"/>
        </w:rPr>
        <w:t>The model base case analysis is run for a mixed cohort of CKD and non-CKD patients, average age 63, 54.3% female, based on the characteristics of hospitalised patients in Grampian, Scotland who have at least one night hospital stay and are having their kidney function monitored and so are deemed to be at risk of AKI.</w:t>
      </w:r>
    </w:p>
    <w:p w14:paraId="35544644" w14:textId="77777777" w:rsidR="002F0133" w:rsidRPr="000B4E2C" w:rsidRDefault="002F0133" w:rsidP="002F0133">
      <w:pPr>
        <w:pStyle w:val="ListParagraph"/>
        <w:numPr>
          <w:ilvl w:val="0"/>
          <w:numId w:val="40"/>
        </w:numPr>
        <w:rPr>
          <w:lang w:eastAsia="en-GB"/>
        </w:rPr>
      </w:pPr>
      <w:r w:rsidRPr="000B4E2C">
        <w:rPr>
          <w:color w:val="000000" w:themeColor="text1"/>
          <w:szCs w:val="24"/>
        </w:rPr>
        <w:t>It is assumed that NephroCheck and NGAL can rise at similar time-points and in the absence of any evidence to suggest otherwise, it is assumed that the time gain, relative to serum creatinine, in terms of early implementation of a care KDIGO bundle is equal for both.</w:t>
      </w:r>
    </w:p>
    <w:p w14:paraId="048A6F8F" w14:textId="413AC3CC" w:rsidR="000B4E2C" w:rsidRPr="000B4E2C" w:rsidRDefault="002F0133" w:rsidP="002F0133">
      <w:pPr>
        <w:pStyle w:val="ListParagraph"/>
        <w:numPr>
          <w:ilvl w:val="0"/>
          <w:numId w:val="40"/>
        </w:numPr>
        <w:rPr>
          <w:lang w:eastAsia="en-GB"/>
        </w:rPr>
      </w:pPr>
      <w:r w:rsidRPr="000B4E2C">
        <w:rPr>
          <w:lang w:eastAsia="en-GB"/>
        </w:rPr>
        <w:t xml:space="preserve">The base case analyses assume that there are no adverse consequences in terms of health effects of false positive or false negative test results </w:t>
      </w:r>
      <w:r w:rsidRPr="000B4E2C">
        <w:rPr>
          <w:highlight w:val="magenta"/>
          <w:lang w:eastAsia="en-GB"/>
        </w:rPr>
        <w:t>compared to</w:t>
      </w:r>
      <w:r w:rsidRPr="000B4E2C">
        <w:rPr>
          <w:lang w:eastAsia="en-GB"/>
        </w:rPr>
        <w:t xml:space="preserve"> standard care. False positive results would incur the additional futile application of the care bundle costs, </w:t>
      </w:r>
      <w:r w:rsidR="000B4E2C" w:rsidRPr="000B4E2C">
        <w:rPr>
          <w:color w:val="00B0F0"/>
          <w:lang w:eastAsia="en-GB"/>
        </w:rPr>
        <w:t>while</w:t>
      </w:r>
      <w:r w:rsidRPr="000B4E2C">
        <w:rPr>
          <w:lang w:eastAsia="en-GB"/>
        </w:rPr>
        <w:t xml:space="preserve"> clinical expert opinion indicates that false negatives will be monitored until the negative test result is confirmed and would represent curren</w:t>
      </w:r>
      <w:r w:rsidR="004A38D7" w:rsidRPr="000B4E2C">
        <w:rPr>
          <w:lang w:eastAsia="en-GB"/>
        </w:rPr>
        <w:t xml:space="preserve">t </w:t>
      </w:r>
      <w:r w:rsidR="004A38D7" w:rsidRPr="000B4E2C">
        <w:rPr>
          <w:highlight w:val="magenta"/>
          <w:lang w:eastAsia="en-GB"/>
        </w:rPr>
        <w:t>practice</w:t>
      </w:r>
      <w:r w:rsidR="004A38D7" w:rsidRPr="000B4E2C">
        <w:rPr>
          <w:lang w:eastAsia="en-GB"/>
        </w:rPr>
        <w:t xml:space="preserve"> without biomarkers. </w:t>
      </w:r>
      <w:r w:rsidRPr="000B4E2C">
        <w:rPr>
          <w:lang w:eastAsia="en-GB"/>
        </w:rPr>
        <w:t xml:space="preserve">However, there is some concern that a false positive test may </w:t>
      </w:r>
      <w:r w:rsidRPr="000B4E2C">
        <w:rPr>
          <w:highlight w:val="magenta"/>
          <w:lang w:eastAsia="en-GB"/>
        </w:rPr>
        <w:t>lead</w:t>
      </w:r>
      <w:r w:rsidRPr="000B4E2C">
        <w:rPr>
          <w:lang w:eastAsia="en-GB"/>
        </w:rPr>
        <w:t xml:space="preserve"> to unnecessary fluid resuscitation, especially if encountered by inexperienced clinicians, which could </w:t>
      </w:r>
      <w:r w:rsidRPr="000B4E2C">
        <w:rPr>
          <w:highlight w:val="magenta"/>
          <w:lang w:eastAsia="en-GB"/>
        </w:rPr>
        <w:t>lead</w:t>
      </w:r>
      <w:r w:rsidRPr="000B4E2C">
        <w:rPr>
          <w:lang w:eastAsia="en-GB"/>
        </w:rPr>
        <w:t xml:space="preserve"> to an increased mortality risk, though the mag</w:t>
      </w:r>
      <w:r w:rsidR="004A38D7" w:rsidRPr="000B4E2C">
        <w:rPr>
          <w:lang w:eastAsia="en-GB"/>
        </w:rPr>
        <w:t>nitude of that risk is unknown.</w:t>
      </w:r>
      <w:r w:rsidRPr="000B4E2C">
        <w:rPr>
          <w:lang w:eastAsia="en-GB"/>
        </w:rPr>
        <w:t xml:space="preserve"> Sensitivity analysis explores this.</w:t>
      </w:r>
    </w:p>
    <w:p w14:paraId="2AE72B6F" w14:textId="6A8B7EC0" w:rsidR="002F0133" w:rsidRPr="000B4E2C" w:rsidRDefault="002F0133" w:rsidP="002F0133">
      <w:pPr>
        <w:pStyle w:val="ListParagraph"/>
        <w:numPr>
          <w:ilvl w:val="0"/>
          <w:numId w:val="40"/>
        </w:numPr>
        <w:rPr>
          <w:lang w:eastAsia="en-GB"/>
        </w:rPr>
      </w:pPr>
      <w:r w:rsidRPr="000B4E2C">
        <w:rPr>
          <w:lang w:eastAsia="en-GB"/>
        </w:rPr>
        <w:t>For the Markov models, it is assumed that a patient can only develop CKD linked to the index AKI event for the first cycle of the model, reflecting a total time exposure to increased</w:t>
      </w:r>
      <w:r w:rsidR="004A38D7" w:rsidRPr="000B4E2C">
        <w:rPr>
          <w:lang w:eastAsia="en-GB"/>
        </w:rPr>
        <w:t xml:space="preserve"> CKD risk of 1 year + 90 days. </w:t>
      </w:r>
      <w:r w:rsidRPr="000B4E2C">
        <w:rPr>
          <w:lang w:eastAsia="en-GB"/>
        </w:rPr>
        <w:t>Thereafter, the background risk of developing CKD in the population is applied.</w:t>
      </w:r>
    </w:p>
    <w:p w14:paraId="017A0B48" w14:textId="61C845B3" w:rsidR="002F0133" w:rsidRPr="000B4E2C" w:rsidRDefault="002F0133" w:rsidP="002F0133">
      <w:pPr>
        <w:pStyle w:val="ListParagraph"/>
        <w:numPr>
          <w:ilvl w:val="0"/>
          <w:numId w:val="40"/>
        </w:numPr>
        <w:rPr>
          <w:lang w:eastAsia="en-GB"/>
        </w:rPr>
      </w:pPr>
      <w:r w:rsidRPr="000B4E2C">
        <w:rPr>
          <w:lang w:eastAsia="en-GB"/>
        </w:rPr>
        <w:t xml:space="preserve">It is assumed that the proportion of the cohort who have graft failure post-transplant return to the </w:t>
      </w:r>
      <w:r w:rsidR="0072128A" w:rsidRPr="000B4E2C">
        <w:rPr>
          <w:color w:val="00B0F0"/>
          <w:highlight w:val="green"/>
          <w:lang w:eastAsia="en-GB"/>
        </w:rPr>
        <w:t>‘</w:t>
      </w:r>
      <w:r w:rsidR="0072128A" w:rsidRPr="000B4E2C">
        <w:rPr>
          <w:highlight w:val="green"/>
          <w:lang w:eastAsia="en-GB"/>
        </w:rPr>
        <w:t>ESRD on dialysis</w:t>
      </w:r>
      <w:r w:rsidR="0072128A" w:rsidRPr="000B4E2C">
        <w:rPr>
          <w:color w:val="00B0F0"/>
          <w:highlight w:val="green"/>
          <w:lang w:eastAsia="en-GB"/>
        </w:rPr>
        <w:t>’</w:t>
      </w:r>
      <w:r w:rsidRPr="000B4E2C">
        <w:rPr>
          <w:lang w:eastAsia="en-GB"/>
        </w:rPr>
        <w:t xml:space="preserve"> health state, where they are exposed to the same risks of transition to transplant</w:t>
      </w:r>
      <w:r w:rsidR="000B4E2C" w:rsidRPr="000B4E2C">
        <w:rPr>
          <w:color w:val="00B0F0"/>
          <w:lang w:eastAsia="en-GB"/>
        </w:rPr>
        <w:t>/</w:t>
      </w:r>
      <w:r w:rsidRPr="000B4E2C">
        <w:rPr>
          <w:lang w:eastAsia="en-GB"/>
        </w:rPr>
        <w:t>death as when they first entered the dialysis state.</w:t>
      </w:r>
    </w:p>
    <w:p w14:paraId="1CBCCEE5" w14:textId="77777777" w:rsidR="000B4E2C" w:rsidRPr="000B4E2C" w:rsidRDefault="002F0133" w:rsidP="002F0133">
      <w:pPr>
        <w:pStyle w:val="ListParagraph"/>
        <w:numPr>
          <w:ilvl w:val="0"/>
          <w:numId w:val="40"/>
        </w:numPr>
        <w:rPr>
          <w:lang w:eastAsia="en-GB"/>
        </w:rPr>
      </w:pPr>
      <w:r w:rsidRPr="000B4E2C">
        <w:rPr>
          <w:lang w:eastAsia="en-GB"/>
        </w:rPr>
        <w:t>For the proportion of the cohort who do</w:t>
      </w:r>
      <w:r w:rsidR="00D25046" w:rsidRPr="000B4E2C">
        <w:rPr>
          <w:lang w:eastAsia="en-GB"/>
        </w:rPr>
        <w:t xml:space="preserve"> not</w:t>
      </w:r>
      <w:r w:rsidRPr="000B4E2C">
        <w:rPr>
          <w:lang w:eastAsia="en-GB"/>
        </w:rPr>
        <w:t xml:space="preserve"> develop long-term CKD, the base case models assume that the longer-term </w:t>
      </w:r>
      <w:r w:rsidRPr="000B4E2C">
        <w:rPr>
          <w:highlight w:val="magenta"/>
          <w:lang w:eastAsia="en-GB"/>
        </w:rPr>
        <w:t>follow up</w:t>
      </w:r>
      <w:r w:rsidRPr="000B4E2C">
        <w:rPr>
          <w:lang w:eastAsia="en-GB"/>
        </w:rPr>
        <w:t xml:space="preserve"> costs and mortality risks are not </w:t>
      </w:r>
      <w:r w:rsidRPr="000B4E2C">
        <w:rPr>
          <w:highlight w:val="magenta"/>
          <w:lang w:eastAsia="en-GB"/>
        </w:rPr>
        <w:t>dependent</w:t>
      </w:r>
      <w:r w:rsidRPr="000B4E2C">
        <w:rPr>
          <w:lang w:eastAsia="en-GB"/>
        </w:rPr>
        <w:t xml:space="preserve"> on events in the acute phase of the model (i.e.</w:t>
      </w:r>
      <w:r w:rsidR="00881500" w:rsidRPr="000B4E2C">
        <w:rPr>
          <w:lang w:eastAsia="en-GB"/>
        </w:rPr>
        <w:t>,</w:t>
      </w:r>
      <w:r w:rsidRPr="000B4E2C">
        <w:rPr>
          <w:lang w:eastAsia="en-GB"/>
        </w:rPr>
        <w:t xml:space="preserve"> AKI severity and associated ICU admission). Sensitivity analysis explores the impact of applying additional costs and mortality risks for those admitted to ICU in the acute phase of the model.</w:t>
      </w:r>
    </w:p>
    <w:p w14:paraId="291DA124" w14:textId="77777777" w:rsidR="000B4E2C" w:rsidRPr="000B4E2C" w:rsidRDefault="002F0133" w:rsidP="002F0133">
      <w:pPr>
        <w:pStyle w:val="ListParagraph"/>
        <w:numPr>
          <w:ilvl w:val="0"/>
          <w:numId w:val="40"/>
        </w:numPr>
        <w:rPr>
          <w:lang w:eastAsia="en-GB"/>
        </w:rPr>
      </w:pPr>
      <w:r w:rsidRPr="000B4E2C">
        <w:rPr>
          <w:lang w:eastAsia="en-GB"/>
        </w:rPr>
        <w:t>The model is run for a lifetime horizon, or 100 years whichever comes first, with costs and QALYs discounted at an annual rate of 3.5% per annum.</w:t>
      </w:r>
    </w:p>
    <w:p w14:paraId="7B4BD3FD" w14:textId="368B4165" w:rsidR="002F0133" w:rsidRPr="000B4E2C" w:rsidRDefault="002F0133" w:rsidP="008A7464">
      <w:pPr>
        <w:pStyle w:val="Heading2"/>
      </w:pPr>
      <w:r w:rsidRPr="000B4E2C">
        <w:t>Evidence from Meersch</w:t>
      </w:r>
      <w:r w:rsidRPr="000B4E2C">
        <w:rPr>
          <w:i/>
          <w:color w:val="00B0F0"/>
        </w:rPr>
        <w:t xml:space="preserve"> et al</w:t>
      </w:r>
      <w:r w:rsidRPr="000B4E2C">
        <w:t>. shows that NephroCheck guided early implementation of a KD</w:t>
      </w:r>
      <w:r w:rsidR="004A38D7" w:rsidRPr="000B4E2C">
        <w:t xml:space="preserve">IGO care bundle can avert AKI. </w:t>
      </w:r>
      <w:r w:rsidRPr="000B4E2C">
        <w:t>However, the impact of NGAL guided implementatio</w:t>
      </w:r>
      <w:r w:rsidR="004A38D7" w:rsidRPr="000B4E2C">
        <w:t xml:space="preserve">n of a care bundle is unknown. </w:t>
      </w:r>
      <w:r w:rsidRPr="000B4E2C">
        <w:t>Therefore, two alternative base case assumptions are considered.</w:t>
      </w:r>
      <w:r w:rsidR="000B4E2C" w:rsidRPr="000B4E2C">
        <w:t xml:space="preserve"> </w:t>
      </w:r>
      <w:r w:rsidRPr="000B4E2C">
        <w:t>The first assumes that NGAL and NephroCheck have the same potential to avert AKI (based on Meersch</w:t>
      </w:r>
      <w:r w:rsidRPr="000B4E2C">
        <w:rPr>
          <w:i/>
          <w:color w:val="00B0F0"/>
        </w:rPr>
        <w:t xml:space="preserve"> et al</w:t>
      </w:r>
      <w:r w:rsidRPr="000B4E2C">
        <w:t>)</w:t>
      </w:r>
      <w:r w:rsidR="004A38D7" w:rsidRPr="000B4E2C">
        <w:t>.</w:t>
      </w:r>
      <w:r w:rsidR="00280A97" w:rsidRPr="000B4E2C">
        <w:rPr>
          <w:noProof/>
          <w:vertAlign w:val="superscript"/>
        </w:rPr>
        <w:t>112</w:t>
      </w:r>
      <w:r w:rsidR="004A38D7" w:rsidRPr="000B4E2C">
        <w:t xml:space="preserve"> </w:t>
      </w:r>
      <w:r w:rsidRPr="000B4E2C">
        <w:t>The second assumes that NGAL can only reduce the severity of AKI (also from Meersch</w:t>
      </w:r>
      <w:r w:rsidRPr="000B4E2C">
        <w:rPr>
          <w:i/>
          <w:color w:val="00B0F0"/>
        </w:rPr>
        <w:t xml:space="preserve"> et al</w:t>
      </w:r>
      <w:r w:rsidR="00280A97" w:rsidRPr="000B4E2C">
        <w:rPr>
          <w:noProof/>
          <w:vertAlign w:val="superscript"/>
        </w:rPr>
        <w:t>112</w:t>
      </w:r>
      <w:r w:rsidRPr="000B4E2C">
        <w:t xml:space="preserve"> but can</w:t>
      </w:r>
      <w:r w:rsidR="004A38D7" w:rsidRPr="000B4E2C">
        <w:t xml:space="preserve">not prevent it from occurring. </w:t>
      </w:r>
      <w:r w:rsidRPr="000B4E2C">
        <w:t xml:space="preserve">The rationale for the </w:t>
      </w:r>
      <w:r w:rsidRPr="000B4E2C">
        <w:rPr>
          <w:highlight w:val="magenta"/>
        </w:rPr>
        <w:t>latter</w:t>
      </w:r>
      <w:r w:rsidRPr="000B4E2C">
        <w:t xml:space="preserve"> analysis is that NGAL detects injury to the kidneys, whereas NephroCheck can potentially detect stresses on the kidneys and may offer an earlier warning of impending AKI. </w:t>
      </w:r>
      <w:r w:rsidR="004A38D7" w:rsidRPr="000B4E2C">
        <w:t>T</w:t>
      </w:r>
      <w:r w:rsidRPr="000B4E2C">
        <w:t xml:space="preserve">he two base case models and a range of scenario analyses conducted around important model assumptions are described in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19</w:t>
      </w:r>
      <w:r w:rsidR="004A38D7" w:rsidRPr="000B4E2C">
        <w:t xml:space="preserve">. </w:t>
      </w:r>
      <w:r w:rsidRPr="000B4E2C">
        <w:t>A total of 15 scenario analyses are reported on each of these two plausible base case configurations to illustrate the significant uncertainty in th</w:t>
      </w:r>
      <w:r w:rsidR="004A38D7" w:rsidRPr="000B4E2C">
        <w:t xml:space="preserve">e cost-effectiveness findings.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20</w:t>
      </w:r>
      <w:r w:rsidRPr="000B4E2C">
        <w:t xml:space="preserve"> reports the results for scenarios where NGAL can avert AKI and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21</w:t>
      </w:r>
      <w:r w:rsidRPr="000B4E2C">
        <w:t xml:space="preserve"> reports results of scenarios where NGAL cannot avert AKI.</w:t>
      </w:r>
      <w:r w:rsidR="0070005A" w:rsidRPr="000B4E2C">
        <w:t xml:space="preserve"> The results of </w:t>
      </w:r>
      <w:r w:rsidR="004871B7" w:rsidRPr="000B4E2C">
        <w:t>additional scenario</w:t>
      </w:r>
      <w:r w:rsidR="0070005A" w:rsidRPr="000B4E2C">
        <w:t xml:space="preserve"> analyses requested </w:t>
      </w:r>
      <w:r w:rsidR="0070005A" w:rsidRPr="000B4E2C">
        <w:lastRenderedPageBreak/>
        <w:t>by NICE are provided in Appendix 1</w:t>
      </w:r>
      <w:r w:rsidR="00134368" w:rsidRPr="000B4E2C">
        <w:t>6</w:t>
      </w:r>
      <w:r w:rsidR="0070005A" w:rsidRPr="000B4E2C">
        <w:t xml:space="preserve"> for completeness.</w:t>
      </w:r>
      <w:r w:rsidR="000B4E2C" w:rsidRPr="000B4E2C">
        <w:t xml:space="preserve">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19</w:t>
      </w:r>
      <w:r w:rsidR="000B4E2C" w:rsidRPr="000B4E2C">
        <w:t xml:space="preserve"> </w:t>
      </w:r>
      <w:r w:rsidRPr="000B4E2C">
        <w:t>Base case model configuration and scenario analyses</w:t>
      </w:r>
    </w:p>
    <w:tbl>
      <w:tblPr>
        <w:tblW w:w="0" w:type="auto"/>
        <w:tblCellMar>
          <w:top w:w="40" w:type="dxa"/>
          <w:left w:w="60" w:type="dxa"/>
          <w:bottom w:w="40" w:type="dxa"/>
          <w:right w:w="60" w:type="dxa"/>
        </w:tblCellMar>
        <w:tblLook w:val="04A0" w:firstRow="1" w:lastRow="0" w:firstColumn="1" w:lastColumn="0" w:noHBand="0" w:noVBand="1"/>
      </w:tblPr>
      <w:tblGrid>
        <w:gridCol w:w="1799"/>
        <w:gridCol w:w="3211"/>
        <w:gridCol w:w="1477"/>
        <w:gridCol w:w="1496"/>
        <w:gridCol w:w="1043"/>
      </w:tblGrid>
      <w:tr w:rsidR="002F0133" w:rsidRPr="000B4E2C" w14:paraId="78F103F5" w14:textId="77777777" w:rsidTr="000B4E2C">
        <w:trPr>
          <w:cantSplit/>
          <w:tblHeader/>
        </w:trPr>
        <w:tc>
          <w:tcPr>
            <w:tcW w:w="0" w:type="auto"/>
            <w:shd w:val="clear" w:color="auto" w:fill="auto"/>
            <w:vAlign w:val="center"/>
          </w:tcPr>
          <w:p w14:paraId="27109DA1" w14:textId="6F31EB9C" w:rsidR="002F0133" w:rsidRPr="000B4E2C" w:rsidRDefault="002F0133" w:rsidP="008A7464">
            <w:pPr>
              <w:rPr>
                <w:b/>
                <w:bCs/>
                <w:color w:val="000000"/>
                <w:sz w:val="22"/>
                <w:lang w:val="en-GB" w:eastAsia="en-GB"/>
              </w:rPr>
            </w:pPr>
            <w:r w:rsidRPr="000B4E2C">
              <w:rPr>
                <w:b/>
                <w:bCs/>
                <w:sz w:val="22"/>
                <w:lang w:val="en-GB" w:eastAsia="en-GB"/>
              </w:rPr>
              <w:lastRenderedPageBreak/>
              <w:t>Parameter</w:t>
            </w:r>
            <w:r w:rsidR="000B4E2C" w:rsidRPr="000B4E2C">
              <w:rPr>
                <w:b/>
                <w:bCs/>
                <w:color w:val="00B0F0"/>
                <w:sz w:val="22"/>
                <w:lang w:val="en-GB" w:eastAsia="en-GB"/>
              </w:rPr>
              <w:t>/</w:t>
            </w:r>
            <w:r w:rsidRPr="000B4E2C">
              <w:rPr>
                <w:b/>
                <w:bCs/>
                <w:sz w:val="22"/>
                <w:lang w:val="en-GB" w:eastAsia="en-GB"/>
              </w:rPr>
              <w:t>assumptions</w:t>
            </w:r>
          </w:p>
        </w:tc>
        <w:tc>
          <w:tcPr>
            <w:tcW w:w="0" w:type="auto"/>
            <w:shd w:val="clear" w:color="auto" w:fill="auto"/>
            <w:noWrap/>
            <w:vAlign w:val="center"/>
          </w:tcPr>
          <w:p w14:paraId="437BE1C2" w14:textId="77777777" w:rsidR="002F0133" w:rsidRPr="000B4E2C" w:rsidRDefault="002F0133" w:rsidP="008A7464">
            <w:pPr>
              <w:rPr>
                <w:b/>
                <w:color w:val="000000"/>
                <w:sz w:val="22"/>
                <w:lang w:val="en-GB" w:eastAsia="en-GB"/>
              </w:rPr>
            </w:pPr>
            <w:r w:rsidRPr="000B4E2C">
              <w:rPr>
                <w:b/>
                <w:sz w:val="22"/>
                <w:lang w:val="en-GB" w:eastAsia="en-GB"/>
              </w:rPr>
              <w:t>Value</w:t>
            </w:r>
          </w:p>
        </w:tc>
        <w:tc>
          <w:tcPr>
            <w:tcW w:w="0" w:type="auto"/>
            <w:shd w:val="clear" w:color="auto" w:fill="auto"/>
            <w:vAlign w:val="center"/>
          </w:tcPr>
          <w:p w14:paraId="0290B921" w14:textId="44DC8836" w:rsidR="002F0133" w:rsidRPr="000B4E2C" w:rsidRDefault="002F0133" w:rsidP="008A7464">
            <w:pPr>
              <w:rPr>
                <w:b/>
                <w:color w:val="000000"/>
                <w:sz w:val="22"/>
                <w:lang w:val="en-GB" w:eastAsia="en-GB"/>
              </w:rPr>
            </w:pPr>
            <w:r w:rsidRPr="000B4E2C">
              <w:rPr>
                <w:b/>
                <w:sz w:val="22"/>
                <w:lang w:val="en-GB" w:eastAsia="en-GB"/>
              </w:rPr>
              <w:t>Base case justification</w:t>
            </w:r>
            <w:r w:rsidR="000B4E2C" w:rsidRPr="000B4E2C">
              <w:rPr>
                <w:b/>
                <w:color w:val="00B0F0"/>
                <w:sz w:val="22"/>
                <w:lang w:val="en-GB" w:eastAsia="en-GB"/>
              </w:rPr>
              <w:t>/</w:t>
            </w:r>
            <w:r w:rsidRPr="000B4E2C">
              <w:rPr>
                <w:b/>
                <w:sz w:val="22"/>
                <w:lang w:val="en-GB" w:eastAsia="en-GB"/>
              </w:rPr>
              <w:t>source</w:t>
            </w:r>
          </w:p>
        </w:tc>
        <w:tc>
          <w:tcPr>
            <w:tcW w:w="0" w:type="auto"/>
            <w:shd w:val="clear" w:color="auto" w:fill="auto"/>
            <w:vAlign w:val="center"/>
          </w:tcPr>
          <w:p w14:paraId="051ADED0" w14:textId="742ED6C6" w:rsidR="002F0133" w:rsidRPr="000B4E2C" w:rsidRDefault="002F0133" w:rsidP="008A7464">
            <w:pPr>
              <w:rPr>
                <w:b/>
                <w:color w:val="000000"/>
                <w:sz w:val="22"/>
                <w:lang w:val="en-GB" w:eastAsia="en-GB"/>
              </w:rPr>
            </w:pPr>
            <w:r w:rsidRPr="000B4E2C">
              <w:rPr>
                <w:b/>
                <w:sz w:val="22"/>
                <w:lang w:val="en-GB" w:eastAsia="en-GB"/>
              </w:rPr>
              <w:t>Sensitivity</w:t>
            </w:r>
            <w:r w:rsidR="000B4E2C" w:rsidRPr="000B4E2C">
              <w:rPr>
                <w:b/>
                <w:color w:val="00B0F0"/>
                <w:sz w:val="22"/>
                <w:lang w:val="en-GB" w:eastAsia="en-GB"/>
              </w:rPr>
              <w:t>/</w:t>
            </w:r>
            <w:r w:rsidRPr="000B4E2C">
              <w:rPr>
                <w:b/>
                <w:sz w:val="22"/>
                <w:lang w:val="en-GB" w:eastAsia="en-GB"/>
              </w:rPr>
              <w:t>scenario analyses</w:t>
            </w:r>
          </w:p>
        </w:tc>
        <w:tc>
          <w:tcPr>
            <w:tcW w:w="0" w:type="auto"/>
            <w:shd w:val="clear" w:color="auto" w:fill="auto"/>
            <w:vAlign w:val="center"/>
          </w:tcPr>
          <w:p w14:paraId="72E29167" w14:textId="77777777" w:rsidR="002F0133" w:rsidRPr="000B4E2C" w:rsidRDefault="002F0133" w:rsidP="008A7464">
            <w:pPr>
              <w:rPr>
                <w:b/>
                <w:sz w:val="22"/>
                <w:lang w:val="en-GB" w:eastAsia="en-GB"/>
              </w:rPr>
            </w:pPr>
            <w:r w:rsidRPr="000B4E2C">
              <w:rPr>
                <w:b/>
                <w:sz w:val="22"/>
                <w:lang w:val="en-GB" w:eastAsia="en-GB"/>
              </w:rPr>
              <w:t>Scenario analysis reference</w:t>
            </w:r>
          </w:p>
        </w:tc>
      </w:tr>
      <w:tr w:rsidR="002F0133" w:rsidRPr="000B4E2C" w14:paraId="7CA43150" w14:textId="77777777" w:rsidTr="000B4E2C">
        <w:trPr>
          <w:cantSplit/>
          <w:tblHeader/>
        </w:trPr>
        <w:tc>
          <w:tcPr>
            <w:tcW w:w="0" w:type="auto"/>
            <w:gridSpan w:val="5"/>
            <w:shd w:val="clear" w:color="auto" w:fill="auto"/>
            <w:vAlign w:val="center"/>
          </w:tcPr>
          <w:p w14:paraId="5131C01E" w14:textId="77777777" w:rsidR="002F0133" w:rsidRPr="000B4E2C" w:rsidRDefault="002F0133" w:rsidP="008A7464">
            <w:pPr>
              <w:rPr>
                <w:b/>
                <w:sz w:val="22"/>
                <w:lang w:val="en-GB" w:eastAsia="en-GB"/>
              </w:rPr>
            </w:pPr>
            <w:r w:rsidRPr="000B4E2C">
              <w:rPr>
                <w:b/>
                <w:sz w:val="22"/>
                <w:lang w:val="en-GB" w:eastAsia="en-GB"/>
              </w:rPr>
              <w:t>Alternative base case assumptions</w:t>
            </w:r>
          </w:p>
        </w:tc>
      </w:tr>
      <w:tr w:rsidR="002F0133" w:rsidRPr="000B4E2C" w14:paraId="03147E29" w14:textId="77777777" w:rsidTr="000B4E2C">
        <w:trPr>
          <w:cantSplit/>
          <w:tblHeader/>
        </w:trPr>
        <w:tc>
          <w:tcPr>
            <w:tcW w:w="0" w:type="auto"/>
            <w:shd w:val="clear" w:color="auto" w:fill="auto"/>
            <w:vAlign w:val="center"/>
            <w:hideMark/>
          </w:tcPr>
          <w:p w14:paraId="4204B1EA" w14:textId="77777777" w:rsidR="002F0133" w:rsidRPr="000B4E2C" w:rsidRDefault="002F0133" w:rsidP="008A7464">
            <w:pPr>
              <w:rPr>
                <w:bCs/>
                <w:color w:val="000000"/>
                <w:sz w:val="22"/>
                <w:lang w:val="en-GB" w:eastAsia="en-GB"/>
              </w:rPr>
            </w:pPr>
            <w:r w:rsidRPr="000B4E2C">
              <w:rPr>
                <w:bCs/>
                <w:sz w:val="22"/>
                <w:lang w:val="en-GB" w:eastAsia="en-GB"/>
              </w:rPr>
              <w:t>Potential for biomarker tests to avert AKI (vs. standard care)</w:t>
            </w:r>
          </w:p>
        </w:tc>
        <w:tc>
          <w:tcPr>
            <w:tcW w:w="0" w:type="auto"/>
            <w:shd w:val="clear" w:color="auto" w:fill="auto"/>
            <w:noWrap/>
            <w:vAlign w:val="center"/>
            <w:hideMark/>
          </w:tcPr>
          <w:p w14:paraId="492A2E8E" w14:textId="47065814" w:rsidR="002F0133" w:rsidRPr="000B4E2C" w:rsidRDefault="002F0133" w:rsidP="008A7464">
            <w:pPr>
              <w:rPr>
                <w:sz w:val="22"/>
                <w:lang w:val="en-GB" w:eastAsia="en-GB"/>
              </w:rPr>
            </w:pPr>
            <w:r w:rsidRPr="000B4E2C">
              <w:rPr>
                <w:sz w:val="22"/>
                <w:lang w:val="en-GB" w:eastAsia="en-GB"/>
              </w:rPr>
              <w:t>RR AKI</w:t>
            </w:r>
            <w:r w:rsidR="000B4E2C" w:rsidRPr="000B4E2C">
              <w:rPr>
                <w:color w:val="00B0F0"/>
                <w:sz w:val="22"/>
                <w:lang w:val="en-GB" w:eastAsia="en-GB"/>
              </w:rPr>
              <w:t> = </w:t>
            </w:r>
            <w:r w:rsidRPr="000B4E2C">
              <w:rPr>
                <w:sz w:val="22"/>
                <w:lang w:val="en-GB" w:eastAsia="en-GB"/>
              </w:rPr>
              <w:t>0.77</w:t>
            </w:r>
          </w:p>
          <w:p w14:paraId="7248E18A" w14:textId="77777777" w:rsidR="002F0133" w:rsidRPr="000B4E2C" w:rsidRDefault="002F0133" w:rsidP="008A7464">
            <w:pPr>
              <w:rPr>
                <w:color w:val="000000"/>
                <w:sz w:val="22"/>
                <w:lang w:val="en-GB" w:eastAsia="en-GB"/>
              </w:rPr>
            </w:pPr>
          </w:p>
        </w:tc>
        <w:tc>
          <w:tcPr>
            <w:tcW w:w="0" w:type="auto"/>
            <w:shd w:val="clear" w:color="auto" w:fill="auto"/>
            <w:vAlign w:val="center"/>
          </w:tcPr>
          <w:p w14:paraId="710150CF" w14:textId="1A838C8C" w:rsidR="002F0133" w:rsidRPr="000B4E2C" w:rsidRDefault="002F0133" w:rsidP="008A7464">
            <w:pPr>
              <w:rPr>
                <w:color w:val="000000"/>
                <w:sz w:val="22"/>
                <w:lang w:val="en-GB" w:eastAsia="en-GB"/>
              </w:rPr>
            </w:pPr>
            <w:r w:rsidRPr="000B4E2C">
              <w:rPr>
                <w:sz w:val="22"/>
                <w:lang w:val="en-GB" w:eastAsia="en-GB"/>
              </w:rPr>
              <w:t>Based on Meersch</w:t>
            </w:r>
            <w:r w:rsidRPr="000B4E2C">
              <w:rPr>
                <w:i/>
                <w:color w:val="00B0F0"/>
                <w:sz w:val="22"/>
                <w:lang w:val="en-GB" w:eastAsia="en-GB"/>
              </w:rPr>
              <w:t xml:space="preserve"> et al</w:t>
            </w:r>
            <w:r w:rsidRPr="000B4E2C">
              <w:rPr>
                <w:sz w:val="22"/>
                <w:lang w:val="en-GB" w:eastAsia="en-GB"/>
              </w:rPr>
              <w:t>.</w:t>
            </w:r>
            <w:r w:rsidR="00280A97" w:rsidRPr="000B4E2C">
              <w:rPr>
                <w:noProof/>
                <w:sz w:val="22"/>
                <w:vertAlign w:val="superscript"/>
                <w:lang w:val="en-GB" w:eastAsia="en-GB"/>
              </w:rPr>
              <w:t>112</w:t>
            </w:r>
          </w:p>
        </w:tc>
        <w:tc>
          <w:tcPr>
            <w:tcW w:w="0" w:type="auto"/>
            <w:shd w:val="clear" w:color="auto" w:fill="auto"/>
            <w:vAlign w:val="center"/>
          </w:tcPr>
          <w:p w14:paraId="6D1698B0" w14:textId="77777777" w:rsidR="000B4E2C" w:rsidRPr="000B4E2C" w:rsidRDefault="002F0133" w:rsidP="008A7464">
            <w:pPr>
              <w:rPr>
                <w:sz w:val="22"/>
                <w:lang w:val="en-GB" w:eastAsia="en-GB"/>
              </w:rPr>
            </w:pPr>
            <w:r w:rsidRPr="000B4E2C">
              <w:rPr>
                <w:sz w:val="22"/>
                <w:u w:val="single"/>
                <w:lang w:val="en-GB" w:eastAsia="en-GB"/>
              </w:rPr>
              <w:t>Base case 1:</w:t>
            </w:r>
            <w:r w:rsidRPr="000B4E2C">
              <w:rPr>
                <w:sz w:val="22"/>
                <w:lang w:val="en-GB" w:eastAsia="en-GB"/>
              </w:rPr>
              <w:t xml:space="preserve"> Applied to all tests</w:t>
            </w:r>
          </w:p>
          <w:p w14:paraId="05B3E644" w14:textId="70BBBB8A" w:rsidR="002F0133" w:rsidRPr="000B4E2C" w:rsidRDefault="002F0133" w:rsidP="008A7464">
            <w:pPr>
              <w:rPr>
                <w:color w:val="000000"/>
                <w:sz w:val="22"/>
                <w:lang w:val="en-GB" w:eastAsia="en-GB"/>
              </w:rPr>
            </w:pPr>
            <w:r w:rsidRPr="000B4E2C">
              <w:rPr>
                <w:sz w:val="22"/>
                <w:u w:val="single"/>
                <w:lang w:val="en-GB" w:eastAsia="en-GB"/>
              </w:rPr>
              <w:t>Base case 2:</w:t>
            </w:r>
            <w:r w:rsidRPr="000B4E2C">
              <w:rPr>
                <w:sz w:val="22"/>
                <w:lang w:val="en-GB" w:eastAsia="en-GB"/>
              </w:rPr>
              <w:t xml:space="preserve"> Applied to NephroCheck only </w:t>
            </w:r>
          </w:p>
        </w:tc>
        <w:tc>
          <w:tcPr>
            <w:tcW w:w="0" w:type="auto"/>
            <w:shd w:val="clear" w:color="auto" w:fill="auto"/>
            <w:vAlign w:val="center"/>
          </w:tcPr>
          <w:p w14:paraId="0ADDCE20" w14:textId="77777777" w:rsidR="000B4E2C" w:rsidRPr="000B4E2C" w:rsidRDefault="002F0133" w:rsidP="008A7464">
            <w:pPr>
              <w:rPr>
                <w:sz w:val="22"/>
                <w:lang w:val="en-GB" w:eastAsia="en-GB"/>
              </w:rPr>
            </w:pPr>
            <w:r w:rsidRPr="000B4E2C">
              <w:rPr>
                <w:sz w:val="22"/>
                <w:u w:val="single"/>
                <w:lang w:val="en-GB" w:eastAsia="en-GB"/>
              </w:rPr>
              <w:t>Base case 1:</w:t>
            </w:r>
            <w:r w:rsidRPr="000B4E2C">
              <w:rPr>
                <w:sz w:val="22"/>
                <w:lang w:val="en-GB" w:eastAsia="en-GB"/>
              </w:rPr>
              <w:t xml:space="preserve"> NGAL and NephroCheck can both avert AKI</w:t>
            </w:r>
          </w:p>
          <w:p w14:paraId="1C20E40E" w14:textId="16EC8603" w:rsidR="000B4E2C" w:rsidRPr="000B4E2C" w:rsidRDefault="002F0133" w:rsidP="008A7464">
            <w:pPr>
              <w:rPr>
                <w:sz w:val="22"/>
                <w:lang w:val="en-GB" w:eastAsia="en-GB"/>
              </w:rPr>
            </w:pPr>
            <w:r w:rsidRPr="000B4E2C">
              <w:rPr>
                <w:sz w:val="22"/>
                <w:u w:val="single"/>
                <w:lang w:val="en-GB" w:eastAsia="en-GB"/>
              </w:rPr>
              <w:t>Base case 2</w:t>
            </w:r>
            <w:r w:rsidRPr="000B4E2C">
              <w:rPr>
                <w:sz w:val="22"/>
                <w:lang w:val="en-GB" w:eastAsia="en-GB"/>
              </w:rPr>
              <w:t>:</w:t>
            </w:r>
          </w:p>
          <w:p w14:paraId="77FB69BD" w14:textId="1259DA85" w:rsidR="002F0133" w:rsidRPr="000B4E2C" w:rsidRDefault="002F0133" w:rsidP="008A7464">
            <w:pPr>
              <w:rPr>
                <w:sz w:val="22"/>
                <w:lang w:val="en-GB" w:eastAsia="en-GB"/>
              </w:rPr>
            </w:pPr>
            <w:r w:rsidRPr="000B4E2C">
              <w:rPr>
                <w:sz w:val="22"/>
                <w:lang w:val="en-GB" w:eastAsia="en-GB"/>
              </w:rPr>
              <w:t>Only NephroCheck can avert AKI.</w:t>
            </w:r>
          </w:p>
        </w:tc>
      </w:tr>
      <w:tr w:rsidR="002F0133" w:rsidRPr="000B4E2C" w14:paraId="4B657115" w14:textId="77777777" w:rsidTr="000B4E2C">
        <w:trPr>
          <w:cantSplit/>
          <w:tblHeader/>
        </w:trPr>
        <w:tc>
          <w:tcPr>
            <w:tcW w:w="0" w:type="auto"/>
            <w:gridSpan w:val="5"/>
            <w:shd w:val="clear" w:color="auto" w:fill="auto"/>
            <w:vAlign w:val="center"/>
          </w:tcPr>
          <w:p w14:paraId="4438A02B" w14:textId="77777777" w:rsidR="002F0133" w:rsidRPr="000B4E2C" w:rsidRDefault="002F0133" w:rsidP="008A7464">
            <w:pPr>
              <w:rPr>
                <w:b/>
                <w:sz w:val="22"/>
                <w:lang w:val="en-GB" w:eastAsia="en-GB"/>
              </w:rPr>
            </w:pPr>
            <w:r w:rsidRPr="000B4E2C">
              <w:rPr>
                <w:b/>
                <w:sz w:val="22"/>
                <w:lang w:val="en-GB" w:eastAsia="en-GB"/>
              </w:rPr>
              <w:t>Scenario analyses applied to base case 1 and base case 2</w:t>
            </w:r>
          </w:p>
        </w:tc>
      </w:tr>
      <w:tr w:rsidR="002F0133" w:rsidRPr="000B4E2C" w14:paraId="55D8BF27" w14:textId="77777777" w:rsidTr="000B4E2C">
        <w:trPr>
          <w:cantSplit/>
          <w:tblHeader/>
        </w:trPr>
        <w:tc>
          <w:tcPr>
            <w:tcW w:w="0" w:type="auto"/>
            <w:shd w:val="clear" w:color="auto" w:fill="auto"/>
            <w:vAlign w:val="center"/>
            <w:hideMark/>
          </w:tcPr>
          <w:p w14:paraId="0DB00CD9" w14:textId="382DA2EB" w:rsidR="002F0133" w:rsidRPr="000B4E2C" w:rsidRDefault="002F0133" w:rsidP="008A7464">
            <w:pPr>
              <w:rPr>
                <w:bCs/>
                <w:color w:val="000000"/>
                <w:sz w:val="22"/>
                <w:lang w:val="en-GB" w:eastAsia="en-GB"/>
              </w:rPr>
            </w:pPr>
            <w:r w:rsidRPr="000B4E2C">
              <w:rPr>
                <w:bCs/>
                <w:sz w:val="22"/>
                <w:lang w:val="en-GB" w:eastAsia="en-GB"/>
              </w:rPr>
              <w:t>Proportion of the RR of ICU admission (A</w:t>
            </w:r>
            <w:r w:rsidR="00F9449A" w:rsidRPr="000B4E2C">
              <w:rPr>
                <w:bCs/>
                <w:sz w:val="22"/>
                <w:lang w:val="en-GB" w:eastAsia="en-GB"/>
              </w:rPr>
              <w:t>KI</w:t>
            </w:r>
            <w:r w:rsidRPr="000B4E2C">
              <w:rPr>
                <w:bCs/>
                <w:sz w:val="22"/>
                <w:lang w:val="en-GB" w:eastAsia="en-GB"/>
              </w:rPr>
              <w:t xml:space="preserve"> vs. none) that can be achieved by averting AKI</w:t>
            </w:r>
          </w:p>
        </w:tc>
        <w:tc>
          <w:tcPr>
            <w:tcW w:w="0" w:type="auto"/>
            <w:shd w:val="clear" w:color="auto" w:fill="auto"/>
            <w:noWrap/>
            <w:vAlign w:val="center"/>
            <w:hideMark/>
          </w:tcPr>
          <w:p w14:paraId="35E9889F" w14:textId="77777777" w:rsidR="002F0133" w:rsidRPr="000B4E2C" w:rsidRDefault="002F0133" w:rsidP="008A7464">
            <w:pPr>
              <w:rPr>
                <w:color w:val="000000"/>
                <w:sz w:val="22"/>
                <w:lang w:val="en-GB" w:eastAsia="en-GB"/>
              </w:rPr>
            </w:pPr>
            <w:r w:rsidRPr="000B4E2C">
              <w:rPr>
                <w:sz w:val="22"/>
                <w:lang w:val="en-GB" w:eastAsia="en-GB"/>
              </w:rPr>
              <w:t>0.5</w:t>
            </w:r>
          </w:p>
        </w:tc>
        <w:tc>
          <w:tcPr>
            <w:tcW w:w="0" w:type="auto"/>
            <w:shd w:val="clear" w:color="auto" w:fill="auto"/>
            <w:vAlign w:val="center"/>
          </w:tcPr>
          <w:p w14:paraId="5B2B008B" w14:textId="77777777" w:rsidR="002F0133" w:rsidRPr="000B4E2C" w:rsidRDefault="002F0133" w:rsidP="008A7464">
            <w:pPr>
              <w:rPr>
                <w:color w:val="000000"/>
                <w:sz w:val="22"/>
                <w:lang w:val="en-GB" w:eastAsia="en-GB"/>
              </w:rPr>
            </w:pPr>
            <w:r w:rsidRPr="000B4E2C">
              <w:rPr>
                <w:sz w:val="22"/>
                <w:lang w:val="en-GB" w:eastAsia="en-GB"/>
              </w:rPr>
              <w:t>Based on clinical expert opinion</w:t>
            </w:r>
          </w:p>
        </w:tc>
        <w:tc>
          <w:tcPr>
            <w:tcW w:w="0" w:type="auto"/>
            <w:shd w:val="clear" w:color="auto" w:fill="auto"/>
            <w:vAlign w:val="center"/>
          </w:tcPr>
          <w:p w14:paraId="1BC0CAF6" w14:textId="77777777" w:rsidR="002F0133" w:rsidRPr="000B4E2C" w:rsidRDefault="002F0133" w:rsidP="008A7464">
            <w:pPr>
              <w:rPr>
                <w:color w:val="000000"/>
                <w:sz w:val="22"/>
                <w:lang w:val="en-GB" w:eastAsia="en-GB"/>
              </w:rPr>
            </w:pPr>
            <w:r w:rsidRPr="000B4E2C">
              <w:rPr>
                <w:sz w:val="22"/>
                <w:lang w:val="en-GB" w:eastAsia="en-GB"/>
              </w:rPr>
              <w:t>Varied between 0 and 1</w:t>
            </w:r>
          </w:p>
        </w:tc>
        <w:tc>
          <w:tcPr>
            <w:tcW w:w="0" w:type="auto"/>
            <w:vMerge w:val="restart"/>
            <w:shd w:val="clear" w:color="auto" w:fill="auto"/>
            <w:vAlign w:val="center"/>
          </w:tcPr>
          <w:p w14:paraId="0576ED21" w14:textId="77777777" w:rsidR="000B4E2C" w:rsidRPr="000B4E2C" w:rsidRDefault="002F0133" w:rsidP="008A7464">
            <w:pPr>
              <w:rPr>
                <w:sz w:val="22"/>
                <w:lang w:val="en-GB" w:eastAsia="en-GB"/>
              </w:rPr>
            </w:pPr>
            <w:r w:rsidRPr="000B4E2C">
              <w:rPr>
                <w:sz w:val="22"/>
                <w:u w:val="single"/>
                <w:lang w:val="en-GB" w:eastAsia="en-GB"/>
              </w:rPr>
              <w:t>Scenario B:</w:t>
            </w:r>
            <w:r w:rsidRPr="000B4E2C">
              <w:rPr>
                <w:sz w:val="22"/>
                <w:lang w:val="en-GB" w:eastAsia="en-GB"/>
              </w:rPr>
              <w:t xml:space="preserve"> </w:t>
            </w:r>
            <w:r w:rsidRPr="000B4E2C">
              <w:rPr>
                <w:b/>
                <w:sz w:val="22"/>
                <w:lang w:val="en-GB" w:eastAsia="en-GB"/>
              </w:rPr>
              <w:t>Averting</w:t>
            </w:r>
            <w:r w:rsidRPr="000B4E2C">
              <w:rPr>
                <w:sz w:val="22"/>
                <w:lang w:val="en-GB" w:eastAsia="en-GB"/>
              </w:rPr>
              <w:t xml:space="preserve"> AKI leads to </w:t>
            </w:r>
            <w:r w:rsidRPr="000B4E2C">
              <w:rPr>
                <w:b/>
                <w:sz w:val="22"/>
                <w:lang w:val="en-GB" w:eastAsia="en-GB"/>
              </w:rPr>
              <w:t>no</w:t>
            </w:r>
            <w:r w:rsidRPr="000B4E2C">
              <w:rPr>
                <w:sz w:val="22"/>
                <w:lang w:val="en-GB" w:eastAsia="en-GB"/>
              </w:rPr>
              <w:t xml:space="preserve"> improvement in health outcomes</w:t>
            </w:r>
          </w:p>
          <w:p w14:paraId="788FB636" w14:textId="77777777" w:rsidR="000B4E2C" w:rsidRPr="000B4E2C" w:rsidRDefault="002F0133" w:rsidP="008A7464">
            <w:pPr>
              <w:rPr>
                <w:sz w:val="22"/>
                <w:lang w:val="en-GB" w:eastAsia="en-GB"/>
              </w:rPr>
            </w:pPr>
            <w:r w:rsidRPr="000B4E2C">
              <w:rPr>
                <w:b/>
                <w:sz w:val="22"/>
                <w:lang w:val="en-GB" w:eastAsia="en-GB"/>
              </w:rPr>
              <w:t>Reducing</w:t>
            </w:r>
            <w:r w:rsidRPr="000B4E2C">
              <w:rPr>
                <w:sz w:val="22"/>
                <w:lang w:val="en-GB" w:eastAsia="en-GB"/>
              </w:rPr>
              <w:t xml:space="preserve"> AKI severity leads to </w:t>
            </w:r>
            <w:r w:rsidRPr="000B4E2C">
              <w:rPr>
                <w:b/>
                <w:sz w:val="22"/>
                <w:lang w:val="en-GB" w:eastAsia="en-GB"/>
              </w:rPr>
              <w:t>full</w:t>
            </w:r>
            <w:r w:rsidRPr="000B4E2C">
              <w:rPr>
                <w:sz w:val="22"/>
                <w:lang w:val="en-GB" w:eastAsia="en-GB"/>
              </w:rPr>
              <w:t xml:space="preserve"> associative effects on health outcomes</w:t>
            </w:r>
          </w:p>
          <w:p w14:paraId="1DDB5D67" w14:textId="77777777" w:rsidR="000B4E2C" w:rsidRPr="000B4E2C" w:rsidRDefault="002F0133" w:rsidP="008A7464">
            <w:pPr>
              <w:rPr>
                <w:sz w:val="22"/>
                <w:lang w:val="en-GB" w:eastAsia="en-GB"/>
              </w:rPr>
            </w:pPr>
            <w:r w:rsidRPr="000B4E2C">
              <w:rPr>
                <w:sz w:val="22"/>
                <w:u w:val="single"/>
                <w:lang w:val="en-GB" w:eastAsia="en-GB"/>
              </w:rPr>
              <w:t>Scenario C:</w:t>
            </w:r>
            <w:r w:rsidRPr="000B4E2C">
              <w:rPr>
                <w:sz w:val="22"/>
                <w:lang w:val="en-GB" w:eastAsia="en-GB"/>
              </w:rPr>
              <w:t xml:space="preserve"> </w:t>
            </w:r>
            <w:r w:rsidRPr="000B4E2C">
              <w:rPr>
                <w:b/>
                <w:sz w:val="22"/>
                <w:lang w:val="en-GB" w:eastAsia="en-GB"/>
              </w:rPr>
              <w:t>Averting</w:t>
            </w:r>
            <w:r w:rsidRPr="000B4E2C">
              <w:rPr>
                <w:sz w:val="22"/>
                <w:lang w:val="en-GB" w:eastAsia="en-GB"/>
              </w:rPr>
              <w:t xml:space="preserve"> </w:t>
            </w:r>
            <w:r w:rsidRPr="000B4E2C">
              <w:rPr>
                <w:b/>
                <w:sz w:val="22"/>
                <w:lang w:val="en-GB" w:eastAsia="en-GB"/>
              </w:rPr>
              <w:t>or reducing</w:t>
            </w:r>
            <w:r w:rsidRPr="000B4E2C">
              <w:rPr>
                <w:sz w:val="22"/>
                <w:lang w:val="en-GB" w:eastAsia="en-GB"/>
              </w:rPr>
              <w:t xml:space="preserve"> severity of AKI leads to </w:t>
            </w:r>
            <w:r w:rsidRPr="000B4E2C">
              <w:rPr>
                <w:b/>
                <w:sz w:val="22"/>
                <w:lang w:val="en-GB" w:eastAsia="en-GB"/>
              </w:rPr>
              <w:t>no</w:t>
            </w:r>
            <w:r w:rsidRPr="000B4E2C">
              <w:rPr>
                <w:sz w:val="22"/>
                <w:lang w:val="en-GB" w:eastAsia="en-GB"/>
              </w:rPr>
              <w:t xml:space="preserve"> improvement in </w:t>
            </w:r>
            <w:r w:rsidRPr="000B4E2C">
              <w:rPr>
                <w:sz w:val="22"/>
                <w:lang w:val="en-GB" w:eastAsia="en-GB"/>
              </w:rPr>
              <w:lastRenderedPageBreak/>
              <w:t>health outcomes</w:t>
            </w:r>
          </w:p>
          <w:p w14:paraId="08EF0D2A" w14:textId="3C4E2B2E" w:rsidR="002F0133" w:rsidRPr="000B4E2C" w:rsidRDefault="002F0133" w:rsidP="008A7464">
            <w:pPr>
              <w:rPr>
                <w:sz w:val="22"/>
                <w:lang w:val="en-GB" w:eastAsia="en-GB"/>
              </w:rPr>
            </w:pPr>
            <w:r w:rsidRPr="000B4E2C">
              <w:rPr>
                <w:sz w:val="22"/>
                <w:u w:val="single"/>
                <w:lang w:val="en-GB" w:eastAsia="en-GB"/>
              </w:rPr>
              <w:t>Scenario D:</w:t>
            </w:r>
            <w:r w:rsidRPr="000B4E2C">
              <w:rPr>
                <w:sz w:val="22"/>
                <w:lang w:val="en-GB" w:eastAsia="en-GB"/>
              </w:rPr>
              <w:t xml:space="preserve"> </w:t>
            </w:r>
            <w:r w:rsidRPr="000B4E2C">
              <w:rPr>
                <w:b/>
                <w:sz w:val="22"/>
                <w:lang w:val="en-GB" w:eastAsia="en-GB"/>
              </w:rPr>
              <w:t>Averting</w:t>
            </w:r>
            <w:r w:rsidRPr="000B4E2C">
              <w:rPr>
                <w:sz w:val="22"/>
                <w:lang w:val="en-GB" w:eastAsia="en-GB"/>
              </w:rPr>
              <w:t xml:space="preserve"> </w:t>
            </w:r>
            <w:r w:rsidRPr="000B4E2C">
              <w:rPr>
                <w:b/>
                <w:sz w:val="22"/>
                <w:lang w:val="en-GB" w:eastAsia="en-GB"/>
              </w:rPr>
              <w:t>or reducing</w:t>
            </w:r>
            <w:r w:rsidRPr="000B4E2C">
              <w:rPr>
                <w:sz w:val="22"/>
                <w:lang w:val="en-GB" w:eastAsia="en-GB"/>
              </w:rPr>
              <w:t xml:space="preserve"> severity of AKI leads to </w:t>
            </w:r>
            <w:r w:rsidRPr="000B4E2C">
              <w:rPr>
                <w:b/>
                <w:sz w:val="22"/>
                <w:lang w:val="en-GB" w:eastAsia="en-GB"/>
              </w:rPr>
              <w:t xml:space="preserve">full </w:t>
            </w:r>
            <w:r w:rsidRPr="000B4E2C">
              <w:rPr>
                <w:sz w:val="22"/>
                <w:lang w:val="en-GB" w:eastAsia="en-GB"/>
              </w:rPr>
              <w:t>improvement in health outcomes</w:t>
            </w:r>
          </w:p>
        </w:tc>
      </w:tr>
      <w:tr w:rsidR="002F0133" w:rsidRPr="000B4E2C" w14:paraId="00F808FA" w14:textId="77777777" w:rsidTr="000B4E2C">
        <w:trPr>
          <w:cantSplit/>
          <w:tblHeader/>
        </w:trPr>
        <w:tc>
          <w:tcPr>
            <w:tcW w:w="0" w:type="auto"/>
            <w:shd w:val="clear" w:color="auto" w:fill="auto"/>
            <w:vAlign w:val="center"/>
            <w:hideMark/>
          </w:tcPr>
          <w:p w14:paraId="772A0C2A" w14:textId="22A01CE7" w:rsidR="002F0133" w:rsidRPr="000B4E2C" w:rsidRDefault="002F0133" w:rsidP="008A7464">
            <w:pPr>
              <w:rPr>
                <w:bCs/>
                <w:color w:val="000000"/>
                <w:sz w:val="22"/>
                <w:lang w:val="en-GB" w:eastAsia="en-GB"/>
              </w:rPr>
            </w:pPr>
            <w:r w:rsidRPr="000B4E2C">
              <w:rPr>
                <w:bCs/>
                <w:sz w:val="22"/>
                <w:lang w:val="en-GB" w:eastAsia="en-GB"/>
              </w:rPr>
              <w:t>Proportion of the HR of CKD (A</w:t>
            </w:r>
            <w:r w:rsidR="00F9449A" w:rsidRPr="000B4E2C">
              <w:rPr>
                <w:bCs/>
                <w:sz w:val="22"/>
                <w:lang w:val="en-GB" w:eastAsia="en-GB"/>
              </w:rPr>
              <w:t>KI</w:t>
            </w:r>
            <w:r w:rsidRPr="000B4E2C">
              <w:rPr>
                <w:bCs/>
                <w:sz w:val="22"/>
                <w:lang w:val="en-GB" w:eastAsia="en-GB"/>
              </w:rPr>
              <w:t xml:space="preserve"> vs. none) that can be achieved by averting AKI</w:t>
            </w:r>
          </w:p>
        </w:tc>
        <w:tc>
          <w:tcPr>
            <w:tcW w:w="0" w:type="auto"/>
            <w:shd w:val="clear" w:color="auto" w:fill="auto"/>
            <w:noWrap/>
            <w:vAlign w:val="center"/>
            <w:hideMark/>
          </w:tcPr>
          <w:p w14:paraId="23218EA9" w14:textId="77777777" w:rsidR="002F0133" w:rsidRPr="000B4E2C" w:rsidRDefault="002F0133" w:rsidP="008A7464">
            <w:pPr>
              <w:rPr>
                <w:color w:val="000000"/>
                <w:sz w:val="22"/>
                <w:lang w:val="en-GB" w:eastAsia="en-GB"/>
              </w:rPr>
            </w:pPr>
            <w:r w:rsidRPr="000B4E2C">
              <w:rPr>
                <w:sz w:val="22"/>
                <w:lang w:val="en-GB" w:eastAsia="en-GB"/>
              </w:rPr>
              <w:t>1</w:t>
            </w:r>
          </w:p>
        </w:tc>
        <w:tc>
          <w:tcPr>
            <w:tcW w:w="0" w:type="auto"/>
            <w:shd w:val="clear" w:color="auto" w:fill="auto"/>
            <w:vAlign w:val="center"/>
          </w:tcPr>
          <w:p w14:paraId="596AB658" w14:textId="0185E87E" w:rsidR="002F0133" w:rsidRPr="000B4E2C" w:rsidRDefault="002F0133" w:rsidP="008A7464">
            <w:pPr>
              <w:rPr>
                <w:color w:val="000000"/>
                <w:sz w:val="22"/>
                <w:lang w:val="en-GB" w:eastAsia="en-GB"/>
              </w:rPr>
            </w:pPr>
            <w:r w:rsidRPr="000B4E2C">
              <w:rPr>
                <w:sz w:val="22"/>
                <w:lang w:val="en-GB" w:eastAsia="en-GB"/>
              </w:rPr>
              <w:t>Based on clinical expert opinion</w:t>
            </w:r>
            <w:r w:rsidR="000B4E2C" w:rsidRPr="000B4E2C">
              <w:rPr>
                <w:color w:val="00B0F0"/>
                <w:sz w:val="22"/>
                <w:lang w:val="en-GB" w:eastAsia="en-GB"/>
              </w:rPr>
              <w:t>/</w:t>
            </w:r>
            <w:r w:rsidRPr="000B4E2C">
              <w:rPr>
                <w:sz w:val="22"/>
                <w:lang w:val="en-GB" w:eastAsia="en-GB"/>
              </w:rPr>
              <w:t>See</w:t>
            </w:r>
            <w:r w:rsidRPr="000B4E2C">
              <w:rPr>
                <w:i/>
                <w:color w:val="00B0F0"/>
                <w:sz w:val="22"/>
                <w:lang w:val="en-GB" w:eastAsia="en-GB"/>
              </w:rPr>
              <w:t xml:space="preserve"> et al</w:t>
            </w:r>
            <w:r w:rsidR="00280A97" w:rsidRPr="000B4E2C">
              <w:rPr>
                <w:noProof/>
                <w:sz w:val="22"/>
                <w:vertAlign w:val="superscript"/>
                <w:lang w:val="en-GB" w:eastAsia="en-GB"/>
              </w:rPr>
              <w:t>114</w:t>
            </w:r>
          </w:p>
        </w:tc>
        <w:tc>
          <w:tcPr>
            <w:tcW w:w="0" w:type="auto"/>
            <w:shd w:val="clear" w:color="auto" w:fill="auto"/>
            <w:vAlign w:val="center"/>
          </w:tcPr>
          <w:p w14:paraId="6DE23CB6" w14:textId="77777777" w:rsidR="002F0133" w:rsidRPr="000B4E2C" w:rsidRDefault="002F0133" w:rsidP="008A7464">
            <w:pPr>
              <w:rPr>
                <w:color w:val="000000"/>
                <w:sz w:val="22"/>
                <w:lang w:val="en-GB" w:eastAsia="en-GB"/>
              </w:rPr>
            </w:pPr>
            <w:r w:rsidRPr="000B4E2C">
              <w:rPr>
                <w:sz w:val="22"/>
                <w:lang w:val="en-GB" w:eastAsia="en-GB"/>
              </w:rPr>
              <w:t>Varied between 0 and 1</w:t>
            </w:r>
          </w:p>
        </w:tc>
        <w:tc>
          <w:tcPr>
            <w:tcW w:w="0" w:type="auto"/>
            <w:vMerge/>
            <w:shd w:val="clear" w:color="auto" w:fill="auto"/>
            <w:vAlign w:val="center"/>
          </w:tcPr>
          <w:p w14:paraId="1B3FFDCB" w14:textId="77777777" w:rsidR="002F0133" w:rsidRPr="000B4E2C" w:rsidRDefault="002F0133" w:rsidP="008A7464">
            <w:pPr>
              <w:rPr>
                <w:sz w:val="22"/>
                <w:lang w:val="en-GB" w:eastAsia="en-GB"/>
              </w:rPr>
            </w:pPr>
          </w:p>
        </w:tc>
      </w:tr>
      <w:tr w:rsidR="002F0133" w:rsidRPr="000B4E2C" w14:paraId="43C29674" w14:textId="77777777" w:rsidTr="000B4E2C">
        <w:trPr>
          <w:cantSplit/>
          <w:tblHeader/>
        </w:trPr>
        <w:tc>
          <w:tcPr>
            <w:tcW w:w="0" w:type="auto"/>
            <w:shd w:val="clear" w:color="auto" w:fill="auto"/>
            <w:vAlign w:val="center"/>
            <w:hideMark/>
          </w:tcPr>
          <w:p w14:paraId="467D0316" w14:textId="77777777" w:rsidR="002F0133" w:rsidRPr="000B4E2C" w:rsidRDefault="002F0133" w:rsidP="008A7464">
            <w:pPr>
              <w:rPr>
                <w:bCs/>
                <w:color w:val="000000"/>
                <w:sz w:val="22"/>
                <w:lang w:val="en-GB" w:eastAsia="en-GB"/>
              </w:rPr>
            </w:pPr>
            <w:r w:rsidRPr="000B4E2C">
              <w:rPr>
                <w:bCs/>
                <w:sz w:val="22"/>
                <w:lang w:val="en-GB" w:eastAsia="en-GB"/>
              </w:rPr>
              <w:t>Proportion of the RR of 90-day mortality (Aki vs. none) that can be achieved by averting AKI</w:t>
            </w:r>
          </w:p>
        </w:tc>
        <w:tc>
          <w:tcPr>
            <w:tcW w:w="0" w:type="auto"/>
            <w:shd w:val="clear" w:color="auto" w:fill="auto"/>
            <w:noWrap/>
            <w:vAlign w:val="center"/>
            <w:hideMark/>
          </w:tcPr>
          <w:p w14:paraId="44EC3989" w14:textId="77777777" w:rsidR="002F0133" w:rsidRPr="000B4E2C" w:rsidRDefault="002F0133" w:rsidP="008A7464">
            <w:pPr>
              <w:rPr>
                <w:color w:val="000000"/>
                <w:sz w:val="22"/>
                <w:lang w:val="en-GB" w:eastAsia="en-GB"/>
              </w:rPr>
            </w:pPr>
            <w:r w:rsidRPr="000B4E2C">
              <w:rPr>
                <w:sz w:val="22"/>
                <w:lang w:val="en-GB" w:eastAsia="en-GB"/>
              </w:rPr>
              <w:t>0</w:t>
            </w:r>
          </w:p>
        </w:tc>
        <w:tc>
          <w:tcPr>
            <w:tcW w:w="0" w:type="auto"/>
            <w:shd w:val="clear" w:color="auto" w:fill="auto"/>
            <w:vAlign w:val="center"/>
          </w:tcPr>
          <w:p w14:paraId="35681A35" w14:textId="2E4288FD" w:rsidR="002F0133" w:rsidRPr="000B4E2C" w:rsidRDefault="002F0133" w:rsidP="008A7464">
            <w:pPr>
              <w:rPr>
                <w:color w:val="000000"/>
                <w:sz w:val="22"/>
                <w:lang w:val="en-GB" w:eastAsia="en-GB"/>
              </w:rPr>
            </w:pPr>
            <w:r w:rsidRPr="000B4E2C">
              <w:rPr>
                <w:sz w:val="22"/>
                <w:lang w:val="en-GB" w:eastAsia="en-GB"/>
              </w:rPr>
              <w:t>Based on Meersch</w:t>
            </w:r>
            <w:r w:rsidRPr="000B4E2C">
              <w:rPr>
                <w:i/>
                <w:color w:val="00B0F0"/>
                <w:sz w:val="22"/>
                <w:lang w:val="en-GB" w:eastAsia="en-GB"/>
              </w:rPr>
              <w:t xml:space="preserve"> et al</w:t>
            </w:r>
            <w:r w:rsidR="00280A97" w:rsidRPr="000B4E2C">
              <w:rPr>
                <w:noProof/>
                <w:sz w:val="22"/>
                <w:vertAlign w:val="superscript"/>
                <w:lang w:val="en-GB" w:eastAsia="en-GB"/>
              </w:rPr>
              <w:t>112</w:t>
            </w:r>
            <w:r w:rsidRPr="000B4E2C">
              <w:rPr>
                <w:sz w:val="22"/>
                <w:lang w:val="en-GB" w:eastAsia="en-GB"/>
              </w:rPr>
              <w:t>, who show effects on AKI, but not on mortality.</w:t>
            </w:r>
            <w:r w:rsidR="000B4E2C" w:rsidRPr="000B4E2C">
              <w:rPr>
                <w:sz w:val="22"/>
                <w:lang w:val="en-GB" w:eastAsia="en-GB"/>
              </w:rPr>
              <w:t xml:space="preserve"> </w:t>
            </w:r>
            <w:r w:rsidRPr="000B4E2C">
              <w:rPr>
                <w:sz w:val="22"/>
                <w:lang w:val="en-GB" w:eastAsia="en-GB"/>
              </w:rPr>
              <w:t xml:space="preserve">Similar </w:t>
            </w:r>
            <w:r w:rsidRPr="000B4E2C">
              <w:rPr>
                <w:sz w:val="22"/>
                <w:highlight w:val="magenta"/>
                <w:lang w:val="en-GB" w:eastAsia="en-GB"/>
              </w:rPr>
              <w:t>data</w:t>
            </w:r>
            <w:r w:rsidRPr="000B4E2C">
              <w:rPr>
                <w:sz w:val="22"/>
                <w:lang w:val="en-GB" w:eastAsia="en-GB"/>
              </w:rPr>
              <w:t xml:space="preserve"> from Wilson</w:t>
            </w:r>
            <w:r w:rsidRPr="000B4E2C">
              <w:rPr>
                <w:i/>
                <w:color w:val="00B0F0"/>
                <w:sz w:val="22"/>
                <w:lang w:val="en-GB" w:eastAsia="en-GB"/>
              </w:rPr>
              <w:t xml:space="preserve"> et al</w:t>
            </w:r>
            <w:r w:rsidR="00280A97" w:rsidRPr="000B4E2C">
              <w:rPr>
                <w:noProof/>
                <w:sz w:val="22"/>
                <w:vertAlign w:val="superscript"/>
                <w:lang w:val="en-GB" w:eastAsia="en-GB"/>
              </w:rPr>
              <w:t>120</w:t>
            </w:r>
          </w:p>
        </w:tc>
        <w:tc>
          <w:tcPr>
            <w:tcW w:w="0" w:type="auto"/>
            <w:shd w:val="clear" w:color="auto" w:fill="auto"/>
            <w:vAlign w:val="center"/>
          </w:tcPr>
          <w:p w14:paraId="75C22A22" w14:textId="77777777" w:rsidR="002F0133" w:rsidRPr="000B4E2C" w:rsidRDefault="002F0133" w:rsidP="008A7464">
            <w:pPr>
              <w:rPr>
                <w:color w:val="000000"/>
                <w:sz w:val="22"/>
                <w:lang w:val="en-GB" w:eastAsia="en-GB"/>
              </w:rPr>
            </w:pPr>
            <w:r w:rsidRPr="000B4E2C">
              <w:rPr>
                <w:sz w:val="22"/>
                <w:lang w:val="en-GB" w:eastAsia="en-GB"/>
              </w:rPr>
              <w:t>Varied between 0 and 1</w:t>
            </w:r>
          </w:p>
        </w:tc>
        <w:tc>
          <w:tcPr>
            <w:tcW w:w="0" w:type="auto"/>
            <w:vMerge/>
            <w:shd w:val="clear" w:color="auto" w:fill="auto"/>
            <w:vAlign w:val="center"/>
          </w:tcPr>
          <w:p w14:paraId="34D7541C" w14:textId="77777777" w:rsidR="002F0133" w:rsidRPr="000B4E2C" w:rsidRDefault="002F0133" w:rsidP="008A7464">
            <w:pPr>
              <w:rPr>
                <w:sz w:val="22"/>
                <w:lang w:val="en-GB" w:eastAsia="en-GB"/>
              </w:rPr>
            </w:pPr>
          </w:p>
        </w:tc>
      </w:tr>
      <w:tr w:rsidR="002F0133" w:rsidRPr="000B4E2C" w14:paraId="6D5D15D2" w14:textId="77777777" w:rsidTr="000B4E2C">
        <w:trPr>
          <w:cantSplit/>
          <w:tblHeader/>
        </w:trPr>
        <w:tc>
          <w:tcPr>
            <w:tcW w:w="0" w:type="auto"/>
            <w:shd w:val="clear" w:color="auto" w:fill="auto"/>
            <w:vAlign w:val="center"/>
            <w:hideMark/>
          </w:tcPr>
          <w:p w14:paraId="1B12C9A4" w14:textId="77777777" w:rsidR="002F0133" w:rsidRPr="000B4E2C" w:rsidRDefault="002F0133" w:rsidP="008A7464">
            <w:pPr>
              <w:rPr>
                <w:bCs/>
                <w:color w:val="000000"/>
                <w:sz w:val="22"/>
                <w:lang w:val="en-GB" w:eastAsia="en-GB"/>
              </w:rPr>
            </w:pPr>
            <w:r w:rsidRPr="000B4E2C">
              <w:rPr>
                <w:bCs/>
                <w:sz w:val="22"/>
                <w:lang w:val="en-GB" w:eastAsia="en-GB"/>
              </w:rPr>
              <w:t>Proportion of the difference in hospital and ICU length of stay (AKI vs. none) that can be achieved by averting AKI</w:t>
            </w:r>
          </w:p>
        </w:tc>
        <w:tc>
          <w:tcPr>
            <w:tcW w:w="0" w:type="auto"/>
            <w:shd w:val="clear" w:color="auto" w:fill="auto"/>
            <w:noWrap/>
            <w:vAlign w:val="center"/>
            <w:hideMark/>
          </w:tcPr>
          <w:p w14:paraId="3ACE68D4" w14:textId="77777777" w:rsidR="002F0133" w:rsidRPr="000B4E2C" w:rsidRDefault="002F0133" w:rsidP="008A7464">
            <w:pPr>
              <w:rPr>
                <w:color w:val="000000"/>
                <w:sz w:val="22"/>
                <w:lang w:val="en-GB" w:eastAsia="en-GB"/>
              </w:rPr>
            </w:pPr>
            <w:r w:rsidRPr="000B4E2C">
              <w:rPr>
                <w:sz w:val="22"/>
                <w:lang w:val="en-GB" w:eastAsia="en-GB"/>
              </w:rPr>
              <w:t>0.5</w:t>
            </w:r>
          </w:p>
        </w:tc>
        <w:tc>
          <w:tcPr>
            <w:tcW w:w="0" w:type="auto"/>
            <w:shd w:val="clear" w:color="auto" w:fill="auto"/>
            <w:vAlign w:val="center"/>
          </w:tcPr>
          <w:p w14:paraId="1B985519" w14:textId="77777777" w:rsidR="002F0133" w:rsidRPr="000B4E2C" w:rsidRDefault="002F0133" w:rsidP="008A7464">
            <w:pPr>
              <w:rPr>
                <w:color w:val="000000"/>
                <w:sz w:val="22"/>
                <w:lang w:val="en-GB" w:eastAsia="en-GB"/>
              </w:rPr>
            </w:pPr>
            <w:r w:rsidRPr="000B4E2C">
              <w:rPr>
                <w:sz w:val="22"/>
                <w:lang w:val="en-GB" w:eastAsia="en-GB"/>
              </w:rPr>
              <w:t>Based on clinical expert opinion</w:t>
            </w:r>
          </w:p>
        </w:tc>
        <w:tc>
          <w:tcPr>
            <w:tcW w:w="0" w:type="auto"/>
            <w:shd w:val="clear" w:color="auto" w:fill="auto"/>
            <w:vAlign w:val="center"/>
          </w:tcPr>
          <w:p w14:paraId="3E056FE2" w14:textId="77777777" w:rsidR="002F0133" w:rsidRPr="000B4E2C" w:rsidRDefault="002F0133" w:rsidP="008A7464">
            <w:pPr>
              <w:rPr>
                <w:color w:val="000000"/>
                <w:sz w:val="22"/>
                <w:lang w:val="en-GB" w:eastAsia="en-GB"/>
              </w:rPr>
            </w:pPr>
            <w:r w:rsidRPr="000B4E2C">
              <w:rPr>
                <w:sz w:val="22"/>
                <w:lang w:val="en-GB" w:eastAsia="en-GB"/>
              </w:rPr>
              <w:t>Varied between 0 and 1</w:t>
            </w:r>
          </w:p>
        </w:tc>
        <w:tc>
          <w:tcPr>
            <w:tcW w:w="0" w:type="auto"/>
            <w:vMerge/>
            <w:shd w:val="clear" w:color="auto" w:fill="auto"/>
            <w:vAlign w:val="center"/>
          </w:tcPr>
          <w:p w14:paraId="71A1F5BC" w14:textId="77777777" w:rsidR="002F0133" w:rsidRPr="000B4E2C" w:rsidRDefault="002F0133" w:rsidP="008A7464">
            <w:pPr>
              <w:rPr>
                <w:sz w:val="22"/>
                <w:lang w:val="en-GB" w:eastAsia="en-GB"/>
              </w:rPr>
            </w:pPr>
          </w:p>
        </w:tc>
      </w:tr>
      <w:tr w:rsidR="002F0133" w:rsidRPr="000B4E2C" w14:paraId="13CE6337" w14:textId="77777777" w:rsidTr="000B4E2C">
        <w:trPr>
          <w:cantSplit/>
          <w:tblHeader/>
        </w:trPr>
        <w:tc>
          <w:tcPr>
            <w:tcW w:w="0" w:type="auto"/>
            <w:shd w:val="clear" w:color="auto" w:fill="auto"/>
            <w:vAlign w:val="center"/>
            <w:hideMark/>
          </w:tcPr>
          <w:p w14:paraId="271B021E" w14:textId="77777777" w:rsidR="002F0133" w:rsidRPr="000B4E2C" w:rsidRDefault="002F0133" w:rsidP="008A7464">
            <w:pPr>
              <w:rPr>
                <w:bCs/>
                <w:color w:val="000000"/>
                <w:sz w:val="22"/>
                <w:lang w:val="en-GB" w:eastAsia="en-GB"/>
              </w:rPr>
            </w:pPr>
            <w:r w:rsidRPr="000B4E2C">
              <w:rPr>
                <w:bCs/>
                <w:sz w:val="22"/>
                <w:lang w:val="en-GB" w:eastAsia="en-GB"/>
              </w:rPr>
              <w:lastRenderedPageBreak/>
              <w:t>Impact of AKI stage on hospital and ICU length of stay</w:t>
            </w:r>
          </w:p>
        </w:tc>
        <w:tc>
          <w:tcPr>
            <w:tcW w:w="0" w:type="auto"/>
            <w:shd w:val="clear" w:color="auto" w:fill="auto"/>
            <w:noWrap/>
            <w:vAlign w:val="center"/>
            <w:hideMark/>
          </w:tcPr>
          <w:p w14:paraId="522CF0DE" w14:textId="77777777" w:rsidR="002F0133" w:rsidRPr="000B4E2C" w:rsidRDefault="002F0133" w:rsidP="008A7464">
            <w:pPr>
              <w:rPr>
                <w:color w:val="000000"/>
                <w:sz w:val="22"/>
                <w:lang w:val="en-GB" w:eastAsia="en-GB"/>
              </w:rPr>
            </w:pPr>
            <w:r w:rsidRPr="000B4E2C">
              <w:rPr>
                <w:sz w:val="22"/>
                <w:lang w:val="en-GB" w:eastAsia="en-GB"/>
              </w:rPr>
              <w:t>Duration applied by AKI stage</w:t>
            </w:r>
          </w:p>
        </w:tc>
        <w:tc>
          <w:tcPr>
            <w:tcW w:w="0" w:type="auto"/>
            <w:shd w:val="clear" w:color="auto" w:fill="auto"/>
            <w:vAlign w:val="center"/>
          </w:tcPr>
          <w:p w14:paraId="212168CA" w14:textId="7F730B60" w:rsidR="002F0133" w:rsidRPr="000B4E2C" w:rsidRDefault="002F0133" w:rsidP="008A7464">
            <w:pPr>
              <w:rPr>
                <w:color w:val="000000"/>
                <w:sz w:val="22"/>
                <w:lang w:val="en-GB" w:eastAsia="en-GB"/>
              </w:rPr>
            </w:pPr>
            <w:r w:rsidRPr="000B4E2C">
              <w:rPr>
                <w:sz w:val="22"/>
                <w:lang w:val="en-GB" w:eastAsia="en-GB"/>
              </w:rPr>
              <w:t xml:space="preserve">Based on observational </w:t>
            </w:r>
            <w:r w:rsidRPr="000B4E2C">
              <w:rPr>
                <w:sz w:val="22"/>
                <w:highlight w:val="magenta"/>
                <w:lang w:val="en-GB" w:eastAsia="en-GB"/>
              </w:rPr>
              <w:t>data</w:t>
            </w:r>
            <w:r w:rsidRPr="000B4E2C">
              <w:rPr>
                <w:sz w:val="22"/>
                <w:lang w:val="en-GB" w:eastAsia="en-GB"/>
              </w:rPr>
              <w:t xml:space="preserve"> from Grampian</w:t>
            </w:r>
            <w:r w:rsidR="005B5026" w:rsidRPr="000B4E2C">
              <w:rPr>
                <w:noProof/>
                <w:sz w:val="22"/>
                <w:vertAlign w:val="superscript"/>
                <w:lang w:val="en-GB" w:eastAsia="en-GB"/>
              </w:rPr>
              <w:t>105</w:t>
            </w:r>
          </w:p>
        </w:tc>
        <w:tc>
          <w:tcPr>
            <w:tcW w:w="0" w:type="auto"/>
            <w:shd w:val="clear" w:color="auto" w:fill="auto"/>
            <w:vAlign w:val="center"/>
          </w:tcPr>
          <w:p w14:paraId="19BDD5B1" w14:textId="6F60F49F" w:rsidR="002F0133" w:rsidRPr="000B4E2C" w:rsidRDefault="002F0133" w:rsidP="008A7464">
            <w:pPr>
              <w:rPr>
                <w:color w:val="000000"/>
                <w:sz w:val="22"/>
                <w:lang w:val="en-GB" w:eastAsia="en-GB"/>
              </w:rPr>
            </w:pPr>
            <w:r w:rsidRPr="000B4E2C">
              <w:rPr>
                <w:sz w:val="22"/>
                <w:lang w:val="en-GB" w:eastAsia="en-GB"/>
              </w:rPr>
              <w:t>Duration assumed not to vary by stage, with same durations applied to all AKI stages based on average from Grampian observational data</w:t>
            </w:r>
            <w:r w:rsidR="005B5026" w:rsidRPr="000B4E2C">
              <w:rPr>
                <w:noProof/>
                <w:sz w:val="22"/>
                <w:vertAlign w:val="superscript"/>
                <w:lang w:val="en-GB" w:eastAsia="en-GB"/>
              </w:rPr>
              <w:t>105</w:t>
            </w:r>
          </w:p>
        </w:tc>
        <w:tc>
          <w:tcPr>
            <w:tcW w:w="0" w:type="auto"/>
            <w:vMerge/>
            <w:shd w:val="clear" w:color="auto" w:fill="auto"/>
            <w:vAlign w:val="center"/>
          </w:tcPr>
          <w:p w14:paraId="22BBA5A5" w14:textId="77777777" w:rsidR="002F0133" w:rsidRPr="000B4E2C" w:rsidRDefault="002F0133" w:rsidP="008A7464">
            <w:pPr>
              <w:rPr>
                <w:sz w:val="22"/>
                <w:lang w:val="en-GB" w:eastAsia="en-GB"/>
              </w:rPr>
            </w:pPr>
          </w:p>
        </w:tc>
      </w:tr>
      <w:tr w:rsidR="002F0133" w:rsidRPr="000B4E2C" w14:paraId="61C48AC8" w14:textId="77777777" w:rsidTr="000B4E2C">
        <w:trPr>
          <w:cantSplit/>
          <w:tblHeader/>
        </w:trPr>
        <w:tc>
          <w:tcPr>
            <w:tcW w:w="0" w:type="auto"/>
            <w:shd w:val="clear" w:color="auto" w:fill="auto"/>
            <w:vAlign w:val="center"/>
            <w:hideMark/>
          </w:tcPr>
          <w:p w14:paraId="6FC0F843" w14:textId="77777777" w:rsidR="002F0133" w:rsidRPr="000B4E2C" w:rsidRDefault="002F0133" w:rsidP="008A7464">
            <w:pPr>
              <w:rPr>
                <w:bCs/>
                <w:color w:val="000000"/>
                <w:sz w:val="22"/>
                <w:lang w:val="en-GB" w:eastAsia="en-GB"/>
              </w:rPr>
            </w:pPr>
            <w:r w:rsidRPr="000B4E2C">
              <w:rPr>
                <w:bCs/>
                <w:sz w:val="22"/>
                <w:lang w:val="en-GB" w:eastAsia="en-GB"/>
              </w:rPr>
              <w:t>Impact of AKI stage on the probability of ICU admission</w:t>
            </w:r>
          </w:p>
        </w:tc>
        <w:tc>
          <w:tcPr>
            <w:tcW w:w="0" w:type="auto"/>
            <w:shd w:val="clear" w:color="auto" w:fill="auto"/>
            <w:noWrap/>
            <w:vAlign w:val="center"/>
            <w:hideMark/>
          </w:tcPr>
          <w:p w14:paraId="590126E3" w14:textId="77777777" w:rsidR="002F0133" w:rsidRPr="000B4E2C" w:rsidRDefault="002F0133" w:rsidP="008A7464">
            <w:pPr>
              <w:rPr>
                <w:color w:val="000000"/>
                <w:sz w:val="22"/>
                <w:lang w:val="en-GB" w:eastAsia="en-GB"/>
              </w:rPr>
            </w:pPr>
            <w:r w:rsidRPr="000B4E2C">
              <w:rPr>
                <w:sz w:val="22"/>
                <w:lang w:val="en-GB" w:eastAsia="en-GB"/>
              </w:rPr>
              <w:t>Probability applied by AKI stage</w:t>
            </w:r>
          </w:p>
        </w:tc>
        <w:tc>
          <w:tcPr>
            <w:tcW w:w="0" w:type="auto"/>
            <w:shd w:val="clear" w:color="auto" w:fill="auto"/>
            <w:vAlign w:val="center"/>
          </w:tcPr>
          <w:p w14:paraId="1C3DB8BF" w14:textId="73FCE1E8" w:rsidR="002F0133" w:rsidRPr="000B4E2C" w:rsidRDefault="002F0133" w:rsidP="008A7464">
            <w:pPr>
              <w:rPr>
                <w:color w:val="000000"/>
                <w:sz w:val="22"/>
                <w:lang w:val="en-GB" w:eastAsia="en-GB"/>
              </w:rPr>
            </w:pPr>
            <w:r w:rsidRPr="000B4E2C">
              <w:rPr>
                <w:sz w:val="22"/>
                <w:lang w:val="en-GB" w:eastAsia="en-GB"/>
              </w:rPr>
              <w:t xml:space="preserve">Based on observational </w:t>
            </w:r>
            <w:r w:rsidRPr="000B4E2C">
              <w:rPr>
                <w:sz w:val="22"/>
                <w:highlight w:val="magenta"/>
                <w:lang w:val="en-GB" w:eastAsia="en-GB"/>
              </w:rPr>
              <w:t>data</w:t>
            </w:r>
            <w:r w:rsidRPr="000B4E2C">
              <w:rPr>
                <w:sz w:val="22"/>
                <w:lang w:val="en-GB" w:eastAsia="en-GB"/>
              </w:rPr>
              <w:t xml:space="preserve"> from Grampian</w:t>
            </w:r>
            <w:r w:rsidR="005B5026" w:rsidRPr="000B4E2C">
              <w:rPr>
                <w:noProof/>
                <w:sz w:val="22"/>
                <w:vertAlign w:val="superscript"/>
                <w:lang w:val="en-GB" w:eastAsia="en-GB"/>
              </w:rPr>
              <w:t>105</w:t>
            </w:r>
          </w:p>
        </w:tc>
        <w:tc>
          <w:tcPr>
            <w:tcW w:w="0" w:type="auto"/>
            <w:shd w:val="clear" w:color="auto" w:fill="auto"/>
            <w:vAlign w:val="center"/>
          </w:tcPr>
          <w:p w14:paraId="06E5288B" w14:textId="7F3B2FCE" w:rsidR="002F0133" w:rsidRPr="000B4E2C" w:rsidRDefault="002F0133" w:rsidP="008A7464">
            <w:pPr>
              <w:rPr>
                <w:color w:val="000000"/>
                <w:sz w:val="22"/>
                <w:lang w:val="en-GB" w:eastAsia="en-GB"/>
              </w:rPr>
            </w:pPr>
            <w:r w:rsidRPr="000B4E2C">
              <w:rPr>
                <w:sz w:val="22"/>
                <w:lang w:val="en-GB" w:eastAsia="en-GB"/>
              </w:rPr>
              <w:t>Probability assumed not to vary by stage, with same probability applied to all AKI stages based on average from Grampian observational data</w:t>
            </w:r>
            <w:r w:rsidR="005B5026" w:rsidRPr="000B4E2C">
              <w:rPr>
                <w:noProof/>
                <w:sz w:val="22"/>
                <w:vertAlign w:val="superscript"/>
                <w:lang w:val="en-GB" w:eastAsia="en-GB"/>
              </w:rPr>
              <w:t>105</w:t>
            </w:r>
          </w:p>
        </w:tc>
        <w:tc>
          <w:tcPr>
            <w:tcW w:w="0" w:type="auto"/>
            <w:vMerge/>
            <w:shd w:val="clear" w:color="auto" w:fill="auto"/>
            <w:vAlign w:val="center"/>
          </w:tcPr>
          <w:p w14:paraId="205115F8" w14:textId="77777777" w:rsidR="002F0133" w:rsidRPr="000B4E2C" w:rsidRDefault="002F0133" w:rsidP="008A7464">
            <w:pPr>
              <w:rPr>
                <w:sz w:val="22"/>
                <w:lang w:val="en-GB" w:eastAsia="en-GB"/>
              </w:rPr>
            </w:pPr>
          </w:p>
        </w:tc>
      </w:tr>
      <w:tr w:rsidR="002F0133" w:rsidRPr="000B4E2C" w14:paraId="56EA5DAE" w14:textId="77777777" w:rsidTr="000B4E2C">
        <w:trPr>
          <w:cantSplit/>
          <w:tblHeader/>
        </w:trPr>
        <w:tc>
          <w:tcPr>
            <w:tcW w:w="0" w:type="auto"/>
            <w:shd w:val="clear" w:color="auto" w:fill="auto"/>
            <w:vAlign w:val="center"/>
            <w:hideMark/>
          </w:tcPr>
          <w:p w14:paraId="4C0D03A1" w14:textId="77777777" w:rsidR="002F0133" w:rsidRPr="000B4E2C" w:rsidRDefault="002F0133" w:rsidP="008A7464">
            <w:pPr>
              <w:rPr>
                <w:bCs/>
                <w:color w:val="000000"/>
                <w:sz w:val="22"/>
                <w:lang w:val="en-GB" w:eastAsia="en-GB"/>
              </w:rPr>
            </w:pPr>
            <w:r w:rsidRPr="000B4E2C">
              <w:rPr>
                <w:bCs/>
                <w:sz w:val="22"/>
                <w:lang w:val="en-GB" w:eastAsia="en-GB"/>
              </w:rPr>
              <w:t>Impact of AKI stage on the probability of developing CKD.</w:t>
            </w:r>
          </w:p>
        </w:tc>
        <w:tc>
          <w:tcPr>
            <w:tcW w:w="0" w:type="auto"/>
            <w:shd w:val="clear" w:color="auto" w:fill="auto"/>
            <w:noWrap/>
            <w:vAlign w:val="center"/>
            <w:hideMark/>
          </w:tcPr>
          <w:p w14:paraId="2A5123B0" w14:textId="77777777" w:rsidR="002F0133" w:rsidRPr="000B4E2C" w:rsidRDefault="002F0133" w:rsidP="008A7464">
            <w:pPr>
              <w:rPr>
                <w:color w:val="000000"/>
                <w:sz w:val="22"/>
                <w:lang w:val="en-GB" w:eastAsia="en-GB"/>
              </w:rPr>
            </w:pPr>
            <w:r w:rsidRPr="000B4E2C">
              <w:rPr>
                <w:sz w:val="22"/>
                <w:lang w:val="en-GB" w:eastAsia="en-GB"/>
              </w:rPr>
              <w:t>HR applied by AKI stage</w:t>
            </w:r>
          </w:p>
        </w:tc>
        <w:tc>
          <w:tcPr>
            <w:tcW w:w="0" w:type="auto"/>
            <w:shd w:val="clear" w:color="auto" w:fill="auto"/>
            <w:vAlign w:val="center"/>
          </w:tcPr>
          <w:p w14:paraId="05D2D582" w14:textId="3050BE18" w:rsidR="002F0133" w:rsidRPr="000B4E2C" w:rsidRDefault="002F0133" w:rsidP="008A7464">
            <w:pPr>
              <w:rPr>
                <w:color w:val="000000"/>
                <w:sz w:val="22"/>
                <w:lang w:val="en-GB" w:eastAsia="en-GB"/>
              </w:rPr>
            </w:pPr>
            <w:r w:rsidRPr="000B4E2C">
              <w:rPr>
                <w:sz w:val="22"/>
                <w:lang w:val="en-GB" w:eastAsia="en-GB"/>
              </w:rPr>
              <w:t>Based on systematic review and meta-analysis from See</w:t>
            </w:r>
            <w:r w:rsidRPr="000B4E2C">
              <w:rPr>
                <w:i/>
                <w:color w:val="00B0F0"/>
                <w:sz w:val="22"/>
                <w:lang w:val="en-GB" w:eastAsia="en-GB"/>
              </w:rPr>
              <w:t xml:space="preserve"> et al</w:t>
            </w:r>
            <w:r w:rsidR="00280A97" w:rsidRPr="000B4E2C">
              <w:rPr>
                <w:noProof/>
                <w:sz w:val="22"/>
                <w:vertAlign w:val="superscript"/>
                <w:lang w:val="en-GB" w:eastAsia="en-GB"/>
              </w:rPr>
              <w:t>114</w:t>
            </w:r>
          </w:p>
        </w:tc>
        <w:tc>
          <w:tcPr>
            <w:tcW w:w="0" w:type="auto"/>
            <w:shd w:val="clear" w:color="auto" w:fill="auto"/>
            <w:vAlign w:val="center"/>
          </w:tcPr>
          <w:p w14:paraId="0455830B" w14:textId="57CF2C36" w:rsidR="002F0133" w:rsidRPr="000B4E2C" w:rsidRDefault="002F0133" w:rsidP="008A7464">
            <w:pPr>
              <w:rPr>
                <w:color w:val="000000"/>
                <w:sz w:val="22"/>
                <w:lang w:val="en-GB" w:eastAsia="en-GB"/>
              </w:rPr>
            </w:pPr>
            <w:r w:rsidRPr="000B4E2C">
              <w:rPr>
                <w:sz w:val="22"/>
                <w:lang w:val="en-GB" w:eastAsia="en-GB"/>
              </w:rPr>
              <w:t>HR assumed not to vary by stage, with same HR applied to all AKI stages based on Sawhney 2017</w:t>
            </w:r>
            <w:r w:rsidR="005B5026" w:rsidRPr="000B4E2C">
              <w:rPr>
                <w:noProof/>
                <w:sz w:val="22"/>
                <w:vertAlign w:val="superscript"/>
                <w:lang w:val="en-GB" w:eastAsia="en-GB"/>
              </w:rPr>
              <w:t>105</w:t>
            </w:r>
          </w:p>
        </w:tc>
        <w:tc>
          <w:tcPr>
            <w:tcW w:w="0" w:type="auto"/>
            <w:vMerge/>
            <w:shd w:val="clear" w:color="auto" w:fill="auto"/>
            <w:vAlign w:val="center"/>
          </w:tcPr>
          <w:p w14:paraId="5F90F3EB" w14:textId="77777777" w:rsidR="002F0133" w:rsidRPr="000B4E2C" w:rsidRDefault="002F0133" w:rsidP="008A7464">
            <w:pPr>
              <w:rPr>
                <w:sz w:val="22"/>
                <w:lang w:val="en-GB" w:eastAsia="en-GB"/>
              </w:rPr>
            </w:pPr>
          </w:p>
        </w:tc>
      </w:tr>
      <w:tr w:rsidR="002F0133" w:rsidRPr="000B4E2C" w14:paraId="0BF2F147" w14:textId="77777777" w:rsidTr="000B4E2C">
        <w:trPr>
          <w:cantSplit/>
          <w:tblHeader/>
        </w:trPr>
        <w:tc>
          <w:tcPr>
            <w:tcW w:w="0" w:type="auto"/>
            <w:shd w:val="clear" w:color="auto" w:fill="auto"/>
            <w:vAlign w:val="center"/>
            <w:hideMark/>
          </w:tcPr>
          <w:p w14:paraId="7818B7D8" w14:textId="77777777" w:rsidR="002F0133" w:rsidRPr="000B4E2C" w:rsidRDefault="002F0133" w:rsidP="008A7464">
            <w:pPr>
              <w:rPr>
                <w:bCs/>
                <w:color w:val="000000"/>
                <w:sz w:val="22"/>
                <w:lang w:val="en-GB" w:eastAsia="en-GB"/>
              </w:rPr>
            </w:pPr>
            <w:r w:rsidRPr="000B4E2C">
              <w:rPr>
                <w:bCs/>
                <w:sz w:val="22"/>
                <w:lang w:val="en-GB" w:eastAsia="en-GB"/>
              </w:rPr>
              <w:t>Impact of AKI stage on the probability of 90-day mortality</w:t>
            </w:r>
          </w:p>
        </w:tc>
        <w:tc>
          <w:tcPr>
            <w:tcW w:w="0" w:type="auto"/>
            <w:shd w:val="clear" w:color="auto" w:fill="auto"/>
            <w:noWrap/>
            <w:vAlign w:val="center"/>
            <w:hideMark/>
          </w:tcPr>
          <w:p w14:paraId="6751DF4A" w14:textId="77777777" w:rsidR="002F0133" w:rsidRPr="000B4E2C" w:rsidRDefault="002F0133" w:rsidP="008A7464">
            <w:pPr>
              <w:rPr>
                <w:color w:val="000000"/>
                <w:sz w:val="22"/>
                <w:lang w:val="en-GB" w:eastAsia="en-GB"/>
              </w:rPr>
            </w:pPr>
            <w:r w:rsidRPr="000B4E2C">
              <w:rPr>
                <w:sz w:val="22"/>
                <w:lang w:val="en-GB" w:eastAsia="en-GB"/>
              </w:rPr>
              <w:t>Average probability applied for all AKI stages</w:t>
            </w:r>
          </w:p>
        </w:tc>
        <w:tc>
          <w:tcPr>
            <w:tcW w:w="0" w:type="auto"/>
            <w:shd w:val="clear" w:color="auto" w:fill="auto"/>
            <w:vAlign w:val="center"/>
          </w:tcPr>
          <w:p w14:paraId="4AF0039B" w14:textId="5128CA01" w:rsidR="002F0133" w:rsidRPr="000B4E2C" w:rsidRDefault="002F0133" w:rsidP="008A7464">
            <w:pPr>
              <w:rPr>
                <w:color w:val="000000"/>
                <w:sz w:val="22"/>
                <w:lang w:val="en-GB" w:eastAsia="en-GB"/>
              </w:rPr>
            </w:pPr>
            <w:bookmarkStart w:id="18" w:name="_Hlk23355107"/>
            <w:r w:rsidRPr="000B4E2C">
              <w:rPr>
                <w:sz w:val="22"/>
                <w:lang w:val="en-GB" w:eastAsia="en-GB"/>
              </w:rPr>
              <w:t>Based on a lack of evidence that changing AKI severity can impact directly on mortality, as per Meersch</w:t>
            </w:r>
            <w:r w:rsidRPr="000B4E2C">
              <w:rPr>
                <w:i/>
                <w:color w:val="00B0F0"/>
                <w:sz w:val="22"/>
                <w:lang w:val="en-GB" w:eastAsia="en-GB"/>
              </w:rPr>
              <w:t xml:space="preserve"> et </w:t>
            </w:r>
            <w:bookmarkEnd w:id="18"/>
            <w:r w:rsidRPr="000B4E2C">
              <w:rPr>
                <w:i/>
                <w:color w:val="00B0F0"/>
                <w:sz w:val="22"/>
                <w:lang w:val="en-GB" w:eastAsia="en-GB"/>
              </w:rPr>
              <w:t>al</w:t>
            </w:r>
            <w:r w:rsidR="00280A97" w:rsidRPr="000B4E2C">
              <w:rPr>
                <w:noProof/>
                <w:sz w:val="22"/>
                <w:vertAlign w:val="superscript"/>
                <w:lang w:val="en-GB" w:eastAsia="en-GB"/>
              </w:rPr>
              <w:t>112</w:t>
            </w:r>
          </w:p>
        </w:tc>
        <w:tc>
          <w:tcPr>
            <w:tcW w:w="0" w:type="auto"/>
            <w:shd w:val="clear" w:color="auto" w:fill="auto"/>
            <w:vAlign w:val="center"/>
          </w:tcPr>
          <w:p w14:paraId="74C73675" w14:textId="77777777" w:rsidR="002F0133" w:rsidRPr="000B4E2C" w:rsidRDefault="002F0133" w:rsidP="008A7464">
            <w:pPr>
              <w:rPr>
                <w:color w:val="000000"/>
                <w:sz w:val="22"/>
                <w:lang w:val="en-GB" w:eastAsia="en-GB"/>
              </w:rPr>
            </w:pPr>
            <w:r w:rsidRPr="000B4E2C">
              <w:rPr>
                <w:sz w:val="22"/>
                <w:lang w:val="en-GB" w:eastAsia="en-GB"/>
              </w:rPr>
              <w:t>Probabilities applied by AKI stage to explore uncertainty in this assumption</w:t>
            </w:r>
          </w:p>
        </w:tc>
        <w:tc>
          <w:tcPr>
            <w:tcW w:w="0" w:type="auto"/>
            <w:vMerge/>
            <w:shd w:val="clear" w:color="auto" w:fill="auto"/>
            <w:vAlign w:val="center"/>
          </w:tcPr>
          <w:p w14:paraId="19812EF3" w14:textId="77777777" w:rsidR="002F0133" w:rsidRPr="000B4E2C" w:rsidRDefault="002F0133" w:rsidP="008A7464">
            <w:pPr>
              <w:rPr>
                <w:sz w:val="22"/>
                <w:lang w:val="en-GB" w:eastAsia="en-GB"/>
              </w:rPr>
            </w:pPr>
          </w:p>
        </w:tc>
      </w:tr>
      <w:tr w:rsidR="002F0133" w:rsidRPr="000B4E2C" w14:paraId="0C858926" w14:textId="77777777" w:rsidTr="000B4E2C">
        <w:trPr>
          <w:cantSplit/>
          <w:tblHeader/>
        </w:trPr>
        <w:tc>
          <w:tcPr>
            <w:tcW w:w="0" w:type="auto"/>
            <w:shd w:val="clear" w:color="auto" w:fill="auto"/>
            <w:vAlign w:val="center"/>
            <w:hideMark/>
          </w:tcPr>
          <w:p w14:paraId="021EF1D6" w14:textId="2A27429C" w:rsidR="002F0133" w:rsidRPr="000B4E2C" w:rsidRDefault="002F0133" w:rsidP="008A7464">
            <w:pPr>
              <w:rPr>
                <w:bCs/>
                <w:color w:val="000000"/>
                <w:sz w:val="22"/>
                <w:lang w:val="en-GB" w:eastAsia="en-GB"/>
              </w:rPr>
            </w:pPr>
            <w:r w:rsidRPr="000B4E2C">
              <w:rPr>
                <w:bCs/>
                <w:sz w:val="22"/>
                <w:lang w:val="en-GB" w:eastAsia="en-GB"/>
              </w:rPr>
              <w:t>AKI excess cost per day in hospital</w:t>
            </w:r>
            <w:r w:rsidR="000B4E2C" w:rsidRPr="000B4E2C">
              <w:rPr>
                <w:bCs/>
                <w:color w:val="00B0F0"/>
                <w:sz w:val="22"/>
                <w:lang w:val="en-GB" w:eastAsia="en-GB"/>
              </w:rPr>
              <w:t>/</w:t>
            </w:r>
            <w:r w:rsidRPr="000B4E2C">
              <w:rPr>
                <w:bCs/>
                <w:sz w:val="22"/>
                <w:lang w:val="en-GB" w:eastAsia="en-GB"/>
              </w:rPr>
              <w:t>ICU</w:t>
            </w:r>
          </w:p>
        </w:tc>
        <w:tc>
          <w:tcPr>
            <w:tcW w:w="0" w:type="auto"/>
            <w:shd w:val="clear" w:color="auto" w:fill="auto"/>
            <w:noWrap/>
            <w:vAlign w:val="center"/>
            <w:hideMark/>
          </w:tcPr>
          <w:p w14:paraId="78304554" w14:textId="77777777" w:rsidR="002F0133" w:rsidRPr="000B4E2C" w:rsidRDefault="002F0133" w:rsidP="008A7464">
            <w:pPr>
              <w:rPr>
                <w:color w:val="000000"/>
                <w:sz w:val="22"/>
                <w:lang w:val="en-GB" w:eastAsia="en-GB"/>
              </w:rPr>
            </w:pPr>
            <w:r w:rsidRPr="000B4E2C">
              <w:rPr>
                <w:sz w:val="22"/>
                <w:lang w:val="en-GB" w:eastAsia="en-GB"/>
              </w:rPr>
              <w:t>No excess cost applied</w:t>
            </w:r>
          </w:p>
        </w:tc>
        <w:tc>
          <w:tcPr>
            <w:tcW w:w="0" w:type="auto"/>
            <w:shd w:val="clear" w:color="auto" w:fill="auto"/>
            <w:vAlign w:val="center"/>
          </w:tcPr>
          <w:p w14:paraId="6EE09642" w14:textId="77777777" w:rsidR="002F0133" w:rsidRPr="000B4E2C" w:rsidRDefault="002F0133" w:rsidP="008A7464">
            <w:pPr>
              <w:rPr>
                <w:color w:val="000000"/>
                <w:sz w:val="22"/>
                <w:lang w:val="en-GB" w:eastAsia="en-GB"/>
              </w:rPr>
            </w:pPr>
            <w:r w:rsidRPr="000B4E2C">
              <w:rPr>
                <w:sz w:val="22"/>
                <w:lang w:val="en-GB" w:eastAsia="en-GB"/>
              </w:rPr>
              <w:t>Conservative approach to ensure avoidance of double counting</w:t>
            </w:r>
          </w:p>
        </w:tc>
        <w:tc>
          <w:tcPr>
            <w:tcW w:w="0" w:type="auto"/>
            <w:shd w:val="clear" w:color="auto" w:fill="auto"/>
            <w:vAlign w:val="center"/>
          </w:tcPr>
          <w:p w14:paraId="38F164BA" w14:textId="1E1CEA1B" w:rsidR="002F0133" w:rsidRPr="000B4E2C" w:rsidRDefault="002F0133" w:rsidP="008A7464">
            <w:pPr>
              <w:rPr>
                <w:color w:val="000000"/>
                <w:sz w:val="22"/>
                <w:lang w:val="en-GB" w:eastAsia="en-GB"/>
              </w:rPr>
            </w:pPr>
            <w:r w:rsidRPr="000B4E2C">
              <w:rPr>
                <w:sz w:val="22"/>
                <w:lang w:val="en-GB" w:eastAsia="en-GB"/>
              </w:rPr>
              <w:t xml:space="preserve">Additional hospital excess </w:t>
            </w:r>
            <w:r w:rsidR="000B4E2C" w:rsidRPr="000B4E2C">
              <w:rPr>
                <w:color w:val="00B0F0"/>
                <w:sz w:val="22"/>
                <w:lang w:val="en-GB" w:eastAsia="en-GB"/>
              </w:rPr>
              <w:t>bed-day</w:t>
            </w:r>
            <w:r w:rsidRPr="000B4E2C">
              <w:rPr>
                <w:sz w:val="22"/>
                <w:lang w:val="en-GB" w:eastAsia="en-GB"/>
              </w:rPr>
              <w:t xml:space="preserve"> cost applied as per Hall</w:t>
            </w:r>
            <w:r w:rsidRPr="000B4E2C">
              <w:rPr>
                <w:i/>
                <w:color w:val="00B0F0"/>
                <w:sz w:val="22"/>
                <w:lang w:val="en-GB" w:eastAsia="en-GB"/>
              </w:rPr>
              <w:t xml:space="preserve"> et al</w:t>
            </w:r>
            <w:r w:rsidR="005B5026" w:rsidRPr="000B4E2C">
              <w:rPr>
                <w:noProof/>
                <w:sz w:val="22"/>
                <w:vertAlign w:val="superscript"/>
                <w:lang w:val="en-GB" w:eastAsia="en-GB"/>
              </w:rPr>
              <w:t>99</w:t>
            </w:r>
            <w:r w:rsidRPr="000B4E2C">
              <w:rPr>
                <w:sz w:val="22"/>
                <w:lang w:val="en-GB" w:eastAsia="en-GB"/>
              </w:rPr>
              <w:t xml:space="preserve"> to all patients (ICU</w:t>
            </w:r>
            <w:r w:rsidR="000B4E2C" w:rsidRPr="000B4E2C">
              <w:rPr>
                <w:color w:val="00B0F0"/>
                <w:sz w:val="22"/>
                <w:lang w:val="en-GB" w:eastAsia="en-GB"/>
              </w:rPr>
              <w:t>/</w:t>
            </w:r>
            <w:r w:rsidRPr="000B4E2C">
              <w:rPr>
                <w:sz w:val="22"/>
                <w:lang w:val="en-GB" w:eastAsia="en-GB"/>
              </w:rPr>
              <w:t>ward)</w:t>
            </w:r>
          </w:p>
        </w:tc>
        <w:tc>
          <w:tcPr>
            <w:tcW w:w="0" w:type="auto"/>
            <w:shd w:val="clear" w:color="auto" w:fill="auto"/>
            <w:vAlign w:val="center"/>
          </w:tcPr>
          <w:p w14:paraId="1FB20C10" w14:textId="77777777" w:rsidR="002F0133" w:rsidRPr="000B4E2C" w:rsidRDefault="002F0133" w:rsidP="008A7464">
            <w:pPr>
              <w:rPr>
                <w:sz w:val="22"/>
                <w:lang w:val="en-GB" w:eastAsia="en-GB"/>
              </w:rPr>
            </w:pPr>
            <w:r w:rsidRPr="000B4E2C">
              <w:rPr>
                <w:sz w:val="22"/>
                <w:u w:val="single"/>
                <w:lang w:val="en-GB" w:eastAsia="en-GB"/>
              </w:rPr>
              <w:t>Scenario E:</w:t>
            </w:r>
            <w:r w:rsidRPr="000B4E2C">
              <w:rPr>
                <w:sz w:val="22"/>
                <w:lang w:val="en-GB" w:eastAsia="en-GB"/>
              </w:rPr>
              <w:t xml:space="preserve"> as per Scenario D with additional AKI costs.</w:t>
            </w:r>
          </w:p>
        </w:tc>
      </w:tr>
      <w:tr w:rsidR="002F0133" w:rsidRPr="000B4E2C" w14:paraId="4D4EE300" w14:textId="77777777" w:rsidTr="000B4E2C">
        <w:trPr>
          <w:cantSplit/>
          <w:tblHeader/>
        </w:trPr>
        <w:tc>
          <w:tcPr>
            <w:tcW w:w="0" w:type="auto"/>
            <w:gridSpan w:val="5"/>
            <w:shd w:val="clear" w:color="auto" w:fill="auto"/>
            <w:vAlign w:val="center"/>
          </w:tcPr>
          <w:p w14:paraId="79EB2748" w14:textId="77777777" w:rsidR="002F0133" w:rsidRPr="000B4E2C" w:rsidRDefault="002F0133" w:rsidP="008A7464">
            <w:pPr>
              <w:rPr>
                <w:b/>
                <w:sz w:val="22"/>
                <w:lang w:val="en-GB" w:eastAsia="en-GB"/>
              </w:rPr>
            </w:pPr>
            <w:r w:rsidRPr="000B4E2C">
              <w:rPr>
                <w:b/>
                <w:sz w:val="22"/>
                <w:lang w:val="en-GB" w:eastAsia="en-GB"/>
              </w:rPr>
              <w:t>The following analyses are applied to the base case configuration (Scenario A above)</w:t>
            </w:r>
          </w:p>
        </w:tc>
      </w:tr>
      <w:tr w:rsidR="002F0133" w:rsidRPr="000B4E2C" w14:paraId="6EA05E33" w14:textId="77777777" w:rsidTr="000B4E2C">
        <w:trPr>
          <w:cantSplit/>
          <w:tblHeader/>
        </w:trPr>
        <w:tc>
          <w:tcPr>
            <w:tcW w:w="0" w:type="auto"/>
            <w:shd w:val="clear" w:color="auto" w:fill="auto"/>
            <w:vAlign w:val="center"/>
            <w:hideMark/>
          </w:tcPr>
          <w:p w14:paraId="66675BED" w14:textId="77777777" w:rsidR="002F0133" w:rsidRPr="000B4E2C" w:rsidRDefault="002F0133" w:rsidP="008A7464">
            <w:pPr>
              <w:rPr>
                <w:bCs/>
                <w:color w:val="000000"/>
                <w:sz w:val="22"/>
                <w:lang w:val="en-GB" w:eastAsia="en-GB"/>
              </w:rPr>
            </w:pPr>
            <w:r w:rsidRPr="000B4E2C">
              <w:rPr>
                <w:bCs/>
                <w:sz w:val="22"/>
                <w:lang w:val="en-GB" w:eastAsia="en-GB"/>
              </w:rPr>
              <w:lastRenderedPageBreak/>
              <w:t>Additional costs associated per day on RRT</w:t>
            </w:r>
          </w:p>
        </w:tc>
        <w:tc>
          <w:tcPr>
            <w:tcW w:w="0" w:type="auto"/>
            <w:shd w:val="clear" w:color="auto" w:fill="auto"/>
            <w:noWrap/>
            <w:vAlign w:val="center"/>
            <w:hideMark/>
          </w:tcPr>
          <w:p w14:paraId="263E86A4" w14:textId="77777777" w:rsidR="002F0133" w:rsidRPr="000B4E2C" w:rsidRDefault="002F0133" w:rsidP="008A7464">
            <w:pPr>
              <w:rPr>
                <w:color w:val="000000"/>
                <w:sz w:val="22"/>
                <w:lang w:val="en-GB" w:eastAsia="en-GB"/>
              </w:rPr>
            </w:pPr>
            <w:r w:rsidRPr="000B4E2C">
              <w:rPr>
                <w:sz w:val="22"/>
                <w:lang w:val="en-GB" w:eastAsia="en-GB"/>
              </w:rPr>
              <w:t>Yes</w:t>
            </w:r>
          </w:p>
        </w:tc>
        <w:tc>
          <w:tcPr>
            <w:tcW w:w="0" w:type="auto"/>
            <w:shd w:val="clear" w:color="auto" w:fill="auto"/>
            <w:vAlign w:val="center"/>
          </w:tcPr>
          <w:p w14:paraId="47BFF880" w14:textId="77777777" w:rsidR="002F0133" w:rsidRPr="000B4E2C" w:rsidRDefault="002F0133" w:rsidP="008A7464">
            <w:pPr>
              <w:rPr>
                <w:color w:val="000000"/>
                <w:sz w:val="22"/>
                <w:lang w:val="en-GB" w:eastAsia="en-GB"/>
              </w:rPr>
            </w:pPr>
            <w:r w:rsidRPr="000B4E2C">
              <w:rPr>
                <w:sz w:val="22"/>
                <w:lang w:val="en-GB" w:eastAsia="en-GB"/>
              </w:rPr>
              <w:t>Based on HRG costs</w:t>
            </w:r>
          </w:p>
        </w:tc>
        <w:tc>
          <w:tcPr>
            <w:tcW w:w="0" w:type="auto"/>
            <w:shd w:val="clear" w:color="auto" w:fill="auto"/>
            <w:vAlign w:val="center"/>
          </w:tcPr>
          <w:p w14:paraId="2AAD25CF" w14:textId="77777777" w:rsidR="002F0133" w:rsidRPr="000B4E2C" w:rsidRDefault="002F0133" w:rsidP="008A7464">
            <w:pPr>
              <w:rPr>
                <w:color w:val="000000"/>
                <w:sz w:val="22"/>
                <w:lang w:val="en-GB" w:eastAsia="en-GB"/>
              </w:rPr>
            </w:pPr>
            <w:r w:rsidRPr="000B4E2C">
              <w:rPr>
                <w:sz w:val="22"/>
                <w:lang w:val="en-GB" w:eastAsia="en-GB"/>
              </w:rPr>
              <w:t>No additional costs of RRT</w:t>
            </w:r>
          </w:p>
        </w:tc>
        <w:tc>
          <w:tcPr>
            <w:tcW w:w="0" w:type="auto"/>
            <w:shd w:val="clear" w:color="auto" w:fill="auto"/>
            <w:vAlign w:val="center"/>
          </w:tcPr>
          <w:p w14:paraId="4F9051D6" w14:textId="77777777" w:rsidR="002F0133" w:rsidRPr="000B4E2C" w:rsidRDefault="002F0133" w:rsidP="008A7464">
            <w:pPr>
              <w:rPr>
                <w:sz w:val="22"/>
                <w:u w:val="single"/>
                <w:lang w:val="en-GB" w:eastAsia="en-GB"/>
              </w:rPr>
            </w:pPr>
            <w:r w:rsidRPr="000B4E2C">
              <w:rPr>
                <w:sz w:val="22"/>
                <w:u w:val="single"/>
                <w:lang w:val="en-GB" w:eastAsia="en-GB"/>
              </w:rPr>
              <w:t>Scenario F</w:t>
            </w:r>
          </w:p>
        </w:tc>
      </w:tr>
      <w:tr w:rsidR="002F0133" w:rsidRPr="000B4E2C" w14:paraId="40B94520" w14:textId="77777777" w:rsidTr="000B4E2C">
        <w:trPr>
          <w:cantSplit/>
          <w:tblHeader/>
        </w:trPr>
        <w:tc>
          <w:tcPr>
            <w:tcW w:w="0" w:type="auto"/>
            <w:shd w:val="clear" w:color="auto" w:fill="auto"/>
            <w:vAlign w:val="center"/>
            <w:hideMark/>
          </w:tcPr>
          <w:p w14:paraId="194AB41B" w14:textId="77777777" w:rsidR="002F0133" w:rsidRPr="000B4E2C" w:rsidRDefault="002F0133" w:rsidP="008A7464">
            <w:pPr>
              <w:rPr>
                <w:bCs/>
                <w:color w:val="000000"/>
                <w:sz w:val="22"/>
                <w:lang w:val="en-GB" w:eastAsia="en-GB"/>
              </w:rPr>
            </w:pPr>
            <w:r w:rsidRPr="000B4E2C">
              <w:rPr>
                <w:bCs/>
                <w:sz w:val="22"/>
                <w:lang w:val="en-GB" w:eastAsia="en-GB"/>
              </w:rPr>
              <w:t xml:space="preserve">Impact of AKI on long term </w:t>
            </w:r>
            <w:r w:rsidRPr="000B4E2C">
              <w:rPr>
                <w:bCs/>
                <w:sz w:val="22"/>
                <w:highlight w:val="magenta"/>
                <w:lang w:val="en-GB" w:eastAsia="en-GB"/>
              </w:rPr>
              <w:t>follow up</w:t>
            </w:r>
            <w:r w:rsidRPr="000B4E2C">
              <w:rPr>
                <w:bCs/>
                <w:sz w:val="22"/>
                <w:lang w:val="en-GB" w:eastAsia="en-GB"/>
              </w:rPr>
              <w:t xml:space="preserve"> costs beyond 90 days</w:t>
            </w:r>
          </w:p>
        </w:tc>
        <w:tc>
          <w:tcPr>
            <w:tcW w:w="0" w:type="auto"/>
            <w:shd w:val="clear" w:color="auto" w:fill="auto"/>
            <w:noWrap/>
            <w:vAlign w:val="center"/>
            <w:hideMark/>
          </w:tcPr>
          <w:p w14:paraId="61EC20BC" w14:textId="088E171C" w:rsidR="002F0133" w:rsidRPr="000B4E2C" w:rsidRDefault="002F0133" w:rsidP="008A7464">
            <w:pPr>
              <w:rPr>
                <w:color w:val="000000"/>
                <w:sz w:val="22"/>
                <w:lang w:val="en-GB" w:eastAsia="en-GB"/>
              </w:rPr>
            </w:pPr>
            <w:r w:rsidRPr="000B4E2C">
              <w:rPr>
                <w:sz w:val="22"/>
                <w:lang w:val="en-GB" w:eastAsia="en-GB"/>
              </w:rPr>
              <w:t>None (ratio</w:t>
            </w:r>
            <w:r w:rsidR="000B4E2C" w:rsidRPr="000B4E2C">
              <w:rPr>
                <w:color w:val="00B0F0"/>
                <w:sz w:val="22"/>
                <w:lang w:val="en-GB" w:eastAsia="en-GB"/>
              </w:rPr>
              <w:t> = </w:t>
            </w:r>
            <w:r w:rsidRPr="000B4E2C">
              <w:rPr>
                <w:sz w:val="22"/>
                <w:lang w:val="en-GB" w:eastAsia="en-GB"/>
              </w:rPr>
              <w:t>1)</w:t>
            </w:r>
          </w:p>
        </w:tc>
        <w:tc>
          <w:tcPr>
            <w:tcW w:w="0" w:type="auto"/>
            <w:shd w:val="clear" w:color="auto" w:fill="auto"/>
            <w:vAlign w:val="center"/>
          </w:tcPr>
          <w:p w14:paraId="3AB0BD97" w14:textId="77777777" w:rsidR="002F0133" w:rsidRPr="000B4E2C" w:rsidRDefault="002F0133" w:rsidP="008A7464">
            <w:pPr>
              <w:rPr>
                <w:color w:val="000000"/>
                <w:sz w:val="22"/>
                <w:lang w:val="en-GB" w:eastAsia="en-GB"/>
              </w:rPr>
            </w:pPr>
            <w:r w:rsidRPr="000B4E2C">
              <w:rPr>
                <w:sz w:val="22"/>
                <w:lang w:val="en-GB" w:eastAsia="en-GB"/>
              </w:rPr>
              <w:t>Conservative assumption</w:t>
            </w:r>
          </w:p>
        </w:tc>
        <w:tc>
          <w:tcPr>
            <w:tcW w:w="0" w:type="auto"/>
            <w:shd w:val="clear" w:color="auto" w:fill="auto"/>
            <w:vAlign w:val="center"/>
          </w:tcPr>
          <w:p w14:paraId="296615E9" w14:textId="359D2059" w:rsidR="002F0133" w:rsidRPr="000B4E2C" w:rsidRDefault="002F0133" w:rsidP="008A7464">
            <w:pPr>
              <w:rPr>
                <w:color w:val="000000"/>
                <w:sz w:val="22"/>
                <w:lang w:val="en-GB" w:eastAsia="en-GB"/>
              </w:rPr>
            </w:pPr>
            <w:r w:rsidRPr="000B4E2C">
              <w:rPr>
                <w:sz w:val="22"/>
                <w:lang w:val="en-GB" w:eastAsia="en-GB"/>
              </w:rPr>
              <w:t>All long-term Markov model costs multiplied by 1.15 as per Hall</w:t>
            </w:r>
            <w:r w:rsidRPr="000B4E2C">
              <w:rPr>
                <w:i/>
                <w:color w:val="00B0F0"/>
                <w:sz w:val="22"/>
                <w:lang w:val="en-GB" w:eastAsia="en-GB"/>
              </w:rPr>
              <w:t xml:space="preserve"> et al</w:t>
            </w:r>
            <w:r w:rsidR="005B5026" w:rsidRPr="000B4E2C">
              <w:rPr>
                <w:noProof/>
                <w:sz w:val="22"/>
                <w:vertAlign w:val="superscript"/>
                <w:lang w:val="en-GB" w:eastAsia="en-GB"/>
              </w:rPr>
              <w:t>105</w:t>
            </w:r>
          </w:p>
        </w:tc>
        <w:tc>
          <w:tcPr>
            <w:tcW w:w="0" w:type="auto"/>
            <w:vMerge w:val="restart"/>
            <w:shd w:val="clear" w:color="auto" w:fill="auto"/>
            <w:vAlign w:val="center"/>
          </w:tcPr>
          <w:p w14:paraId="6BC845CC" w14:textId="77777777" w:rsidR="000B4E2C" w:rsidRPr="000B4E2C" w:rsidRDefault="002F0133" w:rsidP="008A7464">
            <w:pPr>
              <w:rPr>
                <w:sz w:val="22"/>
                <w:lang w:val="en-GB" w:eastAsia="en-GB"/>
              </w:rPr>
            </w:pPr>
            <w:r w:rsidRPr="000B4E2C">
              <w:rPr>
                <w:sz w:val="22"/>
                <w:u w:val="single"/>
                <w:lang w:val="en-GB" w:eastAsia="en-GB"/>
              </w:rPr>
              <w:t>Scenario G</w:t>
            </w:r>
          </w:p>
          <w:p w14:paraId="55EB58C4" w14:textId="039AFC28" w:rsidR="002F0133" w:rsidRPr="000B4E2C" w:rsidRDefault="002F0133" w:rsidP="008A7464">
            <w:pPr>
              <w:rPr>
                <w:sz w:val="22"/>
                <w:lang w:val="en-GB" w:eastAsia="en-GB"/>
              </w:rPr>
            </w:pPr>
            <w:r w:rsidRPr="000B4E2C">
              <w:rPr>
                <w:sz w:val="22"/>
                <w:lang w:val="en-GB" w:eastAsia="en-GB"/>
              </w:rPr>
              <w:t>Differential long term outpatient cost and mortality applied according to whether patient entered ICU or not.</w:t>
            </w:r>
          </w:p>
        </w:tc>
      </w:tr>
      <w:tr w:rsidR="002F0133" w:rsidRPr="000B4E2C" w14:paraId="0E31EBB8" w14:textId="77777777" w:rsidTr="000B4E2C">
        <w:trPr>
          <w:cantSplit/>
          <w:tblHeader/>
        </w:trPr>
        <w:tc>
          <w:tcPr>
            <w:tcW w:w="0" w:type="auto"/>
            <w:shd w:val="clear" w:color="auto" w:fill="auto"/>
            <w:vAlign w:val="center"/>
            <w:hideMark/>
          </w:tcPr>
          <w:p w14:paraId="1E9DA203" w14:textId="77777777" w:rsidR="002F0133" w:rsidRPr="000B4E2C" w:rsidRDefault="002F0133" w:rsidP="008A7464">
            <w:pPr>
              <w:rPr>
                <w:bCs/>
                <w:color w:val="000000"/>
                <w:sz w:val="22"/>
                <w:lang w:val="en-GB" w:eastAsia="en-GB"/>
              </w:rPr>
            </w:pPr>
            <w:r w:rsidRPr="000B4E2C">
              <w:rPr>
                <w:bCs/>
                <w:sz w:val="22"/>
                <w:lang w:val="en-GB" w:eastAsia="en-GB"/>
              </w:rPr>
              <w:t>Long term outpatient follow-up costs, up to 5 years</w:t>
            </w:r>
          </w:p>
        </w:tc>
        <w:tc>
          <w:tcPr>
            <w:tcW w:w="0" w:type="auto"/>
            <w:shd w:val="clear" w:color="auto" w:fill="auto"/>
            <w:noWrap/>
            <w:vAlign w:val="center"/>
            <w:hideMark/>
          </w:tcPr>
          <w:p w14:paraId="205D0836" w14:textId="77777777" w:rsidR="002F0133" w:rsidRPr="000B4E2C" w:rsidRDefault="002F0133" w:rsidP="008A7464">
            <w:pPr>
              <w:rPr>
                <w:color w:val="000000"/>
                <w:sz w:val="22"/>
                <w:lang w:val="en-GB" w:eastAsia="en-GB"/>
              </w:rPr>
            </w:pPr>
            <w:r w:rsidRPr="000B4E2C">
              <w:rPr>
                <w:sz w:val="22"/>
                <w:lang w:val="en-GB" w:eastAsia="en-GB"/>
              </w:rPr>
              <w:t>Average of hospitalised and ICU patients</w:t>
            </w:r>
          </w:p>
        </w:tc>
        <w:tc>
          <w:tcPr>
            <w:tcW w:w="0" w:type="auto"/>
            <w:shd w:val="clear" w:color="auto" w:fill="auto"/>
            <w:vAlign w:val="center"/>
          </w:tcPr>
          <w:p w14:paraId="2C10BF28" w14:textId="71651ADC" w:rsidR="002F0133" w:rsidRPr="000B4E2C" w:rsidRDefault="002F0133" w:rsidP="008A7464">
            <w:pPr>
              <w:rPr>
                <w:color w:val="000000"/>
                <w:sz w:val="22"/>
                <w:lang w:val="en-GB" w:eastAsia="en-GB"/>
              </w:rPr>
            </w:pPr>
            <w:r w:rsidRPr="000B4E2C">
              <w:rPr>
                <w:sz w:val="22"/>
                <w:lang w:val="en-GB" w:eastAsia="en-GB"/>
              </w:rPr>
              <w:t>Based on average of two cohorts from Lone</w:t>
            </w:r>
            <w:r w:rsidRPr="000B4E2C">
              <w:rPr>
                <w:i/>
                <w:color w:val="00B0F0"/>
                <w:sz w:val="22"/>
                <w:lang w:val="en-GB" w:eastAsia="en-GB"/>
              </w:rPr>
              <w:t xml:space="preserve"> et al</w:t>
            </w:r>
            <w:r w:rsidR="00280A97" w:rsidRPr="000B4E2C">
              <w:rPr>
                <w:noProof/>
                <w:sz w:val="22"/>
                <w:vertAlign w:val="superscript"/>
                <w:lang w:val="en-GB" w:eastAsia="en-GB"/>
              </w:rPr>
              <w:t>116</w:t>
            </w:r>
          </w:p>
        </w:tc>
        <w:tc>
          <w:tcPr>
            <w:tcW w:w="0" w:type="auto"/>
            <w:shd w:val="clear" w:color="auto" w:fill="auto"/>
            <w:vAlign w:val="center"/>
          </w:tcPr>
          <w:p w14:paraId="19823C92" w14:textId="1A55C522" w:rsidR="002F0133" w:rsidRPr="000B4E2C" w:rsidRDefault="002F0133" w:rsidP="008A7464">
            <w:pPr>
              <w:rPr>
                <w:color w:val="000000"/>
                <w:sz w:val="22"/>
                <w:lang w:val="en-GB" w:eastAsia="en-GB"/>
              </w:rPr>
            </w:pPr>
            <w:r w:rsidRPr="000B4E2C">
              <w:rPr>
                <w:sz w:val="22"/>
                <w:lang w:val="en-GB" w:eastAsia="en-GB"/>
              </w:rPr>
              <w:t>Differential cost streams applied for 5 years according to whether cohort admitted to ICU in first 90 days, based on Lone</w:t>
            </w:r>
            <w:r w:rsidRPr="000B4E2C">
              <w:rPr>
                <w:i/>
                <w:color w:val="00B0F0"/>
                <w:sz w:val="22"/>
                <w:lang w:val="en-GB" w:eastAsia="en-GB"/>
              </w:rPr>
              <w:t xml:space="preserve"> et al</w:t>
            </w:r>
            <w:r w:rsidR="00280A97" w:rsidRPr="000B4E2C">
              <w:rPr>
                <w:noProof/>
                <w:sz w:val="22"/>
                <w:vertAlign w:val="superscript"/>
                <w:lang w:val="en-GB" w:eastAsia="en-GB"/>
              </w:rPr>
              <w:t>116</w:t>
            </w:r>
          </w:p>
        </w:tc>
        <w:tc>
          <w:tcPr>
            <w:tcW w:w="0" w:type="auto"/>
            <w:vMerge/>
            <w:shd w:val="clear" w:color="auto" w:fill="auto"/>
            <w:vAlign w:val="center"/>
          </w:tcPr>
          <w:p w14:paraId="345A7B1E" w14:textId="77777777" w:rsidR="002F0133" w:rsidRPr="000B4E2C" w:rsidRDefault="002F0133" w:rsidP="008A7464">
            <w:pPr>
              <w:rPr>
                <w:sz w:val="22"/>
                <w:lang w:val="en-GB" w:eastAsia="en-GB"/>
              </w:rPr>
            </w:pPr>
          </w:p>
        </w:tc>
      </w:tr>
      <w:tr w:rsidR="002F0133" w:rsidRPr="000B4E2C" w14:paraId="05DF9FF1" w14:textId="77777777" w:rsidTr="000B4E2C">
        <w:trPr>
          <w:cantSplit/>
          <w:tblHeader/>
        </w:trPr>
        <w:tc>
          <w:tcPr>
            <w:tcW w:w="0" w:type="auto"/>
            <w:shd w:val="clear" w:color="auto" w:fill="auto"/>
            <w:vAlign w:val="center"/>
            <w:hideMark/>
          </w:tcPr>
          <w:p w14:paraId="2C2C9FB4" w14:textId="77777777" w:rsidR="002F0133" w:rsidRPr="000B4E2C" w:rsidRDefault="002F0133" w:rsidP="008A7464">
            <w:pPr>
              <w:rPr>
                <w:bCs/>
                <w:color w:val="000000"/>
                <w:sz w:val="22"/>
                <w:lang w:val="en-GB" w:eastAsia="en-GB"/>
              </w:rPr>
            </w:pPr>
            <w:r w:rsidRPr="000B4E2C">
              <w:rPr>
                <w:bCs/>
                <w:sz w:val="22"/>
                <w:lang w:val="en-GB" w:eastAsia="en-GB"/>
              </w:rPr>
              <w:t>Long term outpatient follow-up costs, after 5 years</w:t>
            </w:r>
          </w:p>
        </w:tc>
        <w:tc>
          <w:tcPr>
            <w:tcW w:w="0" w:type="auto"/>
            <w:shd w:val="clear" w:color="auto" w:fill="auto"/>
            <w:noWrap/>
            <w:vAlign w:val="center"/>
            <w:hideMark/>
          </w:tcPr>
          <w:p w14:paraId="46F77629" w14:textId="77777777" w:rsidR="002F0133" w:rsidRPr="000B4E2C" w:rsidRDefault="002F0133" w:rsidP="008A7464">
            <w:pPr>
              <w:rPr>
                <w:color w:val="000000"/>
                <w:sz w:val="22"/>
                <w:lang w:val="en-GB" w:eastAsia="en-GB"/>
              </w:rPr>
            </w:pPr>
            <w:r w:rsidRPr="000B4E2C">
              <w:rPr>
                <w:sz w:val="22"/>
                <w:lang w:val="en-GB" w:eastAsia="en-GB"/>
              </w:rPr>
              <w:t>No additional costs applied</w:t>
            </w:r>
          </w:p>
        </w:tc>
        <w:tc>
          <w:tcPr>
            <w:tcW w:w="0" w:type="auto"/>
            <w:shd w:val="clear" w:color="auto" w:fill="auto"/>
            <w:vAlign w:val="center"/>
          </w:tcPr>
          <w:p w14:paraId="1E7CDE76" w14:textId="77777777" w:rsidR="002F0133" w:rsidRPr="000B4E2C" w:rsidRDefault="002F0133" w:rsidP="008A7464">
            <w:pPr>
              <w:rPr>
                <w:color w:val="000000"/>
                <w:sz w:val="22"/>
                <w:lang w:val="en-GB" w:eastAsia="en-GB"/>
              </w:rPr>
            </w:pPr>
            <w:r w:rsidRPr="000B4E2C">
              <w:rPr>
                <w:sz w:val="22"/>
                <w:lang w:val="en-GB" w:eastAsia="en-GB"/>
              </w:rPr>
              <w:t>Assumption that patients surviving post icu to 5 years will incur no further excess costs</w:t>
            </w:r>
          </w:p>
        </w:tc>
        <w:tc>
          <w:tcPr>
            <w:tcW w:w="0" w:type="auto"/>
            <w:shd w:val="clear" w:color="auto" w:fill="auto"/>
            <w:vAlign w:val="center"/>
          </w:tcPr>
          <w:p w14:paraId="376F06FF" w14:textId="7BA3DE77" w:rsidR="002F0133" w:rsidRPr="000B4E2C" w:rsidRDefault="002F0133" w:rsidP="008A7464">
            <w:pPr>
              <w:rPr>
                <w:color w:val="000000"/>
                <w:sz w:val="22"/>
                <w:lang w:val="en-GB" w:eastAsia="en-GB"/>
              </w:rPr>
            </w:pPr>
            <w:r w:rsidRPr="000B4E2C">
              <w:rPr>
                <w:sz w:val="22"/>
                <w:lang w:val="en-GB" w:eastAsia="en-GB"/>
              </w:rPr>
              <w:t>Additional annual costs applied for full life-time based on extrapolation of Lone</w:t>
            </w:r>
            <w:r w:rsidRPr="000B4E2C">
              <w:rPr>
                <w:i/>
                <w:color w:val="00B0F0"/>
                <w:sz w:val="22"/>
                <w:lang w:val="en-GB" w:eastAsia="en-GB"/>
              </w:rPr>
              <w:t xml:space="preserve"> et al</w:t>
            </w:r>
            <w:r w:rsidR="00280A97" w:rsidRPr="000B4E2C">
              <w:rPr>
                <w:noProof/>
                <w:sz w:val="22"/>
                <w:vertAlign w:val="superscript"/>
                <w:lang w:val="en-GB" w:eastAsia="en-GB"/>
              </w:rPr>
              <w:t>116</w:t>
            </w:r>
            <w:r w:rsidR="007176E6" w:rsidRPr="000B4E2C">
              <w:rPr>
                <w:sz w:val="22"/>
                <w:lang w:val="en-GB" w:eastAsia="en-GB"/>
              </w:rPr>
              <w:t xml:space="preserve"> </w:t>
            </w:r>
            <w:r w:rsidRPr="000B4E2C">
              <w:rPr>
                <w:sz w:val="22"/>
                <w:highlight w:val="magenta"/>
                <w:lang w:val="en-GB" w:eastAsia="en-GB"/>
              </w:rPr>
              <w:t>data</w:t>
            </w:r>
            <w:r w:rsidRPr="000B4E2C">
              <w:rPr>
                <w:sz w:val="22"/>
                <w:lang w:val="en-GB" w:eastAsia="en-GB"/>
              </w:rPr>
              <w:t>, applied separately to those who had ICU</w:t>
            </w:r>
            <w:r w:rsidR="000B4E2C" w:rsidRPr="000B4E2C">
              <w:rPr>
                <w:color w:val="00B0F0"/>
                <w:sz w:val="22"/>
                <w:lang w:val="en-GB" w:eastAsia="en-GB"/>
              </w:rPr>
              <w:t>/</w:t>
            </w:r>
            <w:r w:rsidRPr="000B4E2C">
              <w:rPr>
                <w:sz w:val="22"/>
                <w:lang w:val="en-GB" w:eastAsia="en-GB"/>
              </w:rPr>
              <w:t>no ICU admission at index hospitalisation.</w:t>
            </w:r>
          </w:p>
        </w:tc>
        <w:tc>
          <w:tcPr>
            <w:tcW w:w="0" w:type="auto"/>
            <w:vMerge/>
            <w:shd w:val="clear" w:color="auto" w:fill="auto"/>
            <w:vAlign w:val="center"/>
          </w:tcPr>
          <w:p w14:paraId="396C2BF8" w14:textId="77777777" w:rsidR="002F0133" w:rsidRPr="000B4E2C" w:rsidRDefault="002F0133" w:rsidP="008A7464">
            <w:pPr>
              <w:rPr>
                <w:sz w:val="22"/>
                <w:lang w:val="en-GB" w:eastAsia="en-GB"/>
              </w:rPr>
            </w:pPr>
          </w:p>
        </w:tc>
      </w:tr>
      <w:tr w:rsidR="002F0133" w:rsidRPr="000B4E2C" w14:paraId="55456B9C" w14:textId="77777777" w:rsidTr="000B4E2C">
        <w:trPr>
          <w:cantSplit/>
          <w:tblHeader/>
        </w:trPr>
        <w:tc>
          <w:tcPr>
            <w:tcW w:w="0" w:type="auto"/>
            <w:shd w:val="clear" w:color="auto" w:fill="auto"/>
            <w:vAlign w:val="center"/>
            <w:hideMark/>
          </w:tcPr>
          <w:p w14:paraId="6F0781AB" w14:textId="77777777" w:rsidR="002F0133" w:rsidRPr="000B4E2C" w:rsidRDefault="002F0133" w:rsidP="008A7464">
            <w:pPr>
              <w:rPr>
                <w:bCs/>
                <w:color w:val="000000"/>
                <w:sz w:val="22"/>
                <w:lang w:val="en-GB" w:eastAsia="en-GB"/>
              </w:rPr>
            </w:pPr>
            <w:r w:rsidRPr="000B4E2C">
              <w:rPr>
                <w:bCs/>
                <w:sz w:val="22"/>
                <w:lang w:val="en-GB" w:eastAsia="en-GB"/>
              </w:rPr>
              <w:t>Impact of ICU admission on Long term mortality</w:t>
            </w:r>
          </w:p>
        </w:tc>
        <w:tc>
          <w:tcPr>
            <w:tcW w:w="0" w:type="auto"/>
            <w:shd w:val="clear" w:color="auto" w:fill="auto"/>
            <w:noWrap/>
            <w:vAlign w:val="center"/>
            <w:hideMark/>
          </w:tcPr>
          <w:p w14:paraId="0E0661E7" w14:textId="77777777" w:rsidR="002F0133" w:rsidRPr="000B4E2C" w:rsidRDefault="002F0133" w:rsidP="008A7464">
            <w:pPr>
              <w:rPr>
                <w:color w:val="000000"/>
                <w:sz w:val="22"/>
                <w:highlight w:val="yellow"/>
                <w:lang w:val="en-GB" w:eastAsia="en-GB"/>
              </w:rPr>
            </w:pPr>
            <w:r w:rsidRPr="000B4E2C">
              <w:rPr>
                <w:sz w:val="22"/>
                <w:lang w:val="en-GB" w:eastAsia="en-GB"/>
              </w:rPr>
              <w:t>Average of hospitalised and ICU patients</w:t>
            </w:r>
          </w:p>
        </w:tc>
        <w:tc>
          <w:tcPr>
            <w:tcW w:w="0" w:type="auto"/>
            <w:shd w:val="clear" w:color="auto" w:fill="auto"/>
            <w:vAlign w:val="center"/>
          </w:tcPr>
          <w:p w14:paraId="25E69A3C" w14:textId="623B2B2E" w:rsidR="002F0133" w:rsidRPr="000B4E2C" w:rsidRDefault="002F0133" w:rsidP="008A7464">
            <w:pPr>
              <w:rPr>
                <w:color w:val="000000"/>
                <w:sz w:val="22"/>
                <w:highlight w:val="yellow"/>
                <w:lang w:val="en-GB" w:eastAsia="en-GB"/>
              </w:rPr>
            </w:pPr>
            <w:r w:rsidRPr="000B4E2C">
              <w:rPr>
                <w:sz w:val="22"/>
                <w:lang w:val="en-GB" w:eastAsia="en-GB"/>
              </w:rPr>
              <w:t>Lone</w:t>
            </w:r>
            <w:r w:rsidRPr="000B4E2C">
              <w:rPr>
                <w:i/>
                <w:color w:val="00B0F0"/>
                <w:sz w:val="22"/>
                <w:lang w:val="en-GB" w:eastAsia="en-GB"/>
              </w:rPr>
              <w:t xml:space="preserve"> et al</w:t>
            </w:r>
            <w:r w:rsidR="00280A97" w:rsidRPr="000B4E2C">
              <w:rPr>
                <w:noProof/>
                <w:sz w:val="22"/>
                <w:vertAlign w:val="superscript"/>
                <w:lang w:val="en-GB" w:eastAsia="en-GB"/>
              </w:rPr>
              <w:t>116</w:t>
            </w:r>
          </w:p>
        </w:tc>
        <w:tc>
          <w:tcPr>
            <w:tcW w:w="0" w:type="auto"/>
            <w:shd w:val="clear" w:color="auto" w:fill="auto"/>
            <w:vAlign w:val="center"/>
          </w:tcPr>
          <w:p w14:paraId="1AB7B5EF" w14:textId="77777777" w:rsidR="002F0133" w:rsidRPr="000B4E2C" w:rsidRDefault="002F0133" w:rsidP="008A7464">
            <w:pPr>
              <w:rPr>
                <w:color w:val="000000"/>
                <w:sz w:val="22"/>
                <w:lang w:val="en-GB" w:eastAsia="en-GB"/>
              </w:rPr>
            </w:pPr>
            <w:r w:rsidRPr="000B4E2C">
              <w:rPr>
                <w:sz w:val="22"/>
                <w:lang w:val="en-GB" w:eastAsia="en-GB"/>
              </w:rPr>
              <w:t>Differential mortality applied according to whether cohort admitted to ICU</w:t>
            </w:r>
          </w:p>
        </w:tc>
        <w:tc>
          <w:tcPr>
            <w:tcW w:w="0" w:type="auto"/>
            <w:vMerge/>
            <w:shd w:val="clear" w:color="auto" w:fill="auto"/>
            <w:vAlign w:val="center"/>
          </w:tcPr>
          <w:p w14:paraId="14CB45E7" w14:textId="77777777" w:rsidR="002F0133" w:rsidRPr="000B4E2C" w:rsidRDefault="002F0133" w:rsidP="008A7464">
            <w:pPr>
              <w:rPr>
                <w:sz w:val="22"/>
                <w:lang w:val="en-GB" w:eastAsia="en-GB"/>
              </w:rPr>
            </w:pPr>
          </w:p>
        </w:tc>
      </w:tr>
      <w:tr w:rsidR="002F0133" w:rsidRPr="000B4E2C" w14:paraId="1CFD071C" w14:textId="77777777" w:rsidTr="000B4E2C">
        <w:trPr>
          <w:cantSplit/>
          <w:tblHeader/>
        </w:trPr>
        <w:tc>
          <w:tcPr>
            <w:tcW w:w="0" w:type="auto"/>
            <w:shd w:val="clear" w:color="auto" w:fill="auto"/>
            <w:vAlign w:val="center"/>
            <w:hideMark/>
          </w:tcPr>
          <w:p w14:paraId="633E1E74" w14:textId="77777777" w:rsidR="002F0133" w:rsidRPr="000B4E2C" w:rsidRDefault="002F0133" w:rsidP="008A7464">
            <w:pPr>
              <w:rPr>
                <w:bCs/>
                <w:color w:val="000000"/>
                <w:sz w:val="22"/>
                <w:lang w:val="en-GB" w:eastAsia="en-GB"/>
              </w:rPr>
            </w:pPr>
            <w:r w:rsidRPr="000B4E2C">
              <w:rPr>
                <w:bCs/>
                <w:sz w:val="22"/>
                <w:lang w:val="en-GB" w:eastAsia="en-GB"/>
              </w:rPr>
              <w:t>Duration by which AKI event can impact on excess CKD risk</w:t>
            </w:r>
          </w:p>
        </w:tc>
        <w:tc>
          <w:tcPr>
            <w:tcW w:w="0" w:type="auto"/>
            <w:shd w:val="clear" w:color="auto" w:fill="auto"/>
            <w:noWrap/>
            <w:vAlign w:val="center"/>
            <w:hideMark/>
          </w:tcPr>
          <w:p w14:paraId="61233FB9" w14:textId="77777777" w:rsidR="002F0133" w:rsidRPr="000B4E2C" w:rsidRDefault="002F0133" w:rsidP="008A7464">
            <w:pPr>
              <w:rPr>
                <w:color w:val="000000"/>
                <w:sz w:val="22"/>
                <w:lang w:val="en-GB" w:eastAsia="en-GB"/>
              </w:rPr>
            </w:pPr>
            <w:r w:rsidRPr="000B4E2C">
              <w:rPr>
                <w:sz w:val="22"/>
                <w:lang w:val="en-GB" w:eastAsia="en-GB"/>
              </w:rPr>
              <w:t>90 days + 1 year</w:t>
            </w:r>
          </w:p>
        </w:tc>
        <w:tc>
          <w:tcPr>
            <w:tcW w:w="0" w:type="auto"/>
            <w:shd w:val="clear" w:color="auto" w:fill="auto"/>
            <w:vAlign w:val="center"/>
          </w:tcPr>
          <w:p w14:paraId="20509884" w14:textId="77777777" w:rsidR="002F0133" w:rsidRPr="000B4E2C" w:rsidRDefault="002F0133" w:rsidP="008A7464">
            <w:pPr>
              <w:rPr>
                <w:color w:val="000000"/>
                <w:sz w:val="22"/>
                <w:lang w:val="en-GB" w:eastAsia="en-GB"/>
              </w:rPr>
            </w:pPr>
            <w:r w:rsidRPr="000B4E2C">
              <w:rPr>
                <w:sz w:val="22"/>
                <w:lang w:val="en-GB" w:eastAsia="en-GB"/>
              </w:rPr>
              <w:t>Assumption</w:t>
            </w:r>
          </w:p>
        </w:tc>
        <w:tc>
          <w:tcPr>
            <w:tcW w:w="0" w:type="auto"/>
            <w:shd w:val="clear" w:color="auto" w:fill="auto"/>
            <w:vAlign w:val="center"/>
          </w:tcPr>
          <w:p w14:paraId="4EF7C08A" w14:textId="77777777" w:rsidR="002F0133" w:rsidRPr="000B4E2C" w:rsidRDefault="002F0133" w:rsidP="008A7464">
            <w:pPr>
              <w:rPr>
                <w:color w:val="000000"/>
                <w:sz w:val="22"/>
                <w:lang w:val="en-GB" w:eastAsia="en-GB"/>
              </w:rPr>
            </w:pPr>
            <w:r w:rsidRPr="000B4E2C">
              <w:rPr>
                <w:sz w:val="22"/>
                <w:lang w:val="en-GB" w:eastAsia="en-GB"/>
              </w:rPr>
              <w:t>Assume additional risk of CKD development over full life-time horizon</w:t>
            </w:r>
          </w:p>
        </w:tc>
        <w:tc>
          <w:tcPr>
            <w:tcW w:w="0" w:type="auto"/>
            <w:shd w:val="clear" w:color="auto" w:fill="auto"/>
            <w:vAlign w:val="center"/>
          </w:tcPr>
          <w:p w14:paraId="11A25E01" w14:textId="77777777" w:rsidR="002F0133" w:rsidRPr="000B4E2C" w:rsidRDefault="002F0133" w:rsidP="008A7464">
            <w:pPr>
              <w:rPr>
                <w:sz w:val="22"/>
                <w:lang w:val="en-GB" w:eastAsia="en-GB"/>
              </w:rPr>
            </w:pPr>
            <w:r w:rsidRPr="000B4E2C">
              <w:rPr>
                <w:sz w:val="22"/>
                <w:u w:val="single"/>
                <w:lang w:val="en-GB" w:eastAsia="en-GB"/>
              </w:rPr>
              <w:t>Scenario H</w:t>
            </w:r>
          </w:p>
        </w:tc>
      </w:tr>
      <w:tr w:rsidR="002F0133" w:rsidRPr="000B4E2C" w14:paraId="19150896" w14:textId="77777777" w:rsidTr="000B4E2C">
        <w:trPr>
          <w:cantSplit/>
          <w:tblHeader/>
        </w:trPr>
        <w:tc>
          <w:tcPr>
            <w:tcW w:w="0" w:type="auto"/>
            <w:shd w:val="clear" w:color="auto" w:fill="auto"/>
            <w:vAlign w:val="center"/>
            <w:hideMark/>
          </w:tcPr>
          <w:p w14:paraId="3206803C" w14:textId="77777777" w:rsidR="002F0133" w:rsidRPr="000B4E2C" w:rsidRDefault="002F0133" w:rsidP="008A7464">
            <w:pPr>
              <w:rPr>
                <w:bCs/>
                <w:color w:val="000000"/>
                <w:sz w:val="22"/>
                <w:lang w:val="en-GB" w:eastAsia="en-GB"/>
              </w:rPr>
            </w:pPr>
            <w:r w:rsidRPr="000B4E2C">
              <w:rPr>
                <w:bCs/>
                <w:sz w:val="22"/>
                <w:lang w:val="en-GB" w:eastAsia="en-GB"/>
              </w:rPr>
              <w:t>Discount rate (Cost)</w:t>
            </w:r>
          </w:p>
        </w:tc>
        <w:tc>
          <w:tcPr>
            <w:tcW w:w="0" w:type="auto"/>
            <w:shd w:val="clear" w:color="auto" w:fill="auto"/>
            <w:noWrap/>
            <w:vAlign w:val="center"/>
            <w:hideMark/>
          </w:tcPr>
          <w:p w14:paraId="3E724714" w14:textId="77777777" w:rsidR="002F0133" w:rsidRPr="000B4E2C" w:rsidRDefault="002F0133" w:rsidP="008A7464">
            <w:pPr>
              <w:rPr>
                <w:color w:val="000000"/>
                <w:sz w:val="22"/>
                <w:lang w:val="en-GB" w:eastAsia="en-GB"/>
              </w:rPr>
            </w:pPr>
            <w:r w:rsidRPr="000B4E2C">
              <w:rPr>
                <w:sz w:val="22"/>
                <w:lang w:val="en-GB" w:eastAsia="en-GB"/>
              </w:rPr>
              <w:t>3.5%</w:t>
            </w:r>
          </w:p>
        </w:tc>
        <w:tc>
          <w:tcPr>
            <w:tcW w:w="0" w:type="auto"/>
            <w:shd w:val="clear" w:color="auto" w:fill="auto"/>
            <w:vAlign w:val="center"/>
          </w:tcPr>
          <w:p w14:paraId="411D9678" w14:textId="77777777" w:rsidR="002F0133" w:rsidRPr="000B4E2C" w:rsidRDefault="002F0133" w:rsidP="008A7464">
            <w:pPr>
              <w:rPr>
                <w:color w:val="000000"/>
                <w:sz w:val="22"/>
                <w:lang w:val="en-GB" w:eastAsia="en-GB"/>
              </w:rPr>
            </w:pPr>
            <w:r w:rsidRPr="000B4E2C">
              <w:rPr>
                <w:sz w:val="22"/>
                <w:lang w:val="en-GB" w:eastAsia="en-GB"/>
              </w:rPr>
              <w:t>NICE guidelines</w:t>
            </w:r>
          </w:p>
        </w:tc>
        <w:tc>
          <w:tcPr>
            <w:tcW w:w="0" w:type="auto"/>
            <w:shd w:val="clear" w:color="auto" w:fill="auto"/>
            <w:vAlign w:val="center"/>
          </w:tcPr>
          <w:p w14:paraId="27224905" w14:textId="0C297845" w:rsidR="002F0133" w:rsidRPr="000B4E2C" w:rsidRDefault="002F0133" w:rsidP="008A7464">
            <w:pPr>
              <w:rPr>
                <w:color w:val="000000"/>
                <w:sz w:val="22"/>
                <w:lang w:val="en-GB" w:eastAsia="en-GB"/>
              </w:rPr>
            </w:pPr>
            <w:r w:rsidRPr="000B4E2C">
              <w:rPr>
                <w:sz w:val="22"/>
                <w:lang w:val="en-GB" w:eastAsia="en-GB"/>
              </w:rPr>
              <w:t>Varied 0%</w:t>
            </w:r>
            <w:r w:rsidR="000B4E2C" w:rsidRPr="000B4E2C">
              <w:rPr>
                <w:color w:val="00B0F0"/>
                <w:sz w:val="22"/>
                <w:lang w:val="en-GB" w:eastAsia="en-GB"/>
              </w:rPr>
              <w:t xml:space="preserve"> – </w:t>
            </w:r>
            <w:r w:rsidRPr="000B4E2C">
              <w:rPr>
                <w:sz w:val="22"/>
                <w:lang w:val="en-GB" w:eastAsia="en-GB"/>
              </w:rPr>
              <w:t>6%</w:t>
            </w:r>
          </w:p>
        </w:tc>
        <w:tc>
          <w:tcPr>
            <w:tcW w:w="0" w:type="auto"/>
            <w:vMerge w:val="restart"/>
            <w:shd w:val="clear" w:color="auto" w:fill="auto"/>
            <w:vAlign w:val="center"/>
          </w:tcPr>
          <w:p w14:paraId="69580CF8" w14:textId="77777777" w:rsidR="002F0133" w:rsidRPr="000B4E2C" w:rsidRDefault="002F0133" w:rsidP="008A7464">
            <w:pPr>
              <w:rPr>
                <w:sz w:val="22"/>
                <w:lang w:val="en-GB" w:eastAsia="en-GB"/>
              </w:rPr>
            </w:pPr>
            <w:r w:rsidRPr="000B4E2C">
              <w:rPr>
                <w:sz w:val="22"/>
                <w:u w:val="single"/>
                <w:lang w:val="en-GB" w:eastAsia="en-GB"/>
              </w:rPr>
              <w:t>Scenario I</w:t>
            </w:r>
            <w:r w:rsidRPr="000B4E2C">
              <w:rPr>
                <w:sz w:val="22"/>
                <w:lang w:val="en-GB" w:eastAsia="en-GB"/>
              </w:rPr>
              <w:t xml:space="preserve"> (0%)</w:t>
            </w:r>
          </w:p>
          <w:p w14:paraId="71F68339" w14:textId="77777777" w:rsidR="002F0133" w:rsidRPr="000B4E2C" w:rsidRDefault="002F0133" w:rsidP="008A7464">
            <w:pPr>
              <w:rPr>
                <w:sz w:val="22"/>
                <w:lang w:val="en-GB" w:eastAsia="en-GB"/>
              </w:rPr>
            </w:pPr>
            <w:r w:rsidRPr="000B4E2C">
              <w:rPr>
                <w:sz w:val="22"/>
                <w:u w:val="single"/>
                <w:lang w:val="en-GB" w:eastAsia="en-GB"/>
              </w:rPr>
              <w:lastRenderedPageBreak/>
              <w:t>Scenario J</w:t>
            </w:r>
            <w:r w:rsidRPr="000B4E2C">
              <w:rPr>
                <w:sz w:val="22"/>
                <w:lang w:val="en-GB" w:eastAsia="en-GB"/>
              </w:rPr>
              <w:t xml:space="preserve"> (6%)</w:t>
            </w:r>
          </w:p>
        </w:tc>
      </w:tr>
      <w:tr w:rsidR="002F0133" w:rsidRPr="000B4E2C" w14:paraId="5B7E36B3" w14:textId="77777777" w:rsidTr="000B4E2C">
        <w:trPr>
          <w:cantSplit/>
          <w:tblHeader/>
        </w:trPr>
        <w:tc>
          <w:tcPr>
            <w:tcW w:w="0" w:type="auto"/>
            <w:shd w:val="clear" w:color="auto" w:fill="auto"/>
            <w:vAlign w:val="center"/>
            <w:hideMark/>
          </w:tcPr>
          <w:p w14:paraId="56F7251A" w14:textId="77777777" w:rsidR="002F0133" w:rsidRPr="000B4E2C" w:rsidRDefault="002F0133" w:rsidP="008A7464">
            <w:pPr>
              <w:rPr>
                <w:bCs/>
                <w:color w:val="000000"/>
                <w:sz w:val="22"/>
                <w:lang w:val="en-GB" w:eastAsia="en-GB"/>
              </w:rPr>
            </w:pPr>
            <w:r w:rsidRPr="000B4E2C">
              <w:rPr>
                <w:bCs/>
                <w:sz w:val="22"/>
                <w:lang w:val="en-GB" w:eastAsia="en-GB"/>
              </w:rPr>
              <w:lastRenderedPageBreak/>
              <w:t>Discount rate (QALY)</w:t>
            </w:r>
          </w:p>
        </w:tc>
        <w:tc>
          <w:tcPr>
            <w:tcW w:w="0" w:type="auto"/>
            <w:shd w:val="clear" w:color="auto" w:fill="auto"/>
            <w:noWrap/>
            <w:vAlign w:val="center"/>
            <w:hideMark/>
          </w:tcPr>
          <w:p w14:paraId="625742A4" w14:textId="77777777" w:rsidR="002F0133" w:rsidRPr="000B4E2C" w:rsidRDefault="002F0133" w:rsidP="008A7464">
            <w:pPr>
              <w:rPr>
                <w:color w:val="000000"/>
                <w:sz w:val="22"/>
                <w:lang w:val="en-GB" w:eastAsia="en-GB"/>
              </w:rPr>
            </w:pPr>
            <w:r w:rsidRPr="000B4E2C">
              <w:rPr>
                <w:sz w:val="22"/>
                <w:lang w:val="en-GB" w:eastAsia="en-GB"/>
              </w:rPr>
              <w:t>3.5%</w:t>
            </w:r>
          </w:p>
        </w:tc>
        <w:tc>
          <w:tcPr>
            <w:tcW w:w="0" w:type="auto"/>
            <w:shd w:val="clear" w:color="auto" w:fill="auto"/>
            <w:vAlign w:val="center"/>
          </w:tcPr>
          <w:p w14:paraId="48A47282" w14:textId="77777777" w:rsidR="002F0133" w:rsidRPr="000B4E2C" w:rsidRDefault="002F0133" w:rsidP="008A7464">
            <w:pPr>
              <w:rPr>
                <w:color w:val="000000"/>
                <w:sz w:val="22"/>
                <w:lang w:val="en-GB" w:eastAsia="en-GB"/>
              </w:rPr>
            </w:pPr>
            <w:r w:rsidRPr="000B4E2C">
              <w:rPr>
                <w:sz w:val="22"/>
                <w:lang w:val="en-GB" w:eastAsia="en-GB"/>
              </w:rPr>
              <w:t>NICE guidelines</w:t>
            </w:r>
          </w:p>
        </w:tc>
        <w:tc>
          <w:tcPr>
            <w:tcW w:w="0" w:type="auto"/>
            <w:shd w:val="clear" w:color="auto" w:fill="auto"/>
            <w:vAlign w:val="center"/>
          </w:tcPr>
          <w:p w14:paraId="67C9B267" w14:textId="0EAAF11D" w:rsidR="002F0133" w:rsidRPr="000B4E2C" w:rsidRDefault="002F0133" w:rsidP="008A7464">
            <w:pPr>
              <w:rPr>
                <w:color w:val="000000"/>
                <w:sz w:val="22"/>
                <w:lang w:val="en-GB" w:eastAsia="en-GB"/>
              </w:rPr>
            </w:pPr>
            <w:r w:rsidRPr="000B4E2C">
              <w:rPr>
                <w:sz w:val="22"/>
                <w:lang w:val="en-GB" w:eastAsia="en-GB"/>
              </w:rPr>
              <w:t>Varied 0%</w:t>
            </w:r>
            <w:r w:rsidR="000B4E2C" w:rsidRPr="000B4E2C">
              <w:rPr>
                <w:color w:val="00B0F0"/>
                <w:sz w:val="22"/>
                <w:lang w:val="en-GB" w:eastAsia="en-GB"/>
              </w:rPr>
              <w:t xml:space="preserve"> – </w:t>
            </w:r>
            <w:r w:rsidRPr="000B4E2C">
              <w:rPr>
                <w:sz w:val="22"/>
                <w:lang w:val="en-GB" w:eastAsia="en-GB"/>
              </w:rPr>
              <w:t>6%</w:t>
            </w:r>
          </w:p>
        </w:tc>
        <w:tc>
          <w:tcPr>
            <w:tcW w:w="0" w:type="auto"/>
            <w:vMerge/>
            <w:shd w:val="clear" w:color="auto" w:fill="auto"/>
            <w:vAlign w:val="center"/>
          </w:tcPr>
          <w:p w14:paraId="3FCDF6B4" w14:textId="77777777" w:rsidR="002F0133" w:rsidRPr="000B4E2C" w:rsidRDefault="002F0133" w:rsidP="008A7464">
            <w:pPr>
              <w:rPr>
                <w:sz w:val="22"/>
                <w:lang w:val="en-GB" w:eastAsia="en-GB"/>
              </w:rPr>
            </w:pPr>
          </w:p>
        </w:tc>
      </w:tr>
      <w:tr w:rsidR="002F0133" w:rsidRPr="000B4E2C" w14:paraId="53B79248" w14:textId="77777777" w:rsidTr="000B4E2C">
        <w:trPr>
          <w:cantSplit/>
          <w:tblHeader/>
        </w:trPr>
        <w:tc>
          <w:tcPr>
            <w:tcW w:w="0" w:type="auto"/>
            <w:shd w:val="clear" w:color="auto" w:fill="auto"/>
            <w:vAlign w:val="center"/>
            <w:hideMark/>
          </w:tcPr>
          <w:p w14:paraId="14054CAB" w14:textId="5294DAE9" w:rsidR="002F0133" w:rsidRPr="000B4E2C" w:rsidRDefault="002F0133" w:rsidP="008A7464">
            <w:pPr>
              <w:rPr>
                <w:bCs/>
                <w:color w:val="000000"/>
                <w:sz w:val="22"/>
                <w:lang w:val="en-GB" w:eastAsia="en-GB"/>
              </w:rPr>
            </w:pPr>
            <w:r w:rsidRPr="000B4E2C">
              <w:rPr>
                <w:bCs/>
                <w:sz w:val="22"/>
                <w:lang w:val="en-GB" w:eastAsia="en-GB"/>
              </w:rPr>
              <w:t xml:space="preserve">Source of AKI </w:t>
            </w:r>
            <w:r w:rsidR="00FF69B2" w:rsidRPr="000B4E2C">
              <w:rPr>
                <w:bCs/>
                <w:sz w:val="22"/>
                <w:lang w:val="en-GB" w:eastAsia="en-GB"/>
              </w:rPr>
              <w:t>prevalence</w:t>
            </w:r>
            <w:r w:rsidRPr="000B4E2C">
              <w:rPr>
                <w:bCs/>
                <w:sz w:val="22"/>
                <w:lang w:val="en-GB" w:eastAsia="en-GB"/>
              </w:rPr>
              <w:t xml:space="preserve"> </w:t>
            </w:r>
            <w:r w:rsidRPr="000B4E2C">
              <w:rPr>
                <w:bCs/>
                <w:sz w:val="22"/>
                <w:highlight w:val="magenta"/>
                <w:lang w:val="en-GB" w:eastAsia="en-GB"/>
              </w:rPr>
              <w:t>data</w:t>
            </w:r>
          </w:p>
        </w:tc>
        <w:tc>
          <w:tcPr>
            <w:tcW w:w="0" w:type="auto"/>
            <w:shd w:val="clear" w:color="auto" w:fill="auto"/>
            <w:noWrap/>
            <w:vAlign w:val="center"/>
            <w:hideMark/>
          </w:tcPr>
          <w:p w14:paraId="2A5AF538" w14:textId="77777777" w:rsidR="002F0133" w:rsidRPr="000B4E2C" w:rsidRDefault="002F0133" w:rsidP="008A7464">
            <w:pPr>
              <w:rPr>
                <w:color w:val="000000"/>
                <w:sz w:val="22"/>
                <w:lang w:val="en-GB" w:eastAsia="en-GB"/>
              </w:rPr>
            </w:pPr>
            <w:r w:rsidRPr="000B4E2C">
              <w:rPr>
                <w:sz w:val="22"/>
                <w:lang w:val="en-GB" w:eastAsia="en-GB"/>
              </w:rPr>
              <w:t>9.2%</w:t>
            </w:r>
          </w:p>
        </w:tc>
        <w:tc>
          <w:tcPr>
            <w:tcW w:w="0" w:type="auto"/>
            <w:shd w:val="clear" w:color="auto" w:fill="auto"/>
            <w:vAlign w:val="center"/>
          </w:tcPr>
          <w:p w14:paraId="7E7E288D" w14:textId="77777777" w:rsidR="002F0133" w:rsidRPr="000B4E2C" w:rsidRDefault="002F0133" w:rsidP="008A7464">
            <w:pPr>
              <w:rPr>
                <w:color w:val="000000"/>
                <w:sz w:val="22"/>
                <w:lang w:val="en-GB" w:eastAsia="en-GB"/>
              </w:rPr>
            </w:pPr>
            <w:r w:rsidRPr="000B4E2C">
              <w:rPr>
                <w:sz w:val="22"/>
                <w:lang w:val="en-GB" w:eastAsia="en-GB"/>
              </w:rPr>
              <w:t xml:space="preserve">Grampian </w:t>
            </w:r>
            <w:r w:rsidRPr="000B4E2C">
              <w:rPr>
                <w:sz w:val="22"/>
                <w:highlight w:val="magenta"/>
                <w:lang w:val="en-GB" w:eastAsia="en-GB"/>
              </w:rPr>
              <w:t>data</w:t>
            </w:r>
            <w:r w:rsidRPr="000B4E2C">
              <w:rPr>
                <w:sz w:val="22"/>
                <w:lang w:val="en-GB" w:eastAsia="en-GB"/>
              </w:rPr>
              <w:t xml:space="preserve"> for hospitalised patients at risk of AKI</w:t>
            </w:r>
          </w:p>
        </w:tc>
        <w:tc>
          <w:tcPr>
            <w:tcW w:w="0" w:type="auto"/>
            <w:shd w:val="clear" w:color="auto" w:fill="auto"/>
            <w:vAlign w:val="center"/>
          </w:tcPr>
          <w:p w14:paraId="48E6A6CD" w14:textId="2B0E208F" w:rsidR="002F0133" w:rsidRPr="000B4E2C" w:rsidRDefault="002F0133" w:rsidP="008A7464">
            <w:pPr>
              <w:rPr>
                <w:color w:val="000000"/>
                <w:sz w:val="22"/>
                <w:lang w:val="en-GB" w:eastAsia="en-GB"/>
              </w:rPr>
            </w:pPr>
            <w:r w:rsidRPr="000B4E2C">
              <w:rPr>
                <w:sz w:val="22"/>
                <w:lang w:val="en-GB" w:eastAsia="en-GB"/>
              </w:rPr>
              <w:t xml:space="preserve">Alternative source: </w:t>
            </w:r>
            <w:r w:rsidR="006E17CA" w:rsidRPr="000B4E2C">
              <w:rPr>
                <w:sz w:val="22"/>
                <w:lang w:val="en-GB" w:eastAsia="en-GB"/>
              </w:rPr>
              <w:t xml:space="preserve">obtained directly from </w:t>
            </w:r>
            <w:r w:rsidRPr="000B4E2C">
              <w:rPr>
                <w:sz w:val="22"/>
                <w:lang w:val="en-GB" w:eastAsia="en-GB"/>
              </w:rPr>
              <w:t>systematic review studies</w:t>
            </w:r>
          </w:p>
        </w:tc>
        <w:tc>
          <w:tcPr>
            <w:tcW w:w="0" w:type="auto"/>
            <w:shd w:val="clear" w:color="auto" w:fill="auto"/>
            <w:vAlign w:val="center"/>
          </w:tcPr>
          <w:p w14:paraId="5399F0CC" w14:textId="77777777" w:rsidR="002F0133" w:rsidRPr="000B4E2C" w:rsidRDefault="002F0133" w:rsidP="008A7464">
            <w:pPr>
              <w:rPr>
                <w:sz w:val="22"/>
                <w:u w:val="single"/>
                <w:lang w:val="en-GB" w:eastAsia="en-GB"/>
              </w:rPr>
            </w:pPr>
            <w:r w:rsidRPr="000B4E2C">
              <w:rPr>
                <w:sz w:val="22"/>
                <w:u w:val="single"/>
                <w:lang w:val="en-GB" w:eastAsia="en-GB"/>
              </w:rPr>
              <w:t>Scenario K</w:t>
            </w:r>
          </w:p>
        </w:tc>
      </w:tr>
      <w:tr w:rsidR="002F0133" w:rsidRPr="000B4E2C" w14:paraId="2B40DF0D" w14:textId="77777777" w:rsidTr="000B4E2C">
        <w:trPr>
          <w:cantSplit/>
          <w:tblHeader/>
        </w:trPr>
        <w:tc>
          <w:tcPr>
            <w:tcW w:w="0" w:type="auto"/>
            <w:shd w:val="clear" w:color="auto" w:fill="auto"/>
            <w:vAlign w:val="center"/>
            <w:hideMark/>
          </w:tcPr>
          <w:p w14:paraId="4473BBA2" w14:textId="77777777" w:rsidR="002F0133" w:rsidRPr="000B4E2C" w:rsidRDefault="002F0133" w:rsidP="008A7464">
            <w:pPr>
              <w:rPr>
                <w:bCs/>
                <w:color w:val="000000"/>
                <w:sz w:val="22"/>
                <w:lang w:val="en-GB" w:eastAsia="en-GB"/>
              </w:rPr>
            </w:pPr>
            <w:r w:rsidRPr="000B4E2C">
              <w:rPr>
                <w:bCs/>
                <w:sz w:val="22"/>
                <w:lang w:val="en-GB" w:eastAsia="en-GB"/>
              </w:rPr>
              <w:t>Number of times test is used</w:t>
            </w:r>
          </w:p>
        </w:tc>
        <w:tc>
          <w:tcPr>
            <w:tcW w:w="0" w:type="auto"/>
            <w:shd w:val="clear" w:color="auto" w:fill="auto"/>
            <w:noWrap/>
            <w:vAlign w:val="center"/>
            <w:hideMark/>
          </w:tcPr>
          <w:p w14:paraId="26F209C6" w14:textId="77777777" w:rsidR="002F0133" w:rsidRPr="000B4E2C" w:rsidRDefault="002F0133" w:rsidP="008A7464">
            <w:pPr>
              <w:rPr>
                <w:color w:val="000000"/>
                <w:sz w:val="22"/>
                <w:lang w:val="en-GB" w:eastAsia="en-GB"/>
              </w:rPr>
            </w:pPr>
            <w:r w:rsidRPr="000B4E2C">
              <w:rPr>
                <w:sz w:val="22"/>
                <w:lang w:val="en-GB" w:eastAsia="en-GB"/>
              </w:rPr>
              <w:t>1</w:t>
            </w:r>
          </w:p>
        </w:tc>
        <w:tc>
          <w:tcPr>
            <w:tcW w:w="0" w:type="auto"/>
            <w:shd w:val="clear" w:color="auto" w:fill="auto"/>
            <w:vAlign w:val="center"/>
          </w:tcPr>
          <w:p w14:paraId="2E6DB531" w14:textId="77777777" w:rsidR="002F0133" w:rsidRPr="000B4E2C" w:rsidRDefault="002F0133" w:rsidP="008A7464">
            <w:pPr>
              <w:rPr>
                <w:color w:val="000000"/>
                <w:sz w:val="22"/>
                <w:lang w:val="en-GB" w:eastAsia="en-GB"/>
              </w:rPr>
            </w:pPr>
            <w:r w:rsidRPr="000B4E2C">
              <w:rPr>
                <w:sz w:val="22"/>
                <w:lang w:val="en-GB" w:eastAsia="en-GB"/>
              </w:rPr>
              <w:t>Based on NICE scope</w:t>
            </w:r>
          </w:p>
        </w:tc>
        <w:tc>
          <w:tcPr>
            <w:tcW w:w="0" w:type="auto"/>
            <w:shd w:val="clear" w:color="auto" w:fill="auto"/>
            <w:vAlign w:val="center"/>
          </w:tcPr>
          <w:p w14:paraId="41CCDE7C" w14:textId="77777777" w:rsidR="002F0133" w:rsidRPr="000B4E2C" w:rsidRDefault="002F0133" w:rsidP="008A7464">
            <w:pPr>
              <w:rPr>
                <w:color w:val="000000"/>
                <w:sz w:val="22"/>
                <w:lang w:val="en-GB" w:eastAsia="en-GB"/>
              </w:rPr>
            </w:pPr>
            <w:r w:rsidRPr="000B4E2C">
              <w:rPr>
                <w:sz w:val="22"/>
                <w:lang w:val="en-GB" w:eastAsia="en-GB"/>
              </w:rPr>
              <w:t>All tests conducted twice</w:t>
            </w:r>
          </w:p>
        </w:tc>
        <w:tc>
          <w:tcPr>
            <w:tcW w:w="0" w:type="auto"/>
            <w:shd w:val="clear" w:color="auto" w:fill="auto"/>
            <w:vAlign w:val="center"/>
          </w:tcPr>
          <w:p w14:paraId="6B801209" w14:textId="77777777" w:rsidR="002F0133" w:rsidRPr="000B4E2C" w:rsidRDefault="002F0133" w:rsidP="008A7464">
            <w:pPr>
              <w:rPr>
                <w:sz w:val="22"/>
                <w:lang w:val="en-GB" w:eastAsia="en-GB"/>
              </w:rPr>
            </w:pPr>
            <w:r w:rsidRPr="000B4E2C">
              <w:rPr>
                <w:sz w:val="22"/>
                <w:u w:val="single"/>
                <w:lang w:val="en-GB" w:eastAsia="en-GB"/>
              </w:rPr>
              <w:t>Scenario L</w:t>
            </w:r>
          </w:p>
        </w:tc>
      </w:tr>
      <w:tr w:rsidR="002F0133" w:rsidRPr="000B4E2C" w14:paraId="60A8E65A" w14:textId="77777777" w:rsidTr="000B4E2C">
        <w:trPr>
          <w:cantSplit/>
          <w:tblHeader/>
        </w:trPr>
        <w:tc>
          <w:tcPr>
            <w:tcW w:w="0" w:type="auto"/>
            <w:shd w:val="clear" w:color="auto" w:fill="auto"/>
            <w:vAlign w:val="center"/>
            <w:hideMark/>
          </w:tcPr>
          <w:p w14:paraId="72B9D242" w14:textId="77777777" w:rsidR="002F0133" w:rsidRPr="000B4E2C" w:rsidRDefault="002F0133" w:rsidP="008A7464">
            <w:pPr>
              <w:rPr>
                <w:bCs/>
                <w:color w:val="000000"/>
                <w:sz w:val="22"/>
                <w:lang w:val="en-GB" w:eastAsia="en-GB"/>
              </w:rPr>
            </w:pPr>
            <w:r w:rsidRPr="000B4E2C">
              <w:rPr>
                <w:bCs/>
                <w:sz w:val="22"/>
                <w:lang w:val="en-GB" w:eastAsia="en-GB"/>
              </w:rPr>
              <w:t>RR of 90-day mortality for FP test results</w:t>
            </w:r>
          </w:p>
        </w:tc>
        <w:tc>
          <w:tcPr>
            <w:tcW w:w="0" w:type="auto"/>
            <w:shd w:val="clear" w:color="auto" w:fill="auto"/>
            <w:noWrap/>
            <w:vAlign w:val="center"/>
            <w:hideMark/>
          </w:tcPr>
          <w:p w14:paraId="5DC41454" w14:textId="77777777" w:rsidR="002F0133" w:rsidRPr="000B4E2C" w:rsidRDefault="002F0133" w:rsidP="008A7464">
            <w:pPr>
              <w:rPr>
                <w:color w:val="000000"/>
                <w:sz w:val="22"/>
                <w:lang w:val="en-GB" w:eastAsia="en-GB"/>
              </w:rPr>
            </w:pPr>
            <w:r w:rsidRPr="000B4E2C">
              <w:rPr>
                <w:sz w:val="22"/>
                <w:lang w:val="en-GB" w:eastAsia="en-GB"/>
              </w:rPr>
              <w:t>1</w:t>
            </w:r>
          </w:p>
        </w:tc>
        <w:tc>
          <w:tcPr>
            <w:tcW w:w="0" w:type="auto"/>
            <w:shd w:val="clear" w:color="auto" w:fill="auto"/>
            <w:vAlign w:val="center"/>
          </w:tcPr>
          <w:p w14:paraId="464CB926" w14:textId="77777777" w:rsidR="002F0133" w:rsidRPr="000B4E2C" w:rsidRDefault="002F0133" w:rsidP="008A7464">
            <w:pPr>
              <w:rPr>
                <w:color w:val="000000"/>
                <w:sz w:val="22"/>
                <w:lang w:val="en-GB" w:eastAsia="en-GB"/>
              </w:rPr>
            </w:pPr>
            <w:r w:rsidRPr="000B4E2C">
              <w:rPr>
                <w:sz w:val="22"/>
                <w:lang w:val="en-GB" w:eastAsia="en-GB"/>
              </w:rPr>
              <w:t>Assumes no additional risk of unnecessary fluid resuscitation</w:t>
            </w:r>
          </w:p>
        </w:tc>
        <w:tc>
          <w:tcPr>
            <w:tcW w:w="0" w:type="auto"/>
            <w:shd w:val="clear" w:color="auto" w:fill="auto"/>
            <w:vAlign w:val="center"/>
          </w:tcPr>
          <w:p w14:paraId="0867D075" w14:textId="046C16C5" w:rsidR="002F0133" w:rsidRPr="000B4E2C" w:rsidRDefault="002F0133" w:rsidP="008A7464">
            <w:pPr>
              <w:rPr>
                <w:color w:val="000000"/>
                <w:sz w:val="22"/>
                <w:lang w:val="en-GB" w:eastAsia="en-GB"/>
              </w:rPr>
            </w:pPr>
            <w:r w:rsidRPr="000B4E2C">
              <w:rPr>
                <w:sz w:val="22"/>
                <w:lang w:val="en-GB" w:eastAsia="en-GB"/>
              </w:rPr>
              <w:t>Apply an additional RR</w:t>
            </w:r>
            <w:r w:rsidR="000B4E2C" w:rsidRPr="000B4E2C">
              <w:rPr>
                <w:color w:val="00B0F0"/>
                <w:sz w:val="22"/>
                <w:lang w:val="en-GB" w:eastAsia="en-GB"/>
              </w:rPr>
              <w:t> = </w:t>
            </w:r>
            <w:r w:rsidRPr="000B4E2C">
              <w:rPr>
                <w:sz w:val="22"/>
                <w:lang w:val="en-GB" w:eastAsia="en-GB"/>
              </w:rPr>
              <w:t>1.5 to explore impact on results.</w:t>
            </w:r>
          </w:p>
        </w:tc>
        <w:tc>
          <w:tcPr>
            <w:tcW w:w="0" w:type="auto"/>
            <w:shd w:val="clear" w:color="auto" w:fill="auto"/>
            <w:vAlign w:val="center"/>
          </w:tcPr>
          <w:p w14:paraId="11B4D054" w14:textId="77777777" w:rsidR="002F0133" w:rsidRPr="000B4E2C" w:rsidRDefault="002F0133" w:rsidP="008A7464">
            <w:pPr>
              <w:rPr>
                <w:sz w:val="22"/>
                <w:lang w:val="en-GB" w:eastAsia="en-GB"/>
              </w:rPr>
            </w:pPr>
            <w:r w:rsidRPr="000B4E2C">
              <w:rPr>
                <w:sz w:val="22"/>
                <w:u w:val="single"/>
                <w:lang w:val="en-GB" w:eastAsia="en-GB"/>
              </w:rPr>
              <w:t>Scenario M</w:t>
            </w:r>
          </w:p>
        </w:tc>
      </w:tr>
      <w:tr w:rsidR="002F0133" w:rsidRPr="000B4E2C" w14:paraId="4AC48B89" w14:textId="77777777" w:rsidTr="000B4E2C">
        <w:trPr>
          <w:cantSplit/>
          <w:tblHeader/>
        </w:trPr>
        <w:tc>
          <w:tcPr>
            <w:tcW w:w="0" w:type="auto"/>
            <w:shd w:val="clear" w:color="auto" w:fill="auto"/>
            <w:vAlign w:val="center"/>
            <w:hideMark/>
          </w:tcPr>
          <w:p w14:paraId="4A9A019B" w14:textId="77777777" w:rsidR="002F0133" w:rsidRPr="000B4E2C" w:rsidRDefault="002F0133" w:rsidP="008A7464">
            <w:pPr>
              <w:rPr>
                <w:bCs/>
                <w:color w:val="000000"/>
                <w:sz w:val="22"/>
                <w:lang w:val="en-GB" w:eastAsia="en-GB"/>
              </w:rPr>
            </w:pPr>
            <w:r w:rsidRPr="000B4E2C">
              <w:rPr>
                <w:bCs/>
                <w:sz w:val="22"/>
                <w:lang w:val="en-GB" w:eastAsia="en-GB"/>
              </w:rPr>
              <w:t>Test capital and training costs in test cost</w:t>
            </w:r>
          </w:p>
        </w:tc>
        <w:tc>
          <w:tcPr>
            <w:tcW w:w="0" w:type="auto"/>
            <w:shd w:val="clear" w:color="auto" w:fill="auto"/>
            <w:noWrap/>
            <w:vAlign w:val="center"/>
            <w:hideMark/>
          </w:tcPr>
          <w:p w14:paraId="113C7B44" w14:textId="77777777" w:rsidR="002F0133" w:rsidRPr="000B4E2C" w:rsidRDefault="002F0133" w:rsidP="008A7464">
            <w:pPr>
              <w:rPr>
                <w:color w:val="000000"/>
                <w:sz w:val="22"/>
                <w:lang w:val="en-GB" w:eastAsia="en-GB"/>
              </w:rPr>
            </w:pPr>
            <w:r w:rsidRPr="000B4E2C">
              <w:rPr>
                <w:sz w:val="22"/>
                <w:lang w:val="en-GB" w:eastAsia="en-GB"/>
              </w:rPr>
              <w:t>Included</w:t>
            </w:r>
          </w:p>
        </w:tc>
        <w:tc>
          <w:tcPr>
            <w:tcW w:w="0" w:type="auto"/>
            <w:shd w:val="clear" w:color="auto" w:fill="auto"/>
            <w:vAlign w:val="center"/>
          </w:tcPr>
          <w:p w14:paraId="58519F04" w14:textId="77777777" w:rsidR="002F0133" w:rsidRPr="000B4E2C" w:rsidRDefault="002F0133" w:rsidP="008A7464">
            <w:pPr>
              <w:rPr>
                <w:color w:val="000000"/>
                <w:sz w:val="22"/>
                <w:lang w:val="en-GB" w:eastAsia="en-GB"/>
              </w:rPr>
            </w:pPr>
            <w:r w:rsidRPr="000B4E2C">
              <w:rPr>
                <w:sz w:val="22"/>
                <w:lang w:val="en-GB" w:eastAsia="en-GB"/>
              </w:rPr>
              <w:t>As per company advice</w:t>
            </w:r>
          </w:p>
        </w:tc>
        <w:tc>
          <w:tcPr>
            <w:tcW w:w="0" w:type="auto"/>
            <w:shd w:val="clear" w:color="auto" w:fill="auto"/>
            <w:vAlign w:val="center"/>
          </w:tcPr>
          <w:p w14:paraId="4E4E48F3" w14:textId="440B00FB" w:rsidR="002F0133" w:rsidRPr="000B4E2C" w:rsidRDefault="002F0133" w:rsidP="008A7464">
            <w:pPr>
              <w:rPr>
                <w:color w:val="000000"/>
                <w:sz w:val="22"/>
                <w:lang w:val="en-GB" w:eastAsia="en-GB"/>
              </w:rPr>
            </w:pPr>
            <w:r w:rsidRPr="000B4E2C">
              <w:rPr>
                <w:sz w:val="22"/>
                <w:lang w:val="en-GB" w:eastAsia="en-GB"/>
              </w:rPr>
              <w:t xml:space="preserve">Exclude in sensitivity analysis, assuming all capital equipment required is available for all tests </w:t>
            </w:r>
            <w:r w:rsidR="000B4E2C" w:rsidRPr="000B4E2C">
              <w:rPr>
                <w:color w:val="00B0F0"/>
                <w:sz w:val="22"/>
                <w:lang w:val="en-GB" w:eastAsia="en-GB"/>
              </w:rPr>
              <w:t>(</w:t>
            </w:r>
            <w:r w:rsidRPr="000B4E2C">
              <w:rPr>
                <w:sz w:val="22"/>
                <w:lang w:val="en-GB" w:eastAsia="en-GB"/>
              </w:rPr>
              <w:t>including NephroCheck)</w:t>
            </w:r>
          </w:p>
        </w:tc>
        <w:tc>
          <w:tcPr>
            <w:tcW w:w="0" w:type="auto"/>
            <w:shd w:val="clear" w:color="auto" w:fill="auto"/>
            <w:vAlign w:val="center"/>
          </w:tcPr>
          <w:p w14:paraId="2C516CB8" w14:textId="77777777" w:rsidR="002F0133" w:rsidRPr="000B4E2C" w:rsidRDefault="002F0133" w:rsidP="008A7464">
            <w:pPr>
              <w:rPr>
                <w:sz w:val="22"/>
                <w:lang w:val="en-GB" w:eastAsia="en-GB"/>
              </w:rPr>
            </w:pPr>
            <w:r w:rsidRPr="000B4E2C">
              <w:rPr>
                <w:sz w:val="22"/>
                <w:u w:val="single"/>
                <w:lang w:val="en-GB" w:eastAsia="en-GB"/>
              </w:rPr>
              <w:t>Scenario N</w:t>
            </w:r>
          </w:p>
        </w:tc>
      </w:tr>
      <w:tr w:rsidR="002F0133" w:rsidRPr="000B4E2C" w14:paraId="40BF1F24" w14:textId="77777777" w:rsidTr="000B4E2C">
        <w:trPr>
          <w:cantSplit/>
          <w:tblHeader/>
        </w:trPr>
        <w:tc>
          <w:tcPr>
            <w:tcW w:w="0" w:type="auto"/>
            <w:shd w:val="clear" w:color="auto" w:fill="auto"/>
            <w:vAlign w:val="center"/>
            <w:hideMark/>
          </w:tcPr>
          <w:p w14:paraId="7129E58D" w14:textId="77777777" w:rsidR="002F0133" w:rsidRPr="000B4E2C" w:rsidRDefault="002F0133" w:rsidP="008A7464">
            <w:pPr>
              <w:rPr>
                <w:bCs/>
                <w:color w:val="000000"/>
                <w:sz w:val="22"/>
                <w:lang w:val="en-GB" w:eastAsia="en-GB"/>
              </w:rPr>
            </w:pPr>
            <w:r w:rsidRPr="000B4E2C">
              <w:rPr>
                <w:bCs/>
                <w:sz w:val="22"/>
                <w:lang w:val="en-GB" w:eastAsia="en-GB"/>
              </w:rPr>
              <w:t xml:space="preserve">Source of ICU utility </w:t>
            </w:r>
            <w:r w:rsidRPr="000B4E2C">
              <w:rPr>
                <w:bCs/>
                <w:sz w:val="22"/>
                <w:highlight w:val="magenta"/>
                <w:lang w:val="en-GB" w:eastAsia="en-GB"/>
              </w:rPr>
              <w:t>data</w:t>
            </w:r>
          </w:p>
        </w:tc>
        <w:tc>
          <w:tcPr>
            <w:tcW w:w="0" w:type="auto"/>
            <w:shd w:val="clear" w:color="auto" w:fill="auto"/>
            <w:noWrap/>
            <w:vAlign w:val="center"/>
            <w:hideMark/>
          </w:tcPr>
          <w:p w14:paraId="6F5849CE" w14:textId="0AC4FB62" w:rsidR="002F0133" w:rsidRPr="000B4E2C" w:rsidRDefault="000B4E2C" w:rsidP="008A7464">
            <w:pPr>
              <w:rPr>
                <w:color w:val="000000"/>
                <w:sz w:val="22"/>
                <w:lang w:val="en-GB" w:eastAsia="en-GB"/>
              </w:rPr>
            </w:pPr>
            <w:r w:rsidRPr="000B4E2C">
              <w:rPr>
                <w:color w:val="00B0F0"/>
                <w:sz w:val="22"/>
                <w:lang w:val="en-GB" w:eastAsia="en-GB"/>
              </w:rPr>
              <w:t>–</w:t>
            </w:r>
            <w:r w:rsidRPr="000B4E2C">
              <w:rPr>
                <w:color w:val="00B0F0"/>
                <w:sz w:val="22"/>
                <w:lang w:val="en-GB" w:eastAsia="en-GB"/>
              </w:rPr>
              <w:t>0</w:t>
            </w:r>
            <w:r w:rsidR="002F0133" w:rsidRPr="000B4E2C">
              <w:rPr>
                <w:sz w:val="22"/>
                <w:lang w:val="en-GB" w:eastAsia="en-GB"/>
              </w:rPr>
              <w:t>.402</w:t>
            </w:r>
          </w:p>
        </w:tc>
        <w:tc>
          <w:tcPr>
            <w:tcW w:w="0" w:type="auto"/>
            <w:shd w:val="clear" w:color="auto" w:fill="auto"/>
            <w:vAlign w:val="center"/>
          </w:tcPr>
          <w:p w14:paraId="29146025" w14:textId="77777777" w:rsidR="002F0133" w:rsidRPr="000B4E2C" w:rsidRDefault="002F0133" w:rsidP="008A7464">
            <w:pPr>
              <w:rPr>
                <w:color w:val="000000"/>
                <w:sz w:val="22"/>
                <w:lang w:val="en-GB" w:eastAsia="en-GB"/>
              </w:rPr>
            </w:pPr>
            <w:r w:rsidRPr="000B4E2C">
              <w:rPr>
                <w:sz w:val="22"/>
                <w:lang w:val="en-GB" w:eastAsia="en-GB"/>
              </w:rPr>
              <w:t>Kind</w:t>
            </w:r>
            <w:r w:rsidRPr="000B4E2C">
              <w:rPr>
                <w:i/>
                <w:color w:val="00B0F0"/>
                <w:sz w:val="22"/>
                <w:lang w:val="en-GB" w:eastAsia="en-GB"/>
              </w:rPr>
              <w:t xml:space="preserve"> et al</w:t>
            </w:r>
            <w:r w:rsidRPr="000B4E2C">
              <w:rPr>
                <w:sz w:val="22"/>
                <w:lang w:val="en-GB" w:eastAsia="en-GB"/>
              </w:rPr>
              <w:t xml:space="preserve"> (unconscious patient)</w:t>
            </w:r>
          </w:p>
        </w:tc>
        <w:tc>
          <w:tcPr>
            <w:tcW w:w="0" w:type="auto"/>
            <w:shd w:val="clear" w:color="auto" w:fill="auto"/>
            <w:vAlign w:val="center"/>
          </w:tcPr>
          <w:p w14:paraId="1D1C7889" w14:textId="77777777" w:rsidR="000B4E2C" w:rsidRPr="000B4E2C" w:rsidRDefault="002F0133" w:rsidP="008A7464">
            <w:pPr>
              <w:rPr>
                <w:sz w:val="22"/>
                <w:lang w:val="en-GB" w:eastAsia="en-GB"/>
              </w:rPr>
            </w:pPr>
            <w:r w:rsidRPr="000B4E2C">
              <w:rPr>
                <w:sz w:val="22"/>
                <w:lang w:val="en-GB" w:eastAsia="en-GB"/>
              </w:rPr>
              <w:t>Average of unconscious</w:t>
            </w:r>
          </w:p>
          <w:p w14:paraId="0DB92C1C" w14:textId="3678B0BA" w:rsidR="002F0133" w:rsidRPr="000B4E2C" w:rsidRDefault="002F0133" w:rsidP="008A7464">
            <w:pPr>
              <w:rPr>
                <w:color w:val="000000"/>
                <w:sz w:val="22"/>
                <w:lang w:val="en-GB" w:eastAsia="en-GB"/>
              </w:rPr>
            </w:pPr>
            <w:r w:rsidRPr="000B4E2C">
              <w:rPr>
                <w:sz w:val="22"/>
                <w:lang w:val="en-GB" w:eastAsia="en-GB"/>
              </w:rPr>
              <w:t>(</w:t>
            </w:r>
            <w:r w:rsidR="000B4E2C" w:rsidRPr="000B4E2C">
              <w:rPr>
                <w:color w:val="00B0F0"/>
                <w:sz w:val="22"/>
                <w:lang w:val="en-GB" w:eastAsia="en-GB"/>
              </w:rPr>
              <w:t>–</w:t>
            </w:r>
            <w:r w:rsidR="000B4E2C" w:rsidRPr="000B4E2C">
              <w:rPr>
                <w:color w:val="00B0F0"/>
                <w:sz w:val="22"/>
                <w:lang w:val="en-GB" w:eastAsia="en-GB"/>
              </w:rPr>
              <w:t>0</w:t>
            </w:r>
            <w:r w:rsidRPr="000B4E2C">
              <w:rPr>
                <w:sz w:val="22"/>
                <w:lang w:val="en-GB" w:eastAsia="en-GB"/>
              </w:rPr>
              <w:t>.402) and utility at discharge from ICU reported in the Practical trial (Hernandez</w:t>
            </w:r>
            <w:r w:rsidRPr="000B4E2C">
              <w:rPr>
                <w:i/>
                <w:color w:val="00B0F0"/>
                <w:sz w:val="22"/>
                <w:lang w:val="en-GB" w:eastAsia="en-GB"/>
              </w:rPr>
              <w:t xml:space="preserve"> et al</w:t>
            </w:r>
            <w:r w:rsidR="00280A97" w:rsidRPr="000B4E2C">
              <w:rPr>
                <w:noProof/>
                <w:sz w:val="22"/>
                <w:vertAlign w:val="superscript"/>
                <w:lang w:val="en-GB" w:eastAsia="en-GB"/>
              </w:rPr>
              <w:t>132</w:t>
            </w:r>
            <w:r w:rsidRPr="000B4E2C">
              <w:rPr>
                <w:sz w:val="22"/>
                <w:lang w:val="en-GB" w:eastAsia="en-GB"/>
              </w:rPr>
              <w:t>)</w:t>
            </w:r>
          </w:p>
        </w:tc>
        <w:tc>
          <w:tcPr>
            <w:tcW w:w="0" w:type="auto"/>
            <w:shd w:val="clear" w:color="auto" w:fill="auto"/>
            <w:vAlign w:val="center"/>
          </w:tcPr>
          <w:p w14:paraId="13DDD849" w14:textId="77777777" w:rsidR="002F0133" w:rsidRPr="000B4E2C" w:rsidRDefault="002F0133" w:rsidP="008A7464">
            <w:pPr>
              <w:rPr>
                <w:sz w:val="22"/>
                <w:u w:val="single"/>
                <w:lang w:val="en-GB" w:eastAsia="en-GB"/>
              </w:rPr>
            </w:pPr>
            <w:r w:rsidRPr="000B4E2C">
              <w:rPr>
                <w:sz w:val="22"/>
                <w:u w:val="single"/>
                <w:lang w:val="en-GB" w:eastAsia="en-GB"/>
              </w:rPr>
              <w:t>Scenario O</w:t>
            </w:r>
          </w:p>
        </w:tc>
      </w:tr>
      <w:tr w:rsidR="002F0133" w:rsidRPr="000B4E2C" w14:paraId="39708A94" w14:textId="77777777" w:rsidTr="000B4E2C">
        <w:trPr>
          <w:cantSplit/>
          <w:tblHeader/>
        </w:trPr>
        <w:tc>
          <w:tcPr>
            <w:tcW w:w="0" w:type="auto"/>
            <w:shd w:val="clear" w:color="auto" w:fill="auto"/>
            <w:vAlign w:val="center"/>
            <w:hideMark/>
          </w:tcPr>
          <w:p w14:paraId="7F1A91E0" w14:textId="77777777" w:rsidR="002F0133" w:rsidRPr="000B4E2C" w:rsidRDefault="002F0133" w:rsidP="008A7464">
            <w:pPr>
              <w:rPr>
                <w:bCs/>
                <w:color w:val="000000"/>
                <w:sz w:val="22"/>
                <w:lang w:val="en-GB" w:eastAsia="en-GB"/>
              </w:rPr>
            </w:pPr>
            <w:r w:rsidRPr="000B4E2C">
              <w:rPr>
                <w:bCs/>
                <w:sz w:val="22"/>
                <w:lang w:val="en-GB" w:eastAsia="en-GB"/>
              </w:rPr>
              <w:t>Long term outpatient utility</w:t>
            </w:r>
          </w:p>
        </w:tc>
        <w:tc>
          <w:tcPr>
            <w:tcW w:w="0" w:type="auto"/>
            <w:shd w:val="clear" w:color="auto" w:fill="auto"/>
            <w:noWrap/>
            <w:vAlign w:val="center"/>
            <w:hideMark/>
          </w:tcPr>
          <w:p w14:paraId="395B2A7F" w14:textId="77777777" w:rsidR="002F0133" w:rsidRPr="000B4E2C" w:rsidRDefault="002F0133" w:rsidP="008A7464">
            <w:pPr>
              <w:rPr>
                <w:color w:val="000000"/>
                <w:sz w:val="22"/>
                <w:lang w:val="en-GB" w:eastAsia="en-GB"/>
              </w:rPr>
            </w:pPr>
            <w:r w:rsidRPr="000B4E2C">
              <w:rPr>
                <w:sz w:val="22"/>
                <w:lang w:val="en-GB" w:eastAsia="en-GB"/>
              </w:rPr>
              <w:t>Varies by year</w:t>
            </w:r>
          </w:p>
        </w:tc>
        <w:tc>
          <w:tcPr>
            <w:tcW w:w="0" w:type="auto"/>
            <w:shd w:val="clear" w:color="auto" w:fill="auto"/>
            <w:vAlign w:val="center"/>
          </w:tcPr>
          <w:p w14:paraId="797A282B" w14:textId="0E9444B1" w:rsidR="002F0133" w:rsidRPr="000B4E2C" w:rsidRDefault="002F0133" w:rsidP="008A7464">
            <w:pPr>
              <w:rPr>
                <w:color w:val="000000"/>
                <w:sz w:val="22"/>
                <w:lang w:val="en-GB" w:eastAsia="en-GB"/>
              </w:rPr>
            </w:pPr>
            <w:r w:rsidRPr="000B4E2C">
              <w:rPr>
                <w:sz w:val="22"/>
                <w:lang w:val="en-GB" w:eastAsia="en-GB"/>
              </w:rPr>
              <w:t>Long term utility implication of hospitalisation</w:t>
            </w:r>
            <w:r w:rsidR="000B4E2C" w:rsidRPr="000B4E2C">
              <w:rPr>
                <w:color w:val="00B0F0"/>
                <w:sz w:val="22"/>
                <w:lang w:val="en-GB" w:eastAsia="en-GB"/>
              </w:rPr>
              <w:t>/</w:t>
            </w:r>
            <w:r w:rsidRPr="000B4E2C">
              <w:rPr>
                <w:sz w:val="22"/>
                <w:lang w:val="en-GB" w:eastAsia="en-GB"/>
              </w:rPr>
              <w:t>ICU, based on Hall</w:t>
            </w:r>
            <w:r w:rsidRPr="000B4E2C">
              <w:rPr>
                <w:i/>
                <w:color w:val="00B0F0"/>
                <w:sz w:val="22"/>
                <w:lang w:val="en-GB" w:eastAsia="en-GB"/>
              </w:rPr>
              <w:t xml:space="preserve"> et al</w:t>
            </w:r>
            <w:r w:rsidRPr="000B4E2C">
              <w:rPr>
                <w:sz w:val="22"/>
                <w:lang w:val="en-GB" w:eastAsia="en-GB"/>
              </w:rPr>
              <w:t>.</w:t>
            </w:r>
            <w:r w:rsidR="007176E6" w:rsidRPr="000B4E2C">
              <w:rPr>
                <w:sz w:val="22"/>
              </w:rPr>
              <w:t xml:space="preserve"> </w:t>
            </w:r>
            <w:r w:rsidR="005B5026" w:rsidRPr="000B4E2C">
              <w:rPr>
                <w:noProof/>
                <w:sz w:val="22"/>
                <w:vertAlign w:val="superscript"/>
                <w:lang w:val="en-GB" w:eastAsia="en-GB"/>
              </w:rPr>
              <w:t>105</w:t>
            </w:r>
          </w:p>
        </w:tc>
        <w:tc>
          <w:tcPr>
            <w:tcW w:w="0" w:type="auto"/>
            <w:shd w:val="clear" w:color="auto" w:fill="auto"/>
            <w:vAlign w:val="center"/>
          </w:tcPr>
          <w:p w14:paraId="5E63F840" w14:textId="77777777" w:rsidR="002F0133" w:rsidRPr="000B4E2C" w:rsidRDefault="002F0133" w:rsidP="008A7464">
            <w:pPr>
              <w:rPr>
                <w:color w:val="000000"/>
                <w:sz w:val="22"/>
                <w:lang w:val="en-GB" w:eastAsia="en-GB"/>
              </w:rPr>
            </w:pPr>
            <w:r w:rsidRPr="000B4E2C">
              <w:rPr>
                <w:sz w:val="22"/>
                <w:lang w:val="en-GB" w:eastAsia="en-GB"/>
              </w:rPr>
              <w:t>General population norms, assuming quicker recovery.</w:t>
            </w:r>
          </w:p>
        </w:tc>
        <w:tc>
          <w:tcPr>
            <w:tcW w:w="0" w:type="auto"/>
            <w:shd w:val="clear" w:color="auto" w:fill="auto"/>
            <w:vAlign w:val="center"/>
          </w:tcPr>
          <w:p w14:paraId="3C378831" w14:textId="77777777" w:rsidR="002F0133" w:rsidRPr="000B4E2C" w:rsidRDefault="002F0133" w:rsidP="008A7464">
            <w:pPr>
              <w:rPr>
                <w:sz w:val="22"/>
                <w:u w:val="single"/>
                <w:lang w:val="en-GB" w:eastAsia="en-GB"/>
              </w:rPr>
            </w:pPr>
            <w:r w:rsidRPr="000B4E2C">
              <w:rPr>
                <w:sz w:val="22"/>
                <w:u w:val="single"/>
                <w:lang w:val="en-GB" w:eastAsia="en-GB"/>
              </w:rPr>
              <w:t>Scenario P</w:t>
            </w:r>
          </w:p>
        </w:tc>
      </w:tr>
      <w:tr w:rsidR="002F0133" w:rsidRPr="000B4E2C" w14:paraId="23906A38" w14:textId="77777777" w:rsidTr="000B4E2C">
        <w:trPr>
          <w:cantSplit/>
          <w:tblHeader/>
        </w:trPr>
        <w:tc>
          <w:tcPr>
            <w:tcW w:w="0" w:type="auto"/>
            <w:shd w:val="clear" w:color="auto" w:fill="auto"/>
            <w:vAlign w:val="center"/>
          </w:tcPr>
          <w:p w14:paraId="2D81343F" w14:textId="77777777" w:rsidR="002F0133" w:rsidRPr="000B4E2C" w:rsidRDefault="002F0133" w:rsidP="008A7464">
            <w:pPr>
              <w:rPr>
                <w:bCs/>
                <w:color w:val="000000"/>
                <w:sz w:val="22"/>
                <w:lang w:val="en-GB" w:eastAsia="en-GB"/>
              </w:rPr>
            </w:pPr>
            <w:r w:rsidRPr="000B4E2C">
              <w:rPr>
                <w:bCs/>
                <w:sz w:val="22"/>
                <w:lang w:val="en-GB" w:eastAsia="en-GB"/>
              </w:rPr>
              <w:lastRenderedPageBreak/>
              <w:t xml:space="preserve">Source of diagnostic accuracy </w:t>
            </w:r>
            <w:r w:rsidRPr="000B4E2C">
              <w:rPr>
                <w:bCs/>
                <w:sz w:val="22"/>
                <w:highlight w:val="magenta"/>
                <w:lang w:val="en-GB" w:eastAsia="en-GB"/>
              </w:rPr>
              <w:t>data</w:t>
            </w:r>
          </w:p>
        </w:tc>
        <w:tc>
          <w:tcPr>
            <w:tcW w:w="0" w:type="auto"/>
            <w:shd w:val="clear" w:color="auto" w:fill="auto"/>
            <w:noWrap/>
            <w:vAlign w:val="center"/>
          </w:tcPr>
          <w:p w14:paraId="50BE1E9E" w14:textId="77777777" w:rsidR="002F0133" w:rsidRPr="000B4E2C" w:rsidRDefault="002F0133" w:rsidP="008A7464">
            <w:pPr>
              <w:rPr>
                <w:color w:val="000000"/>
                <w:sz w:val="22"/>
                <w:lang w:val="en-GB" w:eastAsia="en-GB"/>
              </w:rPr>
            </w:pPr>
            <w:r w:rsidRPr="000B4E2C">
              <w:rPr>
                <w:sz w:val="22"/>
                <w:lang w:val="en-GB" w:eastAsia="en-GB"/>
              </w:rPr>
              <w:t>All comers</w:t>
            </w:r>
          </w:p>
        </w:tc>
        <w:tc>
          <w:tcPr>
            <w:tcW w:w="0" w:type="auto"/>
            <w:shd w:val="clear" w:color="auto" w:fill="auto"/>
            <w:vAlign w:val="center"/>
          </w:tcPr>
          <w:p w14:paraId="28A9630D" w14:textId="77777777" w:rsidR="002F0133" w:rsidRPr="000B4E2C" w:rsidRDefault="002F0133" w:rsidP="008A7464">
            <w:pPr>
              <w:rPr>
                <w:color w:val="000000"/>
                <w:sz w:val="22"/>
                <w:lang w:val="en-GB" w:eastAsia="en-GB"/>
              </w:rPr>
            </w:pPr>
            <w:r w:rsidRPr="000B4E2C">
              <w:rPr>
                <w:sz w:val="22"/>
                <w:lang w:val="en-GB" w:eastAsia="en-GB"/>
              </w:rPr>
              <w:t>All</w:t>
            </w:r>
          </w:p>
        </w:tc>
        <w:tc>
          <w:tcPr>
            <w:tcW w:w="0" w:type="auto"/>
            <w:shd w:val="clear" w:color="auto" w:fill="auto"/>
            <w:vAlign w:val="center"/>
          </w:tcPr>
          <w:p w14:paraId="0549A06D" w14:textId="77777777" w:rsidR="002F0133" w:rsidRPr="000B4E2C" w:rsidRDefault="002F0133" w:rsidP="008A7464">
            <w:pPr>
              <w:rPr>
                <w:color w:val="000000"/>
                <w:sz w:val="22"/>
                <w:lang w:val="en-GB" w:eastAsia="en-GB"/>
              </w:rPr>
            </w:pPr>
            <w:r w:rsidRPr="000B4E2C">
              <w:rPr>
                <w:sz w:val="22"/>
                <w:lang w:val="en-GB" w:eastAsia="en-GB"/>
              </w:rPr>
              <w:t xml:space="preserve">Exploratory analysis applying available test accuracy </w:t>
            </w:r>
            <w:r w:rsidRPr="000B4E2C">
              <w:rPr>
                <w:sz w:val="22"/>
                <w:highlight w:val="magenta"/>
                <w:lang w:val="en-GB" w:eastAsia="en-GB"/>
              </w:rPr>
              <w:t>data</w:t>
            </w:r>
            <w:r w:rsidRPr="000B4E2C">
              <w:rPr>
                <w:sz w:val="22"/>
                <w:lang w:val="en-GB" w:eastAsia="en-GB"/>
              </w:rPr>
              <w:t xml:space="preserve"> for children to the adult model.</w:t>
            </w:r>
          </w:p>
        </w:tc>
        <w:tc>
          <w:tcPr>
            <w:tcW w:w="0" w:type="auto"/>
            <w:shd w:val="clear" w:color="auto" w:fill="auto"/>
            <w:vAlign w:val="center"/>
          </w:tcPr>
          <w:p w14:paraId="749C19A3" w14:textId="77777777" w:rsidR="002F0133" w:rsidRPr="000B4E2C" w:rsidRDefault="002F0133" w:rsidP="008A7464">
            <w:pPr>
              <w:rPr>
                <w:sz w:val="22"/>
                <w:u w:val="single"/>
                <w:lang w:val="en-GB" w:eastAsia="en-GB"/>
              </w:rPr>
            </w:pPr>
            <w:r w:rsidRPr="000B4E2C">
              <w:rPr>
                <w:sz w:val="22"/>
                <w:u w:val="single"/>
                <w:lang w:val="en-GB" w:eastAsia="en-GB"/>
              </w:rPr>
              <w:t>Scenario Q</w:t>
            </w:r>
          </w:p>
        </w:tc>
      </w:tr>
    </w:tbl>
    <w:p w14:paraId="34915734" w14:textId="4334B816" w:rsidR="002F0133" w:rsidRPr="000B4E2C" w:rsidRDefault="000B4E2C" w:rsidP="008A7464">
      <w:pPr>
        <w:pStyle w:val="Heading2"/>
      </w:pPr>
      <w:r w:rsidRPr="000B4E2C">
        <w:rPr>
          <w:color w:val="000000" w:themeColor="text1"/>
          <w:szCs w:val="24"/>
        </w:rPr>
        <w:t xml:space="preserve"> </w:t>
      </w:r>
      <w:r w:rsidRPr="000B4E2C">
        <w:rPr>
          <w:i/>
          <w:color w:val="FF0000"/>
        </w:rPr>
        <w:t>T</w:t>
      </w:r>
      <w:r w:rsidRPr="000B4E2C">
        <w:rPr>
          <w:i/>
          <w:color w:val="FF0000"/>
        </w:rPr>
        <w:t>able</w:t>
      </w:r>
      <w:r w:rsidRPr="000B4E2C">
        <w:rPr>
          <w:i/>
          <w:color w:val="FF0000"/>
        </w:rPr>
        <w:t xml:space="preserve"> </w:t>
      </w:r>
      <w:r w:rsidRPr="000B4E2C">
        <w:rPr>
          <w:i/>
          <w:color w:val="FF0000"/>
        </w:rPr>
        <w:t>20</w:t>
      </w:r>
      <w:r w:rsidRPr="000B4E2C">
        <w:t xml:space="preserve"> </w:t>
      </w:r>
      <w:r w:rsidR="002F0133" w:rsidRPr="000B4E2C">
        <w:t xml:space="preserve">Scenario analyses assuming that the NGAL tests </w:t>
      </w:r>
      <w:r w:rsidR="002F0133" w:rsidRPr="000B4E2C">
        <w:rPr>
          <w:u w:val="single"/>
        </w:rPr>
        <w:t>can</w:t>
      </w:r>
      <w:r w:rsidR="002F0133" w:rsidRPr="000B4E2C">
        <w:t xml:space="preserve"> avert AKI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453"/>
        <w:gridCol w:w="632"/>
        <w:gridCol w:w="816"/>
        <w:gridCol w:w="632"/>
        <w:gridCol w:w="842"/>
        <w:gridCol w:w="901"/>
        <w:gridCol w:w="891"/>
        <w:gridCol w:w="837"/>
        <w:gridCol w:w="1022"/>
      </w:tblGrid>
      <w:tr w:rsidR="002F0133" w:rsidRPr="000B4E2C" w14:paraId="155FECD9" w14:textId="77777777" w:rsidTr="000B4E2C">
        <w:trPr>
          <w:cantSplit/>
        </w:trPr>
        <w:tc>
          <w:tcPr>
            <w:tcW w:w="0" w:type="auto"/>
            <w:shd w:val="clear" w:color="auto" w:fill="auto"/>
            <w:hideMark/>
          </w:tcPr>
          <w:p w14:paraId="46CB2E59" w14:textId="77777777" w:rsidR="002F0133" w:rsidRPr="000B4E2C" w:rsidRDefault="002F0133" w:rsidP="008A7464">
            <w:pPr>
              <w:rPr>
                <w:b/>
                <w:bCs/>
                <w:sz w:val="22"/>
                <w:lang w:val="en-GB" w:eastAsia="en-GB"/>
              </w:rPr>
            </w:pPr>
            <w:r w:rsidRPr="000B4E2C">
              <w:rPr>
                <w:b/>
                <w:bCs/>
                <w:sz w:val="22"/>
                <w:lang w:eastAsia="en-GB"/>
              </w:rPr>
              <w:t>Scenario</w:t>
            </w:r>
          </w:p>
        </w:tc>
        <w:tc>
          <w:tcPr>
            <w:tcW w:w="0" w:type="auto"/>
            <w:shd w:val="clear" w:color="auto" w:fill="auto"/>
            <w:hideMark/>
          </w:tcPr>
          <w:p w14:paraId="7BBDD89B" w14:textId="77777777" w:rsidR="002F0133" w:rsidRPr="000B4E2C" w:rsidRDefault="002F0133" w:rsidP="008A7464">
            <w:pPr>
              <w:rPr>
                <w:b/>
                <w:bCs/>
                <w:sz w:val="22"/>
                <w:lang w:eastAsia="en-GB"/>
              </w:rPr>
            </w:pPr>
            <w:r w:rsidRPr="000B4E2C">
              <w:rPr>
                <w:b/>
                <w:bCs/>
                <w:sz w:val="22"/>
                <w:lang w:eastAsia="en-GB"/>
              </w:rPr>
              <w:t>Cost</w:t>
            </w:r>
          </w:p>
        </w:tc>
        <w:tc>
          <w:tcPr>
            <w:tcW w:w="0" w:type="auto"/>
            <w:shd w:val="clear" w:color="auto" w:fill="auto"/>
            <w:hideMark/>
          </w:tcPr>
          <w:p w14:paraId="3D2BAF11" w14:textId="77777777" w:rsidR="002F0133" w:rsidRPr="000B4E2C" w:rsidRDefault="002F0133" w:rsidP="008A7464">
            <w:pPr>
              <w:rPr>
                <w:b/>
                <w:bCs/>
                <w:sz w:val="22"/>
                <w:lang w:eastAsia="en-GB"/>
              </w:rPr>
            </w:pPr>
            <w:r w:rsidRPr="000B4E2C">
              <w:rPr>
                <w:b/>
                <w:bCs/>
                <w:sz w:val="22"/>
                <w:lang w:eastAsia="en-GB"/>
              </w:rPr>
              <w:t>Inc. Cost</w:t>
            </w:r>
          </w:p>
        </w:tc>
        <w:tc>
          <w:tcPr>
            <w:tcW w:w="0" w:type="auto"/>
            <w:shd w:val="clear" w:color="auto" w:fill="auto"/>
            <w:hideMark/>
          </w:tcPr>
          <w:p w14:paraId="4FE7E349" w14:textId="77777777" w:rsidR="002F0133" w:rsidRPr="000B4E2C" w:rsidRDefault="002F0133" w:rsidP="008A7464">
            <w:pPr>
              <w:rPr>
                <w:b/>
                <w:bCs/>
                <w:sz w:val="22"/>
                <w:lang w:eastAsia="en-GB"/>
              </w:rPr>
            </w:pPr>
            <w:r w:rsidRPr="000B4E2C">
              <w:rPr>
                <w:b/>
                <w:bCs/>
                <w:sz w:val="22"/>
                <w:lang w:eastAsia="en-GB"/>
              </w:rPr>
              <w:t>QALY</w:t>
            </w:r>
          </w:p>
        </w:tc>
        <w:tc>
          <w:tcPr>
            <w:tcW w:w="0" w:type="auto"/>
            <w:shd w:val="clear" w:color="auto" w:fill="auto"/>
            <w:hideMark/>
          </w:tcPr>
          <w:p w14:paraId="0E0745A2" w14:textId="77777777" w:rsidR="002F0133" w:rsidRPr="000B4E2C" w:rsidRDefault="002F0133" w:rsidP="008A7464">
            <w:pPr>
              <w:rPr>
                <w:b/>
                <w:bCs/>
                <w:sz w:val="22"/>
                <w:lang w:eastAsia="en-GB"/>
              </w:rPr>
            </w:pPr>
            <w:r w:rsidRPr="000B4E2C">
              <w:rPr>
                <w:b/>
                <w:bCs/>
                <w:sz w:val="22"/>
                <w:lang w:eastAsia="en-GB"/>
              </w:rPr>
              <w:t>Inc. QALY</w:t>
            </w:r>
          </w:p>
        </w:tc>
        <w:tc>
          <w:tcPr>
            <w:tcW w:w="0" w:type="auto"/>
            <w:shd w:val="clear" w:color="auto" w:fill="auto"/>
            <w:hideMark/>
          </w:tcPr>
          <w:p w14:paraId="480710B9" w14:textId="77777777" w:rsidR="002F0133" w:rsidRPr="000B4E2C" w:rsidRDefault="002F0133" w:rsidP="008A7464">
            <w:pPr>
              <w:rPr>
                <w:b/>
                <w:bCs/>
                <w:sz w:val="22"/>
                <w:lang w:eastAsia="en-GB"/>
              </w:rPr>
            </w:pPr>
            <w:r w:rsidRPr="000B4E2C">
              <w:rPr>
                <w:b/>
                <w:bCs/>
                <w:sz w:val="22"/>
                <w:lang w:eastAsia="en-GB"/>
              </w:rPr>
              <w:t>ICER (inc)</w:t>
            </w:r>
          </w:p>
        </w:tc>
        <w:tc>
          <w:tcPr>
            <w:tcW w:w="0" w:type="auto"/>
            <w:shd w:val="clear" w:color="auto" w:fill="auto"/>
            <w:hideMark/>
          </w:tcPr>
          <w:p w14:paraId="52195DE0" w14:textId="77777777" w:rsidR="002F0133" w:rsidRPr="000B4E2C" w:rsidRDefault="002F0133" w:rsidP="008A7464">
            <w:pPr>
              <w:rPr>
                <w:b/>
                <w:bCs/>
                <w:sz w:val="22"/>
                <w:lang w:eastAsia="en-GB"/>
              </w:rPr>
            </w:pPr>
            <w:r w:rsidRPr="000B4E2C">
              <w:rPr>
                <w:b/>
                <w:bCs/>
                <w:sz w:val="22"/>
                <w:lang w:eastAsia="en-GB"/>
              </w:rPr>
              <w:t>ICER vs. SC</w:t>
            </w:r>
          </w:p>
        </w:tc>
        <w:tc>
          <w:tcPr>
            <w:tcW w:w="0" w:type="auto"/>
            <w:shd w:val="clear" w:color="auto" w:fill="auto"/>
            <w:hideMark/>
          </w:tcPr>
          <w:p w14:paraId="32333DF5" w14:textId="77777777" w:rsidR="002F0133" w:rsidRPr="000B4E2C" w:rsidRDefault="002F0133" w:rsidP="008A7464">
            <w:pPr>
              <w:rPr>
                <w:b/>
                <w:bCs/>
                <w:sz w:val="22"/>
                <w:lang w:eastAsia="en-GB"/>
              </w:rPr>
            </w:pPr>
            <w:r w:rsidRPr="000B4E2C">
              <w:rPr>
                <w:b/>
                <w:bCs/>
                <w:i/>
                <w:color w:val="00B0F0"/>
                <w:sz w:val="22"/>
                <w:lang w:eastAsia="en-GB"/>
              </w:rPr>
              <w:t>p</w:t>
            </w:r>
            <w:r w:rsidRPr="000B4E2C">
              <w:rPr>
                <w:b/>
                <w:bCs/>
                <w:sz w:val="22"/>
                <w:lang w:eastAsia="en-GB"/>
              </w:rPr>
              <w:t xml:space="preserve"> (C/E) @ 20k</w:t>
            </w:r>
          </w:p>
        </w:tc>
        <w:tc>
          <w:tcPr>
            <w:tcW w:w="0" w:type="auto"/>
            <w:shd w:val="clear" w:color="auto" w:fill="auto"/>
            <w:hideMark/>
          </w:tcPr>
          <w:p w14:paraId="72DCA2D6" w14:textId="77777777" w:rsidR="002F0133" w:rsidRPr="000B4E2C" w:rsidRDefault="002F0133" w:rsidP="008A7464">
            <w:pPr>
              <w:rPr>
                <w:b/>
                <w:bCs/>
                <w:sz w:val="22"/>
                <w:lang w:eastAsia="en-GB"/>
              </w:rPr>
            </w:pPr>
            <w:r w:rsidRPr="000B4E2C">
              <w:rPr>
                <w:b/>
                <w:bCs/>
                <w:i/>
                <w:color w:val="00B0F0"/>
                <w:sz w:val="22"/>
                <w:lang w:eastAsia="en-GB"/>
              </w:rPr>
              <w:t>p</w:t>
            </w:r>
            <w:r w:rsidRPr="000B4E2C">
              <w:rPr>
                <w:b/>
                <w:bCs/>
                <w:sz w:val="22"/>
                <w:lang w:eastAsia="en-GB"/>
              </w:rPr>
              <w:t xml:space="preserve"> (C/E) @ 20k vs. SC</w:t>
            </w:r>
          </w:p>
        </w:tc>
      </w:tr>
      <w:tr w:rsidR="002F0133" w:rsidRPr="000B4E2C" w14:paraId="5E344E70" w14:textId="77777777" w:rsidTr="000B4E2C">
        <w:trPr>
          <w:cantSplit/>
        </w:trPr>
        <w:tc>
          <w:tcPr>
            <w:tcW w:w="0" w:type="auto"/>
            <w:gridSpan w:val="9"/>
            <w:shd w:val="clear" w:color="auto" w:fill="auto"/>
            <w:noWrap/>
            <w:hideMark/>
          </w:tcPr>
          <w:p w14:paraId="1C0DF31D" w14:textId="19B18B3E" w:rsidR="002F0133" w:rsidRPr="000B4E2C" w:rsidRDefault="002F0133" w:rsidP="008A7464">
            <w:pPr>
              <w:rPr>
                <w:b/>
                <w:bCs/>
                <w:sz w:val="22"/>
                <w:lang w:eastAsia="en-GB"/>
              </w:rPr>
            </w:pPr>
            <w:r w:rsidRPr="000B4E2C">
              <w:rPr>
                <w:b/>
                <w:bCs/>
                <w:sz w:val="22"/>
                <w:lang w:eastAsia="en-GB"/>
              </w:rPr>
              <w:t xml:space="preserve">Scenario </w:t>
            </w:r>
            <w:r w:rsidR="000B4E2C" w:rsidRPr="000B4E2C">
              <w:rPr>
                <w:b/>
                <w:bCs/>
                <w:color w:val="00B0F0"/>
                <w:sz w:val="22"/>
                <w:lang w:eastAsia="en-GB"/>
              </w:rPr>
              <w:t>1</w:t>
            </w:r>
            <w:r w:rsidR="000B4E2C" w:rsidRPr="000B4E2C">
              <w:rPr>
                <w:b/>
                <w:bCs/>
                <w:color w:val="00B0F0"/>
                <w:sz w:val="22"/>
                <w:lang w:eastAsia="en-GB"/>
              </w:rPr>
              <w:t> </w:t>
            </w:r>
            <w:r w:rsidR="000B4E2C" w:rsidRPr="000B4E2C">
              <w:rPr>
                <w:b/>
                <w:bCs/>
                <w:color w:val="00B0F0"/>
                <w:sz w:val="22"/>
                <w:lang w:eastAsia="en-GB"/>
              </w:rPr>
              <w:t>A:</w:t>
            </w:r>
            <w:r w:rsidRPr="000B4E2C">
              <w:rPr>
                <w:b/>
                <w:bCs/>
                <w:sz w:val="22"/>
                <w:lang w:eastAsia="en-GB"/>
              </w:rPr>
              <w:t xml:space="preserve"> Preferred base case assuming an associative effect of averting and mitigating AKI</w:t>
            </w:r>
          </w:p>
        </w:tc>
      </w:tr>
      <w:tr w:rsidR="002F0133" w:rsidRPr="000B4E2C" w14:paraId="4270FAB1" w14:textId="77777777" w:rsidTr="000B4E2C">
        <w:trPr>
          <w:cantSplit/>
        </w:trPr>
        <w:tc>
          <w:tcPr>
            <w:tcW w:w="0" w:type="auto"/>
            <w:shd w:val="clear" w:color="auto" w:fill="auto"/>
            <w:noWrap/>
            <w:hideMark/>
          </w:tcPr>
          <w:p w14:paraId="17B213A7" w14:textId="7F83F5C0"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25A8B5E7" w14:textId="77777777" w:rsidR="002F0133" w:rsidRPr="000B4E2C" w:rsidRDefault="002F0133" w:rsidP="008A7464">
            <w:pPr>
              <w:rPr>
                <w:sz w:val="22"/>
                <w:lang w:eastAsia="en-GB"/>
              </w:rPr>
            </w:pPr>
            <w:r w:rsidRPr="000B4E2C">
              <w:rPr>
                <w:sz w:val="22"/>
                <w:lang w:eastAsia="en-GB"/>
              </w:rPr>
              <w:t>£22,887</w:t>
            </w:r>
          </w:p>
        </w:tc>
        <w:tc>
          <w:tcPr>
            <w:tcW w:w="0" w:type="auto"/>
            <w:shd w:val="clear" w:color="auto" w:fill="auto"/>
            <w:noWrap/>
            <w:hideMark/>
          </w:tcPr>
          <w:p w14:paraId="5457164A"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2BFEF7A4" w14:textId="77777777" w:rsidR="002F0133" w:rsidRPr="000B4E2C" w:rsidRDefault="002F0133" w:rsidP="008A7464">
            <w:pPr>
              <w:rPr>
                <w:sz w:val="22"/>
                <w:lang w:eastAsia="en-GB"/>
              </w:rPr>
            </w:pPr>
            <w:r w:rsidRPr="000B4E2C">
              <w:rPr>
                <w:sz w:val="22"/>
                <w:lang w:eastAsia="en-GB"/>
              </w:rPr>
              <w:t>6.07332</w:t>
            </w:r>
          </w:p>
        </w:tc>
        <w:tc>
          <w:tcPr>
            <w:tcW w:w="0" w:type="auto"/>
            <w:shd w:val="clear" w:color="auto" w:fill="auto"/>
            <w:noWrap/>
            <w:hideMark/>
          </w:tcPr>
          <w:p w14:paraId="6F6F117D"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12FECA1F"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39CB557"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3DE5BFA5" w14:textId="77777777" w:rsidR="002F0133" w:rsidRPr="000B4E2C" w:rsidRDefault="002F0133" w:rsidP="008A7464">
            <w:pPr>
              <w:rPr>
                <w:sz w:val="22"/>
                <w:lang w:eastAsia="en-GB"/>
              </w:rPr>
            </w:pPr>
            <w:r w:rsidRPr="000B4E2C">
              <w:rPr>
                <w:sz w:val="22"/>
                <w:lang w:eastAsia="en-GB"/>
              </w:rPr>
              <w:t>43.5%</w:t>
            </w:r>
          </w:p>
        </w:tc>
        <w:tc>
          <w:tcPr>
            <w:tcW w:w="0" w:type="auto"/>
            <w:shd w:val="clear" w:color="auto" w:fill="auto"/>
            <w:noWrap/>
            <w:hideMark/>
          </w:tcPr>
          <w:p w14:paraId="31F5EC24" w14:textId="77777777" w:rsidR="002F0133" w:rsidRPr="000B4E2C" w:rsidRDefault="002F0133" w:rsidP="008A7464">
            <w:pPr>
              <w:rPr>
                <w:sz w:val="22"/>
                <w:lang w:eastAsia="en-GB"/>
              </w:rPr>
            </w:pPr>
            <w:r w:rsidRPr="000B4E2C">
              <w:rPr>
                <w:sz w:val="22"/>
                <w:lang w:eastAsia="en-GB"/>
              </w:rPr>
              <w:t>54.6%</w:t>
            </w:r>
          </w:p>
        </w:tc>
      </w:tr>
      <w:tr w:rsidR="002F0133" w:rsidRPr="000B4E2C" w14:paraId="77F7AA9F" w14:textId="77777777" w:rsidTr="000B4E2C">
        <w:trPr>
          <w:cantSplit/>
        </w:trPr>
        <w:tc>
          <w:tcPr>
            <w:tcW w:w="0" w:type="auto"/>
            <w:shd w:val="clear" w:color="auto" w:fill="auto"/>
            <w:noWrap/>
            <w:hideMark/>
          </w:tcPr>
          <w:p w14:paraId="034E3B6F" w14:textId="002146F3"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6B4AD0B6" w14:textId="77777777" w:rsidR="002F0133" w:rsidRPr="000B4E2C" w:rsidRDefault="002F0133" w:rsidP="008A7464">
            <w:pPr>
              <w:rPr>
                <w:sz w:val="22"/>
                <w:lang w:eastAsia="en-GB"/>
              </w:rPr>
            </w:pPr>
            <w:r w:rsidRPr="000B4E2C">
              <w:rPr>
                <w:sz w:val="22"/>
                <w:lang w:eastAsia="en-GB"/>
              </w:rPr>
              <w:t>£22,900</w:t>
            </w:r>
          </w:p>
        </w:tc>
        <w:tc>
          <w:tcPr>
            <w:tcW w:w="0" w:type="auto"/>
            <w:shd w:val="clear" w:color="auto" w:fill="auto"/>
            <w:noWrap/>
            <w:hideMark/>
          </w:tcPr>
          <w:p w14:paraId="3035C996" w14:textId="77777777" w:rsidR="002F0133" w:rsidRPr="000B4E2C" w:rsidRDefault="002F0133" w:rsidP="008A7464">
            <w:pPr>
              <w:rPr>
                <w:sz w:val="22"/>
                <w:lang w:eastAsia="en-GB"/>
              </w:rPr>
            </w:pPr>
            <w:r w:rsidRPr="000B4E2C">
              <w:rPr>
                <w:sz w:val="22"/>
                <w:lang w:eastAsia="en-GB"/>
              </w:rPr>
              <w:t>£14</w:t>
            </w:r>
          </w:p>
        </w:tc>
        <w:tc>
          <w:tcPr>
            <w:tcW w:w="0" w:type="auto"/>
            <w:shd w:val="clear" w:color="auto" w:fill="auto"/>
            <w:noWrap/>
            <w:hideMark/>
          </w:tcPr>
          <w:p w14:paraId="1A834674" w14:textId="77777777" w:rsidR="002F0133" w:rsidRPr="000B4E2C" w:rsidRDefault="002F0133" w:rsidP="008A7464">
            <w:pPr>
              <w:rPr>
                <w:sz w:val="22"/>
                <w:lang w:eastAsia="en-GB"/>
              </w:rPr>
            </w:pPr>
            <w:r w:rsidRPr="000B4E2C">
              <w:rPr>
                <w:sz w:val="22"/>
                <w:lang w:eastAsia="en-GB"/>
              </w:rPr>
              <w:t>6.07332</w:t>
            </w:r>
          </w:p>
        </w:tc>
        <w:tc>
          <w:tcPr>
            <w:tcW w:w="0" w:type="auto"/>
            <w:shd w:val="clear" w:color="auto" w:fill="auto"/>
            <w:noWrap/>
            <w:hideMark/>
          </w:tcPr>
          <w:p w14:paraId="39328424" w14:textId="77777777" w:rsidR="002F0133" w:rsidRPr="000B4E2C" w:rsidRDefault="002F0133" w:rsidP="008A7464">
            <w:pPr>
              <w:rPr>
                <w:sz w:val="22"/>
                <w:lang w:eastAsia="en-GB"/>
              </w:rPr>
            </w:pPr>
            <w:r w:rsidRPr="000B4E2C">
              <w:rPr>
                <w:sz w:val="22"/>
                <w:lang w:eastAsia="en-GB"/>
              </w:rPr>
              <w:t>0.00001</w:t>
            </w:r>
          </w:p>
        </w:tc>
        <w:tc>
          <w:tcPr>
            <w:tcW w:w="0" w:type="auto"/>
            <w:shd w:val="clear" w:color="auto" w:fill="auto"/>
            <w:noWrap/>
            <w:hideMark/>
          </w:tcPr>
          <w:p w14:paraId="6204352A" w14:textId="77777777" w:rsidR="002F0133" w:rsidRPr="000B4E2C" w:rsidRDefault="002F0133" w:rsidP="008A7464">
            <w:pPr>
              <w:rPr>
                <w:sz w:val="22"/>
                <w:lang w:eastAsia="en-GB"/>
              </w:rPr>
            </w:pPr>
            <w:r w:rsidRPr="000B4E2C">
              <w:rPr>
                <w:sz w:val="22"/>
                <w:lang w:eastAsia="en-GB"/>
              </w:rPr>
              <w:t>£2,694,918</w:t>
            </w:r>
          </w:p>
        </w:tc>
        <w:tc>
          <w:tcPr>
            <w:tcW w:w="0" w:type="auto"/>
            <w:shd w:val="clear" w:color="auto" w:fill="auto"/>
            <w:noWrap/>
            <w:hideMark/>
          </w:tcPr>
          <w:p w14:paraId="56786F2A"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654D6F1A" w14:textId="77777777" w:rsidR="002F0133" w:rsidRPr="000B4E2C" w:rsidRDefault="002F0133" w:rsidP="008A7464">
            <w:pPr>
              <w:rPr>
                <w:sz w:val="22"/>
                <w:lang w:eastAsia="en-GB"/>
              </w:rPr>
            </w:pPr>
            <w:r w:rsidRPr="000B4E2C">
              <w:rPr>
                <w:sz w:val="22"/>
                <w:lang w:eastAsia="en-GB"/>
              </w:rPr>
              <w:t>11.1%</w:t>
            </w:r>
          </w:p>
        </w:tc>
        <w:tc>
          <w:tcPr>
            <w:tcW w:w="0" w:type="auto"/>
            <w:shd w:val="clear" w:color="auto" w:fill="auto"/>
            <w:noWrap/>
            <w:hideMark/>
          </w:tcPr>
          <w:p w14:paraId="66AC3845" w14:textId="77777777" w:rsidR="002F0133" w:rsidRPr="000B4E2C" w:rsidRDefault="002F0133" w:rsidP="008A7464">
            <w:pPr>
              <w:rPr>
                <w:sz w:val="22"/>
                <w:lang w:eastAsia="en-GB"/>
              </w:rPr>
            </w:pPr>
            <w:r w:rsidRPr="000B4E2C">
              <w:rPr>
                <w:sz w:val="22"/>
                <w:lang w:eastAsia="en-GB"/>
              </w:rPr>
              <w:t>47.6%</w:t>
            </w:r>
          </w:p>
        </w:tc>
      </w:tr>
      <w:tr w:rsidR="002F0133" w:rsidRPr="000B4E2C" w14:paraId="5D30CBAE" w14:textId="77777777" w:rsidTr="000B4E2C">
        <w:trPr>
          <w:cantSplit/>
        </w:trPr>
        <w:tc>
          <w:tcPr>
            <w:tcW w:w="0" w:type="auto"/>
            <w:shd w:val="clear" w:color="auto" w:fill="auto"/>
            <w:noWrap/>
            <w:hideMark/>
          </w:tcPr>
          <w:p w14:paraId="735983C1"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4C2075D4" w14:textId="77777777" w:rsidR="002F0133" w:rsidRPr="000B4E2C" w:rsidRDefault="002F0133" w:rsidP="008A7464">
            <w:pPr>
              <w:rPr>
                <w:sz w:val="22"/>
                <w:lang w:eastAsia="en-GB"/>
              </w:rPr>
            </w:pPr>
            <w:r w:rsidRPr="000B4E2C">
              <w:rPr>
                <w:sz w:val="22"/>
                <w:lang w:eastAsia="en-GB"/>
              </w:rPr>
              <w:t>£22,901</w:t>
            </w:r>
          </w:p>
        </w:tc>
        <w:tc>
          <w:tcPr>
            <w:tcW w:w="0" w:type="auto"/>
            <w:shd w:val="clear" w:color="auto" w:fill="auto"/>
            <w:noWrap/>
            <w:hideMark/>
          </w:tcPr>
          <w:p w14:paraId="1455237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13DE006" w14:textId="77777777" w:rsidR="002F0133" w:rsidRPr="000B4E2C" w:rsidRDefault="002F0133" w:rsidP="008A7464">
            <w:pPr>
              <w:rPr>
                <w:sz w:val="22"/>
                <w:lang w:eastAsia="en-GB"/>
              </w:rPr>
            </w:pPr>
            <w:r w:rsidRPr="000B4E2C">
              <w:rPr>
                <w:sz w:val="22"/>
                <w:lang w:eastAsia="en-GB"/>
              </w:rPr>
              <w:t>6.07296</w:t>
            </w:r>
          </w:p>
        </w:tc>
        <w:tc>
          <w:tcPr>
            <w:tcW w:w="0" w:type="auto"/>
            <w:shd w:val="clear" w:color="auto" w:fill="auto"/>
            <w:noWrap/>
            <w:hideMark/>
          </w:tcPr>
          <w:p w14:paraId="5DC8199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089FC9C"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8ACCF34"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895D243" w14:textId="77777777" w:rsidR="002F0133" w:rsidRPr="000B4E2C" w:rsidRDefault="002F0133" w:rsidP="008A7464">
            <w:pPr>
              <w:rPr>
                <w:sz w:val="22"/>
                <w:lang w:eastAsia="en-GB"/>
              </w:rPr>
            </w:pPr>
            <w:r w:rsidRPr="000B4E2C">
              <w:rPr>
                <w:sz w:val="22"/>
                <w:lang w:eastAsia="en-GB"/>
              </w:rPr>
              <w:t>45.1%</w:t>
            </w:r>
          </w:p>
        </w:tc>
        <w:tc>
          <w:tcPr>
            <w:tcW w:w="0" w:type="auto"/>
            <w:shd w:val="clear" w:color="auto" w:fill="auto"/>
            <w:noWrap/>
            <w:hideMark/>
          </w:tcPr>
          <w:p w14:paraId="76B01C0B" w14:textId="77777777" w:rsidR="002F0133" w:rsidRPr="000B4E2C" w:rsidRDefault="002F0133" w:rsidP="008A7464">
            <w:pPr>
              <w:rPr>
                <w:sz w:val="22"/>
                <w:lang w:eastAsia="en-GB"/>
              </w:rPr>
            </w:pPr>
            <w:r w:rsidRPr="000B4E2C">
              <w:rPr>
                <w:sz w:val="22"/>
                <w:lang w:eastAsia="en-GB"/>
              </w:rPr>
              <w:t>--</w:t>
            </w:r>
          </w:p>
        </w:tc>
      </w:tr>
      <w:tr w:rsidR="002F0133" w:rsidRPr="000B4E2C" w14:paraId="4C4B151C" w14:textId="77777777" w:rsidTr="000B4E2C">
        <w:trPr>
          <w:cantSplit/>
        </w:trPr>
        <w:tc>
          <w:tcPr>
            <w:tcW w:w="0" w:type="auto"/>
            <w:shd w:val="clear" w:color="auto" w:fill="auto"/>
            <w:noWrap/>
            <w:hideMark/>
          </w:tcPr>
          <w:p w14:paraId="3402AB74" w14:textId="29E3EAE3"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6578416D" w14:textId="77777777" w:rsidR="002F0133" w:rsidRPr="000B4E2C" w:rsidRDefault="002F0133" w:rsidP="008A7464">
            <w:pPr>
              <w:rPr>
                <w:sz w:val="22"/>
                <w:lang w:eastAsia="en-GB"/>
              </w:rPr>
            </w:pPr>
            <w:r w:rsidRPr="000B4E2C">
              <w:rPr>
                <w:sz w:val="22"/>
                <w:lang w:eastAsia="en-GB"/>
              </w:rPr>
              <w:t>£22,912</w:t>
            </w:r>
          </w:p>
        </w:tc>
        <w:tc>
          <w:tcPr>
            <w:tcW w:w="0" w:type="auto"/>
            <w:shd w:val="clear" w:color="auto" w:fill="auto"/>
            <w:noWrap/>
            <w:hideMark/>
          </w:tcPr>
          <w:p w14:paraId="5172ECF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0F93E3B" w14:textId="77777777" w:rsidR="002F0133" w:rsidRPr="000B4E2C" w:rsidRDefault="002F0133" w:rsidP="008A7464">
            <w:pPr>
              <w:rPr>
                <w:sz w:val="22"/>
                <w:lang w:eastAsia="en-GB"/>
              </w:rPr>
            </w:pPr>
            <w:r w:rsidRPr="000B4E2C">
              <w:rPr>
                <w:sz w:val="22"/>
                <w:lang w:eastAsia="en-GB"/>
              </w:rPr>
              <w:t>6.07328</w:t>
            </w:r>
          </w:p>
        </w:tc>
        <w:tc>
          <w:tcPr>
            <w:tcW w:w="0" w:type="auto"/>
            <w:shd w:val="clear" w:color="auto" w:fill="auto"/>
            <w:noWrap/>
            <w:hideMark/>
          </w:tcPr>
          <w:p w14:paraId="34D5455C"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4D2B1C9"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1FB6447" w14:textId="77777777" w:rsidR="002F0133" w:rsidRPr="000B4E2C" w:rsidRDefault="002F0133" w:rsidP="008A7464">
            <w:pPr>
              <w:rPr>
                <w:sz w:val="22"/>
                <w:lang w:eastAsia="en-GB"/>
              </w:rPr>
            </w:pPr>
            <w:r w:rsidRPr="000B4E2C">
              <w:t>£32,131</w:t>
            </w:r>
          </w:p>
        </w:tc>
        <w:tc>
          <w:tcPr>
            <w:tcW w:w="0" w:type="auto"/>
            <w:shd w:val="clear" w:color="auto" w:fill="auto"/>
            <w:noWrap/>
            <w:hideMark/>
          </w:tcPr>
          <w:p w14:paraId="3442E62A" w14:textId="77777777" w:rsidR="002F0133" w:rsidRPr="000B4E2C" w:rsidRDefault="002F0133" w:rsidP="008A7464">
            <w:pPr>
              <w:rPr>
                <w:sz w:val="22"/>
                <w:lang w:eastAsia="en-GB"/>
              </w:rPr>
            </w:pPr>
            <w:r w:rsidRPr="000B4E2C">
              <w:rPr>
                <w:sz w:val="22"/>
                <w:lang w:eastAsia="en-GB"/>
              </w:rPr>
              <w:t>0.1%</w:t>
            </w:r>
          </w:p>
        </w:tc>
        <w:tc>
          <w:tcPr>
            <w:tcW w:w="0" w:type="auto"/>
            <w:shd w:val="clear" w:color="auto" w:fill="auto"/>
            <w:noWrap/>
            <w:hideMark/>
          </w:tcPr>
          <w:p w14:paraId="0584A218" w14:textId="77777777" w:rsidR="002F0133" w:rsidRPr="000B4E2C" w:rsidRDefault="002F0133" w:rsidP="008A7464">
            <w:pPr>
              <w:rPr>
                <w:sz w:val="22"/>
                <w:lang w:eastAsia="en-GB"/>
              </w:rPr>
            </w:pPr>
            <w:r w:rsidRPr="000B4E2C">
              <w:rPr>
                <w:sz w:val="22"/>
                <w:lang w:eastAsia="en-GB"/>
              </w:rPr>
              <w:t>41.4%</w:t>
            </w:r>
          </w:p>
        </w:tc>
      </w:tr>
      <w:tr w:rsidR="002F0133" w:rsidRPr="000B4E2C" w14:paraId="0D36D5EE" w14:textId="77777777" w:rsidTr="000B4E2C">
        <w:trPr>
          <w:cantSplit/>
        </w:trPr>
        <w:tc>
          <w:tcPr>
            <w:tcW w:w="0" w:type="auto"/>
            <w:shd w:val="clear" w:color="auto" w:fill="auto"/>
            <w:noWrap/>
            <w:hideMark/>
          </w:tcPr>
          <w:p w14:paraId="7775BB52"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7AA0250F" w14:textId="77777777" w:rsidR="002F0133" w:rsidRPr="000B4E2C" w:rsidRDefault="002F0133" w:rsidP="008A7464">
            <w:pPr>
              <w:rPr>
                <w:sz w:val="22"/>
                <w:lang w:eastAsia="en-GB"/>
              </w:rPr>
            </w:pPr>
            <w:r w:rsidRPr="000B4E2C">
              <w:rPr>
                <w:sz w:val="22"/>
                <w:lang w:eastAsia="en-GB"/>
              </w:rPr>
              <w:t>£22,938</w:t>
            </w:r>
          </w:p>
        </w:tc>
        <w:tc>
          <w:tcPr>
            <w:tcW w:w="0" w:type="auto"/>
            <w:shd w:val="clear" w:color="auto" w:fill="auto"/>
            <w:noWrap/>
            <w:hideMark/>
          </w:tcPr>
          <w:p w14:paraId="6CBA9C6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E0FAB55" w14:textId="77777777" w:rsidR="002F0133" w:rsidRPr="000B4E2C" w:rsidRDefault="002F0133" w:rsidP="008A7464">
            <w:pPr>
              <w:rPr>
                <w:sz w:val="22"/>
                <w:lang w:eastAsia="en-GB"/>
              </w:rPr>
            </w:pPr>
            <w:r w:rsidRPr="000B4E2C">
              <w:rPr>
                <w:sz w:val="22"/>
                <w:lang w:eastAsia="en-GB"/>
              </w:rPr>
              <w:t>6.07332</w:t>
            </w:r>
          </w:p>
        </w:tc>
        <w:tc>
          <w:tcPr>
            <w:tcW w:w="0" w:type="auto"/>
            <w:shd w:val="clear" w:color="auto" w:fill="auto"/>
            <w:noWrap/>
            <w:hideMark/>
          </w:tcPr>
          <w:p w14:paraId="4A2CBC76"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146D9E1"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6214C82" w14:textId="77777777" w:rsidR="002F0133" w:rsidRPr="000B4E2C" w:rsidRDefault="002F0133" w:rsidP="008A7464">
            <w:pPr>
              <w:rPr>
                <w:sz w:val="22"/>
                <w:lang w:eastAsia="en-GB"/>
              </w:rPr>
            </w:pPr>
            <w:r w:rsidRPr="000B4E2C">
              <w:t>£101,456</w:t>
            </w:r>
          </w:p>
        </w:tc>
        <w:tc>
          <w:tcPr>
            <w:tcW w:w="0" w:type="auto"/>
            <w:shd w:val="clear" w:color="auto" w:fill="auto"/>
            <w:noWrap/>
            <w:hideMark/>
          </w:tcPr>
          <w:p w14:paraId="4680BA71" w14:textId="77777777" w:rsidR="002F0133" w:rsidRPr="000B4E2C" w:rsidRDefault="002F0133" w:rsidP="008A7464">
            <w:pPr>
              <w:rPr>
                <w:sz w:val="22"/>
                <w:lang w:eastAsia="en-GB"/>
              </w:rPr>
            </w:pPr>
            <w:r w:rsidRPr="000B4E2C">
              <w:rPr>
                <w:sz w:val="22"/>
                <w:lang w:eastAsia="en-GB"/>
              </w:rPr>
              <w:t>0.2%</w:t>
            </w:r>
          </w:p>
        </w:tc>
        <w:tc>
          <w:tcPr>
            <w:tcW w:w="0" w:type="auto"/>
            <w:shd w:val="clear" w:color="auto" w:fill="auto"/>
            <w:noWrap/>
            <w:hideMark/>
          </w:tcPr>
          <w:p w14:paraId="537D6920" w14:textId="77777777" w:rsidR="002F0133" w:rsidRPr="000B4E2C" w:rsidRDefault="002F0133" w:rsidP="008A7464">
            <w:pPr>
              <w:rPr>
                <w:sz w:val="22"/>
                <w:lang w:eastAsia="en-GB"/>
              </w:rPr>
            </w:pPr>
            <w:r w:rsidRPr="000B4E2C">
              <w:rPr>
                <w:sz w:val="22"/>
                <w:lang w:eastAsia="en-GB"/>
              </w:rPr>
              <w:t>31.9%</w:t>
            </w:r>
          </w:p>
        </w:tc>
      </w:tr>
      <w:tr w:rsidR="002F0133" w:rsidRPr="000B4E2C" w14:paraId="7331A893" w14:textId="77777777" w:rsidTr="000B4E2C">
        <w:trPr>
          <w:cantSplit/>
        </w:trPr>
        <w:tc>
          <w:tcPr>
            <w:tcW w:w="0" w:type="auto"/>
            <w:gridSpan w:val="9"/>
            <w:shd w:val="clear" w:color="auto" w:fill="auto"/>
            <w:noWrap/>
            <w:hideMark/>
          </w:tcPr>
          <w:p w14:paraId="0BB9D51E" w14:textId="232E169A" w:rsidR="002F0133" w:rsidRPr="000B4E2C" w:rsidRDefault="002F0133" w:rsidP="008A7464">
            <w:pPr>
              <w:rPr>
                <w:b/>
                <w:bCs/>
                <w:sz w:val="22"/>
                <w:lang w:eastAsia="en-GB"/>
              </w:rPr>
            </w:pPr>
            <w:r w:rsidRPr="000B4E2C">
              <w:rPr>
                <w:b/>
                <w:bCs/>
                <w:sz w:val="22"/>
                <w:lang w:eastAsia="en-GB"/>
              </w:rPr>
              <w:t>Scenario 1B: Apply the full associative effect on the redistributed cohort only and assuming that the test impacts on the probability of dying at 90 days.</w:t>
            </w:r>
            <w:r w:rsidR="000B4E2C" w:rsidRPr="000B4E2C">
              <w:rPr>
                <w:b/>
                <w:bCs/>
                <w:sz w:val="22"/>
                <w:lang w:eastAsia="en-GB"/>
              </w:rPr>
              <w:t xml:space="preserve"> </w:t>
            </w:r>
          </w:p>
        </w:tc>
      </w:tr>
      <w:tr w:rsidR="002F0133" w:rsidRPr="000B4E2C" w14:paraId="47753E88" w14:textId="77777777" w:rsidTr="000B4E2C">
        <w:trPr>
          <w:cantSplit/>
        </w:trPr>
        <w:tc>
          <w:tcPr>
            <w:tcW w:w="0" w:type="auto"/>
            <w:shd w:val="clear" w:color="auto" w:fill="auto"/>
            <w:noWrap/>
            <w:hideMark/>
          </w:tcPr>
          <w:p w14:paraId="531D16F2"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1E063262" w14:textId="77777777" w:rsidR="002F0133" w:rsidRPr="000B4E2C" w:rsidRDefault="002F0133" w:rsidP="008A7464">
            <w:pPr>
              <w:rPr>
                <w:sz w:val="22"/>
                <w:lang w:eastAsia="en-GB"/>
              </w:rPr>
            </w:pPr>
            <w:r w:rsidRPr="000B4E2C">
              <w:rPr>
                <w:sz w:val="22"/>
                <w:lang w:eastAsia="en-GB"/>
              </w:rPr>
              <w:t>£22,829</w:t>
            </w:r>
          </w:p>
        </w:tc>
        <w:tc>
          <w:tcPr>
            <w:tcW w:w="0" w:type="auto"/>
            <w:shd w:val="clear" w:color="auto" w:fill="auto"/>
            <w:noWrap/>
            <w:hideMark/>
          </w:tcPr>
          <w:p w14:paraId="6EC7A5BA"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7C2DBF63" w14:textId="77777777" w:rsidR="002F0133" w:rsidRPr="000B4E2C" w:rsidRDefault="002F0133" w:rsidP="008A7464">
            <w:pPr>
              <w:rPr>
                <w:sz w:val="22"/>
                <w:lang w:eastAsia="en-GB"/>
              </w:rPr>
            </w:pPr>
            <w:r w:rsidRPr="000B4E2C">
              <w:rPr>
                <w:sz w:val="22"/>
                <w:lang w:eastAsia="en-GB"/>
              </w:rPr>
              <w:t>6.08377</w:t>
            </w:r>
          </w:p>
        </w:tc>
        <w:tc>
          <w:tcPr>
            <w:tcW w:w="0" w:type="auto"/>
            <w:shd w:val="clear" w:color="auto" w:fill="auto"/>
            <w:noWrap/>
            <w:hideMark/>
          </w:tcPr>
          <w:p w14:paraId="02142BAF"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ADC8FA5"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A7F9A30"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6C4B0DD5" w14:textId="77777777" w:rsidR="002F0133" w:rsidRPr="000B4E2C" w:rsidRDefault="002F0133" w:rsidP="008A7464">
            <w:pPr>
              <w:rPr>
                <w:sz w:val="22"/>
                <w:lang w:eastAsia="en-GB"/>
              </w:rPr>
            </w:pPr>
            <w:r w:rsidRPr="000B4E2C">
              <w:rPr>
                <w:sz w:val="22"/>
                <w:lang w:eastAsia="en-GB"/>
              </w:rPr>
              <w:t>57.5%</w:t>
            </w:r>
          </w:p>
        </w:tc>
        <w:tc>
          <w:tcPr>
            <w:tcW w:w="0" w:type="auto"/>
            <w:shd w:val="clear" w:color="auto" w:fill="auto"/>
            <w:noWrap/>
            <w:hideMark/>
          </w:tcPr>
          <w:p w14:paraId="165EA1E3" w14:textId="77777777" w:rsidR="002F0133" w:rsidRPr="000B4E2C" w:rsidRDefault="002F0133" w:rsidP="008A7464">
            <w:pPr>
              <w:rPr>
                <w:sz w:val="22"/>
                <w:lang w:eastAsia="en-GB"/>
              </w:rPr>
            </w:pPr>
            <w:r w:rsidRPr="000B4E2C">
              <w:rPr>
                <w:sz w:val="22"/>
                <w:lang w:eastAsia="en-GB"/>
              </w:rPr>
              <w:t>--</w:t>
            </w:r>
          </w:p>
        </w:tc>
      </w:tr>
      <w:tr w:rsidR="002F0133" w:rsidRPr="000B4E2C" w14:paraId="76117349" w14:textId="77777777" w:rsidTr="000B4E2C">
        <w:trPr>
          <w:cantSplit/>
        </w:trPr>
        <w:tc>
          <w:tcPr>
            <w:tcW w:w="0" w:type="auto"/>
            <w:shd w:val="clear" w:color="auto" w:fill="auto"/>
            <w:noWrap/>
            <w:hideMark/>
          </w:tcPr>
          <w:p w14:paraId="77ECC2AA" w14:textId="2871C77E"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50F4FD1A" w14:textId="77777777" w:rsidR="002F0133" w:rsidRPr="000B4E2C" w:rsidRDefault="002F0133" w:rsidP="008A7464">
            <w:pPr>
              <w:rPr>
                <w:sz w:val="22"/>
                <w:lang w:eastAsia="en-GB"/>
              </w:rPr>
            </w:pPr>
            <w:r w:rsidRPr="000B4E2C">
              <w:rPr>
                <w:sz w:val="22"/>
                <w:lang w:eastAsia="en-GB"/>
              </w:rPr>
              <w:t>£22,937</w:t>
            </w:r>
          </w:p>
        </w:tc>
        <w:tc>
          <w:tcPr>
            <w:tcW w:w="0" w:type="auto"/>
            <w:shd w:val="clear" w:color="auto" w:fill="auto"/>
            <w:noWrap/>
            <w:hideMark/>
          </w:tcPr>
          <w:p w14:paraId="619EA656" w14:textId="77777777" w:rsidR="002F0133" w:rsidRPr="000B4E2C" w:rsidRDefault="002F0133" w:rsidP="008A7464">
            <w:pPr>
              <w:rPr>
                <w:sz w:val="22"/>
                <w:lang w:eastAsia="en-GB"/>
              </w:rPr>
            </w:pPr>
            <w:r w:rsidRPr="000B4E2C">
              <w:rPr>
                <w:sz w:val="22"/>
                <w:lang w:eastAsia="en-GB"/>
              </w:rPr>
              <w:t>£108</w:t>
            </w:r>
          </w:p>
        </w:tc>
        <w:tc>
          <w:tcPr>
            <w:tcW w:w="0" w:type="auto"/>
            <w:shd w:val="clear" w:color="auto" w:fill="auto"/>
            <w:noWrap/>
            <w:hideMark/>
          </w:tcPr>
          <w:p w14:paraId="1E600D8E" w14:textId="77777777" w:rsidR="002F0133" w:rsidRPr="000B4E2C" w:rsidRDefault="002F0133" w:rsidP="008A7464">
            <w:pPr>
              <w:rPr>
                <w:sz w:val="22"/>
                <w:lang w:eastAsia="en-GB"/>
              </w:rPr>
            </w:pPr>
            <w:r w:rsidRPr="000B4E2C">
              <w:rPr>
                <w:sz w:val="22"/>
                <w:lang w:eastAsia="en-GB"/>
              </w:rPr>
              <w:t>6.08602</w:t>
            </w:r>
          </w:p>
        </w:tc>
        <w:tc>
          <w:tcPr>
            <w:tcW w:w="0" w:type="auto"/>
            <w:shd w:val="clear" w:color="auto" w:fill="auto"/>
            <w:noWrap/>
            <w:hideMark/>
          </w:tcPr>
          <w:p w14:paraId="65F4D208" w14:textId="77777777" w:rsidR="002F0133" w:rsidRPr="000B4E2C" w:rsidRDefault="002F0133" w:rsidP="008A7464">
            <w:pPr>
              <w:rPr>
                <w:sz w:val="22"/>
                <w:lang w:eastAsia="en-GB"/>
              </w:rPr>
            </w:pPr>
            <w:r w:rsidRPr="000B4E2C">
              <w:rPr>
                <w:sz w:val="22"/>
                <w:lang w:eastAsia="en-GB"/>
              </w:rPr>
              <w:t>0.00226</w:t>
            </w:r>
          </w:p>
        </w:tc>
        <w:tc>
          <w:tcPr>
            <w:tcW w:w="0" w:type="auto"/>
            <w:shd w:val="clear" w:color="auto" w:fill="auto"/>
            <w:noWrap/>
            <w:hideMark/>
          </w:tcPr>
          <w:p w14:paraId="7C2A67C0" w14:textId="77777777" w:rsidR="002F0133" w:rsidRPr="000B4E2C" w:rsidRDefault="002F0133" w:rsidP="008A7464">
            <w:pPr>
              <w:rPr>
                <w:sz w:val="22"/>
                <w:lang w:eastAsia="en-GB"/>
              </w:rPr>
            </w:pPr>
            <w:r w:rsidRPr="000B4E2C">
              <w:rPr>
                <w:sz w:val="22"/>
                <w:lang w:eastAsia="en-GB"/>
              </w:rPr>
              <w:t>£47,877</w:t>
            </w:r>
          </w:p>
        </w:tc>
        <w:tc>
          <w:tcPr>
            <w:tcW w:w="0" w:type="auto"/>
            <w:shd w:val="clear" w:color="auto" w:fill="auto"/>
            <w:noWrap/>
            <w:hideMark/>
          </w:tcPr>
          <w:p w14:paraId="01DB31B5" w14:textId="77777777" w:rsidR="002F0133" w:rsidRPr="000B4E2C" w:rsidRDefault="002F0133" w:rsidP="008A7464">
            <w:pPr>
              <w:rPr>
                <w:sz w:val="22"/>
                <w:lang w:eastAsia="en-GB"/>
              </w:rPr>
            </w:pPr>
            <w:r w:rsidRPr="000B4E2C">
              <w:rPr>
                <w:sz w:val="22"/>
                <w:lang w:eastAsia="en-GB"/>
              </w:rPr>
              <w:t>£47,877</w:t>
            </w:r>
          </w:p>
        </w:tc>
        <w:tc>
          <w:tcPr>
            <w:tcW w:w="0" w:type="auto"/>
            <w:shd w:val="clear" w:color="auto" w:fill="auto"/>
            <w:noWrap/>
            <w:hideMark/>
          </w:tcPr>
          <w:p w14:paraId="510E9118" w14:textId="77777777" w:rsidR="002F0133" w:rsidRPr="000B4E2C" w:rsidRDefault="002F0133" w:rsidP="008A7464">
            <w:pPr>
              <w:rPr>
                <w:sz w:val="22"/>
                <w:lang w:eastAsia="en-GB"/>
              </w:rPr>
            </w:pPr>
            <w:r w:rsidRPr="000B4E2C">
              <w:rPr>
                <w:sz w:val="22"/>
                <w:lang w:eastAsia="en-GB"/>
              </w:rPr>
              <w:t>30.4%</w:t>
            </w:r>
          </w:p>
        </w:tc>
        <w:tc>
          <w:tcPr>
            <w:tcW w:w="0" w:type="auto"/>
            <w:shd w:val="clear" w:color="auto" w:fill="auto"/>
            <w:noWrap/>
            <w:hideMark/>
          </w:tcPr>
          <w:p w14:paraId="36E1233C" w14:textId="77777777" w:rsidR="002F0133" w:rsidRPr="000B4E2C" w:rsidRDefault="002F0133" w:rsidP="008A7464">
            <w:pPr>
              <w:rPr>
                <w:sz w:val="22"/>
                <w:lang w:eastAsia="en-GB"/>
              </w:rPr>
            </w:pPr>
            <w:r w:rsidRPr="000B4E2C">
              <w:rPr>
                <w:sz w:val="22"/>
                <w:lang w:eastAsia="en-GB"/>
              </w:rPr>
              <w:t>42.5%</w:t>
            </w:r>
          </w:p>
        </w:tc>
      </w:tr>
      <w:tr w:rsidR="002F0133" w:rsidRPr="000B4E2C" w14:paraId="6D941927" w14:textId="77777777" w:rsidTr="000B4E2C">
        <w:trPr>
          <w:cantSplit/>
        </w:trPr>
        <w:tc>
          <w:tcPr>
            <w:tcW w:w="0" w:type="auto"/>
            <w:shd w:val="clear" w:color="auto" w:fill="auto"/>
            <w:noWrap/>
            <w:hideMark/>
          </w:tcPr>
          <w:p w14:paraId="1680A418" w14:textId="606C433B"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6023E7D6" w14:textId="77777777" w:rsidR="002F0133" w:rsidRPr="000B4E2C" w:rsidRDefault="002F0133" w:rsidP="008A7464">
            <w:pPr>
              <w:rPr>
                <w:sz w:val="22"/>
                <w:lang w:eastAsia="en-GB"/>
              </w:rPr>
            </w:pPr>
            <w:r w:rsidRPr="000B4E2C">
              <w:rPr>
                <w:sz w:val="22"/>
                <w:lang w:eastAsia="en-GB"/>
              </w:rPr>
              <w:t>£22,951</w:t>
            </w:r>
          </w:p>
        </w:tc>
        <w:tc>
          <w:tcPr>
            <w:tcW w:w="0" w:type="auto"/>
            <w:shd w:val="clear" w:color="auto" w:fill="auto"/>
            <w:noWrap/>
            <w:hideMark/>
          </w:tcPr>
          <w:p w14:paraId="5C81E2A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DE0AEFA" w14:textId="77777777" w:rsidR="002F0133" w:rsidRPr="000B4E2C" w:rsidRDefault="002F0133" w:rsidP="008A7464">
            <w:pPr>
              <w:rPr>
                <w:sz w:val="22"/>
                <w:lang w:eastAsia="en-GB"/>
              </w:rPr>
            </w:pPr>
            <w:r w:rsidRPr="000B4E2C">
              <w:rPr>
                <w:sz w:val="22"/>
                <w:lang w:eastAsia="en-GB"/>
              </w:rPr>
              <w:t>6.08584</w:t>
            </w:r>
          </w:p>
        </w:tc>
        <w:tc>
          <w:tcPr>
            <w:tcW w:w="0" w:type="auto"/>
            <w:shd w:val="clear" w:color="auto" w:fill="auto"/>
            <w:noWrap/>
            <w:hideMark/>
          </w:tcPr>
          <w:p w14:paraId="2FA5A14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028454F"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3F7A37E" w14:textId="77777777" w:rsidR="002F0133" w:rsidRPr="000B4E2C" w:rsidRDefault="002F0133" w:rsidP="008A7464">
            <w:pPr>
              <w:rPr>
                <w:sz w:val="22"/>
                <w:lang w:eastAsia="en-GB"/>
              </w:rPr>
            </w:pPr>
            <w:r w:rsidRPr="000B4E2C">
              <w:rPr>
                <w:sz w:val="22"/>
                <w:lang w:eastAsia="en-GB"/>
              </w:rPr>
              <w:t>£58,813</w:t>
            </w:r>
          </w:p>
        </w:tc>
        <w:tc>
          <w:tcPr>
            <w:tcW w:w="0" w:type="auto"/>
            <w:shd w:val="clear" w:color="auto" w:fill="auto"/>
            <w:noWrap/>
            <w:hideMark/>
          </w:tcPr>
          <w:p w14:paraId="6E47F0AA" w14:textId="77777777" w:rsidR="002F0133" w:rsidRPr="000B4E2C" w:rsidRDefault="002F0133" w:rsidP="008A7464">
            <w:pPr>
              <w:rPr>
                <w:sz w:val="22"/>
                <w:lang w:eastAsia="en-GB"/>
              </w:rPr>
            </w:pPr>
            <w:r w:rsidRPr="000B4E2C">
              <w:rPr>
                <w:sz w:val="22"/>
                <w:lang w:eastAsia="en-GB"/>
              </w:rPr>
              <w:t>0.0%</w:t>
            </w:r>
          </w:p>
        </w:tc>
        <w:tc>
          <w:tcPr>
            <w:tcW w:w="0" w:type="auto"/>
            <w:shd w:val="clear" w:color="auto" w:fill="auto"/>
            <w:noWrap/>
            <w:hideMark/>
          </w:tcPr>
          <w:p w14:paraId="58E89474" w14:textId="77777777" w:rsidR="002F0133" w:rsidRPr="000B4E2C" w:rsidRDefault="002F0133" w:rsidP="008A7464">
            <w:pPr>
              <w:rPr>
                <w:sz w:val="22"/>
                <w:lang w:eastAsia="en-GB"/>
              </w:rPr>
            </w:pPr>
            <w:r w:rsidRPr="000B4E2C">
              <w:rPr>
                <w:sz w:val="22"/>
                <w:lang w:eastAsia="en-GB"/>
              </w:rPr>
              <w:t>37.3%</w:t>
            </w:r>
          </w:p>
        </w:tc>
      </w:tr>
      <w:tr w:rsidR="002F0133" w:rsidRPr="000B4E2C" w14:paraId="58792772" w14:textId="77777777" w:rsidTr="000B4E2C">
        <w:trPr>
          <w:cantSplit/>
        </w:trPr>
        <w:tc>
          <w:tcPr>
            <w:tcW w:w="0" w:type="auto"/>
            <w:shd w:val="clear" w:color="auto" w:fill="auto"/>
            <w:noWrap/>
            <w:hideMark/>
          </w:tcPr>
          <w:p w14:paraId="6595E666" w14:textId="4B3765C6"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42B4D35C" w14:textId="77777777" w:rsidR="002F0133" w:rsidRPr="000B4E2C" w:rsidRDefault="002F0133" w:rsidP="008A7464">
            <w:pPr>
              <w:rPr>
                <w:sz w:val="22"/>
                <w:lang w:eastAsia="en-GB"/>
              </w:rPr>
            </w:pPr>
            <w:r w:rsidRPr="000B4E2C">
              <w:rPr>
                <w:sz w:val="22"/>
                <w:lang w:eastAsia="en-GB"/>
              </w:rPr>
              <w:t>£22,951</w:t>
            </w:r>
          </w:p>
        </w:tc>
        <w:tc>
          <w:tcPr>
            <w:tcW w:w="0" w:type="auto"/>
            <w:shd w:val="clear" w:color="auto" w:fill="auto"/>
            <w:noWrap/>
            <w:hideMark/>
          </w:tcPr>
          <w:p w14:paraId="2E1D5760" w14:textId="77777777" w:rsidR="002F0133" w:rsidRPr="000B4E2C" w:rsidRDefault="002F0133" w:rsidP="008A7464">
            <w:pPr>
              <w:rPr>
                <w:sz w:val="22"/>
                <w:lang w:eastAsia="en-GB"/>
              </w:rPr>
            </w:pPr>
            <w:r w:rsidRPr="000B4E2C">
              <w:rPr>
                <w:sz w:val="22"/>
                <w:lang w:eastAsia="en-GB"/>
              </w:rPr>
              <w:t>£14</w:t>
            </w:r>
          </w:p>
        </w:tc>
        <w:tc>
          <w:tcPr>
            <w:tcW w:w="0" w:type="auto"/>
            <w:shd w:val="clear" w:color="auto" w:fill="auto"/>
            <w:noWrap/>
            <w:hideMark/>
          </w:tcPr>
          <w:p w14:paraId="36ADC761" w14:textId="77777777" w:rsidR="002F0133" w:rsidRPr="000B4E2C" w:rsidRDefault="002F0133" w:rsidP="008A7464">
            <w:pPr>
              <w:rPr>
                <w:sz w:val="22"/>
                <w:lang w:eastAsia="en-GB"/>
              </w:rPr>
            </w:pPr>
            <w:r w:rsidRPr="000B4E2C">
              <w:rPr>
                <w:sz w:val="22"/>
                <w:lang w:eastAsia="en-GB"/>
              </w:rPr>
              <w:t>6.08608</w:t>
            </w:r>
          </w:p>
        </w:tc>
        <w:tc>
          <w:tcPr>
            <w:tcW w:w="0" w:type="auto"/>
            <w:shd w:val="clear" w:color="auto" w:fill="auto"/>
            <w:noWrap/>
            <w:hideMark/>
          </w:tcPr>
          <w:p w14:paraId="43C6B558" w14:textId="77777777" w:rsidR="002F0133" w:rsidRPr="000B4E2C" w:rsidRDefault="002F0133" w:rsidP="008A7464">
            <w:pPr>
              <w:rPr>
                <w:sz w:val="22"/>
                <w:lang w:eastAsia="en-GB"/>
              </w:rPr>
            </w:pPr>
            <w:r w:rsidRPr="000B4E2C">
              <w:rPr>
                <w:sz w:val="22"/>
                <w:lang w:eastAsia="en-GB"/>
              </w:rPr>
              <w:t>0.00006</w:t>
            </w:r>
          </w:p>
        </w:tc>
        <w:tc>
          <w:tcPr>
            <w:tcW w:w="0" w:type="auto"/>
            <w:shd w:val="clear" w:color="auto" w:fill="auto"/>
            <w:noWrap/>
            <w:hideMark/>
          </w:tcPr>
          <w:p w14:paraId="3927DA65" w14:textId="77777777" w:rsidR="002F0133" w:rsidRPr="000B4E2C" w:rsidRDefault="002F0133" w:rsidP="008A7464">
            <w:pPr>
              <w:rPr>
                <w:sz w:val="22"/>
                <w:lang w:eastAsia="en-GB"/>
              </w:rPr>
            </w:pPr>
            <w:r w:rsidRPr="000B4E2C">
              <w:rPr>
                <w:sz w:val="22"/>
                <w:lang w:eastAsia="en-GB"/>
              </w:rPr>
              <w:t>£228,616</w:t>
            </w:r>
          </w:p>
        </w:tc>
        <w:tc>
          <w:tcPr>
            <w:tcW w:w="0" w:type="auto"/>
            <w:shd w:val="clear" w:color="auto" w:fill="auto"/>
            <w:noWrap/>
            <w:hideMark/>
          </w:tcPr>
          <w:p w14:paraId="48F21DF9" w14:textId="77777777" w:rsidR="002F0133" w:rsidRPr="000B4E2C" w:rsidRDefault="002F0133" w:rsidP="008A7464">
            <w:pPr>
              <w:rPr>
                <w:sz w:val="22"/>
                <w:lang w:eastAsia="en-GB"/>
              </w:rPr>
            </w:pPr>
            <w:r w:rsidRPr="000B4E2C">
              <w:rPr>
                <w:sz w:val="22"/>
                <w:lang w:eastAsia="en-GB"/>
              </w:rPr>
              <w:t>£52,816</w:t>
            </w:r>
          </w:p>
        </w:tc>
        <w:tc>
          <w:tcPr>
            <w:tcW w:w="0" w:type="auto"/>
            <w:shd w:val="clear" w:color="auto" w:fill="auto"/>
            <w:noWrap/>
            <w:hideMark/>
          </w:tcPr>
          <w:p w14:paraId="0B74A5AA" w14:textId="77777777" w:rsidR="002F0133" w:rsidRPr="000B4E2C" w:rsidRDefault="002F0133" w:rsidP="008A7464">
            <w:pPr>
              <w:rPr>
                <w:sz w:val="22"/>
                <w:lang w:eastAsia="en-GB"/>
              </w:rPr>
            </w:pPr>
            <w:r w:rsidRPr="000B4E2C">
              <w:rPr>
                <w:sz w:val="22"/>
                <w:lang w:eastAsia="en-GB"/>
              </w:rPr>
              <w:t>11.9%</w:t>
            </w:r>
          </w:p>
        </w:tc>
        <w:tc>
          <w:tcPr>
            <w:tcW w:w="0" w:type="auto"/>
            <w:shd w:val="clear" w:color="auto" w:fill="auto"/>
            <w:noWrap/>
            <w:hideMark/>
          </w:tcPr>
          <w:p w14:paraId="150413D2" w14:textId="77777777" w:rsidR="002F0133" w:rsidRPr="000B4E2C" w:rsidRDefault="002F0133" w:rsidP="008A7464">
            <w:pPr>
              <w:rPr>
                <w:sz w:val="22"/>
                <w:lang w:eastAsia="en-GB"/>
              </w:rPr>
            </w:pPr>
            <w:r w:rsidRPr="000B4E2C">
              <w:rPr>
                <w:sz w:val="22"/>
                <w:lang w:eastAsia="en-GB"/>
              </w:rPr>
              <w:t>39.5%</w:t>
            </w:r>
          </w:p>
        </w:tc>
      </w:tr>
      <w:tr w:rsidR="002F0133" w:rsidRPr="000B4E2C" w14:paraId="16D7FEED" w14:textId="77777777" w:rsidTr="000B4E2C">
        <w:trPr>
          <w:cantSplit/>
        </w:trPr>
        <w:tc>
          <w:tcPr>
            <w:tcW w:w="0" w:type="auto"/>
            <w:shd w:val="clear" w:color="auto" w:fill="auto"/>
            <w:noWrap/>
            <w:hideMark/>
          </w:tcPr>
          <w:p w14:paraId="3AEB172F"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67E52696" w14:textId="77777777" w:rsidR="002F0133" w:rsidRPr="000B4E2C" w:rsidRDefault="002F0133" w:rsidP="008A7464">
            <w:pPr>
              <w:rPr>
                <w:sz w:val="22"/>
                <w:lang w:eastAsia="en-GB"/>
              </w:rPr>
            </w:pPr>
            <w:r w:rsidRPr="000B4E2C">
              <w:rPr>
                <w:sz w:val="22"/>
                <w:lang w:eastAsia="en-GB"/>
              </w:rPr>
              <w:t>£22,988</w:t>
            </w:r>
          </w:p>
        </w:tc>
        <w:tc>
          <w:tcPr>
            <w:tcW w:w="0" w:type="auto"/>
            <w:shd w:val="clear" w:color="auto" w:fill="auto"/>
            <w:noWrap/>
            <w:hideMark/>
          </w:tcPr>
          <w:p w14:paraId="5D06316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1A1AE8E" w14:textId="77777777" w:rsidR="002F0133" w:rsidRPr="000B4E2C" w:rsidRDefault="002F0133" w:rsidP="008A7464">
            <w:pPr>
              <w:rPr>
                <w:sz w:val="22"/>
                <w:lang w:eastAsia="en-GB"/>
              </w:rPr>
            </w:pPr>
            <w:r w:rsidRPr="000B4E2C">
              <w:rPr>
                <w:sz w:val="22"/>
                <w:lang w:eastAsia="en-GB"/>
              </w:rPr>
              <w:t>6.08604</w:t>
            </w:r>
          </w:p>
        </w:tc>
        <w:tc>
          <w:tcPr>
            <w:tcW w:w="0" w:type="auto"/>
            <w:shd w:val="clear" w:color="auto" w:fill="auto"/>
            <w:noWrap/>
            <w:hideMark/>
          </w:tcPr>
          <w:p w14:paraId="42B266A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118480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B8FA243" w14:textId="77777777" w:rsidR="002F0133" w:rsidRPr="000B4E2C" w:rsidRDefault="002F0133" w:rsidP="008A7464">
            <w:pPr>
              <w:rPr>
                <w:sz w:val="22"/>
                <w:lang w:eastAsia="en-GB"/>
              </w:rPr>
            </w:pPr>
            <w:r w:rsidRPr="000B4E2C">
              <w:rPr>
                <w:sz w:val="22"/>
                <w:lang w:eastAsia="en-GB"/>
              </w:rPr>
              <w:t>£70,141</w:t>
            </w:r>
          </w:p>
        </w:tc>
        <w:tc>
          <w:tcPr>
            <w:tcW w:w="0" w:type="auto"/>
            <w:shd w:val="clear" w:color="auto" w:fill="auto"/>
            <w:noWrap/>
            <w:hideMark/>
          </w:tcPr>
          <w:p w14:paraId="4050B1E4" w14:textId="77777777" w:rsidR="002F0133" w:rsidRPr="000B4E2C" w:rsidRDefault="002F0133" w:rsidP="008A7464">
            <w:pPr>
              <w:rPr>
                <w:sz w:val="22"/>
                <w:lang w:eastAsia="en-GB"/>
              </w:rPr>
            </w:pPr>
            <w:r w:rsidRPr="000B4E2C">
              <w:rPr>
                <w:sz w:val="22"/>
                <w:lang w:eastAsia="en-GB"/>
              </w:rPr>
              <w:t>0.2%</w:t>
            </w:r>
          </w:p>
        </w:tc>
        <w:tc>
          <w:tcPr>
            <w:tcW w:w="0" w:type="auto"/>
            <w:shd w:val="clear" w:color="auto" w:fill="auto"/>
            <w:noWrap/>
            <w:hideMark/>
          </w:tcPr>
          <w:p w14:paraId="72C55197" w14:textId="77777777" w:rsidR="002F0133" w:rsidRPr="000B4E2C" w:rsidRDefault="002F0133" w:rsidP="008A7464">
            <w:pPr>
              <w:rPr>
                <w:sz w:val="22"/>
                <w:lang w:eastAsia="en-GB"/>
              </w:rPr>
            </w:pPr>
            <w:r w:rsidRPr="000B4E2C">
              <w:rPr>
                <w:sz w:val="22"/>
                <w:lang w:eastAsia="en-GB"/>
              </w:rPr>
              <w:t>31.0%</w:t>
            </w:r>
          </w:p>
        </w:tc>
      </w:tr>
      <w:tr w:rsidR="002F0133" w:rsidRPr="000B4E2C" w14:paraId="0C7CFB9D" w14:textId="77777777" w:rsidTr="000B4E2C">
        <w:trPr>
          <w:cantSplit/>
        </w:trPr>
        <w:tc>
          <w:tcPr>
            <w:tcW w:w="0" w:type="auto"/>
            <w:gridSpan w:val="9"/>
            <w:shd w:val="clear" w:color="auto" w:fill="auto"/>
            <w:noWrap/>
            <w:hideMark/>
          </w:tcPr>
          <w:p w14:paraId="775B8151" w14:textId="77777777" w:rsidR="002F0133" w:rsidRPr="000B4E2C" w:rsidRDefault="002F0133" w:rsidP="008A7464">
            <w:pPr>
              <w:rPr>
                <w:b/>
                <w:bCs/>
                <w:sz w:val="22"/>
                <w:lang w:val="it-IT" w:eastAsia="en-GB"/>
              </w:rPr>
            </w:pPr>
            <w:r w:rsidRPr="000B4E2C">
              <w:rPr>
                <w:b/>
                <w:bCs/>
                <w:sz w:val="22"/>
                <w:lang w:val="it-IT" w:eastAsia="en-GB"/>
              </w:rPr>
              <w:t>Scenario 1C: No associative effect</w:t>
            </w:r>
          </w:p>
        </w:tc>
      </w:tr>
      <w:tr w:rsidR="002F0133" w:rsidRPr="000B4E2C" w14:paraId="57A91476" w14:textId="77777777" w:rsidTr="000B4E2C">
        <w:trPr>
          <w:cantSplit/>
        </w:trPr>
        <w:tc>
          <w:tcPr>
            <w:tcW w:w="0" w:type="auto"/>
            <w:shd w:val="clear" w:color="auto" w:fill="auto"/>
            <w:noWrap/>
            <w:hideMark/>
          </w:tcPr>
          <w:p w14:paraId="31CD5AD3"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2E22319C" w14:textId="77777777" w:rsidR="002F0133" w:rsidRPr="000B4E2C" w:rsidRDefault="002F0133" w:rsidP="008A7464">
            <w:pPr>
              <w:rPr>
                <w:sz w:val="22"/>
                <w:lang w:eastAsia="en-GB"/>
              </w:rPr>
            </w:pPr>
            <w:r w:rsidRPr="000B4E2C">
              <w:rPr>
                <w:sz w:val="22"/>
                <w:lang w:eastAsia="en-GB"/>
              </w:rPr>
              <w:t>£23,340</w:t>
            </w:r>
          </w:p>
        </w:tc>
        <w:tc>
          <w:tcPr>
            <w:tcW w:w="0" w:type="auto"/>
            <w:shd w:val="clear" w:color="auto" w:fill="auto"/>
            <w:noWrap/>
            <w:hideMark/>
          </w:tcPr>
          <w:p w14:paraId="70D60928"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E2A3B6A" w14:textId="77777777" w:rsidR="002F0133" w:rsidRPr="000B4E2C" w:rsidRDefault="002F0133" w:rsidP="008A7464">
            <w:pPr>
              <w:rPr>
                <w:sz w:val="22"/>
                <w:lang w:eastAsia="en-GB"/>
              </w:rPr>
            </w:pPr>
            <w:r w:rsidRPr="000B4E2C">
              <w:rPr>
                <w:sz w:val="22"/>
                <w:lang w:eastAsia="en-GB"/>
              </w:rPr>
              <w:t>6.07257</w:t>
            </w:r>
          </w:p>
        </w:tc>
        <w:tc>
          <w:tcPr>
            <w:tcW w:w="0" w:type="auto"/>
            <w:shd w:val="clear" w:color="auto" w:fill="auto"/>
            <w:noWrap/>
            <w:hideMark/>
          </w:tcPr>
          <w:p w14:paraId="15364354"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DC19D9E"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67C8A7C3"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17D8DD3A" w14:textId="77777777" w:rsidR="002F0133" w:rsidRPr="000B4E2C" w:rsidRDefault="002F0133" w:rsidP="008A7464">
            <w:pPr>
              <w:rPr>
                <w:sz w:val="22"/>
                <w:lang w:eastAsia="en-GB"/>
              </w:rPr>
            </w:pPr>
            <w:r w:rsidRPr="000B4E2C">
              <w:rPr>
                <w:sz w:val="22"/>
                <w:lang w:eastAsia="en-GB"/>
              </w:rPr>
              <w:t>100.0%</w:t>
            </w:r>
          </w:p>
        </w:tc>
        <w:tc>
          <w:tcPr>
            <w:tcW w:w="0" w:type="auto"/>
            <w:shd w:val="clear" w:color="auto" w:fill="auto"/>
            <w:noWrap/>
            <w:hideMark/>
          </w:tcPr>
          <w:p w14:paraId="75ABB76F" w14:textId="77777777" w:rsidR="002F0133" w:rsidRPr="000B4E2C" w:rsidRDefault="002F0133" w:rsidP="008A7464">
            <w:pPr>
              <w:rPr>
                <w:sz w:val="22"/>
                <w:lang w:eastAsia="en-GB"/>
              </w:rPr>
            </w:pPr>
            <w:r w:rsidRPr="000B4E2C">
              <w:rPr>
                <w:sz w:val="22"/>
                <w:lang w:eastAsia="en-GB"/>
              </w:rPr>
              <w:t>--</w:t>
            </w:r>
          </w:p>
        </w:tc>
      </w:tr>
      <w:tr w:rsidR="002F0133" w:rsidRPr="000B4E2C" w14:paraId="0FE87D4F" w14:textId="77777777" w:rsidTr="000B4E2C">
        <w:trPr>
          <w:cantSplit/>
        </w:trPr>
        <w:tc>
          <w:tcPr>
            <w:tcW w:w="0" w:type="auto"/>
            <w:shd w:val="clear" w:color="auto" w:fill="auto"/>
            <w:noWrap/>
            <w:hideMark/>
          </w:tcPr>
          <w:p w14:paraId="0C82C584" w14:textId="16141024"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0FE019D8" w14:textId="77777777" w:rsidR="002F0133" w:rsidRPr="000B4E2C" w:rsidRDefault="002F0133" w:rsidP="008A7464">
            <w:pPr>
              <w:rPr>
                <w:sz w:val="22"/>
                <w:lang w:eastAsia="en-GB"/>
              </w:rPr>
            </w:pPr>
            <w:r w:rsidRPr="000B4E2C">
              <w:rPr>
                <w:sz w:val="22"/>
                <w:lang w:eastAsia="en-GB"/>
              </w:rPr>
              <w:t>£23,420</w:t>
            </w:r>
          </w:p>
        </w:tc>
        <w:tc>
          <w:tcPr>
            <w:tcW w:w="0" w:type="auto"/>
            <w:shd w:val="clear" w:color="auto" w:fill="auto"/>
            <w:noWrap/>
            <w:hideMark/>
          </w:tcPr>
          <w:p w14:paraId="234C327C"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D398FAC" w14:textId="77777777" w:rsidR="002F0133" w:rsidRPr="000B4E2C" w:rsidRDefault="002F0133" w:rsidP="008A7464">
            <w:pPr>
              <w:rPr>
                <w:sz w:val="22"/>
                <w:lang w:eastAsia="en-GB"/>
              </w:rPr>
            </w:pPr>
            <w:r w:rsidRPr="000B4E2C">
              <w:rPr>
                <w:sz w:val="22"/>
                <w:lang w:eastAsia="en-GB"/>
              </w:rPr>
              <w:t>6.07257</w:t>
            </w:r>
          </w:p>
        </w:tc>
        <w:tc>
          <w:tcPr>
            <w:tcW w:w="0" w:type="auto"/>
            <w:shd w:val="clear" w:color="auto" w:fill="auto"/>
            <w:noWrap/>
            <w:hideMark/>
          </w:tcPr>
          <w:p w14:paraId="64497E0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2754D8D"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92D0719"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F75FAB5" w14:textId="77777777" w:rsidR="002F0133" w:rsidRPr="000B4E2C" w:rsidRDefault="002F0133" w:rsidP="008A7464">
            <w:pPr>
              <w:rPr>
                <w:sz w:val="22"/>
                <w:lang w:eastAsia="en-GB"/>
              </w:rPr>
            </w:pPr>
            <w:r w:rsidRPr="000B4E2C">
              <w:rPr>
                <w:sz w:val="22"/>
                <w:lang w:eastAsia="en-GB"/>
              </w:rPr>
              <w:t>0.0%</w:t>
            </w:r>
          </w:p>
        </w:tc>
        <w:tc>
          <w:tcPr>
            <w:tcW w:w="0" w:type="auto"/>
            <w:shd w:val="clear" w:color="auto" w:fill="auto"/>
            <w:noWrap/>
            <w:hideMark/>
          </w:tcPr>
          <w:p w14:paraId="1C1FED8A" w14:textId="77777777" w:rsidR="002F0133" w:rsidRPr="000B4E2C" w:rsidRDefault="002F0133" w:rsidP="008A7464">
            <w:pPr>
              <w:rPr>
                <w:sz w:val="22"/>
                <w:lang w:eastAsia="en-GB"/>
              </w:rPr>
            </w:pPr>
            <w:r w:rsidRPr="000B4E2C">
              <w:rPr>
                <w:sz w:val="22"/>
                <w:lang w:eastAsia="en-GB"/>
              </w:rPr>
              <w:t>0.0%</w:t>
            </w:r>
          </w:p>
        </w:tc>
      </w:tr>
      <w:tr w:rsidR="002F0133" w:rsidRPr="000B4E2C" w14:paraId="54CAE722" w14:textId="77777777" w:rsidTr="000B4E2C">
        <w:trPr>
          <w:cantSplit/>
        </w:trPr>
        <w:tc>
          <w:tcPr>
            <w:tcW w:w="0" w:type="auto"/>
            <w:shd w:val="clear" w:color="auto" w:fill="auto"/>
            <w:noWrap/>
            <w:hideMark/>
          </w:tcPr>
          <w:p w14:paraId="651BFFB0" w14:textId="37BE0B46"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7E2CE16B" w14:textId="77777777" w:rsidR="002F0133" w:rsidRPr="000B4E2C" w:rsidRDefault="002F0133" w:rsidP="008A7464">
            <w:pPr>
              <w:rPr>
                <w:sz w:val="22"/>
                <w:lang w:eastAsia="en-GB"/>
              </w:rPr>
            </w:pPr>
            <w:r w:rsidRPr="000B4E2C">
              <w:rPr>
                <w:sz w:val="22"/>
                <w:lang w:eastAsia="en-GB"/>
              </w:rPr>
              <w:t>£23,436</w:t>
            </w:r>
          </w:p>
        </w:tc>
        <w:tc>
          <w:tcPr>
            <w:tcW w:w="0" w:type="auto"/>
            <w:shd w:val="clear" w:color="auto" w:fill="auto"/>
            <w:noWrap/>
            <w:hideMark/>
          </w:tcPr>
          <w:p w14:paraId="1AD0C7F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6937557" w14:textId="77777777" w:rsidR="002F0133" w:rsidRPr="000B4E2C" w:rsidRDefault="002F0133" w:rsidP="008A7464">
            <w:pPr>
              <w:rPr>
                <w:sz w:val="22"/>
                <w:lang w:eastAsia="en-GB"/>
              </w:rPr>
            </w:pPr>
            <w:r w:rsidRPr="000B4E2C">
              <w:rPr>
                <w:sz w:val="22"/>
                <w:lang w:eastAsia="en-GB"/>
              </w:rPr>
              <w:t>6.07257</w:t>
            </w:r>
          </w:p>
        </w:tc>
        <w:tc>
          <w:tcPr>
            <w:tcW w:w="0" w:type="auto"/>
            <w:shd w:val="clear" w:color="auto" w:fill="auto"/>
            <w:noWrap/>
            <w:hideMark/>
          </w:tcPr>
          <w:p w14:paraId="7209700E"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F1CC70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E0CB18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802B134" w14:textId="77777777" w:rsidR="002F0133" w:rsidRPr="000B4E2C" w:rsidRDefault="002F0133" w:rsidP="008A7464">
            <w:pPr>
              <w:rPr>
                <w:sz w:val="22"/>
                <w:lang w:eastAsia="en-GB"/>
              </w:rPr>
            </w:pPr>
            <w:r w:rsidRPr="000B4E2C">
              <w:rPr>
                <w:sz w:val="22"/>
                <w:lang w:eastAsia="en-GB"/>
              </w:rPr>
              <w:t>0.0%</w:t>
            </w:r>
          </w:p>
        </w:tc>
        <w:tc>
          <w:tcPr>
            <w:tcW w:w="0" w:type="auto"/>
            <w:shd w:val="clear" w:color="auto" w:fill="auto"/>
            <w:noWrap/>
            <w:hideMark/>
          </w:tcPr>
          <w:p w14:paraId="6A54DDB9" w14:textId="77777777" w:rsidR="002F0133" w:rsidRPr="000B4E2C" w:rsidRDefault="002F0133" w:rsidP="008A7464">
            <w:pPr>
              <w:rPr>
                <w:sz w:val="22"/>
                <w:lang w:eastAsia="en-GB"/>
              </w:rPr>
            </w:pPr>
            <w:r w:rsidRPr="000B4E2C">
              <w:rPr>
                <w:sz w:val="22"/>
                <w:lang w:eastAsia="en-GB"/>
              </w:rPr>
              <w:t>0.0%</w:t>
            </w:r>
          </w:p>
        </w:tc>
      </w:tr>
      <w:tr w:rsidR="002F0133" w:rsidRPr="000B4E2C" w14:paraId="24C81368" w14:textId="77777777" w:rsidTr="000B4E2C">
        <w:trPr>
          <w:cantSplit/>
        </w:trPr>
        <w:tc>
          <w:tcPr>
            <w:tcW w:w="0" w:type="auto"/>
            <w:shd w:val="clear" w:color="auto" w:fill="auto"/>
            <w:noWrap/>
            <w:hideMark/>
          </w:tcPr>
          <w:p w14:paraId="0711F6E5" w14:textId="2F3EF8D8"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5739661D" w14:textId="77777777" w:rsidR="002F0133" w:rsidRPr="000B4E2C" w:rsidRDefault="002F0133" w:rsidP="008A7464">
            <w:pPr>
              <w:rPr>
                <w:sz w:val="22"/>
                <w:lang w:eastAsia="en-GB"/>
              </w:rPr>
            </w:pPr>
            <w:r w:rsidRPr="000B4E2C">
              <w:rPr>
                <w:sz w:val="22"/>
                <w:lang w:eastAsia="en-GB"/>
              </w:rPr>
              <w:t>£23,437</w:t>
            </w:r>
          </w:p>
        </w:tc>
        <w:tc>
          <w:tcPr>
            <w:tcW w:w="0" w:type="auto"/>
            <w:shd w:val="clear" w:color="auto" w:fill="auto"/>
            <w:noWrap/>
            <w:hideMark/>
          </w:tcPr>
          <w:p w14:paraId="500F45D8"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4F74B1A" w14:textId="77777777" w:rsidR="002F0133" w:rsidRPr="000B4E2C" w:rsidRDefault="002F0133" w:rsidP="008A7464">
            <w:pPr>
              <w:rPr>
                <w:sz w:val="22"/>
                <w:lang w:eastAsia="en-GB"/>
              </w:rPr>
            </w:pPr>
            <w:r w:rsidRPr="000B4E2C">
              <w:rPr>
                <w:sz w:val="22"/>
                <w:lang w:eastAsia="en-GB"/>
              </w:rPr>
              <w:t>6.07257</w:t>
            </w:r>
          </w:p>
        </w:tc>
        <w:tc>
          <w:tcPr>
            <w:tcW w:w="0" w:type="auto"/>
            <w:shd w:val="clear" w:color="auto" w:fill="auto"/>
            <w:noWrap/>
            <w:hideMark/>
          </w:tcPr>
          <w:p w14:paraId="4E092A4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0A75C6D"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F91A6C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1B6F5D5" w14:textId="77777777" w:rsidR="002F0133" w:rsidRPr="000B4E2C" w:rsidRDefault="002F0133" w:rsidP="008A7464">
            <w:pPr>
              <w:rPr>
                <w:sz w:val="22"/>
                <w:lang w:eastAsia="en-GB"/>
              </w:rPr>
            </w:pPr>
            <w:r w:rsidRPr="000B4E2C">
              <w:rPr>
                <w:sz w:val="22"/>
                <w:lang w:eastAsia="en-GB"/>
              </w:rPr>
              <w:t>0.0%</w:t>
            </w:r>
          </w:p>
        </w:tc>
        <w:tc>
          <w:tcPr>
            <w:tcW w:w="0" w:type="auto"/>
            <w:shd w:val="clear" w:color="auto" w:fill="auto"/>
            <w:noWrap/>
            <w:hideMark/>
          </w:tcPr>
          <w:p w14:paraId="7301BD4C" w14:textId="77777777" w:rsidR="002F0133" w:rsidRPr="000B4E2C" w:rsidRDefault="002F0133" w:rsidP="008A7464">
            <w:pPr>
              <w:rPr>
                <w:sz w:val="22"/>
                <w:lang w:eastAsia="en-GB"/>
              </w:rPr>
            </w:pPr>
            <w:r w:rsidRPr="000B4E2C">
              <w:rPr>
                <w:sz w:val="22"/>
                <w:lang w:eastAsia="en-GB"/>
              </w:rPr>
              <w:t>0.0%</w:t>
            </w:r>
          </w:p>
        </w:tc>
      </w:tr>
      <w:tr w:rsidR="002F0133" w:rsidRPr="000B4E2C" w14:paraId="3AF12152" w14:textId="77777777" w:rsidTr="000B4E2C">
        <w:trPr>
          <w:cantSplit/>
        </w:trPr>
        <w:tc>
          <w:tcPr>
            <w:tcW w:w="0" w:type="auto"/>
            <w:shd w:val="clear" w:color="auto" w:fill="auto"/>
            <w:noWrap/>
            <w:hideMark/>
          </w:tcPr>
          <w:p w14:paraId="2A9D4DEE" w14:textId="77777777" w:rsidR="002F0133" w:rsidRPr="000B4E2C" w:rsidRDefault="002F0133" w:rsidP="008A7464">
            <w:pPr>
              <w:rPr>
                <w:sz w:val="22"/>
                <w:lang w:eastAsia="en-GB"/>
              </w:rPr>
            </w:pPr>
            <w:r w:rsidRPr="000B4E2C">
              <w:rPr>
                <w:sz w:val="22"/>
                <w:lang w:eastAsia="en-GB"/>
              </w:rPr>
              <w:lastRenderedPageBreak/>
              <w:t>Test 1 (Nephrocheck)</w:t>
            </w:r>
          </w:p>
        </w:tc>
        <w:tc>
          <w:tcPr>
            <w:tcW w:w="0" w:type="auto"/>
            <w:shd w:val="clear" w:color="auto" w:fill="auto"/>
            <w:noWrap/>
            <w:hideMark/>
          </w:tcPr>
          <w:p w14:paraId="6FC3726F" w14:textId="77777777" w:rsidR="002F0133" w:rsidRPr="000B4E2C" w:rsidRDefault="002F0133" w:rsidP="008A7464">
            <w:pPr>
              <w:rPr>
                <w:sz w:val="22"/>
                <w:lang w:eastAsia="en-GB"/>
              </w:rPr>
            </w:pPr>
            <w:r w:rsidRPr="000B4E2C">
              <w:rPr>
                <w:sz w:val="22"/>
                <w:lang w:eastAsia="en-GB"/>
              </w:rPr>
              <w:t>£23,473</w:t>
            </w:r>
          </w:p>
        </w:tc>
        <w:tc>
          <w:tcPr>
            <w:tcW w:w="0" w:type="auto"/>
            <w:shd w:val="clear" w:color="auto" w:fill="auto"/>
            <w:noWrap/>
            <w:hideMark/>
          </w:tcPr>
          <w:p w14:paraId="3809F766"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164CD42" w14:textId="77777777" w:rsidR="002F0133" w:rsidRPr="000B4E2C" w:rsidRDefault="002F0133" w:rsidP="008A7464">
            <w:pPr>
              <w:rPr>
                <w:sz w:val="22"/>
                <w:lang w:eastAsia="en-GB"/>
              </w:rPr>
            </w:pPr>
            <w:r w:rsidRPr="000B4E2C">
              <w:rPr>
                <w:sz w:val="22"/>
                <w:lang w:eastAsia="en-GB"/>
              </w:rPr>
              <w:t>6.07257</w:t>
            </w:r>
          </w:p>
        </w:tc>
        <w:tc>
          <w:tcPr>
            <w:tcW w:w="0" w:type="auto"/>
            <w:shd w:val="clear" w:color="auto" w:fill="auto"/>
            <w:noWrap/>
            <w:hideMark/>
          </w:tcPr>
          <w:p w14:paraId="4323489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BA402F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E11EC1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099D5BD" w14:textId="77777777" w:rsidR="002F0133" w:rsidRPr="000B4E2C" w:rsidRDefault="002F0133" w:rsidP="008A7464">
            <w:pPr>
              <w:rPr>
                <w:sz w:val="22"/>
                <w:lang w:eastAsia="en-GB"/>
              </w:rPr>
            </w:pPr>
            <w:r w:rsidRPr="000B4E2C">
              <w:rPr>
                <w:sz w:val="22"/>
                <w:lang w:eastAsia="en-GB"/>
              </w:rPr>
              <w:t>0.0%</w:t>
            </w:r>
          </w:p>
        </w:tc>
        <w:tc>
          <w:tcPr>
            <w:tcW w:w="0" w:type="auto"/>
            <w:shd w:val="clear" w:color="auto" w:fill="auto"/>
            <w:noWrap/>
            <w:hideMark/>
          </w:tcPr>
          <w:p w14:paraId="18A988C8" w14:textId="77777777" w:rsidR="002F0133" w:rsidRPr="000B4E2C" w:rsidRDefault="002F0133" w:rsidP="008A7464">
            <w:pPr>
              <w:rPr>
                <w:sz w:val="22"/>
                <w:lang w:eastAsia="en-GB"/>
              </w:rPr>
            </w:pPr>
            <w:r w:rsidRPr="000B4E2C">
              <w:rPr>
                <w:sz w:val="22"/>
                <w:lang w:eastAsia="en-GB"/>
              </w:rPr>
              <w:t>0.0%</w:t>
            </w:r>
          </w:p>
        </w:tc>
      </w:tr>
      <w:tr w:rsidR="002F0133" w:rsidRPr="000B4E2C" w14:paraId="18C14254" w14:textId="77777777" w:rsidTr="000B4E2C">
        <w:trPr>
          <w:cantSplit/>
        </w:trPr>
        <w:tc>
          <w:tcPr>
            <w:tcW w:w="0" w:type="auto"/>
            <w:gridSpan w:val="9"/>
            <w:shd w:val="clear" w:color="auto" w:fill="auto"/>
            <w:noWrap/>
            <w:hideMark/>
          </w:tcPr>
          <w:p w14:paraId="4F981743" w14:textId="77777777" w:rsidR="002F0133" w:rsidRPr="000B4E2C" w:rsidRDefault="002F0133" w:rsidP="008A7464">
            <w:pPr>
              <w:rPr>
                <w:b/>
                <w:bCs/>
                <w:sz w:val="22"/>
                <w:lang w:eastAsia="en-GB"/>
              </w:rPr>
            </w:pPr>
            <w:r w:rsidRPr="000B4E2C">
              <w:rPr>
                <w:b/>
                <w:bCs/>
                <w:sz w:val="22"/>
                <w:lang w:eastAsia="en-GB"/>
              </w:rPr>
              <w:t>Scenario 1D: Full associative effect</w:t>
            </w:r>
          </w:p>
        </w:tc>
      </w:tr>
      <w:tr w:rsidR="002F0133" w:rsidRPr="000B4E2C" w14:paraId="469B78F6" w14:textId="77777777" w:rsidTr="000B4E2C">
        <w:trPr>
          <w:cantSplit/>
        </w:trPr>
        <w:tc>
          <w:tcPr>
            <w:tcW w:w="0" w:type="auto"/>
            <w:shd w:val="clear" w:color="auto" w:fill="auto"/>
            <w:noWrap/>
            <w:hideMark/>
          </w:tcPr>
          <w:p w14:paraId="491A53F3"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12137D67" w14:textId="77777777" w:rsidR="002F0133" w:rsidRPr="000B4E2C" w:rsidRDefault="002F0133" w:rsidP="008A7464">
            <w:pPr>
              <w:rPr>
                <w:sz w:val="22"/>
                <w:lang w:eastAsia="en-GB"/>
              </w:rPr>
            </w:pPr>
            <w:r w:rsidRPr="000B4E2C">
              <w:rPr>
                <w:sz w:val="22"/>
                <w:lang w:eastAsia="en-GB"/>
              </w:rPr>
              <w:t>£22,959</w:t>
            </w:r>
          </w:p>
        </w:tc>
        <w:tc>
          <w:tcPr>
            <w:tcW w:w="0" w:type="auto"/>
            <w:shd w:val="clear" w:color="auto" w:fill="auto"/>
            <w:noWrap/>
            <w:hideMark/>
          </w:tcPr>
          <w:p w14:paraId="10BE9005"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79A7BABF" w14:textId="77777777" w:rsidR="002F0133" w:rsidRPr="000B4E2C" w:rsidRDefault="002F0133" w:rsidP="008A7464">
            <w:pPr>
              <w:rPr>
                <w:sz w:val="22"/>
                <w:lang w:eastAsia="en-GB"/>
              </w:rPr>
            </w:pPr>
            <w:r w:rsidRPr="000B4E2C">
              <w:rPr>
                <w:sz w:val="22"/>
                <w:lang w:eastAsia="en-GB"/>
              </w:rPr>
              <w:t>6.08383</w:t>
            </w:r>
          </w:p>
        </w:tc>
        <w:tc>
          <w:tcPr>
            <w:tcW w:w="0" w:type="auto"/>
            <w:shd w:val="clear" w:color="auto" w:fill="auto"/>
            <w:noWrap/>
            <w:hideMark/>
          </w:tcPr>
          <w:p w14:paraId="32B434AA"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46551A3A"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49DBECF3"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151E03DE" w14:textId="77777777" w:rsidR="002F0133" w:rsidRPr="000B4E2C" w:rsidRDefault="002F0133" w:rsidP="008A7464">
            <w:pPr>
              <w:rPr>
                <w:sz w:val="22"/>
                <w:lang w:eastAsia="en-GB"/>
              </w:rPr>
            </w:pPr>
            <w:r w:rsidRPr="000B4E2C">
              <w:rPr>
                <w:sz w:val="22"/>
                <w:lang w:eastAsia="en-GB"/>
              </w:rPr>
              <w:t>0.7%</w:t>
            </w:r>
          </w:p>
        </w:tc>
        <w:tc>
          <w:tcPr>
            <w:tcW w:w="0" w:type="auto"/>
            <w:shd w:val="clear" w:color="auto" w:fill="auto"/>
            <w:noWrap/>
            <w:hideMark/>
          </w:tcPr>
          <w:p w14:paraId="3B870A1B" w14:textId="77777777" w:rsidR="002F0133" w:rsidRPr="000B4E2C" w:rsidRDefault="002F0133" w:rsidP="008A7464">
            <w:pPr>
              <w:rPr>
                <w:sz w:val="22"/>
                <w:lang w:eastAsia="en-GB"/>
              </w:rPr>
            </w:pPr>
            <w:r w:rsidRPr="000B4E2C">
              <w:rPr>
                <w:sz w:val="22"/>
                <w:lang w:eastAsia="en-GB"/>
              </w:rPr>
              <w:t>--</w:t>
            </w:r>
          </w:p>
        </w:tc>
      </w:tr>
      <w:tr w:rsidR="002F0133" w:rsidRPr="000B4E2C" w14:paraId="25705AB8" w14:textId="77777777" w:rsidTr="000B4E2C">
        <w:trPr>
          <w:cantSplit/>
        </w:trPr>
        <w:tc>
          <w:tcPr>
            <w:tcW w:w="0" w:type="auto"/>
            <w:shd w:val="clear" w:color="auto" w:fill="auto"/>
            <w:noWrap/>
            <w:hideMark/>
          </w:tcPr>
          <w:p w14:paraId="557C5653" w14:textId="4E86F68F"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1E0889A4" w14:textId="77777777" w:rsidR="002F0133" w:rsidRPr="000B4E2C" w:rsidRDefault="002F0133" w:rsidP="008A7464">
            <w:pPr>
              <w:rPr>
                <w:sz w:val="22"/>
                <w:lang w:eastAsia="en-GB"/>
              </w:rPr>
            </w:pPr>
            <w:r w:rsidRPr="000B4E2C">
              <w:rPr>
                <w:sz w:val="22"/>
                <w:lang w:eastAsia="en-GB"/>
              </w:rPr>
              <w:t>£23,013</w:t>
            </w:r>
          </w:p>
        </w:tc>
        <w:tc>
          <w:tcPr>
            <w:tcW w:w="0" w:type="auto"/>
            <w:shd w:val="clear" w:color="auto" w:fill="auto"/>
            <w:noWrap/>
            <w:hideMark/>
          </w:tcPr>
          <w:p w14:paraId="48952A1A" w14:textId="77777777" w:rsidR="002F0133" w:rsidRPr="000B4E2C" w:rsidRDefault="002F0133" w:rsidP="008A7464">
            <w:pPr>
              <w:rPr>
                <w:sz w:val="22"/>
                <w:lang w:eastAsia="en-GB"/>
              </w:rPr>
            </w:pPr>
            <w:r w:rsidRPr="000B4E2C">
              <w:rPr>
                <w:sz w:val="22"/>
                <w:lang w:eastAsia="en-GB"/>
              </w:rPr>
              <w:t>£54</w:t>
            </w:r>
          </w:p>
        </w:tc>
        <w:tc>
          <w:tcPr>
            <w:tcW w:w="0" w:type="auto"/>
            <w:shd w:val="clear" w:color="auto" w:fill="auto"/>
            <w:noWrap/>
            <w:hideMark/>
          </w:tcPr>
          <w:p w14:paraId="1D7CF2E7" w14:textId="77777777" w:rsidR="002F0133" w:rsidRPr="000B4E2C" w:rsidRDefault="002F0133" w:rsidP="008A7464">
            <w:pPr>
              <w:rPr>
                <w:sz w:val="22"/>
                <w:lang w:eastAsia="en-GB"/>
              </w:rPr>
            </w:pPr>
            <w:r w:rsidRPr="000B4E2C">
              <w:rPr>
                <w:sz w:val="22"/>
                <w:lang w:eastAsia="en-GB"/>
              </w:rPr>
              <w:t>6.11006</w:t>
            </w:r>
          </w:p>
        </w:tc>
        <w:tc>
          <w:tcPr>
            <w:tcW w:w="0" w:type="auto"/>
            <w:shd w:val="clear" w:color="auto" w:fill="auto"/>
            <w:noWrap/>
            <w:hideMark/>
          </w:tcPr>
          <w:p w14:paraId="5D7F3805" w14:textId="77777777" w:rsidR="002F0133" w:rsidRPr="000B4E2C" w:rsidRDefault="002F0133" w:rsidP="008A7464">
            <w:pPr>
              <w:rPr>
                <w:sz w:val="22"/>
                <w:lang w:eastAsia="en-GB"/>
              </w:rPr>
            </w:pPr>
            <w:r w:rsidRPr="000B4E2C">
              <w:rPr>
                <w:sz w:val="22"/>
                <w:lang w:eastAsia="en-GB"/>
              </w:rPr>
              <w:t>0.02623</w:t>
            </w:r>
          </w:p>
        </w:tc>
        <w:tc>
          <w:tcPr>
            <w:tcW w:w="0" w:type="auto"/>
            <w:shd w:val="clear" w:color="auto" w:fill="auto"/>
            <w:noWrap/>
            <w:hideMark/>
          </w:tcPr>
          <w:p w14:paraId="7495092E" w14:textId="77777777" w:rsidR="002F0133" w:rsidRPr="000B4E2C" w:rsidRDefault="002F0133" w:rsidP="008A7464">
            <w:pPr>
              <w:rPr>
                <w:sz w:val="22"/>
                <w:lang w:eastAsia="en-GB"/>
              </w:rPr>
            </w:pPr>
            <w:r w:rsidRPr="000B4E2C">
              <w:rPr>
                <w:sz w:val="22"/>
                <w:lang w:eastAsia="en-GB"/>
              </w:rPr>
              <w:t>£2,052</w:t>
            </w:r>
          </w:p>
        </w:tc>
        <w:tc>
          <w:tcPr>
            <w:tcW w:w="0" w:type="auto"/>
            <w:shd w:val="clear" w:color="auto" w:fill="auto"/>
            <w:noWrap/>
            <w:hideMark/>
          </w:tcPr>
          <w:p w14:paraId="148E2319" w14:textId="77777777" w:rsidR="002F0133" w:rsidRPr="000B4E2C" w:rsidRDefault="002F0133" w:rsidP="008A7464">
            <w:pPr>
              <w:rPr>
                <w:sz w:val="22"/>
                <w:lang w:eastAsia="en-GB"/>
              </w:rPr>
            </w:pPr>
            <w:r w:rsidRPr="000B4E2C">
              <w:rPr>
                <w:sz w:val="22"/>
                <w:lang w:eastAsia="en-GB"/>
              </w:rPr>
              <w:t>£2,052</w:t>
            </w:r>
          </w:p>
        </w:tc>
        <w:tc>
          <w:tcPr>
            <w:tcW w:w="0" w:type="auto"/>
            <w:shd w:val="clear" w:color="auto" w:fill="auto"/>
            <w:noWrap/>
            <w:hideMark/>
          </w:tcPr>
          <w:p w14:paraId="2BE53373" w14:textId="77777777" w:rsidR="002F0133" w:rsidRPr="000B4E2C" w:rsidRDefault="002F0133" w:rsidP="008A7464">
            <w:pPr>
              <w:rPr>
                <w:sz w:val="22"/>
                <w:lang w:eastAsia="en-GB"/>
              </w:rPr>
            </w:pPr>
            <w:r w:rsidRPr="000B4E2C">
              <w:rPr>
                <w:sz w:val="22"/>
                <w:lang w:eastAsia="en-GB"/>
              </w:rPr>
              <w:t>40.7%</w:t>
            </w:r>
          </w:p>
        </w:tc>
        <w:tc>
          <w:tcPr>
            <w:tcW w:w="0" w:type="auto"/>
            <w:shd w:val="clear" w:color="auto" w:fill="auto"/>
            <w:noWrap/>
            <w:hideMark/>
          </w:tcPr>
          <w:p w14:paraId="12F3938E" w14:textId="77777777" w:rsidR="002F0133" w:rsidRPr="000B4E2C" w:rsidRDefault="002F0133" w:rsidP="008A7464">
            <w:pPr>
              <w:rPr>
                <w:sz w:val="22"/>
                <w:lang w:eastAsia="en-GB"/>
              </w:rPr>
            </w:pPr>
            <w:r w:rsidRPr="000B4E2C">
              <w:rPr>
                <w:sz w:val="22"/>
                <w:lang w:eastAsia="en-GB"/>
              </w:rPr>
              <w:t>99.3%</w:t>
            </w:r>
          </w:p>
        </w:tc>
      </w:tr>
      <w:tr w:rsidR="002F0133" w:rsidRPr="000B4E2C" w14:paraId="02D500FB" w14:textId="77777777" w:rsidTr="000B4E2C">
        <w:trPr>
          <w:cantSplit/>
        </w:trPr>
        <w:tc>
          <w:tcPr>
            <w:tcW w:w="0" w:type="auto"/>
            <w:shd w:val="clear" w:color="auto" w:fill="auto"/>
            <w:noWrap/>
            <w:hideMark/>
          </w:tcPr>
          <w:p w14:paraId="62551E28" w14:textId="6586E7FB"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7672D226" w14:textId="77777777" w:rsidR="002F0133" w:rsidRPr="000B4E2C" w:rsidRDefault="002F0133" w:rsidP="008A7464">
            <w:pPr>
              <w:rPr>
                <w:sz w:val="22"/>
                <w:lang w:eastAsia="en-GB"/>
              </w:rPr>
            </w:pPr>
            <w:r w:rsidRPr="000B4E2C">
              <w:rPr>
                <w:sz w:val="22"/>
                <w:lang w:eastAsia="en-GB"/>
              </w:rPr>
              <w:t>£23,028</w:t>
            </w:r>
          </w:p>
        </w:tc>
        <w:tc>
          <w:tcPr>
            <w:tcW w:w="0" w:type="auto"/>
            <w:shd w:val="clear" w:color="auto" w:fill="auto"/>
            <w:noWrap/>
            <w:hideMark/>
          </w:tcPr>
          <w:p w14:paraId="2DF4F20B" w14:textId="77777777" w:rsidR="002F0133" w:rsidRPr="000B4E2C" w:rsidRDefault="002F0133" w:rsidP="008A7464">
            <w:pPr>
              <w:rPr>
                <w:sz w:val="22"/>
                <w:lang w:eastAsia="en-GB"/>
              </w:rPr>
            </w:pPr>
            <w:r w:rsidRPr="000B4E2C">
              <w:rPr>
                <w:sz w:val="22"/>
                <w:lang w:eastAsia="en-GB"/>
              </w:rPr>
              <w:t>£15</w:t>
            </w:r>
          </w:p>
        </w:tc>
        <w:tc>
          <w:tcPr>
            <w:tcW w:w="0" w:type="auto"/>
            <w:shd w:val="clear" w:color="auto" w:fill="auto"/>
            <w:noWrap/>
            <w:hideMark/>
          </w:tcPr>
          <w:p w14:paraId="28F65BC0" w14:textId="77777777" w:rsidR="002F0133" w:rsidRPr="000B4E2C" w:rsidRDefault="002F0133" w:rsidP="008A7464">
            <w:pPr>
              <w:rPr>
                <w:sz w:val="22"/>
                <w:lang w:eastAsia="en-GB"/>
              </w:rPr>
            </w:pPr>
            <w:r w:rsidRPr="000B4E2C">
              <w:rPr>
                <w:sz w:val="22"/>
                <w:lang w:eastAsia="en-GB"/>
              </w:rPr>
              <w:t>6.11091</w:t>
            </w:r>
          </w:p>
        </w:tc>
        <w:tc>
          <w:tcPr>
            <w:tcW w:w="0" w:type="auto"/>
            <w:shd w:val="clear" w:color="auto" w:fill="auto"/>
            <w:noWrap/>
            <w:hideMark/>
          </w:tcPr>
          <w:p w14:paraId="0E2AA0BB" w14:textId="77777777" w:rsidR="002F0133" w:rsidRPr="000B4E2C" w:rsidRDefault="002F0133" w:rsidP="008A7464">
            <w:pPr>
              <w:rPr>
                <w:sz w:val="22"/>
                <w:lang w:eastAsia="en-GB"/>
              </w:rPr>
            </w:pPr>
            <w:r w:rsidRPr="000B4E2C">
              <w:rPr>
                <w:sz w:val="22"/>
                <w:lang w:eastAsia="en-GB"/>
              </w:rPr>
              <w:t>0.00084</w:t>
            </w:r>
          </w:p>
        </w:tc>
        <w:tc>
          <w:tcPr>
            <w:tcW w:w="0" w:type="auto"/>
            <w:shd w:val="clear" w:color="auto" w:fill="auto"/>
            <w:noWrap/>
            <w:hideMark/>
          </w:tcPr>
          <w:p w14:paraId="1464E075" w14:textId="77777777" w:rsidR="002F0133" w:rsidRPr="000B4E2C" w:rsidRDefault="002F0133" w:rsidP="008A7464">
            <w:pPr>
              <w:rPr>
                <w:sz w:val="22"/>
                <w:lang w:eastAsia="en-GB"/>
              </w:rPr>
            </w:pPr>
            <w:r w:rsidRPr="000B4E2C">
              <w:rPr>
                <w:sz w:val="22"/>
                <w:lang w:eastAsia="en-GB"/>
              </w:rPr>
              <w:t>£17,702</w:t>
            </w:r>
          </w:p>
        </w:tc>
        <w:tc>
          <w:tcPr>
            <w:tcW w:w="0" w:type="auto"/>
            <w:shd w:val="clear" w:color="auto" w:fill="auto"/>
            <w:noWrap/>
            <w:hideMark/>
          </w:tcPr>
          <w:p w14:paraId="7D0396A8" w14:textId="77777777" w:rsidR="002F0133" w:rsidRPr="000B4E2C" w:rsidRDefault="002F0133" w:rsidP="008A7464">
            <w:pPr>
              <w:rPr>
                <w:sz w:val="22"/>
                <w:lang w:eastAsia="en-GB"/>
              </w:rPr>
            </w:pPr>
            <w:r w:rsidRPr="000B4E2C">
              <w:rPr>
                <w:sz w:val="22"/>
                <w:lang w:eastAsia="en-GB"/>
              </w:rPr>
              <w:t>£2,538</w:t>
            </w:r>
          </w:p>
        </w:tc>
        <w:tc>
          <w:tcPr>
            <w:tcW w:w="0" w:type="auto"/>
            <w:shd w:val="clear" w:color="auto" w:fill="auto"/>
            <w:noWrap/>
            <w:hideMark/>
          </w:tcPr>
          <w:p w14:paraId="0DB7A70A" w14:textId="77777777" w:rsidR="002F0133" w:rsidRPr="000B4E2C" w:rsidRDefault="002F0133" w:rsidP="008A7464">
            <w:pPr>
              <w:rPr>
                <w:sz w:val="22"/>
                <w:lang w:eastAsia="en-GB"/>
              </w:rPr>
            </w:pPr>
            <w:r w:rsidRPr="000B4E2C">
              <w:rPr>
                <w:sz w:val="22"/>
                <w:lang w:eastAsia="en-GB"/>
              </w:rPr>
              <w:t>47.5%</w:t>
            </w:r>
          </w:p>
        </w:tc>
        <w:tc>
          <w:tcPr>
            <w:tcW w:w="0" w:type="auto"/>
            <w:shd w:val="clear" w:color="auto" w:fill="auto"/>
            <w:noWrap/>
            <w:hideMark/>
          </w:tcPr>
          <w:p w14:paraId="598FF5C9" w14:textId="77777777" w:rsidR="002F0133" w:rsidRPr="000B4E2C" w:rsidRDefault="002F0133" w:rsidP="008A7464">
            <w:pPr>
              <w:rPr>
                <w:sz w:val="22"/>
                <w:lang w:eastAsia="en-GB"/>
              </w:rPr>
            </w:pPr>
            <w:r w:rsidRPr="000B4E2C">
              <w:rPr>
                <w:sz w:val="22"/>
                <w:lang w:eastAsia="en-GB"/>
              </w:rPr>
              <w:t>99.1%</w:t>
            </w:r>
          </w:p>
        </w:tc>
      </w:tr>
      <w:tr w:rsidR="002F0133" w:rsidRPr="000B4E2C" w14:paraId="53CD815B" w14:textId="77777777" w:rsidTr="000B4E2C">
        <w:trPr>
          <w:cantSplit/>
        </w:trPr>
        <w:tc>
          <w:tcPr>
            <w:tcW w:w="0" w:type="auto"/>
            <w:shd w:val="clear" w:color="auto" w:fill="auto"/>
            <w:noWrap/>
            <w:hideMark/>
          </w:tcPr>
          <w:p w14:paraId="4093524F" w14:textId="2482FAD5"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6EC97239" w14:textId="77777777" w:rsidR="002F0133" w:rsidRPr="000B4E2C" w:rsidRDefault="002F0133" w:rsidP="008A7464">
            <w:pPr>
              <w:rPr>
                <w:sz w:val="22"/>
                <w:lang w:eastAsia="en-GB"/>
              </w:rPr>
            </w:pPr>
            <w:r w:rsidRPr="000B4E2C">
              <w:rPr>
                <w:sz w:val="22"/>
                <w:lang w:eastAsia="en-GB"/>
              </w:rPr>
              <w:t>£23,031</w:t>
            </w:r>
          </w:p>
        </w:tc>
        <w:tc>
          <w:tcPr>
            <w:tcW w:w="0" w:type="auto"/>
            <w:shd w:val="clear" w:color="auto" w:fill="auto"/>
            <w:noWrap/>
            <w:hideMark/>
          </w:tcPr>
          <w:p w14:paraId="412FD72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35E33CF" w14:textId="77777777" w:rsidR="002F0133" w:rsidRPr="000B4E2C" w:rsidRDefault="002F0133" w:rsidP="008A7464">
            <w:pPr>
              <w:rPr>
                <w:sz w:val="22"/>
                <w:lang w:eastAsia="en-GB"/>
              </w:rPr>
            </w:pPr>
            <w:r w:rsidRPr="000B4E2C">
              <w:rPr>
                <w:sz w:val="22"/>
                <w:lang w:eastAsia="en-GB"/>
              </w:rPr>
              <w:t>6.10799</w:t>
            </w:r>
          </w:p>
        </w:tc>
        <w:tc>
          <w:tcPr>
            <w:tcW w:w="0" w:type="auto"/>
            <w:shd w:val="clear" w:color="auto" w:fill="auto"/>
            <w:noWrap/>
            <w:hideMark/>
          </w:tcPr>
          <w:p w14:paraId="2FF665F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AB27F7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CCFA2D6" w14:textId="77777777" w:rsidR="002F0133" w:rsidRPr="000B4E2C" w:rsidRDefault="002F0133" w:rsidP="008A7464">
            <w:pPr>
              <w:rPr>
                <w:sz w:val="22"/>
                <w:lang w:eastAsia="en-GB"/>
              </w:rPr>
            </w:pPr>
            <w:r w:rsidRPr="000B4E2C">
              <w:rPr>
                <w:sz w:val="22"/>
                <w:lang w:eastAsia="en-GB"/>
              </w:rPr>
              <w:t>£2,981</w:t>
            </w:r>
          </w:p>
        </w:tc>
        <w:tc>
          <w:tcPr>
            <w:tcW w:w="0" w:type="auto"/>
            <w:shd w:val="clear" w:color="auto" w:fill="auto"/>
            <w:noWrap/>
            <w:hideMark/>
          </w:tcPr>
          <w:p w14:paraId="54A6B997" w14:textId="77777777" w:rsidR="002F0133" w:rsidRPr="000B4E2C" w:rsidRDefault="002F0133" w:rsidP="008A7464">
            <w:pPr>
              <w:rPr>
                <w:sz w:val="22"/>
                <w:lang w:eastAsia="en-GB"/>
              </w:rPr>
            </w:pPr>
            <w:r w:rsidRPr="000B4E2C">
              <w:rPr>
                <w:sz w:val="22"/>
                <w:lang w:eastAsia="en-GB"/>
              </w:rPr>
              <w:t>1.1%</w:t>
            </w:r>
          </w:p>
        </w:tc>
        <w:tc>
          <w:tcPr>
            <w:tcW w:w="0" w:type="auto"/>
            <w:shd w:val="clear" w:color="auto" w:fill="auto"/>
            <w:noWrap/>
            <w:hideMark/>
          </w:tcPr>
          <w:p w14:paraId="1B2ACB7F" w14:textId="77777777" w:rsidR="002F0133" w:rsidRPr="000B4E2C" w:rsidRDefault="002F0133" w:rsidP="008A7464">
            <w:pPr>
              <w:rPr>
                <w:sz w:val="22"/>
                <w:lang w:eastAsia="en-GB"/>
              </w:rPr>
            </w:pPr>
            <w:r w:rsidRPr="000B4E2C">
              <w:rPr>
                <w:sz w:val="22"/>
                <w:lang w:eastAsia="en-GB"/>
              </w:rPr>
              <w:t>98.8%</w:t>
            </w:r>
          </w:p>
        </w:tc>
      </w:tr>
      <w:tr w:rsidR="002F0133" w:rsidRPr="000B4E2C" w14:paraId="4C6531A9" w14:textId="77777777" w:rsidTr="000B4E2C">
        <w:trPr>
          <w:cantSplit/>
        </w:trPr>
        <w:tc>
          <w:tcPr>
            <w:tcW w:w="0" w:type="auto"/>
            <w:shd w:val="clear" w:color="auto" w:fill="auto"/>
            <w:noWrap/>
            <w:hideMark/>
          </w:tcPr>
          <w:p w14:paraId="0DE85F12"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2693F54E" w14:textId="77777777" w:rsidR="002F0133" w:rsidRPr="000B4E2C" w:rsidRDefault="002F0133" w:rsidP="008A7464">
            <w:pPr>
              <w:rPr>
                <w:sz w:val="22"/>
                <w:lang w:eastAsia="en-GB"/>
              </w:rPr>
            </w:pPr>
            <w:r w:rsidRPr="000B4E2C">
              <w:rPr>
                <w:sz w:val="22"/>
                <w:lang w:eastAsia="en-GB"/>
              </w:rPr>
              <w:t>£23,065</w:t>
            </w:r>
          </w:p>
        </w:tc>
        <w:tc>
          <w:tcPr>
            <w:tcW w:w="0" w:type="auto"/>
            <w:shd w:val="clear" w:color="auto" w:fill="auto"/>
            <w:noWrap/>
            <w:hideMark/>
          </w:tcPr>
          <w:p w14:paraId="15367AE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6164B15" w14:textId="77777777" w:rsidR="002F0133" w:rsidRPr="000B4E2C" w:rsidRDefault="002F0133" w:rsidP="008A7464">
            <w:pPr>
              <w:rPr>
                <w:sz w:val="22"/>
                <w:lang w:eastAsia="en-GB"/>
              </w:rPr>
            </w:pPr>
            <w:r w:rsidRPr="000B4E2C">
              <w:rPr>
                <w:sz w:val="22"/>
                <w:lang w:eastAsia="en-GB"/>
              </w:rPr>
              <w:t>6.11064</w:t>
            </w:r>
          </w:p>
        </w:tc>
        <w:tc>
          <w:tcPr>
            <w:tcW w:w="0" w:type="auto"/>
            <w:shd w:val="clear" w:color="auto" w:fill="auto"/>
            <w:noWrap/>
            <w:hideMark/>
          </w:tcPr>
          <w:p w14:paraId="004B49F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3601F7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9A47A5D" w14:textId="77777777" w:rsidR="002F0133" w:rsidRPr="000B4E2C" w:rsidRDefault="002F0133" w:rsidP="008A7464">
            <w:pPr>
              <w:rPr>
                <w:sz w:val="22"/>
                <w:lang w:eastAsia="en-GB"/>
              </w:rPr>
            </w:pPr>
            <w:r w:rsidRPr="000B4E2C">
              <w:rPr>
                <w:sz w:val="22"/>
                <w:lang w:eastAsia="en-GB"/>
              </w:rPr>
              <w:t>£3,955</w:t>
            </w:r>
          </w:p>
        </w:tc>
        <w:tc>
          <w:tcPr>
            <w:tcW w:w="0" w:type="auto"/>
            <w:shd w:val="clear" w:color="auto" w:fill="auto"/>
            <w:noWrap/>
            <w:hideMark/>
          </w:tcPr>
          <w:p w14:paraId="35F7315B" w14:textId="77777777" w:rsidR="002F0133" w:rsidRPr="000B4E2C" w:rsidRDefault="002F0133" w:rsidP="008A7464">
            <w:pPr>
              <w:rPr>
                <w:sz w:val="22"/>
                <w:lang w:eastAsia="en-GB"/>
              </w:rPr>
            </w:pPr>
            <w:r w:rsidRPr="000B4E2C">
              <w:rPr>
                <w:sz w:val="22"/>
                <w:lang w:eastAsia="en-GB"/>
              </w:rPr>
              <w:t>10.0%</w:t>
            </w:r>
          </w:p>
        </w:tc>
        <w:tc>
          <w:tcPr>
            <w:tcW w:w="0" w:type="auto"/>
            <w:shd w:val="clear" w:color="auto" w:fill="auto"/>
            <w:noWrap/>
            <w:hideMark/>
          </w:tcPr>
          <w:p w14:paraId="672D355D" w14:textId="77777777" w:rsidR="002F0133" w:rsidRPr="000B4E2C" w:rsidRDefault="002F0133" w:rsidP="008A7464">
            <w:pPr>
              <w:rPr>
                <w:sz w:val="22"/>
                <w:lang w:eastAsia="en-GB"/>
              </w:rPr>
            </w:pPr>
            <w:r w:rsidRPr="000B4E2C">
              <w:rPr>
                <w:sz w:val="22"/>
                <w:lang w:eastAsia="en-GB"/>
              </w:rPr>
              <w:t>97.7%</w:t>
            </w:r>
          </w:p>
        </w:tc>
      </w:tr>
      <w:tr w:rsidR="002F0133" w:rsidRPr="000B4E2C" w14:paraId="64AF8588" w14:textId="77777777" w:rsidTr="000B4E2C">
        <w:trPr>
          <w:cantSplit/>
        </w:trPr>
        <w:tc>
          <w:tcPr>
            <w:tcW w:w="0" w:type="auto"/>
            <w:gridSpan w:val="9"/>
            <w:shd w:val="clear" w:color="auto" w:fill="auto"/>
            <w:noWrap/>
            <w:hideMark/>
          </w:tcPr>
          <w:p w14:paraId="612F0A6B" w14:textId="77777777" w:rsidR="002F0133" w:rsidRPr="000B4E2C" w:rsidRDefault="002F0133" w:rsidP="008A7464">
            <w:pPr>
              <w:rPr>
                <w:b/>
                <w:bCs/>
                <w:sz w:val="22"/>
                <w:lang w:eastAsia="en-GB"/>
              </w:rPr>
            </w:pPr>
            <w:r w:rsidRPr="000B4E2C">
              <w:rPr>
                <w:b/>
                <w:bCs/>
                <w:sz w:val="22"/>
                <w:lang w:eastAsia="en-GB"/>
              </w:rPr>
              <w:t xml:space="preserve">Scenario 1E: As per Scenario 1D but apply a daily excess AKI costs to patients in hospital/ICU </w:t>
            </w:r>
          </w:p>
        </w:tc>
      </w:tr>
      <w:tr w:rsidR="002F0133" w:rsidRPr="000B4E2C" w14:paraId="704374C5" w14:textId="77777777" w:rsidTr="000B4E2C">
        <w:trPr>
          <w:cantSplit/>
        </w:trPr>
        <w:tc>
          <w:tcPr>
            <w:tcW w:w="0" w:type="auto"/>
            <w:shd w:val="clear" w:color="auto" w:fill="auto"/>
            <w:noWrap/>
            <w:hideMark/>
          </w:tcPr>
          <w:p w14:paraId="3CA2AA5E" w14:textId="023B99D0"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476EAA92" w14:textId="77777777" w:rsidR="002F0133" w:rsidRPr="000B4E2C" w:rsidRDefault="002F0133" w:rsidP="008A7464">
            <w:pPr>
              <w:rPr>
                <w:sz w:val="22"/>
                <w:lang w:eastAsia="en-GB"/>
              </w:rPr>
            </w:pPr>
            <w:r w:rsidRPr="000B4E2C">
              <w:rPr>
                <w:sz w:val="22"/>
                <w:lang w:eastAsia="en-GB"/>
              </w:rPr>
              <w:t>£23,638</w:t>
            </w:r>
          </w:p>
        </w:tc>
        <w:tc>
          <w:tcPr>
            <w:tcW w:w="0" w:type="auto"/>
            <w:shd w:val="clear" w:color="auto" w:fill="auto"/>
            <w:noWrap/>
            <w:hideMark/>
          </w:tcPr>
          <w:p w14:paraId="7B927562"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3CAE2258" w14:textId="77777777" w:rsidR="002F0133" w:rsidRPr="000B4E2C" w:rsidRDefault="002F0133" w:rsidP="008A7464">
            <w:pPr>
              <w:rPr>
                <w:sz w:val="22"/>
                <w:lang w:eastAsia="en-GB"/>
              </w:rPr>
            </w:pPr>
            <w:r w:rsidRPr="000B4E2C">
              <w:rPr>
                <w:sz w:val="22"/>
                <w:lang w:eastAsia="en-GB"/>
              </w:rPr>
              <w:t>6.11049</w:t>
            </w:r>
          </w:p>
        </w:tc>
        <w:tc>
          <w:tcPr>
            <w:tcW w:w="0" w:type="auto"/>
            <w:shd w:val="clear" w:color="auto" w:fill="auto"/>
            <w:noWrap/>
            <w:hideMark/>
          </w:tcPr>
          <w:p w14:paraId="7F68599D"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6142DF75"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D837C6B"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18490AD0" w14:textId="77777777" w:rsidR="002F0133" w:rsidRPr="000B4E2C" w:rsidRDefault="002F0133" w:rsidP="008A7464">
            <w:pPr>
              <w:rPr>
                <w:sz w:val="22"/>
                <w:lang w:eastAsia="en-GB"/>
              </w:rPr>
            </w:pPr>
            <w:r w:rsidRPr="000B4E2C">
              <w:rPr>
                <w:sz w:val="22"/>
                <w:lang w:eastAsia="en-GB"/>
              </w:rPr>
              <w:t>38.6%</w:t>
            </w:r>
          </w:p>
        </w:tc>
        <w:tc>
          <w:tcPr>
            <w:tcW w:w="0" w:type="auto"/>
            <w:shd w:val="clear" w:color="auto" w:fill="auto"/>
            <w:noWrap/>
            <w:hideMark/>
          </w:tcPr>
          <w:p w14:paraId="45307D4B" w14:textId="77777777" w:rsidR="002F0133" w:rsidRPr="000B4E2C" w:rsidRDefault="002F0133" w:rsidP="008A7464">
            <w:pPr>
              <w:rPr>
                <w:sz w:val="22"/>
                <w:lang w:eastAsia="en-GB"/>
              </w:rPr>
            </w:pPr>
            <w:r w:rsidRPr="000B4E2C">
              <w:rPr>
                <w:sz w:val="22"/>
                <w:lang w:eastAsia="en-GB"/>
              </w:rPr>
              <w:t>99.2%</w:t>
            </w:r>
          </w:p>
        </w:tc>
      </w:tr>
      <w:tr w:rsidR="002F0133" w:rsidRPr="000B4E2C" w14:paraId="71B7C886" w14:textId="77777777" w:rsidTr="000B4E2C">
        <w:trPr>
          <w:cantSplit/>
        </w:trPr>
        <w:tc>
          <w:tcPr>
            <w:tcW w:w="0" w:type="auto"/>
            <w:shd w:val="clear" w:color="auto" w:fill="auto"/>
            <w:noWrap/>
            <w:hideMark/>
          </w:tcPr>
          <w:p w14:paraId="66E39131" w14:textId="6687A1E8"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4345E6BB" w14:textId="77777777" w:rsidR="002F0133" w:rsidRPr="000B4E2C" w:rsidRDefault="002F0133" w:rsidP="008A7464">
            <w:pPr>
              <w:rPr>
                <w:sz w:val="22"/>
                <w:lang w:eastAsia="en-GB"/>
              </w:rPr>
            </w:pPr>
            <w:r w:rsidRPr="000B4E2C">
              <w:rPr>
                <w:sz w:val="22"/>
                <w:lang w:eastAsia="en-GB"/>
              </w:rPr>
              <w:t>£23,650</w:t>
            </w:r>
          </w:p>
        </w:tc>
        <w:tc>
          <w:tcPr>
            <w:tcW w:w="0" w:type="auto"/>
            <w:shd w:val="clear" w:color="auto" w:fill="auto"/>
            <w:noWrap/>
            <w:hideMark/>
          </w:tcPr>
          <w:p w14:paraId="6BB17D48" w14:textId="77777777" w:rsidR="002F0133" w:rsidRPr="000B4E2C" w:rsidRDefault="002F0133" w:rsidP="008A7464">
            <w:pPr>
              <w:rPr>
                <w:sz w:val="22"/>
                <w:lang w:eastAsia="en-GB"/>
              </w:rPr>
            </w:pPr>
            <w:r w:rsidRPr="000B4E2C">
              <w:rPr>
                <w:sz w:val="22"/>
                <w:lang w:eastAsia="en-GB"/>
              </w:rPr>
              <w:t>£12</w:t>
            </w:r>
          </w:p>
        </w:tc>
        <w:tc>
          <w:tcPr>
            <w:tcW w:w="0" w:type="auto"/>
            <w:shd w:val="clear" w:color="auto" w:fill="auto"/>
            <w:noWrap/>
            <w:hideMark/>
          </w:tcPr>
          <w:p w14:paraId="13201BD6" w14:textId="77777777" w:rsidR="002F0133" w:rsidRPr="000B4E2C" w:rsidRDefault="002F0133" w:rsidP="008A7464">
            <w:pPr>
              <w:rPr>
                <w:sz w:val="22"/>
                <w:lang w:eastAsia="en-GB"/>
              </w:rPr>
            </w:pPr>
            <w:r w:rsidRPr="000B4E2C">
              <w:rPr>
                <w:sz w:val="22"/>
                <w:lang w:eastAsia="en-GB"/>
              </w:rPr>
              <w:t>6.11104</w:t>
            </w:r>
          </w:p>
        </w:tc>
        <w:tc>
          <w:tcPr>
            <w:tcW w:w="0" w:type="auto"/>
            <w:shd w:val="clear" w:color="auto" w:fill="auto"/>
            <w:noWrap/>
            <w:hideMark/>
          </w:tcPr>
          <w:p w14:paraId="51D88AC7" w14:textId="77777777" w:rsidR="002F0133" w:rsidRPr="000B4E2C" w:rsidRDefault="002F0133" w:rsidP="008A7464">
            <w:pPr>
              <w:rPr>
                <w:sz w:val="22"/>
                <w:lang w:eastAsia="en-GB"/>
              </w:rPr>
            </w:pPr>
            <w:r w:rsidRPr="000B4E2C">
              <w:rPr>
                <w:sz w:val="22"/>
                <w:lang w:eastAsia="en-GB"/>
              </w:rPr>
              <w:t>0.00055</w:t>
            </w:r>
          </w:p>
        </w:tc>
        <w:tc>
          <w:tcPr>
            <w:tcW w:w="0" w:type="auto"/>
            <w:shd w:val="clear" w:color="auto" w:fill="auto"/>
            <w:noWrap/>
            <w:hideMark/>
          </w:tcPr>
          <w:p w14:paraId="7B50CA4F" w14:textId="77777777" w:rsidR="002F0133" w:rsidRPr="000B4E2C" w:rsidRDefault="002F0133" w:rsidP="008A7464">
            <w:pPr>
              <w:rPr>
                <w:sz w:val="22"/>
                <w:lang w:eastAsia="en-GB"/>
              </w:rPr>
            </w:pPr>
            <w:r w:rsidRPr="000B4E2C">
              <w:rPr>
                <w:sz w:val="22"/>
                <w:lang w:eastAsia="en-GB"/>
              </w:rPr>
              <w:t>£21,968</w:t>
            </w:r>
          </w:p>
        </w:tc>
        <w:tc>
          <w:tcPr>
            <w:tcW w:w="0" w:type="auto"/>
            <w:shd w:val="clear" w:color="auto" w:fill="auto"/>
            <w:noWrap/>
            <w:hideMark/>
          </w:tcPr>
          <w:p w14:paraId="656E269E"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4DCC6738" w14:textId="77777777" w:rsidR="002F0133" w:rsidRPr="000B4E2C" w:rsidRDefault="002F0133" w:rsidP="008A7464">
            <w:pPr>
              <w:rPr>
                <w:sz w:val="22"/>
                <w:lang w:eastAsia="en-GB"/>
              </w:rPr>
            </w:pPr>
            <w:r w:rsidRPr="000B4E2C">
              <w:rPr>
                <w:sz w:val="22"/>
                <w:lang w:eastAsia="en-GB"/>
              </w:rPr>
              <w:t>43.8%</w:t>
            </w:r>
          </w:p>
        </w:tc>
        <w:tc>
          <w:tcPr>
            <w:tcW w:w="0" w:type="auto"/>
            <w:shd w:val="clear" w:color="auto" w:fill="auto"/>
            <w:noWrap/>
            <w:hideMark/>
          </w:tcPr>
          <w:p w14:paraId="35A0B7CB" w14:textId="77777777" w:rsidR="002F0133" w:rsidRPr="000B4E2C" w:rsidRDefault="002F0133" w:rsidP="008A7464">
            <w:pPr>
              <w:rPr>
                <w:sz w:val="22"/>
                <w:lang w:eastAsia="en-GB"/>
              </w:rPr>
            </w:pPr>
            <w:r w:rsidRPr="000B4E2C">
              <w:rPr>
                <w:sz w:val="22"/>
                <w:lang w:eastAsia="en-GB"/>
              </w:rPr>
              <w:t>98.9%</w:t>
            </w:r>
          </w:p>
        </w:tc>
      </w:tr>
      <w:tr w:rsidR="002F0133" w:rsidRPr="000B4E2C" w14:paraId="3B228503" w14:textId="77777777" w:rsidTr="000B4E2C">
        <w:trPr>
          <w:cantSplit/>
        </w:trPr>
        <w:tc>
          <w:tcPr>
            <w:tcW w:w="0" w:type="auto"/>
            <w:shd w:val="clear" w:color="auto" w:fill="auto"/>
            <w:noWrap/>
            <w:hideMark/>
          </w:tcPr>
          <w:p w14:paraId="3294BE75" w14:textId="50E6C682"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0F5B5910" w14:textId="77777777" w:rsidR="002F0133" w:rsidRPr="000B4E2C" w:rsidRDefault="002F0133" w:rsidP="008A7464">
            <w:pPr>
              <w:rPr>
                <w:sz w:val="22"/>
                <w:lang w:eastAsia="en-GB"/>
              </w:rPr>
            </w:pPr>
            <w:r w:rsidRPr="000B4E2C">
              <w:rPr>
                <w:sz w:val="22"/>
                <w:lang w:eastAsia="en-GB"/>
              </w:rPr>
              <w:t>£23,664</w:t>
            </w:r>
          </w:p>
        </w:tc>
        <w:tc>
          <w:tcPr>
            <w:tcW w:w="0" w:type="auto"/>
            <w:shd w:val="clear" w:color="auto" w:fill="auto"/>
            <w:noWrap/>
            <w:hideMark/>
          </w:tcPr>
          <w:p w14:paraId="3E746406"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22E1047" w14:textId="77777777" w:rsidR="002F0133" w:rsidRPr="000B4E2C" w:rsidRDefault="002F0133" w:rsidP="008A7464">
            <w:pPr>
              <w:rPr>
                <w:sz w:val="22"/>
                <w:lang w:eastAsia="en-GB"/>
              </w:rPr>
            </w:pPr>
            <w:r w:rsidRPr="000B4E2C">
              <w:rPr>
                <w:sz w:val="22"/>
                <w:lang w:eastAsia="en-GB"/>
              </w:rPr>
              <w:t>6.10823</w:t>
            </w:r>
          </w:p>
        </w:tc>
        <w:tc>
          <w:tcPr>
            <w:tcW w:w="0" w:type="auto"/>
            <w:shd w:val="clear" w:color="auto" w:fill="auto"/>
            <w:noWrap/>
            <w:hideMark/>
          </w:tcPr>
          <w:p w14:paraId="0C331BF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FC4474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7EEDD8F"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31B69955" w14:textId="77777777" w:rsidR="002F0133" w:rsidRPr="000B4E2C" w:rsidRDefault="002F0133" w:rsidP="008A7464">
            <w:pPr>
              <w:rPr>
                <w:sz w:val="22"/>
                <w:lang w:eastAsia="en-GB"/>
              </w:rPr>
            </w:pPr>
            <w:r w:rsidRPr="000B4E2C">
              <w:rPr>
                <w:sz w:val="22"/>
                <w:lang w:eastAsia="en-GB"/>
              </w:rPr>
              <w:t>2.0%</w:t>
            </w:r>
          </w:p>
        </w:tc>
        <w:tc>
          <w:tcPr>
            <w:tcW w:w="0" w:type="auto"/>
            <w:shd w:val="clear" w:color="auto" w:fill="auto"/>
            <w:noWrap/>
            <w:hideMark/>
          </w:tcPr>
          <w:p w14:paraId="45251850" w14:textId="77777777" w:rsidR="002F0133" w:rsidRPr="000B4E2C" w:rsidRDefault="002F0133" w:rsidP="008A7464">
            <w:pPr>
              <w:rPr>
                <w:sz w:val="22"/>
                <w:lang w:eastAsia="en-GB"/>
              </w:rPr>
            </w:pPr>
            <w:r w:rsidRPr="000B4E2C">
              <w:rPr>
                <w:sz w:val="22"/>
                <w:lang w:eastAsia="en-GB"/>
              </w:rPr>
              <w:t>98.9%</w:t>
            </w:r>
          </w:p>
        </w:tc>
      </w:tr>
      <w:tr w:rsidR="002F0133" w:rsidRPr="000B4E2C" w14:paraId="326F97FA" w14:textId="77777777" w:rsidTr="000B4E2C">
        <w:trPr>
          <w:cantSplit/>
        </w:trPr>
        <w:tc>
          <w:tcPr>
            <w:tcW w:w="0" w:type="auto"/>
            <w:shd w:val="clear" w:color="auto" w:fill="auto"/>
            <w:noWrap/>
            <w:hideMark/>
          </w:tcPr>
          <w:p w14:paraId="365596A9"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0C81B1AE" w14:textId="77777777" w:rsidR="002F0133" w:rsidRPr="000B4E2C" w:rsidRDefault="002F0133" w:rsidP="008A7464">
            <w:pPr>
              <w:rPr>
                <w:sz w:val="22"/>
                <w:lang w:eastAsia="en-GB"/>
              </w:rPr>
            </w:pPr>
            <w:r w:rsidRPr="000B4E2C">
              <w:rPr>
                <w:sz w:val="22"/>
                <w:lang w:eastAsia="en-GB"/>
              </w:rPr>
              <w:t>£23,681</w:t>
            </w:r>
          </w:p>
        </w:tc>
        <w:tc>
          <w:tcPr>
            <w:tcW w:w="0" w:type="auto"/>
            <w:shd w:val="clear" w:color="auto" w:fill="auto"/>
            <w:noWrap/>
            <w:hideMark/>
          </w:tcPr>
          <w:p w14:paraId="668A2358"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C7ADD94" w14:textId="77777777" w:rsidR="002F0133" w:rsidRPr="000B4E2C" w:rsidRDefault="002F0133" w:rsidP="008A7464">
            <w:pPr>
              <w:rPr>
                <w:sz w:val="22"/>
                <w:lang w:eastAsia="en-GB"/>
              </w:rPr>
            </w:pPr>
            <w:r w:rsidRPr="000B4E2C">
              <w:rPr>
                <w:sz w:val="22"/>
                <w:lang w:eastAsia="en-GB"/>
              </w:rPr>
              <w:t>6.08377</w:t>
            </w:r>
          </w:p>
        </w:tc>
        <w:tc>
          <w:tcPr>
            <w:tcW w:w="0" w:type="auto"/>
            <w:shd w:val="clear" w:color="auto" w:fill="auto"/>
            <w:noWrap/>
            <w:hideMark/>
          </w:tcPr>
          <w:p w14:paraId="7093653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19E986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C4A0595"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EC4EE42" w14:textId="77777777" w:rsidR="002F0133" w:rsidRPr="000B4E2C" w:rsidRDefault="002F0133" w:rsidP="008A7464">
            <w:pPr>
              <w:rPr>
                <w:sz w:val="22"/>
                <w:lang w:eastAsia="en-GB"/>
              </w:rPr>
            </w:pPr>
            <w:r w:rsidRPr="000B4E2C">
              <w:rPr>
                <w:sz w:val="22"/>
                <w:lang w:eastAsia="en-GB"/>
              </w:rPr>
              <w:t>0.8%</w:t>
            </w:r>
          </w:p>
        </w:tc>
        <w:tc>
          <w:tcPr>
            <w:tcW w:w="0" w:type="auto"/>
            <w:shd w:val="clear" w:color="auto" w:fill="auto"/>
            <w:noWrap/>
            <w:hideMark/>
          </w:tcPr>
          <w:p w14:paraId="43F53E9B" w14:textId="77777777" w:rsidR="002F0133" w:rsidRPr="000B4E2C" w:rsidRDefault="002F0133" w:rsidP="008A7464">
            <w:pPr>
              <w:rPr>
                <w:sz w:val="22"/>
                <w:lang w:eastAsia="en-GB"/>
              </w:rPr>
            </w:pPr>
            <w:r w:rsidRPr="000B4E2C">
              <w:rPr>
                <w:sz w:val="22"/>
                <w:lang w:eastAsia="en-GB"/>
              </w:rPr>
              <w:t>--</w:t>
            </w:r>
          </w:p>
        </w:tc>
      </w:tr>
      <w:tr w:rsidR="002F0133" w:rsidRPr="000B4E2C" w14:paraId="4C47070F" w14:textId="77777777" w:rsidTr="000B4E2C">
        <w:trPr>
          <w:cantSplit/>
        </w:trPr>
        <w:tc>
          <w:tcPr>
            <w:tcW w:w="0" w:type="auto"/>
            <w:shd w:val="clear" w:color="auto" w:fill="auto"/>
            <w:noWrap/>
            <w:hideMark/>
          </w:tcPr>
          <w:p w14:paraId="7E261939"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16A2A3E2" w14:textId="77777777" w:rsidR="002F0133" w:rsidRPr="000B4E2C" w:rsidRDefault="002F0133" w:rsidP="008A7464">
            <w:pPr>
              <w:rPr>
                <w:sz w:val="22"/>
                <w:lang w:eastAsia="en-GB"/>
              </w:rPr>
            </w:pPr>
            <w:r w:rsidRPr="000B4E2C">
              <w:rPr>
                <w:sz w:val="22"/>
                <w:lang w:eastAsia="en-GB"/>
              </w:rPr>
              <w:t>£23,687</w:t>
            </w:r>
          </w:p>
        </w:tc>
        <w:tc>
          <w:tcPr>
            <w:tcW w:w="0" w:type="auto"/>
            <w:shd w:val="clear" w:color="auto" w:fill="auto"/>
            <w:noWrap/>
            <w:hideMark/>
          </w:tcPr>
          <w:p w14:paraId="7875D87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BFE0C05" w14:textId="77777777" w:rsidR="002F0133" w:rsidRPr="000B4E2C" w:rsidRDefault="002F0133" w:rsidP="008A7464">
            <w:pPr>
              <w:rPr>
                <w:sz w:val="22"/>
                <w:lang w:eastAsia="en-GB"/>
              </w:rPr>
            </w:pPr>
            <w:r w:rsidRPr="000B4E2C">
              <w:rPr>
                <w:sz w:val="22"/>
                <w:lang w:eastAsia="en-GB"/>
              </w:rPr>
              <w:t>6.11102</w:t>
            </w:r>
          </w:p>
        </w:tc>
        <w:tc>
          <w:tcPr>
            <w:tcW w:w="0" w:type="auto"/>
            <w:shd w:val="clear" w:color="auto" w:fill="auto"/>
            <w:noWrap/>
            <w:hideMark/>
          </w:tcPr>
          <w:p w14:paraId="3C1FFE0C"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261F138"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26FC988" w14:textId="77777777" w:rsidR="002F0133" w:rsidRPr="000B4E2C" w:rsidRDefault="002F0133" w:rsidP="008A7464">
            <w:pPr>
              <w:rPr>
                <w:sz w:val="22"/>
                <w:lang w:eastAsia="en-GB"/>
              </w:rPr>
            </w:pPr>
            <w:r w:rsidRPr="000B4E2C">
              <w:rPr>
                <w:sz w:val="22"/>
                <w:lang w:eastAsia="en-GB"/>
              </w:rPr>
              <w:t>£210</w:t>
            </w:r>
          </w:p>
        </w:tc>
        <w:tc>
          <w:tcPr>
            <w:tcW w:w="0" w:type="auto"/>
            <w:shd w:val="clear" w:color="auto" w:fill="auto"/>
            <w:noWrap/>
            <w:hideMark/>
          </w:tcPr>
          <w:p w14:paraId="45935E97" w14:textId="77777777" w:rsidR="002F0133" w:rsidRPr="000B4E2C" w:rsidRDefault="002F0133" w:rsidP="008A7464">
            <w:pPr>
              <w:rPr>
                <w:sz w:val="22"/>
                <w:lang w:eastAsia="en-GB"/>
              </w:rPr>
            </w:pPr>
            <w:r w:rsidRPr="000B4E2C">
              <w:rPr>
                <w:sz w:val="22"/>
                <w:lang w:eastAsia="en-GB"/>
              </w:rPr>
              <w:t>14.8%</w:t>
            </w:r>
          </w:p>
        </w:tc>
        <w:tc>
          <w:tcPr>
            <w:tcW w:w="0" w:type="auto"/>
            <w:shd w:val="clear" w:color="auto" w:fill="auto"/>
            <w:noWrap/>
            <w:hideMark/>
          </w:tcPr>
          <w:p w14:paraId="41A0AE2F" w14:textId="77777777" w:rsidR="002F0133" w:rsidRPr="000B4E2C" w:rsidRDefault="002F0133" w:rsidP="008A7464">
            <w:pPr>
              <w:rPr>
                <w:sz w:val="22"/>
                <w:lang w:eastAsia="en-GB"/>
              </w:rPr>
            </w:pPr>
            <w:r w:rsidRPr="000B4E2C">
              <w:rPr>
                <w:sz w:val="22"/>
                <w:lang w:eastAsia="en-GB"/>
              </w:rPr>
              <w:t>98.7%</w:t>
            </w:r>
          </w:p>
        </w:tc>
      </w:tr>
      <w:tr w:rsidR="002F0133" w:rsidRPr="000B4E2C" w14:paraId="3839D393" w14:textId="77777777" w:rsidTr="000B4E2C">
        <w:trPr>
          <w:cantSplit/>
        </w:trPr>
        <w:tc>
          <w:tcPr>
            <w:tcW w:w="0" w:type="auto"/>
            <w:gridSpan w:val="9"/>
            <w:shd w:val="clear" w:color="auto" w:fill="auto"/>
            <w:noWrap/>
            <w:hideMark/>
          </w:tcPr>
          <w:p w14:paraId="5BE696F3" w14:textId="77777777" w:rsidR="002F0133" w:rsidRPr="000B4E2C" w:rsidRDefault="002F0133" w:rsidP="008A7464">
            <w:pPr>
              <w:rPr>
                <w:b/>
                <w:bCs/>
                <w:sz w:val="22"/>
                <w:lang w:eastAsia="en-GB"/>
              </w:rPr>
            </w:pPr>
            <w:r w:rsidRPr="000B4E2C">
              <w:rPr>
                <w:b/>
                <w:bCs/>
                <w:sz w:val="22"/>
                <w:lang w:eastAsia="en-GB"/>
              </w:rPr>
              <w:t>Scenario 1F: Exclude RRT cost</w:t>
            </w:r>
          </w:p>
        </w:tc>
      </w:tr>
      <w:tr w:rsidR="002F0133" w:rsidRPr="000B4E2C" w14:paraId="27C61CD0" w14:textId="77777777" w:rsidTr="000B4E2C">
        <w:trPr>
          <w:cantSplit/>
        </w:trPr>
        <w:tc>
          <w:tcPr>
            <w:tcW w:w="0" w:type="auto"/>
            <w:shd w:val="clear" w:color="auto" w:fill="auto"/>
            <w:noWrap/>
            <w:hideMark/>
          </w:tcPr>
          <w:p w14:paraId="1D768C71" w14:textId="6124FC59"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67F67CF3" w14:textId="77777777" w:rsidR="002F0133" w:rsidRPr="000B4E2C" w:rsidRDefault="002F0133" w:rsidP="008A7464">
            <w:pPr>
              <w:rPr>
                <w:sz w:val="22"/>
                <w:lang w:eastAsia="en-GB"/>
              </w:rPr>
            </w:pPr>
            <w:r w:rsidRPr="000B4E2C">
              <w:rPr>
                <w:sz w:val="22"/>
                <w:lang w:eastAsia="en-GB"/>
              </w:rPr>
              <w:t>£23,258</w:t>
            </w:r>
          </w:p>
        </w:tc>
        <w:tc>
          <w:tcPr>
            <w:tcW w:w="0" w:type="auto"/>
            <w:shd w:val="clear" w:color="auto" w:fill="auto"/>
            <w:noWrap/>
            <w:hideMark/>
          </w:tcPr>
          <w:p w14:paraId="7624756D"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6FB9E02A" w14:textId="77777777" w:rsidR="002F0133" w:rsidRPr="000B4E2C" w:rsidRDefault="002F0133" w:rsidP="008A7464">
            <w:pPr>
              <w:rPr>
                <w:sz w:val="22"/>
                <w:lang w:eastAsia="en-GB"/>
              </w:rPr>
            </w:pPr>
            <w:r w:rsidRPr="000B4E2C">
              <w:rPr>
                <w:sz w:val="22"/>
                <w:lang w:eastAsia="en-GB"/>
              </w:rPr>
              <w:t>6.07092</w:t>
            </w:r>
          </w:p>
        </w:tc>
        <w:tc>
          <w:tcPr>
            <w:tcW w:w="0" w:type="auto"/>
            <w:shd w:val="clear" w:color="auto" w:fill="auto"/>
            <w:noWrap/>
            <w:hideMark/>
          </w:tcPr>
          <w:p w14:paraId="48D997FB"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EA8413D"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77DB9ED1"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3F68BA14" w14:textId="77777777" w:rsidR="002F0133" w:rsidRPr="000B4E2C" w:rsidRDefault="002F0133" w:rsidP="008A7464">
            <w:pPr>
              <w:rPr>
                <w:sz w:val="22"/>
                <w:lang w:eastAsia="en-GB"/>
              </w:rPr>
            </w:pPr>
            <w:r w:rsidRPr="000B4E2C">
              <w:rPr>
                <w:sz w:val="22"/>
                <w:lang w:eastAsia="en-GB"/>
              </w:rPr>
              <w:t>39.5%</w:t>
            </w:r>
          </w:p>
        </w:tc>
        <w:tc>
          <w:tcPr>
            <w:tcW w:w="0" w:type="auto"/>
            <w:shd w:val="clear" w:color="auto" w:fill="auto"/>
            <w:noWrap/>
            <w:hideMark/>
          </w:tcPr>
          <w:p w14:paraId="2FB75860" w14:textId="77777777" w:rsidR="002F0133" w:rsidRPr="000B4E2C" w:rsidRDefault="002F0133" w:rsidP="008A7464">
            <w:pPr>
              <w:rPr>
                <w:sz w:val="22"/>
                <w:lang w:eastAsia="en-GB"/>
              </w:rPr>
            </w:pPr>
            <w:r w:rsidRPr="000B4E2C">
              <w:rPr>
                <w:sz w:val="22"/>
                <w:lang w:eastAsia="en-GB"/>
              </w:rPr>
              <w:t>49.9%</w:t>
            </w:r>
          </w:p>
        </w:tc>
      </w:tr>
      <w:tr w:rsidR="002F0133" w:rsidRPr="000B4E2C" w14:paraId="1A0D598C" w14:textId="77777777" w:rsidTr="000B4E2C">
        <w:trPr>
          <w:cantSplit/>
        </w:trPr>
        <w:tc>
          <w:tcPr>
            <w:tcW w:w="0" w:type="auto"/>
            <w:shd w:val="clear" w:color="auto" w:fill="auto"/>
            <w:noWrap/>
            <w:hideMark/>
          </w:tcPr>
          <w:p w14:paraId="764C2B67"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632A186F" w14:textId="77777777" w:rsidR="002F0133" w:rsidRPr="000B4E2C" w:rsidRDefault="002F0133" w:rsidP="008A7464">
            <w:pPr>
              <w:rPr>
                <w:sz w:val="22"/>
                <w:lang w:eastAsia="en-GB"/>
              </w:rPr>
            </w:pPr>
            <w:r w:rsidRPr="000B4E2C">
              <w:rPr>
                <w:sz w:val="22"/>
                <w:lang w:eastAsia="en-GB"/>
              </w:rPr>
              <w:t>£23,266</w:t>
            </w:r>
          </w:p>
        </w:tc>
        <w:tc>
          <w:tcPr>
            <w:tcW w:w="0" w:type="auto"/>
            <w:shd w:val="clear" w:color="auto" w:fill="auto"/>
            <w:noWrap/>
            <w:hideMark/>
          </w:tcPr>
          <w:p w14:paraId="60F84AA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0545A22" w14:textId="77777777" w:rsidR="002F0133" w:rsidRPr="000B4E2C" w:rsidRDefault="002F0133" w:rsidP="008A7464">
            <w:pPr>
              <w:rPr>
                <w:sz w:val="22"/>
                <w:lang w:eastAsia="en-GB"/>
              </w:rPr>
            </w:pPr>
            <w:r w:rsidRPr="000B4E2C">
              <w:rPr>
                <w:sz w:val="22"/>
                <w:lang w:eastAsia="en-GB"/>
              </w:rPr>
              <w:t>6.07060</w:t>
            </w:r>
          </w:p>
        </w:tc>
        <w:tc>
          <w:tcPr>
            <w:tcW w:w="0" w:type="auto"/>
            <w:shd w:val="clear" w:color="auto" w:fill="auto"/>
            <w:noWrap/>
            <w:hideMark/>
          </w:tcPr>
          <w:p w14:paraId="2F129B0D"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7D30D3F"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6B02DAF"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FD57FE5" w14:textId="77777777" w:rsidR="002F0133" w:rsidRPr="000B4E2C" w:rsidRDefault="002F0133" w:rsidP="008A7464">
            <w:pPr>
              <w:rPr>
                <w:sz w:val="22"/>
                <w:lang w:eastAsia="en-GB"/>
              </w:rPr>
            </w:pPr>
            <w:r w:rsidRPr="000B4E2C">
              <w:rPr>
                <w:sz w:val="22"/>
                <w:lang w:eastAsia="en-GB"/>
              </w:rPr>
              <w:t>49.8%</w:t>
            </w:r>
          </w:p>
        </w:tc>
        <w:tc>
          <w:tcPr>
            <w:tcW w:w="0" w:type="auto"/>
            <w:shd w:val="clear" w:color="auto" w:fill="auto"/>
            <w:noWrap/>
            <w:hideMark/>
          </w:tcPr>
          <w:p w14:paraId="1C984EA2" w14:textId="77777777" w:rsidR="002F0133" w:rsidRPr="000B4E2C" w:rsidRDefault="002F0133" w:rsidP="008A7464">
            <w:pPr>
              <w:rPr>
                <w:sz w:val="22"/>
                <w:lang w:eastAsia="en-GB"/>
              </w:rPr>
            </w:pPr>
            <w:r w:rsidRPr="000B4E2C">
              <w:rPr>
                <w:sz w:val="22"/>
                <w:lang w:eastAsia="en-GB"/>
              </w:rPr>
              <w:t>--</w:t>
            </w:r>
          </w:p>
        </w:tc>
      </w:tr>
      <w:tr w:rsidR="002F0133" w:rsidRPr="000B4E2C" w14:paraId="5A49E343" w14:textId="77777777" w:rsidTr="000B4E2C">
        <w:trPr>
          <w:cantSplit/>
        </w:trPr>
        <w:tc>
          <w:tcPr>
            <w:tcW w:w="0" w:type="auto"/>
            <w:shd w:val="clear" w:color="auto" w:fill="auto"/>
            <w:noWrap/>
            <w:hideMark/>
          </w:tcPr>
          <w:p w14:paraId="0D310849" w14:textId="700EA72B"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2D178361" w14:textId="77777777" w:rsidR="002F0133" w:rsidRPr="000B4E2C" w:rsidRDefault="002F0133" w:rsidP="008A7464">
            <w:pPr>
              <w:rPr>
                <w:sz w:val="22"/>
                <w:lang w:eastAsia="en-GB"/>
              </w:rPr>
            </w:pPr>
            <w:r w:rsidRPr="000B4E2C">
              <w:rPr>
                <w:sz w:val="22"/>
                <w:lang w:eastAsia="en-GB"/>
              </w:rPr>
              <w:t>£23,271</w:t>
            </w:r>
          </w:p>
        </w:tc>
        <w:tc>
          <w:tcPr>
            <w:tcW w:w="0" w:type="auto"/>
            <w:shd w:val="clear" w:color="auto" w:fill="auto"/>
            <w:noWrap/>
            <w:hideMark/>
          </w:tcPr>
          <w:p w14:paraId="7A17F62E" w14:textId="77777777" w:rsidR="002F0133" w:rsidRPr="000B4E2C" w:rsidRDefault="002F0133" w:rsidP="008A7464">
            <w:pPr>
              <w:rPr>
                <w:sz w:val="22"/>
                <w:lang w:eastAsia="en-GB"/>
              </w:rPr>
            </w:pPr>
            <w:r w:rsidRPr="000B4E2C">
              <w:rPr>
                <w:sz w:val="22"/>
                <w:lang w:eastAsia="en-GB"/>
              </w:rPr>
              <w:t>£14</w:t>
            </w:r>
          </w:p>
        </w:tc>
        <w:tc>
          <w:tcPr>
            <w:tcW w:w="0" w:type="auto"/>
            <w:shd w:val="clear" w:color="auto" w:fill="auto"/>
            <w:noWrap/>
            <w:hideMark/>
          </w:tcPr>
          <w:p w14:paraId="044C29AB" w14:textId="77777777" w:rsidR="002F0133" w:rsidRPr="000B4E2C" w:rsidRDefault="002F0133" w:rsidP="008A7464">
            <w:pPr>
              <w:rPr>
                <w:sz w:val="22"/>
                <w:lang w:eastAsia="en-GB"/>
              </w:rPr>
            </w:pPr>
            <w:r w:rsidRPr="000B4E2C">
              <w:rPr>
                <w:sz w:val="22"/>
                <w:lang w:eastAsia="en-GB"/>
              </w:rPr>
              <w:t>6.07093</w:t>
            </w:r>
          </w:p>
        </w:tc>
        <w:tc>
          <w:tcPr>
            <w:tcW w:w="0" w:type="auto"/>
            <w:shd w:val="clear" w:color="auto" w:fill="auto"/>
            <w:noWrap/>
            <w:hideMark/>
          </w:tcPr>
          <w:p w14:paraId="78E72869" w14:textId="77777777" w:rsidR="002F0133" w:rsidRPr="000B4E2C" w:rsidRDefault="002F0133" w:rsidP="008A7464">
            <w:pPr>
              <w:rPr>
                <w:sz w:val="22"/>
                <w:lang w:eastAsia="en-GB"/>
              </w:rPr>
            </w:pPr>
            <w:r w:rsidRPr="000B4E2C">
              <w:rPr>
                <w:sz w:val="22"/>
                <w:lang w:eastAsia="en-GB"/>
              </w:rPr>
              <w:t>0.00001</w:t>
            </w:r>
          </w:p>
        </w:tc>
        <w:tc>
          <w:tcPr>
            <w:tcW w:w="0" w:type="auto"/>
            <w:shd w:val="clear" w:color="auto" w:fill="auto"/>
            <w:noWrap/>
            <w:hideMark/>
          </w:tcPr>
          <w:p w14:paraId="57063330" w14:textId="77777777" w:rsidR="002F0133" w:rsidRPr="000B4E2C" w:rsidRDefault="002F0133" w:rsidP="008A7464">
            <w:pPr>
              <w:rPr>
                <w:sz w:val="22"/>
                <w:lang w:eastAsia="en-GB"/>
              </w:rPr>
            </w:pPr>
            <w:r w:rsidRPr="000B4E2C">
              <w:rPr>
                <w:sz w:val="22"/>
                <w:lang w:eastAsia="en-GB"/>
              </w:rPr>
              <w:t>£1,403,330</w:t>
            </w:r>
          </w:p>
        </w:tc>
        <w:tc>
          <w:tcPr>
            <w:tcW w:w="0" w:type="auto"/>
            <w:shd w:val="clear" w:color="auto" w:fill="auto"/>
            <w:noWrap/>
            <w:hideMark/>
          </w:tcPr>
          <w:p w14:paraId="23E699C5" w14:textId="77777777" w:rsidR="002F0133" w:rsidRPr="000B4E2C" w:rsidRDefault="002F0133" w:rsidP="008A7464">
            <w:pPr>
              <w:rPr>
                <w:sz w:val="22"/>
                <w:lang w:eastAsia="en-GB"/>
              </w:rPr>
            </w:pPr>
            <w:r w:rsidRPr="000B4E2C">
              <w:rPr>
                <w:sz w:val="22"/>
                <w:lang w:eastAsia="en-GB"/>
              </w:rPr>
              <w:t>£17,694</w:t>
            </w:r>
          </w:p>
        </w:tc>
        <w:tc>
          <w:tcPr>
            <w:tcW w:w="0" w:type="auto"/>
            <w:shd w:val="clear" w:color="auto" w:fill="auto"/>
            <w:noWrap/>
            <w:hideMark/>
          </w:tcPr>
          <w:p w14:paraId="60A5F288" w14:textId="77777777" w:rsidR="002F0133" w:rsidRPr="000B4E2C" w:rsidRDefault="002F0133" w:rsidP="008A7464">
            <w:pPr>
              <w:rPr>
                <w:sz w:val="22"/>
                <w:lang w:eastAsia="en-GB"/>
              </w:rPr>
            </w:pPr>
            <w:r w:rsidRPr="000B4E2C">
              <w:rPr>
                <w:sz w:val="22"/>
                <w:lang w:eastAsia="en-GB"/>
              </w:rPr>
              <w:t>10.0%</w:t>
            </w:r>
          </w:p>
        </w:tc>
        <w:tc>
          <w:tcPr>
            <w:tcW w:w="0" w:type="auto"/>
            <w:shd w:val="clear" w:color="auto" w:fill="auto"/>
            <w:noWrap/>
            <w:hideMark/>
          </w:tcPr>
          <w:p w14:paraId="59562EAF" w14:textId="77777777" w:rsidR="002F0133" w:rsidRPr="000B4E2C" w:rsidRDefault="002F0133" w:rsidP="008A7464">
            <w:pPr>
              <w:rPr>
                <w:sz w:val="22"/>
                <w:lang w:eastAsia="en-GB"/>
              </w:rPr>
            </w:pPr>
            <w:r w:rsidRPr="000B4E2C">
              <w:rPr>
                <w:sz w:val="22"/>
                <w:lang w:eastAsia="en-GB"/>
              </w:rPr>
              <w:t>44.9%</w:t>
            </w:r>
          </w:p>
        </w:tc>
      </w:tr>
      <w:tr w:rsidR="002F0133" w:rsidRPr="000B4E2C" w14:paraId="0E7FE253" w14:textId="77777777" w:rsidTr="000B4E2C">
        <w:trPr>
          <w:cantSplit/>
        </w:trPr>
        <w:tc>
          <w:tcPr>
            <w:tcW w:w="0" w:type="auto"/>
            <w:shd w:val="clear" w:color="auto" w:fill="auto"/>
            <w:noWrap/>
            <w:hideMark/>
          </w:tcPr>
          <w:p w14:paraId="5FA06C90" w14:textId="398F5F3F"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2871A762" w14:textId="77777777" w:rsidR="002F0133" w:rsidRPr="000B4E2C" w:rsidRDefault="002F0133" w:rsidP="008A7464">
            <w:pPr>
              <w:rPr>
                <w:sz w:val="22"/>
                <w:lang w:eastAsia="en-GB"/>
              </w:rPr>
            </w:pPr>
            <w:r w:rsidRPr="000B4E2C">
              <w:rPr>
                <w:sz w:val="22"/>
                <w:lang w:eastAsia="en-GB"/>
              </w:rPr>
              <w:t>£23,282</w:t>
            </w:r>
          </w:p>
        </w:tc>
        <w:tc>
          <w:tcPr>
            <w:tcW w:w="0" w:type="auto"/>
            <w:shd w:val="clear" w:color="auto" w:fill="auto"/>
            <w:noWrap/>
            <w:hideMark/>
          </w:tcPr>
          <w:p w14:paraId="2B2F10A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79DA28A" w14:textId="77777777" w:rsidR="002F0133" w:rsidRPr="000B4E2C" w:rsidRDefault="002F0133" w:rsidP="008A7464">
            <w:pPr>
              <w:rPr>
                <w:sz w:val="22"/>
                <w:lang w:eastAsia="en-GB"/>
              </w:rPr>
            </w:pPr>
            <w:r w:rsidRPr="000B4E2C">
              <w:rPr>
                <w:sz w:val="22"/>
                <w:lang w:eastAsia="en-GB"/>
              </w:rPr>
              <w:t>6.07089</w:t>
            </w:r>
          </w:p>
        </w:tc>
        <w:tc>
          <w:tcPr>
            <w:tcW w:w="0" w:type="auto"/>
            <w:shd w:val="clear" w:color="auto" w:fill="auto"/>
            <w:noWrap/>
            <w:hideMark/>
          </w:tcPr>
          <w:p w14:paraId="05716EDD"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BB6C8E2"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E457392" w14:textId="77777777" w:rsidR="002F0133" w:rsidRPr="000B4E2C" w:rsidRDefault="002F0133" w:rsidP="008A7464">
            <w:pPr>
              <w:rPr>
                <w:sz w:val="22"/>
                <w:lang w:eastAsia="en-GB"/>
              </w:rPr>
            </w:pPr>
            <w:r w:rsidRPr="000B4E2C">
              <w:rPr>
                <w:sz w:val="22"/>
                <w:lang w:eastAsia="en-GB"/>
              </w:rPr>
              <w:t>£54,497</w:t>
            </w:r>
          </w:p>
        </w:tc>
        <w:tc>
          <w:tcPr>
            <w:tcW w:w="0" w:type="auto"/>
            <w:shd w:val="clear" w:color="auto" w:fill="auto"/>
            <w:noWrap/>
            <w:hideMark/>
          </w:tcPr>
          <w:p w14:paraId="296F906A" w14:textId="77777777" w:rsidR="002F0133" w:rsidRPr="000B4E2C" w:rsidRDefault="002F0133" w:rsidP="008A7464">
            <w:pPr>
              <w:rPr>
                <w:sz w:val="22"/>
                <w:lang w:eastAsia="en-GB"/>
              </w:rPr>
            </w:pPr>
            <w:r w:rsidRPr="000B4E2C">
              <w:rPr>
                <w:sz w:val="22"/>
                <w:lang w:eastAsia="en-GB"/>
              </w:rPr>
              <w:t>0.3%</w:t>
            </w:r>
          </w:p>
        </w:tc>
        <w:tc>
          <w:tcPr>
            <w:tcW w:w="0" w:type="auto"/>
            <w:shd w:val="clear" w:color="auto" w:fill="auto"/>
            <w:noWrap/>
            <w:hideMark/>
          </w:tcPr>
          <w:p w14:paraId="38040D52" w14:textId="77777777" w:rsidR="002F0133" w:rsidRPr="000B4E2C" w:rsidRDefault="002F0133" w:rsidP="008A7464">
            <w:pPr>
              <w:rPr>
                <w:sz w:val="22"/>
                <w:lang w:eastAsia="en-GB"/>
              </w:rPr>
            </w:pPr>
            <w:r w:rsidRPr="000B4E2C">
              <w:rPr>
                <w:sz w:val="22"/>
                <w:lang w:eastAsia="en-GB"/>
              </w:rPr>
              <w:t>39.0%</w:t>
            </w:r>
          </w:p>
        </w:tc>
      </w:tr>
      <w:tr w:rsidR="002F0133" w:rsidRPr="000B4E2C" w14:paraId="67580856" w14:textId="77777777" w:rsidTr="000B4E2C">
        <w:trPr>
          <w:cantSplit/>
        </w:trPr>
        <w:tc>
          <w:tcPr>
            <w:tcW w:w="0" w:type="auto"/>
            <w:shd w:val="clear" w:color="auto" w:fill="auto"/>
            <w:noWrap/>
            <w:hideMark/>
          </w:tcPr>
          <w:p w14:paraId="5B1A5454"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1C2213FA" w14:textId="77777777" w:rsidR="002F0133" w:rsidRPr="000B4E2C" w:rsidRDefault="002F0133" w:rsidP="008A7464">
            <w:pPr>
              <w:rPr>
                <w:sz w:val="22"/>
                <w:lang w:eastAsia="en-GB"/>
              </w:rPr>
            </w:pPr>
            <w:r w:rsidRPr="000B4E2C">
              <w:rPr>
                <w:sz w:val="22"/>
                <w:lang w:eastAsia="en-GB"/>
              </w:rPr>
              <w:t>£23,309</w:t>
            </w:r>
          </w:p>
        </w:tc>
        <w:tc>
          <w:tcPr>
            <w:tcW w:w="0" w:type="auto"/>
            <w:shd w:val="clear" w:color="auto" w:fill="auto"/>
            <w:noWrap/>
            <w:hideMark/>
          </w:tcPr>
          <w:p w14:paraId="6265222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CDC252E" w14:textId="77777777" w:rsidR="002F0133" w:rsidRPr="000B4E2C" w:rsidRDefault="002F0133" w:rsidP="008A7464">
            <w:pPr>
              <w:rPr>
                <w:sz w:val="22"/>
                <w:lang w:eastAsia="en-GB"/>
              </w:rPr>
            </w:pPr>
            <w:r w:rsidRPr="000B4E2C">
              <w:rPr>
                <w:sz w:val="22"/>
                <w:lang w:eastAsia="en-GB"/>
              </w:rPr>
              <w:t>6.07092</w:t>
            </w:r>
          </w:p>
        </w:tc>
        <w:tc>
          <w:tcPr>
            <w:tcW w:w="0" w:type="auto"/>
            <w:shd w:val="clear" w:color="auto" w:fill="auto"/>
            <w:noWrap/>
            <w:hideMark/>
          </w:tcPr>
          <w:p w14:paraId="048B4EF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F606FB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1AA4BC4" w14:textId="77777777" w:rsidR="002F0133" w:rsidRPr="000B4E2C" w:rsidRDefault="002F0133" w:rsidP="008A7464">
            <w:pPr>
              <w:rPr>
                <w:sz w:val="22"/>
                <w:lang w:eastAsia="en-GB"/>
              </w:rPr>
            </w:pPr>
            <w:r w:rsidRPr="000B4E2C">
              <w:rPr>
                <w:sz w:val="22"/>
                <w:lang w:eastAsia="en-GB"/>
              </w:rPr>
              <w:t>£132,748</w:t>
            </w:r>
          </w:p>
        </w:tc>
        <w:tc>
          <w:tcPr>
            <w:tcW w:w="0" w:type="auto"/>
            <w:shd w:val="clear" w:color="auto" w:fill="auto"/>
            <w:noWrap/>
            <w:hideMark/>
          </w:tcPr>
          <w:p w14:paraId="5D299650" w14:textId="77777777" w:rsidR="002F0133" w:rsidRPr="000B4E2C" w:rsidRDefault="002F0133" w:rsidP="008A7464">
            <w:pPr>
              <w:rPr>
                <w:sz w:val="22"/>
                <w:lang w:eastAsia="en-GB"/>
              </w:rPr>
            </w:pPr>
            <w:r w:rsidRPr="000B4E2C">
              <w:rPr>
                <w:sz w:val="22"/>
                <w:lang w:eastAsia="en-GB"/>
              </w:rPr>
              <w:t>0.4%</w:t>
            </w:r>
          </w:p>
        </w:tc>
        <w:tc>
          <w:tcPr>
            <w:tcW w:w="0" w:type="auto"/>
            <w:shd w:val="clear" w:color="auto" w:fill="auto"/>
            <w:noWrap/>
            <w:hideMark/>
          </w:tcPr>
          <w:p w14:paraId="1F785B6C" w14:textId="77777777" w:rsidR="002F0133" w:rsidRPr="000B4E2C" w:rsidRDefault="002F0133" w:rsidP="008A7464">
            <w:pPr>
              <w:rPr>
                <w:sz w:val="22"/>
                <w:lang w:eastAsia="en-GB"/>
              </w:rPr>
            </w:pPr>
            <w:r w:rsidRPr="000B4E2C">
              <w:rPr>
                <w:sz w:val="22"/>
                <w:lang w:eastAsia="en-GB"/>
              </w:rPr>
              <w:t>29.5%</w:t>
            </w:r>
          </w:p>
        </w:tc>
      </w:tr>
      <w:tr w:rsidR="002F0133" w:rsidRPr="000B4E2C" w14:paraId="632F9DC0" w14:textId="77777777" w:rsidTr="000B4E2C">
        <w:trPr>
          <w:cantSplit/>
        </w:trPr>
        <w:tc>
          <w:tcPr>
            <w:tcW w:w="0" w:type="auto"/>
            <w:gridSpan w:val="9"/>
            <w:shd w:val="clear" w:color="auto" w:fill="auto"/>
            <w:noWrap/>
            <w:hideMark/>
          </w:tcPr>
          <w:p w14:paraId="3744BDBC" w14:textId="77777777" w:rsidR="002F0133" w:rsidRPr="000B4E2C" w:rsidRDefault="002F0133" w:rsidP="008A7464">
            <w:pPr>
              <w:rPr>
                <w:b/>
                <w:bCs/>
                <w:sz w:val="22"/>
                <w:lang w:eastAsia="en-GB"/>
              </w:rPr>
            </w:pPr>
            <w:r w:rsidRPr="000B4E2C">
              <w:rPr>
                <w:b/>
                <w:bCs/>
                <w:sz w:val="22"/>
                <w:lang w:eastAsia="en-GB"/>
              </w:rPr>
              <w:t xml:space="preserve">Scenario 1G: </w:t>
            </w:r>
            <w:r w:rsidRPr="000B4E2C">
              <w:rPr>
                <w:b/>
                <w:bCs/>
                <w:sz w:val="22"/>
                <w:vertAlign w:val="superscript"/>
                <w:lang w:eastAsia="en-GB"/>
              </w:rPr>
              <w:t>A</w:t>
            </w:r>
            <w:r w:rsidRPr="000B4E2C">
              <w:rPr>
                <w:b/>
                <w:bCs/>
                <w:sz w:val="22"/>
                <w:lang w:eastAsia="en-GB"/>
              </w:rPr>
              <w:t xml:space="preserve"> Apply the differential long-term follow-up costs and mortality according to whether patient entered ICU or not</w:t>
            </w:r>
          </w:p>
        </w:tc>
      </w:tr>
      <w:tr w:rsidR="002F0133" w:rsidRPr="000B4E2C" w14:paraId="49AFAFC4" w14:textId="77777777" w:rsidTr="000B4E2C">
        <w:trPr>
          <w:cantSplit/>
        </w:trPr>
        <w:tc>
          <w:tcPr>
            <w:tcW w:w="0" w:type="auto"/>
            <w:shd w:val="clear" w:color="auto" w:fill="auto"/>
            <w:noWrap/>
            <w:hideMark/>
          </w:tcPr>
          <w:p w14:paraId="34C3C164" w14:textId="2A460906"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54DEEFB8" w14:textId="77777777" w:rsidR="002F0133" w:rsidRPr="000B4E2C" w:rsidRDefault="002F0133" w:rsidP="008A7464">
            <w:pPr>
              <w:rPr>
                <w:sz w:val="22"/>
                <w:lang w:eastAsia="en-GB"/>
              </w:rPr>
            </w:pPr>
            <w:r w:rsidRPr="000B4E2C">
              <w:rPr>
                <w:sz w:val="22"/>
                <w:lang w:eastAsia="en-GB"/>
              </w:rPr>
              <w:t>£30,290</w:t>
            </w:r>
          </w:p>
        </w:tc>
        <w:tc>
          <w:tcPr>
            <w:tcW w:w="0" w:type="auto"/>
            <w:shd w:val="clear" w:color="auto" w:fill="auto"/>
            <w:noWrap/>
            <w:hideMark/>
          </w:tcPr>
          <w:p w14:paraId="079F503F"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5D631AB" w14:textId="77777777" w:rsidR="002F0133" w:rsidRPr="000B4E2C" w:rsidRDefault="002F0133" w:rsidP="008A7464">
            <w:pPr>
              <w:rPr>
                <w:sz w:val="22"/>
                <w:lang w:eastAsia="en-GB"/>
              </w:rPr>
            </w:pPr>
            <w:r w:rsidRPr="000B4E2C">
              <w:rPr>
                <w:sz w:val="22"/>
                <w:lang w:eastAsia="en-GB"/>
              </w:rPr>
              <w:t>6.56602</w:t>
            </w:r>
          </w:p>
        </w:tc>
        <w:tc>
          <w:tcPr>
            <w:tcW w:w="0" w:type="auto"/>
            <w:shd w:val="clear" w:color="auto" w:fill="auto"/>
            <w:noWrap/>
            <w:hideMark/>
          </w:tcPr>
          <w:p w14:paraId="053C2A1E"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70286ED4"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A30A21E"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16C83058" w14:textId="77777777" w:rsidR="002F0133" w:rsidRPr="000B4E2C" w:rsidRDefault="002F0133" w:rsidP="008A7464">
            <w:pPr>
              <w:rPr>
                <w:sz w:val="22"/>
                <w:lang w:eastAsia="en-GB"/>
              </w:rPr>
            </w:pPr>
            <w:r w:rsidRPr="000B4E2C">
              <w:rPr>
                <w:sz w:val="22"/>
                <w:lang w:eastAsia="en-GB"/>
              </w:rPr>
              <w:t>50.2%</w:t>
            </w:r>
          </w:p>
        </w:tc>
        <w:tc>
          <w:tcPr>
            <w:tcW w:w="0" w:type="auto"/>
            <w:shd w:val="clear" w:color="auto" w:fill="auto"/>
            <w:noWrap/>
            <w:hideMark/>
          </w:tcPr>
          <w:p w14:paraId="18F35279" w14:textId="77777777" w:rsidR="002F0133" w:rsidRPr="000B4E2C" w:rsidRDefault="002F0133" w:rsidP="008A7464">
            <w:pPr>
              <w:rPr>
                <w:sz w:val="22"/>
                <w:lang w:eastAsia="en-GB"/>
              </w:rPr>
            </w:pPr>
            <w:r w:rsidRPr="000B4E2C">
              <w:rPr>
                <w:sz w:val="22"/>
                <w:lang w:eastAsia="en-GB"/>
              </w:rPr>
              <w:t>99.5%</w:t>
            </w:r>
          </w:p>
        </w:tc>
      </w:tr>
      <w:tr w:rsidR="002F0133" w:rsidRPr="000B4E2C" w14:paraId="79B3849F" w14:textId="77777777" w:rsidTr="000B4E2C">
        <w:trPr>
          <w:cantSplit/>
        </w:trPr>
        <w:tc>
          <w:tcPr>
            <w:tcW w:w="0" w:type="auto"/>
            <w:shd w:val="clear" w:color="auto" w:fill="auto"/>
            <w:noWrap/>
            <w:hideMark/>
          </w:tcPr>
          <w:p w14:paraId="73F6DACD" w14:textId="139EFFFA"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6034DA30" w14:textId="77777777" w:rsidR="002F0133" w:rsidRPr="000B4E2C" w:rsidRDefault="002F0133" w:rsidP="008A7464">
            <w:pPr>
              <w:rPr>
                <w:sz w:val="22"/>
                <w:lang w:eastAsia="en-GB"/>
              </w:rPr>
            </w:pPr>
            <w:r w:rsidRPr="000B4E2C">
              <w:rPr>
                <w:sz w:val="22"/>
                <w:lang w:eastAsia="en-GB"/>
              </w:rPr>
              <w:t>£30,296</w:t>
            </w:r>
          </w:p>
        </w:tc>
        <w:tc>
          <w:tcPr>
            <w:tcW w:w="0" w:type="auto"/>
            <w:shd w:val="clear" w:color="auto" w:fill="auto"/>
            <w:noWrap/>
            <w:hideMark/>
          </w:tcPr>
          <w:p w14:paraId="66A35D0B" w14:textId="77777777" w:rsidR="002F0133" w:rsidRPr="000B4E2C" w:rsidRDefault="002F0133" w:rsidP="008A7464">
            <w:pPr>
              <w:rPr>
                <w:sz w:val="22"/>
                <w:lang w:eastAsia="en-GB"/>
              </w:rPr>
            </w:pPr>
            <w:r w:rsidRPr="000B4E2C">
              <w:rPr>
                <w:sz w:val="22"/>
                <w:lang w:eastAsia="en-GB"/>
              </w:rPr>
              <w:t>£7</w:t>
            </w:r>
          </w:p>
        </w:tc>
        <w:tc>
          <w:tcPr>
            <w:tcW w:w="0" w:type="auto"/>
            <w:shd w:val="clear" w:color="auto" w:fill="auto"/>
            <w:noWrap/>
            <w:hideMark/>
          </w:tcPr>
          <w:p w14:paraId="243567A2" w14:textId="77777777" w:rsidR="002F0133" w:rsidRPr="000B4E2C" w:rsidRDefault="002F0133" w:rsidP="008A7464">
            <w:pPr>
              <w:rPr>
                <w:sz w:val="22"/>
                <w:lang w:eastAsia="en-GB"/>
              </w:rPr>
            </w:pPr>
            <w:r w:rsidRPr="000B4E2C">
              <w:rPr>
                <w:sz w:val="22"/>
                <w:lang w:eastAsia="en-GB"/>
              </w:rPr>
              <w:t>6.56605</w:t>
            </w:r>
          </w:p>
        </w:tc>
        <w:tc>
          <w:tcPr>
            <w:tcW w:w="0" w:type="auto"/>
            <w:shd w:val="clear" w:color="auto" w:fill="auto"/>
            <w:noWrap/>
            <w:hideMark/>
          </w:tcPr>
          <w:p w14:paraId="2FD57643" w14:textId="77777777" w:rsidR="002F0133" w:rsidRPr="000B4E2C" w:rsidRDefault="002F0133" w:rsidP="008A7464">
            <w:pPr>
              <w:rPr>
                <w:sz w:val="22"/>
                <w:lang w:eastAsia="en-GB"/>
              </w:rPr>
            </w:pPr>
            <w:r w:rsidRPr="000B4E2C">
              <w:rPr>
                <w:sz w:val="22"/>
                <w:lang w:eastAsia="en-GB"/>
              </w:rPr>
              <w:t>0.00003</w:t>
            </w:r>
          </w:p>
        </w:tc>
        <w:tc>
          <w:tcPr>
            <w:tcW w:w="0" w:type="auto"/>
            <w:shd w:val="clear" w:color="auto" w:fill="auto"/>
            <w:noWrap/>
            <w:hideMark/>
          </w:tcPr>
          <w:p w14:paraId="2B26BBF6" w14:textId="77777777" w:rsidR="002F0133" w:rsidRPr="000B4E2C" w:rsidRDefault="002F0133" w:rsidP="008A7464">
            <w:pPr>
              <w:rPr>
                <w:sz w:val="22"/>
                <w:lang w:eastAsia="en-GB"/>
              </w:rPr>
            </w:pPr>
            <w:r w:rsidRPr="000B4E2C">
              <w:rPr>
                <w:sz w:val="22"/>
                <w:lang w:eastAsia="en-GB"/>
              </w:rPr>
              <w:t>£227,069</w:t>
            </w:r>
          </w:p>
        </w:tc>
        <w:tc>
          <w:tcPr>
            <w:tcW w:w="0" w:type="auto"/>
            <w:shd w:val="clear" w:color="auto" w:fill="auto"/>
            <w:noWrap/>
            <w:hideMark/>
          </w:tcPr>
          <w:p w14:paraId="08059B1F"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5A1CA411" w14:textId="77777777" w:rsidR="002F0133" w:rsidRPr="000B4E2C" w:rsidRDefault="002F0133" w:rsidP="008A7464">
            <w:pPr>
              <w:rPr>
                <w:sz w:val="22"/>
                <w:lang w:eastAsia="en-GB"/>
              </w:rPr>
            </w:pPr>
            <w:r w:rsidRPr="000B4E2C">
              <w:rPr>
                <w:sz w:val="22"/>
                <w:lang w:eastAsia="en-GB"/>
              </w:rPr>
              <w:t>39.7%</w:t>
            </w:r>
          </w:p>
        </w:tc>
        <w:tc>
          <w:tcPr>
            <w:tcW w:w="0" w:type="auto"/>
            <w:shd w:val="clear" w:color="auto" w:fill="auto"/>
            <w:noWrap/>
            <w:hideMark/>
          </w:tcPr>
          <w:p w14:paraId="17CEF5AC" w14:textId="77777777" w:rsidR="002F0133" w:rsidRPr="000B4E2C" w:rsidRDefault="002F0133" w:rsidP="008A7464">
            <w:pPr>
              <w:rPr>
                <w:sz w:val="22"/>
                <w:lang w:eastAsia="en-GB"/>
              </w:rPr>
            </w:pPr>
            <w:r w:rsidRPr="000B4E2C">
              <w:rPr>
                <w:sz w:val="22"/>
                <w:lang w:eastAsia="en-GB"/>
              </w:rPr>
              <w:t>99.1%</w:t>
            </w:r>
          </w:p>
        </w:tc>
      </w:tr>
      <w:tr w:rsidR="002F0133" w:rsidRPr="000B4E2C" w14:paraId="405D2782" w14:textId="77777777" w:rsidTr="000B4E2C">
        <w:trPr>
          <w:cantSplit/>
        </w:trPr>
        <w:tc>
          <w:tcPr>
            <w:tcW w:w="0" w:type="auto"/>
            <w:shd w:val="clear" w:color="auto" w:fill="auto"/>
            <w:noWrap/>
            <w:hideMark/>
          </w:tcPr>
          <w:p w14:paraId="76F3D05A"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028D11FF" w14:textId="77777777" w:rsidR="002F0133" w:rsidRPr="000B4E2C" w:rsidRDefault="002F0133" w:rsidP="008A7464">
            <w:pPr>
              <w:rPr>
                <w:sz w:val="22"/>
                <w:lang w:eastAsia="en-GB"/>
              </w:rPr>
            </w:pPr>
            <w:r w:rsidRPr="000B4E2C">
              <w:rPr>
                <w:sz w:val="22"/>
                <w:lang w:eastAsia="en-GB"/>
              </w:rPr>
              <w:t>£30,335</w:t>
            </w:r>
          </w:p>
        </w:tc>
        <w:tc>
          <w:tcPr>
            <w:tcW w:w="0" w:type="auto"/>
            <w:shd w:val="clear" w:color="auto" w:fill="auto"/>
            <w:noWrap/>
            <w:hideMark/>
          </w:tcPr>
          <w:p w14:paraId="78F81C81"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16A7BE5" w14:textId="77777777" w:rsidR="002F0133" w:rsidRPr="000B4E2C" w:rsidRDefault="002F0133" w:rsidP="008A7464">
            <w:pPr>
              <w:rPr>
                <w:sz w:val="22"/>
                <w:lang w:eastAsia="en-GB"/>
              </w:rPr>
            </w:pPr>
            <w:r w:rsidRPr="000B4E2C">
              <w:rPr>
                <w:sz w:val="22"/>
                <w:lang w:eastAsia="en-GB"/>
              </w:rPr>
              <w:t>6.56605</w:t>
            </w:r>
          </w:p>
        </w:tc>
        <w:tc>
          <w:tcPr>
            <w:tcW w:w="0" w:type="auto"/>
            <w:shd w:val="clear" w:color="auto" w:fill="auto"/>
            <w:noWrap/>
            <w:hideMark/>
          </w:tcPr>
          <w:p w14:paraId="4D1FFAD9"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EE73DEF"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83FD143"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734BF691" w14:textId="77777777" w:rsidR="002F0133" w:rsidRPr="000B4E2C" w:rsidRDefault="002F0133" w:rsidP="008A7464">
            <w:pPr>
              <w:rPr>
                <w:sz w:val="22"/>
                <w:lang w:eastAsia="en-GB"/>
              </w:rPr>
            </w:pPr>
            <w:r w:rsidRPr="000B4E2C">
              <w:rPr>
                <w:sz w:val="22"/>
                <w:lang w:eastAsia="en-GB"/>
              </w:rPr>
              <w:t>8.1%</w:t>
            </w:r>
          </w:p>
        </w:tc>
        <w:tc>
          <w:tcPr>
            <w:tcW w:w="0" w:type="auto"/>
            <w:shd w:val="clear" w:color="auto" w:fill="auto"/>
            <w:noWrap/>
            <w:hideMark/>
          </w:tcPr>
          <w:p w14:paraId="443F02D9" w14:textId="77777777" w:rsidR="002F0133" w:rsidRPr="000B4E2C" w:rsidRDefault="002F0133" w:rsidP="008A7464">
            <w:pPr>
              <w:rPr>
                <w:sz w:val="22"/>
                <w:lang w:eastAsia="en-GB"/>
              </w:rPr>
            </w:pPr>
            <w:r w:rsidRPr="000B4E2C">
              <w:rPr>
                <w:sz w:val="22"/>
                <w:lang w:eastAsia="en-GB"/>
              </w:rPr>
              <w:t>97.2%</w:t>
            </w:r>
          </w:p>
        </w:tc>
      </w:tr>
      <w:tr w:rsidR="002F0133" w:rsidRPr="000B4E2C" w14:paraId="0D14849A" w14:textId="77777777" w:rsidTr="000B4E2C">
        <w:trPr>
          <w:cantSplit/>
        </w:trPr>
        <w:tc>
          <w:tcPr>
            <w:tcW w:w="0" w:type="auto"/>
            <w:shd w:val="clear" w:color="auto" w:fill="auto"/>
            <w:noWrap/>
            <w:hideMark/>
          </w:tcPr>
          <w:p w14:paraId="50C1768D" w14:textId="7C69CE77" w:rsidR="002F0133" w:rsidRPr="000B4E2C" w:rsidRDefault="002F0133" w:rsidP="008A7464">
            <w:pPr>
              <w:rPr>
                <w:sz w:val="22"/>
                <w:lang w:eastAsia="en-GB"/>
              </w:rPr>
            </w:pPr>
            <w:r w:rsidRPr="000B4E2C">
              <w:rPr>
                <w:sz w:val="22"/>
                <w:lang w:eastAsia="en-GB"/>
              </w:rPr>
              <w:lastRenderedPageBreak/>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28EDCE46" w14:textId="77777777" w:rsidR="002F0133" w:rsidRPr="000B4E2C" w:rsidRDefault="002F0133" w:rsidP="008A7464">
            <w:pPr>
              <w:rPr>
                <w:sz w:val="22"/>
                <w:lang w:eastAsia="en-GB"/>
              </w:rPr>
            </w:pPr>
            <w:r w:rsidRPr="000B4E2C">
              <w:rPr>
                <w:sz w:val="22"/>
                <w:lang w:eastAsia="en-GB"/>
              </w:rPr>
              <w:t>£30,337</w:t>
            </w:r>
          </w:p>
        </w:tc>
        <w:tc>
          <w:tcPr>
            <w:tcW w:w="0" w:type="auto"/>
            <w:shd w:val="clear" w:color="auto" w:fill="auto"/>
            <w:noWrap/>
            <w:hideMark/>
          </w:tcPr>
          <w:p w14:paraId="460F1F1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D293A2E" w14:textId="77777777" w:rsidR="002F0133" w:rsidRPr="000B4E2C" w:rsidRDefault="002F0133" w:rsidP="008A7464">
            <w:pPr>
              <w:rPr>
                <w:sz w:val="22"/>
                <w:lang w:eastAsia="en-GB"/>
              </w:rPr>
            </w:pPr>
            <w:r w:rsidRPr="000B4E2C">
              <w:rPr>
                <w:sz w:val="22"/>
                <w:lang w:eastAsia="en-GB"/>
              </w:rPr>
              <w:t>6.56591</w:t>
            </w:r>
          </w:p>
        </w:tc>
        <w:tc>
          <w:tcPr>
            <w:tcW w:w="0" w:type="auto"/>
            <w:shd w:val="clear" w:color="auto" w:fill="auto"/>
            <w:noWrap/>
            <w:hideMark/>
          </w:tcPr>
          <w:p w14:paraId="41A9DBB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C5ECFA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C50064A"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350E2491" w14:textId="77777777" w:rsidR="002F0133" w:rsidRPr="000B4E2C" w:rsidRDefault="002F0133" w:rsidP="008A7464">
            <w:pPr>
              <w:rPr>
                <w:sz w:val="22"/>
                <w:lang w:eastAsia="en-GB"/>
              </w:rPr>
            </w:pPr>
            <w:r w:rsidRPr="000B4E2C">
              <w:rPr>
                <w:sz w:val="22"/>
                <w:lang w:eastAsia="en-GB"/>
              </w:rPr>
              <w:t>1.4%</w:t>
            </w:r>
          </w:p>
        </w:tc>
        <w:tc>
          <w:tcPr>
            <w:tcW w:w="0" w:type="auto"/>
            <w:shd w:val="clear" w:color="auto" w:fill="auto"/>
            <w:noWrap/>
            <w:hideMark/>
          </w:tcPr>
          <w:p w14:paraId="7A9DA6CA" w14:textId="77777777" w:rsidR="002F0133" w:rsidRPr="000B4E2C" w:rsidRDefault="002F0133" w:rsidP="008A7464">
            <w:pPr>
              <w:rPr>
                <w:sz w:val="22"/>
                <w:lang w:eastAsia="en-GB"/>
              </w:rPr>
            </w:pPr>
            <w:r w:rsidRPr="000B4E2C">
              <w:rPr>
                <w:sz w:val="22"/>
                <w:lang w:eastAsia="en-GB"/>
              </w:rPr>
              <w:t>98.6%</w:t>
            </w:r>
          </w:p>
        </w:tc>
      </w:tr>
      <w:tr w:rsidR="002F0133" w:rsidRPr="000B4E2C" w14:paraId="15DB62C7" w14:textId="77777777" w:rsidTr="000B4E2C">
        <w:trPr>
          <w:cantSplit/>
        </w:trPr>
        <w:tc>
          <w:tcPr>
            <w:tcW w:w="0" w:type="auto"/>
            <w:shd w:val="clear" w:color="auto" w:fill="auto"/>
            <w:noWrap/>
            <w:hideMark/>
          </w:tcPr>
          <w:p w14:paraId="672FCD1A"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2FDC5163" w14:textId="77777777" w:rsidR="002F0133" w:rsidRPr="000B4E2C" w:rsidRDefault="002F0133" w:rsidP="008A7464">
            <w:pPr>
              <w:rPr>
                <w:sz w:val="22"/>
                <w:lang w:eastAsia="en-GB"/>
              </w:rPr>
            </w:pPr>
            <w:r w:rsidRPr="000B4E2C">
              <w:rPr>
                <w:sz w:val="22"/>
                <w:lang w:eastAsia="en-GB"/>
              </w:rPr>
              <w:t>£30,606</w:t>
            </w:r>
          </w:p>
        </w:tc>
        <w:tc>
          <w:tcPr>
            <w:tcW w:w="0" w:type="auto"/>
            <w:shd w:val="clear" w:color="auto" w:fill="auto"/>
            <w:noWrap/>
            <w:hideMark/>
          </w:tcPr>
          <w:p w14:paraId="322B0EDE"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8E63490" w14:textId="77777777" w:rsidR="002F0133" w:rsidRPr="000B4E2C" w:rsidRDefault="002F0133" w:rsidP="008A7464">
            <w:pPr>
              <w:rPr>
                <w:sz w:val="22"/>
                <w:lang w:eastAsia="en-GB"/>
              </w:rPr>
            </w:pPr>
            <w:r w:rsidRPr="000B4E2C">
              <w:rPr>
                <w:sz w:val="22"/>
                <w:lang w:eastAsia="en-GB"/>
              </w:rPr>
              <w:t>6.56457</w:t>
            </w:r>
          </w:p>
        </w:tc>
        <w:tc>
          <w:tcPr>
            <w:tcW w:w="0" w:type="auto"/>
            <w:shd w:val="clear" w:color="auto" w:fill="auto"/>
            <w:noWrap/>
            <w:hideMark/>
          </w:tcPr>
          <w:p w14:paraId="727B50F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FDD75E8"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E013A64"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402A0AEF" w14:textId="77777777" w:rsidR="002F0133" w:rsidRPr="000B4E2C" w:rsidRDefault="002F0133" w:rsidP="008A7464">
            <w:pPr>
              <w:rPr>
                <w:sz w:val="22"/>
                <w:lang w:eastAsia="en-GB"/>
              </w:rPr>
            </w:pPr>
            <w:r w:rsidRPr="000B4E2C">
              <w:rPr>
                <w:sz w:val="22"/>
                <w:lang w:eastAsia="en-GB"/>
              </w:rPr>
              <w:t>0.5%</w:t>
            </w:r>
          </w:p>
        </w:tc>
        <w:tc>
          <w:tcPr>
            <w:tcW w:w="0" w:type="auto"/>
            <w:shd w:val="clear" w:color="auto" w:fill="auto"/>
            <w:noWrap/>
            <w:hideMark/>
          </w:tcPr>
          <w:p w14:paraId="27F24F5D" w14:textId="77777777" w:rsidR="002F0133" w:rsidRPr="000B4E2C" w:rsidRDefault="002F0133" w:rsidP="008A7464">
            <w:pPr>
              <w:rPr>
                <w:sz w:val="22"/>
                <w:lang w:eastAsia="en-GB"/>
              </w:rPr>
            </w:pPr>
            <w:r w:rsidRPr="000B4E2C">
              <w:rPr>
                <w:sz w:val="22"/>
                <w:lang w:eastAsia="en-GB"/>
              </w:rPr>
              <w:t>--</w:t>
            </w:r>
          </w:p>
        </w:tc>
      </w:tr>
      <w:tr w:rsidR="002F0133" w:rsidRPr="000B4E2C" w14:paraId="08A6D239" w14:textId="77777777" w:rsidTr="000B4E2C">
        <w:trPr>
          <w:cantSplit/>
        </w:trPr>
        <w:tc>
          <w:tcPr>
            <w:tcW w:w="0" w:type="auto"/>
            <w:gridSpan w:val="9"/>
            <w:shd w:val="clear" w:color="auto" w:fill="auto"/>
            <w:noWrap/>
            <w:hideMark/>
          </w:tcPr>
          <w:p w14:paraId="1C69246B" w14:textId="77777777" w:rsidR="002F0133" w:rsidRPr="000B4E2C" w:rsidRDefault="002F0133" w:rsidP="008A7464">
            <w:pPr>
              <w:rPr>
                <w:b/>
                <w:bCs/>
                <w:sz w:val="22"/>
                <w:lang w:eastAsia="en-GB"/>
              </w:rPr>
            </w:pPr>
            <w:r w:rsidRPr="000B4E2C">
              <w:rPr>
                <w:b/>
                <w:bCs/>
                <w:sz w:val="22"/>
                <w:lang w:eastAsia="en-GB"/>
              </w:rPr>
              <w:t xml:space="preserve">Scenario 1H: Apply an excess CKD risk for those who experienced an AKI event over the full lifetime horizon </w:t>
            </w:r>
          </w:p>
        </w:tc>
      </w:tr>
      <w:tr w:rsidR="002F0133" w:rsidRPr="000B4E2C" w14:paraId="02915AEB" w14:textId="77777777" w:rsidTr="000B4E2C">
        <w:trPr>
          <w:cantSplit/>
        </w:trPr>
        <w:tc>
          <w:tcPr>
            <w:tcW w:w="0" w:type="auto"/>
            <w:shd w:val="clear" w:color="auto" w:fill="auto"/>
            <w:noWrap/>
            <w:hideMark/>
          </w:tcPr>
          <w:p w14:paraId="02DB94C6" w14:textId="0493B00B"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3CE72F05" w14:textId="77777777" w:rsidR="002F0133" w:rsidRPr="000B4E2C" w:rsidRDefault="002F0133" w:rsidP="008A7464">
            <w:pPr>
              <w:rPr>
                <w:sz w:val="22"/>
                <w:lang w:eastAsia="en-GB"/>
              </w:rPr>
            </w:pPr>
            <w:r w:rsidRPr="000B4E2C">
              <w:rPr>
                <w:sz w:val="22"/>
                <w:lang w:eastAsia="en-GB"/>
              </w:rPr>
              <w:t>£23,201</w:t>
            </w:r>
          </w:p>
        </w:tc>
        <w:tc>
          <w:tcPr>
            <w:tcW w:w="0" w:type="auto"/>
            <w:shd w:val="clear" w:color="auto" w:fill="auto"/>
            <w:noWrap/>
            <w:hideMark/>
          </w:tcPr>
          <w:p w14:paraId="0C03AA6A"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3AD5597" w14:textId="77777777" w:rsidR="002F0133" w:rsidRPr="000B4E2C" w:rsidRDefault="002F0133" w:rsidP="008A7464">
            <w:pPr>
              <w:rPr>
                <w:sz w:val="22"/>
                <w:lang w:eastAsia="en-GB"/>
              </w:rPr>
            </w:pPr>
            <w:r w:rsidRPr="000B4E2C">
              <w:rPr>
                <w:sz w:val="22"/>
                <w:lang w:eastAsia="en-GB"/>
              </w:rPr>
              <w:t>6.07247</w:t>
            </w:r>
          </w:p>
        </w:tc>
        <w:tc>
          <w:tcPr>
            <w:tcW w:w="0" w:type="auto"/>
            <w:shd w:val="clear" w:color="auto" w:fill="auto"/>
            <w:noWrap/>
            <w:hideMark/>
          </w:tcPr>
          <w:p w14:paraId="2BB9345C"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7B1A713B"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4076CD09"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28A49BA0" w14:textId="77777777" w:rsidR="002F0133" w:rsidRPr="000B4E2C" w:rsidRDefault="002F0133" w:rsidP="008A7464">
            <w:pPr>
              <w:rPr>
                <w:sz w:val="22"/>
                <w:lang w:eastAsia="en-GB"/>
              </w:rPr>
            </w:pPr>
            <w:r w:rsidRPr="000B4E2C">
              <w:rPr>
                <w:sz w:val="22"/>
                <w:lang w:eastAsia="en-GB"/>
              </w:rPr>
              <w:t>54.8%</w:t>
            </w:r>
          </w:p>
        </w:tc>
        <w:tc>
          <w:tcPr>
            <w:tcW w:w="0" w:type="auto"/>
            <w:shd w:val="clear" w:color="auto" w:fill="auto"/>
            <w:noWrap/>
            <w:hideMark/>
          </w:tcPr>
          <w:p w14:paraId="4DF31C4B" w14:textId="77777777" w:rsidR="002F0133" w:rsidRPr="000B4E2C" w:rsidRDefault="002F0133" w:rsidP="008A7464">
            <w:pPr>
              <w:rPr>
                <w:sz w:val="22"/>
                <w:lang w:eastAsia="en-GB"/>
              </w:rPr>
            </w:pPr>
            <w:r w:rsidRPr="000B4E2C">
              <w:rPr>
                <w:sz w:val="22"/>
                <w:lang w:eastAsia="en-GB"/>
              </w:rPr>
              <w:t>76.5%</w:t>
            </w:r>
          </w:p>
        </w:tc>
      </w:tr>
      <w:tr w:rsidR="002F0133" w:rsidRPr="000B4E2C" w14:paraId="118AA035" w14:textId="77777777" w:rsidTr="000B4E2C">
        <w:trPr>
          <w:cantSplit/>
        </w:trPr>
        <w:tc>
          <w:tcPr>
            <w:tcW w:w="0" w:type="auto"/>
            <w:shd w:val="clear" w:color="auto" w:fill="auto"/>
            <w:noWrap/>
            <w:hideMark/>
          </w:tcPr>
          <w:p w14:paraId="1D598B8A" w14:textId="02C6A03D"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0F4B0062" w14:textId="77777777" w:rsidR="002F0133" w:rsidRPr="000B4E2C" w:rsidRDefault="002F0133" w:rsidP="008A7464">
            <w:pPr>
              <w:rPr>
                <w:sz w:val="22"/>
                <w:lang w:eastAsia="en-GB"/>
              </w:rPr>
            </w:pPr>
            <w:r w:rsidRPr="000B4E2C">
              <w:rPr>
                <w:sz w:val="22"/>
                <w:lang w:eastAsia="en-GB"/>
              </w:rPr>
              <w:t>£23,212</w:t>
            </w:r>
          </w:p>
        </w:tc>
        <w:tc>
          <w:tcPr>
            <w:tcW w:w="0" w:type="auto"/>
            <w:shd w:val="clear" w:color="auto" w:fill="auto"/>
            <w:noWrap/>
            <w:hideMark/>
          </w:tcPr>
          <w:p w14:paraId="4B5A7283" w14:textId="77777777" w:rsidR="002F0133" w:rsidRPr="000B4E2C" w:rsidRDefault="002F0133" w:rsidP="008A7464">
            <w:pPr>
              <w:rPr>
                <w:sz w:val="22"/>
                <w:lang w:eastAsia="en-GB"/>
              </w:rPr>
            </w:pPr>
            <w:r w:rsidRPr="000B4E2C">
              <w:rPr>
                <w:sz w:val="22"/>
                <w:lang w:eastAsia="en-GB"/>
              </w:rPr>
              <w:t>£12</w:t>
            </w:r>
          </w:p>
        </w:tc>
        <w:tc>
          <w:tcPr>
            <w:tcW w:w="0" w:type="auto"/>
            <w:shd w:val="clear" w:color="auto" w:fill="auto"/>
            <w:noWrap/>
            <w:hideMark/>
          </w:tcPr>
          <w:p w14:paraId="67E7ED4B" w14:textId="77777777" w:rsidR="002F0133" w:rsidRPr="000B4E2C" w:rsidRDefault="002F0133" w:rsidP="008A7464">
            <w:pPr>
              <w:rPr>
                <w:sz w:val="22"/>
                <w:lang w:eastAsia="en-GB"/>
              </w:rPr>
            </w:pPr>
            <w:r w:rsidRPr="000B4E2C">
              <w:rPr>
                <w:sz w:val="22"/>
                <w:lang w:eastAsia="en-GB"/>
              </w:rPr>
              <w:t>6.07251</w:t>
            </w:r>
          </w:p>
        </w:tc>
        <w:tc>
          <w:tcPr>
            <w:tcW w:w="0" w:type="auto"/>
            <w:shd w:val="clear" w:color="auto" w:fill="auto"/>
            <w:noWrap/>
            <w:hideMark/>
          </w:tcPr>
          <w:p w14:paraId="4787510E" w14:textId="77777777" w:rsidR="002F0133" w:rsidRPr="000B4E2C" w:rsidRDefault="002F0133" w:rsidP="008A7464">
            <w:pPr>
              <w:rPr>
                <w:sz w:val="22"/>
                <w:lang w:eastAsia="en-GB"/>
              </w:rPr>
            </w:pPr>
            <w:r w:rsidRPr="000B4E2C">
              <w:rPr>
                <w:sz w:val="22"/>
                <w:lang w:eastAsia="en-GB"/>
              </w:rPr>
              <w:t>0.00005</w:t>
            </w:r>
          </w:p>
        </w:tc>
        <w:tc>
          <w:tcPr>
            <w:tcW w:w="0" w:type="auto"/>
            <w:shd w:val="clear" w:color="auto" w:fill="auto"/>
            <w:noWrap/>
            <w:hideMark/>
          </w:tcPr>
          <w:p w14:paraId="2D3D54C3" w14:textId="77777777" w:rsidR="002F0133" w:rsidRPr="000B4E2C" w:rsidRDefault="002F0133" w:rsidP="008A7464">
            <w:pPr>
              <w:rPr>
                <w:sz w:val="22"/>
                <w:lang w:eastAsia="en-GB"/>
              </w:rPr>
            </w:pPr>
            <w:r w:rsidRPr="000B4E2C">
              <w:rPr>
                <w:sz w:val="22"/>
                <w:lang w:eastAsia="en-GB"/>
              </w:rPr>
              <w:t>£254,012</w:t>
            </w:r>
          </w:p>
        </w:tc>
        <w:tc>
          <w:tcPr>
            <w:tcW w:w="0" w:type="auto"/>
            <w:shd w:val="clear" w:color="auto" w:fill="auto"/>
            <w:noWrap/>
            <w:hideMark/>
          </w:tcPr>
          <w:p w14:paraId="24E98C0B"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2EAE3540" w14:textId="77777777" w:rsidR="002F0133" w:rsidRPr="000B4E2C" w:rsidRDefault="002F0133" w:rsidP="008A7464">
            <w:pPr>
              <w:rPr>
                <w:sz w:val="22"/>
                <w:lang w:eastAsia="en-GB"/>
              </w:rPr>
            </w:pPr>
            <w:r w:rsidRPr="000B4E2C">
              <w:rPr>
                <w:sz w:val="22"/>
                <w:lang w:eastAsia="en-GB"/>
              </w:rPr>
              <w:t>20.3%</w:t>
            </w:r>
          </w:p>
        </w:tc>
        <w:tc>
          <w:tcPr>
            <w:tcW w:w="0" w:type="auto"/>
            <w:shd w:val="clear" w:color="auto" w:fill="auto"/>
            <w:noWrap/>
            <w:hideMark/>
          </w:tcPr>
          <w:p w14:paraId="6C3D9504" w14:textId="77777777" w:rsidR="002F0133" w:rsidRPr="000B4E2C" w:rsidRDefault="002F0133" w:rsidP="008A7464">
            <w:pPr>
              <w:rPr>
                <w:sz w:val="22"/>
                <w:lang w:eastAsia="en-GB"/>
              </w:rPr>
            </w:pPr>
            <w:r w:rsidRPr="000B4E2C">
              <w:rPr>
                <w:sz w:val="22"/>
                <w:lang w:eastAsia="en-GB"/>
              </w:rPr>
              <w:t>73.0%</w:t>
            </w:r>
          </w:p>
        </w:tc>
      </w:tr>
      <w:tr w:rsidR="002F0133" w:rsidRPr="000B4E2C" w14:paraId="63612F86" w14:textId="77777777" w:rsidTr="000B4E2C">
        <w:trPr>
          <w:cantSplit/>
        </w:trPr>
        <w:tc>
          <w:tcPr>
            <w:tcW w:w="0" w:type="auto"/>
            <w:shd w:val="clear" w:color="auto" w:fill="auto"/>
            <w:noWrap/>
            <w:hideMark/>
          </w:tcPr>
          <w:p w14:paraId="0E30DE82" w14:textId="5F9B0646"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03D4DF1F" w14:textId="77777777" w:rsidR="002F0133" w:rsidRPr="000B4E2C" w:rsidRDefault="002F0133" w:rsidP="008A7464">
            <w:pPr>
              <w:rPr>
                <w:sz w:val="22"/>
                <w:lang w:eastAsia="en-GB"/>
              </w:rPr>
            </w:pPr>
            <w:r w:rsidRPr="000B4E2C">
              <w:rPr>
                <w:sz w:val="22"/>
                <w:lang w:eastAsia="en-GB"/>
              </w:rPr>
              <w:t>£23,228</w:t>
            </w:r>
          </w:p>
        </w:tc>
        <w:tc>
          <w:tcPr>
            <w:tcW w:w="0" w:type="auto"/>
            <w:shd w:val="clear" w:color="auto" w:fill="auto"/>
            <w:noWrap/>
            <w:hideMark/>
          </w:tcPr>
          <w:p w14:paraId="18805D1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F7FF102" w14:textId="77777777" w:rsidR="002F0133" w:rsidRPr="000B4E2C" w:rsidRDefault="002F0133" w:rsidP="008A7464">
            <w:pPr>
              <w:rPr>
                <w:sz w:val="22"/>
                <w:lang w:eastAsia="en-GB"/>
              </w:rPr>
            </w:pPr>
            <w:r w:rsidRPr="000B4E2C">
              <w:rPr>
                <w:sz w:val="22"/>
                <w:lang w:eastAsia="en-GB"/>
              </w:rPr>
              <w:t>6.07234</w:t>
            </w:r>
          </w:p>
        </w:tc>
        <w:tc>
          <w:tcPr>
            <w:tcW w:w="0" w:type="auto"/>
            <w:shd w:val="clear" w:color="auto" w:fill="auto"/>
            <w:noWrap/>
            <w:hideMark/>
          </w:tcPr>
          <w:p w14:paraId="3A4D8F4D"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C7F51F1"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B7763A4"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3E36634B" w14:textId="77777777" w:rsidR="002F0133" w:rsidRPr="000B4E2C" w:rsidRDefault="002F0133" w:rsidP="008A7464">
            <w:pPr>
              <w:rPr>
                <w:sz w:val="22"/>
                <w:lang w:eastAsia="en-GB"/>
              </w:rPr>
            </w:pPr>
            <w:r w:rsidRPr="000B4E2C">
              <w:rPr>
                <w:sz w:val="22"/>
                <w:lang w:eastAsia="en-GB"/>
              </w:rPr>
              <w:t>0.6%</w:t>
            </w:r>
          </w:p>
        </w:tc>
        <w:tc>
          <w:tcPr>
            <w:tcW w:w="0" w:type="auto"/>
            <w:shd w:val="clear" w:color="auto" w:fill="auto"/>
            <w:noWrap/>
            <w:hideMark/>
          </w:tcPr>
          <w:p w14:paraId="478C107C" w14:textId="77777777" w:rsidR="002F0133" w:rsidRPr="000B4E2C" w:rsidRDefault="002F0133" w:rsidP="008A7464">
            <w:pPr>
              <w:rPr>
                <w:sz w:val="22"/>
                <w:lang w:eastAsia="en-GB"/>
              </w:rPr>
            </w:pPr>
            <w:r w:rsidRPr="000B4E2C">
              <w:rPr>
                <w:sz w:val="22"/>
                <w:lang w:eastAsia="en-GB"/>
              </w:rPr>
              <w:t>68.4%</w:t>
            </w:r>
          </w:p>
        </w:tc>
      </w:tr>
      <w:tr w:rsidR="002F0133" w:rsidRPr="000B4E2C" w14:paraId="25E148AF" w14:textId="77777777" w:rsidTr="000B4E2C">
        <w:trPr>
          <w:cantSplit/>
        </w:trPr>
        <w:tc>
          <w:tcPr>
            <w:tcW w:w="0" w:type="auto"/>
            <w:shd w:val="clear" w:color="auto" w:fill="auto"/>
            <w:noWrap/>
            <w:hideMark/>
          </w:tcPr>
          <w:p w14:paraId="226916A7"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3496B885" w14:textId="77777777" w:rsidR="002F0133" w:rsidRPr="000B4E2C" w:rsidRDefault="002F0133" w:rsidP="008A7464">
            <w:pPr>
              <w:rPr>
                <w:sz w:val="22"/>
                <w:lang w:eastAsia="en-GB"/>
              </w:rPr>
            </w:pPr>
            <w:r w:rsidRPr="000B4E2C">
              <w:rPr>
                <w:sz w:val="22"/>
                <w:lang w:eastAsia="en-GB"/>
              </w:rPr>
              <w:t>£23,251</w:t>
            </w:r>
          </w:p>
        </w:tc>
        <w:tc>
          <w:tcPr>
            <w:tcW w:w="0" w:type="auto"/>
            <w:shd w:val="clear" w:color="auto" w:fill="auto"/>
            <w:noWrap/>
            <w:hideMark/>
          </w:tcPr>
          <w:p w14:paraId="15319478"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A198461" w14:textId="77777777" w:rsidR="002F0133" w:rsidRPr="000B4E2C" w:rsidRDefault="002F0133" w:rsidP="008A7464">
            <w:pPr>
              <w:rPr>
                <w:sz w:val="22"/>
                <w:lang w:eastAsia="en-GB"/>
              </w:rPr>
            </w:pPr>
            <w:r w:rsidRPr="000B4E2C">
              <w:rPr>
                <w:sz w:val="22"/>
                <w:lang w:eastAsia="en-GB"/>
              </w:rPr>
              <w:t>6.07250</w:t>
            </w:r>
          </w:p>
        </w:tc>
        <w:tc>
          <w:tcPr>
            <w:tcW w:w="0" w:type="auto"/>
            <w:shd w:val="clear" w:color="auto" w:fill="auto"/>
            <w:noWrap/>
            <w:hideMark/>
          </w:tcPr>
          <w:p w14:paraId="2FF84D5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3BBBCBF"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444E9CB"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52C9D4A1" w14:textId="77777777" w:rsidR="002F0133" w:rsidRPr="000B4E2C" w:rsidRDefault="002F0133" w:rsidP="008A7464">
            <w:pPr>
              <w:rPr>
                <w:sz w:val="22"/>
                <w:lang w:eastAsia="en-GB"/>
              </w:rPr>
            </w:pPr>
            <w:r w:rsidRPr="000B4E2C">
              <w:rPr>
                <w:sz w:val="22"/>
                <w:lang w:eastAsia="en-GB"/>
              </w:rPr>
              <w:t>1.0%</w:t>
            </w:r>
          </w:p>
        </w:tc>
        <w:tc>
          <w:tcPr>
            <w:tcW w:w="0" w:type="auto"/>
            <w:shd w:val="clear" w:color="auto" w:fill="auto"/>
            <w:noWrap/>
            <w:hideMark/>
          </w:tcPr>
          <w:p w14:paraId="23EF140F" w14:textId="77777777" w:rsidR="002F0133" w:rsidRPr="000B4E2C" w:rsidRDefault="002F0133" w:rsidP="008A7464">
            <w:pPr>
              <w:rPr>
                <w:sz w:val="22"/>
                <w:lang w:eastAsia="en-GB"/>
              </w:rPr>
            </w:pPr>
            <w:r w:rsidRPr="000B4E2C">
              <w:rPr>
                <w:sz w:val="22"/>
                <w:lang w:eastAsia="en-GB"/>
              </w:rPr>
              <w:t>58.2%</w:t>
            </w:r>
          </w:p>
        </w:tc>
      </w:tr>
      <w:tr w:rsidR="002F0133" w:rsidRPr="000B4E2C" w14:paraId="7F672F7F" w14:textId="77777777" w:rsidTr="000B4E2C">
        <w:trPr>
          <w:cantSplit/>
        </w:trPr>
        <w:tc>
          <w:tcPr>
            <w:tcW w:w="0" w:type="auto"/>
            <w:shd w:val="clear" w:color="auto" w:fill="auto"/>
            <w:noWrap/>
            <w:hideMark/>
          </w:tcPr>
          <w:p w14:paraId="4EAE351E"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0C38AE0C" w14:textId="77777777" w:rsidR="002F0133" w:rsidRPr="000B4E2C" w:rsidRDefault="002F0133" w:rsidP="008A7464">
            <w:pPr>
              <w:rPr>
                <w:sz w:val="22"/>
                <w:lang w:eastAsia="en-GB"/>
              </w:rPr>
            </w:pPr>
            <w:r w:rsidRPr="000B4E2C">
              <w:rPr>
                <w:sz w:val="22"/>
                <w:lang w:eastAsia="en-GB"/>
              </w:rPr>
              <w:t>£23,254</w:t>
            </w:r>
          </w:p>
        </w:tc>
        <w:tc>
          <w:tcPr>
            <w:tcW w:w="0" w:type="auto"/>
            <w:shd w:val="clear" w:color="auto" w:fill="auto"/>
            <w:noWrap/>
            <w:hideMark/>
          </w:tcPr>
          <w:p w14:paraId="7579B648"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952E3A3" w14:textId="77777777" w:rsidR="002F0133" w:rsidRPr="000B4E2C" w:rsidRDefault="002F0133" w:rsidP="008A7464">
            <w:pPr>
              <w:rPr>
                <w:sz w:val="22"/>
                <w:lang w:eastAsia="en-GB"/>
              </w:rPr>
            </w:pPr>
            <w:r w:rsidRPr="000B4E2C">
              <w:rPr>
                <w:sz w:val="22"/>
                <w:lang w:eastAsia="en-GB"/>
              </w:rPr>
              <w:t>6.07086</w:t>
            </w:r>
          </w:p>
        </w:tc>
        <w:tc>
          <w:tcPr>
            <w:tcW w:w="0" w:type="auto"/>
            <w:shd w:val="clear" w:color="auto" w:fill="auto"/>
            <w:noWrap/>
            <w:hideMark/>
          </w:tcPr>
          <w:p w14:paraId="5BF3CB3D"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2C8D9FF"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E5FE89F"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206C0590" w14:textId="77777777" w:rsidR="002F0133" w:rsidRPr="000B4E2C" w:rsidRDefault="002F0133" w:rsidP="008A7464">
            <w:pPr>
              <w:rPr>
                <w:sz w:val="22"/>
                <w:lang w:eastAsia="en-GB"/>
              </w:rPr>
            </w:pPr>
            <w:r w:rsidRPr="000B4E2C">
              <w:rPr>
                <w:sz w:val="22"/>
                <w:lang w:eastAsia="en-GB"/>
              </w:rPr>
              <w:t>23.3%</w:t>
            </w:r>
          </w:p>
        </w:tc>
        <w:tc>
          <w:tcPr>
            <w:tcW w:w="0" w:type="auto"/>
            <w:shd w:val="clear" w:color="auto" w:fill="auto"/>
            <w:noWrap/>
            <w:hideMark/>
          </w:tcPr>
          <w:p w14:paraId="6B1E2B12" w14:textId="77777777" w:rsidR="002F0133" w:rsidRPr="000B4E2C" w:rsidRDefault="002F0133" w:rsidP="008A7464">
            <w:pPr>
              <w:rPr>
                <w:sz w:val="22"/>
                <w:lang w:eastAsia="en-GB"/>
              </w:rPr>
            </w:pPr>
            <w:r w:rsidRPr="000B4E2C">
              <w:rPr>
                <w:sz w:val="22"/>
                <w:lang w:eastAsia="en-GB"/>
              </w:rPr>
              <w:t>--</w:t>
            </w:r>
          </w:p>
        </w:tc>
      </w:tr>
      <w:tr w:rsidR="002F0133" w:rsidRPr="000B4E2C" w14:paraId="7C61B8D5" w14:textId="77777777" w:rsidTr="000B4E2C">
        <w:trPr>
          <w:cantSplit/>
        </w:trPr>
        <w:tc>
          <w:tcPr>
            <w:tcW w:w="0" w:type="auto"/>
            <w:gridSpan w:val="9"/>
            <w:shd w:val="clear" w:color="auto" w:fill="auto"/>
            <w:noWrap/>
            <w:hideMark/>
          </w:tcPr>
          <w:p w14:paraId="349612F3" w14:textId="77777777" w:rsidR="002F0133" w:rsidRPr="000B4E2C" w:rsidRDefault="002F0133" w:rsidP="008A7464">
            <w:pPr>
              <w:rPr>
                <w:b/>
                <w:bCs/>
                <w:sz w:val="22"/>
                <w:lang w:eastAsia="en-GB"/>
              </w:rPr>
            </w:pPr>
            <w:r w:rsidRPr="000B4E2C">
              <w:rPr>
                <w:b/>
                <w:bCs/>
                <w:sz w:val="22"/>
                <w:lang w:eastAsia="en-GB"/>
              </w:rPr>
              <w:t xml:space="preserve">Scenario 1I </w:t>
            </w:r>
            <w:r w:rsidRPr="000B4E2C">
              <w:rPr>
                <w:b/>
                <w:bCs/>
                <w:sz w:val="22"/>
                <w:vertAlign w:val="superscript"/>
                <w:lang w:eastAsia="en-GB"/>
              </w:rPr>
              <w:t xml:space="preserve">A </w:t>
            </w:r>
            <w:r w:rsidRPr="000B4E2C">
              <w:rPr>
                <w:b/>
                <w:bCs/>
                <w:sz w:val="22"/>
                <w:lang w:eastAsia="en-GB"/>
              </w:rPr>
              <w:t>0% discount rate applied to both costs and QALYs</w:t>
            </w:r>
          </w:p>
        </w:tc>
      </w:tr>
      <w:tr w:rsidR="002F0133" w:rsidRPr="000B4E2C" w14:paraId="3EFA5CFE" w14:textId="77777777" w:rsidTr="000B4E2C">
        <w:trPr>
          <w:cantSplit/>
        </w:trPr>
        <w:tc>
          <w:tcPr>
            <w:tcW w:w="0" w:type="auto"/>
            <w:shd w:val="clear" w:color="auto" w:fill="auto"/>
            <w:noWrap/>
            <w:hideMark/>
          </w:tcPr>
          <w:p w14:paraId="4BFCCB4C" w14:textId="6B771D9C"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3C100FA1" w14:textId="77777777" w:rsidR="002F0133" w:rsidRPr="000B4E2C" w:rsidRDefault="002F0133" w:rsidP="008A7464">
            <w:pPr>
              <w:rPr>
                <w:sz w:val="22"/>
                <w:lang w:eastAsia="en-GB"/>
              </w:rPr>
            </w:pPr>
            <w:r w:rsidRPr="000B4E2C">
              <w:rPr>
                <w:sz w:val="22"/>
                <w:lang w:eastAsia="en-GB"/>
              </w:rPr>
              <w:t>£27,644</w:t>
            </w:r>
          </w:p>
        </w:tc>
        <w:tc>
          <w:tcPr>
            <w:tcW w:w="0" w:type="auto"/>
            <w:shd w:val="clear" w:color="auto" w:fill="auto"/>
            <w:noWrap/>
            <w:hideMark/>
          </w:tcPr>
          <w:p w14:paraId="4F347857"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2AF98E2E" w14:textId="77777777" w:rsidR="002F0133" w:rsidRPr="000B4E2C" w:rsidRDefault="002F0133" w:rsidP="008A7464">
            <w:pPr>
              <w:rPr>
                <w:sz w:val="22"/>
                <w:lang w:eastAsia="en-GB"/>
              </w:rPr>
            </w:pPr>
            <w:r w:rsidRPr="000B4E2C">
              <w:rPr>
                <w:sz w:val="22"/>
                <w:lang w:eastAsia="en-GB"/>
              </w:rPr>
              <w:t>8.20147</w:t>
            </w:r>
          </w:p>
        </w:tc>
        <w:tc>
          <w:tcPr>
            <w:tcW w:w="0" w:type="auto"/>
            <w:shd w:val="clear" w:color="auto" w:fill="auto"/>
            <w:noWrap/>
            <w:hideMark/>
          </w:tcPr>
          <w:p w14:paraId="42D035C1"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48AB0C0C"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64FA0784"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66FF4704" w14:textId="77777777" w:rsidR="002F0133" w:rsidRPr="000B4E2C" w:rsidRDefault="002F0133" w:rsidP="008A7464">
            <w:pPr>
              <w:rPr>
                <w:sz w:val="22"/>
                <w:lang w:eastAsia="en-GB"/>
              </w:rPr>
            </w:pPr>
            <w:r w:rsidRPr="000B4E2C">
              <w:rPr>
                <w:sz w:val="22"/>
                <w:lang w:eastAsia="en-GB"/>
              </w:rPr>
              <w:t>44.3%</w:t>
            </w:r>
          </w:p>
        </w:tc>
        <w:tc>
          <w:tcPr>
            <w:tcW w:w="0" w:type="auto"/>
            <w:shd w:val="clear" w:color="auto" w:fill="auto"/>
            <w:noWrap/>
            <w:hideMark/>
          </w:tcPr>
          <w:p w14:paraId="6A544C27" w14:textId="77777777" w:rsidR="002F0133" w:rsidRPr="000B4E2C" w:rsidRDefault="002F0133" w:rsidP="008A7464">
            <w:pPr>
              <w:rPr>
                <w:sz w:val="22"/>
                <w:lang w:eastAsia="en-GB"/>
              </w:rPr>
            </w:pPr>
            <w:r w:rsidRPr="000B4E2C">
              <w:rPr>
                <w:sz w:val="22"/>
                <w:lang w:eastAsia="en-GB"/>
              </w:rPr>
              <w:t>57.9%</w:t>
            </w:r>
          </w:p>
        </w:tc>
      </w:tr>
      <w:tr w:rsidR="002F0133" w:rsidRPr="000B4E2C" w14:paraId="28A6B8E3" w14:textId="77777777" w:rsidTr="000B4E2C">
        <w:trPr>
          <w:cantSplit/>
        </w:trPr>
        <w:tc>
          <w:tcPr>
            <w:tcW w:w="0" w:type="auto"/>
            <w:shd w:val="clear" w:color="auto" w:fill="auto"/>
            <w:noWrap/>
            <w:hideMark/>
          </w:tcPr>
          <w:p w14:paraId="25CE5A89" w14:textId="4E18F036"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78740093" w14:textId="77777777" w:rsidR="002F0133" w:rsidRPr="000B4E2C" w:rsidRDefault="002F0133" w:rsidP="008A7464">
            <w:pPr>
              <w:rPr>
                <w:sz w:val="22"/>
                <w:lang w:eastAsia="en-GB"/>
              </w:rPr>
            </w:pPr>
            <w:r w:rsidRPr="000B4E2C">
              <w:rPr>
                <w:sz w:val="22"/>
                <w:lang w:eastAsia="en-GB"/>
              </w:rPr>
              <w:t>£27,657</w:t>
            </w:r>
          </w:p>
        </w:tc>
        <w:tc>
          <w:tcPr>
            <w:tcW w:w="0" w:type="auto"/>
            <w:shd w:val="clear" w:color="auto" w:fill="auto"/>
            <w:noWrap/>
            <w:hideMark/>
          </w:tcPr>
          <w:p w14:paraId="1546FA32" w14:textId="77777777" w:rsidR="002F0133" w:rsidRPr="000B4E2C" w:rsidRDefault="002F0133" w:rsidP="008A7464">
            <w:pPr>
              <w:rPr>
                <w:sz w:val="22"/>
                <w:lang w:eastAsia="en-GB"/>
              </w:rPr>
            </w:pPr>
            <w:r w:rsidRPr="000B4E2C">
              <w:rPr>
                <w:sz w:val="22"/>
                <w:lang w:eastAsia="en-GB"/>
              </w:rPr>
              <w:t>£13</w:t>
            </w:r>
          </w:p>
        </w:tc>
        <w:tc>
          <w:tcPr>
            <w:tcW w:w="0" w:type="auto"/>
            <w:shd w:val="clear" w:color="auto" w:fill="auto"/>
            <w:noWrap/>
            <w:hideMark/>
          </w:tcPr>
          <w:p w14:paraId="5EF90E21" w14:textId="77777777" w:rsidR="002F0133" w:rsidRPr="000B4E2C" w:rsidRDefault="002F0133" w:rsidP="008A7464">
            <w:pPr>
              <w:rPr>
                <w:sz w:val="22"/>
                <w:lang w:eastAsia="en-GB"/>
              </w:rPr>
            </w:pPr>
            <w:r w:rsidRPr="000B4E2C">
              <w:rPr>
                <w:sz w:val="22"/>
                <w:lang w:eastAsia="en-GB"/>
              </w:rPr>
              <w:t>8.20149</w:t>
            </w:r>
          </w:p>
        </w:tc>
        <w:tc>
          <w:tcPr>
            <w:tcW w:w="0" w:type="auto"/>
            <w:shd w:val="clear" w:color="auto" w:fill="auto"/>
            <w:noWrap/>
            <w:hideMark/>
          </w:tcPr>
          <w:p w14:paraId="139FEA26" w14:textId="77777777" w:rsidR="002F0133" w:rsidRPr="000B4E2C" w:rsidRDefault="002F0133" w:rsidP="008A7464">
            <w:pPr>
              <w:rPr>
                <w:sz w:val="22"/>
                <w:lang w:eastAsia="en-GB"/>
              </w:rPr>
            </w:pPr>
            <w:r w:rsidRPr="000B4E2C">
              <w:rPr>
                <w:sz w:val="22"/>
                <w:lang w:eastAsia="en-GB"/>
              </w:rPr>
              <w:t>0.00001</w:t>
            </w:r>
          </w:p>
        </w:tc>
        <w:tc>
          <w:tcPr>
            <w:tcW w:w="0" w:type="auto"/>
            <w:shd w:val="clear" w:color="auto" w:fill="auto"/>
            <w:noWrap/>
            <w:hideMark/>
          </w:tcPr>
          <w:p w14:paraId="78E66554" w14:textId="77777777" w:rsidR="002F0133" w:rsidRPr="000B4E2C" w:rsidRDefault="002F0133" w:rsidP="008A7464">
            <w:pPr>
              <w:rPr>
                <w:sz w:val="22"/>
                <w:lang w:eastAsia="en-GB"/>
              </w:rPr>
            </w:pPr>
            <w:r w:rsidRPr="000B4E2C">
              <w:rPr>
                <w:sz w:val="22"/>
                <w:lang w:eastAsia="en-GB"/>
              </w:rPr>
              <w:t>£996,593</w:t>
            </w:r>
          </w:p>
        </w:tc>
        <w:tc>
          <w:tcPr>
            <w:tcW w:w="0" w:type="auto"/>
            <w:shd w:val="clear" w:color="auto" w:fill="auto"/>
            <w:noWrap/>
            <w:hideMark/>
          </w:tcPr>
          <w:p w14:paraId="39CA4A31"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208D0B40" w14:textId="77777777" w:rsidR="002F0133" w:rsidRPr="000B4E2C" w:rsidRDefault="002F0133" w:rsidP="008A7464">
            <w:pPr>
              <w:rPr>
                <w:sz w:val="22"/>
                <w:lang w:eastAsia="en-GB"/>
              </w:rPr>
            </w:pPr>
            <w:r w:rsidRPr="000B4E2C">
              <w:rPr>
                <w:sz w:val="22"/>
                <w:lang w:eastAsia="en-GB"/>
              </w:rPr>
              <w:t>13.5%</w:t>
            </w:r>
          </w:p>
        </w:tc>
        <w:tc>
          <w:tcPr>
            <w:tcW w:w="0" w:type="auto"/>
            <w:shd w:val="clear" w:color="auto" w:fill="auto"/>
            <w:noWrap/>
            <w:hideMark/>
          </w:tcPr>
          <w:p w14:paraId="5DF55ABC" w14:textId="77777777" w:rsidR="002F0133" w:rsidRPr="000B4E2C" w:rsidRDefault="002F0133" w:rsidP="008A7464">
            <w:pPr>
              <w:rPr>
                <w:sz w:val="22"/>
                <w:lang w:eastAsia="en-GB"/>
              </w:rPr>
            </w:pPr>
            <w:r w:rsidRPr="000B4E2C">
              <w:rPr>
                <w:sz w:val="22"/>
                <w:lang w:eastAsia="en-GB"/>
              </w:rPr>
              <w:t>51.4%</w:t>
            </w:r>
          </w:p>
        </w:tc>
      </w:tr>
      <w:tr w:rsidR="002F0133" w:rsidRPr="000B4E2C" w14:paraId="6244310C" w14:textId="77777777" w:rsidTr="000B4E2C">
        <w:trPr>
          <w:cantSplit/>
        </w:trPr>
        <w:tc>
          <w:tcPr>
            <w:tcW w:w="0" w:type="auto"/>
            <w:shd w:val="clear" w:color="auto" w:fill="auto"/>
            <w:noWrap/>
            <w:hideMark/>
          </w:tcPr>
          <w:p w14:paraId="1F0FA719"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368A1A43" w14:textId="77777777" w:rsidR="002F0133" w:rsidRPr="000B4E2C" w:rsidRDefault="002F0133" w:rsidP="008A7464">
            <w:pPr>
              <w:rPr>
                <w:sz w:val="22"/>
                <w:lang w:eastAsia="en-GB"/>
              </w:rPr>
            </w:pPr>
            <w:r w:rsidRPr="000B4E2C">
              <w:rPr>
                <w:sz w:val="22"/>
                <w:lang w:eastAsia="en-GB"/>
              </w:rPr>
              <w:t>£27,664</w:t>
            </w:r>
          </w:p>
        </w:tc>
        <w:tc>
          <w:tcPr>
            <w:tcW w:w="0" w:type="auto"/>
            <w:shd w:val="clear" w:color="auto" w:fill="auto"/>
            <w:noWrap/>
            <w:hideMark/>
          </w:tcPr>
          <w:p w14:paraId="6B1E4E4F"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4AF21F7" w14:textId="77777777" w:rsidR="002F0133" w:rsidRPr="000B4E2C" w:rsidRDefault="002F0133" w:rsidP="008A7464">
            <w:pPr>
              <w:rPr>
                <w:sz w:val="22"/>
                <w:lang w:eastAsia="en-GB"/>
              </w:rPr>
            </w:pPr>
            <w:r w:rsidRPr="000B4E2C">
              <w:rPr>
                <w:sz w:val="22"/>
                <w:lang w:eastAsia="en-GB"/>
              </w:rPr>
              <w:t>8.20095</w:t>
            </w:r>
          </w:p>
        </w:tc>
        <w:tc>
          <w:tcPr>
            <w:tcW w:w="0" w:type="auto"/>
            <w:shd w:val="clear" w:color="auto" w:fill="auto"/>
            <w:noWrap/>
            <w:hideMark/>
          </w:tcPr>
          <w:p w14:paraId="4DB6BE8C"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6B8D51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BD34066"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625A64B1" w14:textId="77777777" w:rsidR="002F0133" w:rsidRPr="000B4E2C" w:rsidRDefault="002F0133" w:rsidP="008A7464">
            <w:pPr>
              <w:rPr>
                <w:sz w:val="22"/>
                <w:lang w:eastAsia="en-GB"/>
              </w:rPr>
            </w:pPr>
            <w:r w:rsidRPr="000B4E2C">
              <w:rPr>
                <w:sz w:val="22"/>
                <w:lang w:eastAsia="en-GB"/>
              </w:rPr>
              <w:t>41.6%</w:t>
            </w:r>
          </w:p>
        </w:tc>
        <w:tc>
          <w:tcPr>
            <w:tcW w:w="0" w:type="auto"/>
            <w:shd w:val="clear" w:color="auto" w:fill="auto"/>
            <w:noWrap/>
            <w:hideMark/>
          </w:tcPr>
          <w:p w14:paraId="40D5B9C2" w14:textId="77777777" w:rsidR="002F0133" w:rsidRPr="000B4E2C" w:rsidRDefault="002F0133" w:rsidP="008A7464">
            <w:pPr>
              <w:rPr>
                <w:sz w:val="22"/>
                <w:lang w:eastAsia="en-GB"/>
              </w:rPr>
            </w:pPr>
            <w:r w:rsidRPr="000B4E2C">
              <w:rPr>
                <w:sz w:val="22"/>
                <w:lang w:eastAsia="en-GB"/>
              </w:rPr>
              <w:t>--</w:t>
            </w:r>
          </w:p>
        </w:tc>
      </w:tr>
      <w:tr w:rsidR="002F0133" w:rsidRPr="000B4E2C" w14:paraId="778E77F9" w14:textId="77777777" w:rsidTr="000B4E2C">
        <w:trPr>
          <w:cantSplit/>
        </w:trPr>
        <w:tc>
          <w:tcPr>
            <w:tcW w:w="0" w:type="auto"/>
            <w:shd w:val="clear" w:color="auto" w:fill="auto"/>
            <w:noWrap/>
            <w:hideMark/>
          </w:tcPr>
          <w:p w14:paraId="6D1A96F0" w14:textId="5AF91802"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301D5F83" w14:textId="77777777" w:rsidR="002F0133" w:rsidRPr="000B4E2C" w:rsidRDefault="002F0133" w:rsidP="008A7464">
            <w:pPr>
              <w:rPr>
                <w:sz w:val="22"/>
                <w:lang w:eastAsia="en-GB"/>
              </w:rPr>
            </w:pPr>
            <w:r w:rsidRPr="000B4E2C">
              <w:rPr>
                <w:sz w:val="22"/>
                <w:lang w:eastAsia="en-GB"/>
              </w:rPr>
              <w:t>£27,668</w:t>
            </w:r>
          </w:p>
        </w:tc>
        <w:tc>
          <w:tcPr>
            <w:tcW w:w="0" w:type="auto"/>
            <w:shd w:val="clear" w:color="auto" w:fill="auto"/>
            <w:noWrap/>
            <w:hideMark/>
          </w:tcPr>
          <w:p w14:paraId="71E5F4D6"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DEEA430" w14:textId="77777777" w:rsidR="002F0133" w:rsidRPr="000B4E2C" w:rsidRDefault="002F0133" w:rsidP="008A7464">
            <w:pPr>
              <w:rPr>
                <w:sz w:val="22"/>
                <w:lang w:eastAsia="en-GB"/>
              </w:rPr>
            </w:pPr>
            <w:r w:rsidRPr="000B4E2C">
              <w:rPr>
                <w:sz w:val="22"/>
                <w:lang w:eastAsia="en-GB"/>
              </w:rPr>
              <w:t>8.20143</w:t>
            </w:r>
          </w:p>
        </w:tc>
        <w:tc>
          <w:tcPr>
            <w:tcW w:w="0" w:type="auto"/>
            <w:shd w:val="clear" w:color="auto" w:fill="auto"/>
            <w:noWrap/>
            <w:hideMark/>
          </w:tcPr>
          <w:p w14:paraId="671D9562"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4F8C988"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7586D0E" w14:textId="77777777" w:rsidR="002F0133" w:rsidRPr="000B4E2C" w:rsidRDefault="002F0133" w:rsidP="008A7464">
            <w:pPr>
              <w:rPr>
                <w:sz w:val="22"/>
                <w:lang w:eastAsia="en-GB"/>
              </w:rPr>
            </w:pPr>
            <w:r w:rsidRPr="000B4E2C">
              <w:rPr>
                <w:sz w:val="22"/>
                <w:lang w:eastAsia="en-GB"/>
              </w:rPr>
              <w:t>£9,262</w:t>
            </w:r>
          </w:p>
        </w:tc>
        <w:tc>
          <w:tcPr>
            <w:tcW w:w="0" w:type="auto"/>
            <w:shd w:val="clear" w:color="auto" w:fill="auto"/>
            <w:noWrap/>
            <w:hideMark/>
          </w:tcPr>
          <w:p w14:paraId="665C754B" w14:textId="77777777" w:rsidR="002F0133" w:rsidRPr="000B4E2C" w:rsidRDefault="002F0133" w:rsidP="008A7464">
            <w:pPr>
              <w:rPr>
                <w:sz w:val="22"/>
                <w:lang w:eastAsia="en-GB"/>
              </w:rPr>
            </w:pPr>
            <w:r w:rsidRPr="000B4E2C">
              <w:rPr>
                <w:sz w:val="22"/>
                <w:lang w:eastAsia="en-GB"/>
              </w:rPr>
              <w:t>0.2%</w:t>
            </w:r>
          </w:p>
        </w:tc>
        <w:tc>
          <w:tcPr>
            <w:tcW w:w="0" w:type="auto"/>
            <w:shd w:val="clear" w:color="auto" w:fill="auto"/>
            <w:noWrap/>
            <w:hideMark/>
          </w:tcPr>
          <w:p w14:paraId="040CBBD4" w14:textId="77777777" w:rsidR="002F0133" w:rsidRPr="000B4E2C" w:rsidRDefault="002F0133" w:rsidP="008A7464">
            <w:pPr>
              <w:rPr>
                <w:sz w:val="22"/>
                <w:lang w:eastAsia="en-GB"/>
              </w:rPr>
            </w:pPr>
            <w:r w:rsidRPr="000B4E2C">
              <w:rPr>
                <w:sz w:val="22"/>
                <w:lang w:eastAsia="en-GB"/>
              </w:rPr>
              <w:t>47.4%</w:t>
            </w:r>
          </w:p>
        </w:tc>
      </w:tr>
      <w:tr w:rsidR="002F0133" w:rsidRPr="000B4E2C" w14:paraId="4058E372" w14:textId="77777777" w:rsidTr="000B4E2C">
        <w:trPr>
          <w:cantSplit/>
        </w:trPr>
        <w:tc>
          <w:tcPr>
            <w:tcW w:w="0" w:type="auto"/>
            <w:shd w:val="clear" w:color="auto" w:fill="auto"/>
            <w:noWrap/>
            <w:hideMark/>
          </w:tcPr>
          <w:p w14:paraId="2F9D81FF"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4890D4E6" w14:textId="77777777" w:rsidR="002F0133" w:rsidRPr="000B4E2C" w:rsidRDefault="002F0133" w:rsidP="008A7464">
            <w:pPr>
              <w:rPr>
                <w:sz w:val="22"/>
                <w:lang w:eastAsia="en-GB"/>
              </w:rPr>
            </w:pPr>
            <w:r w:rsidRPr="000B4E2C">
              <w:rPr>
                <w:sz w:val="22"/>
                <w:lang w:eastAsia="en-GB"/>
              </w:rPr>
              <w:t>£27,694</w:t>
            </w:r>
          </w:p>
        </w:tc>
        <w:tc>
          <w:tcPr>
            <w:tcW w:w="0" w:type="auto"/>
            <w:shd w:val="clear" w:color="auto" w:fill="auto"/>
            <w:noWrap/>
            <w:hideMark/>
          </w:tcPr>
          <w:p w14:paraId="77445D68" w14:textId="77777777" w:rsidR="002F0133" w:rsidRPr="000B4E2C" w:rsidRDefault="002F0133" w:rsidP="008A7464">
            <w:pPr>
              <w:rPr>
                <w:sz w:val="22"/>
                <w:lang w:eastAsia="en-GB"/>
              </w:rPr>
            </w:pPr>
            <w:r w:rsidRPr="000B4E2C">
              <w:rPr>
                <w:sz w:val="22"/>
                <w:lang w:eastAsia="en-GB"/>
              </w:rPr>
              <w:t>£37</w:t>
            </w:r>
          </w:p>
        </w:tc>
        <w:tc>
          <w:tcPr>
            <w:tcW w:w="0" w:type="auto"/>
            <w:shd w:val="clear" w:color="auto" w:fill="auto"/>
            <w:noWrap/>
            <w:hideMark/>
          </w:tcPr>
          <w:p w14:paraId="14C06787" w14:textId="77777777" w:rsidR="002F0133" w:rsidRPr="000B4E2C" w:rsidRDefault="002F0133" w:rsidP="008A7464">
            <w:pPr>
              <w:rPr>
                <w:sz w:val="22"/>
                <w:lang w:eastAsia="en-GB"/>
              </w:rPr>
            </w:pPr>
            <w:r w:rsidRPr="000B4E2C">
              <w:rPr>
                <w:sz w:val="22"/>
                <w:lang w:eastAsia="en-GB"/>
              </w:rPr>
              <w:t>8.20149</w:t>
            </w:r>
          </w:p>
        </w:tc>
        <w:tc>
          <w:tcPr>
            <w:tcW w:w="0" w:type="auto"/>
            <w:shd w:val="clear" w:color="auto" w:fill="auto"/>
            <w:noWrap/>
            <w:hideMark/>
          </w:tcPr>
          <w:p w14:paraId="34506C8D" w14:textId="77777777" w:rsidR="002F0133" w:rsidRPr="000B4E2C" w:rsidRDefault="002F0133" w:rsidP="008A7464">
            <w:pPr>
              <w:rPr>
                <w:sz w:val="22"/>
                <w:lang w:eastAsia="en-GB"/>
              </w:rPr>
            </w:pPr>
            <w:r w:rsidRPr="000B4E2C">
              <w:rPr>
                <w:sz w:val="22"/>
                <w:lang w:eastAsia="en-GB"/>
              </w:rPr>
              <w:t>0.00000</w:t>
            </w:r>
          </w:p>
        </w:tc>
        <w:tc>
          <w:tcPr>
            <w:tcW w:w="0" w:type="auto"/>
            <w:shd w:val="clear" w:color="auto" w:fill="auto"/>
            <w:noWrap/>
            <w:hideMark/>
          </w:tcPr>
          <w:p w14:paraId="0C613425" w14:textId="77777777" w:rsidR="002F0133" w:rsidRPr="000B4E2C" w:rsidRDefault="002F0133" w:rsidP="008A7464">
            <w:pPr>
              <w:rPr>
                <w:sz w:val="22"/>
                <w:lang w:eastAsia="en-GB"/>
              </w:rPr>
            </w:pPr>
            <w:r w:rsidRPr="000B4E2C">
              <w:rPr>
                <w:sz w:val="22"/>
                <w:lang w:eastAsia="en-GB"/>
              </w:rPr>
              <w:t>£48,020,759</w:t>
            </w:r>
          </w:p>
        </w:tc>
        <w:tc>
          <w:tcPr>
            <w:tcW w:w="0" w:type="auto"/>
            <w:shd w:val="clear" w:color="auto" w:fill="auto"/>
            <w:noWrap/>
            <w:hideMark/>
          </w:tcPr>
          <w:p w14:paraId="081A1788" w14:textId="77777777" w:rsidR="002F0133" w:rsidRPr="000B4E2C" w:rsidRDefault="002F0133" w:rsidP="008A7464">
            <w:pPr>
              <w:rPr>
                <w:sz w:val="22"/>
                <w:lang w:eastAsia="en-GB"/>
              </w:rPr>
            </w:pPr>
            <w:r w:rsidRPr="000B4E2C">
              <w:rPr>
                <w:sz w:val="22"/>
                <w:lang w:eastAsia="en-GB"/>
              </w:rPr>
              <w:t>£56,351</w:t>
            </w:r>
          </w:p>
        </w:tc>
        <w:tc>
          <w:tcPr>
            <w:tcW w:w="0" w:type="auto"/>
            <w:shd w:val="clear" w:color="auto" w:fill="auto"/>
            <w:noWrap/>
            <w:hideMark/>
          </w:tcPr>
          <w:p w14:paraId="6C0576B3" w14:textId="77777777" w:rsidR="002F0133" w:rsidRPr="000B4E2C" w:rsidRDefault="002F0133" w:rsidP="008A7464">
            <w:pPr>
              <w:rPr>
                <w:sz w:val="22"/>
                <w:lang w:eastAsia="en-GB"/>
              </w:rPr>
            </w:pPr>
            <w:r w:rsidRPr="000B4E2C">
              <w:rPr>
                <w:sz w:val="22"/>
                <w:lang w:eastAsia="en-GB"/>
              </w:rPr>
              <w:t>0.3%</w:t>
            </w:r>
          </w:p>
        </w:tc>
        <w:tc>
          <w:tcPr>
            <w:tcW w:w="0" w:type="auto"/>
            <w:shd w:val="clear" w:color="auto" w:fill="auto"/>
            <w:noWrap/>
            <w:hideMark/>
          </w:tcPr>
          <w:p w14:paraId="28A79702" w14:textId="77777777" w:rsidR="002F0133" w:rsidRPr="000B4E2C" w:rsidRDefault="002F0133" w:rsidP="008A7464">
            <w:pPr>
              <w:rPr>
                <w:sz w:val="22"/>
                <w:lang w:eastAsia="en-GB"/>
              </w:rPr>
            </w:pPr>
            <w:r w:rsidRPr="000B4E2C">
              <w:rPr>
                <w:sz w:val="22"/>
                <w:lang w:eastAsia="en-GB"/>
              </w:rPr>
              <w:t>37.4%</w:t>
            </w:r>
          </w:p>
        </w:tc>
      </w:tr>
      <w:tr w:rsidR="002F0133" w:rsidRPr="000B4E2C" w14:paraId="677B8CAC" w14:textId="77777777" w:rsidTr="000B4E2C">
        <w:trPr>
          <w:cantSplit/>
        </w:trPr>
        <w:tc>
          <w:tcPr>
            <w:tcW w:w="0" w:type="auto"/>
            <w:gridSpan w:val="9"/>
            <w:shd w:val="clear" w:color="auto" w:fill="auto"/>
            <w:noWrap/>
            <w:hideMark/>
          </w:tcPr>
          <w:p w14:paraId="2D1A5D57" w14:textId="539DB393" w:rsidR="002F0133" w:rsidRPr="000B4E2C" w:rsidRDefault="002F0133" w:rsidP="008A7464">
            <w:pPr>
              <w:rPr>
                <w:b/>
                <w:bCs/>
                <w:sz w:val="22"/>
                <w:lang w:eastAsia="en-GB"/>
              </w:rPr>
            </w:pPr>
            <w:r w:rsidRPr="000B4E2C">
              <w:rPr>
                <w:b/>
                <w:bCs/>
                <w:sz w:val="22"/>
                <w:lang w:eastAsia="en-GB"/>
              </w:rPr>
              <w:t xml:space="preserve">Scenario </w:t>
            </w:r>
            <w:r w:rsidR="000B4E2C" w:rsidRPr="000B4E2C">
              <w:rPr>
                <w:b/>
                <w:bCs/>
                <w:color w:val="00B0F0"/>
                <w:sz w:val="22"/>
                <w:lang w:eastAsia="en-GB"/>
              </w:rPr>
              <w:t>1</w:t>
            </w:r>
            <w:r w:rsidR="000B4E2C" w:rsidRPr="000B4E2C">
              <w:rPr>
                <w:b/>
                <w:bCs/>
                <w:color w:val="00B0F0"/>
                <w:sz w:val="22"/>
                <w:lang w:eastAsia="en-GB"/>
              </w:rPr>
              <w:t> </w:t>
            </w:r>
            <w:r w:rsidR="000B4E2C" w:rsidRPr="000B4E2C">
              <w:rPr>
                <w:b/>
                <w:bCs/>
                <w:color w:val="00B0F0"/>
                <w:sz w:val="22"/>
                <w:lang w:eastAsia="en-GB"/>
              </w:rPr>
              <w:t xml:space="preserve">J </w:t>
            </w:r>
            <w:r w:rsidRPr="000B4E2C">
              <w:rPr>
                <w:b/>
                <w:bCs/>
                <w:sz w:val="22"/>
                <w:vertAlign w:val="superscript"/>
                <w:lang w:eastAsia="en-GB"/>
              </w:rPr>
              <w:t>A</w:t>
            </w:r>
            <w:r w:rsidRPr="000B4E2C">
              <w:rPr>
                <w:b/>
                <w:bCs/>
                <w:sz w:val="22"/>
                <w:lang w:eastAsia="en-GB"/>
              </w:rPr>
              <w:t xml:space="preserve"> 6% discount rate applied to both costs and QALYs</w:t>
            </w:r>
          </w:p>
        </w:tc>
      </w:tr>
      <w:tr w:rsidR="002F0133" w:rsidRPr="000B4E2C" w14:paraId="701813E5" w14:textId="77777777" w:rsidTr="000B4E2C">
        <w:trPr>
          <w:cantSplit/>
        </w:trPr>
        <w:tc>
          <w:tcPr>
            <w:tcW w:w="0" w:type="auto"/>
            <w:shd w:val="clear" w:color="auto" w:fill="auto"/>
            <w:noWrap/>
            <w:hideMark/>
          </w:tcPr>
          <w:p w14:paraId="09D099EC" w14:textId="1F6BCBC1"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22ADBABE" w14:textId="77777777" w:rsidR="002F0133" w:rsidRPr="000B4E2C" w:rsidRDefault="002F0133" w:rsidP="008A7464">
            <w:pPr>
              <w:rPr>
                <w:sz w:val="22"/>
                <w:lang w:eastAsia="en-GB"/>
              </w:rPr>
            </w:pPr>
            <w:r w:rsidRPr="000B4E2C">
              <w:rPr>
                <w:sz w:val="22"/>
                <w:lang w:eastAsia="en-GB"/>
              </w:rPr>
              <w:t>£20,961</w:t>
            </w:r>
          </w:p>
        </w:tc>
        <w:tc>
          <w:tcPr>
            <w:tcW w:w="0" w:type="auto"/>
            <w:shd w:val="clear" w:color="auto" w:fill="auto"/>
            <w:noWrap/>
            <w:hideMark/>
          </w:tcPr>
          <w:p w14:paraId="7DE1D3DA"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B894150" w14:textId="77777777" w:rsidR="002F0133" w:rsidRPr="000B4E2C" w:rsidRDefault="002F0133" w:rsidP="008A7464">
            <w:pPr>
              <w:rPr>
                <w:sz w:val="22"/>
                <w:lang w:eastAsia="en-GB"/>
              </w:rPr>
            </w:pPr>
            <w:r w:rsidRPr="000B4E2C">
              <w:rPr>
                <w:sz w:val="22"/>
                <w:lang w:eastAsia="en-GB"/>
              </w:rPr>
              <w:t>5.11682</w:t>
            </w:r>
          </w:p>
        </w:tc>
        <w:tc>
          <w:tcPr>
            <w:tcW w:w="0" w:type="auto"/>
            <w:shd w:val="clear" w:color="auto" w:fill="auto"/>
            <w:noWrap/>
            <w:hideMark/>
          </w:tcPr>
          <w:p w14:paraId="3B9B824A"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7E21DC2"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189C8341"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47641E0B" w14:textId="77777777" w:rsidR="002F0133" w:rsidRPr="000B4E2C" w:rsidRDefault="002F0133" w:rsidP="008A7464">
            <w:pPr>
              <w:rPr>
                <w:sz w:val="22"/>
                <w:lang w:eastAsia="en-GB"/>
              </w:rPr>
            </w:pPr>
            <w:r w:rsidRPr="000B4E2C">
              <w:rPr>
                <w:sz w:val="22"/>
                <w:lang w:eastAsia="en-GB"/>
              </w:rPr>
              <w:t>39.7%</w:t>
            </w:r>
          </w:p>
        </w:tc>
        <w:tc>
          <w:tcPr>
            <w:tcW w:w="0" w:type="auto"/>
            <w:shd w:val="clear" w:color="auto" w:fill="auto"/>
            <w:noWrap/>
            <w:hideMark/>
          </w:tcPr>
          <w:p w14:paraId="66E16622" w14:textId="77777777" w:rsidR="002F0133" w:rsidRPr="000B4E2C" w:rsidRDefault="002F0133" w:rsidP="008A7464">
            <w:pPr>
              <w:rPr>
                <w:sz w:val="22"/>
                <w:lang w:eastAsia="en-GB"/>
              </w:rPr>
            </w:pPr>
            <w:r w:rsidRPr="000B4E2C">
              <w:rPr>
                <w:sz w:val="22"/>
                <w:lang w:eastAsia="en-GB"/>
              </w:rPr>
              <w:t>49.9%</w:t>
            </w:r>
          </w:p>
        </w:tc>
      </w:tr>
      <w:tr w:rsidR="002F0133" w:rsidRPr="000B4E2C" w14:paraId="20DF3859" w14:textId="77777777" w:rsidTr="000B4E2C">
        <w:trPr>
          <w:cantSplit/>
        </w:trPr>
        <w:tc>
          <w:tcPr>
            <w:tcW w:w="0" w:type="auto"/>
            <w:shd w:val="clear" w:color="auto" w:fill="auto"/>
            <w:noWrap/>
            <w:hideMark/>
          </w:tcPr>
          <w:p w14:paraId="66C02775"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74B6A9AA" w14:textId="77777777" w:rsidR="002F0133" w:rsidRPr="000B4E2C" w:rsidRDefault="002F0133" w:rsidP="008A7464">
            <w:pPr>
              <w:rPr>
                <w:sz w:val="22"/>
                <w:lang w:eastAsia="en-GB"/>
              </w:rPr>
            </w:pPr>
            <w:r w:rsidRPr="000B4E2C">
              <w:rPr>
                <w:sz w:val="22"/>
                <w:lang w:eastAsia="en-GB"/>
              </w:rPr>
              <w:t>£20,969</w:t>
            </w:r>
          </w:p>
        </w:tc>
        <w:tc>
          <w:tcPr>
            <w:tcW w:w="0" w:type="auto"/>
            <w:shd w:val="clear" w:color="auto" w:fill="auto"/>
            <w:noWrap/>
            <w:hideMark/>
          </w:tcPr>
          <w:p w14:paraId="1E97C9C2"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023D9A3" w14:textId="77777777" w:rsidR="002F0133" w:rsidRPr="000B4E2C" w:rsidRDefault="002F0133" w:rsidP="008A7464">
            <w:pPr>
              <w:rPr>
                <w:sz w:val="22"/>
                <w:lang w:eastAsia="en-GB"/>
              </w:rPr>
            </w:pPr>
            <w:r w:rsidRPr="000B4E2C">
              <w:rPr>
                <w:sz w:val="22"/>
                <w:lang w:eastAsia="en-GB"/>
              </w:rPr>
              <w:t>5.11654</w:t>
            </w:r>
          </w:p>
        </w:tc>
        <w:tc>
          <w:tcPr>
            <w:tcW w:w="0" w:type="auto"/>
            <w:shd w:val="clear" w:color="auto" w:fill="auto"/>
            <w:noWrap/>
            <w:hideMark/>
          </w:tcPr>
          <w:p w14:paraId="3A612AF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CBA1D06"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AF83A1C"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2FDA103A" w14:textId="77777777" w:rsidR="002F0133" w:rsidRPr="000B4E2C" w:rsidRDefault="002F0133" w:rsidP="008A7464">
            <w:pPr>
              <w:rPr>
                <w:sz w:val="22"/>
                <w:lang w:eastAsia="en-GB"/>
              </w:rPr>
            </w:pPr>
            <w:r w:rsidRPr="000B4E2C">
              <w:rPr>
                <w:sz w:val="22"/>
                <w:lang w:eastAsia="en-GB"/>
              </w:rPr>
              <w:t>49.4%</w:t>
            </w:r>
          </w:p>
        </w:tc>
        <w:tc>
          <w:tcPr>
            <w:tcW w:w="0" w:type="auto"/>
            <w:shd w:val="clear" w:color="auto" w:fill="auto"/>
            <w:noWrap/>
            <w:hideMark/>
          </w:tcPr>
          <w:p w14:paraId="5BAD428E" w14:textId="77777777" w:rsidR="002F0133" w:rsidRPr="000B4E2C" w:rsidRDefault="002F0133" w:rsidP="008A7464">
            <w:pPr>
              <w:rPr>
                <w:sz w:val="22"/>
                <w:lang w:eastAsia="en-GB"/>
              </w:rPr>
            </w:pPr>
            <w:r w:rsidRPr="000B4E2C">
              <w:rPr>
                <w:sz w:val="22"/>
                <w:lang w:eastAsia="en-GB"/>
              </w:rPr>
              <w:t>--</w:t>
            </w:r>
          </w:p>
        </w:tc>
      </w:tr>
      <w:tr w:rsidR="002F0133" w:rsidRPr="000B4E2C" w14:paraId="36B878D2" w14:textId="77777777" w:rsidTr="000B4E2C">
        <w:trPr>
          <w:cantSplit/>
        </w:trPr>
        <w:tc>
          <w:tcPr>
            <w:tcW w:w="0" w:type="auto"/>
            <w:shd w:val="clear" w:color="auto" w:fill="auto"/>
            <w:noWrap/>
            <w:hideMark/>
          </w:tcPr>
          <w:p w14:paraId="2E81845A" w14:textId="5F4BD6C6"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39BF3841" w14:textId="77777777" w:rsidR="002F0133" w:rsidRPr="000B4E2C" w:rsidRDefault="002F0133" w:rsidP="008A7464">
            <w:pPr>
              <w:rPr>
                <w:sz w:val="22"/>
                <w:lang w:eastAsia="en-GB"/>
              </w:rPr>
            </w:pPr>
            <w:r w:rsidRPr="000B4E2C">
              <w:rPr>
                <w:sz w:val="22"/>
                <w:lang w:eastAsia="en-GB"/>
              </w:rPr>
              <w:t>£20,974</w:t>
            </w:r>
          </w:p>
        </w:tc>
        <w:tc>
          <w:tcPr>
            <w:tcW w:w="0" w:type="auto"/>
            <w:shd w:val="clear" w:color="auto" w:fill="auto"/>
            <w:noWrap/>
            <w:hideMark/>
          </w:tcPr>
          <w:p w14:paraId="77DDDAFE" w14:textId="77777777" w:rsidR="002F0133" w:rsidRPr="000B4E2C" w:rsidRDefault="002F0133" w:rsidP="008A7464">
            <w:pPr>
              <w:rPr>
                <w:sz w:val="22"/>
                <w:lang w:eastAsia="en-GB"/>
              </w:rPr>
            </w:pPr>
            <w:r w:rsidRPr="000B4E2C">
              <w:rPr>
                <w:sz w:val="22"/>
                <w:lang w:eastAsia="en-GB"/>
              </w:rPr>
              <w:t>£13</w:t>
            </w:r>
          </w:p>
        </w:tc>
        <w:tc>
          <w:tcPr>
            <w:tcW w:w="0" w:type="auto"/>
            <w:shd w:val="clear" w:color="auto" w:fill="auto"/>
            <w:noWrap/>
            <w:hideMark/>
          </w:tcPr>
          <w:p w14:paraId="15274A1F" w14:textId="77777777" w:rsidR="002F0133" w:rsidRPr="000B4E2C" w:rsidRDefault="002F0133" w:rsidP="008A7464">
            <w:pPr>
              <w:rPr>
                <w:sz w:val="22"/>
                <w:lang w:eastAsia="en-GB"/>
              </w:rPr>
            </w:pPr>
            <w:r w:rsidRPr="000B4E2C">
              <w:rPr>
                <w:sz w:val="22"/>
                <w:lang w:eastAsia="en-GB"/>
              </w:rPr>
              <w:t>5.11683</w:t>
            </w:r>
          </w:p>
        </w:tc>
        <w:tc>
          <w:tcPr>
            <w:tcW w:w="0" w:type="auto"/>
            <w:shd w:val="clear" w:color="auto" w:fill="auto"/>
            <w:noWrap/>
            <w:hideMark/>
          </w:tcPr>
          <w:p w14:paraId="1F5346E1" w14:textId="77777777" w:rsidR="002F0133" w:rsidRPr="000B4E2C" w:rsidRDefault="002F0133" w:rsidP="008A7464">
            <w:pPr>
              <w:rPr>
                <w:sz w:val="22"/>
                <w:lang w:eastAsia="en-GB"/>
              </w:rPr>
            </w:pPr>
            <w:r w:rsidRPr="000B4E2C">
              <w:rPr>
                <w:sz w:val="22"/>
                <w:lang w:eastAsia="en-GB"/>
              </w:rPr>
              <w:t>0.00001</w:t>
            </w:r>
          </w:p>
        </w:tc>
        <w:tc>
          <w:tcPr>
            <w:tcW w:w="0" w:type="auto"/>
            <w:shd w:val="clear" w:color="auto" w:fill="auto"/>
            <w:noWrap/>
            <w:hideMark/>
          </w:tcPr>
          <w:p w14:paraId="58D2E161" w14:textId="77777777" w:rsidR="002F0133" w:rsidRPr="000B4E2C" w:rsidRDefault="002F0133" w:rsidP="008A7464">
            <w:pPr>
              <w:rPr>
                <w:sz w:val="22"/>
                <w:lang w:eastAsia="en-GB"/>
              </w:rPr>
            </w:pPr>
            <w:r w:rsidRPr="000B4E2C">
              <w:rPr>
                <w:sz w:val="22"/>
                <w:lang w:eastAsia="en-GB"/>
              </w:rPr>
              <w:t>£1,295,058</w:t>
            </w:r>
          </w:p>
        </w:tc>
        <w:tc>
          <w:tcPr>
            <w:tcW w:w="0" w:type="auto"/>
            <w:shd w:val="clear" w:color="auto" w:fill="auto"/>
            <w:noWrap/>
            <w:hideMark/>
          </w:tcPr>
          <w:p w14:paraId="2D1D368F" w14:textId="77777777" w:rsidR="002F0133" w:rsidRPr="000B4E2C" w:rsidRDefault="002F0133" w:rsidP="008A7464">
            <w:pPr>
              <w:rPr>
                <w:sz w:val="22"/>
                <w:lang w:eastAsia="en-GB"/>
              </w:rPr>
            </w:pPr>
            <w:r w:rsidRPr="000B4E2C">
              <w:rPr>
                <w:sz w:val="22"/>
                <w:lang w:eastAsia="en-GB"/>
              </w:rPr>
              <w:t>£16,259</w:t>
            </w:r>
          </w:p>
        </w:tc>
        <w:tc>
          <w:tcPr>
            <w:tcW w:w="0" w:type="auto"/>
            <w:shd w:val="clear" w:color="auto" w:fill="auto"/>
            <w:noWrap/>
            <w:hideMark/>
          </w:tcPr>
          <w:p w14:paraId="54C2CA24" w14:textId="77777777" w:rsidR="002F0133" w:rsidRPr="000B4E2C" w:rsidRDefault="002F0133" w:rsidP="008A7464">
            <w:pPr>
              <w:rPr>
                <w:sz w:val="22"/>
                <w:lang w:eastAsia="en-GB"/>
              </w:rPr>
            </w:pPr>
            <w:r w:rsidRPr="000B4E2C">
              <w:rPr>
                <w:sz w:val="22"/>
                <w:lang w:eastAsia="en-GB"/>
              </w:rPr>
              <w:t>10.4%</w:t>
            </w:r>
          </w:p>
        </w:tc>
        <w:tc>
          <w:tcPr>
            <w:tcW w:w="0" w:type="auto"/>
            <w:shd w:val="clear" w:color="auto" w:fill="auto"/>
            <w:noWrap/>
            <w:hideMark/>
          </w:tcPr>
          <w:p w14:paraId="4FD197C6" w14:textId="77777777" w:rsidR="002F0133" w:rsidRPr="000B4E2C" w:rsidRDefault="002F0133" w:rsidP="008A7464">
            <w:pPr>
              <w:rPr>
                <w:sz w:val="22"/>
                <w:lang w:eastAsia="en-GB"/>
              </w:rPr>
            </w:pPr>
            <w:r w:rsidRPr="000B4E2C">
              <w:rPr>
                <w:sz w:val="22"/>
                <w:lang w:eastAsia="en-GB"/>
              </w:rPr>
              <w:t>44.2%</w:t>
            </w:r>
          </w:p>
        </w:tc>
      </w:tr>
      <w:tr w:rsidR="002F0133" w:rsidRPr="000B4E2C" w14:paraId="764800B0" w14:textId="77777777" w:rsidTr="000B4E2C">
        <w:trPr>
          <w:cantSplit/>
        </w:trPr>
        <w:tc>
          <w:tcPr>
            <w:tcW w:w="0" w:type="auto"/>
            <w:shd w:val="clear" w:color="auto" w:fill="auto"/>
            <w:noWrap/>
            <w:hideMark/>
          </w:tcPr>
          <w:p w14:paraId="5DFFEDB9" w14:textId="429BD179"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3E4FBF74" w14:textId="77777777" w:rsidR="002F0133" w:rsidRPr="000B4E2C" w:rsidRDefault="002F0133" w:rsidP="008A7464">
            <w:pPr>
              <w:rPr>
                <w:sz w:val="22"/>
                <w:lang w:eastAsia="en-GB"/>
              </w:rPr>
            </w:pPr>
            <w:r w:rsidRPr="000B4E2C">
              <w:rPr>
                <w:sz w:val="22"/>
                <w:lang w:eastAsia="en-GB"/>
              </w:rPr>
              <w:t>£20,984</w:t>
            </w:r>
          </w:p>
        </w:tc>
        <w:tc>
          <w:tcPr>
            <w:tcW w:w="0" w:type="auto"/>
            <w:shd w:val="clear" w:color="auto" w:fill="auto"/>
            <w:noWrap/>
            <w:hideMark/>
          </w:tcPr>
          <w:p w14:paraId="1470988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E989FFA" w14:textId="77777777" w:rsidR="002F0133" w:rsidRPr="000B4E2C" w:rsidRDefault="002F0133" w:rsidP="008A7464">
            <w:pPr>
              <w:rPr>
                <w:sz w:val="22"/>
                <w:lang w:eastAsia="en-GB"/>
              </w:rPr>
            </w:pPr>
            <w:r w:rsidRPr="000B4E2C">
              <w:rPr>
                <w:sz w:val="22"/>
                <w:lang w:eastAsia="en-GB"/>
              </w:rPr>
              <w:t>5.11680</w:t>
            </w:r>
          </w:p>
        </w:tc>
        <w:tc>
          <w:tcPr>
            <w:tcW w:w="0" w:type="auto"/>
            <w:shd w:val="clear" w:color="auto" w:fill="auto"/>
            <w:noWrap/>
            <w:hideMark/>
          </w:tcPr>
          <w:p w14:paraId="003E1C5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9D27D1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B14BCE2" w14:textId="77777777" w:rsidR="002F0133" w:rsidRPr="000B4E2C" w:rsidRDefault="002F0133" w:rsidP="008A7464">
            <w:pPr>
              <w:rPr>
                <w:sz w:val="22"/>
                <w:lang w:eastAsia="en-GB"/>
              </w:rPr>
            </w:pPr>
            <w:r w:rsidRPr="000B4E2C">
              <w:rPr>
                <w:sz w:val="22"/>
                <w:lang w:eastAsia="en-GB"/>
              </w:rPr>
              <w:t>£55,509</w:t>
            </w:r>
          </w:p>
        </w:tc>
        <w:tc>
          <w:tcPr>
            <w:tcW w:w="0" w:type="auto"/>
            <w:shd w:val="clear" w:color="auto" w:fill="auto"/>
            <w:noWrap/>
            <w:hideMark/>
          </w:tcPr>
          <w:p w14:paraId="759F0BCE" w14:textId="77777777" w:rsidR="002F0133" w:rsidRPr="000B4E2C" w:rsidRDefault="002F0133" w:rsidP="008A7464">
            <w:pPr>
              <w:rPr>
                <w:sz w:val="22"/>
                <w:lang w:eastAsia="en-GB"/>
              </w:rPr>
            </w:pPr>
            <w:r w:rsidRPr="000B4E2C">
              <w:rPr>
                <w:sz w:val="22"/>
                <w:lang w:eastAsia="en-GB"/>
              </w:rPr>
              <w:t>0.3%</w:t>
            </w:r>
          </w:p>
        </w:tc>
        <w:tc>
          <w:tcPr>
            <w:tcW w:w="0" w:type="auto"/>
            <w:shd w:val="clear" w:color="auto" w:fill="auto"/>
            <w:noWrap/>
            <w:hideMark/>
          </w:tcPr>
          <w:p w14:paraId="7194D8A4" w14:textId="77777777" w:rsidR="002F0133" w:rsidRPr="000B4E2C" w:rsidRDefault="002F0133" w:rsidP="008A7464">
            <w:pPr>
              <w:rPr>
                <w:sz w:val="22"/>
                <w:lang w:eastAsia="en-GB"/>
              </w:rPr>
            </w:pPr>
            <w:r w:rsidRPr="000B4E2C">
              <w:rPr>
                <w:sz w:val="22"/>
                <w:lang w:eastAsia="en-GB"/>
              </w:rPr>
              <w:t>39.5%</w:t>
            </w:r>
          </w:p>
        </w:tc>
      </w:tr>
      <w:tr w:rsidR="002F0133" w:rsidRPr="000B4E2C" w14:paraId="4CA8353B" w14:textId="77777777" w:rsidTr="000B4E2C">
        <w:trPr>
          <w:cantSplit/>
        </w:trPr>
        <w:tc>
          <w:tcPr>
            <w:tcW w:w="0" w:type="auto"/>
            <w:shd w:val="clear" w:color="auto" w:fill="auto"/>
            <w:noWrap/>
            <w:hideMark/>
          </w:tcPr>
          <w:p w14:paraId="434F5C8B"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569E1D08" w14:textId="77777777" w:rsidR="002F0133" w:rsidRPr="000B4E2C" w:rsidRDefault="002F0133" w:rsidP="008A7464">
            <w:pPr>
              <w:rPr>
                <w:sz w:val="22"/>
                <w:lang w:eastAsia="en-GB"/>
              </w:rPr>
            </w:pPr>
            <w:r w:rsidRPr="000B4E2C">
              <w:rPr>
                <w:sz w:val="22"/>
                <w:lang w:eastAsia="en-GB"/>
              </w:rPr>
              <w:t>£21,011</w:t>
            </w:r>
          </w:p>
        </w:tc>
        <w:tc>
          <w:tcPr>
            <w:tcW w:w="0" w:type="auto"/>
            <w:shd w:val="clear" w:color="auto" w:fill="auto"/>
            <w:noWrap/>
            <w:hideMark/>
          </w:tcPr>
          <w:p w14:paraId="0ACCA24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7799C76" w14:textId="77777777" w:rsidR="002F0133" w:rsidRPr="000B4E2C" w:rsidRDefault="002F0133" w:rsidP="008A7464">
            <w:pPr>
              <w:rPr>
                <w:sz w:val="22"/>
                <w:lang w:eastAsia="en-GB"/>
              </w:rPr>
            </w:pPr>
            <w:r w:rsidRPr="000B4E2C">
              <w:rPr>
                <w:sz w:val="22"/>
                <w:lang w:eastAsia="en-GB"/>
              </w:rPr>
              <w:t>5.11683</w:t>
            </w:r>
          </w:p>
        </w:tc>
        <w:tc>
          <w:tcPr>
            <w:tcW w:w="0" w:type="auto"/>
            <w:shd w:val="clear" w:color="auto" w:fill="auto"/>
            <w:noWrap/>
            <w:hideMark/>
          </w:tcPr>
          <w:p w14:paraId="3F74369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85EB231"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3E6E742" w14:textId="77777777" w:rsidR="002F0133" w:rsidRPr="000B4E2C" w:rsidRDefault="002F0133" w:rsidP="008A7464">
            <w:pPr>
              <w:rPr>
                <w:sz w:val="22"/>
                <w:lang w:eastAsia="en-GB"/>
              </w:rPr>
            </w:pPr>
            <w:r w:rsidRPr="000B4E2C">
              <w:rPr>
                <w:sz w:val="22"/>
                <w:lang w:eastAsia="en-GB"/>
              </w:rPr>
              <w:t>£145,369</w:t>
            </w:r>
          </w:p>
        </w:tc>
        <w:tc>
          <w:tcPr>
            <w:tcW w:w="0" w:type="auto"/>
            <w:shd w:val="clear" w:color="auto" w:fill="auto"/>
            <w:noWrap/>
            <w:hideMark/>
          </w:tcPr>
          <w:p w14:paraId="1C428035" w14:textId="77777777" w:rsidR="002F0133" w:rsidRPr="000B4E2C" w:rsidRDefault="002F0133" w:rsidP="008A7464">
            <w:pPr>
              <w:rPr>
                <w:sz w:val="22"/>
                <w:lang w:eastAsia="en-GB"/>
              </w:rPr>
            </w:pPr>
            <w:r w:rsidRPr="000B4E2C">
              <w:rPr>
                <w:sz w:val="22"/>
                <w:lang w:eastAsia="en-GB"/>
              </w:rPr>
              <w:t>0.1%</w:t>
            </w:r>
          </w:p>
        </w:tc>
        <w:tc>
          <w:tcPr>
            <w:tcW w:w="0" w:type="auto"/>
            <w:shd w:val="clear" w:color="auto" w:fill="auto"/>
            <w:noWrap/>
            <w:hideMark/>
          </w:tcPr>
          <w:p w14:paraId="3E3D31B1" w14:textId="77777777" w:rsidR="002F0133" w:rsidRPr="000B4E2C" w:rsidRDefault="002F0133" w:rsidP="008A7464">
            <w:pPr>
              <w:rPr>
                <w:sz w:val="22"/>
                <w:lang w:eastAsia="en-GB"/>
              </w:rPr>
            </w:pPr>
            <w:r w:rsidRPr="000B4E2C">
              <w:rPr>
                <w:sz w:val="22"/>
                <w:lang w:eastAsia="en-GB"/>
              </w:rPr>
              <w:t>30.6%</w:t>
            </w:r>
          </w:p>
        </w:tc>
      </w:tr>
      <w:tr w:rsidR="002F0133" w:rsidRPr="000B4E2C" w14:paraId="16C43E55" w14:textId="77777777" w:rsidTr="000B4E2C">
        <w:trPr>
          <w:cantSplit/>
        </w:trPr>
        <w:tc>
          <w:tcPr>
            <w:tcW w:w="0" w:type="auto"/>
            <w:gridSpan w:val="9"/>
            <w:shd w:val="clear" w:color="auto" w:fill="auto"/>
            <w:noWrap/>
            <w:hideMark/>
          </w:tcPr>
          <w:p w14:paraId="6C0F01C8" w14:textId="159C613B" w:rsidR="002F0133" w:rsidRPr="000B4E2C" w:rsidRDefault="002F0133" w:rsidP="008A7464">
            <w:pPr>
              <w:rPr>
                <w:b/>
                <w:bCs/>
                <w:sz w:val="22"/>
                <w:lang w:eastAsia="en-GB"/>
              </w:rPr>
            </w:pPr>
            <w:r w:rsidRPr="000B4E2C">
              <w:rPr>
                <w:b/>
                <w:bCs/>
                <w:sz w:val="22"/>
                <w:lang w:eastAsia="en-GB"/>
              </w:rPr>
              <w:t xml:space="preserve">Scenario </w:t>
            </w:r>
            <w:r w:rsidR="000B4E2C" w:rsidRPr="000B4E2C">
              <w:rPr>
                <w:b/>
                <w:bCs/>
                <w:color w:val="00B0F0"/>
                <w:sz w:val="22"/>
                <w:lang w:eastAsia="en-GB"/>
              </w:rPr>
              <w:t>1</w:t>
            </w:r>
            <w:r w:rsidR="000B4E2C" w:rsidRPr="000B4E2C">
              <w:rPr>
                <w:b/>
                <w:bCs/>
                <w:color w:val="00B0F0"/>
                <w:sz w:val="22"/>
                <w:lang w:eastAsia="en-GB"/>
              </w:rPr>
              <w:t> </w:t>
            </w:r>
            <w:r w:rsidR="000B4E2C" w:rsidRPr="000B4E2C">
              <w:rPr>
                <w:b/>
                <w:bCs/>
                <w:color w:val="00B0F0"/>
                <w:sz w:val="22"/>
                <w:lang w:eastAsia="en-GB"/>
              </w:rPr>
              <w:t xml:space="preserve">K </w:t>
            </w:r>
            <w:r w:rsidRPr="000B4E2C">
              <w:rPr>
                <w:b/>
                <w:bCs/>
                <w:sz w:val="22"/>
                <w:vertAlign w:val="superscript"/>
                <w:lang w:eastAsia="en-GB"/>
              </w:rPr>
              <w:t xml:space="preserve">A </w:t>
            </w:r>
            <w:r w:rsidRPr="000B4E2C">
              <w:rPr>
                <w:b/>
                <w:bCs/>
                <w:sz w:val="22"/>
                <w:lang w:eastAsia="en-GB"/>
              </w:rPr>
              <w:t xml:space="preserve">Apply alternative source for </w:t>
            </w:r>
            <w:r w:rsidR="005A224F" w:rsidRPr="000B4E2C">
              <w:rPr>
                <w:b/>
                <w:bCs/>
                <w:sz w:val="22"/>
                <w:lang w:eastAsia="en-GB"/>
              </w:rPr>
              <w:t xml:space="preserve">AKI </w:t>
            </w:r>
            <w:r w:rsidRPr="000B4E2C">
              <w:rPr>
                <w:b/>
                <w:bCs/>
                <w:sz w:val="22"/>
                <w:lang w:eastAsia="en-GB"/>
              </w:rPr>
              <w:t xml:space="preserve">prevalence (average prevalence </w:t>
            </w:r>
            <w:r w:rsidR="005A224F" w:rsidRPr="000B4E2C">
              <w:rPr>
                <w:b/>
                <w:bCs/>
                <w:sz w:val="22"/>
                <w:lang w:eastAsia="en-GB"/>
              </w:rPr>
              <w:t xml:space="preserve">of 0.2332 </w:t>
            </w:r>
            <w:r w:rsidRPr="000B4E2C">
              <w:rPr>
                <w:b/>
                <w:bCs/>
                <w:sz w:val="22"/>
                <w:lang w:eastAsia="en-GB"/>
              </w:rPr>
              <w:t>across systematic review studies)</w:t>
            </w:r>
          </w:p>
        </w:tc>
      </w:tr>
      <w:tr w:rsidR="002F0133" w:rsidRPr="000B4E2C" w14:paraId="6D91CE3F" w14:textId="77777777" w:rsidTr="000B4E2C">
        <w:trPr>
          <w:cantSplit/>
        </w:trPr>
        <w:tc>
          <w:tcPr>
            <w:tcW w:w="0" w:type="auto"/>
            <w:shd w:val="clear" w:color="auto" w:fill="auto"/>
            <w:noWrap/>
            <w:hideMark/>
          </w:tcPr>
          <w:p w14:paraId="01981348" w14:textId="51758140"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422860D0" w14:textId="77777777" w:rsidR="002F0133" w:rsidRPr="000B4E2C" w:rsidRDefault="002F0133" w:rsidP="008A7464">
            <w:pPr>
              <w:rPr>
                <w:sz w:val="22"/>
                <w:lang w:eastAsia="en-GB"/>
              </w:rPr>
            </w:pPr>
            <w:r w:rsidRPr="000B4E2C">
              <w:rPr>
                <w:sz w:val="22"/>
                <w:lang w:eastAsia="en-GB"/>
              </w:rPr>
              <w:t>£23,050</w:t>
            </w:r>
          </w:p>
        </w:tc>
        <w:tc>
          <w:tcPr>
            <w:tcW w:w="0" w:type="auto"/>
            <w:shd w:val="clear" w:color="auto" w:fill="auto"/>
            <w:noWrap/>
            <w:hideMark/>
          </w:tcPr>
          <w:p w14:paraId="2216D31F"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60AE1D1C" w14:textId="77777777" w:rsidR="002F0133" w:rsidRPr="000B4E2C" w:rsidRDefault="002F0133" w:rsidP="008A7464">
            <w:pPr>
              <w:rPr>
                <w:sz w:val="22"/>
                <w:lang w:eastAsia="en-GB"/>
              </w:rPr>
            </w:pPr>
            <w:r w:rsidRPr="000B4E2C">
              <w:rPr>
                <w:sz w:val="22"/>
                <w:lang w:eastAsia="en-GB"/>
              </w:rPr>
              <w:t>5.85835</w:t>
            </w:r>
          </w:p>
        </w:tc>
        <w:tc>
          <w:tcPr>
            <w:tcW w:w="0" w:type="auto"/>
            <w:shd w:val="clear" w:color="auto" w:fill="auto"/>
            <w:noWrap/>
            <w:hideMark/>
          </w:tcPr>
          <w:p w14:paraId="129F94A4"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F160669"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B00B1C6" w14:textId="4D63893F" w:rsidR="002F0133" w:rsidRPr="000B4E2C" w:rsidRDefault="00BF3662" w:rsidP="008A7464">
            <w:pPr>
              <w:rPr>
                <w:sz w:val="22"/>
                <w:lang w:eastAsia="en-GB"/>
              </w:rPr>
            </w:pPr>
            <w:r w:rsidRPr="000B4E2C">
              <w:rPr>
                <w:sz w:val="22"/>
                <w:lang w:eastAsia="en-GB"/>
              </w:rPr>
              <w:t>Dominant</w:t>
            </w:r>
          </w:p>
        </w:tc>
        <w:tc>
          <w:tcPr>
            <w:tcW w:w="0" w:type="auto"/>
            <w:shd w:val="clear" w:color="auto" w:fill="auto"/>
            <w:noWrap/>
            <w:hideMark/>
          </w:tcPr>
          <w:p w14:paraId="44B0EBA5" w14:textId="77777777" w:rsidR="002F0133" w:rsidRPr="000B4E2C" w:rsidRDefault="002F0133" w:rsidP="008A7464">
            <w:pPr>
              <w:rPr>
                <w:sz w:val="22"/>
                <w:lang w:eastAsia="en-GB"/>
              </w:rPr>
            </w:pPr>
            <w:r w:rsidRPr="000B4E2C">
              <w:rPr>
                <w:sz w:val="22"/>
                <w:lang w:eastAsia="en-GB"/>
              </w:rPr>
              <w:t>42.3%</w:t>
            </w:r>
          </w:p>
        </w:tc>
        <w:tc>
          <w:tcPr>
            <w:tcW w:w="0" w:type="auto"/>
            <w:shd w:val="clear" w:color="auto" w:fill="auto"/>
            <w:noWrap/>
            <w:hideMark/>
          </w:tcPr>
          <w:p w14:paraId="524CF64D" w14:textId="77777777" w:rsidR="002F0133" w:rsidRPr="000B4E2C" w:rsidRDefault="002F0133" w:rsidP="008A7464">
            <w:pPr>
              <w:rPr>
                <w:sz w:val="22"/>
                <w:lang w:eastAsia="en-GB"/>
              </w:rPr>
            </w:pPr>
            <w:r w:rsidRPr="000B4E2C">
              <w:rPr>
                <w:sz w:val="22"/>
                <w:lang w:eastAsia="en-GB"/>
              </w:rPr>
              <w:t>79.0%</w:t>
            </w:r>
          </w:p>
        </w:tc>
      </w:tr>
      <w:tr w:rsidR="002F0133" w:rsidRPr="000B4E2C" w14:paraId="1F963314" w14:textId="77777777" w:rsidTr="000B4E2C">
        <w:trPr>
          <w:cantSplit/>
        </w:trPr>
        <w:tc>
          <w:tcPr>
            <w:tcW w:w="0" w:type="auto"/>
            <w:shd w:val="clear" w:color="auto" w:fill="auto"/>
            <w:noWrap/>
            <w:hideMark/>
          </w:tcPr>
          <w:p w14:paraId="0DA244C5" w14:textId="3A7425ED"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2534F30A" w14:textId="77777777" w:rsidR="002F0133" w:rsidRPr="000B4E2C" w:rsidRDefault="002F0133" w:rsidP="008A7464">
            <w:pPr>
              <w:rPr>
                <w:sz w:val="22"/>
                <w:lang w:eastAsia="en-GB"/>
              </w:rPr>
            </w:pPr>
            <w:r w:rsidRPr="000B4E2C">
              <w:rPr>
                <w:sz w:val="22"/>
                <w:lang w:eastAsia="en-GB"/>
              </w:rPr>
              <w:t>£23,055</w:t>
            </w:r>
          </w:p>
        </w:tc>
        <w:tc>
          <w:tcPr>
            <w:tcW w:w="0" w:type="auto"/>
            <w:shd w:val="clear" w:color="auto" w:fill="auto"/>
            <w:noWrap/>
            <w:hideMark/>
          </w:tcPr>
          <w:p w14:paraId="7B5C8652" w14:textId="77777777" w:rsidR="002F0133" w:rsidRPr="000B4E2C" w:rsidRDefault="002F0133" w:rsidP="008A7464">
            <w:pPr>
              <w:rPr>
                <w:sz w:val="22"/>
                <w:lang w:eastAsia="en-GB"/>
              </w:rPr>
            </w:pPr>
            <w:r w:rsidRPr="000B4E2C">
              <w:rPr>
                <w:sz w:val="22"/>
                <w:lang w:eastAsia="en-GB"/>
              </w:rPr>
              <w:t>£5</w:t>
            </w:r>
          </w:p>
        </w:tc>
        <w:tc>
          <w:tcPr>
            <w:tcW w:w="0" w:type="auto"/>
            <w:shd w:val="clear" w:color="auto" w:fill="auto"/>
            <w:noWrap/>
            <w:hideMark/>
          </w:tcPr>
          <w:p w14:paraId="2799E0C4" w14:textId="77777777" w:rsidR="002F0133" w:rsidRPr="000B4E2C" w:rsidRDefault="002F0133" w:rsidP="008A7464">
            <w:pPr>
              <w:rPr>
                <w:sz w:val="22"/>
                <w:lang w:eastAsia="en-GB"/>
              </w:rPr>
            </w:pPr>
            <w:r w:rsidRPr="000B4E2C">
              <w:rPr>
                <w:sz w:val="22"/>
                <w:lang w:eastAsia="en-GB"/>
              </w:rPr>
              <w:t>5.85837</w:t>
            </w:r>
          </w:p>
        </w:tc>
        <w:tc>
          <w:tcPr>
            <w:tcW w:w="0" w:type="auto"/>
            <w:shd w:val="clear" w:color="auto" w:fill="auto"/>
            <w:noWrap/>
            <w:hideMark/>
          </w:tcPr>
          <w:p w14:paraId="5550851C" w14:textId="77777777" w:rsidR="002F0133" w:rsidRPr="000B4E2C" w:rsidRDefault="002F0133" w:rsidP="008A7464">
            <w:pPr>
              <w:rPr>
                <w:sz w:val="22"/>
                <w:lang w:eastAsia="en-GB"/>
              </w:rPr>
            </w:pPr>
            <w:r w:rsidRPr="000B4E2C">
              <w:rPr>
                <w:sz w:val="22"/>
                <w:lang w:eastAsia="en-GB"/>
              </w:rPr>
              <w:t>0.00002</w:t>
            </w:r>
          </w:p>
        </w:tc>
        <w:tc>
          <w:tcPr>
            <w:tcW w:w="0" w:type="auto"/>
            <w:shd w:val="clear" w:color="auto" w:fill="auto"/>
            <w:noWrap/>
            <w:hideMark/>
          </w:tcPr>
          <w:p w14:paraId="0D0F6F12" w14:textId="77777777" w:rsidR="002F0133" w:rsidRPr="000B4E2C" w:rsidRDefault="002F0133" w:rsidP="008A7464">
            <w:pPr>
              <w:rPr>
                <w:sz w:val="22"/>
                <w:lang w:eastAsia="en-GB"/>
              </w:rPr>
            </w:pPr>
            <w:r w:rsidRPr="000B4E2C">
              <w:rPr>
                <w:sz w:val="22"/>
                <w:lang w:eastAsia="en-GB"/>
              </w:rPr>
              <w:t>£256,153</w:t>
            </w:r>
          </w:p>
        </w:tc>
        <w:tc>
          <w:tcPr>
            <w:tcW w:w="0" w:type="auto"/>
            <w:shd w:val="clear" w:color="auto" w:fill="auto"/>
            <w:noWrap/>
            <w:hideMark/>
          </w:tcPr>
          <w:p w14:paraId="2424CE99" w14:textId="7E950E99" w:rsidR="002F0133" w:rsidRPr="000B4E2C" w:rsidRDefault="00BF3662" w:rsidP="008A7464">
            <w:pPr>
              <w:rPr>
                <w:sz w:val="22"/>
                <w:lang w:eastAsia="en-GB"/>
              </w:rPr>
            </w:pPr>
            <w:r w:rsidRPr="000B4E2C">
              <w:rPr>
                <w:sz w:val="22"/>
                <w:lang w:eastAsia="en-GB"/>
              </w:rPr>
              <w:t>Dominant</w:t>
            </w:r>
          </w:p>
        </w:tc>
        <w:tc>
          <w:tcPr>
            <w:tcW w:w="0" w:type="auto"/>
            <w:shd w:val="clear" w:color="auto" w:fill="auto"/>
            <w:noWrap/>
            <w:hideMark/>
          </w:tcPr>
          <w:p w14:paraId="33167AE1" w14:textId="77777777" w:rsidR="002F0133" w:rsidRPr="000B4E2C" w:rsidRDefault="002F0133" w:rsidP="008A7464">
            <w:pPr>
              <w:rPr>
                <w:sz w:val="22"/>
                <w:lang w:eastAsia="en-GB"/>
              </w:rPr>
            </w:pPr>
            <w:r w:rsidRPr="000B4E2C">
              <w:rPr>
                <w:sz w:val="22"/>
                <w:lang w:eastAsia="en-GB"/>
              </w:rPr>
              <w:t>30.7%</w:t>
            </w:r>
          </w:p>
        </w:tc>
        <w:tc>
          <w:tcPr>
            <w:tcW w:w="0" w:type="auto"/>
            <w:shd w:val="clear" w:color="auto" w:fill="auto"/>
            <w:noWrap/>
            <w:hideMark/>
          </w:tcPr>
          <w:p w14:paraId="0074E588" w14:textId="77777777" w:rsidR="002F0133" w:rsidRPr="000B4E2C" w:rsidRDefault="002F0133" w:rsidP="008A7464">
            <w:pPr>
              <w:rPr>
                <w:sz w:val="22"/>
                <w:lang w:eastAsia="en-GB"/>
              </w:rPr>
            </w:pPr>
            <w:r w:rsidRPr="000B4E2C">
              <w:rPr>
                <w:sz w:val="22"/>
                <w:lang w:eastAsia="en-GB"/>
              </w:rPr>
              <w:t>77.3%</w:t>
            </w:r>
          </w:p>
        </w:tc>
      </w:tr>
      <w:tr w:rsidR="002F0133" w:rsidRPr="000B4E2C" w14:paraId="1B472597" w14:textId="77777777" w:rsidTr="000B4E2C">
        <w:trPr>
          <w:cantSplit/>
        </w:trPr>
        <w:tc>
          <w:tcPr>
            <w:tcW w:w="0" w:type="auto"/>
            <w:shd w:val="clear" w:color="auto" w:fill="auto"/>
            <w:noWrap/>
            <w:hideMark/>
          </w:tcPr>
          <w:p w14:paraId="6032413C" w14:textId="6854E765" w:rsidR="002F0133" w:rsidRPr="000B4E2C" w:rsidRDefault="002F0133" w:rsidP="008A7464">
            <w:pPr>
              <w:rPr>
                <w:sz w:val="22"/>
                <w:lang w:eastAsia="en-GB"/>
              </w:rPr>
            </w:pPr>
            <w:r w:rsidRPr="000B4E2C">
              <w:rPr>
                <w:sz w:val="22"/>
                <w:lang w:eastAsia="en-GB"/>
              </w:rPr>
              <w:lastRenderedPageBreak/>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02FD7E45" w14:textId="77777777" w:rsidR="002F0133" w:rsidRPr="000B4E2C" w:rsidRDefault="002F0133" w:rsidP="008A7464">
            <w:pPr>
              <w:rPr>
                <w:sz w:val="22"/>
                <w:lang w:eastAsia="en-GB"/>
              </w:rPr>
            </w:pPr>
            <w:r w:rsidRPr="000B4E2C">
              <w:rPr>
                <w:sz w:val="22"/>
                <w:lang w:eastAsia="en-GB"/>
              </w:rPr>
              <w:t>£23,084</w:t>
            </w:r>
          </w:p>
        </w:tc>
        <w:tc>
          <w:tcPr>
            <w:tcW w:w="0" w:type="auto"/>
            <w:shd w:val="clear" w:color="auto" w:fill="auto"/>
            <w:noWrap/>
            <w:hideMark/>
          </w:tcPr>
          <w:p w14:paraId="51E1C23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CE52EDF" w14:textId="77777777" w:rsidR="002F0133" w:rsidRPr="000B4E2C" w:rsidRDefault="002F0133" w:rsidP="008A7464">
            <w:pPr>
              <w:rPr>
                <w:sz w:val="22"/>
                <w:lang w:eastAsia="en-GB"/>
              </w:rPr>
            </w:pPr>
            <w:r w:rsidRPr="000B4E2C">
              <w:rPr>
                <w:sz w:val="22"/>
                <w:lang w:eastAsia="en-GB"/>
              </w:rPr>
              <w:t>5.85827</w:t>
            </w:r>
          </w:p>
        </w:tc>
        <w:tc>
          <w:tcPr>
            <w:tcW w:w="0" w:type="auto"/>
            <w:shd w:val="clear" w:color="auto" w:fill="auto"/>
            <w:noWrap/>
            <w:hideMark/>
          </w:tcPr>
          <w:p w14:paraId="5F43FEE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E9687E2"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FE7CA21" w14:textId="375E062F" w:rsidR="002F0133" w:rsidRPr="000B4E2C" w:rsidRDefault="00BF3662" w:rsidP="008A7464">
            <w:pPr>
              <w:rPr>
                <w:sz w:val="22"/>
                <w:lang w:eastAsia="en-GB"/>
              </w:rPr>
            </w:pPr>
            <w:r w:rsidRPr="000B4E2C">
              <w:rPr>
                <w:sz w:val="22"/>
                <w:lang w:eastAsia="en-GB"/>
              </w:rPr>
              <w:t>Dominant</w:t>
            </w:r>
          </w:p>
        </w:tc>
        <w:tc>
          <w:tcPr>
            <w:tcW w:w="0" w:type="auto"/>
            <w:shd w:val="clear" w:color="auto" w:fill="auto"/>
            <w:noWrap/>
            <w:hideMark/>
          </w:tcPr>
          <w:p w14:paraId="7A425CCE" w14:textId="77777777" w:rsidR="002F0133" w:rsidRPr="000B4E2C" w:rsidRDefault="002F0133" w:rsidP="008A7464">
            <w:pPr>
              <w:rPr>
                <w:sz w:val="22"/>
                <w:lang w:eastAsia="en-GB"/>
              </w:rPr>
            </w:pPr>
            <w:r w:rsidRPr="000B4E2C">
              <w:rPr>
                <w:sz w:val="22"/>
                <w:lang w:eastAsia="en-GB"/>
              </w:rPr>
              <w:t>1.2%</w:t>
            </w:r>
          </w:p>
        </w:tc>
        <w:tc>
          <w:tcPr>
            <w:tcW w:w="0" w:type="auto"/>
            <w:shd w:val="clear" w:color="auto" w:fill="auto"/>
            <w:noWrap/>
            <w:hideMark/>
          </w:tcPr>
          <w:p w14:paraId="5EEF3EC0" w14:textId="77777777" w:rsidR="002F0133" w:rsidRPr="000B4E2C" w:rsidRDefault="002F0133" w:rsidP="008A7464">
            <w:pPr>
              <w:rPr>
                <w:sz w:val="22"/>
                <w:lang w:eastAsia="en-GB"/>
              </w:rPr>
            </w:pPr>
            <w:r w:rsidRPr="000B4E2C">
              <w:rPr>
                <w:sz w:val="22"/>
                <w:lang w:eastAsia="en-GB"/>
              </w:rPr>
              <w:t>75.2%</w:t>
            </w:r>
          </w:p>
        </w:tc>
      </w:tr>
      <w:tr w:rsidR="002F0133" w:rsidRPr="000B4E2C" w14:paraId="58280AEB" w14:textId="77777777" w:rsidTr="000B4E2C">
        <w:trPr>
          <w:cantSplit/>
        </w:trPr>
        <w:tc>
          <w:tcPr>
            <w:tcW w:w="0" w:type="auto"/>
            <w:shd w:val="clear" w:color="auto" w:fill="auto"/>
            <w:noWrap/>
            <w:hideMark/>
          </w:tcPr>
          <w:p w14:paraId="1379E388"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461A8B6F" w14:textId="77777777" w:rsidR="002F0133" w:rsidRPr="000B4E2C" w:rsidRDefault="002F0133" w:rsidP="008A7464">
            <w:pPr>
              <w:rPr>
                <w:sz w:val="22"/>
                <w:lang w:eastAsia="en-GB"/>
              </w:rPr>
            </w:pPr>
            <w:r w:rsidRPr="000B4E2C">
              <w:rPr>
                <w:sz w:val="22"/>
                <w:lang w:eastAsia="en-GB"/>
              </w:rPr>
              <w:t>£23,093</w:t>
            </w:r>
          </w:p>
        </w:tc>
        <w:tc>
          <w:tcPr>
            <w:tcW w:w="0" w:type="auto"/>
            <w:shd w:val="clear" w:color="auto" w:fill="auto"/>
            <w:noWrap/>
            <w:hideMark/>
          </w:tcPr>
          <w:p w14:paraId="0363EF8E" w14:textId="77777777" w:rsidR="002F0133" w:rsidRPr="000B4E2C" w:rsidRDefault="002F0133" w:rsidP="008A7464">
            <w:pPr>
              <w:rPr>
                <w:sz w:val="22"/>
                <w:lang w:eastAsia="en-GB"/>
              </w:rPr>
            </w:pPr>
            <w:r w:rsidRPr="000B4E2C">
              <w:rPr>
                <w:sz w:val="22"/>
                <w:lang w:eastAsia="en-GB"/>
              </w:rPr>
              <w:t>£39</w:t>
            </w:r>
          </w:p>
        </w:tc>
        <w:tc>
          <w:tcPr>
            <w:tcW w:w="0" w:type="auto"/>
            <w:shd w:val="clear" w:color="auto" w:fill="auto"/>
            <w:noWrap/>
            <w:hideMark/>
          </w:tcPr>
          <w:p w14:paraId="2BE9BFFA" w14:textId="77777777" w:rsidR="002F0133" w:rsidRPr="000B4E2C" w:rsidRDefault="002F0133" w:rsidP="008A7464">
            <w:pPr>
              <w:rPr>
                <w:sz w:val="22"/>
                <w:lang w:eastAsia="en-GB"/>
              </w:rPr>
            </w:pPr>
            <w:r w:rsidRPr="000B4E2C">
              <w:rPr>
                <w:sz w:val="22"/>
                <w:lang w:eastAsia="en-GB"/>
              </w:rPr>
              <w:t>5.85837</w:t>
            </w:r>
          </w:p>
        </w:tc>
        <w:tc>
          <w:tcPr>
            <w:tcW w:w="0" w:type="auto"/>
            <w:shd w:val="clear" w:color="auto" w:fill="auto"/>
            <w:noWrap/>
            <w:hideMark/>
          </w:tcPr>
          <w:p w14:paraId="4176A5CC" w14:textId="77777777" w:rsidR="002F0133" w:rsidRPr="000B4E2C" w:rsidRDefault="002F0133" w:rsidP="008A7464">
            <w:pPr>
              <w:rPr>
                <w:sz w:val="22"/>
                <w:lang w:eastAsia="en-GB"/>
              </w:rPr>
            </w:pPr>
            <w:r w:rsidRPr="000B4E2C">
              <w:rPr>
                <w:sz w:val="22"/>
                <w:lang w:eastAsia="en-GB"/>
              </w:rPr>
              <w:t>0.00000</w:t>
            </w:r>
          </w:p>
        </w:tc>
        <w:tc>
          <w:tcPr>
            <w:tcW w:w="0" w:type="auto"/>
            <w:shd w:val="clear" w:color="auto" w:fill="auto"/>
            <w:noWrap/>
            <w:hideMark/>
          </w:tcPr>
          <w:p w14:paraId="7FC363FD" w14:textId="77777777" w:rsidR="002F0133" w:rsidRPr="000B4E2C" w:rsidRDefault="002F0133" w:rsidP="008A7464">
            <w:pPr>
              <w:rPr>
                <w:sz w:val="22"/>
                <w:lang w:eastAsia="en-GB"/>
              </w:rPr>
            </w:pPr>
            <w:r w:rsidRPr="000B4E2C">
              <w:rPr>
                <w:sz w:val="22"/>
                <w:lang w:eastAsia="en-GB"/>
              </w:rPr>
              <w:t>£20,956,862</w:t>
            </w:r>
          </w:p>
        </w:tc>
        <w:tc>
          <w:tcPr>
            <w:tcW w:w="0" w:type="auto"/>
            <w:shd w:val="clear" w:color="auto" w:fill="auto"/>
            <w:noWrap/>
            <w:hideMark/>
          </w:tcPr>
          <w:p w14:paraId="05DFDBCC" w14:textId="2D2003A1" w:rsidR="002F0133" w:rsidRPr="000B4E2C" w:rsidRDefault="00BF3662" w:rsidP="008A7464">
            <w:pPr>
              <w:rPr>
                <w:sz w:val="22"/>
                <w:lang w:eastAsia="en-GB"/>
              </w:rPr>
            </w:pPr>
            <w:r w:rsidRPr="000B4E2C">
              <w:rPr>
                <w:sz w:val="22"/>
                <w:lang w:eastAsia="en-GB"/>
              </w:rPr>
              <w:t>Dominant</w:t>
            </w:r>
          </w:p>
        </w:tc>
        <w:tc>
          <w:tcPr>
            <w:tcW w:w="0" w:type="auto"/>
            <w:shd w:val="clear" w:color="auto" w:fill="auto"/>
            <w:noWrap/>
            <w:hideMark/>
          </w:tcPr>
          <w:p w14:paraId="77FFD063" w14:textId="77777777" w:rsidR="002F0133" w:rsidRPr="000B4E2C" w:rsidRDefault="002F0133" w:rsidP="008A7464">
            <w:pPr>
              <w:rPr>
                <w:sz w:val="22"/>
                <w:lang w:eastAsia="en-GB"/>
              </w:rPr>
            </w:pPr>
            <w:r w:rsidRPr="000B4E2C">
              <w:rPr>
                <w:sz w:val="22"/>
                <w:lang w:eastAsia="en-GB"/>
              </w:rPr>
              <w:t>5.0%</w:t>
            </w:r>
          </w:p>
        </w:tc>
        <w:tc>
          <w:tcPr>
            <w:tcW w:w="0" w:type="auto"/>
            <w:shd w:val="clear" w:color="auto" w:fill="auto"/>
            <w:noWrap/>
            <w:hideMark/>
          </w:tcPr>
          <w:p w14:paraId="2BEA5768" w14:textId="77777777" w:rsidR="002F0133" w:rsidRPr="000B4E2C" w:rsidRDefault="002F0133" w:rsidP="008A7464">
            <w:pPr>
              <w:rPr>
                <w:sz w:val="22"/>
                <w:lang w:eastAsia="en-GB"/>
              </w:rPr>
            </w:pPr>
            <w:r w:rsidRPr="000B4E2C">
              <w:rPr>
                <w:sz w:val="22"/>
                <w:lang w:eastAsia="en-GB"/>
              </w:rPr>
              <w:t>69.3%</w:t>
            </w:r>
          </w:p>
        </w:tc>
      </w:tr>
      <w:tr w:rsidR="002F0133" w:rsidRPr="000B4E2C" w14:paraId="1B59F73A" w14:textId="77777777" w:rsidTr="000B4E2C">
        <w:trPr>
          <w:cantSplit/>
        </w:trPr>
        <w:tc>
          <w:tcPr>
            <w:tcW w:w="0" w:type="auto"/>
            <w:shd w:val="clear" w:color="auto" w:fill="auto"/>
            <w:noWrap/>
            <w:hideMark/>
          </w:tcPr>
          <w:p w14:paraId="1337C6EB"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5DD6EE46" w14:textId="77777777" w:rsidR="002F0133" w:rsidRPr="000B4E2C" w:rsidRDefault="002F0133" w:rsidP="008A7464">
            <w:pPr>
              <w:rPr>
                <w:sz w:val="22"/>
                <w:lang w:eastAsia="en-GB"/>
              </w:rPr>
            </w:pPr>
            <w:r w:rsidRPr="000B4E2C">
              <w:rPr>
                <w:sz w:val="22"/>
                <w:lang w:eastAsia="en-GB"/>
              </w:rPr>
              <w:t>£23,225</w:t>
            </w:r>
          </w:p>
        </w:tc>
        <w:tc>
          <w:tcPr>
            <w:tcW w:w="0" w:type="auto"/>
            <w:shd w:val="clear" w:color="auto" w:fill="auto"/>
            <w:noWrap/>
            <w:hideMark/>
          </w:tcPr>
          <w:p w14:paraId="197FE98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B2E50FB" w14:textId="77777777" w:rsidR="002F0133" w:rsidRPr="000B4E2C" w:rsidRDefault="002F0133" w:rsidP="008A7464">
            <w:pPr>
              <w:rPr>
                <w:sz w:val="22"/>
                <w:lang w:eastAsia="en-GB"/>
              </w:rPr>
            </w:pPr>
            <w:r w:rsidRPr="000B4E2C">
              <w:rPr>
                <w:sz w:val="22"/>
                <w:lang w:eastAsia="en-GB"/>
              </w:rPr>
              <w:t>5.85742</w:t>
            </w:r>
          </w:p>
        </w:tc>
        <w:tc>
          <w:tcPr>
            <w:tcW w:w="0" w:type="auto"/>
            <w:shd w:val="clear" w:color="auto" w:fill="auto"/>
            <w:noWrap/>
            <w:hideMark/>
          </w:tcPr>
          <w:p w14:paraId="1AE599D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54B426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33ED124"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7BEA319C" w14:textId="77777777" w:rsidR="002F0133" w:rsidRPr="000B4E2C" w:rsidRDefault="002F0133" w:rsidP="008A7464">
            <w:pPr>
              <w:rPr>
                <w:sz w:val="22"/>
                <w:lang w:eastAsia="en-GB"/>
              </w:rPr>
            </w:pPr>
            <w:r w:rsidRPr="000B4E2C">
              <w:rPr>
                <w:sz w:val="22"/>
                <w:lang w:eastAsia="en-GB"/>
              </w:rPr>
              <w:t>20.7%</w:t>
            </w:r>
          </w:p>
        </w:tc>
        <w:tc>
          <w:tcPr>
            <w:tcW w:w="0" w:type="auto"/>
            <w:shd w:val="clear" w:color="auto" w:fill="auto"/>
            <w:noWrap/>
            <w:hideMark/>
          </w:tcPr>
          <w:p w14:paraId="627E1E36" w14:textId="77777777" w:rsidR="002F0133" w:rsidRPr="000B4E2C" w:rsidRDefault="002F0133" w:rsidP="008A7464">
            <w:pPr>
              <w:rPr>
                <w:sz w:val="22"/>
                <w:lang w:eastAsia="en-GB"/>
              </w:rPr>
            </w:pPr>
            <w:r w:rsidRPr="000B4E2C">
              <w:rPr>
                <w:sz w:val="22"/>
                <w:lang w:eastAsia="en-GB"/>
              </w:rPr>
              <w:t>--</w:t>
            </w:r>
          </w:p>
        </w:tc>
      </w:tr>
      <w:tr w:rsidR="002F0133" w:rsidRPr="000B4E2C" w14:paraId="515A7A61" w14:textId="77777777" w:rsidTr="000B4E2C">
        <w:trPr>
          <w:cantSplit/>
        </w:trPr>
        <w:tc>
          <w:tcPr>
            <w:tcW w:w="0" w:type="auto"/>
            <w:gridSpan w:val="9"/>
            <w:shd w:val="clear" w:color="auto" w:fill="auto"/>
            <w:noWrap/>
            <w:hideMark/>
          </w:tcPr>
          <w:p w14:paraId="656E3E57" w14:textId="77777777" w:rsidR="002F0133" w:rsidRPr="000B4E2C" w:rsidRDefault="002F0133" w:rsidP="008A7464">
            <w:pPr>
              <w:rPr>
                <w:b/>
                <w:bCs/>
                <w:sz w:val="22"/>
                <w:lang w:eastAsia="en-GB"/>
              </w:rPr>
            </w:pPr>
            <w:r w:rsidRPr="000B4E2C">
              <w:rPr>
                <w:b/>
                <w:bCs/>
                <w:sz w:val="22"/>
                <w:lang w:eastAsia="en-GB"/>
              </w:rPr>
              <w:t>Scenario 1L Increase the number of times test is conducted to 2</w:t>
            </w:r>
          </w:p>
        </w:tc>
      </w:tr>
      <w:tr w:rsidR="002F0133" w:rsidRPr="000B4E2C" w14:paraId="41D453FC" w14:textId="77777777" w:rsidTr="000B4E2C">
        <w:trPr>
          <w:cantSplit/>
        </w:trPr>
        <w:tc>
          <w:tcPr>
            <w:tcW w:w="0" w:type="auto"/>
            <w:shd w:val="clear" w:color="auto" w:fill="auto"/>
            <w:noWrap/>
            <w:hideMark/>
          </w:tcPr>
          <w:p w14:paraId="1715AEDC"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35E1FCAC" w14:textId="77777777" w:rsidR="002F0133" w:rsidRPr="000B4E2C" w:rsidRDefault="002F0133" w:rsidP="008A7464">
            <w:pPr>
              <w:rPr>
                <w:sz w:val="22"/>
                <w:lang w:eastAsia="en-GB"/>
              </w:rPr>
            </w:pPr>
            <w:r w:rsidRPr="000B4E2C">
              <w:rPr>
                <w:sz w:val="22"/>
                <w:lang w:eastAsia="en-GB"/>
              </w:rPr>
              <w:t>£22,811</w:t>
            </w:r>
          </w:p>
        </w:tc>
        <w:tc>
          <w:tcPr>
            <w:tcW w:w="0" w:type="auto"/>
            <w:shd w:val="clear" w:color="auto" w:fill="auto"/>
            <w:noWrap/>
            <w:hideMark/>
          </w:tcPr>
          <w:p w14:paraId="39A728A7"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CCF6429" w14:textId="77777777" w:rsidR="002F0133" w:rsidRPr="000B4E2C" w:rsidRDefault="002F0133" w:rsidP="008A7464">
            <w:pPr>
              <w:rPr>
                <w:sz w:val="22"/>
                <w:lang w:eastAsia="en-GB"/>
              </w:rPr>
            </w:pPr>
            <w:r w:rsidRPr="000B4E2C">
              <w:rPr>
                <w:sz w:val="22"/>
                <w:lang w:eastAsia="en-GB"/>
              </w:rPr>
              <w:t>6.07532</w:t>
            </w:r>
          </w:p>
        </w:tc>
        <w:tc>
          <w:tcPr>
            <w:tcW w:w="0" w:type="auto"/>
            <w:shd w:val="clear" w:color="auto" w:fill="auto"/>
            <w:noWrap/>
            <w:hideMark/>
          </w:tcPr>
          <w:p w14:paraId="1B425C67"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BDF9749"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2BBBAA61"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984236D" w14:textId="77777777" w:rsidR="002F0133" w:rsidRPr="000B4E2C" w:rsidRDefault="002F0133" w:rsidP="008A7464">
            <w:pPr>
              <w:rPr>
                <w:sz w:val="22"/>
                <w:lang w:eastAsia="en-GB"/>
              </w:rPr>
            </w:pPr>
            <w:r w:rsidRPr="000B4E2C">
              <w:rPr>
                <w:sz w:val="22"/>
                <w:lang w:eastAsia="en-GB"/>
              </w:rPr>
              <w:t>70.3%</w:t>
            </w:r>
          </w:p>
        </w:tc>
        <w:tc>
          <w:tcPr>
            <w:tcW w:w="0" w:type="auto"/>
            <w:shd w:val="clear" w:color="auto" w:fill="auto"/>
            <w:noWrap/>
            <w:hideMark/>
          </w:tcPr>
          <w:p w14:paraId="3D5004C8" w14:textId="77777777" w:rsidR="002F0133" w:rsidRPr="000B4E2C" w:rsidRDefault="002F0133" w:rsidP="008A7464">
            <w:pPr>
              <w:rPr>
                <w:sz w:val="22"/>
                <w:lang w:eastAsia="en-GB"/>
              </w:rPr>
            </w:pPr>
            <w:r w:rsidRPr="000B4E2C">
              <w:rPr>
                <w:sz w:val="22"/>
                <w:lang w:eastAsia="en-GB"/>
              </w:rPr>
              <w:t>--</w:t>
            </w:r>
          </w:p>
        </w:tc>
      </w:tr>
      <w:tr w:rsidR="002F0133" w:rsidRPr="000B4E2C" w14:paraId="1021572F" w14:textId="77777777" w:rsidTr="000B4E2C">
        <w:trPr>
          <w:cantSplit/>
        </w:trPr>
        <w:tc>
          <w:tcPr>
            <w:tcW w:w="0" w:type="auto"/>
            <w:shd w:val="clear" w:color="auto" w:fill="auto"/>
            <w:noWrap/>
            <w:hideMark/>
          </w:tcPr>
          <w:p w14:paraId="09A6B089" w14:textId="0E5B18E9"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5ACF1DE8" w14:textId="77777777" w:rsidR="002F0133" w:rsidRPr="000B4E2C" w:rsidRDefault="002F0133" w:rsidP="008A7464">
            <w:pPr>
              <w:rPr>
                <w:sz w:val="22"/>
                <w:lang w:eastAsia="en-GB"/>
              </w:rPr>
            </w:pPr>
            <w:r w:rsidRPr="000B4E2C">
              <w:rPr>
                <w:sz w:val="22"/>
                <w:lang w:eastAsia="en-GB"/>
              </w:rPr>
              <w:t>£22,853</w:t>
            </w:r>
          </w:p>
        </w:tc>
        <w:tc>
          <w:tcPr>
            <w:tcW w:w="0" w:type="auto"/>
            <w:shd w:val="clear" w:color="auto" w:fill="auto"/>
            <w:noWrap/>
            <w:hideMark/>
          </w:tcPr>
          <w:p w14:paraId="56BB3894" w14:textId="77777777" w:rsidR="002F0133" w:rsidRPr="000B4E2C" w:rsidRDefault="002F0133" w:rsidP="008A7464">
            <w:pPr>
              <w:rPr>
                <w:sz w:val="22"/>
                <w:lang w:eastAsia="en-GB"/>
              </w:rPr>
            </w:pPr>
            <w:r w:rsidRPr="000B4E2C">
              <w:rPr>
                <w:sz w:val="22"/>
                <w:lang w:eastAsia="en-GB"/>
              </w:rPr>
              <w:t>£41</w:t>
            </w:r>
          </w:p>
        </w:tc>
        <w:tc>
          <w:tcPr>
            <w:tcW w:w="0" w:type="auto"/>
            <w:shd w:val="clear" w:color="auto" w:fill="auto"/>
            <w:noWrap/>
            <w:hideMark/>
          </w:tcPr>
          <w:p w14:paraId="677663CC" w14:textId="77777777" w:rsidR="002F0133" w:rsidRPr="000B4E2C" w:rsidRDefault="002F0133" w:rsidP="008A7464">
            <w:pPr>
              <w:rPr>
                <w:sz w:val="22"/>
                <w:lang w:eastAsia="en-GB"/>
              </w:rPr>
            </w:pPr>
            <w:r w:rsidRPr="000B4E2C">
              <w:rPr>
                <w:sz w:val="22"/>
                <w:lang w:eastAsia="en-GB"/>
              </w:rPr>
              <w:t>6.07567</w:t>
            </w:r>
          </w:p>
        </w:tc>
        <w:tc>
          <w:tcPr>
            <w:tcW w:w="0" w:type="auto"/>
            <w:shd w:val="clear" w:color="auto" w:fill="auto"/>
            <w:noWrap/>
            <w:hideMark/>
          </w:tcPr>
          <w:p w14:paraId="43DF87BD" w14:textId="77777777" w:rsidR="002F0133" w:rsidRPr="000B4E2C" w:rsidRDefault="002F0133" w:rsidP="008A7464">
            <w:pPr>
              <w:rPr>
                <w:sz w:val="22"/>
                <w:lang w:eastAsia="en-GB"/>
              </w:rPr>
            </w:pPr>
            <w:r w:rsidRPr="000B4E2C">
              <w:rPr>
                <w:sz w:val="22"/>
                <w:lang w:eastAsia="en-GB"/>
              </w:rPr>
              <w:t>0.00035</w:t>
            </w:r>
          </w:p>
        </w:tc>
        <w:tc>
          <w:tcPr>
            <w:tcW w:w="0" w:type="auto"/>
            <w:shd w:val="clear" w:color="auto" w:fill="auto"/>
            <w:noWrap/>
            <w:hideMark/>
          </w:tcPr>
          <w:p w14:paraId="71673673" w14:textId="77777777" w:rsidR="002F0133" w:rsidRPr="000B4E2C" w:rsidRDefault="002F0133" w:rsidP="008A7464">
            <w:pPr>
              <w:rPr>
                <w:sz w:val="22"/>
                <w:lang w:eastAsia="en-GB"/>
              </w:rPr>
            </w:pPr>
            <w:r w:rsidRPr="000B4E2C">
              <w:rPr>
                <w:sz w:val="22"/>
                <w:lang w:eastAsia="en-GB"/>
              </w:rPr>
              <w:t>£118,796</w:t>
            </w:r>
          </w:p>
        </w:tc>
        <w:tc>
          <w:tcPr>
            <w:tcW w:w="0" w:type="auto"/>
            <w:shd w:val="clear" w:color="auto" w:fill="auto"/>
            <w:noWrap/>
            <w:hideMark/>
          </w:tcPr>
          <w:p w14:paraId="1FA0BCFC" w14:textId="77777777" w:rsidR="002F0133" w:rsidRPr="000B4E2C" w:rsidRDefault="002F0133" w:rsidP="008A7464">
            <w:pPr>
              <w:rPr>
                <w:sz w:val="22"/>
                <w:lang w:eastAsia="en-GB"/>
              </w:rPr>
            </w:pPr>
            <w:r w:rsidRPr="000B4E2C">
              <w:rPr>
                <w:sz w:val="22"/>
                <w:lang w:eastAsia="en-GB"/>
              </w:rPr>
              <w:t>£118,796</w:t>
            </w:r>
          </w:p>
        </w:tc>
        <w:tc>
          <w:tcPr>
            <w:tcW w:w="0" w:type="auto"/>
            <w:shd w:val="clear" w:color="auto" w:fill="auto"/>
            <w:noWrap/>
            <w:hideMark/>
          </w:tcPr>
          <w:p w14:paraId="747ED5E7" w14:textId="77777777" w:rsidR="002F0133" w:rsidRPr="000B4E2C" w:rsidRDefault="002F0133" w:rsidP="008A7464">
            <w:pPr>
              <w:rPr>
                <w:sz w:val="22"/>
                <w:lang w:eastAsia="en-GB"/>
              </w:rPr>
            </w:pPr>
            <w:r w:rsidRPr="000B4E2C">
              <w:rPr>
                <w:sz w:val="22"/>
                <w:lang w:eastAsia="en-GB"/>
              </w:rPr>
              <w:t>19.9%</w:t>
            </w:r>
          </w:p>
        </w:tc>
        <w:tc>
          <w:tcPr>
            <w:tcW w:w="0" w:type="auto"/>
            <w:shd w:val="clear" w:color="auto" w:fill="auto"/>
            <w:noWrap/>
            <w:hideMark/>
          </w:tcPr>
          <w:p w14:paraId="40E0EE43" w14:textId="77777777" w:rsidR="002F0133" w:rsidRPr="000B4E2C" w:rsidRDefault="002F0133" w:rsidP="008A7464">
            <w:pPr>
              <w:rPr>
                <w:sz w:val="22"/>
                <w:lang w:eastAsia="en-GB"/>
              </w:rPr>
            </w:pPr>
            <w:r w:rsidRPr="000B4E2C">
              <w:rPr>
                <w:sz w:val="22"/>
                <w:lang w:eastAsia="en-GB"/>
              </w:rPr>
              <w:t>28.9%</w:t>
            </w:r>
          </w:p>
        </w:tc>
      </w:tr>
      <w:tr w:rsidR="002F0133" w:rsidRPr="000B4E2C" w14:paraId="738159A8" w14:textId="77777777" w:rsidTr="000B4E2C">
        <w:trPr>
          <w:cantSplit/>
        </w:trPr>
        <w:tc>
          <w:tcPr>
            <w:tcW w:w="0" w:type="auto"/>
            <w:shd w:val="clear" w:color="auto" w:fill="auto"/>
            <w:noWrap/>
            <w:hideMark/>
          </w:tcPr>
          <w:p w14:paraId="6A1A6D8E" w14:textId="7949895D"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12E9C55E" w14:textId="77777777" w:rsidR="002F0133" w:rsidRPr="000B4E2C" w:rsidRDefault="002F0133" w:rsidP="008A7464">
            <w:pPr>
              <w:rPr>
                <w:sz w:val="22"/>
                <w:lang w:eastAsia="en-GB"/>
              </w:rPr>
            </w:pPr>
            <w:r w:rsidRPr="000B4E2C">
              <w:rPr>
                <w:sz w:val="22"/>
                <w:lang w:eastAsia="en-GB"/>
              </w:rPr>
              <w:t>£22,865</w:t>
            </w:r>
          </w:p>
        </w:tc>
        <w:tc>
          <w:tcPr>
            <w:tcW w:w="0" w:type="auto"/>
            <w:shd w:val="clear" w:color="auto" w:fill="auto"/>
            <w:noWrap/>
            <w:hideMark/>
          </w:tcPr>
          <w:p w14:paraId="2D456664" w14:textId="77777777" w:rsidR="002F0133" w:rsidRPr="000B4E2C" w:rsidRDefault="002F0133" w:rsidP="008A7464">
            <w:pPr>
              <w:rPr>
                <w:sz w:val="22"/>
                <w:lang w:eastAsia="en-GB"/>
              </w:rPr>
            </w:pPr>
            <w:r w:rsidRPr="000B4E2C">
              <w:rPr>
                <w:sz w:val="22"/>
                <w:lang w:eastAsia="en-GB"/>
              </w:rPr>
              <w:t>£13</w:t>
            </w:r>
          </w:p>
        </w:tc>
        <w:tc>
          <w:tcPr>
            <w:tcW w:w="0" w:type="auto"/>
            <w:shd w:val="clear" w:color="auto" w:fill="auto"/>
            <w:noWrap/>
            <w:hideMark/>
          </w:tcPr>
          <w:p w14:paraId="5A75C97E" w14:textId="77777777" w:rsidR="002F0133" w:rsidRPr="000B4E2C" w:rsidRDefault="002F0133" w:rsidP="008A7464">
            <w:pPr>
              <w:rPr>
                <w:sz w:val="22"/>
                <w:lang w:eastAsia="en-GB"/>
              </w:rPr>
            </w:pPr>
            <w:r w:rsidRPr="000B4E2C">
              <w:rPr>
                <w:sz w:val="22"/>
                <w:lang w:eastAsia="en-GB"/>
              </w:rPr>
              <w:t>6.07567</w:t>
            </w:r>
          </w:p>
        </w:tc>
        <w:tc>
          <w:tcPr>
            <w:tcW w:w="0" w:type="auto"/>
            <w:shd w:val="clear" w:color="auto" w:fill="auto"/>
            <w:noWrap/>
            <w:hideMark/>
          </w:tcPr>
          <w:p w14:paraId="73BFC555" w14:textId="77777777" w:rsidR="002F0133" w:rsidRPr="000B4E2C" w:rsidRDefault="002F0133" w:rsidP="008A7464">
            <w:pPr>
              <w:rPr>
                <w:sz w:val="22"/>
                <w:lang w:eastAsia="en-GB"/>
              </w:rPr>
            </w:pPr>
            <w:r w:rsidRPr="000B4E2C">
              <w:rPr>
                <w:sz w:val="22"/>
                <w:lang w:eastAsia="en-GB"/>
              </w:rPr>
              <w:t>0.00001</w:t>
            </w:r>
          </w:p>
        </w:tc>
        <w:tc>
          <w:tcPr>
            <w:tcW w:w="0" w:type="auto"/>
            <w:shd w:val="clear" w:color="auto" w:fill="auto"/>
            <w:noWrap/>
            <w:hideMark/>
          </w:tcPr>
          <w:p w14:paraId="1F023090" w14:textId="77777777" w:rsidR="002F0133" w:rsidRPr="000B4E2C" w:rsidRDefault="002F0133" w:rsidP="008A7464">
            <w:pPr>
              <w:rPr>
                <w:sz w:val="22"/>
                <w:lang w:eastAsia="en-GB"/>
              </w:rPr>
            </w:pPr>
            <w:r w:rsidRPr="000B4E2C">
              <w:rPr>
                <w:sz w:val="22"/>
                <w:lang w:eastAsia="en-GB"/>
              </w:rPr>
              <w:t>£2,201,973</w:t>
            </w:r>
          </w:p>
        </w:tc>
        <w:tc>
          <w:tcPr>
            <w:tcW w:w="0" w:type="auto"/>
            <w:shd w:val="clear" w:color="auto" w:fill="auto"/>
            <w:noWrap/>
            <w:hideMark/>
          </w:tcPr>
          <w:p w14:paraId="320DC055" w14:textId="77777777" w:rsidR="002F0133" w:rsidRPr="000B4E2C" w:rsidRDefault="002F0133" w:rsidP="008A7464">
            <w:pPr>
              <w:rPr>
                <w:sz w:val="22"/>
                <w:lang w:eastAsia="en-GB"/>
              </w:rPr>
            </w:pPr>
            <w:r w:rsidRPr="000B4E2C">
              <w:rPr>
                <w:sz w:val="22"/>
                <w:lang w:eastAsia="en-GB"/>
              </w:rPr>
              <w:t>£152,384</w:t>
            </w:r>
          </w:p>
        </w:tc>
        <w:tc>
          <w:tcPr>
            <w:tcW w:w="0" w:type="auto"/>
            <w:shd w:val="clear" w:color="auto" w:fill="auto"/>
            <w:noWrap/>
            <w:hideMark/>
          </w:tcPr>
          <w:p w14:paraId="54984350" w14:textId="77777777" w:rsidR="002F0133" w:rsidRPr="000B4E2C" w:rsidRDefault="002F0133" w:rsidP="008A7464">
            <w:pPr>
              <w:rPr>
                <w:sz w:val="22"/>
                <w:lang w:eastAsia="en-GB"/>
              </w:rPr>
            </w:pPr>
            <w:r w:rsidRPr="000B4E2C">
              <w:rPr>
                <w:sz w:val="22"/>
                <w:lang w:eastAsia="en-GB"/>
              </w:rPr>
              <w:t>9.7%</w:t>
            </w:r>
          </w:p>
        </w:tc>
        <w:tc>
          <w:tcPr>
            <w:tcW w:w="0" w:type="auto"/>
            <w:shd w:val="clear" w:color="auto" w:fill="auto"/>
            <w:noWrap/>
            <w:hideMark/>
          </w:tcPr>
          <w:p w14:paraId="705B2402" w14:textId="77777777" w:rsidR="002F0133" w:rsidRPr="000B4E2C" w:rsidRDefault="002F0133" w:rsidP="008A7464">
            <w:pPr>
              <w:rPr>
                <w:sz w:val="22"/>
                <w:lang w:eastAsia="en-GB"/>
              </w:rPr>
            </w:pPr>
            <w:r w:rsidRPr="000B4E2C">
              <w:rPr>
                <w:sz w:val="22"/>
                <w:lang w:eastAsia="en-GB"/>
              </w:rPr>
              <w:t>25.4%</w:t>
            </w:r>
          </w:p>
        </w:tc>
      </w:tr>
      <w:tr w:rsidR="002F0133" w:rsidRPr="000B4E2C" w14:paraId="40A5BB9B" w14:textId="77777777" w:rsidTr="000B4E2C">
        <w:trPr>
          <w:cantSplit/>
        </w:trPr>
        <w:tc>
          <w:tcPr>
            <w:tcW w:w="0" w:type="auto"/>
            <w:shd w:val="clear" w:color="auto" w:fill="auto"/>
            <w:noWrap/>
            <w:hideMark/>
          </w:tcPr>
          <w:p w14:paraId="445988D4" w14:textId="2F1DA23F"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39E2FE2A" w14:textId="77777777" w:rsidR="002F0133" w:rsidRPr="000B4E2C" w:rsidRDefault="002F0133" w:rsidP="008A7464">
            <w:pPr>
              <w:rPr>
                <w:sz w:val="22"/>
                <w:lang w:eastAsia="en-GB"/>
              </w:rPr>
            </w:pPr>
            <w:r w:rsidRPr="000B4E2C">
              <w:rPr>
                <w:sz w:val="22"/>
                <w:lang w:eastAsia="en-GB"/>
              </w:rPr>
              <w:t>£22,884</w:t>
            </w:r>
          </w:p>
        </w:tc>
        <w:tc>
          <w:tcPr>
            <w:tcW w:w="0" w:type="auto"/>
            <w:shd w:val="clear" w:color="auto" w:fill="auto"/>
            <w:noWrap/>
            <w:hideMark/>
          </w:tcPr>
          <w:p w14:paraId="543D603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1A1A281" w14:textId="77777777" w:rsidR="002F0133" w:rsidRPr="000B4E2C" w:rsidRDefault="002F0133" w:rsidP="008A7464">
            <w:pPr>
              <w:rPr>
                <w:sz w:val="22"/>
                <w:lang w:eastAsia="en-GB"/>
              </w:rPr>
            </w:pPr>
            <w:r w:rsidRPr="000B4E2C">
              <w:rPr>
                <w:sz w:val="22"/>
                <w:lang w:eastAsia="en-GB"/>
              </w:rPr>
              <w:t>6.07564</w:t>
            </w:r>
          </w:p>
        </w:tc>
        <w:tc>
          <w:tcPr>
            <w:tcW w:w="0" w:type="auto"/>
            <w:shd w:val="clear" w:color="auto" w:fill="auto"/>
            <w:noWrap/>
            <w:hideMark/>
          </w:tcPr>
          <w:p w14:paraId="40E41E5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A6D6DB1"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315D09B" w14:textId="77777777" w:rsidR="002F0133" w:rsidRPr="000B4E2C" w:rsidRDefault="002F0133" w:rsidP="008A7464">
            <w:pPr>
              <w:rPr>
                <w:sz w:val="22"/>
                <w:lang w:eastAsia="en-GB"/>
              </w:rPr>
            </w:pPr>
            <w:r w:rsidRPr="000B4E2C">
              <w:rPr>
                <w:sz w:val="22"/>
                <w:lang w:eastAsia="en-GB"/>
              </w:rPr>
              <w:t>£227,155</w:t>
            </w:r>
          </w:p>
        </w:tc>
        <w:tc>
          <w:tcPr>
            <w:tcW w:w="0" w:type="auto"/>
            <w:shd w:val="clear" w:color="auto" w:fill="auto"/>
            <w:noWrap/>
            <w:hideMark/>
          </w:tcPr>
          <w:p w14:paraId="16F091B8" w14:textId="77777777" w:rsidR="002F0133" w:rsidRPr="000B4E2C" w:rsidRDefault="002F0133" w:rsidP="008A7464">
            <w:pPr>
              <w:rPr>
                <w:sz w:val="22"/>
                <w:lang w:eastAsia="en-GB"/>
              </w:rPr>
            </w:pPr>
            <w:r w:rsidRPr="000B4E2C">
              <w:rPr>
                <w:sz w:val="22"/>
                <w:lang w:eastAsia="en-GB"/>
              </w:rPr>
              <w:t>0.1%</w:t>
            </w:r>
          </w:p>
        </w:tc>
        <w:tc>
          <w:tcPr>
            <w:tcW w:w="0" w:type="auto"/>
            <w:shd w:val="clear" w:color="auto" w:fill="auto"/>
            <w:noWrap/>
            <w:hideMark/>
          </w:tcPr>
          <w:p w14:paraId="2612F74B" w14:textId="77777777" w:rsidR="002F0133" w:rsidRPr="000B4E2C" w:rsidRDefault="002F0133" w:rsidP="008A7464">
            <w:pPr>
              <w:rPr>
                <w:sz w:val="22"/>
                <w:lang w:eastAsia="en-GB"/>
              </w:rPr>
            </w:pPr>
            <w:r w:rsidRPr="000B4E2C">
              <w:rPr>
                <w:sz w:val="22"/>
                <w:lang w:eastAsia="en-GB"/>
              </w:rPr>
              <w:t>19.2%</w:t>
            </w:r>
          </w:p>
        </w:tc>
      </w:tr>
      <w:tr w:rsidR="002F0133" w:rsidRPr="000B4E2C" w14:paraId="165B4CED" w14:textId="77777777" w:rsidTr="000B4E2C">
        <w:trPr>
          <w:cantSplit/>
        </w:trPr>
        <w:tc>
          <w:tcPr>
            <w:tcW w:w="0" w:type="auto"/>
            <w:shd w:val="clear" w:color="auto" w:fill="auto"/>
            <w:noWrap/>
            <w:hideMark/>
          </w:tcPr>
          <w:p w14:paraId="311B0E77"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7606A6F2" w14:textId="77777777" w:rsidR="002F0133" w:rsidRPr="000B4E2C" w:rsidRDefault="002F0133" w:rsidP="008A7464">
            <w:pPr>
              <w:rPr>
                <w:sz w:val="22"/>
                <w:lang w:eastAsia="en-GB"/>
              </w:rPr>
            </w:pPr>
            <w:r w:rsidRPr="000B4E2C">
              <w:rPr>
                <w:sz w:val="22"/>
                <w:lang w:eastAsia="en-GB"/>
              </w:rPr>
              <w:t>£22,936</w:t>
            </w:r>
          </w:p>
        </w:tc>
        <w:tc>
          <w:tcPr>
            <w:tcW w:w="0" w:type="auto"/>
            <w:shd w:val="clear" w:color="auto" w:fill="auto"/>
            <w:noWrap/>
            <w:hideMark/>
          </w:tcPr>
          <w:p w14:paraId="783F8932" w14:textId="77777777" w:rsidR="002F0133" w:rsidRPr="000B4E2C" w:rsidRDefault="002F0133" w:rsidP="008A7464">
            <w:pPr>
              <w:rPr>
                <w:sz w:val="22"/>
                <w:lang w:eastAsia="en-GB"/>
              </w:rPr>
            </w:pPr>
            <w:r w:rsidRPr="000B4E2C">
              <w:rPr>
                <w:sz w:val="22"/>
                <w:lang w:eastAsia="en-GB"/>
              </w:rPr>
              <w:t>£71</w:t>
            </w:r>
          </w:p>
        </w:tc>
        <w:tc>
          <w:tcPr>
            <w:tcW w:w="0" w:type="auto"/>
            <w:shd w:val="clear" w:color="auto" w:fill="auto"/>
            <w:noWrap/>
            <w:hideMark/>
          </w:tcPr>
          <w:p w14:paraId="387F49F6" w14:textId="77777777" w:rsidR="002F0133" w:rsidRPr="000B4E2C" w:rsidRDefault="002F0133" w:rsidP="008A7464">
            <w:pPr>
              <w:rPr>
                <w:sz w:val="22"/>
                <w:lang w:eastAsia="en-GB"/>
              </w:rPr>
            </w:pPr>
            <w:r w:rsidRPr="000B4E2C">
              <w:rPr>
                <w:sz w:val="22"/>
                <w:lang w:eastAsia="en-GB"/>
              </w:rPr>
              <w:t>6.07567</w:t>
            </w:r>
          </w:p>
        </w:tc>
        <w:tc>
          <w:tcPr>
            <w:tcW w:w="0" w:type="auto"/>
            <w:shd w:val="clear" w:color="auto" w:fill="auto"/>
            <w:noWrap/>
            <w:hideMark/>
          </w:tcPr>
          <w:p w14:paraId="06453385" w14:textId="77777777" w:rsidR="002F0133" w:rsidRPr="000B4E2C" w:rsidRDefault="002F0133" w:rsidP="008A7464">
            <w:pPr>
              <w:rPr>
                <w:sz w:val="22"/>
                <w:lang w:eastAsia="en-GB"/>
              </w:rPr>
            </w:pPr>
            <w:r w:rsidRPr="000B4E2C">
              <w:rPr>
                <w:sz w:val="22"/>
                <w:lang w:eastAsia="en-GB"/>
              </w:rPr>
              <w:t>0.00000</w:t>
            </w:r>
          </w:p>
        </w:tc>
        <w:tc>
          <w:tcPr>
            <w:tcW w:w="0" w:type="auto"/>
            <w:shd w:val="clear" w:color="auto" w:fill="auto"/>
            <w:noWrap/>
            <w:hideMark/>
          </w:tcPr>
          <w:p w14:paraId="27D61DEE" w14:textId="77777777" w:rsidR="002F0133" w:rsidRPr="000B4E2C" w:rsidRDefault="002F0133" w:rsidP="008A7464">
            <w:pPr>
              <w:rPr>
                <w:sz w:val="22"/>
                <w:lang w:eastAsia="en-GB"/>
              </w:rPr>
            </w:pPr>
            <w:r w:rsidRPr="000B4E2C">
              <w:rPr>
                <w:sz w:val="22"/>
                <w:lang w:eastAsia="en-GB"/>
              </w:rPr>
              <w:t>£69,489,954</w:t>
            </w:r>
          </w:p>
        </w:tc>
        <w:tc>
          <w:tcPr>
            <w:tcW w:w="0" w:type="auto"/>
            <w:shd w:val="clear" w:color="auto" w:fill="auto"/>
            <w:noWrap/>
            <w:hideMark/>
          </w:tcPr>
          <w:p w14:paraId="5C46F82B" w14:textId="77777777" w:rsidR="002F0133" w:rsidRPr="000B4E2C" w:rsidRDefault="002F0133" w:rsidP="008A7464">
            <w:pPr>
              <w:rPr>
                <w:sz w:val="22"/>
                <w:lang w:eastAsia="en-GB"/>
              </w:rPr>
            </w:pPr>
            <w:r w:rsidRPr="000B4E2C">
              <w:rPr>
                <w:sz w:val="22"/>
                <w:lang w:eastAsia="en-GB"/>
              </w:rPr>
              <w:t>£350,812</w:t>
            </w:r>
          </w:p>
        </w:tc>
        <w:tc>
          <w:tcPr>
            <w:tcW w:w="0" w:type="auto"/>
            <w:shd w:val="clear" w:color="auto" w:fill="auto"/>
            <w:noWrap/>
            <w:hideMark/>
          </w:tcPr>
          <w:p w14:paraId="29AB791E" w14:textId="77777777" w:rsidR="002F0133" w:rsidRPr="000B4E2C" w:rsidRDefault="002F0133" w:rsidP="008A7464">
            <w:pPr>
              <w:rPr>
                <w:sz w:val="22"/>
                <w:lang w:eastAsia="en-GB"/>
              </w:rPr>
            </w:pPr>
            <w:r w:rsidRPr="000B4E2C">
              <w:rPr>
                <w:sz w:val="22"/>
                <w:lang w:eastAsia="en-GB"/>
              </w:rPr>
              <w:t>0.0%</w:t>
            </w:r>
          </w:p>
        </w:tc>
        <w:tc>
          <w:tcPr>
            <w:tcW w:w="0" w:type="auto"/>
            <w:shd w:val="clear" w:color="auto" w:fill="auto"/>
            <w:noWrap/>
            <w:hideMark/>
          </w:tcPr>
          <w:p w14:paraId="3252322A" w14:textId="77777777" w:rsidR="002F0133" w:rsidRPr="000B4E2C" w:rsidRDefault="002F0133" w:rsidP="008A7464">
            <w:pPr>
              <w:rPr>
                <w:sz w:val="22"/>
                <w:lang w:eastAsia="en-GB"/>
              </w:rPr>
            </w:pPr>
            <w:r w:rsidRPr="000B4E2C">
              <w:rPr>
                <w:sz w:val="22"/>
                <w:lang w:eastAsia="en-GB"/>
              </w:rPr>
              <w:t>12.4%</w:t>
            </w:r>
          </w:p>
        </w:tc>
      </w:tr>
      <w:tr w:rsidR="002F0133" w:rsidRPr="000B4E2C" w14:paraId="4F981DAC" w14:textId="77777777" w:rsidTr="000B4E2C">
        <w:trPr>
          <w:cantSplit/>
        </w:trPr>
        <w:tc>
          <w:tcPr>
            <w:tcW w:w="0" w:type="auto"/>
            <w:gridSpan w:val="9"/>
            <w:shd w:val="clear" w:color="auto" w:fill="auto"/>
            <w:noWrap/>
            <w:hideMark/>
          </w:tcPr>
          <w:p w14:paraId="47A2E781" w14:textId="6F801570" w:rsidR="002F0133" w:rsidRPr="000B4E2C" w:rsidRDefault="002F0133" w:rsidP="008A7464">
            <w:pPr>
              <w:rPr>
                <w:b/>
                <w:bCs/>
                <w:sz w:val="22"/>
                <w:lang w:eastAsia="en-GB"/>
              </w:rPr>
            </w:pPr>
            <w:r w:rsidRPr="000B4E2C">
              <w:rPr>
                <w:b/>
                <w:bCs/>
                <w:sz w:val="22"/>
                <w:lang w:eastAsia="en-GB"/>
              </w:rPr>
              <w:t>Scenario 1M Apply an additional risk of mortality to those with a false positive test (RR</w:t>
            </w:r>
            <w:r w:rsidR="000B4E2C" w:rsidRPr="000B4E2C">
              <w:rPr>
                <w:b/>
                <w:bCs/>
                <w:color w:val="00B0F0"/>
                <w:sz w:val="22"/>
                <w:lang w:eastAsia="en-GB"/>
              </w:rPr>
              <w:t> = </w:t>
            </w:r>
            <w:r w:rsidRPr="000B4E2C">
              <w:rPr>
                <w:b/>
                <w:bCs/>
                <w:sz w:val="22"/>
                <w:lang w:eastAsia="en-GB"/>
              </w:rPr>
              <w:t>1.5)</w:t>
            </w:r>
          </w:p>
        </w:tc>
      </w:tr>
      <w:tr w:rsidR="009F7D37" w:rsidRPr="000B4E2C" w14:paraId="6EED1EFD" w14:textId="77777777" w:rsidTr="000B4E2C">
        <w:trPr>
          <w:cantSplit/>
        </w:trPr>
        <w:tc>
          <w:tcPr>
            <w:tcW w:w="0" w:type="auto"/>
            <w:shd w:val="clear" w:color="auto" w:fill="auto"/>
            <w:noWrap/>
            <w:vAlign w:val="center"/>
            <w:hideMark/>
          </w:tcPr>
          <w:p w14:paraId="19B73936" w14:textId="34A280CF" w:rsidR="009F7D37" w:rsidRPr="000B4E2C" w:rsidRDefault="009F7D37" w:rsidP="009F7D37">
            <w:pPr>
              <w:rPr>
                <w:sz w:val="22"/>
                <w:lang w:eastAsia="en-GB"/>
              </w:rPr>
            </w:pPr>
            <w:r w:rsidRPr="000B4E2C">
              <w:rPr>
                <w:sz w:val="22"/>
                <w:lang w:eastAsia="en-GB"/>
              </w:rPr>
              <w:t>Test 1 (Nephrocheck)</w:t>
            </w:r>
          </w:p>
        </w:tc>
        <w:tc>
          <w:tcPr>
            <w:tcW w:w="0" w:type="auto"/>
            <w:shd w:val="clear" w:color="auto" w:fill="auto"/>
            <w:noWrap/>
            <w:vAlign w:val="center"/>
            <w:hideMark/>
          </w:tcPr>
          <w:p w14:paraId="251A8B69" w14:textId="59344676" w:rsidR="009F7D37" w:rsidRPr="000B4E2C" w:rsidRDefault="009F7D37" w:rsidP="009F7D37">
            <w:pPr>
              <w:rPr>
                <w:sz w:val="22"/>
                <w:lang w:eastAsia="en-GB"/>
              </w:rPr>
            </w:pPr>
            <w:r w:rsidRPr="000B4E2C">
              <w:rPr>
                <w:sz w:val="22"/>
                <w:lang w:eastAsia="en-GB"/>
              </w:rPr>
              <w:t>£22,522</w:t>
            </w:r>
          </w:p>
        </w:tc>
        <w:tc>
          <w:tcPr>
            <w:tcW w:w="0" w:type="auto"/>
            <w:shd w:val="clear" w:color="auto" w:fill="auto"/>
            <w:noWrap/>
            <w:vAlign w:val="center"/>
            <w:hideMark/>
          </w:tcPr>
          <w:p w14:paraId="0662F6DE" w14:textId="457FFEB9" w:rsidR="009F7D37" w:rsidRPr="000B4E2C" w:rsidRDefault="009F7D37" w:rsidP="009F7D37">
            <w:pPr>
              <w:rPr>
                <w:sz w:val="22"/>
                <w:lang w:eastAsia="en-GB"/>
              </w:rPr>
            </w:pPr>
            <w:r w:rsidRPr="000B4E2C">
              <w:rPr>
                <w:sz w:val="22"/>
                <w:lang w:eastAsia="en-GB"/>
              </w:rPr>
              <w:t>--</w:t>
            </w:r>
          </w:p>
        </w:tc>
        <w:tc>
          <w:tcPr>
            <w:tcW w:w="0" w:type="auto"/>
            <w:shd w:val="clear" w:color="auto" w:fill="auto"/>
            <w:noWrap/>
            <w:vAlign w:val="center"/>
            <w:hideMark/>
          </w:tcPr>
          <w:p w14:paraId="1DA54D36" w14:textId="5A5BE196" w:rsidR="009F7D37" w:rsidRPr="000B4E2C" w:rsidRDefault="009F7D37" w:rsidP="009F7D37">
            <w:pPr>
              <w:rPr>
                <w:sz w:val="22"/>
                <w:lang w:eastAsia="en-GB"/>
              </w:rPr>
            </w:pPr>
            <w:r w:rsidRPr="000B4E2C">
              <w:rPr>
                <w:sz w:val="22"/>
                <w:lang w:eastAsia="en-GB"/>
              </w:rPr>
              <w:t>5.93563</w:t>
            </w:r>
          </w:p>
        </w:tc>
        <w:tc>
          <w:tcPr>
            <w:tcW w:w="0" w:type="auto"/>
            <w:shd w:val="clear" w:color="auto" w:fill="auto"/>
            <w:noWrap/>
            <w:vAlign w:val="center"/>
            <w:hideMark/>
          </w:tcPr>
          <w:p w14:paraId="698FCAAF" w14:textId="11EA244B" w:rsidR="009F7D37" w:rsidRPr="000B4E2C" w:rsidRDefault="009F7D37" w:rsidP="009F7D37">
            <w:pPr>
              <w:rPr>
                <w:sz w:val="22"/>
                <w:lang w:eastAsia="en-GB"/>
              </w:rPr>
            </w:pPr>
            <w:r w:rsidRPr="000B4E2C">
              <w:rPr>
                <w:sz w:val="22"/>
                <w:lang w:eastAsia="en-GB"/>
              </w:rPr>
              <w:t>--</w:t>
            </w:r>
          </w:p>
        </w:tc>
        <w:tc>
          <w:tcPr>
            <w:tcW w:w="0" w:type="auto"/>
            <w:shd w:val="clear" w:color="auto" w:fill="auto"/>
            <w:noWrap/>
            <w:vAlign w:val="center"/>
            <w:hideMark/>
          </w:tcPr>
          <w:p w14:paraId="4C5F9302" w14:textId="5E7EFAD4" w:rsidR="009F7D37" w:rsidRPr="000B4E2C" w:rsidRDefault="009F7D37" w:rsidP="009F7D37">
            <w:pPr>
              <w:rPr>
                <w:sz w:val="22"/>
                <w:lang w:eastAsia="en-GB"/>
              </w:rPr>
            </w:pPr>
            <w:r w:rsidRPr="000B4E2C">
              <w:rPr>
                <w:sz w:val="22"/>
                <w:lang w:eastAsia="en-GB"/>
              </w:rPr>
              <w:t>--</w:t>
            </w:r>
          </w:p>
        </w:tc>
        <w:tc>
          <w:tcPr>
            <w:tcW w:w="0" w:type="auto"/>
            <w:shd w:val="clear" w:color="auto" w:fill="auto"/>
            <w:noWrap/>
            <w:vAlign w:val="center"/>
            <w:hideMark/>
          </w:tcPr>
          <w:p w14:paraId="0997A219" w14:textId="48698FF3" w:rsidR="009F7D37" w:rsidRPr="000B4E2C" w:rsidRDefault="009F7D37" w:rsidP="009F7D37">
            <w:pPr>
              <w:rPr>
                <w:sz w:val="22"/>
                <w:lang w:eastAsia="en-GB"/>
              </w:rPr>
            </w:pPr>
            <w:r w:rsidRPr="000B4E2C">
              <w:rPr>
                <w:sz w:val="22"/>
                <w:lang w:eastAsia="en-GB"/>
              </w:rPr>
              <w:t>£3,072</w:t>
            </w:r>
          </w:p>
        </w:tc>
        <w:tc>
          <w:tcPr>
            <w:tcW w:w="0" w:type="auto"/>
            <w:shd w:val="clear" w:color="auto" w:fill="auto"/>
            <w:noWrap/>
            <w:vAlign w:val="center"/>
            <w:hideMark/>
          </w:tcPr>
          <w:p w14:paraId="193261EA" w14:textId="14C43D90" w:rsidR="009F7D37" w:rsidRPr="000B4E2C" w:rsidRDefault="009F7D37" w:rsidP="009F7D37">
            <w:pPr>
              <w:rPr>
                <w:sz w:val="22"/>
                <w:lang w:eastAsia="en-GB"/>
              </w:rPr>
            </w:pPr>
            <w:r w:rsidRPr="000B4E2C">
              <w:rPr>
                <w:sz w:val="22"/>
                <w:lang w:eastAsia="en-GB"/>
              </w:rPr>
              <w:t>0%</w:t>
            </w:r>
          </w:p>
        </w:tc>
        <w:tc>
          <w:tcPr>
            <w:tcW w:w="0" w:type="auto"/>
            <w:shd w:val="clear" w:color="auto" w:fill="auto"/>
            <w:noWrap/>
            <w:vAlign w:val="center"/>
            <w:hideMark/>
          </w:tcPr>
          <w:p w14:paraId="3CE316C4" w14:textId="477A8073" w:rsidR="009F7D37" w:rsidRPr="000B4E2C" w:rsidRDefault="009F7D37" w:rsidP="009F7D37">
            <w:pPr>
              <w:rPr>
                <w:sz w:val="22"/>
                <w:lang w:eastAsia="en-GB"/>
              </w:rPr>
            </w:pPr>
            <w:r w:rsidRPr="000B4E2C">
              <w:rPr>
                <w:sz w:val="22"/>
                <w:lang w:eastAsia="en-GB"/>
              </w:rPr>
              <w:t>0%</w:t>
            </w:r>
          </w:p>
        </w:tc>
      </w:tr>
      <w:tr w:rsidR="009F7D37" w:rsidRPr="000B4E2C" w14:paraId="03B09A2E" w14:textId="77777777" w:rsidTr="000B4E2C">
        <w:trPr>
          <w:cantSplit/>
        </w:trPr>
        <w:tc>
          <w:tcPr>
            <w:tcW w:w="0" w:type="auto"/>
            <w:shd w:val="clear" w:color="auto" w:fill="auto"/>
            <w:noWrap/>
            <w:vAlign w:val="center"/>
            <w:hideMark/>
          </w:tcPr>
          <w:p w14:paraId="19CABC2F" w14:textId="7A309260" w:rsidR="009F7D37" w:rsidRPr="000B4E2C" w:rsidRDefault="009F7D37" w:rsidP="009F7D37">
            <w:pPr>
              <w:rPr>
                <w:sz w:val="22"/>
                <w:lang w:eastAsia="en-GB"/>
              </w:rPr>
            </w:pPr>
            <w:r w:rsidRPr="000B4E2C">
              <w:rPr>
                <w:sz w:val="22"/>
                <w:lang w:eastAsia="en-GB"/>
              </w:rPr>
              <w:t>Test 2 (NGAL plasma</w:t>
            </w:r>
            <w:r w:rsidR="000B4E2C" w:rsidRPr="000B4E2C">
              <w:rPr>
                <w:color w:val="00B0F0"/>
                <w:sz w:val="22"/>
                <w:lang w:eastAsia="en-GB"/>
              </w:rPr>
              <w:t xml:space="preserve"> – </w:t>
            </w:r>
            <w:r w:rsidRPr="000B4E2C">
              <w:rPr>
                <w:sz w:val="22"/>
                <w:lang w:eastAsia="en-GB"/>
              </w:rPr>
              <w:t>BioPorto)</w:t>
            </w:r>
          </w:p>
        </w:tc>
        <w:tc>
          <w:tcPr>
            <w:tcW w:w="0" w:type="auto"/>
            <w:shd w:val="clear" w:color="auto" w:fill="auto"/>
            <w:noWrap/>
            <w:vAlign w:val="center"/>
            <w:hideMark/>
          </w:tcPr>
          <w:p w14:paraId="11A21CB0" w14:textId="7A6EB09F" w:rsidR="009F7D37" w:rsidRPr="000B4E2C" w:rsidRDefault="009F7D37" w:rsidP="009F7D37">
            <w:pPr>
              <w:rPr>
                <w:sz w:val="22"/>
                <w:lang w:eastAsia="en-GB"/>
              </w:rPr>
            </w:pPr>
            <w:r w:rsidRPr="000B4E2C">
              <w:rPr>
                <w:sz w:val="22"/>
                <w:lang w:eastAsia="en-GB"/>
              </w:rPr>
              <w:t>£22,545</w:t>
            </w:r>
          </w:p>
        </w:tc>
        <w:tc>
          <w:tcPr>
            <w:tcW w:w="0" w:type="auto"/>
            <w:shd w:val="clear" w:color="auto" w:fill="auto"/>
            <w:noWrap/>
            <w:vAlign w:val="center"/>
            <w:hideMark/>
          </w:tcPr>
          <w:p w14:paraId="1333359A" w14:textId="163B7DCF" w:rsidR="009F7D37" w:rsidRPr="000B4E2C" w:rsidRDefault="009F7D37" w:rsidP="009F7D37">
            <w:pPr>
              <w:rPr>
                <w:sz w:val="22"/>
                <w:lang w:eastAsia="en-GB"/>
              </w:rPr>
            </w:pPr>
            <w:r w:rsidRPr="000B4E2C">
              <w:rPr>
                <w:sz w:val="22"/>
                <w:lang w:eastAsia="en-GB"/>
              </w:rPr>
              <w:t>£22</w:t>
            </w:r>
          </w:p>
        </w:tc>
        <w:tc>
          <w:tcPr>
            <w:tcW w:w="0" w:type="auto"/>
            <w:shd w:val="clear" w:color="auto" w:fill="auto"/>
            <w:noWrap/>
            <w:vAlign w:val="center"/>
            <w:hideMark/>
          </w:tcPr>
          <w:p w14:paraId="2E9C081F" w14:textId="03563755" w:rsidR="009F7D37" w:rsidRPr="000B4E2C" w:rsidRDefault="009F7D37" w:rsidP="009F7D37">
            <w:pPr>
              <w:rPr>
                <w:sz w:val="22"/>
                <w:lang w:eastAsia="en-GB"/>
              </w:rPr>
            </w:pPr>
            <w:r w:rsidRPr="000B4E2C">
              <w:rPr>
                <w:sz w:val="22"/>
                <w:lang w:eastAsia="en-GB"/>
              </w:rPr>
              <w:t>5.95376</w:t>
            </w:r>
          </w:p>
        </w:tc>
        <w:tc>
          <w:tcPr>
            <w:tcW w:w="0" w:type="auto"/>
            <w:shd w:val="clear" w:color="auto" w:fill="auto"/>
            <w:noWrap/>
            <w:vAlign w:val="center"/>
            <w:hideMark/>
          </w:tcPr>
          <w:p w14:paraId="32F0696D" w14:textId="1D957626" w:rsidR="009F7D37" w:rsidRPr="000B4E2C" w:rsidRDefault="009F7D37" w:rsidP="009F7D37">
            <w:pPr>
              <w:rPr>
                <w:sz w:val="22"/>
                <w:lang w:eastAsia="en-GB"/>
              </w:rPr>
            </w:pPr>
            <w:r w:rsidRPr="000B4E2C">
              <w:rPr>
                <w:sz w:val="22"/>
                <w:lang w:eastAsia="en-GB"/>
              </w:rPr>
              <w:t>0.01813</w:t>
            </w:r>
          </w:p>
        </w:tc>
        <w:tc>
          <w:tcPr>
            <w:tcW w:w="0" w:type="auto"/>
            <w:shd w:val="clear" w:color="auto" w:fill="auto"/>
            <w:noWrap/>
            <w:vAlign w:val="center"/>
            <w:hideMark/>
          </w:tcPr>
          <w:p w14:paraId="4C093E1C" w14:textId="09E2411C" w:rsidR="009F7D37" w:rsidRPr="000B4E2C" w:rsidRDefault="009F7D37" w:rsidP="009F7D37">
            <w:pPr>
              <w:rPr>
                <w:sz w:val="22"/>
                <w:lang w:eastAsia="en-GB"/>
              </w:rPr>
            </w:pPr>
            <w:r w:rsidRPr="000B4E2C">
              <w:rPr>
                <w:sz w:val="22"/>
                <w:lang w:eastAsia="en-GB"/>
              </w:rPr>
              <w:t>£1,240</w:t>
            </w:r>
          </w:p>
        </w:tc>
        <w:tc>
          <w:tcPr>
            <w:tcW w:w="0" w:type="auto"/>
            <w:shd w:val="clear" w:color="auto" w:fill="auto"/>
            <w:noWrap/>
            <w:vAlign w:val="center"/>
            <w:hideMark/>
          </w:tcPr>
          <w:p w14:paraId="19A084E7" w14:textId="47E89694" w:rsidR="009F7D37" w:rsidRPr="000B4E2C" w:rsidRDefault="009F7D37" w:rsidP="009F7D37">
            <w:pPr>
              <w:rPr>
                <w:sz w:val="22"/>
                <w:lang w:eastAsia="en-GB"/>
              </w:rPr>
            </w:pPr>
            <w:r w:rsidRPr="000B4E2C">
              <w:rPr>
                <w:sz w:val="22"/>
                <w:lang w:eastAsia="en-GB"/>
              </w:rPr>
              <w:t>£3,344</w:t>
            </w:r>
          </w:p>
        </w:tc>
        <w:tc>
          <w:tcPr>
            <w:tcW w:w="0" w:type="auto"/>
            <w:shd w:val="clear" w:color="auto" w:fill="auto"/>
            <w:noWrap/>
            <w:vAlign w:val="center"/>
            <w:hideMark/>
          </w:tcPr>
          <w:p w14:paraId="3E174565" w14:textId="40E58993" w:rsidR="009F7D37" w:rsidRPr="000B4E2C" w:rsidRDefault="009F7D37" w:rsidP="009F7D37">
            <w:pPr>
              <w:rPr>
                <w:sz w:val="22"/>
                <w:lang w:eastAsia="en-GB"/>
              </w:rPr>
            </w:pPr>
            <w:r w:rsidRPr="000B4E2C">
              <w:rPr>
                <w:sz w:val="22"/>
                <w:lang w:eastAsia="en-GB"/>
              </w:rPr>
              <w:t>0%</w:t>
            </w:r>
          </w:p>
        </w:tc>
        <w:tc>
          <w:tcPr>
            <w:tcW w:w="0" w:type="auto"/>
            <w:shd w:val="clear" w:color="auto" w:fill="auto"/>
            <w:noWrap/>
            <w:vAlign w:val="center"/>
            <w:hideMark/>
          </w:tcPr>
          <w:p w14:paraId="1DCE055E" w14:textId="40DBB620" w:rsidR="009F7D37" w:rsidRPr="000B4E2C" w:rsidRDefault="009F7D37" w:rsidP="009F7D37">
            <w:pPr>
              <w:rPr>
                <w:sz w:val="22"/>
                <w:lang w:eastAsia="en-GB"/>
              </w:rPr>
            </w:pPr>
            <w:r w:rsidRPr="000B4E2C">
              <w:rPr>
                <w:sz w:val="22"/>
                <w:lang w:eastAsia="en-GB"/>
              </w:rPr>
              <w:t>0%</w:t>
            </w:r>
          </w:p>
        </w:tc>
      </w:tr>
      <w:tr w:rsidR="009F7D37" w:rsidRPr="000B4E2C" w14:paraId="38373A85" w14:textId="77777777" w:rsidTr="000B4E2C">
        <w:trPr>
          <w:cantSplit/>
        </w:trPr>
        <w:tc>
          <w:tcPr>
            <w:tcW w:w="0" w:type="auto"/>
            <w:shd w:val="clear" w:color="auto" w:fill="auto"/>
            <w:noWrap/>
            <w:vAlign w:val="center"/>
            <w:hideMark/>
          </w:tcPr>
          <w:p w14:paraId="29177E93" w14:textId="3BA1EC78" w:rsidR="009F7D37" w:rsidRPr="000B4E2C" w:rsidRDefault="009F7D37" w:rsidP="009F7D37">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vAlign w:val="center"/>
            <w:hideMark/>
          </w:tcPr>
          <w:p w14:paraId="055F9929" w14:textId="277C538B" w:rsidR="009F7D37" w:rsidRPr="000B4E2C" w:rsidRDefault="009F7D37" w:rsidP="009F7D37">
            <w:pPr>
              <w:rPr>
                <w:sz w:val="22"/>
                <w:lang w:eastAsia="en-GB"/>
              </w:rPr>
            </w:pPr>
            <w:r w:rsidRPr="000B4E2C">
              <w:rPr>
                <w:sz w:val="22"/>
                <w:lang w:eastAsia="en-GB"/>
              </w:rPr>
              <w:t>£22,630</w:t>
            </w:r>
          </w:p>
        </w:tc>
        <w:tc>
          <w:tcPr>
            <w:tcW w:w="0" w:type="auto"/>
            <w:shd w:val="clear" w:color="auto" w:fill="auto"/>
            <w:noWrap/>
            <w:vAlign w:val="center"/>
            <w:hideMark/>
          </w:tcPr>
          <w:p w14:paraId="3F835F82" w14:textId="679DCC91" w:rsidR="009F7D37" w:rsidRPr="000B4E2C" w:rsidRDefault="009F7D37" w:rsidP="009F7D37">
            <w:pPr>
              <w:rPr>
                <w:sz w:val="22"/>
                <w:lang w:eastAsia="en-GB"/>
              </w:rPr>
            </w:pPr>
            <w:r w:rsidRPr="000B4E2C">
              <w:rPr>
                <w:sz w:val="22"/>
                <w:lang w:eastAsia="en-GB"/>
              </w:rPr>
              <w:t>£86</w:t>
            </w:r>
          </w:p>
        </w:tc>
        <w:tc>
          <w:tcPr>
            <w:tcW w:w="0" w:type="auto"/>
            <w:shd w:val="clear" w:color="auto" w:fill="auto"/>
            <w:noWrap/>
            <w:vAlign w:val="center"/>
            <w:hideMark/>
          </w:tcPr>
          <w:p w14:paraId="2DF3DF1C" w14:textId="2BBDC50C" w:rsidR="009F7D37" w:rsidRPr="000B4E2C" w:rsidRDefault="009F7D37" w:rsidP="009F7D37">
            <w:pPr>
              <w:rPr>
                <w:sz w:val="22"/>
                <w:lang w:eastAsia="en-GB"/>
              </w:rPr>
            </w:pPr>
            <w:r w:rsidRPr="000B4E2C">
              <w:rPr>
                <w:sz w:val="22"/>
                <w:lang w:eastAsia="en-GB"/>
              </w:rPr>
              <w:t>5.97629</w:t>
            </w:r>
          </w:p>
        </w:tc>
        <w:tc>
          <w:tcPr>
            <w:tcW w:w="0" w:type="auto"/>
            <w:shd w:val="clear" w:color="auto" w:fill="auto"/>
            <w:noWrap/>
            <w:vAlign w:val="center"/>
            <w:hideMark/>
          </w:tcPr>
          <w:p w14:paraId="7FC309B0" w14:textId="2A3D2631" w:rsidR="009F7D37" w:rsidRPr="000B4E2C" w:rsidRDefault="009F7D37" w:rsidP="009F7D37">
            <w:pPr>
              <w:rPr>
                <w:sz w:val="22"/>
                <w:lang w:eastAsia="en-GB"/>
              </w:rPr>
            </w:pPr>
            <w:r w:rsidRPr="000B4E2C">
              <w:rPr>
                <w:sz w:val="22"/>
                <w:lang w:eastAsia="en-GB"/>
              </w:rPr>
              <w:t>0.02253</w:t>
            </w:r>
          </w:p>
        </w:tc>
        <w:tc>
          <w:tcPr>
            <w:tcW w:w="0" w:type="auto"/>
            <w:shd w:val="clear" w:color="auto" w:fill="auto"/>
            <w:noWrap/>
            <w:vAlign w:val="center"/>
            <w:hideMark/>
          </w:tcPr>
          <w:p w14:paraId="7857A0F1" w14:textId="06EEEE8F" w:rsidR="009F7D37" w:rsidRPr="000B4E2C" w:rsidRDefault="009F7D37" w:rsidP="009F7D37">
            <w:pPr>
              <w:rPr>
                <w:sz w:val="22"/>
                <w:lang w:eastAsia="en-GB"/>
              </w:rPr>
            </w:pPr>
            <w:r w:rsidRPr="000B4E2C">
              <w:rPr>
                <w:sz w:val="22"/>
                <w:lang w:eastAsia="en-GB"/>
              </w:rPr>
              <w:t>£3,814</w:t>
            </w:r>
          </w:p>
        </w:tc>
        <w:tc>
          <w:tcPr>
            <w:tcW w:w="0" w:type="auto"/>
            <w:shd w:val="clear" w:color="auto" w:fill="auto"/>
            <w:noWrap/>
            <w:vAlign w:val="center"/>
            <w:hideMark/>
          </w:tcPr>
          <w:p w14:paraId="54C62F11" w14:textId="1742A5BD" w:rsidR="009F7D37" w:rsidRPr="000B4E2C" w:rsidRDefault="009F7D37" w:rsidP="009F7D37">
            <w:pPr>
              <w:rPr>
                <w:sz w:val="22"/>
                <w:lang w:eastAsia="en-GB"/>
              </w:rPr>
            </w:pPr>
            <w:r w:rsidRPr="000B4E2C">
              <w:rPr>
                <w:sz w:val="22"/>
                <w:lang w:eastAsia="en-GB"/>
              </w:rPr>
              <w:t>£3,238</w:t>
            </w:r>
          </w:p>
        </w:tc>
        <w:tc>
          <w:tcPr>
            <w:tcW w:w="0" w:type="auto"/>
            <w:shd w:val="clear" w:color="auto" w:fill="auto"/>
            <w:noWrap/>
            <w:vAlign w:val="center"/>
            <w:hideMark/>
          </w:tcPr>
          <w:p w14:paraId="52088035" w14:textId="72DD0991" w:rsidR="009F7D37" w:rsidRPr="000B4E2C" w:rsidRDefault="009F7D37" w:rsidP="009F7D37">
            <w:pPr>
              <w:rPr>
                <w:sz w:val="22"/>
                <w:lang w:eastAsia="en-GB"/>
              </w:rPr>
            </w:pPr>
            <w:r w:rsidRPr="000B4E2C">
              <w:rPr>
                <w:sz w:val="22"/>
                <w:lang w:eastAsia="en-GB"/>
              </w:rPr>
              <w:t>0%</w:t>
            </w:r>
          </w:p>
        </w:tc>
        <w:tc>
          <w:tcPr>
            <w:tcW w:w="0" w:type="auto"/>
            <w:shd w:val="clear" w:color="auto" w:fill="auto"/>
            <w:noWrap/>
            <w:vAlign w:val="center"/>
            <w:hideMark/>
          </w:tcPr>
          <w:p w14:paraId="2B2B53B6" w14:textId="24C4EB93" w:rsidR="009F7D37" w:rsidRPr="000B4E2C" w:rsidRDefault="009F7D37" w:rsidP="009F7D37">
            <w:pPr>
              <w:rPr>
                <w:sz w:val="22"/>
                <w:lang w:eastAsia="en-GB"/>
              </w:rPr>
            </w:pPr>
            <w:r w:rsidRPr="000B4E2C">
              <w:rPr>
                <w:sz w:val="22"/>
                <w:lang w:eastAsia="en-GB"/>
              </w:rPr>
              <w:t>0%</w:t>
            </w:r>
          </w:p>
        </w:tc>
      </w:tr>
      <w:tr w:rsidR="009F7D37" w:rsidRPr="000B4E2C" w14:paraId="19596049" w14:textId="77777777" w:rsidTr="000B4E2C">
        <w:trPr>
          <w:cantSplit/>
        </w:trPr>
        <w:tc>
          <w:tcPr>
            <w:tcW w:w="0" w:type="auto"/>
            <w:shd w:val="clear" w:color="auto" w:fill="auto"/>
            <w:noWrap/>
            <w:vAlign w:val="center"/>
            <w:hideMark/>
          </w:tcPr>
          <w:p w14:paraId="39CCCC25" w14:textId="786756D9" w:rsidR="009F7D37" w:rsidRPr="000B4E2C" w:rsidRDefault="009F7D37" w:rsidP="009F7D37">
            <w:pPr>
              <w:rPr>
                <w:sz w:val="22"/>
                <w:lang w:eastAsia="en-GB"/>
              </w:rPr>
            </w:pPr>
            <w:r w:rsidRPr="000B4E2C">
              <w:rPr>
                <w:sz w:val="22"/>
                <w:lang w:eastAsia="en-GB"/>
              </w:rPr>
              <w:t>Test 3 (NGAL urine</w:t>
            </w:r>
            <w:r w:rsidR="000B4E2C" w:rsidRPr="000B4E2C">
              <w:rPr>
                <w:color w:val="00B0F0"/>
                <w:sz w:val="22"/>
                <w:lang w:eastAsia="en-GB"/>
              </w:rPr>
              <w:t xml:space="preserve"> – </w:t>
            </w:r>
            <w:r w:rsidRPr="000B4E2C">
              <w:rPr>
                <w:sz w:val="22"/>
                <w:lang w:eastAsia="en-GB"/>
              </w:rPr>
              <w:t>BioPorto)</w:t>
            </w:r>
          </w:p>
        </w:tc>
        <w:tc>
          <w:tcPr>
            <w:tcW w:w="0" w:type="auto"/>
            <w:shd w:val="clear" w:color="auto" w:fill="auto"/>
            <w:noWrap/>
            <w:vAlign w:val="center"/>
            <w:hideMark/>
          </w:tcPr>
          <w:p w14:paraId="00C07A64" w14:textId="36BF792A" w:rsidR="009F7D37" w:rsidRPr="000B4E2C" w:rsidRDefault="009F7D37" w:rsidP="009F7D37">
            <w:pPr>
              <w:rPr>
                <w:sz w:val="22"/>
                <w:lang w:eastAsia="en-GB"/>
              </w:rPr>
            </w:pPr>
            <w:r w:rsidRPr="000B4E2C">
              <w:rPr>
                <w:sz w:val="22"/>
                <w:lang w:eastAsia="en-GB"/>
              </w:rPr>
              <w:t>£22,718</w:t>
            </w:r>
          </w:p>
        </w:tc>
        <w:tc>
          <w:tcPr>
            <w:tcW w:w="0" w:type="auto"/>
            <w:shd w:val="clear" w:color="auto" w:fill="auto"/>
            <w:noWrap/>
            <w:vAlign w:val="center"/>
            <w:hideMark/>
          </w:tcPr>
          <w:p w14:paraId="732404B9" w14:textId="6A981C0B" w:rsidR="009F7D37" w:rsidRPr="000B4E2C" w:rsidRDefault="009F7D37" w:rsidP="009F7D37">
            <w:pPr>
              <w:rPr>
                <w:sz w:val="22"/>
                <w:lang w:eastAsia="en-GB"/>
              </w:rPr>
            </w:pPr>
            <w:r w:rsidRPr="000B4E2C">
              <w:rPr>
                <w:sz w:val="22"/>
                <w:lang w:eastAsia="en-GB"/>
              </w:rPr>
              <w:t>£88</w:t>
            </w:r>
          </w:p>
        </w:tc>
        <w:tc>
          <w:tcPr>
            <w:tcW w:w="0" w:type="auto"/>
            <w:shd w:val="clear" w:color="auto" w:fill="auto"/>
            <w:noWrap/>
            <w:vAlign w:val="center"/>
            <w:hideMark/>
          </w:tcPr>
          <w:p w14:paraId="47D62877" w14:textId="6878BF64" w:rsidR="009F7D37" w:rsidRPr="000B4E2C" w:rsidRDefault="009F7D37" w:rsidP="009F7D37">
            <w:pPr>
              <w:rPr>
                <w:sz w:val="22"/>
                <w:lang w:eastAsia="en-GB"/>
              </w:rPr>
            </w:pPr>
            <w:r w:rsidRPr="000B4E2C">
              <w:rPr>
                <w:sz w:val="22"/>
                <w:lang w:eastAsia="en-GB"/>
              </w:rPr>
              <w:t>6.01026</w:t>
            </w:r>
          </w:p>
        </w:tc>
        <w:tc>
          <w:tcPr>
            <w:tcW w:w="0" w:type="auto"/>
            <w:shd w:val="clear" w:color="auto" w:fill="auto"/>
            <w:noWrap/>
            <w:vAlign w:val="center"/>
            <w:hideMark/>
          </w:tcPr>
          <w:p w14:paraId="7DDB3AF6" w14:textId="7B5340A8" w:rsidR="009F7D37" w:rsidRPr="000B4E2C" w:rsidRDefault="009F7D37" w:rsidP="009F7D37">
            <w:pPr>
              <w:rPr>
                <w:sz w:val="22"/>
                <w:lang w:eastAsia="en-GB"/>
              </w:rPr>
            </w:pPr>
            <w:r w:rsidRPr="000B4E2C">
              <w:rPr>
                <w:sz w:val="22"/>
                <w:lang w:eastAsia="en-GB"/>
              </w:rPr>
              <w:t>0.03397</w:t>
            </w:r>
          </w:p>
        </w:tc>
        <w:tc>
          <w:tcPr>
            <w:tcW w:w="0" w:type="auto"/>
            <w:shd w:val="clear" w:color="auto" w:fill="auto"/>
            <w:noWrap/>
            <w:vAlign w:val="center"/>
            <w:hideMark/>
          </w:tcPr>
          <w:p w14:paraId="5E71F87C" w14:textId="43E46B5C" w:rsidR="009F7D37" w:rsidRPr="000B4E2C" w:rsidRDefault="009F7D37" w:rsidP="009F7D37">
            <w:pPr>
              <w:rPr>
                <w:sz w:val="22"/>
                <w:lang w:eastAsia="en-GB"/>
              </w:rPr>
            </w:pPr>
            <w:r w:rsidRPr="000B4E2C">
              <w:rPr>
                <w:sz w:val="22"/>
                <w:lang w:eastAsia="en-GB"/>
              </w:rPr>
              <w:t>£2,582</w:t>
            </w:r>
          </w:p>
        </w:tc>
        <w:tc>
          <w:tcPr>
            <w:tcW w:w="0" w:type="auto"/>
            <w:shd w:val="clear" w:color="auto" w:fill="auto"/>
            <w:noWrap/>
            <w:vAlign w:val="center"/>
            <w:hideMark/>
          </w:tcPr>
          <w:p w14:paraId="55569678" w14:textId="2CF78BDA" w:rsidR="009F7D37" w:rsidRPr="000B4E2C" w:rsidRDefault="009F7D37" w:rsidP="009F7D37">
            <w:pPr>
              <w:rPr>
                <w:sz w:val="22"/>
                <w:lang w:eastAsia="en-GB"/>
              </w:rPr>
            </w:pPr>
            <w:r w:rsidRPr="000B4E2C">
              <w:rPr>
                <w:sz w:val="22"/>
                <w:lang w:eastAsia="en-GB"/>
              </w:rPr>
              <w:t>£3,576</w:t>
            </w:r>
          </w:p>
        </w:tc>
        <w:tc>
          <w:tcPr>
            <w:tcW w:w="0" w:type="auto"/>
            <w:shd w:val="clear" w:color="auto" w:fill="auto"/>
            <w:noWrap/>
            <w:vAlign w:val="center"/>
            <w:hideMark/>
          </w:tcPr>
          <w:p w14:paraId="75D7693C" w14:textId="2FBD0576" w:rsidR="009F7D37" w:rsidRPr="000B4E2C" w:rsidRDefault="009F7D37" w:rsidP="009F7D37">
            <w:pPr>
              <w:rPr>
                <w:sz w:val="22"/>
                <w:lang w:eastAsia="en-GB"/>
              </w:rPr>
            </w:pPr>
            <w:r w:rsidRPr="000B4E2C">
              <w:rPr>
                <w:sz w:val="22"/>
                <w:lang w:eastAsia="en-GB"/>
              </w:rPr>
              <w:t>0.1%</w:t>
            </w:r>
          </w:p>
        </w:tc>
        <w:tc>
          <w:tcPr>
            <w:tcW w:w="0" w:type="auto"/>
            <w:shd w:val="clear" w:color="auto" w:fill="auto"/>
            <w:noWrap/>
            <w:vAlign w:val="center"/>
            <w:hideMark/>
          </w:tcPr>
          <w:p w14:paraId="63ED155C" w14:textId="01873C7D" w:rsidR="009F7D37" w:rsidRPr="000B4E2C" w:rsidRDefault="009F7D37" w:rsidP="009F7D37">
            <w:pPr>
              <w:rPr>
                <w:sz w:val="22"/>
                <w:lang w:eastAsia="en-GB"/>
              </w:rPr>
            </w:pPr>
            <w:r w:rsidRPr="000B4E2C">
              <w:rPr>
                <w:sz w:val="22"/>
                <w:lang w:eastAsia="en-GB"/>
              </w:rPr>
              <w:t>0.10%</w:t>
            </w:r>
          </w:p>
        </w:tc>
      </w:tr>
      <w:tr w:rsidR="009F7D37" w:rsidRPr="000B4E2C" w14:paraId="26016BED" w14:textId="77777777" w:rsidTr="000B4E2C">
        <w:trPr>
          <w:cantSplit/>
        </w:trPr>
        <w:tc>
          <w:tcPr>
            <w:tcW w:w="0" w:type="auto"/>
            <w:shd w:val="clear" w:color="auto" w:fill="auto"/>
            <w:noWrap/>
            <w:vAlign w:val="center"/>
            <w:hideMark/>
          </w:tcPr>
          <w:p w14:paraId="14CF9FA6" w14:textId="3C2838DD" w:rsidR="009F7D37" w:rsidRPr="000B4E2C" w:rsidRDefault="009F7D37" w:rsidP="009F7D37">
            <w:pPr>
              <w:rPr>
                <w:sz w:val="22"/>
                <w:lang w:eastAsia="en-GB"/>
              </w:rPr>
            </w:pPr>
            <w:r w:rsidRPr="000B4E2C">
              <w:rPr>
                <w:sz w:val="22"/>
                <w:lang w:eastAsia="en-GB"/>
              </w:rPr>
              <w:t>Standard care (Scr)</w:t>
            </w:r>
          </w:p>
        </w:tc>
        <w:tc>
          <w:tcPr>
            <w:tcW w:w="0" w:type="auto"/>
            <w:shd w:val="clear" w:color="auto" w:fill="auto"/>
            <w:noWrap/>
            <w:vAlign w:val="center"/>
            <w:hideMark/>
          </w:tcPr>
          <w:p w14:paraId="7C2C4F95" w14:textId="6E1A4BA1" w:rsidR="009F7D37" w:rsidRPr="000B4E2C" w:rsidRDefault="009F7D37" w:rsidP="009F7D37">
            <w:pPr>
              <w:rPr>
                <w:sz w:val="22"/>
                <w:lang w:eastAsia="en-GB"/>
              </w:rPr>
            </w:pPr>
            <w:r w:rsidRPr="000B4E2C">
              <w:rPr>
                <w:sz w:val="22"/>
                <w:lang w:eastAsia="en-GB"/>
              </w:rPr>
              <w:t>£22,954</w:t>
            </w:r>
          </w:p>
        </w:tc>
        <w:tc>
          <w:tcPr>
            <w:tcW w:w="0" w:type="auto"/>
            <w:shd w:val="clear" w:color="auto" w:fill="auto"/>
            <w:noWrap/>
            <w:vAlign w:val="center"/>
            <w:hideMark/>
          </w:tcPr>
          <w:p w14:paraId="4AF614BE" w14:textId="01D44086" w:rsidR="009F7D37" w:rsidRPr="000B4E2C" w:rsidRDefault="009F7D37" w:rsidP="009F7D37">
            <w:pPr>
              <w:rPr>
                <w:sz w:val="22"/>
                <w:lang w:eastAsia="en-GB"/>
              </w:rPr>
            </w:pPr>
            <w:r w:rsidRPr="000B4E2C">
              <w:rPr>
                <w:sz w:val="22"/>
                <w:lang w:eastAsia="en-GB"/>
              </w:rPr>
              <w:t>£235</w:t>
            </w:r>
          </w:p>
        </w:tc>
        <w:tc>
          <w:tcPr>
            <w:tcW w:w="0" w:type="auto"/>
            <w:shd w:val="clear" w:color="auto" w:fill="auto"/>
            <w:noWrap/>
            <w:vAlign w:val="center"/>
            <w:hideMark/>
          </w:tcPr>
          <w:p w14:paraId="5D86A28D" w14:textId="46BC10D9" w:rsidR="009F7D37" w:rsidRPr="000B4E2C" w:rsidRDefault="009F7D37" w:rsidP="009F7D37">
            <w:pPr>
              <w:rPr>
                <w:sz w:val="22"/>
                <w:lang w:eastAsia="en-GB"/>
              </w:rPr>
            </w:pPr>
            <w:r w:rsidRPr="000B4E2C">
              <w:rPr>
                <w:sz w:val="22"/>
                <w:lang w:eastAsia="en-GB"/>
              </w:rPr>
              <w:t>6.07608</w:t>
            </w:r>
          </w:p>
        </w:tc>
        <w:tc>
          <w:tcPr>
            <w:tcW w:w="0" w:type="auto"/>
            <w:shd w:val="clear" w:color="auto" w:fill="auto"/>
            <w:noWrap/>
            <w:vAlign w:val="center"/>
            <w:hideMark/>
          </w:tcPr>
          <w:p w14:paraId="1116D9C9" w14:textId="37DF2934" w:rsidR="009F7D37" w:rsidRPr="000B4E2C" w:rsidRDefault="009F7D37" w:rsidP="009F7D37">
            <w:pPr>
              <w:rPr>
                <w:sz w:val="22"/>
                <w:lang w:eastAsia="en-GB"/>
              </w:rPr>
            </w:pPr>
            <w:r w:rsidRPr="000B4E2C">
              <w:rPr>
                <w:sz w:val="22"/>
                <w:lang w:eastAsia="en-GB"/>
              </w:rPr>
              <w:t>0.06582</w:t>
            </w:r>
          </w:p>
        </w:tc>
        <w:tc>
          <w:tcPr>
            <w:tcW w:w="0" w:type="auto"/>
            <w:shd w:val="clear" w:color="auto" w:fill="auto"/>
            <w:noWrap/>
            <w:vAlign w:val="center"/>
            <w:hideMark/>
          </w:tcPr>
          <w:p w14:paraId="34ADB056" w14:textId="39377433" w:rsidR="009F7D37" w:rsidRPr="000B4E2C" w:rsidRDefault="009F7D37" w:rsidP="009F7D37">
            <w:pPr>
              <w:rPr>
                <w:sz w:val="22"/>
                <w:lang w:eastAsia="en-GB"/>
              </w:rPr>
            </w:pPr>
            <w:r w:rsidRPr="000B4E2C">
              <w:rPr>
                <w:sz w:val="22"/>
                <w:lang w:eastAsia="en-GB"/>
              </w:rPr>
              <w:t>£3,576</w:t>
            </w:r>
          </w:p>
        </w:tc>
        <w:tc>
          <w:tcPr>
            <w:tcW w:w="0" w:type="auto"/>
            <w:shd w:val="clear" w:color="auto" w:fill="auto"/>
            <w:noWrap/>
            <w:vAlign w:val="center"/>
            <w:hideMark/>
          </w:tcPr>
          <w:p w14:paraId="0652B58D" w14:textId="1F71A298" w:rsidR="009F7D37" w:rsidRPr="000B4E2C" w:rsidRDefault="009F7D37" w:rsidP="009F7D37">
            <w:pPr>
              <w:rPr>
                <w:sz w:val="22"/>
                <w:lang w:eastAsia="en-GB"/>
              </w:rPr>
            </w:pPr>
            <w:r w:rsidRPr="000B4E2C">
              <w:rPr>
                <w:sz w:val="22"/>
                <w:lang w:eastAsia="en-GB"/>
              </w:rPr>
              <w:t>--</w:t>
            </w:r>
          </w:p>
        </w:tc>
        <w:tc>
          <w:tcPr>
            <w:tcW w:w="0" w:type="auto"/>
            <w:shd w:val="clear" w:color="auto" w:fill="auto"/>
            <w:noWrap/>
            <w:vAlign w:val="center"/>
            <w:hideMark/>
          </w:tcPr>
          <w:p w14:paraId="2E0BA1B0" w14:textId="6577616E" w:rsidR="009F7D37" w:rsidRPr="000B4E2C" w:rsidRDefault="009F7D37" w:rsidP="009F7D37">
            <w:pPr>
              <w:rPr>
                <w:sz w:val="22"/>
                <w:lang w:eastAsia="en-GB"/>
              </w:rPr>
            </w:pPr>
            <w:r w:rsidRPr="000B4E2C">
              <w:rPr>
                <w:sz w:val="22"/>
                <w:lang w:eastAsia="en-GB"/>
              </w:rPr>
              <w:t>99.9%</w:t>
            </w:r>
          </w:p>
        </w:tc>
        <w:tc>
          <w:tcPr>
            <w:tcW w:w="0" w:type="auto"/>
            <w:shd w:val="clear" w:color="auto" w:fill="auto"/>
            <w:noWrap/>
            <w:vAlign w:val="center"/>
            <w:hideMark/>
          </w:tcPr>
          <w:p w14:paraId="0F46B103" w14:textId="2FE1AC5A" w:rsidR="009F7D37" w:rsidRPr="000B4E2C" w:rsidRDefault="009F7D37" w:rsidP="009F7D37">
            <w:pPr>
              <w:rPr>
                <w:sz w:val="22"/>
                <w:lang w:eastAsia="en-GB"/>
              </w:rPr>
            </w:pPr>
            <w:r w:rsidRPr="000B4E2C">
              <w:rPr>
                <w:sz w:val="22"/>
                <w:lang w:eastAsia="en-GB"/>
              </w:rPr>
              <w:t>--</w:t>
            </w:r>
          </w:p>
        </w:tc>
      </w:tr>
      <w:tr w:rsidR="002F0133" w:rsidRPr="000B4E2C" w14:paraId="5D6B25DF" w14:textId="77777777" w:rsidTr="000B4E2C">
        <w:trPr>
          <w:cantSplit/>
        </w:trPr>
        <w:tc>
          <w:tcPr>
            <w:tcW w:w="0" w:type="auto"/>
            <w:gridSpan w:val="9"/>
            <w:shd w:val="clear" w:color="auto" w:fill="auto"/>
            <w:noWrap/>
            <w:hideMark/>
          </w:tcPr>
          <w:p w14:paraId="1F96208B" w14:textId="5699C26E" w:rsidR="002F0133" w:rsidRPr="000B4E2C" w:rsidRDefault="002F0133" w:rsidP="008A7464">
            <w:pPr>
              <w:rPr>
                <w:b/>
                <w:bCs/>
                <w:sz w:val="22"/>
                <w:lang w:eastAsia="en-GB"/>
              </w:rPr>
            </w:pPr>
            <w:r w:rsidRPr="000B4E2C">
              <w:rPr>
                <w:b/>
                <w:bCs/>
                <w:sz w:val="22"/>
                <w:lang w:eastAsia="en-GB"/>
              </w:rPr>
              <w:t xml:space="preserve">Scenario </w:t>
            </w:r>
            <w:r w:rsidR="000B4E2C" w:rsidRPr="000B4E2C">
              <w:rPr>
                <w:b/>
                <w:bCs/>
                <w:color w:val="00B0F0"/>
                <w:sz w:val="22"/>
                <w:lang w:eastAsia="en-GB"/>
              </w:rPr>
              <w:t>1</w:t>
            </w:r>
            <w:r w:rsidR="000B4E2C" w:rsidRPr="000B4E2C">
              <w:rPr>
                <w:b/>
                <w:bCs/>
                <w:color w:val="00B0F0"/>
                <w:sz w:val="22"/>
                <w:lang w:eastAsia="en-GB"/>
              </w:rPr>
              <w:t> </w:t>
            </w:r>
            <w:r w:rsidR="000B4E2C" w:rsidRPr="000B4E2C">
              <w:rPr>
                <w:b/>
                <w:bCs/>
                <w:color w:val="00B0F0"/>
                <w:sz w:val="22"/>
                <w:lang w:eastAsia="en-GB"/>
              </w:rPr>
              <w:t xml:space="preserve">N </w:t>
            </w:r>
            <w:r w:rsidRPr="000B4E2C">
              <w:rPr>
                <w:b/>
                <w:bCs/>
                <w:sz w:val="22"/>
                <w:lang w:eastAsia="en-GB"/>
              </w:rPr>
              <w:t>Exclude capital and training costs in test costs</w:t>
            </w:r>
          </w:p>
        </w:tc>
      </w:tr>
      <w:tr w:rsidR="002F0133" w:rsidRPr="000B4E2C" w14:paraId="1F330C13" w14:textId="77777777" w:rsidTr="000B4E2C">
        <w:trPr>
          <w:cantSplit/>
        </w:trPr>
        <w:tc>
          <w:tcPr>
            <w:tcW w:w="0" w:type="auto"/>
            <w:shd w:val="clear" w:color="auto" w:fill="auto"/>
            <w:noWrap/>
            <w:hideMark/>
          </w:tcPr>
          <w:p w14:paraId="7298D0BF" w14:textId="3AC7D880"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6B8D2F70" w14:textId="77777777" w:rsidR="002F0133" w:rsidRPr="000B4E2C" w:rsidRDefault="002F0133" w:rsidP="008A7464">
            <w:pPr>
              <w:rPr>
                <w:sz w:val="22"/>
                <w:lang w:eastAsia="en-GB"/>
              </w:rPr>
            </w:pPr>
            <w:r w:rsidRPr="000B4E2C">
              <w:rPr>
                <w:sz w:val="22"/>
                <w:lang w:eastAsia="en-GB"/>
              </w:rPr>
              <w:t>£22,952</w:t>
            </w:r>
          </w:p>
        </w:tc>
        <w:tc>
          <w:tcPr>
            <w:tcW w:w="0" w:type="auto"/>
            <w:shd w:val="clear" w:color="auto" w:fill="auto"/>
            <w:noWrap/>
            <w:hideMark/>
          </w:tcPr>
          <w:p w14:paraId="2261C5DD"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1BF07199" w14:textId="77777777" w:rsidR="002F0133" w:rsidRPr="000B4E2C" w:rsidRDefault="002F0133" w:rsidP="008A7464">
            <w:pPr>
              <w:rPr>
                <w:sz w:val="22"/>
                <w:lang w:eastAsia="en-GB"/>
              </w:rPr>
            </w:pPr>
            <w:r w:rsidRPr="000B4E2C">
              <w:rPr>
                <w:sz w:val="22"/>
                <w:lang w:eastAsia="en-GB"/>
              </w:rPr>
              <w:t>6.07161</w:t>
            </w:r>
          </w:p>
        </w:tc>
        <w:tc>
          <w:tcPr>
            <w:tcW w:w="0" w:type="auto"/>
            <w:shd w:val="clear" w:color="auto" w:fill="auto"/>
            <w:noWrap/>
            <w:hideMark/>
          </w:tcPr>
          <w:p w14:paraId="7242CAE7"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76EF556"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46C689A2"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499AD7D4" w14:textId="77777777" w:rsidR="002F0133" w:rsidRPr="000B4E2C" w:rsidRDefault="002F0133" w:rsidP="008A7464">
            <w:pPr>
              <w:rPr>
                <w:sz w:val="22"/>
                <w:lang w:eastAsia="en-GB"/>
              </w:rPr>
            </w:pPr>
            <w:r w:rsidRPr="000B4E2C">
              <w:rPr>
                <w:sz w:val="22"/>
                <w:lang w:eastAsia="en-GB"/>
              </w:rPr>
              <w:t>39.6%</w:t>
            </w:r>
          </w:p>
        </w:tc>
        <w:tc>
          <w:tcPr>
            <w:tcW w:w="0" w:type="auto"/>
            <w:shd w:val="clear" w:color="auto" w:fill="auto"/>
            <w:noWrap/>
            <w:hideMark/>
          </w:tcPr>
          <w:p w14:paraId="5456C0E6" w14:textId="77777777" w:rsidR="002F0133" w:rsidRPr="000B4E2C" w:rsidRDefault="002F0133" w:rsidP="008A7464">
            <w:pPr>
              <w:rPr>
                <w:sz w:val="22"/>
                <w:lang w:eastAsia="en-GB"/>
              </w:rPr>
            </w:pPr>
            <w:r w:rsidRPr="000B4E2C">
              <w:rPr>
                <w:sz w:val="22"/>
                <w:lang w:eastAsia="en-GB"/>
              </w:rPr>
              <w:t>51.7%</w:t>
            </w:r>
          </w:p>
        </w:tc>
      </w:tr>
      <w:tr w:rsidR="002F0133" w:rsidRPr="000B4E2C" w14:paraId="49D29CD3" w14:textId="77777777" w:rsidTr="000B4E2C">
        <w:trPr>
          <w:cantSplit/>
        </w:trPr>
        <w:tc>
          <w:tcPr>
            <w:tcW w:w="0" w:type="auto"/>
            <w:shd w:val="clear" w:color="auto" w:fill="auto"/>
            <w:noWrap/>
            <w:hideMark/>
          </w:tcPr>
          <w:p w14:paraId="04630A8D"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669867EF" w14:textId="77777777" w:rsidR="002F0133" w:rsidRPr="000B4E2C" w:rsidRDefault="002F0133" w:rsidP="008A7464">
            <w:pPr>
              <w:rPr>
                <w:sz w:val="22"/>
                <w:lang w:eastAsia="en-GB"/>
              </w:rPr>
            </w:pPr>
            <w:r w:rsidRPr="000B4E2C">
              <w:rPr>
                <w:sz w:val="22"/>
                <w:lang w:eastAsia="en-GB"/>
              </w:rPr>
              <w:t>£22,964</w:t>
            </w:r>
          </w:p>
        </w:tc>
        <w:tc>
          <w:tcPr>
            <w:tcW w:w="0" w:type="auto"/>
            <w:shd w:val="clear" w:color="auto" w:fill="auto"/>
            <w:noWrap/>
            <w:hideMark/>
          </w:tcPr>
          <w:p w14:paraId="7FD83C2C"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58969F5" w14:textId="77777777" w:rsidR="002F0133" w:rsidRPr="000B4E2C" w:rsidRDefault="002F0133" w:rsidP="008A7464">
            <w:pPr>
              <w:rPr>
                <w:sz w:val="22"/>
                <w:lang w:eastAsia="en-GB"/>
              </w:rPr>
            </w:pPr>
            <w:r w:rsidRPr="000B4E2C">
              <w:rPr>
                <w:sz w:val="22"/>
                <w:lang w:eastAsia="en-GB"/>
              </w:rPr>
              <w:t>6.07126</w:t>
            </w:r>
          </w:p>
        </w:tc>
        <w:tc>
          <w:tcPr>
            <w:tcW w:w="0" w:type="auto"/>
            <w:shd w:val="clear" w:color="auto" w:fill="auto"/>
            <w:noWrap/>
            <w:hideMark/>
          </w:tcPr>
          <w:p w14:paraId="23B2AD2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8A9802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9A5D027"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292F314D" w14:textId="77777777" w:rsidR="002F0133" w:rsidRPr="000B4E2C" w:rsidRDefault="002F0133" w:rsidP="008A7464">
            <w:pPr>
              <w:rPr>
                <w:sz w:val="22"/>
                <w:lang w:eastAsia="en-GB"/>
              </w:rPr>
            </w:pPr>
            <w:r w:rsidRPr="000B4E2C">
              <w:rPr>
                <w:sz w:val="22"/>
                <w:lang w:eastAsia="en-GB"/>
              </w:rPr>
              <w:t>47.9%</w:t>
            </w:r>
          </w:p>
        </w:tc>
        <w:tc>
          <w:tcPr>
            <w:tcW w:w="0" w:type="auto"/>
            <w:shd w:val="clear" w:color="auto" w:fill="auto"/>
            <w:noWrap/>
            <w:hideMark/>
          </w:tcPr>
          <w:p w14:paraId="1283153E" w14:textId="77777777" w:rsidR="002F0133" w:rsidRPr="000B4E2C" w:rsidRDefault="002F0133" w:rsidP="008A7464">
            <w:pPr>
              <w:rPr>
                <w:sz w:val="22"/>
                <w:lang w:eastAsia="en-GB"/>
              </w:rPr>
            </w:pPr>
            <w:r w:rsidRPr="000B4E2C">
              <w:rPr>
                <w:sz w:val="22"/>
                <w:lang w:eastAsia="en-GB"/>
              </w:rPr>
              <w:t>--</w:t>
            </w:r>
          </w:p>
        </w:tc>
      </w:tr>
      <w:tr w:rsidR="002F0133" w:rsidRPr="000B4E2C" w14:paraId="7957E444" w14:textId="77777777" w:rsidTr="000B4E2C">
        <w:trPr>
          <w:cantSplit/>
        </w:trPr>
        <w:tc>
          <w:tcPr>
            <w:tcW w:w="0" w:type="auto"/>
            <w:shd w:val="clear" w:color="auto" w:fill="auto"/>
            <w:noWrap/>
            <w:hideMark/>
          </w:tcPr>
          <w:p w14:paraId="2FD7386C" w14:textId="1124F195"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6E9C650B" w14:textId="77777777" w:rsidR="002F0133" w:rsidRPr="000B4E2C" w:rsidRDefault="002F0133" w:rsidP="008A7464">
            <w:pPr>
              <w:rPr>
                <w:sz w:val="22"/>
                <w:lang w:eastAsia="en-GB"/>
              </w:rPr>
            </w:pPr>
            <w:r w:rsidRPr="000B4E2C">
              <w:rPr>
                <w:sz w:val="22"/>
                <w:lang w:eastAsia="en-GB"/>
              </w:rPr>
              <w:t>£22,965</w:t>
            </w:r>
          </w:p>
        </w:tc>
        <w:tc>
          <w:tcPr>
            <w:tcW w:w="0" w:type="auto"/>
            <w:shd w:val="clear" w:color="auto" w:fill="auto"/>
            <w:noWrap/>
            <w:hideMark/>
          </w:tcPr>
          <w:p w14:paraId="00DD40B9" w14:textId="77777777" w:rsidR="002F0133" w:rsidRPr="000B4E2C" w:rsidRDefault="002F0133" w:rsidP="008A7464">
            <w:pPr>
              <w:rPr>
                <w:sz w:val="22"/>
                <w:lang w:eastAsia="en-GB"/>
              </w:rPr>
            </w:pPr>
            <w:r w:rsidRPr="000B4E2C">
              <w:rPr>
                <w:sz w:val="22"/>
                <w:lang w:eastAsia="en-GB"/>
              </w:rPr>
              <w:t>£13</w:t>
            </w:r>
          </w:p>
        </w:tc>
        <w:tc>
          <w:tcPr>
            <w:tcW w:w="0" w:type="auto"/>
            <w:shd w:val="clear" w:color="auto" w:fill="auto"/>
            <w:noWrap/>
            <w:hideMark/>
          </w:tcPr>
          <w:p w14:paraId="4308B812" w14:textId="77777777" w:rsidR="002F0133" w:rsidRPr="000B4E2C" w:rsidRDefault="002F0133" w:rsidP="008A7464">
            <w:pPr>
              <w:rPr>
                <w:sz w:val="22"/>
                <w:lang w:eastAsia="en-GB"/>
              </w:rPr>
            </w:pPr>
            <w:r w:rsidRPr="000B4E2C">
              <w:rPr>
                <w:sz w:val="22"/>
                <w:lang w:eastAsia="en-GB"/>
              </w:rPr>
              <w:t>6.07163</w:t>
            </w:r>
          </w:p>
        </w:tc>
        <w:tc>
          <w:tcPr>
            <w:tcW w:w="0" w:type="auto"/>
            <w:shd w:val="clear" w:color="auto" w:fill="auto"/>
            <w:noWrap/>
            <w:hideMark/>
          </w:tcPr>
          <w:p w14:paraId="408A7397" w14:textId="77777777" w:rsidR="002F0133" w:rsidRPr="000B4E2C" w:rsidRDefault="002F0133" w:rsidP="008A7464">
            <w:pPr>
              <w:rPr>
                <w:sz w:val="22"/>
                <w:lang w:eastAsia="en-GB"/>
              </w:rPr>
            </w:pPr>
            <w:r w:rsidRPr="000B4E2C">
              <w:rPr>
                <w:sz w:val="22"/>
                <w:lang w:eastAsia="en-GB"/>
              </w:rPr>
              <w:t>0.00001</w:t>
            </w:r>
          </w:p>
        </w:tc>
        <w:tc>
          <w:tcPr>
            <w:tcW w:w="0" w:type="auto"/>
            <w:shd w:val="clear" w:color="auto" w:fill="auto"/>
            <w:noWrap/>
            <w:hideMark/>
          </w:tcPr>
          <w:p w14:paraId="1A814020" w14:textId="77777777" w:rsidR="002F0133" w:rsidRPr="000B4E2C" w:rsidRDefault="002F0133" w:rsidP="008A7464">
            <w:pPr>
              <w:rPr>
                <w:sz w:val="22"/>
                <w:lang w:eastAsia="en-GB"/>
              </w:rPr>
            </w:pPr>
            <w:r w:rsidRPr="000B4E2C">
              <w:rPr>
                <w:sz w:val="22"/>
                <w:lang w:eastAsia="en-GB"/>
              </w:rPr>
              <w:t>£999,957</w:t>
            </w:r>
          </w:p>
        </w:tc>
        <w:tc>
          <w:tcPr>
            <w:tcW w:w="0" w:type="auto"/>
            <w:shd w:val="clear" w:color="auto" w:fill="auto"/>
            <w:noWrap/>
            <w:hideMark/>
          </w:tcPr>
          <w:p w14:paraId="6B85BE0D" w14:textId="77777777" w:rsidR="002F0133" w:rsidRPr="000B4E2C" w:rsidRDefault="002F0133" w:rsidP="008A7464">
            <w:pPr>
              <w:rPr>
                <w:sz w:val="22"/>
                <w:lang w:eastAsia="en-GB"/>
              </w:rPr>
            </w:pPr>
            <w:r w:rsidRPr="000B4E2C">
              <w:rPr>
                <w:sz w:val="22"/>
                <w:lang w:eastAsia="en-GB"/>
              </w:rPr>
              <w:t>£2,229</w:t>
            </w:r>
          </w:p>
        </w:tc>
        <w:tc>
          <w:tcPr>
            <w:tcW w:w="0" w:type="auto"/>
            <w:shd w:val="clear" w:color="auto" w:fill="auto"/>
            <w:noWrap/>
            <w:hideMark/>
          </w:tcPr>
          <w:p w14:paraId="04D8DBEF" w14:textId="77777777" w:rsidR="002F0133" w:rsidRPr="000B4E2C" w:rsidRDefault="002F0133" w:rsidP="008A7464">
            <w:pPr>
              <w:rPr>
                <w:sz w:val="22"/>
                <w:lang w:eastAsia="en-GB"/>
              </w:rPr>
            </w:pPr>
            <w:r w:rsidRPr="000B4E2C">
              <w:rPr>
                <w:sz w:val="22"/>
                <w:lang w:eastAsia="en-GB"/>
              </w:rPr>
              <w:t>12.2%</w:t>
            </w:r>
          </w:p>
        </w:tc>
        <w:tc>
          <w:tcPr>
            <w:tcW w:w="0" w:type="auto"/>
            <w:shd w:val="clear" w:color="auto" w:fill="auto"/>
            <w:noWrap/>
            <w:hideMark/>
          </w:tcPr>
          <w:p w14:paraId="0E79FFD2" w14:textId="77777777" w:rsidR="002F0133" w:rsidRPr="000B4E2C" w:rsidRDefault="002F0133" w:rsidP="008A7464">
            <w:pPr>
              <w:rPr>
                <w:sz w:val="22"/>
                <w:lang w:eastAsia="en-GB"/>
              </w:rPr>
            </w:pPr>
            <w:r w:rsidRPr="000B4E2C">
              <w:rPr>
                <w:sz w:val="22"/>
                <w:lang w:eastAsia="en-GB"/>
              </w:rPr>
              <w:t>45.6%</w:t>
            </w:r>
          </w:p>
        </w:tc>
      </w:tr>
      <w:tr w:rsidR="002F0133" w:rsidRPr="000B4E2C" w14:paraId="5007564E" w14:textId="77777777" w:rsidTr="000B4E2C">
        <w:trPr>
          <w:cantSplit/>
        </w:trPr>
        <w:tc>
          <w:tcPr>
            <w:tcW w:w="0" w:type="auto"/>
            <w:shd w:val="clear" w:color="auto" w:fill="auto"/>
            <w:noWrap/>
            <w:hideMark/>
          </w:tcPr>
          <w:p w14:paraId="3BDD01C2" w14:textId="34713482"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28994F76" w14:textId="77777777" w:rsidR="002F0133" w:rsidRPr="000B4E2C" w:rsidRDefault="002F0133" w:rsidP="008A7464">
            <w:pPr>
              <w:rPr>
                <w:sz w:val="22"/>
                <w:lang w:eastAsia="en-GB"/>
              </w:rPr>
            </w:pPr>
            <w:r w:rsidRPr="000B4E2C">
              <w:rPr>
                <w:sz w:val="22"/>
                <w:lang w:eastAsia="en-GB"/>
              </w:rPr>
              <w:t>£22,975</w:t>
            </w:r>
          </w:p>
        </w:tc>
        <w:tc>
          <w:tcPr>
            <w:tcW w:w="0" w:type="auto"/>
            <w:shd w:val="clear" w:color="auto" w:fill="auto"/>
            <w:noWrap/>
            <w:hideMark/>
          </w:tcPr>
          <w:p w14:paraId="1C8A2F7F"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C4CD581" w14:textId="77777777" w:rsidR="002F0133" w:rsidRPr="000B4E2C" w:rsidRDefault="002F0133" w:rsidP="008A7464">
            <w:pPr>
              <w:rPr>
                <w:sz w:val="22"/>
                <w:lang w:eastAsia="en-GB"/>
              </w:rPr>
            </w:pPr>
            <w:r w:rsidRPr="000B4E2C">
              <w:rPr>
                <w:sz w:val="22"/>
                <w:lang w:eastAsia="en-GB"/>
              </w:rPr>
              <w:t>6.07159</w:t>
            </w:r>
          </w:p>
        </w:tc>
        <w:tc>
          <w:tcPr>
            <w:tcW w:w="0" w:type="auto"/>
            <w:shd w:val="clear" w:color="auto" w:fill="auto"/>
            <w:noWrap/>
            <w:hideMark/>
          </w:tcPr>
          <w:p w14:paraId="2AA7A2D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C1DBD3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BF17F11" w14:textId="77777777" w:rsidR="002F0133" w:rsidRPr="000B4E2C" w:rsidRDefault="002F0133" w:rsidP="008A7464">
            <w:pPr>
              <w:rPr>
                <w:sz w:val="22"/>
                <w:lang w:eastAsia="en-GB"/>
              </w:rPr>
            </w:pPr>
            <w:r w:rsidRPr="000B4E2C">
              <w:rPr>
                <w:sz w:val="22"/>
                <w:lang w:eastAsia="en-GB"/>
              </w:rPr>
              <w:t>£35,302</w:t>
            </w:r>
          </w:p>
        </w:tc>
        <w:tc>
          <w:tcPr>
            <w:tcW w:w="0" w:type="auto"/>
            <w:shd w:val="clear" w:color="auto" w:fill="auto"/>
            <w:noWrap/>
            <w:hideMark/>
          </w:tcPr>
          <w:p w14:paraId="1AA461C1" w14:textId="77777777" w:rsidR="002F0133" w:rsidRPr="000B4E2C" w:rsidRDefault="002F0133" w:rsidP="008A7464">
            <w:pPr>
              <w:rPr>
                <w:sz w:val="22"/>
                <w:lang w:eastAsia="en-GB"/>
              </w:rPr>
            </w:pPr>
            <w:r w:rsidRPr="000B4E2C">
              <w:rPr>
                <w:sz w:val="22"/>
                <w:lang w:eastAsia="en-GB"/>
              </w:rPr>
              <w:t>0.0%</w:t>
            </w:r>
          </w:p>
        </w:tc>
        <w:tc>
          <w:tcPr>
            <w:tcW w:w="0" w:type="auto"/>
            <w:shd w:val="clear" w:color="auto" w:fill="auto"/>
            <w:noWrap/>
            <w:hideMark/>
          </w:tcPr>
          <w:p w14:paraId="2F46F3E5" w14:textId="77777777" w:rsidR="002F0133" w:rsidRPr="000B4E2C" w:rsidRDefault="002F0133" w:rsidP="008A7464">
            <w:pPr>
              <w:rPr>
                <w:sz w:val="22"/>
                <w:lang w:eastAsia="en-GB"/>
              </w:rPr>
            </w:pPr>
            <w:r w:rsidRPr="000B4E2C">
              <w:rPr>
                <w:sz w:val="22"/>
                <w:lang w:eastAsia="en-GB"/>
              </w:rPr>
              <w:t>40.5%</w:t>
            </w:r>
          </w:p>
        </w:tc>
      </w:tr>
      <w:tr w:rsidR="002F0133" w:rsidRPr="000B4E2C" w14:paraId="057803D9" w14:textId="77777777" w:rsidTr="000B4E2C">
        <w:trPr>
          <w:cantSplit/>
        </w:trPr>
        <w:tc>
          <w:tcPr>
            <w:tcW w:w="0" w:type="auto"/>
            <w:shd w:val="clear" w:color="auto" w:fill="auto"/>
            <w:noWrap/>
            <w:hideMark/>
          </w:tcPr>
          <w:p w14:paraId="4486DE6E"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050FF19D" w14:textId="77777777" w:rsidR="002F0133" w:rsidRPr="000B4E2C" w:rsidRDefault="002F0133" w:rsidP="008A7464">
            <w:pPr>
              <w:rPr>
                <w:sz w:val="22"/>
                <w:lang w:eastAsia="en-GB"/>
              </w:rPr>
            </w:pPr>
            <w:r w:rsidRPr="000B4E2C">
              <w:rPr>
                <w:sz w:val="22"/>
                <w:lang w:eastAsia="en-GB"/>
              </w:rPr>
              <w:t>£23,002</w:t>
            </w:r>
          </w:p>
        </w:tc>
        <w:tc>
          <w:tcPr>
            <w:tcW w:w="0" w:type="auto"/>
            <w:shd w:val="clear" w:color="auto" w:fill="auto"/>
            <w:noWrap/>
            <w:hideMark/>
          </w:tcPr>
          <w:p w14:paraId="4FB4CAB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5D258B3" w14:textId="77777777" w:rsidR="002F0133" w:rsidRPr="000B4E2C" w:rsidRDefault="002F0133" w:rsidP="008A7464">
            <w:pPr>
              <w:rPr>
                <w:sz w:val="22"/>
                <w:lang w:eastAsia="en-GB"/>
              </w:rPr>
            </w:pPr>
            <w:r w:rsidRPr="000B4E2C">
              <w:rPr>
                <w:sz w:val="22"/>
                <w:lang w:eastAsia="en-GB"/>
              </w:rPr>
              <w:t>6.07162</w:t>
            </w:r>
          </w:p>
        </w:tc>
        <w:tc>
          <w:tcPr>
            <w:tcW w:w="0" w:type="auto"/>
            <w:shd w:val="clear" w:color="auto" w:fill="auto"/>
            <w:noWrap/>
            <w:hideMark/>
          </w:tcPr>
          <w:p w14:paraId="51A1B30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35DF1E1"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6151285" w14:textId="77777777" w:rsidR="002F0133" w:rsidRPr="000B4E2C" w:rsidRDefault="002F0133" w:rsidP="008A7464">
            <w:pPr>
              <w:rPr>
                <w:sz w:val="22"/>
                <w:lang w:eastAsia="en-GB"/>
              </w:rPr>
            </w:pPr>
            <w:r w:rsidRPr="000B4E2C">
              <w:rPr>
                <w:sz w:val="22"/>
                <w:lang w:eastAsia="en-GB"/>
              </w:rPr>
              <w:t>£105,799</w:t>
            </w:r>
          </w:p>
        </w:tc>
        <w:tc>
          <w:tcPr>
            <w:tcW w:w="0" w:type="auto"/>
            <w:shd w:val="clear" w:color="auto" w:fill="auto"/>
            <w:noWrap/>
            <w:hideMark/>
          </w:tcPr>
          <w:p w14:paraId="71741A42" w14:textId="77777777" w:rsidR="002F0133" w:rsidRPr="000B4E2C" w:rsidRDefault="002F0133" w:rsidP="008A7464">
            <w:pPr>
              <w:rPr>
                <w:sz w:val="22"/>
                <w:lang w:eastAsia="en-GB"/>
              </w:rPr>
            </w:pPr>
            <w:r w:rsidRPr="000B4E2C">
              <w:rPr>
                <w:sz w:val="22"/>
                <w:lang w:eastAsia="en-GB"/>
              </w:rPr>
              <w:t>0.3%</w:t>
            </w:r>
          </w:p>
        </w:tc>
        <w:tc>
          <w:tcPr>
            <w:tcW w:w="0" w:type="auto"/>
            <w:shd w:val="clear" w:color="auto" w:fill="auto"/>
            <w:noWrap/>
            <w:hideMark/>
          </w:tcPr>
          <w:p w14:paraId="0E203AAF" w14:textId="77777777" w:rsidR="002F0133" w:rsidRPr="000B4E2C" w:rsidRDefault="002F0133" w:rsidP="008A7464">
            <w:pPr>
              <w:rPr>
                <w:sz w:val="22"/>
                <w:lang w:eastAsia="en-GB"/>
              </w:rPr>
            </w:pPr>
            <w:r w:rsidRPr="000B4E2C">
              <w:rPr>
                <w:sz w:val="22"/>
                <w:lang w:eastAsia="en-GB"/>
              </w:rPr>
              <w:t>31.4%</w:t>
            </w:r>
          </w:p>
        </w:tc>
      </w:tr>
      <w:tr w:rsidR="002F0133" w:rsidRPr="000B4E2C" w14:paraId="55A5E015" w14:textId="77777777" w:rsidTr="000B4E2C">
        <w:trPr>
          <w:cantSplit/>
        </w:trPr>
        <w:tc>
          <w:tcPr>
            <w:tcW w:w="0" w:type="auto"/>
            <w:gridSpan w:val="9"/>
            <w:shd w:val="clear" w:color="auto" w:fill="auto"/>
            <w:noWrap/>
            <w:hideMark/>
          </w:tcPr>
          <w:p w14:paraId="68385F1E" w14:textId="7D915553" w:rsidR="002F0133" w:rsidRPr="000B4E2C" w:rsidRDefault="002F0133" w:rsidP="008A7464">
            <w:pPr>
              <w:rPr>
                <w:b/>
                <w:bCs/>
                <w:sz w:val="22"/>
                <w:lang w:eastAsia="en-GB"/>
              </w:rPr>
            </w:pPr>
            <w:r w:rsidRPr="000B4E2C">
              <w:rPr>
                <w:b/>
                <w:bCs/>
                <w:sz w:val="22"/>
                <w:lang w:eastAsia="en-GB"/>
              </w:rPr>
              <w:t xml:space="preserve">Scenario 1O Apply alternative ICU utility value (average of </w:t>
            </w:r>
            <w:r w:rsidR="000B4E2C" w:rsidRPr="000B4E2C">
              <w:rPr>
                <w:b/>
                <w:bCs/>
                <w:color w:val="00B0F0"/>
                <w:sz w:val="22"/>
                <w:lang w:eastAsia="en-GB"/>
              </w:rPr>
              <w:t>–</w:t>
            </w:r>
            <w:r w:rsidR="000B4E2C" w:rsidRPr="000B4E2C">
              <w:rPr>
                <w:b/>
                <w:bCs/>
                <w:color w:val="00B0F0"/>
                <w:sz w:val="22"/>
                <w:lang w:eastAsia="en-GB"/>
              </w:rPr>
              <w:t>0</w:t>
            </w:r>
            <w:r w:rsidRPr="000B4E2C">
              <w:rPr>
                <w:b/>
                <w:bCs/>
                <w:sz w:val="22"/>
                <w:lang w:eastAsia="en-GB"/>
              </w:rPr>
              <w:t>.402 and 0.44)</w:t>
            </w:r>
          </w:p>
        </w:tc>
      </w:tr>
      <w:tr w:rsidR="002F0133" w:rsidRPr="000B4E2C" w14:paraId="3EA5D07E" w14:textId="77777777" w:rsidTr="000B4E2C">
        <w:trPr>
          <w:cantSplit/>
        </w:trPr>
        <w:tc>
          <w:tcPr>
            <w:tcW w:w="0" w:type="auto"/>
            <w:shd w:val="clear" w:color="auto" w:fill="auto"/>
            <w:noWrap/>
            <w:hideMark/>
          </w:tcPr>
          <w:p w14:paraId="57926BD4" w14:textId="4D3F4388"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273F9AEE" w14:textId="77777777" w:rsidR="002F0133" w:rsidRPr="000B4E2C" w:rsidRDefault="002F0133" w:rsidP="008A7464">
            <w:pPr>
              <w:rPr>
                <w:sz w:val="22"/>
                <w:lang w:eastAsia="en-GB"/>
              </w:rPr>
            </w:pPr>
            <w:r w:rsidRPr="000B4E2C">
              <w:rPr>
                <w:sz w:val="22"/>
                <w:lang w:eastAsia="en-GB"/>
              </w:rPr>
              <w:t>£23,020</w:t>
            </w:r>
          </w:p>
        </w:tc>
        <w:tc>
          <w:tcPr>
            <w:tcW w:w="0" w:type="auto"/>
            <w:shd w:val="clear" w:color="auto" w:fill="auto"/>
            <w:noWrap/>
            <w:hideMark/>
          </w:tcPr>
          <w:p w14:paraId="4E275A0D"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6B68A66" w14:textId="77777777" w:rsidR="002F0133" w:rsidRPr="000B4E2C" w:rsidRDefault="002F0133" w:rsidP="008A7464">
            <w:pPr>
              <w:rPr>
                <w:sz w:val="22"/>
                <w:lang w:eastAsia="en-GB"/>
              </w:rPr>
            </w:pPr>
            <w:r w:rsidRPr="000B4E2C">
              <w:rPr>
                <w:sz w:val="22"/>
                <w:lang w:eastAsia="en-GB"/>
              </w:rPr>
              <w:t>6.07328</w:t>
            </w:r>
          </w:p>
        </w:tc>
        <w:tc>
          <w:tcPr>
            <w:tcW w:w="0" w:type="auto"/>
            <w:shd w:val="clear" w:color="auto" w:fill="auto"/>
            <w:noWrap/>
            <w:hideMark/>
          </w:tcPr>
          <w:p w14:paraId="33E8578D"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737396A9"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3467B473"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09827EB7" w14:textId="77777777" w:rsidR="002F0133" w:rsidRPr="000B4E2C" w:rsidRDefault="002F0133" w:rsidP="008A7464">
            <w:pPr>
              <w:rPr>
                <w:sz w:val="22"/>
                <w:lang w:eastAsia="en-GB"/>
              </w:rPr>
            </w:pPr>
            <w:r w:rsidRPr="000B4E2C">
              <w:rPr>
                <w:sz w:val="22"/>
                <w:lang w:eastAsia="en-GB"/>
              </w:rPr>
              <w:t>42.4%</w:t>
            </w:r>
          </w:p>
        </w:tc>
        <w:tc>
          <w:tcPr>
            <w:tcW w:w="0" w:type="auto"/>
            <w:shd w:val="clear" w:color="auto" w:fill="auto"/>
            <w:noWrap/>
            <w:hideMark/>
          </w:tcPr>
          <w:p w14:paraId="6E43EB46" w14:textId="77777777" w:rsidR="002F0133" w:rsidRPr="000B4E2C" w:rsidRDefault="002F0133" w:rsidP="008A7464">
            <w:pPr>
              <w:rPr>
                <w:sz w:val="22"/>
                <w:lang w:eastAsia="en-GB"/>
              </w:rPr>
            </w:pPr>
            <w:r w:rsidRPr="000B4E2C">
              <w:rPr>
                <w:sz w:val="22"/>
                <w:lang w:eastAsia="en-GB"/>
              </w:rPr>
              <w:t>53.9%</w:t>
            </w:r>
          </w:p>
        </w:tc>
      </w:tr>
      <w:tr w:rsidR="002F0133" w:rsidRPr="000B4E2C" w14:paraId="6CB9AC3B" w14:textId="77777777" w:rsidTr="000B4E2C">
        <w:trPr>
          <w:cantSplit/>
        </w:trPr>
        <w:tc>
          <w:tcPr>
            <w:tcW w:w="0" w:type="auto"/>
            <w:shd w:val="clear" w:color="auto" w:fill="auto"/>
            <w:noWrap/>
            <w:hideMark/>
          </w:tcPr>
          <w:p w14:paraId="7A3C598C"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78443FA6" w14:textId="77777777" w:rsidR="002F0133" w:rsidRPr="000B4E2C" w:rsidRDefault="002F0133" w:rsidP="008A7464">
            <w:pPr>
              <w:rPr>
                <w:sz w:val="22"/>
                <w:lang w:eastAsia="en-GB"/>
              </w:rPr>
            </w:pPr>
            <w:r w:rsidRPr="000B4E2C">
              <w:rPr>
                <w:sz w:val="22"/>
                <w:lang w:eastAsia="en-GB"/>
              </w:rPr>
              <w:t>£23,032</w:t>
            </w:r>
          </w:p>
        </w:tc>
        <w:tc>
          <w:tcPr>
            <w:tcW w:w="0" w:type="auto"/>
            <w:shd w:val="clear" w:color="auto" w:fill="auto"/>
            <w:noWrap/>
            <w:hideMark/>
          </w:tcPr>
          <w:p w14:paraId="6D4AC3CE"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846A374" w14:textId="77777777" w:rsidR="002F0133" w:rsidRPr="000B4E2C" w:rsidRDefault="002F0133" w:rsidP="008A7464">
            <w:pPr>
              <w:rPr>
                <w:sz w:val="22"/>
                <w:lang w:eastAsia="en-GB"/>
              </w:rPr>
            </w:pPr>
            <w:r w:rsidRPr="000B4E2C">
              <w:rPr>
                <w:sz w:val="22"/>
                <w:lang w:eastAsia="en-GB"/>
              </w:rPr>
              <w:t>6.07296</w:t>
            </w:r>
          </w:p>
        </w:tc>
        <w:tc>
          <w:tcPr>
            <w:tcW w:w="0" w:type="auto"/>
            <w:shd w:val="clear" w:color="auto" w:fill="auto"/>
            <w:noWrap/>
            <w:hideMark/>
          </w:tcPr>
          <w:p w14:paraId="78F98F7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90127B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C5D518C"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30E5F4D" w14:textId="77777777" w:rsidR="002F0133" w:rsidRPr="000B4E2C" w:rsidRDefault="002F0133" w:rsidP="008A7464">
            <w:pPr>
              <w:rPr>
                <w:sz w:val="22"/>
                <w:lang w:eastAsia="en-GB"/>
              </w:rPr>
            </w:pPr>
            <w:r w:rsidRPr="000B4E2C">
              <w:rPr>
                <w:sz w:val="22"/>
                <w:lang w:eastAsia="en-GB"/>
              </w:rPr>
              <w:t>45.9%</w:t>
            </w:r>
          </w:p>
        </w:tc>
        <w:tc>
          <w:tcPr>
            <w:tcW w:w="0" w:type="auto"/>
            <w:shd w:val="clear" w:color="auto" w:fill="auto"/>
            <w:noWrap/>
            <w:hideMark/>
          </w:tcPr>
          <w:p w14:paraId="596AAE9D" w14:textId="77777777" w:rsidR="002F0133" w:rsidRPr="000B4E2C" w:rsidRDefault="002F0133" w:rsidP="008A7464">
            <w:pPr>
              <w:rPr>
                <w:sz w:val="22"/>
                <w:lang w:eastAsia="en-GB"/>
              </w:rPr>
            </w:pPr>
            <w:r w:rsidRPr="000B4E2C">
              <w:rPr>
                <w:sz w:val="22"/>
                <w:lang w:eastAsia="en-GB"/>
              </w:rPr>
              <w:t>--</w:t>
            </w:r>
          </w:p>
        </w:tc>
      </w:tr>
      <w:tr w:rsidR="002F0133" w:rsidRPr="000B4E2C" w14:paraId="1F9C6552" w14:textId="77777777" w:rsidTr="000B4E2C">
        <w:trPr>
          <w:cantSplit/>
        </w:trPr>
        <w:tc>
          <w:tcPr>
            <w:tcW w:w="0" w:type="auto"/>
            <w:shd w:val="clear" w:color="auto" w:fill="auto"/>
            <w:noWrap/>
            <w:hideMark/>
          </w:tcPr>
          <w:p w14:paraId="2A113332" w14:textId="3C2D16A6" w:rsidR="002F0133" w:rsidRPr="000B4E2C" w:rsidRDefault="002F0133" w:rsidP="008A7464">
            <w:pPr>
              <w:rPr>
                <w:sz w:val="22"/>
                <w:lang w:eastAsia="en-GB"/>
              </w:rPr>
            </w:pPr>
            <w:r w:rsidRPr="000B4E2C">
              <w:rPr>
                <w:sz w:val="22"/>
                <w:lang w:eastAsia="en-GB"/>
              </w:rPr>
              <w:lastRenderedPageBreak/>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70E5BE08" w14:textId="77777777" w:rsidR="002F0133" w:rsidRPr="000B4E2C" w:rsidRDefault="002F0133" w:rsidP="008A7464">
            <w:pPr>
              <w:rPr>
                <w:sz w:val="22"/>
                <w:lang w:eastAsia="en-GB"/>
              </w:rPr>
            </w:pPr>
            <w:r w:rsidRPr="000B4E2C">
              <w:rPr>
                <w:sz w:val="22"/>
                <w:lang w:eastAsia="en-GB"/>
              </w:rPr>
              <w:t>£23,033</w:t>
            </w:r>
          </w:p>
        </w:tc>
        <w:tc>
          <w:tcPr>
            <w:tcW w:w="0" w:type="auto"/>
            <w:shd w:val="clear" w:color="auto" w:fill="auto"/>
            <w:noWrap/>
            <w:hideMark/>
          </w:tcPr>
          <w:p w14:paraId="38B833F0" w14:textId="77777777" w:rsidR="002F0133" w:rsidRPr="000B4E2C" w:rsidRDefault="002F0133" w:rsidP="008A7464">
            <w:pPr>
              <w:rPr>
                <w:sz w:val="22"/>
                <w:lang w:eastAsia="en-GB"/>
              </w:rPr>
            </w:pPr>
            <w:r w:rsidRPr="000B4E2C">
              <w:rPr>
                <w:sz w:val="22"/>
                <w:lang w:eastAsia="en-GB"/>
              </w:rPr>
              <w:t>£13</w:t>
            </w:r>
          </w:p>
        </w:tc>
        <w:tc>
          <w:tcPr>
            <w:tcW w:w="0" w:type="auto"/>
            <w:shd w:val="clear" w:color="auto" w:fill="auto"/>
            <w:noWrap/>
            <w:hideMark/>
          </w:tcPr>
          <w:p w14:paraId="0DAD61EC" w14:textId="77777777" w:rsidR="002F0133" w:rsidRPr="000B4E2C" w:rsidRDefault="002F0133" w:rsidP="008A7464">
            <w:pPr>
              <w:rPr>
                <w:sz w:val="22"/>
                <w:lang w:eastAsia="en-GB"/>
              </w:rPr>
            </w:pPr>
            <w:r w:rsidRPr="000B4E2C">
              <w:rPr>
                <w:sz w:val="22"/>
                <w:lang w:eastAsia="en-GB"/>
              </w:rPr>
              <w:t>6.07329</w:t>
            </w:r>
          </w:p>
        </w:tc>
        <w:tc>
          <w:tcPr>
            <w:tcW w:w="0" w:type="auto"/>
            <w:shd w:val="clear" w:color="auto" w:fill="auto"/>
            <w:noWrap/>
            <w:hideMark/>
          </w:tcPr>
          <w:p w14:paraId="4F924525" w14:textId="77777777" w:rsidR="002F0133" w:rsidRPr="000B4E2C" w:rsidRDefault="002F0133" w:rsidP="008A7464">
            <w:pPr>
              <w:rPr>
                <w:sz w:val="22"/>
                <w:lang w:eastAsia="en-GB"/>
              </w:rPr>
            </w:pPr>
            <w:r w:rsidRPr="000B4E2C">
              <w:rPr>
                <w:sz w:val="22"/>
                <w:lang w:eastAsia="en-GB"/>
              </w:rPr>
              <w:t>0.00001</w:t>
            </w:r>
          </w:p>
        </w:tc>
        <w:tc>
          <w:tcPr>
            <w:tcW w:w="0" w:type="auto"/>
            <w:shd w:val="clear" w:color="auto" w:fill="auto"/>
            <w:noWrap/>
            <w:hideMark/>
          </w:tcPr>
          <w:p w14:paraId="39736EF0" w14:textId="77777777" w:rsidR="002F0133" w:rsidRPr="000B4E2C" w:rsidRDefault="002F0133" w:rsidP="008A7464">
            <w:pPr>
              <w:rPr>
                <w:sz w:val="22"/>
                <w:lang w:eastAsia="en-GB"/>
              </w:rPr>
            </w:pPr>
            <w:r w:rsidRPr="000B4E2C">
              <w:rPr>
                <w:sz w:val="22"/>
                <w:lang w:eastAsia="en-GB"/>
              </w:rPr>
              <w:t>£1,565,836</w:t>
            </w:r>
          </w:p>
        </w:tc>
        <w:tc>
          <w:tcPr>
            <w:tcW w:w="0" w:type="auto"/>
            <w:shd w:val="clear" w:color="auto" w:fill="auto"/>
            <w:noWrap/>
            <w:hideMark/>
          </w:tcPr>
          <w:p w14:paraId="1C73C681" w14:textId="77777777" w:rsidR="002F0133" w:rsidRPr="000B4E2C" w:rsidRDefault="002F0133" w:rsidP="008A7464">
            <w:pPr>
              <w:rPr>
                <w:sz w:val="22"/>
                <w:lang w:eastAsia="en-GB"/>
              </w:rPr>
            </w:pPr>
            <w:r w:rsidRPr="000B4E2C">
              <w:rPr>
                <w:sz w:val="22"/>
                <w:lang w:eastAsia="en-GB"/>
              </w:rPr>
              <w:t>£1,487</w:t>
            </w:r>
          </w:p>
        </w:tc>
        <w:tc>
          <w:tcPr>
            <w:tcW w:w="0" w:type="auto"/>
            <w:shd w:val="clear" w:color="auto" w:fill="auto"/>
            <w:noWrap/>
            <w:hideMark/>
          </w:tcPr>
          <w:p w14:paraId="20930A1F" w14:textId="77777777" w:rsidR="002F0133" w:rsidRPr="000B4E2C" w:rsidRDefault="002F0133" w:rsidP="008A7464">
            <w:pPr>
              <w:rPr>
                <w:sz w:val="22"/>
                <w:lang w:eastAsia="en-GB"/>
              </w:rPr>
            </w:pPr>
            <w:r w:rsidRPr="000B4E2C">
              <w:rPr>
                <w:sz w:val="22"/>
                <w:lang w:eastAsia="en-GB"/>
              </w:rPr>
              <w:t>11.0%</w:t>
            </w:r>
          </w:p>
        </w:tc>
        <w:tc>
          <w:tcPr>
            <w:tcW w:w="0" w:type="auto"/>
            <w:shd w:val="clear" w:color="auto" w:fill="auto"/>
            <w:noWrap/>
            <w:hideMark/>
          </w:tcPr>
          <w:p w14:paraId="43F81723" w14:textId="77777777" w:rsidR="002F0133" w:rsidRPr="000B4E2C" w:rsidRDefault="002F0133" w:rsidP="008A7464">
            <w:pPr>
              <w:rPr>
                <w:sz w:val="22"/>
                <w:lang w:eastAsia="en-GB"/>
              </w:rPr>
            </w:pPr>
            <w:r w:rsidRPr="000B4E2C">
              <w:rPr>
                <w:sz w:val="22"/>
                <w:lang w:eastAsia="en-GB"/>
              </w:rPr>
              <w:t>47.4%</w:t>
            </w:r>
          </w:p>
        </w:tc>
      </w:tr>
      <w:tr w:rsidR="002F0133" w:rsidRPr="000B4E2C" w14:paraId="5BB26AE9" w14:textId="77777777" w:rsidTr="000B4E2C">
        <w:trPr>
          <w:cantSplit/>
        </w:trPr>
        <w:tc>
          <w:tcPr>
            <w:tcW w:w="0" w:type="auto"/>
            <w:shd w:val="clear" w:color="auto" w:fill="auto"/>
            <w:noWrap/>
            <w:hideMark/>
          </w:tcPr>
          <w:p w14:paraId="4DE7B8D4" w14:textId="0063DF05"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4DAA8624" w14:textId="77777777" w:rsidR="002F0133" w:rsidRPr="000B4E2C" w:rsidRDefault="002F0133" w:rsidP="008A7464">
            <w:pPr>
              <w:rPr>
                <w:sz w:val="22"/>
                <w:lang w:eastAsia="en-GB"/>
              </w:rPr>
            </w:pPr>
            <w:r w:rsidRPr="000B4E2C">
              <w:rPr>
                <w:sz w:val="22"/>
                <w:lang w:eastAsia="en-GB"/>
              </w:rPr>
              <w:t>£23,044</w:t>
            </w:r>
          </w:p>
        </w:tc>
        <w:tc>
          <w:tcPr>
            <w:tcW w:w="0" w:type="auto"/>
            <w:shd w:val="clear" w:color="auto" w:fill="auto"/>
            <w:noWrap/>
            <w:hideMark/>
          </w:tcPr>
          <w:p w14:paraId="21E8E6D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EECEF84" w14:textId="77777777" w:rsidR="002F0133" w:rsidRPr="000B4E2C" w:rsidRDefault="002F0133" w:rsidP="008A7464">
            <w:pPr>
              <w:rPr>
                <w:sz w:val="22"/>
                <w:lang w:eastAsia="en-GB"/>
              </w:rPr>
            </w:pPr>
            <w:r w:rsidRPr="000B4E2C">
              <w:rPr>
                <w:sz w:val="22"/>
                <w:lang w:eastAsia="en-GB"/>
              </w:rPr>
              <w:t>6.07326</w:t>
            </w:r>
          </w:p>
        </w:tc>
        <w:tc>
          <w:tcPr>
            <w:tcW w:w="0" w:type="auto"/>
            <w:shd w:val="clear" w:color="auto" w:fill="auto"/>
            <w:noWrap/>
            <w:hideMark/>
          </w:tcPr>
          <w:p w14:paraId="62AD8F3D"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75D13C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8CC22AB" w14:textId="77777777" w:rsidR="002F0133" w:rsidRPr="000B4E2C" w:rsidRDefault="002F0133" w:rsidP="008A7464">
            <w:pPr>
              <w:rPr>
                <w:sz w:val="22"/>
                <w:lang w:eastAsia="en-GB"/>
              </w:rPr>
            </w:pPr>
            <w:r w:rsidRPr="000B4E2C">
              <w:rPr>
                <w:sz w:val="22"/>
                <w:lang w:eastAsia="en-GB"/>
              </w:rPr>
              <w:t>£39,666</w:t>
            </w:r>
          </w:p>
        </w:tc>
        <w:tc>
          <w:tcPr>
            <w:tcW w:w="0" w:type="auto"/>
            <w:shd w:val="clear" w:color="auto" w:fill="auto"/>
            <w:noWrap/>
            <w:hideMark/>
          </w:tcPr>
          <w:p w14:paraId="1A5AB325" w14:textId="77777777" w:rsidR="002F0133" w:rsidRPr="000B4E2C" w:rsidRDefault="002F0133" w:rsidP="008A7464">
            <w:pPr>
              <w:rPr>
                <w:sz w:val="22"/>
                <w:lang w:eastAsia="en-GB"/>
              </w:rPr>
            </w:pPr>
            <w:r w:rsidRPr="000B4E2C">
              <w:rPr>
                <w:sz w:val="22"/>
                <w:lang w:eastAsia="en-GB"/>
              </w:rPr>
              <w:t>0.2%</w:t>
            </w:r>
          </w:p>
        </w:tc>
        <w:tc>
          <w:tcPr>
            <w:tcW w:w="0" w:type="auto"/>
            <w:shd w:val="clear" w:color="auto" w:fill="auto"/>
            <w:noWrap/>
            <w:hideMark/>
          </w:tcPr>
          <w:p w14:paraId="24974EB0" w14:textId="77777777" w:rsidR="002F0133" w:rsidRPr="000B4E2C" w:rsidRDefault="002F0133" w:rsidP="008A7464">
            <w:pPr>
              <w:rPr>
                <w:sz w:val="22"/>
                <w:lang w:eastAsia="en-GB"/>
              </w:rPr>
            </w:pPr>
            <w:r w:rsidRPr="000B4E2C">
              <w:rPr>
                <w:sz w:val="22"/>
                <w:lang w:eastAsia="en-GB"/>
              </w:rPr>
              <w:t>41.3%</w:t>
            </w:r>
          </w:p>
        </w:tc>
      </w:tr>
      <w:tr w:rsidR="002F0133" w:rsidRPr="000B4E2C" w14:paraId="3168B367" w14:textId="77777777" w:rsidTr="000B4E2C">
        <w:trPr>
          <w:cantSplit/>
        </w:trPr>
        <w:tc>
          <w:tcPr>
            <w:tcW w:w="0" w:type="auto"/>
            <w:shd w:val="clear" w:color="auto" w:fill="auto"/>
            <w:noWrap/>
            <w:hideMark/>
          </w:tcPr>
          <w:p w14:paraId="66BC5697"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6252D8E9" w14:textId="77777777" w:rsidR="002F0133" w:rsidRPr="000B4E2C" w:rsidRDefault="002F0133" w:rsidP="008A7464">
            <w:pPr>
              <w:rPr>
                <w:sz w:val="22"/>
                <w:lang w:eastAsia="en-GB"/>
              </w:rPr>
            </w:pPr>
            <w:r w:rsidRPr="000B4E2C">
              <w:rPr>
                <w:sz w:val="22"/>
                <w:lang w:eastAsia="en-GB"/>
              </w:rPr>
              <w:t>£23,071</w:t>
            </w:r>
          </w:p>
        </w:tc>
        <w:tc>
          <w:tcPr>
            <w:tcW w:w="0" w:type="auto"/>
            <w:shd w:val="clear" w:color="auto" w:fill="auto"/>
            <w:noWrap/>
            <w:hideMark/>
          </w:tcPr>
          <w:p w14:paraId="1F585EB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C36D79F" w14:textId="77777777" w:rsidR="002F0133" w:rsidRPr="000B4E2C" w:rsidRDefault="002F0133" w:rsidP="008A7464">
            <w:pPr>
              <w:rPr>
                <w:sz w:val="22"/>
                <w:lang w:eastAsia="en-GB"/>
              </w:rPr>
            </w:pPr>
            <w:r w:rsidRPr="000B4E2C">
              <w:rPr>
                <w:sz w:val="22"/>
                <w:lang w:eastAsia="en-GB"/>
              </w:rPr>
              <w:t>6.07329</w:t>
            </w:r>
          </w:p>
        </w:tc>
        <w:tc>
          <w:tcPr>
            <w:tcW w:w="0" w:type="auto"/>
            <w:shd w:val="clear" w:color="auto" w:fill="auto"/>
            <w:noWrap/>
            <w:hideMark/>
          </w:tcPr>
          <w:p w14:paraId="7EFA9E4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F9676AF"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A540BA3" w14:textId="77777777" w:rsidR="002F0133" w:rsidRPr="000B4E2C" w:rsidRDefault="002F0133" w:rsidP="008A7464">
            <w:pPr>
              <w:rPr>
                <w:sz w:val="22"/>
                <w:lang w:eastAsia="en-GB"/>
              </w:rPr>
            </w:pPr>
            <w:r w:rsidRPr="000B4E2C">
              <w:rPr>
                <w:sz w:val="22"/>
                <w:lang w:eastAsia="en-GB"/>
              </w:rPr>
              <w:t>£118,201</w:t>
            </w:r>
          </w:p>
        </w:tc>
        <w:tc>
          <w:tcPr>
            <w:tcW w:w="0" w:type="auto"/>
            <w:shd w:val="clear" w:color="auto" w:fill="auto"/>
            <w:noWrap/>
            <w:hideMark/>
          </w:tcPr>
          <w:p w14:paraId="054F53FF" w14:textId="77777777" w:rsidR="002F0133" w:rsidRPr="000B4E2C" w:rsidRDefault="002F0133" w:rsidP="008A7464">
            <w:pPr>
              <w:rPr>
                <w:sz w:val="22"/>
                <w:lang w:eastAsia="en-GB"/>
              </w:rPr>
            </w:pPr>
            <w:r w:rsidRPr="000B4E2C">
              <w:rPr>
                <w:sz w:val="22"/>
                <w:lang w:eastAsia="en-GB"/>
              </w:rPr>
              <w:t>0.5%</w:t>
            </w:r>
          </w:p>
        </w:tc>
        <w:tc>
          <w:tcPr>
            <w:tcW w:w="0" w:type="auto"/>
            <w:shd w:val="clear" w:color="auto" w:fill="auto"/>
            <w:noWrap/>
            <w:hideMark/>
          </w:tcPr>
          <w:p w14:paraId="4F5600C7" w14:textId="77777777" w:rsidR="002F0133" w:rsidRPr="000B4E2C" w:rsidRDefault="002F0133" w:rsidP="008A7464">
            <w:pPr>
              <w:rPr>
                <w:sz w:val="22"/>
                <w:lang w:eastAsia="en-GB"/>
              </w:rPr>
            </w:pPr>
            <w:r w:rsidRPr="000B4E2C">
              <w:rPr>
                <w:sz w:val="22"/>
                <w:lang w:eastAsia="en-GB"/>
              </w:rPr>
              <w:t>30.2%</w:t>
            </w:r>
          </w:p>
        </w:tc>
      </w:tr>
      <w:tr w:rsidR="002F0133" w:rsidRPr="000B4E2C" w14:paraId="4824ECF7" w14:textId="77777777" w:rsidTr="000B4E2C">
        <w:trPr>
          <w:cantSplit/>
        </w:trPr>
        <w:tc>
          <w:tcPr>
            <w:tcW w:w="0" w:type="auto"/>
            <w:gridSpan w:val="9"/>
            <w:shd w:val="clear" w:color="auto" w:fill="auto"/>
            <w:noWrap/>
            <w:hideMark/>
          </w:tcPr>
          <w:p w14:paraId="18B7397B" w14:textId="77777777" w:rsidR="002F0133" w:rsidRPr="000B4E2C" w:rsidRDefault="002F0133" w:rsidP="008A7464">
            <w:pPr>
              <w:rPr>
                <w:b/>
                <w:bCs/>
                <w:sz w:val="22"/>
                <w:lang w:eastAsia="en-GB"/>
              </w:rPr>
            </w:pPr>
            <w:r w:rsidRPr="000B4E2C">
              <w:rPr>
                <w:b/>
                <w:bCs/>
                <w:sz w:val="22"/>
                <w:lang w:eastAsia="en-GB"/>
              </w:rPr>
              <w:t xml:space="preserve">Scenario 1P </w:t>
            </w:r>
            <w:r w:rsidRPr="000B4E2C">
              <w:rPr>
                <w:b/>
                <w:bCs/>
                <w:sz w:val="22"/>
                <w:vertAlign w:val="superscript"/>
                <w:lang w:eastAsia="en-GB"/>
              </w:rPr>
              <w:t xml:space="preserve">A </w:t>
            </w:r>
            <w:r w:rsidRPr="000B4E2C">
              <w:rPr>
                <w:b/>
                <w:bCs/>
                <w:sz w:val="22"/>
                <w:lang w:eastAsia="en-GB"/>
              </w:rPr>
              <w:t xml:space="preserve">Alternative outpatient utility source in the long term (apply general population norms) </w:t>
            </w:r>
          </w:p>
        </w:tc>
      </w:tr>
      <w:tr w:rsidR="002F0133" w:rsidRPr="000B4E2C" w14:paraId="0E241ABE" w14:textId="77777777" w:rsidTr="000B4E2C">
        <w:trPr>
          <w:cantSplit/>
        </w:trPr>
        <w:tc>
          <w:tcPr>
            <w:tcW w:w="0" w:type="auto"/>
            <w:shd w:val="clear" w:color="auto" w:fill="auto"/>
            <w:noWrap/>
            <w:hideMark/>
          </w:tcPr>
          <w:p w14:paraId="4BA38BEF" w14:textId="57E93AA0"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5C3C1F3F" w14:textId="77777777" w:rsidR="002F0133" w:rsidRPr="000B4E2C" w:rsidRDefault="002F0133" w:rsidP="008A7464">
            <w:pPr>
              <w:rPr>
                <w:sz w:val="22"/>
                <w:lang w:eastAsia="en-GB"/>
              </w:rPr>
            </w:pPr>
            <w:r w:rsidRPr="000B4E2C">
              <w:rPr>
                <w:sz w:val="22"/>
                <w:lang w:eastAsia="en-GB"/>
              </w:rPr>
              <w:t>£23,149</w:t>
            </w:r>
          </w:p>
        </w:tc>
        <w:tc>
          <w:tcPr>
            <w:tcW w:w="0" w:type="auto"/>
            <w:shd w:val="clear" w:color="auto" w:fill="auto"/>
            <w:noWrap/>
            <w:hideMark/>
          </w:tcPr>
          <w:p w14:paraId="0987A269"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336E468D" w14:textId="77777777" w:rsidR="002F0133" w:rsidRPr="000B4E2C" w:rsidRDefault="002F0133" w:rsidP="008A7464">
            <w:pPr>
              <w:rPr>
                <w:sz w:val="22"/>
                <w:lang w:eastAsia="en-GB"/>
              </w:rPr>
            </w:pPr>
            <w:r w:rsidRPr="000B4E2C">
              <w:rPr>
                <w:sz w:val="22"/>
                <w:lang w:eastAsia="en-GB"/>
              </w:rPr>
              <w:t>7.05770</w:t>
            </w:r>
          </w:p>
        </w:tc>
        <w:tc>
          <w:tcPr>
            <w:tcW w:w="0" w:type="auto"/>
            <w:shd w:val="clear" w:color="auto" w:fill="auto"/>
            <w:noWrap/>
            <w:hideMark/>
          </w:tcPr>
          <w:p w14:paraId="28954FBD"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320C833"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1BAD0B65" w14:textId="77777777" w:rsidR="002F0133" w:rsidRPr="000B4E2C" w:rsidRDefault="002F0133" w:rsidP="008A7464">
            <w:pPr>
              <w:rPr>
                <w:sz w:val="22"/>
                <w:lang w:eastAsia="en-GB"/>
              </w:rPr>
            </w:pPr>
            <w:r w:rsidRPr="000B4E2C">
              <w:rPr>
                <w:sz w:val="22"/>
                <w:lang w:eastAsia="en-GB"/>
              </w:rPr>
              <w:t>Dominant</w:t>
            </w:r>
          </w:p>
        </w:tc>
        <w:tc>
          <w:tcPr>
            <w:tcW w:w="0" w:type="auto"/>
            <w:shd w:val="clear" w:color="auto" w:fill="auto"/>
            <w:noWrap/>
            <w:hideMark/>
          </w:tcPr>
          <w:p w14:paraId="589AE461" w14:textId="77777777" w:rsidR="002F0133" w:rsidRPr="000B4E2C" w:rsidRDefault="002F0133" w:rsidP="008A7464">
            <w:pPr>
              <w:rPr>
                <w:sz w:val="22"/>
                <w:lang w:eastAsia="en-GB"/>
              </w:rPr>
            </w:pPr>
            <w:r w:rsidRPr="000B4E2C">
              <w:rPr>
                <w:sz w:val="22"/>
                <w:lang w:eastAsia="en-GB"/>
              </w:rPr>
              <w:t>41.8%</w:t>
            </w:r>
          </w:p>
        </w:tc>
        <w:tc>
          <w:tcPr>
            <w:tcW w:w="0" w:type="auto"/>
            <w:shd w:val="clear" w:color="auto" w:fill="auto"/>
            <w:noWrap/>
            <w:hideMark/>
          </w:tcPr>
          <w:p w14:paraId="4938410B" w14:textId="77777777" w:rsidR="002F0133" w:rsidRPr="000B4E2C" w:rsidRDefault="002F0133" w:rsidP="008A7464">
            <w:pPr>
              <w:rPr>
                <w:sz w:val="22"/>
                <w:lang w:eastAsia="en-GB"/>
              </w:rPr>
            </w:pPr>
            <w:r w:rsidRPr="000B4E2C">
              <w:rPr>
                <w:sz w:val="22"/>
                <w:lang w:eastAsia="en-GB"/>
              </w:rPr>
              <w:t>53.5%</w:t>
            </w:r>
          </w:p>
        </w:tc>
      </w:tr>
      <w:tr w:rsidR="002F0133" w:rsidRPr="000B4E2C" w14:paraId="31D73E88" w14:textId="77777777" w:rsidTr="000B4E2C">
        <w:trPr>
          <w:cantSplit/>
        </w:trPr>
        <w:tc>
          <w:tcPr>
            <w:tcW w:w="0" w:type="auto"/>
            <w:shd w:val="clear" w:color="auto" w:fill="auto"/>
            <w:noWrap/>
            <w:hideMark/>
          </w:tcPr>
          <w:p w14:paraId="1A22930A"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3B6F99F6" w14:textId="77777777" w:rsidR="002F0133" w:rsidRPr="000B4E2C" w:rsidRDefault="002F0133" w:rsidP="008A7464">
            <w:pPr>
              <w:rPr>
                <w:sz w:val="22"/>
                <w:lang w:eastAsia="en-GB"/>
              </w:rPr>
            </w:pPr>
            <w:r w:rsidRPr="000B4E2C">
              <w:rPr>
                <w:sz w:val="22"/>
                <w:lang w:eastAsia="en-GB"/>
              </w:rPr>
              <w:t>£23,161</w:t>
            </w:r>
          </w:p>
        </w:tc>
        <w:tc>
          <w:tcPr>
            <w:tcW w:w="0" w:type="auto"/>
            <w:shd w:val="clear" w:color="auto" w:fill="auto"/>
            <w:noWrap/>
            <w:hideMark/>
          </w:tcPr>
          <w:p w14:paraId="4372361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F926515" w14:textId="77777777" w:rsidR="002F0133" w:rsidRPr="000B4E2C" w:rsidRDefault="002F0133" w:rsidP="008A7464">
            <w:pPr>
              <w:rPr>
                <w:sz w:val="22"/>
                <w:lang w:eastAsia="en-GB"/>
              </w:rPr>
            </w:pPr>
            <w:r w:rsidRPr="000B4E2C">
              <w:rPr>
                <w:sz w:val="22"/>
                <w:lang w:eastAsia="en-GB"/>
              </w:rPr>
              <w:t>7.05712</w:t>
            </w:r>
          </w:p>
        </w:tc>
        <w:tc>
          <w:tcPr>
            <w:tcW w:w="0" w:type="auto"/>
            <w:shd w:val="clear" w:color="auto" w:fill="auto"/>
            <w:noWrap/>
            <w:hideMark/>
          </w:tcPr>
          <w:p w14:paraId="7E3C7DBD"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1B0B4D1"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315AB31"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1155349F" w14:textId="77777777" w:rsidR="002F0133" w:rsidRPr="000B4E2C" w:rsidRDefault="002F0133" w:rsidP="008A7464">
            <w:pPr>
              <w:rPr>
                <w:sz w:val="22"/>
                <w:lang w:eastAsia="en-GB"/>
              </w:rPr>
            </w:pPr>
            <w:r w:rsidRPr="000B4E2C">
              <w:rPr>
                <w:sz w:val="22"/>
                <w:lang w:eastAsia="en-GB"/>
              </w:rPr>
              <w:t>45.8%</w:t>
            </w:r>
          </w:p>
        </w:tc>
        <w:tc>
          <w:tcPr>
            <w:tcW w:w="0" w:type="auto"/>
            <w:shd w:val="clear" w:color="auto" w:fill="auto"/>
            <w:noWrap/>
            <w:hideMark/>
          </w:tcPr>
          <w:p w14:paraId="0CD0659F" w14:textId="77777777" w:rsidR="002F0133" w:rsidRPr="000B4E2C" w:rsidRDefault="002F0133" w:rsidP="008A7464">
            <w:pPr>
              <w:rPr>
                <w:sz w:val="22"/>
                <w:lang w:eastAsia="en-GB"/>
              </w:rPr>
            </w:pPr>
            <w:r w:rsidRPr="000B4E2C">
              <w:rPr>
                <w:sz w:val="22"/>
                <w:lang w:eastAsia="en-GB"/>
              </w:rPr>
              <w:t>--</w:t>
            </w:r>
          </w:p>
        </w:tc>
      </w:tr>
      <w:tr w:rsidR="002F0133" w:rsidRPr="000B4E2C" w14:paraId="019E261D" w14:textId="77777777" w:rsidTr="000B4E2C">
        <w:trPr>
          <w:cantSplit/>
        </w:trPr>
        <w:tc>
          <w:tcPr>
            <w:tcW w:w="0" w:type="auto"/>
            <w:shd w:val="clear" w:color="auto" w:fill="auto"/>
            <w:noWrap/>
            <w:hideMark/>
          </w:tcPr>
          <w:p w14:paraId="2986C2F8" w14:textId="6F241CCA"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31F27C96" w14:textId="77777777" w:rsidR="002F0133" w:rsidRPr="000B4E2C" w:rsidRDefault="002F0133" w:rsidP="008A7464">
            <w:pPr>
              <w:rPr>
                <w:sz w:val="22"/>
                <w:lang w:eastAsia="en-GB"/>
              </w:rPr>
            </w:pPr>
            <w:r w:rsidRPr="000B4E2C">
              <w:rPr>
                <w:sz w:val="22"/>
                <w:lang w:eastAsia="en-GB"/>
              </w:rPr>
              <w:t>£23,161</w:t>
            </w:r>
          </w:p>
        </w:tc>
        <w:tc>
          <w:tcPr>
            <w:tcW w:w="0" w:type="auto"/>
            <w:shd w:val="clear" w:color="auto" w:fill="auto"/>
            <w:noWrap/>
            <w:hideMark/>
          </w:tcPr>
          <w:p w14:paraId="3EA24DD3" w14:textId="77777777" w:rsidR="002F0133" w:rsidRPr="000B4E2C" w:rsidRDefault="002F0133" w:rsidP="008A7464">
            <w:pPr>
              <w:rPr>
                <w:sz w:val="22"/>
                <w:lang w:eastAsia="en-GB"/>
              </w:rPr>
            </w:pPr>
            <w:r w:rsidRPr="000B4E2C">
              <w:rPr>
                <w:sz w:val="22"/>
                <w:lang w:eastAsia="en-GB"/>
              </w:rPr>
              <w:t>£12</w:t>
            </w:r>
          </w:p>
        </w:tc>
        <w:tc>
          <w:tcPr>
            <w:tcW w:w="0" w:type="auto"/>
            <w:shd w:val="clear" w:color="auto" w:fill="auto"/>
            <w:noWrap/>
            <w:hideMark/>
          </w:tcPr>
          <w:p w14:paraId="73906E7E" w14:textId="77777777" w:rsidR="002F0133" w:rsidRPr="000B4E2C" w:rsidRDefault="002F0133" w:rsidP="008A7464">
            <w:pPr>
              <w:rPr>
                <w:sz w:val="22"/>
                <w:lang w:eastAsia="en-GB"/>
              </w:rPr>
            </w:pPr>
            <w:r w:rsidRPr="000B4E2C">
              <w:rPr>
                <w:sz w:val="22"/>
                <w:lang w:eastAsia="en-GB"/>
              </w:rPr>
              <w:t>7.05771</w:t>
            </w:r>
          </w:p>
        </w:tc>
        <w:tc>
          <w:tcPr>
            <w:tcW w:w="0" w:type="auto"/>
            <w:shd w:val="clear" w:color="auto" w:fill="auto"/>
            <w:noWrap/>
            <w:hideMark/>
          </w:tcPr>
          <w:p w14:paraId="06EBC59F" w14:textId="77777777" w:rsidR="002F0133" w:rsidRPr="000B4E2C" w:rsidRDefault="002F0133" w:rsidP="008A7464">
            <w:pPr>
              <w:rPr>
                <w:sz w:val="22"/>
                <w:lang w:eastAsia="en-GB"/>
              </w:rPr>
            </w:pPr>
            <w:r w:rsidRPr="000B4E2C">
              <w:rPr>
                <w:sz w:val="22"/>
                <w:lang w:eastAsia="en-GB"/>
              </w:rPr>
              <w:t>0.00002</w:t>
            </w:r>
          </w:p>
        </w:tc>
        <w:tc>
          <w:tcPr>
            <w:tcW w:w="0" w:type="auto"/>
            <w:shd w:val="clear" w:color="auto" w:fill="auto"/>
            <w:noWrap/>
            <w:hideMark/>
          </w:tcPr>
          <w:p w14:paraId="1E092354" w14:textId="77777777" w:rsidR="002F0133" w:rsidRPr="000B4E2C" w:rsidRDefault="002F0133" w:rsidP="008A7464">
            <w:pPr>
              <w:rPr>
                <w:sz w:val="22"/>
                <w:lang w:eastAsia="en-GB"/>
              </w:rPr>
            </w:pPr>
            <w:r w:rsidRPr="000B4E2C">
              <w:rPr>
                <w:sz w:val="22"/>
                <w:lang w:eastAsia="en-GB"/>
              </w:rPr>
              <w:t>£779,444</w:t>
            </w:r>
          </w:p>
        </w:tc>
        <w:tc>
          <w:tcPr>
            <w:tcW w:w="0" w:type="auto"/>
            <w:shd w:val="clear" w:color="auto" w:fill="auto"/>
            <w:noWrap/>
            <w:hideMark/>
          </w:tcPr>
          <w:p w14:paraId="5F9D1AB1" w14:textId="77777777" w:rsidR="002F0133" w:rsidRPr="000B4E2C" w:rsidRDefault="002F0133" w:rsidP="008A7464">
            <w:pPr>
              <w:rPr>
                <w:sz w:val="22"/>
                <w:lang w:eastAsia="en-GB"/>
              </w:rPr>
            </w:pPr>
            <w:r w:rsidRPr="000B4E2C">
              <w:rPr>
                <w:sz w:val="22"/>
                <w:lang w:eastAsia="en-GB"/>
              </w:rPr>
              <w:t>£1,133</w:t>
            </w:r>
          </w:p>
        </w:tc>
        <w:tc>
          <w:tcPr>
            <w:tcW w:w="0" w:type="auto"/>
            <w:shd w:val="clear" w:color="auto" w:fill="auto"/>
            <w:noWrap/>
            <w:hideMark/>
          </w:tcPr>
          <w:p w14:paraId="2915D597" w14:textId="77777777" w:rsidR="002F0133" w:rsidRPr="000B4E2C" w:rsidRDefault="002F0133" w:rsidP="008A7464">
            <w:pPr>
              <w:rPr>
                <w:sz w:val="22"/>
                <w:lang w:eastAsia="en-GB"/>
              </w:rPr>
            </w:pPr>
            <w:r w:rsidRPr="000B4E2C">
              <w:rPr>
                <w:sz w:val="22"/>
                <w:lang w:eastAsia="en-GB"/>
              </w:rPr>
              <w:t>11.3%</w:t>
            </w:r>
          </w:p>
        </w:tc>
        <w:tc>
          <w:tcPr>
            <w:tcW w:w="0" w:type="auto"/>
            <w:shd w:val="clear" w:color="auto" w:fill="auto"/>
            <w:noWrap/>
            <w:hideMark/>
          </w:tcPr>
          <w:p w14:paraId="45AFBACD" w14:textId="77777777" w:rsidR="002F0133" w:rsidRPr="000B4E2C" w:rsidRDefault="002F0133" w:rsidP="008A7464">
            <w:pPr>
              <w:rPr>
                <w:sz w:val="22"/>
                <w:lang w:eastAsia="en-GB"/>
              </w:rPr>
            </w:pPr>
            <w:r w:rsidRPr="000B4E2C">
              <w:rPr>
                <w:sz w:val="22"/>
                <w:lang w:eastAsia="en-GB"/>
              </w:rPr>
              <w:t>47.1%</w:t>
            </w:r>
          </w:p>
        </w:tc>
      </w:tr>
      <w:tr w:rsidR="002F0133" w:rsidRPr="000B4E2C" w14:paraId="01EAC850" w14:textId="77777777" w:rsidTr="000B4E2C">
        <w:trPr>
          <w:cantSplit/>
        </w:trPr>
        <w:tc>
          <w:tcPr>
            <w:tcW w:w="0" w:type="auto"/>
            <w:shd w:val="clear" w:color="auto" w:fill="auto"/>
            <w:noWrap/>
            <w:hideMark/>
          </w:tcPr>
          <w:p w14:paraId="2B28DFA2" w14:textId="350885DC"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5A180D10" w14:textId="77777777" w:rsidR="002F0133" w:rsidRPr="000B4E2C" w:rsidRDefault="002F0133" w:rsidP="008A7464">
            <w:pPr>
              <w:rPr>
                <w:sz w:val="22"/>
                <w:lang w:eastAsia="en-GB"/>
              </w:rPr>
            </w:pPr>
            <w:r w:rsidRPr="000B4E2C">
              <w:rPr>
                <w:sz w:val="22"/>
                <w:lang w:eastAsia="en-GB"/>
              </w:rPr>
              <w:t>£23,172</w:t>
            </w:r>
          </w:p>
        </w:tc>
        <w:tc>
          <w:tcPr>
            <w:tcW w:w="0" w:type="auto"/>
            <w:shd w:val="clear" w:color="auto" w:fill="auto"/>
            <w:noWrap/>
            <w:hideMark/>
          </w:tcPr>
          <w:p w14:paraId="67BA018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5D990FA" w14:textId="77777777" w:rsidR="002F0133" w:rsidRPr="000B4E2C" w:rsidRDefault="002F0133" w:rsidP="008A7464">
            <w:pPr>
              <w:rPr>
                <w:sz w:val="22"/>
                <w:lang w:eastAsia="en-GB"/>
              </w:rPr>
            </w:pPr>
            <w:r w:rsidRPr="000B4E2C">
              <w:rPr>
                <w:sz w:val="22"/>
                <w:lang w:eastAsia="en-GB"/>
              </w:rPr>
              <w:t>7.05765</w:t>
            </w:r>
          </w:p>
        </w:tc>
        <w:tc>
          <w:tcPr>
            <w:tcW w:w="0" w:type="auto"/>
            <w:shd w:val="clear" w:color="auto" w:fill="auto"/>
            <w:noWrap/>
            <w:hideMark/>
          </w:tcPr>
          <w:p w14:paraId="669BA71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C6679F1"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261092B" w14:textId="77777777" w:rsidR="002F0133" w:rsidRPr="000B4E2C" w:rsidRDefault="002F0133" w:rsidP="008A7464">
            <w:pPr>
              <w:rPr>
                <w:sz w:val="22"/>
                <w:lang w:eastAsia="en-GB"/>
              </w:rPr>
            </w:pPr>
            <w:r w:rsidRPr="000B4E2C">
              <w:rPr>
                <w:sz w:val="22"/>
                <w:lang w:eastAsia="en-GB"/>
              </w:rPr>
              <w:t>£22,019</w:t>
            </w:r>
          </w:p>
        </w:tc>
        <w:tc>
          <w:tcPr>
            <w:tcW w:w="0" w:type="auto"/>
            <w:shd w:val="clear" w:color="auto" w:fill="auto"/>
            <w:noWrap/>
            <w:hideMark/>
          </w:tcPr>
          <w:p w14:paraId="5FA9586A" w14:textId="77777777" w:rsidR="002F0133" w:rsidRPr="000B4E2C" w:rsidRDefault="002F0133" w:rsidP="008A7464">
            <w:pPr>
              <w:rPr>
                <w:sz w:val="22"/>
                <w:lang w:eastAsia="en-GB"/>
              </w:rPr>
            </w:pPr>
            <w:r w:rsidRPr="000B4E2C">
              <w:rPr>
                <w:sz w:val="22"/>
                <w:lang w:eastAsia="en-GB"/>
              </w:rPr>
              <w:t>0.4%</w:t>
            </w:r>
          </w:p>
        </w:tc>
        <w:tc>
          <w:tcPr>
            <w:tcW w:w="0" w:type="auto"/>
            <w:shd w:val="clear" w:color="auto" w:fill="auto"/>
            <w:noWrap/>
            <w:hideMark/>
          </w:tcPr>
          <w:p w14:paraId="7EB1B146" w14:textId="77777777" w:rsidR="002F0133" w:rsidRPr="000B4E2C" w:rsidRDefault="002F0133" w:rsidP="008A7464">
            <w:pPr>
              <w:rPr>
                <w:sz w:val="22"/>
                <w:lang w:eastAsia="en-GB"/>
              </w:rPr>
            </w:pPr>
            <w:r w:rsidRPr="000B4E2C">
              <w:rPr>
                <w:sz w:val="22"/>
                <w:lang w:eastAsia="en-GB"/>
              </w:rPr>
              <w:t>41.1%</w:t>
            </w:r>
          </w:p>
        </w:tc>
      </w:tr>
      <w:tr w:rsidR="002F0133" w:rsidRPr="000B4E2C" w14:paraId="670CC57B" w14:textId="77777777" w:rsidTr="000B4E2C">
        <w:trPr>
          <w:cantSplit/>
        </w:trPr>
        <w:tc>
          <w:tcPr>
            <w:tcW w:w="0" w:type="auto"/>
            <w:shd w:val="clear" w:color="auto" w:fill="auto"/>
            <w:noWrap/>
            <w:hideMark/>
          </w:tcPr>
          <w:p w14:paraId="27135E89"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2D1E6D76" w14:textId="77777777" w:rsidR="002F0133" w:rsidRPr="000B4E2C" w:rsidRDefault="002F0133" w:rsidP="008A7464">
            <w:pPr>
              <w:rPr>
                <w:sz w:val="22"/>
                <w:lang w:eastAsia="en-GB"/>
              </w:rPr>
            </w:pPr>
            <w:r w:rsidRPr="000B4E2C">
              <w:rPr>
                <w:sz w:val="22"/>
                <w:lang w:eastAsia="en-GB"/>
              </w:rPr>
              <w:t>£23,199</w:t>
            </w:r>
          </w:p>
        </w:tc>
        <w:tc>
          <w:tcPr>
            <w:tcW w:w="0" w:type="auto"/>
            <w:shd w:val="clear" w:color="auto" w:fill="auto"/>
            <w:noWrap/>
            <w:hideMark/>
          </w:tcPr>
          <w:p w14:paraId="035A217C"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3C34ED1" w14:textId="77777777" w:rsidR="002F0133" w:rsidRPr="000B4E2C" w:rsidRDefault="002F0133" w:rsidP="008A7464">
            <w:pPr>
              <w:rPr>
                <w:sz w:val="22"/>
                <w:lang w:eastAsia="en-GB"/>
              </w:rPr>
            </w:pPr>
            <w:r w:rsidRPr="000B4E2C">
              <w:rPr>
                <w:sz w:val="22"/>
                <w:lang w:eastAsia="en-GB"/>
              </w:rPr>
              <w:t>7.05771</w:t>
            </w:r>
          </w:p>
        </w:tc>
        <w:tc>
          <w:tcPr>
            <w:tcW w:w="0" w:type="auto"/>
            <w:shd w:val="clear" w:color="auto" w:fill="auto"/>
            <w:noWrap/>
            <w:hideMark/>
          </w:tcPr>
          <w:p w14:paraId="66B3675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B8F5B88"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5B7205D" w14:textId="77777777" w:rsidR="002F0133" w:rsidRPr="000B4E2C" w:rsidRDefault="002F0133" w:rsidP="008A7464">
            <w:pPr>
              <w:rPr>
                <w:sz w:val="22"/>
                <w:lang w:eastAsia="en-GB"/>
              </w:rPr>
            </w:pPr>
            <w:r w:rsidRPr="000B4E2C">
              <w:rPr>
                <w:sz w:val="22"/>
                <w:lang w:eastAsia="en-GB"/>
              </w:rPr>
              <w:t>£65,271</w:t>
            </w:r>
          </w:p>
        </w:tc>
        <w:tc>
          <w:tcPr>
            <w:tcW w:w="0" w:type="auto"/>
            <w:shd w:val="clear" w:color="auto" w:fill="auto"/>
            <w:noWrap/>
            <w:hideMark/>
          </w:tcPr>
          <w:p w14:paraId="2D614CDA" w14:textId="77777777" w:rsidR="002F0133" w:rsidRPr="000B4E2C" w:rsidRDefault="002F0133" w:rsidP="008A7464">
            <w:pPr>
              <w:rPr>
                <w:sz w:val="22"/>
                <w:lang w:eastAsia="en-GB"/>
              </w:rPr>
            </w:pPr>
            <w:r w:rsidRPr="000B4E2C">
              <w:rPr>
                <w:sz w:val="22"/>
                <w:lang w:eastAsia="en-GB"/>
              </w:rPr>
              <w:t>0.5%</w:t>
            </w:r>
          </w:p>
        </w:tc>
        <w:tc>
          <w:tcPr>
            <w:tcW w:w="0" w:type="auto"/>
            <w:shd w:val="clear" w:color="auto" w:fill="auto"/>
            <w:noWrap/>
            <w:hideMark/>
          </w:tcPr>
          <w:p w14:paraId="08CE2276" w14:textId="77777777" w:rsidR="002F0133" w:rsidRPr="000B4E2C" w:rsidRDefault="002F0133" w:rsidP="008A7464">
            <w:pPr>
              <w:rPr>
                <w:sz w:val="22"/>
                <w:lang w:eastAsia="en-GB"/>
              </w:rPr>
            </w:pPr>
            <w:r w:rsidRPr="000B4E2C">
              <w:rPr>
                <w:sz w:val="22"/>
                <w:lang w:eastAsia="en-GB"/>
              </w:rPr>
              <w:t>33.6%</w:t>
            </w:r>
          </w:p>
        </w:tc>
      </w:tr>
      <w:tr w:rsidR="002F0133" w:rsidRPr="000B4E2C" w14:paraId="7117DCA0" w14:textId="77777777" w:rsidTr="000B4E2C">
        <w:trPr>
          <w:cantSplit/>
        </w:trPr>
        <w:tc>
          <w:tcPr>
            <w:tcW w:w="0" w:type="auto"/>
            <w:gridSpan w:val="9"/>
            <w:shd w:val="clear" w:color="auto" w:fill="auto"/>
            <w:noWrap/>
            <w:hideMark/>
          </w:tcPr>
          <w:p w14:paraId="7000FDDC" w14:textId="5994698E" w:rsidR="002F0133" w:rsidRPr="000B4E2C" w:rsidRDefault="002F0133" w:rsidP="008A7464">
            <w:pPr>
              <w:rPr>
                <w:b/>
                <w:bCs/>
                <w:sz w:val="22"/>
                <w:lang w:eastAsia="en-GB"/>
              </w:rPr>
            </w:pPr>
            <w:r w:rsidRPr="000B4E2C">
              <w:rPr>
                <w:b/>
                <w:bCs/>
                <w:sz w:val="22"/>
                <w:lang w:eastAsia="en-GB"/>
              </w:rPr>
              <w:t>Scenario 1Q</w:t>
            </w:r>
            <w:r w:rsidR="000B4E2C" w:rsidRPr="000B4E2C">
              <w:rPr>
                <w:b/>
                <w:bCs/>
                <w:sz w:val="22"/>
                <w:lang w:eastAsia="en-GB"/>
              </w:rPr>
              <w:t xml:space="preserve"> </w:t>
            </w:r>
            <w:r w:rsidRPr="000B4E2C">
              <w:rPr>
                <w:b/>
                <w:bCs/>
                <w:sz w:val="22"/>
                <w:lang w:eastAsia="en-GB"/>
              </w:rPr>
              <w:t xml:space="preserve">Applying diagnostic test accuracy </w:t>
            </w:r>
            <w:r w:rsidRPr="000B4E2C">
              <w:rPr>
                <w:b/>
                <w:bCs/>
                <w:sz w:val="22"/>
                <w:highlight w:val="magenta"/>
                <w:lang w:eastAsia="en-GB"/>
              </w:rPr>
              <w:t>data</w:t>
            </w:r>
            <w:r w:rsidRPr="000B4E2C">
              <w:rPr>
                <w:b/>
                <w:bCs/>
                <w:sz w:val="22"/>
                <w:lang w:eastAsia="en-GB"/>
              </w:rPr>
              <w:t xml:space="preserve"> for children to the adult AKI model (exploratory only)</w:t>
            </w:r>
          </w:p>
        </w:tc>
      </w:tr>
      <w:tr w:rsidR="002F0133" w:rsidRPr="000B4E2C" w14:paraId="466DD38D" w14:textId="77777777" w:rsidTr="000B4E2C">
        <w:trPr>
          <w:cantSplit/>
        </w:trPr>
        <w:tc>
          <w:tcPr>
            <w:tcW w:w="0" w:type="auto"/>
            <w:shd w:val="clear" w:color="auto" w:fill="auto"/>
            <w:noWrap/>
            <w:vAlign w:val="bottom"/>
            <w:hideMark/>
          </w:tcPr>
          <w:p w14:paraId="3B77E222" w14:textId="77777777" w:rsidR="002F0133" w:rsidRPr="000B4E2C" w:rsidRDefault="002F0133" w:rsidP="008A7464">
            <w:pPr>
              <w:rPr>
                <w:sz w:val="22"/>
                <w:lang w:eastAsia="en-GB"/>
              </w:rPr>
            </w:pPr>
            <w:r w:rsidRPr="000B4E2C">
              <w:rPr>
                <w:sz w:val="22"/>
              </w:rPr>
              <w:t>Standard care (Scr)</w:t>
            </w:r>
          </w:p>
        </w:tc>
        <w:tc>
          <w:tcPr>
            <w:tcW w:w="0" w:type="auto"/>
            <w:shd w:val="clear" w:color="auto" w:fill="auto"/>
            <w:noWrap/>
            <w:vAlign w:val="bottom"/>
            <w:hideMark/>
          </w:tcPr>
          <w:p w14:paraId="012AFD82" w14:textId="77777777" w:rsidR="002F0133" w:rsidRPr="000B4E2C" w:rsidRDefault="002F0133" w:rsidP="008A7464">
            <w:pPr>
              <w:rPr>
                <w:sz w:val="22"/>
                <w:lang w:eastAsia="en-GB"/>
              </w:rPr>
            </w:pPr>
            <w:r w:rsidRPr="000B4E2C">
              <w:rPr>
                <w:sz w:val="22"/>
              </w:rPr>
              <w:t>£22,952</w:t>
            </w:r>
          </w:p>
        </w:tc>
        <w:tc>
          <w:tcPr>
            <w:tcW w:w="0" w:type="auto"/>
            <w:shd w:val="clear" w:color="auto" w:fill="auto"/>
            <w:noWrap/>
            <w:vAlign w:val="bottom"/>
            <w:hideMark/>
          </w:tcPr>
          <w:p w14:paraId="694C1ED1" w14:textId="5FF66DA4" w:rsidR="002F0133" w:rsidRPr="000B4E2C" w:rsidRDefault="000B4E2C" w:rsidP="008A7464">
            <w:pPr>
              <w:rPr>
                <w:sz w:val="22"/>
                <w:lang w:eastAsia="en-GB"/>
              </w:rPr>
            </w:pPr>
            <w:r w:rsidRPr="000B4E2C">
              <w:rPr>
                <w:sz w:val="22"/>
              </w:rPr>
              <w:t xml:space="preserve"> </w:t>
            </w:r>
          </w:p>
        </w:tc>
        <w:tc>
          <w:tcPr>
            <w:tcW w:w="0" w:type="auto"/>
            <w:shd w:val="clear" w:color="auto" w:fill="auto"/>
            <w:noWrap/>
            <w:vAlign w:val="bottom"/>
            <w:hideMark/>
          </w:tcPr>
          <w:p w14:paraId="284739C8" w14:textId="77777777" w:rsidR="002F0133" w:rsidRPr="000B4E2C" w:rsidRDefault="002F0133" w:rsidP="008A7464">
            <w:pPr>
              <w:rPr>
                <w:sz w:val="22"/>
                <w:lang w:eastAsia="en-GB"/>
              </w:rPr>
            </w:pPr>
            <w:r w:rsidRPr="000B4E2C">
              <w:rPr>
                <w:sz w:val="22"/>
              </w:rPr>
              <w:t>6.07678</w:t>
            </w:r>
          </w:p>
        </w:tc>
        <w:tc>
          <w:tcPr>
            <w:tcW w:w="0" w:type="auto"/>
            <w:shd w:val="clear" w:color="auto" w:fill="auto"/>
            <w:noWrap/>
            <w:vAlign w:val="bottom"/>
            <w:hideMark/>
          </w:tcPr>
          <w:p w14:paraId="4F806447" w14:textId="247B3322" w:rsidR="002F0133" w:rsidRPr="000B4E2C" w:rsidRDefault="000B4E2C" w:rsidP="008A7464">
            <w:pPr>
              <w:rPr>
                <w:sz w:val="22"/>
                <w:lang w:eastAsia="en-GB"/>
              </w:rPr>
            </w:pPr>
            <w:r w:rsidRPr="000B4E2C">
              <w:rPr>
                <w:sz w:val="22"/>
              </w:rPr>
              <w:t xml:space="preserve"> </w:t>
            </w:r>
          </w:p>
        </w:tc>
        <w:tc>
          <w:tcPr>
            <w:tcW w:w="0" w:type="auto"/>
            <w:shd w:val="clear" w:color="auto" w:fill="auto"/>
            <w:noWrap/>
            <w:vAlign w:val="bottom"/>
            <w:hideMark/>
          </w:tcPr>
          <w:p w14:paraId="0B93E198" w14:textId="3EBC576F" w:rsidR="002F0133" w:rsidRPr="000B4E2C" w:rsidRDefault="000B4E2C" w:rsidP="008A7464">
            <w:pPr>
              <w:rPr>
                <w:sz w:val="22"/>
                <w:lang w:eastAsia="en-GB"/>
              </w:rPr>
            </w:pPr>
            <w:r w:rsidRPr="000B4E2C">
              <w:rPr>
                <w:sz w:val="22"/>
              </w:rPr>
              <w:t xml:space="preserve"> </w:t>
            </w:r>
          </w:p>
        </w:tc>
        <w:tc>
          <w:tcPr>
            <w:tcW w:w="0" w:type="auto"/>
            <w:shd w:val="clear" w:color="auto" w:fill="auto"/>
            <w:noWrap/>
            <w:vAlign w:val="bottom"/>
            <w:hideMark/>
          </w:tcPr>
          <w:p w14:paraId="434249FA" w14:textId="0AB16A6D" w:rsidR="002F0133" w:rsidRPr="000B4E2C" w:rsidRDefault="000B4E2C" w:rsidP="008A7464">
            <w:pPr>
              <w:rPr>
                <w:sz w:val="22"/>
                <w:lang w:eastAsia="en-GB"/>
              </w:rPr>
            </w:pPr>
            <w:r w:rsidRPr="000B4E2C">
              <w:rPr>
                <w:sz w:val="22"/>
              </w:rPr>
              <w:t xml:space="preserve"> </w:t>
            </w:r>
          </w:p>
        </w:tc>
        <w:tc>
          <w:tcPr>
            <w:tcW w:w="0" w:type="auto"/>
            <w:shd w:val="clear" w:color="auto" w:fill="auto"/>
            <w:noWrap/>
            <w:vAlign w:val="bottom"/>
            <w:hideMark/>
          </w:tcPr>
          <w:p w14:paraId="611CD9C7" w14:textId="77777777" w:rsidR="002F0133" w:rsidRPr="000B4E2C" w:rsidRDefault="002F0133" w:rsidP="008A7464">
            <w:pPr>
              <w:rPr>
                <w:sz w:val="22"/>
                <w:lang w:eastAsia="en-GB"/>
              </w:rPr>
            </w:pPr>
            <w:r w:rsidRPr="000B4E2C">
              <w:rPr>
                <w:sz w:val="22"/>
              </w:rPr>
              <w:t>55.1%</w:t>
            </w:r>
          </w:p>
        </w:tc>
        <w:tc>
          <w:tcPr>
            <w:tcW w:w="0" w:type="auto"/>
            <w:shd w:val="clear" w:color="auto" w:fill="auto"/>
            <w:noWrap/>
            <w:vAlign w:val="bottom"/>
            <w:hideMark/>
          </w:tcPr>
          <w:p w14:paraId="2ADB9EF4" w14:textId="3C82B26D" w:rsidR="002F0133" w:rsidRPr="000B4E2C" w:rsidRDefault="000B4E2C" w:rsidP="008A7464">
            <w:pPr>
              <w:rPr>
                <w:sz w:val="22"/>
                <w:lang w:eastAsia="en-GB"/>
              </w:rPr>
            </w:pPr>
            <w:r w:rsidRPr="000B4E2C">
              <w:rPr>
                <w:sz w:val="22"/>
              </w:rPr>
              <w:t xml:space="preserve"> </w:t>
            </w:r>
          </w:p>
        </w:tc>
      </w:tr>
      <w:tr w:rsidR="002F0133" w:rsidRPr="000B4E2C" w14:paraId="0FF32963" w14:textId="77777777" w:rsidTr="000B4E2C">
        <w:trPr>
          <w:cantSplit/>
        </w:trPr>
        <w:tc>
          <w:tcPr>
            <w:tcW w:w="0" w:type="auto"/>
            <w:shd w:val="clear" w:color="auto" w:fill="auto"/>
            <w:noWrap/>
            <w:vAlign w:val="bottom"/>
            <w:hideMark/>
          </w:tcPr>
          <w:p w14:paraId="7E59AB0D" w14:textId="6F6613A4" w:rsidR="002F0133" w:rsidRPr="000B4E2C" w:rsidRDefault="002F0133" w:rsidP="008A7464">
            <w:pPr>
              <w:rPr>
                <w:sz w:val="22"/>
                <w:lang w:eastAsia="en-GB"/>
              </w:rPr>
            </w:pPr>
            <w:r w:rsidRPr="000B4E2C">
              <w:rPr>
                <w:sz w:val="22"/>
              </w:rPr>
              <w:t>Test 4 (NGAL urine</w:t>
            </w:r>
            <w:r w:rsidR="000B4E2C" w:rsidRPr="000B4E2C">
              <w:rPr>
                <w:color w:val="00B0F0"/>
                <w:sz w:val="22"/>
              </w:rPr>
              <w:t xml:space="preserve"> – </w:t>
            </w:r>
            <w:r w:rsidRPr="000B4E2C">
              <w:rPr>
                <w:sz w:val="22"/>
              </w:rPr>
              <w:t>ARCHITECT)</w:t>
            </w:r>
          </w:p>
        </w:tc>
        <w:tc>
          <w:tcPr>
            <w:tcW w:w="0" w:type="auto"/>
            <w:shd w:val="clear" w:color="auto" w:fill="auto"/>
            <w:noWrap/>
            <w:vAlign w:val="bottom"/>
            <w:hideMark/>
          </w:tcPr>
          <w:p w14:paraId="510401F7" w14:textId="77777777" w:rsidR="002F0133" w:rsidRPr="000B4E2C" w:rsidRDefault="002F0133" w:rsidP="008A7464">
            <w:pPr>
              <w:rPr>
                <w:sz w:val="22"/>
                <w:lang w:eastAsia="en-GB"/>
              </w:rPr>
            </w:pPr>
            <w:r w:rsidRPr="000B4E2C">
              <w:rPr>
                <w:sz w:val="22"/>
              </w:rPr>
              <w:t>£22,957</w:t>
            </w:r>
          </w:p>
        </w:tc>
        <w:tc>
          <w:tcPr>
            <w:tcW w:w="0" w:type="auto"/>
            <w:shd w:val="clear" w:color="auto" w:fill="auto"/>
            <w:noWrap/>
            <w:vAlign w:val="bottom"/>
            <w:hideMark/>
          </w:tcPr>
          <w:p w14:paraId="21CC3E78" w14:textId="77777777" w:rsidR="002F0133" w:rsidRPr="000B4E2C" w:rsidRDefault="002F0133" w:rsidP="008A7464">
            <w:pPr>
              <w:rPr>
                <w:sz w:val="22"/>
                <w:lang w:eastAsia="en-GB"/>
              </w:rPr>
            </w:pPr>
            <w:r w:rsidRPr="000B4E2C">
              <w:rPr>
                <w:sz w:val="22"/>
              </w:rPr>
              <w:t>£5</w:t>
            </w:r>
          </w:p>
        </w:tc>
        <w:tc>
          <w:tcPr>
            <w:tcW w:w="0" w:type="auto"/>
            <w:shd w:val="clear" w:color="auto" w:fill="auto"/>
            <w:noWrap/>
            <w:vAlign w:val="bottom"/>
            <w:hideMark/>
          </w:tcPr>
          <w:p w14:paraId="33853DFD" w14:textId="77777777" w:rsidR="002F0133" w:rsidRPr="000B4E2C" w:rsidRDefault="002F0133" w:rsidP="008A7464">
            <w:pPr>
              <w:rPr>
                <w:sz w:val="22"/>
                <w:lang w:eastAsia="en-GB"/>
              </w:rPr>
            </w:pPr>
            <w:r w:rsidRPr="000B4E2C">
              <w:rPr>
                <w:sz w:val="22"/>
              </w:rPr>
              <w:t>6.07709</w:t>
            </w:r>
          </w:p>
        </w:tc>
        <w:tc>
          <w:tcPr>
            <w:tcW w:w="0" w:type="auto"/>
            <w:shd w:val="clear" w:color="auto" w:fill="auto"/>
            <w:noWrap/>
            <w:vAlign w:val="bottom"/>
            <w:hideMark/>
          </w:tcPr>
          <w:p w14:paraId="19A7D5D3" w14:textId="77777777" w:rsidR="002F0133" w:rsidRPr="000B4E2C" w:rsidRDefault="002F0133" w:rsidP="008A7464">
            <w:pPr>
              <w:rPr>
                <w:sz w:val="22"/>
                <w:lang w:eastAsia="en-GB"/>
              </w:rPr>
            </w:pPr>
            <w:r w:rsidRPr="000B4E2C">
              <w:rPr>
                <w:sz w:val="22"/>
              </w:rPr>
              <w:t>0.00031</w:t>
            </w:r>
          </w:p>
        </w:tc>
        <w:tc>
          <w:tcPr>
            <w:tcW w:w="0" w:type="auto"/>
            <w:shd w:val="clear" w:color="auto" w:fill="auto"/>
            <w:noWrap/>
            <w:vAlign w:val="bottom"/>
            <w:hideMark/>
          </w:tcPr>
          <w:p w14:paraId="56C2BAFF" w14:textId="77777777" w:rsidR="002F0133" w:rsidRPr="000B4E2C" w:rsidRDefault="002F0133" w:rsidP="008A7464">
            <w:pPr>
              <w:rPr>
                <w:sz w:val="22"/>
                <w:lang w:eastAsia="en-GB"/>
              </w:rPr>
            </w:pPr>
            <w:r w:rsidRPr="000B4E2C">
              <w:rPr>
                <w:sz w:val="22"/>
              </w:rPr>
              <w:t>£15,835</w:t>
            </w:r>
          </w:p>
        </w:tc>
        <w:tc>
          <w:tcPr>
            <w:tcW w:w="0" w:type="auto"/>
            <w:shd w:val="clear" w:color="auto" w:fill="auto"/>
            <w:noWrap/>
            <w:vAlign w:val="bottom"/>
            <w:hideMark/>
          </w:tcPr>
          <w:p w14:paraId="078C9D16" w14:textId="77777777" w:rsidR="002F0133" w:rsidRPr="000B4E2C" w:rsidRDefault="002F0133" w:rsidP="008A7464">
            <w:pPr>
              <w:rPr>
                <w:sz w:val="22"/>
                <w:lang w:eastAsia="en-GB"/>
              </w:rPr>
            </w:pPr>
            <w:r w:rsidRPr="000B4E2C">
              <w:rPr>
                <w:sz w:val="22"/>
              </w:rPr>
              <w:t>£15,835</w:t>
            </w:r>
          </w:p>
        </w:tc>
        <w:tc>
          <w:tcPr>
            <w:tcW w:w="0" w:type="auto"/>
            <w:shd w:val="clear" w:color="auto" w:fill="auto"/>
            <w:noWrap/>
            <w:vAlign w:val="bottom"/>
            <w:hideMark/>
          </w:tcPr>
          <w:p w14:paraId="3872FD4E" w14:textId="77777777" w:rsidR="002F0133" w:rsidRPr="000B4E2C" w:rsidRDefault="002F0133" w:rsidP="008A7464">
            <w:pPr>
              <w:rPr>
                <w:sz w:val="22"/>
                <w:lang w:eastAsia="en-GB"/>
              </w:rPr>
            </w:pPr>
            <w:r w:rsidRPr="000B4E2C">
              <w:rPr>
                <w:sz w:val="22"/>
              </w:rPr>
              <w:t>24.2%</w:t>
            </w:r>
          </w:p>
        </w:tc>
        <w:tc>
          <w:tcPr>
            <w:tcW w:w="0" w:type="auto"/>
            <w:shd w:val="clear" w:color="auto" w:fill="auto"/>
            <w:noWrap/>
            <w:vAlign w:val="bottom"/>
            <w:hideMark/>
          </w:tcPr>
          <w:p w14:paraId="2E6C6889" w14:textId="77777777" w:rsidR="002F0133" w:rsidRPr="000B4E2C" w:rsidRDefault="002F0133" w:rsidP="008A7464">
            <w:pPr>
              <w:rPr>
                <w:sz w:val="22"/>
                <w:lang w:eastAsia="en-GB"/>
              </w:rPr>
            </w:pPr>
            <w:r w:rsidRPr="000B4E2C">
              <w:rPr>
                <w:sz w:val="22"/>
              </w:rPr>
              <w:t>43.3%</w:t>
            </w:r>
          </w:p>
        </w:tc>
      </w:tr>
      <w:tr w:rsidR="002F0133" w:rsidRPr="000B4E2C" w14:paraId="1103BEA7" w14:textId="77777777" w:rsidTr="000B4E2C">
        <w:trPr>
          <w:cantSplit/>
        </w:trPr>
        <w:tc>
          <w:tcPr>
            <w:tcW w:w="0" w:type="auto"/>
            <w:shd w:val="clear" w:color="auto" w:fill="auto"/>
            <w:noWrap/>
            <w:vAlign w:val="bottom"/>
            <w:hideMark/>
          </w:tcPr>
          <w:p w14:paraId="7E8777BA" w14:textId="094299B0" w:rsidR="002F0133" w:rsidRPr="000B4E2C" w:rsidRDefault="002F0133" w:rsidP="008A7464">
            <w:pPr>
              <w:rPr>
                <w:sz w:val="22"/>
                <w:lang w:eastAsia="en-GB"/>
              </w:rPr>
            </w:pPr>
            <w:r w:rsidRPr="000B4E2C">
              <w:rPr>
                <w:sz w:val="22"/>
              </w:rPr>
              <w:t>Test 3 (NGAL urine</w:t>
            </w:r>
            <w:r w:rsidR="000B4E2C" w:rsidRPr="000B4E2C">
              <w:rPr>
                <w:color w:val="00B0F0"/>
                <w:sz w:val="22"/>
              </w:rPr>
              <w:t xml:space="preserve"> – </w:t>
            </w:r>
            <w:r w:rsidR="009D7F5A" w:rsidRPr="000B4E2C">
              <w:rPr>
                <w:sz w:val="22"/>
              </w:rPr>
              <w:t>BioPorto</w:t>
            </w:r>
            <w:r w:rsidRPr="000B4E2C">
              <w:rPr>
                <w:sz w:val="22"/>
              </w:rPr>
              <w:t>)</w:t>
            </w:r>
          </w:p>
        </w:tc>
        <w:tc>
          <w:tcPr>
            <w:tcW w:w="0" w:type="auto"/>
            <w:shd w:val="clear" w:color="auto" w:fill="auto"/>
            <w:noWrap/>
            <w:vAlign w:val="bottom"/>
            <w:hideMark/>
          </w:tcPr>
          <w:p w14:paraId="2E0926B0" w14:textId="77777777" w:rsidR="002F0133" w:rsidRPr="000B4E2C" w:rsidRDefault="002F0133" w:rsidP="008A7464">
            <w:pPr>
              <w:rPr>
                <w:sz w:val="22"/>
                <w:lang w:eastAsia="en-GB"/>
              </w:rPr>
            </w:pPr>
            <w:r w:rsidRPr="000B4E2C">
              <w:rPr>
                <w:sz w:val="22"/>
              </w:rPr>
              <w:t>£22,968</w:t>
            </w:r>
          </w:p>
        </w:tc>
        <w:tc>
          <w:tcPr>
            <w:tcW w:w="0" w:type="auto"/>
            <w:shd w:val="clear" w:color="auto" w:fill="auto"/>
            <w:noWrap/>
            <w:vAlign w:val="bottom"/>
            <w:hideMark/>
          </w:tcPr>
          <w:p w14:paraId="301DFB31" w14:textId="77777777" w:rsidR="002F0133" w:rsidRPr="000B4E2C" w:rsidRDefault="002F0133" w:rsidP="008A7464">
            <w:pPr>
              <w:rPr>
                <w:sz w:val="22"/>
                <w:lang w:eastAsia="en-GB"/>
              </w:rPr>
            </w:pPr>
            <w:r w:rsidRPr="000B4E2C">
              <w:rPr>
                <w:sz w:val="22"/>
              </w:rPr>
              <w:t>£11</w:t>
            </w:r>
          </w:p>
        </w:tc>
        <w:tc>
          <w:tcPr>
            <w:tcW w:w="0" w:type="auto"/>
            <w:shd w:val="clear" w:color="auto" w:fill="auto"/>
            <w:noWrap/>
            <w:vAlign w:val="bottom"/>
            <w:hideMark/>
          </w:tcPr>
          <w:p w14:paraId="093A44B2" w14:textId="77777777" w:rsidR="002F0133" w:rsidRPr="000B4E2C" w:rsidRDefault="002F0133" w:rsidP="008A7464">
            <w:pPr>
              <w:rPr>
                <w:sz w:val="22"/>
                <w:lang w:eastAsia="en-GB"/>
              </w:rPr>
            </w:pPr>
            <w:r w:rsidRPr="000B4E2C">
              <w:rPr>
                <w:sz w:val="22"/>
              </w:rPr>
              <w:t>6.07713</w:t>
            </w:r>
          </w:p>
        </w:tc>
        <w:tc>
          <w:tcPr>
            <w:tcW w:w="0" w:type="auto"/>
            <w:shd w:val="clear" w:color="auto" w:fill="auto"/>
            <w:noWrap/>
            <w:vAlign w:val="bottom"/>
            <w:hideMark/>
          </w:tcPr>
          <w:p w14:paraId="1B6A157E" w14:textId="77777777" w:rsidR="002F0133" w:rsidRPr="000B4E2C" w:rsidRDefault="002F0133" w:rsidP="008A7464">
            <w:pPr>
              <w:rPr>
                <w:sz w:val="22"/>
                <w:lang w:eastAsia="en-GB"/>
              </w:rPr>
            </w:pPr>
            <w:r w:rsidRPr="000B4E2C">
              <w:rPr>
                <w:sz w:val="22"/>
              </w:rPr>
              <w:t>0.00004</w:t>
            </w:r>
          </w:p>
        </w:tc>
        <w:tc>
          <w:tcPr>
            <w:tcW w:w="0" w:type="auto"/>
            <w:shd w:val="clear" w:color="auto" w:fill="auto"/>
            <w:noWrap/>
            <w:vAlign w:val="bottom"/>
            <w:hideMark/>
          </w:tcPr>
          <w:p w14:paraId="4FC7386C" w14:textId="77777777" w:rsidR="002F0133" w:rsidRPr="000B4E2C" w:rsidRDefault="002F0133" w:rsidP="008A7464">
            <w:pPr>
              <w:rPr>
                <w:sz w:val="22"/>
                <w:lang w:eastAsia="en-GB"/>
              </w:rPr>
            </w:pPr>
            <w:r w:rsidRPr="000B4E2C">
              <w:rPr>
                <w:sz w:val="22"/>
              </w:rPr>
              <w:t>£260,525</w:t>
            </w:r>
          </w:p>
        </w:tc>
        <w:tc>
          <w:tcPr>
            <w:tcW w:w="0" w:type="auto"/>
            <w:shd w:val="clear" w:color="auto" w:fill="auto"/>
            <w:noWrap/>
            <w:vAlign w:val="bottom"/>
            <w:hideMark/>
          </w:tcPr>
          <w:p w14:paraId="28CC632C" w14:textId="77777777" w:rsidR="002F0133" w:rsidRPr="000B4E2C" w:rsidRDefault="002F0133" w:rsidP="008A7464">
            <w:pPr>
              <w:rPr>
                <w:sz w:val="22"/>
                <w:lang w:eastAsia="en-GB"/>
              </w:rPr>
            </w:pPr>
            <w:r w:rsidRPr="000B4E2C">
              <w:rPr>
                <w:sz w:val="22"/>
              </w:rPr>
              <w:t>£45,510</w:t>
            </w:r>
          </w:p>
        </w:tc>
        <w:tc>
          <w:tcPr>
            <w:tcW w:w="0" w:type="auto"/>
            <w:shd w:val="clear" w:color="auto" w:fill="auto"/>
            <w:noWrap/>
            <w:vAlign w:val="bottom"/>
            <w:hideMark/>
          </w:tcPr>
          <w:p w14:paraId="440563F4" w14:textId="77777777" w:rsidR="002F0133" w:rsidRPr="000B4E2C" w:rsidRDefault="002F0133" w:rsidP="008A7464">
            <w:pPr>
              <w:rPr>
                <w:sz w:val="22"/>
                <w:lang w:eastAsia="en-GB"/>
              </w:rPr>
            </w:pPr>
            <w:r w:rsidRPr="000B4E2C">
              <w:rPr>
                <w:sz w:val="22"/>
              </w:rPr>
              <w:t>20.6%</w:t>
            </w:r>
          </w:p>
        </w:tc>
        <w:tc>
          <w:tcPr>
            <w:tcW w:w="0" w:type="auto"/>
            <w:shd w:val="clear" w:color="auto" w:fill="auto"/>
            <w:noWrap/>
            <w:vAlign w:val="bottom"/>
            <w:hideMark/>
          </w:tcPr>
          <w:p w14:paraId="1DD860BC" w14:textId="77777777" w:rsidR="002F0133" w:rsidRPr="000B4E2C" w:rsidRDefault="002F0133" w:rsidP="008A7464">
            <w:pPr>
              <w:rPr>
                <w:sz w:val="22"/>
                <w:lang w:eastAsia="en-GB"/>
              </w:rPr>
            </w:pPr>
            <w:r w:rsidRPr="000B4E2C">
              <w:rPr>
                <w:sz w:val="22"/>
              </w:rPr>
              <w:t>40.4%</w:t>
            </w:r>
          </w:p>
        </w:tc>
      </w:tr>
    </w:tbl>
    <w:p w14:paraId="65EDBB39" w14:textId="18F322A9" w:rsidR="000B4E2C" w:rsidRPr="000B4E2C" w:rsidRDefault="002F0133" w:rsidP="008A7464">
      <w:pPr>
        <w:rPr>
          <w:lang w:eastAsia="en-GB"/>
        </w:rPr>
      </w:pPr>
      <w:r w:rsidRPr="000B4E2C">
        <w:rPr>
          <w:i/>
          <w:iCs/>
          <w:vertAlign w:val="superscript"/>
          <w:lang w:eastAsia="en-GB"/>
        </w:rPr>
        <w:t>A</w:t>
      </w:r>
      <w:r w:rsidRPr="000B4E2C">
        <w:rPr>
          <w:i/>
          <w:iCs/>
          <w:lang w:eastAsia="en-GB"/>
        </w:rPr>
        <w:t xml:space="preserve"> Probability of indifference </w:t>
      </w:r>
      <w:r w:rsidR="000B4E2C" w:rsidRPr="000B4E2C">
        <w:rPr>
          <w:i/>
          <w:iCs/>
          <w:color w:val="00B0F0"/>
          <w:lang w:eastAsia="en-GB"/>
        </w:rPr>
        <w:t>&lt;</w:t>
      </w:r>
      <w:r w:rsidR="000B4E2C" w:rsidRPr="000B4E2C">
        <w:rPr>
          <w:i/>
          <w:iCs/>
          <w:color w:val="00B0F0"/>
          <w:lang w:eastAsia="en-GB"/>
        </w:rPr>
        <w:t> </w:t>
      </w:r>
      <w:r w:rsidRPr="000B4E2C">
        <w:rPr>
          <w:i/>
          <w:iCs/>
          <w:lang w:eastAsia="en-GB"/>
        </w:rPr>
        <w:t xml:space="preserve">0.002 at a threshold of cost indifference </w:t>
      </w:r>
      <w:r w:rsidR="000B4E2C" w:rsidRPr="000B4E2C">
        <w:rPr>
          <w:i/>
          <w:iCs/>
          <w:color w:val="00B0F0"/>
          <w:lang w:eastAsia="en-GB"/>
        </w:rPr>
        <w:t>&lt;</w:t>
      </w:r>
      <w:r w:rsidR="000B4E2C" w:rsidRPr="000B4E2C">
        <w:rPr>
          <w:i/>
          <w:iCs/>
          <w:color w:val="00B0F0"/>
          <w:lang w:eastAsia="en-GB"/>
        </w:rPr>
        <w:t> </w:t>
      </w:r>
      <w:r w:rsidRPr="000B4E2C">
        <w:rPr>
          <w:i/>
          <w:iCs/>
          <w:lang w:eastAsia="en-GB"/>
        </w:rPr>
        <w:t>£0.01</w:t>
      </w:r>
    </w:p>
    <w:p w14:paraId="057F6CE3" w14:textId="68862524" w:rsidR="002F0133" w:rsidRPr="000B4E2C" w:rsidRDefault="000B4E2C" w:rsidP="008A7464">
      <w:pPr>
        <w:pStyle w:val="Heading2"/>
      </w:pPr>
      <w:r w:rsidRPr="000B4E2C">
        <w:rPr>
          <w:i/>
          <w:color w:val="FF0000"/>
        </w:rPr>
        <w:lastRenderedPageBreak/>
        <w:t>T</w:t>
      </w:r>
      <w:r w:rsidRPr="000B4E2C">
        <w:rPr>
          <w:i/>
          <w:color w:val="FF0000"/>
        </w:rPr>
        <w:t>able</w:t>
      </w:r>
      <w:r w:rsidRPr="000B4E2C">
        <w:rPr>
          <w:i/>
          <w:color w:val="FF0000"/>
        </w:rPr>
        <w:t xml:space="preserve"> </w:t>
      </w:r>
      <w:r w:rsidRPr="000B4E2C">
        <w:rPr>
          <w:i/>
          <w:color w:val="FF0000"/>
        </w:rPr>
        <w:t>21</w:t>
      </w:r>
      <w:r w:rsidRPr="000B4E2C">
        <w:t xml:space="preserve"> </w:t>
      </w:r>
      <w:r w:rsidR="002F0133" w:rsidRPr="000B4E2C">
        <w:t xml:space="preserve">Scenario analyses assuming that the NGAL tests </w:t>
      </w:r>
      <w:r w:rsidR="002F0133" w:rsidRPr="000B4E2C">
        <w:rPr>
          <w:u w:val="single"/>
        </w:rPr>
        <w:t>cannot</w:t>
      </w:r>
      <w:r w:rsidR="002F0133" w:rsidRPr="000B4E2C">
        <w:t xml:space="preserve"> avert AKI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444"/>
        <w:gridCol w:w="630"/>
        <w:gridCol w:w="120"/>
        <w:gridCol w:w="741"/>
        <w:gridCol w:w="629"/>
        <w:gridCol w:w="839"/>
        <w:gridCol w:w="836"/>
        <w:gridCol w:w="887"/>
        <w:gridCol w:w="833"/>
        <w:gridCol w:w="120"/>
        <w:gridCol w:w="947"/>
      </w:tblGrid>
      <w:tr w:rsidR="002F0133" w:rsidRPr="000B4E2C" w14:paraId="2496E0DD" w14:textId="77777777" w:rsidTr="000B4E2C">
        <w:trPr>
          <w:cantSplit/>
          <w:tblHeader/>
        </w:trPr>
        <w:tc>
          <w:tcPr>
            <w:tcW w:w="0" w:type="auto"/>
            <w:shd w:val="clear" w:color="auto" w:fill="auto"/>
            <w:hideMark/>
          </w:tcPr>
          <w:p w14:paraId="0480FC43" w14:textId="77777777" w:rsidR="002F0133" w:rsidRPr="000B4E2C" w:rsidRDefault="002F0133" w:rsidP="008A7464">
            <w:pPr>
              <w:rPr>
                <w:b/>
                <w:bCs/>
                <w:sz w:val="22"/>
                <w:lang w:val="en-GB" w:eastAsia="en-GB"/>
              </w:rPr>
            </w:pPr>
            <w:r w:rsidRPr="000B4E2C">
              <w:rPr>
                <w:b/>
                <w:bCs/>
                <w:sz w:val="22"/>
                <w:lang w:eastAsia="en-GB"/>
              </w:rPr>
              <w:lastRenderedPageBreak/>
              <w:t>Scenario</w:t>
            </w:r>
          </w:p>
        </w:tc>
        <w:tc>
          <w:tcPr>
            <w:tcW w:w="0" w:type="auto"/>
            <w:shd w:val="clear" w:color="auto" w:fill="auto"/>
            <w:hideMark/>
          </w:tcPr>
          <w:p w14:paraId="635A47DE" w14:textId="77777777" w:rsidR="002F0133" w:rsidRPr="000B4E2C" w:rsidRDefault="002F0133" w:rsidP="008A7464">
            <w:pPr>
              <w:rPr>
                <w:b/>
                <w:bCs/>
                <w:sz w:val="22"/>
                <w:lang w:eastAsia="en-GB"/>
              </w:rPr>
            </w:pPr>
            <w:r w:rsidRPr="000B4E2C">
              <w:rPr>
                <w:b/>
                <w:bCs/>
                <w:sz w:val="22"/>
                <w:lang w:eastAsia="en-GB"/>
              </w:rPr>
              <w:t>Cost</w:t>
            </w:r>
          </w:p>
        </w:tc>
        <w:tc>
          <w:tcPr>
            <w:tcW w:w="0" w:type="auto"/>
            <w:gridSpan w:val="2"/>
            <w:shd w:val="clear" w:color="auto" w:fill="auto"/>
            <w:hideMark/>
          </w:tcPr>
          <w:p w14:paraId="1983EBF6" w14:textId="77777777" w:rsidR="002F0133" w:rsidRPr="000B4E2C" w:rsidRDefault="002F0133" w:rsidP="008A7464">
            <w:pPr>
              <w:rPr>
                <w:b/>
                <w:bCs/>
                <w:sz w:val="22"/>
                <w:lang w:eastAsia="en-GB"/>
              </w:rPr>
            </w:pPr>
            <w:r w:rsidRPr="000B4E2C">
              <w:rPr>
                <w:b/>
                <w:bCs/>
                <w:sz w:val="22"/>
                <w:lang w:eastAsia="en-GB"/>
              </w:rPr>
              <w:t>Inc. Cost</w:t>
            </w:r>
          </w:p>
        </w:tc>
        <w:tc>
          <w:tcPr>
            <w:tcW w:w="0" w:type="auto"/>
            <w:shd w:val="clear" w:color="auto" w:fill="auto"/>
            <w:hideMark/>
          </w:tcPr>
          <w:p w14:paraId="75000DD0" w14:textId="77777777" w:rsidR="002F0133" w:rsidRPr="000B4E2C" w:rsidRDefault="002F0133" w:rsidP="008A7464">
            <w:pPr>
              <w:rPr>
                <w:b/>
                <w:bCs/>
                <w:sz w:val="22"/>
                <w:lang w:eastAsia="en-GB"/>
              </w:rPr>
            </w:pPr>
            <w:r w:rsidRPr="000B4E2C">
              <w:rPr>
                <w:b/>
                <w:bCs/>
                <w:sz w:val="22"/>
                <w:lang w:eastAsia="en-GB"/>
              </w:rPr>
              <w:t>QALY</w:t>
            </w:r>
          </w:p>
        </w:tc>
        <w:tc>
          <w:tcPr>
            <w:tcW w:w="0" w:type="auto"/>
            <w:shd w:val="clear" w:color="auto" w:fill="auto"/>
            <w:hideMark/>
          </w:tcPr>
          <w:p w14:paraId="1E1ECF6A" w14:textId="77777777" w:rsidR="002F0133" w:rsidRPr="000B4E2C" w:rsidRDefault="002F0133" w:rsidP="008A7464">
            <w:pPr>
              <w:rPr>
                <w:b/>
                <w:bCs/>
                <w:sz w:val="22"/>
                <w:lang w:eastAsia="en-GB"/>
              </w:rPr>
            </w:pPr>
            <w:r w:rsidRPr="000B4E2C">
              <w:rPr>
                <w:b/>
                <w:bCs/>
                <w:sz w:val="22"/>
                <w:lang w:eastAsia="en-GB"/>
              </w:rPr>
              <w:t>Inc. QALY</w:t>
            </w:r>
          </w:p>
        </w:tc>
        <w:tc>
          <w:tcPr>
            <w:tcW w:w="0" w:type="auto"/>
            <w:shd w:val="clear" w:color="auto" w:fill="auto"/>
            <w:hideMark/>
          </w:tcPr>
          <w:p w14:paraId="1F07C9E3" w14:textId="77777777" w:rsidR="002F0133" w:rsidRPr="000B4E2C" w:rsidRDefault="002F0133" w:rsidP="008A7464">
            <w:pPr>
              <w:rPr>
                <w:b/>
                <w:bCs/>
                <w:sz w:val="22"/>
                <w:lang w:eastAsia="en-GB"/>
              </w:rPr>
            </w:pPr>
            <w:r w:rsidRPr="000B4E2C">
              <w:rPr>
                <w:b/>
                <w:bCs/>
                <w:sz w:val="22"/>
                <w:lang w:eastAsia="en-GB"/>
              </w:rPr>
              <w:t>ICER (inc)</w:t>
            </w:r>
          </w:p>
        </w:tc>
        <w:tc>
          <w:tcPr>
            <w:tcW w:w="0" w:type="auto"/>
            <w:shd w:val="clear" w:color="auto" w:fill="auto"/>
            <w:hideMark/>
          </w:tcPr>
          <w:p w14:paraId="08D8BBAC" w14:textId="77777777" w:rsidR="002F0133" w:rsidRPr="000B4E2C" w:rsidRDefault="002F0133" w:rsidP="008A7464">
            <w:pPr>
              <w:rPr>
                <w:b/>
                <w:bCs/>
                <w:sz w:val="22"/>
                <w:lang w:eastAsia="en-GB"/>
              </w:rPr>
            </w:pPr>
            <w:r w:rsidRPr="000B4E2C">
              <w:rPr>
                <w:b/>
                <w:bCs/>
                <w:sz w:val="22"/>
                <w:lang w:eastAsia="en-GB"/>
              </w:rPr>
              <w:t>ICER vs. SC</w:t>
            </w:r>
          </w:p>
        </w:tc>
        <w:tc>
          <w:tcPr>
            <w:tcW w:w="0" w:type="auto"/>
            <w:shd w:val="clear" w:color="auto" w:fill="auto"/>
            <w:hideMark/>
          </w:tcPr>
          <w:p w14:paraId="7DA45D6B" w14:textId="77777777" w:rsidR="002F0133" w:rsidRPr="000B4E2C" w:rsidRDefault="002F0133" w:rsidP="008A7464">
            <w:pPr>
              <w:rPr>
                <w:b/>
                <w:bCs/>
                <w:sz w:val="22"/>
                <w:lang w:eastAsia="en-GB"/>
              </w:rPr>
            </w:pPr>
            <w:r w:rsidRPr="000B4E2C">
              <w:rPr>
                <w:b/>
                <w:bCs/>
                <w:i/>
                <w:color w:val="00B0F0"/>
                <w:sz w:val="22"/>
                <w:lang w:eastAsia="en-GB"/>
              </w:rPr>
              <w:t>p</w:t>
            </w:r>
            <w:r w:rsidRPr="000B4E2C">
              <w:rPr>
                <w:b/>
                <w:bCs/>
                <w:sz w:val="22"/>
                <w:lang w:eastAsia="en-GB"/>
              </w:rPr>
              <w:t xml:space="preserve"> (C/E) @ 20k</w:t>
            </w:r>
          </w:p>
        </w:tc>
        <w:tc>
          <w:tcPr>
            <w:tcW w:w="0" w:type="auto"/>
            <w:gridSpan w:val="2"/>
            <w:shd w:val="clear" w:color="auto" w:fill="auto"/>
            <w:hideMark/>
          </w:tcPr>
          <w:p w14:paraId="25A0CAF5" w14:textId="77777777" w:rsidR="002F0133" w:rsidRPr="000B4E2C" w:rsidRDefault="002F0133" w:rsidP="008A7464">
            <w:pPr>
              <w:rPr>
                <w:b/>
                <w:bCs/>
                <w:sz w:val="22"/>
                <w:lang w:eastAsia="en-GB"/>
              </w:rPr>
            </w:pPr>
            <w:r w:rsidRPr="000B4E2C">
              <w:rPr>
                <w:b/>
                <w:bCs/>
                <w:i/>
                <w:color w:val="00B0F0"/>
                <w:sz w:val="22"/>
                <w:lang w:eastAsia="en-GB"/>
              </w:rPr>
              <w:t>p</w:t>
            </w:r>
            <w:r w:rsidRPr="000B4E2C">
              <w:rPr>
                <w:b/>
                <w:bCs/>
                <w:sz w:val="22"/>
                <w:lang w:eastAsia="en-GB"/>
              </w:rPr>
              <w:t xml:space="preserve"> (C/E) @ 20k vs. SC</w:t>
            </w:r>
          </w:p>
        </w:tc>
      </w:tr>
      <w:tr w:rsidR="002F0133" w:rsidRPr="000B4E2C" w14:paraId="06C76AB6" w14:textId="77777777" w:rsidTr="000B4E2C">
        <w:trPr>
          <w:cantSplit/>
          <w:tblHeader/>
        </w:trPr>
        <w:tc>
          <w:tcPr>
            <w:tcW w:w="0" w:type="auto"/>
            <w:gridSpan w:val="11"/>
            <w:shd w:val="clear" w:color="auto" w:fill="auto"/>
            <w:noWrap/>
            <w:hideMark/>
          </w:tcPr>
          <w:p w14:paraId="4B3D392E" w14:textId="662D0683" w:rsidR="002F0133" w:rsidRPr="000B4E2C" w:rsidRDefault="002F0133" w:rsidP="008A7464">
            <w:pPr>
              <w:rPr>
                <w:b/>
                <w:bCs/>
                <w:sz w:val="22"/>
                <w:lang w:eastAsia="en-GB"/>
              </w:rPr>
            </w:pPr>
            <w:r w:rsidRPr="000B4E2C">
              <w:rPr>
                <w:b/>
                <w:bCs/>
                <w:sz w:val="22"/>
                <w:lang w:eastAsia="en-GB"/>
              </w:rPr>
              <w:t xml:space="preserve">Scenario </w:t>
            </w:r>
            <w:r w:rsidR="000B4E2C" w:rsidRPr="000B4E2C">
              <w:rPr>
                <w:b/>
                <w:bCs/>
                <w:color w:val="00B0F0"/>
                <w:sz w:val="22"/>
                <w:lang w:eastAsia="en-GB"/>
              </w:rPr>
              <w:t>2</w:t>
            </w:r>
            <w:r w:rsidR="000B4E2C" w:rsidRPr="000B4E2C">
              <w:rPr>
                <w:b/>
                <w:bCs/>
                <w:color w:val="00B0F0"/>
                <w:sz w:val="22"/>
                <w:lang w:eastAsia="en-GB"/>
              </w:rPr>
              <w:t> </w:t>
            </w:r>
            <w:r w:rsidR="000B4E2C" w:rsidRPr="000B4E2C">
              <w:rPr>
                <w:b/>
                <w:bCs/>
                <w:color w:val="00B0F0"/>
                <w:sz w:val="22"/>
                <w:lang w:eastAsia="en-GB"/>
              </w:rPr>
              <w:t>A:</w:t>
            </w:r>
            <w:r w:rsidRPr="000B4E2C">
              <w:rPr>
                <w:b/>
                <w:bCs/>
                <w:sz w:val="22"/>
                <w:lang w:eastAsia="en-GB"/>
              </w:rPr>
              <w:t xml:space="preserve"> Alternative base case assuming NephroCheck is the only test that can </w:t>
            </w:r>
            <w:r w:rsidRPr="000B4E2C">
              <w:rPr>
                <w:b/>
                <w:bCs/>
                <w:sz w:val="22"/>
                <w:highlight w:val="magenta"/>
                <w:lang w:eastAsia="en-GB"/>
              </w:rPr>
              <w:t>lead</w:t>
            </w:r>
            <w:r w:rsidRPr="000B4E2C">
              <w:rPr>
                <w:b/>
                <w:bCs/>
                <w:sz w:val="22"/>
                <w:lang w:eastAsia="en-GB"/>
              </w:rPr>
              <w:t xml:space="preserve"> to averted AKI</w:t>
            </w:r>
          </w:p>
        </w:tc>
      </w:tr>
      <w:tr w:rsidR="002F0133" w:rsidRPr="000B4E2C" w14:paraId="4C2D7FF2" w14:textId="77777777" w:rsidTr="000B4E2C">
        <w:trPr>
          <w:cantSplit/>
          <w:tblHeader/>
        </w:trPr>
        <w:tc>
          <w:tcPr>
            <w:tcW w:w="0" w:type="auto"/>
            <w:shd w:val="clear" w:color="auto" w:fill="auto"/>
            <w:noWrap/>
            <w:hideMark/>
          </w:tcPr>
          <w:p w14:paraId="2B558928"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0B7B907C" w14:textId="77777777" w:rsidR="002F0133" w:rsidRPr="000B4E2C" w:rsidRDefault="002F0133" w:rsidP="008A7464">
            <w:pPr>
              <w:rPr>
                <w:sz w:val="22"/>
                <w:lang w:eastAsia="en-GB"/>
              </w:rPr>
            </w:pPr>
            <w:r w:rsidRPr="000B4E2C">
              <w:rPr>
                <w:sz w:val="22"/>
                <w:lang w:eastAsia="en-GB"/>
              </w:rPr>
              <w:t>£22,978</w:t>
            </w:r>
          </w:p>
        </w:tc>
        <w:tc>
          <w:tcPr>
            <w:tcW w:w="0" w:type="auto"/>
            <w:gridSpan w:val="2"/>
            <w:shd w:val="clear" w:color="auto" w:fill="auto"/>
            <w:noWrap/>
            <w:hideMark/>
          </w:tcPr>
          <w:p w14:paraId="1E62AD6E"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4AA41A45" w14:textId="77777777" w:rsidR="002F0133" w:rsidRPr="000B4E2C" w:rsidRDefault="002F0133" w:rsidP="008A7464">
            <w:pPr>
              <w:rPr>
                <w:sz w:val="22"/>
                <w:lang w:eastAsia="en-GB"/>
              </w:rPr>
            </w:pPr>
            <w:r w:rsidRPr="000B4E2C">
              <w:rPr>
                <w:sz w:val="22"/>
                <w:lang w:eastAsia="en-GB"/>
              </w:rPr>
              <w:t>6.07277</w:t>
            </w:r>
          </w:p>
        </w:tc>
        <w:tc>
          <w:tcPr>
            <w:tcW w:w="0" w:type="auto"/>
            <w:shd w:val="clear" w:color="auto" w:fill="auto"/>
            <w:noWrap/>
            <w:hideMark/>
          </w:tcPr>
          <w:p w14:paraId="1490A395"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BE04ECB"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373B760C"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7F2C7BF4" w14:textId="77777777" w:rsidR="002F0133" w:rsidRPr="000B4E2C" w:rsidRDefault="002F0133" w:rsidP="008A7464">
            <w:pPr>
              <w:rPr>
                <w:sz w:val="22"/>
                <w:lang w:eastAsia="en-GB"/>
              </w:rPr>
            </w:pPr>
            <w:r w:rsidRPr="000B4E2C">
              <w:rPr>
                <w:sz w:val="22"/>
                <w:lang w:eastAsia="en-GB"/>
              </w:rPr>
              <w:t>64.5%</w:t>
            </w:r>
          </w:p>
        </w:tc>
        <w:tc>
          <w:tcPr>
            <w:tcW w:w="0" w:type="auto"/>
            <w:gridSpan w:val="2"/>
            <w:shd w:val="clear" w:color="auto" w:fill="auto"/>
            <w:noWrap/>
            <w:hideMark/>
          </w:tcPr>
          <w:p w14:paraId="689C386C" w14:textId="77777777" w:rsidR="002F0133" w:rsidRPr="000B4E2C" w:rsidRDefault="002F0133" w:rsidP="008A7464">
            <w:pPr>
              <w:rPr>
                <w:sz w:val="22"/>
                <w:lang w:eastAsia="en-GB"/>
              </w:rPr>
            </w:pPr>
            <w:r w:rsidRPr="000B4E2C">
              <w:rPr>
                <w:sz w:val="22"/>
                <w:lang w:eastAsia="en-GB"/>
              </w:rPr>
              <w:t>--</w:t>
            </w:r>
          </w:p>
        </w:tc>
      </w:tr>
      <w:tr w:rsidR="002F0133" w:rsidRPr="000B4E2C" w14:paraId="45B6A611" w14:textId="77777777" w:rsidTr="000B4E2C">
        <w:trPr>
          <w:cantSplit/>
          <w:tblHeader/>
        </w:trPr>
        <w:tc>
          <w:tcPr>
            <w:tcW w:w="0" w:type="auto"/>
            <w:shd w:val="clear" w:color="auto" w:fill="auto"/>
            <w:noWrap/>
            <w:hideMark/>
          </w:tcPr>
          <w:p w14:paraId="0892324C"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6BA036BE" w14:textId="77777777" w:rsidR="002F0133" w:rsidRPr="000B4E2C" w:rsidRDefault="002F0133" w:rsidP="008A7464">
            <w:pPr>
              <w:rPr>
                <w:sz w:val="22"/>
                <w:lang w:eastAsia="en-GB"/>
              </w:rPr>
            </w:pPr>
            <w:r w:rsidRPr="000B4E2C">
              <w:rPr>
                <w:sz w:val="22"/>
                <w:lang w:eastAsia="en-GB"/>
              </w:rPr>
              <w:t>£23,016</w:t>
            </w:r>
          </w:p>
        </w:tc>
        <w:tc>
          <w:tcPr>
            <w:tcW w:w="0" w:type="auto"/>
            <w:gridSpan w:val="2"/>
            <w:shd w:val="clear" w:color="auto" w:fill="auto"/>
            <w:noWrap/>
            <w:hideMark/>
          </w:tcPr>
          <w:p w14:paraId="7C610C82" w14:textId="77777777" w:rsidR="002F0133" w:rsidRPr="000B4E2C" w:rsidRDefault="002F0133" w:rsidP="008A7464">
            <w:pPr>
              <w:rPr>
                <w:sz w:val="22"/>
                <w:lang w:eastAsia="en-GB"/>
              </w:rPr>
            </w:pPr>
            <w:r w:rsidRPr="000B4E2C">
              <w:rPr>
                <w:sz w:val="22"/>
                <w:lang w:eastAsia="en-GB"/>
              </w:rPr>
              <w:t>£38</w:t>
            </w:r>
          </w:p>
        </w:tc>
        <w:tc>
          <w:tcPr>
            <w:tcW w:w="0" w:type="auto"/>
            <w:shd w:val="clear" w:color="auto" w:fill="auto"/>
            <w:noWrap/>
            <w:hideMark/>
          </w:tcPr>
          <w:p w14:paraId="3229D03D" w14:textId="77777777" w:rsidR="002F0133" w:rsidRPr="000B4E2C" w:rsidRDefault="002F0133" w:rsidP="008A7464">
            <w:pPr>
              <w:rPr>
                <w:sz w:val="22"/>
                <w:lang w:eastAsia="en-GB"/>
              </w:rPr>
            </w:pPr>
            <w:r w:rsidRPr="000B4E2C">
              <w:rPr>
                <w:sz w:val="22"/>
                <w:lang w:eastAsia="en-GB"/>
              </w:rPr>
              <w:t>6.07313</w:t>
            </w:r>
          </w:p>
        </w:tc>
        <w:tc>
          <w:tcPr>
            <w:tcW w:w="0" w:type="auto"/>
            <w:shd w:val="clear" w:color="auto" w:fill="auto"/>
            <w:noWrap/>
            <w:hideMark/>
          </w:tcPr>
          <w:p w14:paraId="09267520" w14:textId="77777777" w:rsidR="002F0133" w:rsidRPr="000B4E2C" w:rsidRDefault="002F0133" w:rsidP="008A7464">
            <w:pPr>
              <w:rPr>
                <w:sz w:val="22"/>
                <w:lang w:eastAsia="en-GB"/>
              </w:rPr>
            </w:pPr>
            <w:r w:rsidRPr="000B4E2C">
              <w:rPr>
                <w:sz w:val="22"/>
                <w:lang w:eastAsia="en-GB"/>
              </w:rPr>
              <w:t>0.00036</w:t>
            </w:r>
          </w:p>
        </w:tc>
        <w:tc>
          <w:tcPr>
            <w:tcW w:w="0" w:type="auto"/>
            <w:shd w:val="clear" w:color="auto" w:fill="auto"/>
            <w:noWrap/>
            <w:hideMark/>
          </w:tcPr>
          <w:p w14:paraId="2368129C" w14:textId="77777777" w:rsidR="002F0133" w:rsidRPr="000B4E2C" w:rsidRDefault="002F0133" w:rsidP="008A7464">
            <w:pPr>
              <w:rPr>
                <w:sz w:val="22"/>
                <w:lang w:eastAsia="en-GB"/>
              </w:rPr>
            </w:pPr>
            <w:r w:rsidRPr="000B4E2C">
              <w:rPr>
                <w:sz w:val="22"/>
                <w:lang w:eastAsia="en-GB"/>
              </w:rPr>
              <w:t>£105,965</w:t>
            </w:r>
          </w:p>
        </w:tc>
        <w:tc>
          <w:tcPr>
            <w:tcW w:w="0" w:type="auto"/>
            <w:shd w:val="clear" w:color="auto" w:fill="auto"/>
            <w:noWrap/>
            <w:hideMark/>
          </w:tcPr>
          <w:p w14:paraId="6A9EB72C" w14:textId="77777777" w:rsidR="002F0133" w:rsidRPr="000B4E2C" w:rsidRDefault="002F0133" w:rsidP="008A7464">
            <w:pPr>
              <w:rPr>
                <w:sz w:val="22"/>
                <w:lang w:eastAsia="en-GB"/>
              </w:rPr>
            </w:pPr>
            <w:r w:rsidRPr="000B4E2C">
              <w:rPr>
                <w:sz w:val="22"/>
                <w:lang w:eastAsia="en-GB"/>
              </w:rPr>
              <w:t>£105,965</w:t>
            </w:r>
          </w:p>
        </w:tc>
        <w:tc>
          <w:tcPr>
            <w:tcW w:w="0" w:type="auto"/>
            <w:shd w:val="clear" w:color="auto" w:fill="auto"/>
            <w:noWrap/>
            <w:hideMark/>
          </w:tcPr>
          <w:p w14:paraId="65E5FE48" w14:textId="77777777" w:rsidR="002F0133" w:rsidRPr="000B4E2C" w:rsidRDefault="002F0133" w:rsidP="008A7464">
            <w:pPr>
              <w:rPr>
                <w:sz w:val="22"/>
                <w:lang w:eastAsia="en-GB"/>
              </w:rPr>
            </w:pPr>
            <w:r w:rsidRPr="000B4E2C">
              <w:rPr>
                <w:sz w:val="22"/>
                <w:lang w:eastAsia="en-GB"/>
              </w:rPr>
              <w:t>29.7%</w:t>
            </w:r>
          </w:p>
        </w:tc>
        <w:tc>
          <w:tcPr>
            <w:tcW w:w="0" w:type="auto"/>
            <w:gridSpan w:val="2"/>
            <w:shd w:val="clear" w:color="auto" w:fill="auto"/>
            <w:noWrap/>
            <w:hideMark/>
          </w:tcPr>
          <w:p w14:paraId="4358EE31" w14:textId="77777777" w:rsidR="002F0133" w:rsidRPr="000B4E2C" w:rsidRDefault="002F0133" w:rsidP="008A7464">
            <w:pPr>
              <w:rPr>
                <w:sz w:val="22"/>
                <w:lang w:eastAsia="en-GB"/>
              </w:rPr>
            </w:pPr>
            <w:r w:rsidRPr="000B4E2C">
              <w:rPr>
                <w:sz w:val="22"/>
                <w:lang w:eastAsia="en-GB"/>
              </w:rPr>
              <w:t>32.0%</w:t>
            </w:r>
          </w:p>
        </w:tc>
      </w:tr>
      <w:tr w:rsidR="002F0133" w:rsidRPr="000B4E2C" w14:paraId="74A4F1C8" w14:textId="77777777" w:rsidTr="000B4E2C">
        <w:trPr>
          <w:cantSplit/>
          <w:tblHeader/>
        </w:trPr>
        <w:tc>
          <w:tcPr>
            <w:tcW w:w="0" w:type="auto"/>
            <w:shd w:val="clear" w:color="auto" w:fill="auto"/>
            <w:noWrap/>
            <w:hideMark/>
          </w:tcPr>
          <w:p w14:paraId="0B0DB2F8" w14:textId="5E84C37A"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279790F0" w14:textId="77777777" w:rsidR="002F0133" w:rsidRPr="000B4E2C" w:rsidRDefault="002F0133" w:rsidP="008A7464">
            <w:pPr>
              <w:rPr>
                <w:sz w:val="22"/>
                <w:lang w:eastAsia="en-GB"/>
              </w:rPr>
            </w:pPr>
            <w:r w:rsidRPr="000B4E2C">
              <w:rPr>
                <w:sz w:val="22"/>
                <w:lang w:eastAsia="en-GB"/>
              </w:rPr>
              <w:t>£23,049</w:t>
            </w:r>
          </w:p>
        </w:tc>
        <w:tc>
          <w:tcPr>
            <w:tcW w:w="0" w:type="auto"/>
            <w:gridSpan w:val="2"/>
            <w:shd w:val="clear" w:color="auto" w:fill="auto"/>
            <w:noWrap/>
            <w:hideMark/>
          </w:tcPr>
          <w:p w14:paraId="7CA00D8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3347CD7" w14:textId="77777777" w:rsidR="002F0133" w:rsidRPr="000B4E2C" w:rsidRDefault="002F0133" w:rsidP="008A7464">
            <w:pPr>
              <w:rPr>
                <w:sz w:val="22"/>
                <w:lang w:eastAsia="en-GB"/>
              </w:rPr>
            </w:pPr>
            <w:r w:rsidRPr="000B4E2C">
              <w:rPr>
                <w:sz w:val="22"/>
                <w:lang w:eastAsia="en-GB"/>
              </w:rPr>
              <w:t>6.07290</w:t>
            </w:r>
          </w:p>
        </w:tc>
        <w:tc>
          <w:tcPr>
            <w:tcW w:w="0" w:type="auto"/>
            <w:shd w:val="clear" w:color="auto" w:fill="auto"/>
            <w:noWrap/>
            <w:hideMark/>
          </w:tcPr>
          <w:p w14:paraId="2FA61AF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264A3C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9EB2E41" w14:textId="77777777" w:rsidR="002F0133" w:rsidRPr="000B4E2C" w:rsidRDefault="002F0133" w:rsidP="008A7464">
            <w:pPr>
              <w:rPr>
                <w:sz w:val="22"/>
                <w:lang w:eastAsia="en-GB"/>
              </w:rPr>
            </w:pPr>
            <w:r w:rsidRPr="000B4E2C">
              <w:rPr>
                <w:sz w:val="22"/>
                <w:lang w:eastAsia="en-GB"/>
              </w:rPr>
              <w:t>£539,041</w:t>
            </w:r>
          </w:p>
        </w:tc>
        <w:tc>
          <w:tcPr>
            <w:tcW w:w="0" w:type="auto"/>
            <w:shd w:val="clear" w:color="auto" w:fill="auto"/>
            <w:noWrap/>
            <w:hideMark/>
          </w:tcPr>
          <w:p w14:paraId="0E5A5938" w14:textId="77777777" w:rsidR="002F0133" w:rsidRPr="000B4E2C" w:rsidRDefault="002F0133" w:rsidP="008A7464">
            <w:pPr>
              <w:rPr>
                <w:sz w:val="22"/>
                <w:lang w:eastAsia="en-GB"/>
              </w:rPr>
            </w:pPr>
            <w:r w:rsidRPr="000B4E2C">
              <w:rPr>
                <w:sz w:val="22"/>
                <w:lang w:eastAsia="en-GB"/>
              </w:rPr>
              <w:t>5.3%</w:t>
            </w:r>
          </w:p>
        </w:tc>
        <w:tc>
          <w:tcPr>
            <w:tcW w:w="0" w:type="auto"/>
            <w:gridSpan w:val="2"/>
            <w:shd w:val="clear" w:color="auto" w:fill="auto"/>
            <w:noWrap/>
            <w:hideMark/>
          </w:tcPr>
          <w:p w14:paraId="3B1D7882" w14:textId="77777777" w:rsidR="002F0133" w:rsidRPr="000B4E2C" w:rsidRDefault="002F0133" w:rsidP="008A7464">
            <w:pPr>
              <w:rPr>
                <w:sz w:val="22"/>
                <w:lang w:eastAsia="en-GB"/>
              </w:rPr>
            </w:pPr>
            <w:r w:rsidRPr="000B4E2C">
              <w:rPr>
                <w:sz w:val="22"/>
                <w:lang w:eastAsia="en-GB"/>
              </w:rPr>
              <w:t>11.0%</w:t>
            </w:r>
          </w:p>
        </w:tc>
      </w:tr>
      <w:tr w:rsidR="002F0133" w:rsidRPr="000B4E2C" w14:paraId="337723EB" w14:textId="77777777" w:rsidTr="000B4E2C">
        <w:trPr>
          <w:cantSplit/>
          <w:tblHeader/>
        </w:trPr>
        <w:tc>
          <w:tcPr>
            <w:tcW w:w="0" w:type="auto"/>
            <w:shd w:val="clear" w:color="auto" w:fill="auto"/>
            <w:noWrap/>
            <w:hideMark/>
          </w:tcPr>
          <w:p w14:paraId="76DC8EB2" w14:textId="4E572C66"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065B4B69" w14:textId="77777777" w:rsidR="002F0133" w:rsidRPr="000B4E2C" w:rsidRDefault="002F0133" w:rsidP="008A7464">
            <w:pPr>
              <w:rPr>
                <w:sz w:val="22"/>
                <w:lang w:eastAsia="en-GB"/>
              </w:rPr>
            </w:pPr>
            <w:r w:rsidRPr="000B4E2C">
              <w:rPr>
                <w:sz w:val="22"/>
                <w:lang w:eastAsia="en-GB"/>
              </w:rPr>
              <w:t>£23,064</w:t>
            </w:r>
          </w:p>
        </w:tc>
        <w:tc>
          <w:tcPr>
            <w:tcW w:w="0" w:type="auto"/>
            <w:gridSpan w:val="2"/>
            <w:shd w:val="clear" w:color="auto" w:fill="auto"/>
            <w:noWrap/>
            <w:hideMark/>
          </w:tcPr>
          <w:p w14:paraId="7768C1A6"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8D9FA97" w14:textId="77777777" w:rsidR="002F0133" w:rsidRPr="000B4E2C" w:rsidRDefault="002F0133" w:rsidP="008A7464">
            <w:pPr>
              <w:rPr>
                <w:sz w:val="22"/>
                <w:lang w:eastAsia="en-GB"/>
              </w:rPr>
            </w:pPr>
            <w:r w:rsidRPr="000B4E2C">
              <w:rPr>
                <w:sz w:val="22"/>
                <w:lang w:eastAsia="en-GB"/>
              </w:rPr>
              <w:t>6.07290</w:t>
            </w:r>
          </w:p>
        </w:tc>
        <w:tc>
          <w:tcPr>
            <w:tcW w:w="0" w:type="auto"/>
            <w:shd w:val="clear" w:color="auto" w:fill="auto"/>
            <w:noWrap/>
            <w:hideMark/>
          </w:tcPr>
          <w:p w14:paraId="2D6F1AF2"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A697036"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A02873B" w14:textId="77777777" w:rsidR="002F0133" w:rsidRPr="000B4E2C" w:rsidRDefault="002F0133" w:rsidP="008A7464">
            <w:pPr>
              <w:rPr>
                <w:sz w:val="22"/>
                <w:lang w:eastAsia="en-GB"/>
              </w:rPr>
            </w:pPr>
            <w:r w:rsidRPr="000B4E2C">
              <w:rPr>
                <w:sz w:val="22"/>
                <w:lang w:eastAsia="en-GB"/>
              </w:rPr>
              <w:t>£633,846</w:t>
            </w:r>
          </w:p>
        </w:tc>
        <w:tc>
          <w:tcPr>
            <w:tcW w:w="0" w:type="auto"/>
            <w:shd w:val="clear" w:color="auto" w:fill="auto"/>
            <w:noWrap/>
            <w:hideMark/>
          </w:tcPr>
          <w:p w14:paraId="2E0AC471" w14:textId="77777777" w:rsidR="002F0133" w:rsidRPr="000B4E2C" w:rsidRDefault="002F0133" w:rsidP="008A7464">
            <w:pPr>
              <w:rPr>
                <w:sz w:val="22"/>
                <w:lang w:eastAsia="en-GB"/>
              </w:rPr>
            </w:pPr>
            <w:r w:rsidRPr="000B4E2C">
              <w:rPr>
                <w:sz w:val="22"/>
                <w:lang w:eastAsia="en-GB"/>
              </w:rPr>
              <w:t>0.3%</w:t>
            </w:r>
          </w:p>
        </w:tc>
        <w:tc>
          <w:tcPr>
            <w:tcW w:w="0" w:type="auto"/>
            <w:gridSpan w:val="2"/>
            <w:shd w:val="clear" w:color="auto" w:fill="auto"/>
            <w:noWrap/>
            <w:hideMark/>
          </w:tcPr>
          <w:p w14:paraId="6E1EED01" w14:textId="77777777" w:rsidR="002F0133" w:rsidRPr="000B4E2C" w:rsidRDefault="002F0133" w:rsidP="008A7464">
            <w:pPr>
              <w:rPr>
                <w:sz w:val="22"/>
                <w:lang w:eastAsia="en-GB"/>
              </w:rPr>
            </w:pPr>
            <w:r w:rsidRPr="000B4E2C">
              <w:rPr>
                <w:sz w:val="22"/>
                <w:lang w:eastAsia="en-GB"/>
              </w:rPr>
              <w:t>7.3%</w:t>
            </w:r>
          </w:p>
        </w:tc>
      </w:tr>
      <w:tr w:rsidR="002F0133" w:rsidRPr="000B4E2C" w14:paraId="6BCEA7D6" w14:textId="77777777" w:rsidTr="000B4E2C">
        <w:trPr>
          <w:cantSplit/>
          <w:tblHeader/>
        </w:trPr>
        <w:tc>
          <w:tcPr>
            <w:tcW w:w="0" w:type="auto"/>
            <w:shd w:val="clear" w:color="auto" w:fill="auto"/>
            <w:noWrap/>
            <w:hideMark/>
          </w:tcPr>
          <w:p w14:paraId="7CA9BF37" w14:textId="53F3A244"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1719A0D0" w14:textId="77777777" w:rsidR="002F0133" w:rsidRPr="000B4E2C" w:rsidRDefault="002F0133" w:rsidP="008A7464">
            <w:pPr>
              <w:rPr>
                <w:sz w:val="22"/>
                <w:lang w:eastAsia="en-GB"/>
              </w:rPr>
            </w:pPr>
            <w:r w:rsidRPr="000B4E2C">
              <w:rPr>
                <w:sz w:val="22"/>
                <w:lang w:eastAsia="en-GB"/>
              </w:rPr>
              <w:t>£23,065</w:t>
            </w:r>
          </w:p>
        </w:tc>
        <w:tc>
          <w:tcPr>
            <w:tcW w:w="0" w:type="auto"/>
            <w:gridSpan w:val="2"/>
            <w:shd w:val="clear" w:color="auto" w:fill="auto"/>
            <w:noWrap/>
            <w:hideMark/>
          </w:tcPr>
          <w:p w14:paraId="4D3AFA8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AAA7C10" w14:textId="77777777" w:rsidR="002F0133" w:rsidRPr="000B4E2C" w:rsidRDefault="002F0133" w:rsidP="008A7464">
            <w:pPr>
              <w:rPr>
                <w:sz w:val="22"/>
                <w:lang w:eastAsia="en-GB"/>
              </w:rPr>
            </w:pPr>
            <w:r w:rsidRPr="000B4E2C">
              <w:rPr>
                <w:sz w:val="22"/>
                <w:lang w:eastAsia="en-GB"/>
              </w:rPr>
              <w:t>6.07289</w:t>
            </w:r>
          </w:p>
        </w:tc>
        <w:tc>
          <w:tcPr>
            <w:tcW w:w="0" w:type="auto"/>
            <w:shd w:val="clear" w:color="auto" w:fill="auto"/>
            <w:noWrap/>
            <w:hideMark/>
          </w:tcPr>
          <w:p w14:paraId="29665C4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6EF3AA1"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2A911B9" w14:textId="77777777" w:rsidR="002F0133" w:rsidRPr="000B4E2C" w:rsidRDefault="002F0133" w:rsidP="008A7464">
            <w:pPr>
              <w:rPr>
                <w:sz w:val="22"/>
                <w:lang w:eastAsia="en-GB"/>
              </w:rPr>
            </w:pPr>
            <w:r w:rsidRPr="000B4E2C">
              <w:rPr>
                <w:sz w:val="22"/>
                <w:lang w:eastAsia="en-GB"/>
              </w:rPr>
              <w:t>£725,061</w:t>
            </w:r>
          </w:p>
        </w:tc>
        <w:tc>
          <w:tcPr>
            <w:tcW w:w="0" w:type="auto"/>
            <w:shd w:val="clear" w:color="auto" w:fill="auto"/>
            <w:noWrap/>
            <w:hideMark/>
          </w:tcPr>
          <w:p w14:paraId="1B19BAE1"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452306F4" w14:textId="77777777" w:rsidR="002F0133" w:rsidRPr="000B4E2C" w:rsidRDefault="002F0133" w:rsidP="008A7464">
            <w:pPr>
              <w:rPr>
                <w:sz w:val="22"/>
                <w:lang w:eastAsia="en-GB"/>
              </w:rPr>
            </w:pPr>
            <w:r w:rsidRPr="000B4E2C">
              <w:rPr>
                <w:sz w:val="22"/>
                <w:lang w:eastAsia="en-GB"/>
              </w:rPr>
              <w:t>6.3%</w:t>
            </w:r>
          </w:p>
        </w:tc>
      </w:tr>
      <w:tr w:rsidR="002F0133" w:rsidRPr="000B4E2C" w14:paraId="7AC4E01B" w14:textId="77777777" w:rsidTr="000B4E2C">
        <w:trPr>
          <w:cantSplit/>
          <w:tblHeader/>
        </w:trPr>
        <w:tc>
          <w:tcPr>
            <w:tcW w:w="0" w:type="auto"/>
            <w:gridSpan w:val="11"/>
            <w:shd w:val="clear" w:color="auto" w:fill="auto"/>
            <w:noWrap/>
            <w:hideMark/>
          </w:tcPr>
          <w:p w14:paraId="7209BDD7" w14:textId="77777777" w:rsidR="002F0133" w:rsidRPr="000B4E2C" w:rsidRDefault="002F0133" w:rsidP="008A7464">
            <w:pPr>
              <w:rPr>
                <w:b/>
                <w:bCs/>
                <w:sz w:val="22"/>
                <w:lang w:eastAsia="en-GB"/>
              </w:rPr>
            </w:pPr>
            <w:r w:rsidRPr="000B4E2C">
              <w:rPr>
                <w:b/>
                <w:bCs/>
                <w:sz w:val="22"/>
                <w:lang w:eastAsia="en-GB"/>
              </w:rPr>
              <w:t>Scenario 2B: Apply the full associative effect on the redistributed cohort only and assuming that the test impacts on the probability of dying at 90 days</w:t>
            </w:r>
          </w:p>
        </w:tc>
      </w:tr>
      <w:tr w:rsidR="002F0133" w:rsidRPr="000B4E2C" w14:paraId="6D3C8056" w14:textId="77777777" w:rsidTr="000B4E2C">
        <w:trPr>
          <w:cantSplit/>
          <w:tblHeader/>
        </w:trPr>
        <w:tc>
          <w:tcPr>
            <w:tcW w:w="0" w:type="auto"/>
            <w:shd w:val="clear" w:color="auto" w:fill="auto"/>
            <w:noWrap/>
            <w:hideMark/>
          </w:tcPr>
          <w:p w14:paraId="6DD66783"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554E0898" w14:textId="77777777" w:rsidR="002F0133" w:rsidRPr="000B4E2C" w:rsidRDefault="002F0133" w:rsidP="008A7464">
            <w:pPr>
              <w:rPr>
                <w:sz w:val="22"/>
                <w:lang w:eastAsia="en-GB"/>
              </w:rPr>
            </w:pPr>
            <w:r w:rsidRPr="000B4E2C">
              <w:rPr>
                <w:sz w:val="22"/>
                <w:lang w:eastAsia="en-GB"/>
              </w:rPr>
              <w:t>£22,947</w:t>
            </w:r>
          </w:p>
        </w:tc>
        <w:tc>
          <w:tcPr>
            <w:tcW w:w="0" w:type="auto"/>
            <w:gridSpan w:val="2"/>
            <w:shd w:val="clear" w:color="auto" w:fill="auto"/>
            <w:noWrap/>
            <w:hideMark/>
          </w:tcPr>
          <w:p w14:paraId="2DACA0BD"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29F2D41" w14:textId="77777777" w:rsidR="002F0133" w:rsidRPr="000B4E2C" w:rsidRDefault="002F0133" w:rsidP="008A7464">
            <w:pPr>
              <w:rPr>
                <w:sz w:val="22"/>
                <w:lang w:eastAsia="en-GB"/>
              </w:rPr>
            </w:pPr>
            <w:r w:rsidRPr="000B4E2C">
              <w:rPr>
                <w:sz w:val="22"/>
                <w:lang w:eastAsia="en-GB"/>
              </w:rPr>
              <w:t>6.08411</w:t>
            </w:r>
          </w:p>
        </w:tc>
        <w:tc>
          <w:tcPr>
            <w:tcW w:w="0" w:type="auto"/>
            <w:shd w:val="clear" w:color="auto" w:fill="auto"/>
            <w:noWrap/>
            <w:hideMark/>
          </w:tcPr>
          <w:p w14:paraId="3F97F21A"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432FA0F8"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153F158D"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302A7254" w14:textId="77777777" w:rsidR="002F0133" w:rsidRPr="000B4E2C" w:rsidRDefault="002F0133" w:rsidP="008A7464">
            <w:pPr>
              <w:rPr>
                <w:sz w:val="22"/>
                <w:lang w:eastAsia="en-GB"/>
              </w:rPr>
            </w:pPr>
            <w:r w:rsidRPr="000B4E2C">
              <w:rPr>
                <w:sz w:val="22"/>
                <w:lang w:eastAsia="en-GB"/>
              </w:rPr>
              <w:t>36.8%</w:t>
            </w:r>
          </w:p>
        </w:tc>
        <w:tc>
          <w:tcPr>
            <w:tcW w:w="0" w:type="auto"/>
            <w:gridSpan w:val="2"/>
            <w:shd w:val="clear" w:color="auto" w:fill="auto"/>
            <w:noWrap/>
            <w:hideMark/>
          </w:tcPr>
          <w:p w14:paraId="6770CB84" w14:textId="77777777" w:rsidR="002F0133" w:rsidRPr="000B4E2C" w:rsidRDefault="002F0133" w:rsidP="008A7464">
            <w:pPr>
              <w:rPr>
                <w:sz w:val="22"/>
                <w:lang w:eastAsia="en-GB"/>
              </w:rPr>
            </w:pPr>
            <w:r w:rsidRPr="000B4E2C">
              <w:rPr>
                <w:sz w:val="22"/>
                <w:lang w:eastAsia="en-GB"/>
              </w:rPr>
              <w:t>--</w:t>
            </w:r>
          </w:p>
        </w:tc>
      </w:tr>
      <w:tr w:rsidR="002F0133" w:rsidRPr="000B4E2C" w14:paraId="1F9DF47C" w14:textId="77777777" w:rsidTr="000B4E2C">
        <w:trPr>
          <w:cantSplit/>
          <w:tblHeader/>
        </w:trPr>
        <w:tc>
          <w:tcPr>
            <w:tcW w:w="0" w:type="auto"/>
            <w:shd w:val="clear" w:color="auto" w:fill="auto"/>
            <w:noWrap/>
            <w:hideMark/>
          </w:tcPr>
          <w:p w14:paraId="451446F9" w14:textId="07CEC3E2"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35F38F4E" w14:textId="77777777" w:rsidR="002F0133" w:rsidRPr="000B4E2C" w:rsidRDefault="002F0133" w:rsidP="008A7464">
            <w:pPr>
              <w:rPr>
                <w:sz w:val="22"/>
                <w:lang w:eastAsia="en-GB"/>
              </w:rPr>
            </w:pPr>
            <w:r w:rsidRPr="000B4E2C">
              <w:rPr>
                <w:sz w:val="22"/>
                <w:lang w:eastAsia="en-GB"/>
              </w:rPr>
              <w:t>£23,033</w:t>
            </w:r>
          </w:p>
        </w:tc>
        <w:tc>
          <w:tcPr>
            <w:tcW w:w="0" w:type="auto"/>
            <w:gridSpan w:val="2"/>
            <w:shd w:val="clear" w:color="auto" w:fill="auto"/>
            <w:noWrap/>
            <w:hideMark/>
          </w:tcPr>
          <w:p w14:paraId="5BCD7CCD" w14:textId="77777777" w:rsidR="002F0133" w:rsidRPr="000B4E2C" w:rsidRDefault="002F0133" w:rsidP="008A7464">
            <w:pPr>
              <w:rPr>
                <w:sz w:val="22"/>
                <w:lang w:eastAsia="en-GB"/>
              </w:rPr>
            </w:pPr>
            <w:r w:rsidRPr="000B4E2C">
              <w:rPr>
                <w:sz w:val="22"/>
                <w:lang w:eastAsia="en-GB"/>
              </w:rPr>
              <w:t>£87</w:t>
            </w:r>
          </w:p>
        </w:tc>
        <w:tc>
          <w:tcPr>
            <w:tcW w:w="0" w:type="auto"/>
            <w:shd w:val="clear" w:color="auto" w:fill="auto"/>
            <w:noWrap/>
            <w:hideMark/>
          </w:tcPr>
          <w:p w14:paraId="753999AA" w14:textId="77777777" w:rsidR="002F0133" w:rsidRPr="000B4E2C" w:rsidRDefault="002F0133" w:rsidP="008A7464">
            <w:pPr>
              <w:rPr>
                <w:sz w:val="22"/>
                <w:lang w:eastAsia="en-GB"/>
              </w:rPr>
            </w:pPr>
            <w:r w:rsidRPr="000B4E2C">
              <w:rPr>
                <w:sz w:val="22"/>
                <w:lang w:eastAsia="en-GB"/>
              </w:rPr>
              <w:t>6.08912</w:t>
            </w:r>
          </w:p>
        </w:tc>
        <w:tc>
          <w:tcPr>
            <w:tcW w:w="0" w:type="auto"/>
            <w:shd w:val="clear" w:color="auto" w:fill="auto"/>
            <w:noWrap/>
            <w:hideMark/>
          </w:tcPr>
          <w:p w14:paraId="3DC8FCC1" w14:textId="77777777" w:rsidR="002F0133" w:rsidRPr="000B4E2C" w:rsidRDefault="002F0133" w:rsidP="008A7464">
            <w:pPr>
              <w:rPr>
                <w:sz w:val="22"/>
                <w:lang w:eastAsia="en-GB"/>
              </w:rPr>
            </w:pPr>
            <w:r w:rsidRPr="000B4E2C">
              <w:rPr>
                <w:sz w:val="22"/>
                <w:lang w:eastAsia="en-GB"/>
              </w:rPr>
              <w:t>0.00502</w:t>
            </w:r>
          </w:p>
        </w:tc>
        <w:tc>
          <w:tcPr>
            <w:tcW w:w="0" w:type="auto"/>
            <w:shd w:val="clear" w:color="auto" w:fill="auto"/>
            <w:noWrap/>
            <w:hideMark/>
          </w:tcPr>
          <w:p w14:paraId="62954477" w14:textId="77777777" w:rsidR="002F0133" w:rsidRPr="000B4E2C" w:rsidRDefault="002F0133" w:rsidP="008A7464">
            <w:pPr>
              <w:rPr>
                <w:sz w:val="22"/>
                <w:lang w:eastAsia="en-GB"/>
              </w:rPr>
            </w:pPr>
            <w:r w:rsidRPr="000B4E2C">
              <w:rPr>
                <w:sz w:val="22"/>
                <w:lang w:eastAsia="en-GB"/>
              </w:rPr>
              <w:t>£17,290</w:t>
            </w:r>
          </w:p>
        </w:tc>
        <w:tc>
          <w:tcPr>
            <w:tcW w:w="0" w:type="auto"/>
            <w:shd w:val="clear" w:color="auto" w:fill="auto"/>
            <w:noWrap/>
            <w:hideMark/>
          </w:tcPr>
          <w:p w14:paraId="13706698" w14:textId="77777777" w:rsidR="002F0133" w:rsidRPr="000B4E2C" w:rsidRDefault="002F0133" w:rsidP="008A7464">
            <w:pPr>
              <w:rPr>
                <w:sz w:val="22"/>
                <w:lang w:eastAsia="en-GB"/>
              </w:rPr>
            </w:pPr>
            <w:r w:rsidRPr="000B4E2C">
              <w:rPr>
                <w:sz w:val="22"/>
                <w:lang w:eastAsia="en-GB"/>
              </w:rPr>
              <w:t>£17,290</w:t>
            </w:r>
          </w:p>
        </w:tc>
        <w:tc>
          <w:tcPr>
            <w:tcW w:w="0" w:type="auto"/>
            <w:shd w:val="clear" w:color="auto" w:fill="auto"/>
            <w:noWrap/>
            <w:hideMark/>
          </w:tcPr>
          <w:p w14:paraId="5A1C9522" w14:textId="77777777" w:rsidR="002F0133" w:rsidRPr="000B4E2C" w:rsidRDefault="002F0133" w:rsidP="008A7464">
            <w:pPr>
              <w:rPr>
                <w:sz w:val="22"/>
                <w:lang w:eastAsia="en-GB"/>
              </w:rPr>
            </w:pPr>
            <w:r w:rsidRPr="000B4E2C">
              <w:rPr>
                <w:sz w:val="22"/>
                <w:lang w:eastAsia="en-GB"/>
              </w:rPr>
              <w:t>34.4%</w:t>
            </w:r>
          </w:p>
        </w:tc>
        <w:tc>
          <w:tcPr>
            <w:tcW w:w="0" w:type="auto"/>
            <w:gridSpan w:val="2"/>
            <w:shd w:val="clear" w:color="auto" w:fill="auto"/>
            <w:noWrap/>
            <w:hideMark/>
          </w:tcPr>
          <w:p w14:paraId="159210DF" w14:textId="77777777" w:rsidR="002F0133" w:rsidRPr="000B4E2C" w:rsidRDefault="002F0133" w:rsidP="008A7464">
            <w:pPr>
              <w:rPr>
                <w:sz w:val="22"/>
                <w:lang w:eastAsia="en-GB"/>
              </w:rPr>
            </w:pPr>
            <w:r w:rsidRPr="000B4E2C">
              <w:rPr>
                <w:sz w:val="22"/>
                <w:lang w:eastAsia="en-GB"/>
              </w:rPr>
              <w:t>53.7%</w:t>
            </w:r>
          </w:p>
        </w:tc>
      </w:tr>
      <w:tr w:rsidR="002F0133" w:rsidRPr="000B4E2C" w14:paraId="730E9398" w14:textId="77777777" w:rsidTr="000B4E2C">
        <w:trPr>
          <w:cantSplit/>
          <w:tblHeader/>
        </w:trPr>
        <w:tc>
          <w:tcPr>
            <w:tcW w:w="0" w:type="auto"/>
            <w:shd w:val="clear" w:color="auto" w:fill="auto"/>
            <w:noWrap/>
            <w:hideMark/>
          </w:tcPr>
          <w:p w14:paraId="09B8F8BD" w14:textId="27665883"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182B2D46" w14:textId="77777777" w:rsidR="002F0133" w:rsidRPr="000B4E2C" w:rsidRDefault="002F0133" w:rsidP="008A7464">
            <w:pPr>
              <w:rPr>
                <w:sz w:val="22"/>
                <w:lang w:eastAsia="en-GB"/>
              </w:rPr>
            </w:pPr>
            <w:r w:rsidRPr="000B4E2C">
              <w:rPr>
                <w:sz w:val="22"/>
                <w:lang w:eastAsia="en-GB"/>
              </w:rPr>
              <w:t>£23,049</w:t>
            </w:r>
          </w:p>
        </w:tc>
        <w:tc>
          <w:tcPr>
            <w:tcW w:w="0" w:type="auto"/>
            <w:gridSpan w:val="2"/>
            <w:shd w:val="clear" w:color="auto" w:fill="auto"/>
            <w:noWrap/>
            <w:hideMark/>
          </w:tcPr>
          <w:p w14:paraId="4B749C4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39B9B44" w14:textId="77777777" w:rsidR="002F0133" w:rsidRPr="000B4E2C" w:rsidRDefault="002F0133" w:rsidP="008A7464">
            <w:pPr>
              <w:rPr>
                <w:sz w:val="22"/>
                <w:lang w:eastAsia="en-GB"/>
              </w:rPr>
            </w:pPr>
            <w:r w:rsidRPr="000B4E2C">
              <w:rPr>
                <w:sz w:val="22"/>
                <w:lang w:eastAsia="en-GB"/>
              </w:rPr>
              <w:t>6.08875</w:t>
            </w:r>
          </w:p>
        </w:tc>
        <w:tc>
          <w:tcPr>
            <w:tcW w:w="0" w:type="auto"/>
            <w:shd w:val="clear" w:color="auto" w:fill="auto"/>
            <w:noWrap/>
            <w:hideMark/>
          </w:tcPr>
          <w:p w14:paraId="13A0733F"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D71EED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6E35A82" w14:textId="77777777" w:rsidR="002F0133" w:rsidRPr="000B4E2C" w:rsidRDefault="002F0133" w:rsidP="008A7464">
            <w:pPr>
              <w:rPr>
                <w:sz w:val="22"/>
                <w:lang w:eastAsia="en-GB"/>
              </w:rPr>
            </w:pPr>
            <w:r w:rsidRPr="000B4E2C">
              <w:rPr>
                <w:sz w:val="22"/>
                <w:lang w:eastAsia="en-GB"/>
              </w:rPr>
              <w:t>£22,071</w:t>
            </w:r>
          </w:p>
        </w:tc>
        <w:tc>
          <w:tcPr>
            <w:tcW w:w="0" w:type="auto"/>
            <w:shd w:val="clear" w:color="auto" w:fill="auto"/>
            <w:noWrap/>
            <w:hideMark/>
          </w:tcPr>
          <w:p w14:paraId="3B1408DD" w14:textId="77777777" w:rsidR="002F0133" w:rsidRPr="000B4E2C" w:rsidRDefault="002F0133" w:rsidP="008A7464">
            <w:pPr>
              <w:rPr>
                <w:sz w:val="22"/>
                <w:lang w:eastAsia="en-GB"/>
              </w:rPr>
            </w:pPr>
            <w:r w:rsidRPr="000B4E2C">
              <w:rPr>
                <w:sz w:val="22"/>
                <w:lang w:eastAsia="en-GB"/>
              </w:rPr>
              <w:t>0.4%</w:t>
            </w:r>
          </w:p>
        </w:tc>
        <w:tc>
          <w:tcPr>
            <w:tcW w:w="0" w:type="auto"/>
            <w:gridSpan w:val="2"/>
            <w:shd w:val="clear" w:color="auto" w:fill="auto"/>
            <w:noWrap/>
            <w:hideMark/>
          </w:tcPr>
          <w:p w14:paraId="0AA4E5BF" w14:textId="77777777" w:rsidR="002F0133" w:rsidRPr="000B4E2C" w:rsidRDefault="002F0133" w:rsidP="008A7464">
            <w:pPr>
              <w:rPr>
                <w:sz w:val="22"/>
                <w:lang w:eastAsia="en-GB"/>
              </w:rPr>
            </w:pPr>
            <w:r w:rsidRPr="000B4E2C">
              <w:rPr>
                <w:sz w:val="22"/>
                <w:lang w:eastAsia="en-GB"/>
              </w:rPr>
              <w:t>43.7%</w:t>
            </w:r>
          </w:p>
        </w:tc>
      </w:tr>
      <w:tr w:rsidR="002F0133" w:rsidRPr="000B4E2C" w14:paraId="43192AC5" w14:textId="77777777" w:rsidTr="000B4E2C">
        <w:trPr>
          <w:cantSplit/>
          <w:tblHeader/>
        </w:trPr>
        <w:tc>
          <w:tcPr>
            <w:tcW w:w="0" w:type="auto"/>
            <w:shd w:val="clear" w:color="auto" w:fill="auto"/>
            <w:noWrap/>
            <w:hideMark/>
          </w:tcPr>
          <w:p w14:paraId="11412BCD" w14:textId="69B68BB9"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0C3A1B70" w14:textId="77777777" w:rsidR="002F0133" w:rsidRPr="000B4E2C" w:rsidRDefault="002F0133" w:rsidP="008A7464">
            <w:pPr>
              <w:rPr>
                <w:sz w:val="22"/>
                <w:lang w:eastAsia="en-GB"/>
              </w:rPr>
            </w:pPr>
            <w:r w:rsidRPr="000B4E2C">
              <w:rPr>
                <w:sz w:val="22"/>
                <w:lang w:eastAsia="en-GB"/>
              </w:rPr>
              <w:t>£23,050</w:t>
            </w:r>
          </w:p>
        </w:tc>
        <w:tc>
          <w:tcPr>
            <w:tcW w:w="0" w:type="auto"/>
            <w:gridSpan w:val="2"/>
            <w:shd w:val="clear" w:color="auto" w:fill="auto"/>
            <w:noWrap/>
            <w:hideMark/>
          </w:tcPr>
          <w:p w14:paraId="2C3B4180" w14:textId="77777777" w:rsidR="002F0133" w:rsidRPr="000B4E2C" w:rsidRDefault="002F0133" w:rsidP="008A7464">
            <w:pPr>
              <w:rPr>
                <w:sz w:val="22"/>
                <w:lang w:eastAsia="en-GB"/>
              </w:rPr>
            </w:pPr>
            <w:r w:rsidRPr="000B4E2C">
              <w:rPr>
                <w:sz w:val="22"/>
                <w:lang w:eastAsia="en-GB"/>
              </w:rPr>
              <w:t>£17</w:t>
            </w:r>
          </w:p>
        </w:tc>
        <w:tc>
          <w:tcPr>
            <w:tcW w:w="0" w:type="auto"/>
            <w:shd w:val="clear" w:color="auto" w:fill="auto"/>
            <w:noWrap/>
            <w:hideMark/>
          </w:tcPr>
          <w:p w14:paraId="784C8C9C" w14:textId="77777777" w:rsidR="002F0133" w:rsidRPr="000B4E2C" w:rsidRDefault="002F0133" w:rsidP="008A7464">
            <w:pPr>
              <w:rPr>
                <w:sz w:val="22"/>
                <w:lang w:eastAsia="en-GB"/>
              </w:rPr>
            </w:pPr>
            <w:r w:rsidRPr="000B4E2C">
              <w:rPr>
                <w:sz w:val="22"/>
                <w:lang w:eastAsia="en-GB"/>
              </w:rPr>
              <w:t>6.08934</w:t>
            </w:r>
          </w:p>
        </w:tc>
        <w:tc>
          <w:tcPr>
            <w:tcW w:w="0" w:type="auto"/>
            <w:shd w:val="clear" w:color="auto" w:fill="auto"/>
            <w:noWrap/>
            <w:hideMark/>
          </w:tcPr>
          <w:p w14:paraId="2BBB36F5" w14:textId="77777777" w:rsidR="002F0133" w:rsidRPr="000B4E2C" w:rsidRDefault="002F0133" w:rsidP="008A7464">
            <w:pPr>
              <w:rPr>
                <w:sz w:val="22"/>
                <w:lang w:eastAsia="en-GB"/>
              </w:rPr>
            </w:pPr>
            <w:r w:rsidRPr="000B4E2C">
              <w:rPr>
                <w:sz w:val="22"/>
                <w:lang w:eastAsia="en-GB"/>
              </w:rPr>
              <w:t>0.00022</w:t>
            </w:r>
          </w:p>
        </w:tc>
        <w:tc>
          <w:tcPr>
            <w:tcW w:w="0" w:type="auto"/>
            <w:shd w:val="clear" w:color="auto" w:fill="auto"/>
            <w:noWrap/>
            <w:hideMark/>
          </w:tcPr>
          <w:p w14:paraId="48381943" w14:textId="77777777" w:rsidR="002F0133" w:rsidRPr="000B4E2C" w:rsidRDefault="002F0133" w:rsidP="008A7464">
            <w:pPr>
              <w:rPr>
                <w:sz w:val="22"/>
                <w:lang w:eastAsia="en-GB"/>
              </w:rPr>
            </w:pPr>
            <w:r w:rsidRPr="000B4E2C">
              <w:rPr>
                <w:sz w:val="22"/>
                <w:lang w:eastAsia="en-GB"/>
              </w:rPr>
              <w:t>£75,026</w:t>
            </w:r>
          </w:p>
        </w:tc>
        <w:tc>
          <w:tcPr>
            <w:tcW w:w="0" w:type="auto"/>
            <w:shd w:val="clear" w:color="auto" w:fill="auto"/>
            <w:noWrap/>
            <w:hideMark/>
          </w:tcPr>
          <w:p w14:paraId="2B2E0B63" w14:textId="77777777" w:rsidR="002F0133" w:rsidRPr="000B4E2C" w:rsidRDefault="002F0133" w:rsidP="008A7464">
            <w:pPr>
              <w:rPr>
                <w:sz w:val="22"/>
                <w:lang w:eastAsia="en-GB"/>
              </w:rPr>
            </w:pPr>
            <w:r w:rsidRPr="000B4E2C">
              <w:rPr>
                <w:sz w:val="22"/>
                <w:lang w:eastAsia="en-GB"/>
              </w:rPr>
              <w:t>£19,717</w:t>
            </w:r>
          </w:p>
        </w:tc>
        <w:tc>
          <w:tcPr>
            <w:tcW w:w="0" w:type="auto"/>
            <w:shd w:val="clear" w:color="auto" w:fill="auto"/>
            <w:noWrap/>
            <w:hideMark/>
          </w:tcPr>
          <w:p w14:paraId="2077ABF5" w14:textId="77777777" w:rsidR="002F0133" w:rsidRPr="000B4E2C" w:rsidRDefault="002F0133" w:rsidP="008A7464">
            <w:pPr>
              <w:rPr>
                <w:sz w:val="22"/>
                <w:lang w:eastAsia="en-GB"/>
              </w:rPr>
            </w:pPr>
            <w:r w:rsidRPr="000B4E2C">
              <w:rPr>
                <w:sz w:val="22"/>
                <w:lang w:eastAsia="en-GB"/>
              </w:rPr>
              <w:t>11.1%</w:t>
            </w:r>
          </w:p>
        </w:tc>
        <w:tc>
          <w:tcPr>
            <w:tcW w:w="0" w:type="auto"/>
            <w:gridSpan w:val="2"/>
            <w:shd w:val="clear" w:color="auto" w:fill="auto"/>
            <w:noWrap/>
            <w:hideMark/>
          </w:tcPr>
          <w:p w14:paraId="2A0CAB6C" w14:textId="77777777" w:rsidR="002F0133" w:rsidRPr="000B4E2C" w:rsidRDefault="002F0133" w:rsidP="008A7464">
            <w:pPr>
              <w:rPr>
                <w:sz w:val="22"/>
                <w:lang w:eastAsia="en-GB"/>
              </w:rPr>
            </w:pPr>
            <w:r w:rsidRPr="000B4E2C">
              <w:rPr>
                <w:sz w:val="22"/>
                <w:lang w:eastAsia="en-GB"/>
              </w:rPr>
              <w:t>48.9%</w:t>
            </w:r>
          </w:p>
        </w:tc>
      </w:tr>
      <w:tr w:rsidR="002F0133" w:rsidRPr="000B4E2C" w14:paraId="267F47DA" w14:textId="77777777" w:rsidTr="000B4E2C">
        <w:trPr>
          <w:cantSplit/>
          <w:tblHeader/>
        </w:trPr>
        <w:tc>
          <w:tcPr>
            <w:tcW w:w="0" w:type="auto"/>
            <w:shd w:val="clear" w:color="auto" w:fill="auto"/>
            <w:noWrap/>
            <w:hideMark/>
          </w:tcPr>
          <w:p w14:paraId="378AADEB"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5E3EEEDB" w14:textId="77777777" w:rsidR="002F0133" w:rsidRPr="000B4E2C" w:rsidRDefault="002F0133" w:rsidP="008A7464">
            <w:pPr>
              <w:rPr>
                <w:sz w:val="22"/>
                <w:lang w:eastAsia="en-GB"/>
              </w:rPr>
            </w:pPr>
            <w:r w:rsidRPr="000B4E2C">
              <w:rPr>
                <w:sz w:val="22"/>
                <w:lang w:eastAsia="en-GB"/>
              </w:rPr>
              <w:t>£23,101</w:t>
            </w:r>
          </w:p>
        </w:tc>
        <w:tc>
          <w:tcPr>
            <w:tcW w:w="0" w:type="auto"/>
            <w:gridSpan w:val="2"/>
            <w:shd w:val="clear" w:color="auto" w:fill="auto"/>
            <w:noWrap/>
            <w:hideMark/>
          </w:tcPr>
          <w:p w14:paraId="2F5E2346"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97BF47E" w14:textId="77777777" w:rsidR="002F0133" w:rsidRPr="000B4E2C" w:rsidRDefault="002F0133" w:rsidP="008A7464">
            <w:pPr>
              <w:rPr>
                <w:sz w:val="22"/>
                <w:lang w:eastAsia="en-GB"/>
              </w:rPr>
            </w:pPr>
            <w:r w:rsidRPr="000B4E2C">
              <w:rPr>
                <w:sz w:val="22"/>
                <w:lang w:eastAsia="en-GB"/>
              </w:rPr>
              <w:t>6.08615</w:t>
            </w:r>
          </w:p>
        </w:tc>
        <w:tc>
          <w:tcPr>
            <w:tcW w:w="0" w:type="auto"/>
            <w:shd w:val="clear" w:color="auto" w:fill="auto"/>
            <w:noWrap/>
            <w:hideMark/>
          </w:tcPr>
          <w:p w14:paraId="335F6B3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EA167A9"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112A532" w14:textId="77777777" w:rsidR="002F0133" w:rsidRPr="000B4E2C" w:rsidRDefault="002F0133" w:rsidP="008A7464">
            <w:pPr>
              <w:rPr>
                <w:sz w:val="22"/>
                <w:lang w:eastAsia="en-GB"/>
              </w:rPr>
            </w:pPr>
            <w:r w:rsidRPr="000B4E2C">
              <w:rPr>
                <w:sz w:val="22"/>
                <w:lang w:eastAsia="en-GB"/>
              </w:rPr>
              <w:t>£75,634</w:t>
            </w:r>
          </w:p>
        </w:tc>
        <w:tc>
          <w:tcPr>
            <w:tcW w:w="0" w:type="auto"/>
            <w:shd w:val="clear" w:color="auto" w:fill="auto"/>
            <w:noWrap/>
            <w:hideMark/>
          </w:tcPr>
          <w:p w14:paraId="03585119" w14:textId="77777777" w:rsidR="002F0133" w:rsidRPr="000B4E2C" w:rsidRDefault="002F0133" w:rsidP="008A7464">
            <w:pPr>
              <w:rPr>
                <w:sz w:val="22"/>
                <w:lang w:eastAsia="en-GB"/>
              </w:rPr>
            </w:pPr>
            <w:r w:rsidRPr="000B4E2C">
              <w:rPr>
                <w:sz w:val="22"/>
                <w:lang w:eastAsia="en-GB"/>
              </w:rPr>
              <w:t>17.3%</w:t>
            </w:r>
          </w:p>
        </w:tc>
        <w:tc>
          <w:tcPr>
            <w:tcW w:w="0" w:type="auto"/>
            <w:gridSpan w:val="2"/>
            <w:shd w:val="clear" w:color="auto" w:fill="auto"/>
            <w:noWrap/>
            <w:hideMark/>
          </w:tcPr>
          <w:p w14:paraId="6E2BEF11" w14:textId="77777777" w:rsidR="002F0133" w:rsidRPr="000B4E2C" w:rsidRDefault="002F0133" w:rsidP="008A7464">
            <w:pPr>
              <w:rPr>
                <w:sz w:val="22"/>
                <w:lang w:eastAsia="en-GB"/>
              </w:rPr>
            </w:pPr>
            <w:r w:rsidRPr="000B4E2C">
              <w:rPr>
                <w:sz w:val="22"/>
                <w:lang w:eastAsia="en-GB"/>
              </w:rPr>
              <w:t>31.4%</w:t>
            </w:r>
          </w:p>
        </w:tc>
      </w:tr>
      <w:tr w:rsidR="002F0133" w:rsidRPr="000B4E2C" w14:paraId="65450B3C" w14:textId="77777777" w:rsidTr="000B4E2C">
        <w:trPr>
          <w:cantSplit/>
          <w:tblHeader/>
        </w:trPr>
        <w:tc>
          <w:tcPr>
            <w:tcW w:w="0" w:type="auto"/>
            <w:gridSpan w:val="11"/>
            <w:shd w:val="clear" w:color="auto" w:fill="auto"/>
            <w:noWrap/>
            <w:hideMark/>
          </w:tcPr>
          <w:p w14:paraId="7BF44697" w14:textId="77777777" w:rsidR="002F0133" w:rsidRPr="000B4E2C" w:rsidRDefault="002F0133" w:rsidP="008A7464">
            <w:pPr>
              <w:rPr>
                <w:b/>
                <w:bCs/>
                <w:sz w:val="22"/>
                <w:lang w:eastAsia="en-GB"/>
              </w:rPr>
            </w:pPr>
            <w:r w:rsidRPr="000B4E2C">
              <w:rPr>
                <w:b/>
                <w:bCs/>
                <w:sz w:val="22"/>
                <w:lang w:eastAsia="en-GB"/>
              </w:rPr>
              <w:t>Scenario 2C: No associative effect</w:t>
            </w:r>
          </w:p>
        </w:tc>
      </w:tr>
      <w:tr w:rsidR="002F0133" w:rsidRPr="000B4E2C" w14:paraId="42D0E3D8" w14:textId="77777777" w:rsidTr="000B4E2C">
        <w:trPr>
          <w:cantSplit/>
          <w:tblHeader/>
        </w:trPr>
        <w:tc>
          <w:tcPr>
            <w:tcW w:w="0" w:type="auto"/>
            <w:shd w:val="clear" w:color="auto" w:fill="auto"/>
            <w:noWrap/>
            <w:hideMark/>
          </w:tcPr>
          <w:p w14:paraId="24CCEAB8"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64555A3A" w14:textId="77777777" w:rsidR="002F0133" w:rsidRPr="000B4E2C" w:rsidRDefault="002F0133" w:rsidP="008A7464">
            <w:pPr>
              <w:rPr>
                <w:sz w:val="22"/>
                <w:lang w:eastAsia="en-GB"/>
              </w:rPr>
            </w:pPr>
            <w:r w:rsidRPr="000B4E2C">
              <w:rPr>
                <w:sz w:val="22"/>
                <w:lang w:eastAsia="en-GB"/>
              </w:rPr>
              <w:t>£23,012</w:t>
            </w:r>
          </w:p>
        </w:tc>
        <w:tc>
          <w:tcPr>
            <w:tcW w:w="0" w:type="auto"/>
            <w:gridSpan w:val="2"/>
            <w:shd w:val="clear" w:color="auto" w:fill="auto"/>
            <w:noWrap/>
            <w:hideMark/>
          </w:tcPr>
          <w:p w14:paraId="3973448E"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1619BB21" w14:textId="77777777" w:rsidR="002F0133" w:rsidRPr="000B4E2C" w:rsidRDefault="002F0133" w:rsidP="008A7464">
            <w:pPr>
              <w:rPr>
                <w:sz w:val="22"/>
                <w:lang w:eastAsia="en-GB"/>
              </w:rPr>
            </w:pPr>
            <w:r w:rsidRPr="000B4E2C">
              <w:rPr>
                <w:sz w:val="22"/>
                <w:lang w:eastAsia="en-GB"/>
              </w:rPr>
              <w:t>6.07534</w:t>
            </w:r>
          </w:p>
        </w:tc>
        <w:tc>
          <w:tcPr>
            <w:tcW w:w="0" w:type="auto"/>
            <w:shd w:val="clear" w:color="auto" w:fill="auto"/>
            <w:noWrap/>
            <w:hideMark/>
          </w:tcPr>
          <w:p w14:paraId="742C95A9"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6D7668D5"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72A097B5"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15E8DCFD" w14:textId="77777777" w:rsidR="002F0133" w:rsidRPr="000B4E2C" w:rsidRDefault="002F0133" w:rsidP="008A7464">
            <w:pPr>
              <w:rPr>
                <w:sz w:val="22"/>
                <w:lang w:eastAsia="en-GB"/>
              </w:rPr>
            </w:pPr>
            <w:r w:rsidRPr="000B4E2C">
              <w:rPr>
                <w:sz w:val="22"/>
                <w:lang w:eastAsia="en-GB"/>
              </w:rPr>
              <w:t>100.0%</w:t>
            </w:r>
          </w:p>
        </w:tc>
        <w:tc>
          <w:tcPr>
            <w:tcW w:w="0" w:type="auto"/>
            <w:gridSpan w:val="2"/>
            <w:shd w:val="clear" w:color="auto" w:fill="auto"/>
            <w:noWrap/>
            <w:hideMark/>
          </w:tcPr>
          <w:p w14:paraId="21728E7C" w14:textId="77777777" w:rsidR="002F0133" w:rsidRPr="000B4E2C" w:rsidRDefault="002F0133" w:rsidP="008A7464">
            <w:pPr>
              <w:rPr>
                <w:sz w:val="22"/>
                <w:lang w:eastAsia="en-GB"/>
              </w:rPr>
            </w:pPr>
            <w:r w:rsidRPr="000B4E2C">
              <w:rPr>
                <w:sz w:val="22"/>
                <w:lang w:eastAsia="en-GB"/>
              </w:rPr>
              <w:t>--</w:t>
            </w:r>
          </w:p>
        </w:tc>
      </w:tr>
      <w:tr w:rsidR="002F0133" w:rsidRPr="000B4E2C" w14:paraId="56010157" w14:textId="77777777" w:rsidTr="000B4E2C">
        <w:trPr>
          <w:cantSplit/>
          <w:tblHeader/>
        </w:trPr>
        <w:tc>
          <w:tcPr>
            <w:tcW w:w="0" w:type="auto"/>
            <w:shd w:val="clear" w:color="auto" w:fill="auto"/>
            <w:noWrap/>
            <w:hideMark/>
          </w:tcPr>
          <w:p w14:paraId="62C1A32B" w14:textId="7CDFF65E"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399D9053" w14:textId="77777777" w:rsidR="002F0133" w:rsidRPr="000B4E2C" w:rsidRDefault="002F0133" w:rsidP="008A7464">
            <w:pPr>
              <w:rPr>
                <w:sz w:val="22"/>
                <w:lang w:eastAsia="en-GB"/>
              </w:rPr>
            </w:pPr>
            <w:r w:rsidRPr="000B4E2C">
              <w:rPr>
                <w:sz w:val="22"/>
                <w:lang w:eastAsia="en-GB"/>
              </w:rPr>
              <w:t>£23,094</w:t>
            </w:r>
          </w:p>
        </w:tc>
        <w:tc>
          <w:tcPr>
            <w:tcW w:w="0" w:type="auto"/>
            <w:gridSpan w:val="2"/>
            <w:shd w:val="clear" w:color="auto" w:fill="auto"/>
            <w:noWrap/>
            <w:hideMark/>
          </w:tcPr>
          <w:p w14:paraId="6CB6829D" w14:textId="77777777" w:rsidR="002F0133" w:rsidRPr="000B4E2C" w:rsidRDefault="002F0133" w:rsidP="008A7464">
            <w:pPr>
              <w:rPr>
                <w:sz w:val="22"/>
                <w:lang w:eastAsia="en-GB"/>
              </w:rPr>
            </w:pPr>
            <w:r w:rsidRPr="000B4E2C">
              <w:rPr>
                <w:sz w:val="22"/>
                <w:lang w:eastAsia="en-GB"/>
              </w:rPr>
              <w:t>£82</w:t>
            </w:r>
          </w:p>
        </w:tc>
        <w:tc>
          <w:tcPr>
            <w:tcW w:w="0" w:type="auto"/>
            <w:shd w:val="clear" w:color="auto" w:fill="auto"/>
            <w:noWrap/>
            <w:hideMark/>
          </w:tcPr>
          <w:p w14:paraId="30BD9F4C" w14:textId="77777777" w:rsidR="002F0133" w:rsidRPr="000B4E2C" w:rsidRDefault="002F0133" w:rsidP="008A7464">
            <w:pPr>
              <w:rPr>
                <w:sz w:val="22"/>
                <w:lang w:eastAsia="en-GB"/>
              </w:rPr>
            </w:pPr>
            <w:r w:rsidRPr="000B4E2C">
              <w:rPr>
                <w:sz w:val="22"/>
                <w:lang w:eastAsia="en-GB"/>
              </w:rPr>
              <w:t>6.07534</w:t>
            </w:r>
          </w:p>
        </w:tc>
        <w:tc>
          <w:tcPr>
            <w:tcW w:w="0" w:type="auto"/>
            <w:shd w:val="clear" w:color="auto" w:fill="auto"/>
            <w:noWrap/>
            <w:hideMark/>
          </w:tcPr>
          <w:p w14:paraId="7594ED9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D6AAE09" w14:textId="77777777" w:rsidR="002F0133" w:rsidRPr="000B4E2C" w:rsidRDefault="002F0133" w:rsidP="008A7464">
            <w:pPr>
              <w:rPr>
                <w:sz w:val="22"/>
                <w:highlight w:val="red"/>
                <w:lang w:eastAsia="en-GB"/>
              </w:rPr>
            </w:pPr>
            <w:r w:rsidRPr="000B4E2C">
              <w:rPr>
                <w:sz w:val="22"/>
                <w:lang w:eastAsia="en-GB"/>
              </w:rPr>
              <w:t>Dominated</w:t>
            </w:r>
          </w:p>
        </w:tc>
        <w:tc>
          <w:tcPr>
            <w:tcW w:w="0" w:type="auto"/>
            <w:shd w:val="clear" w:color="auto" w:fill="auto"/>
            <w:noWrap/>
            <w:hideMark/>
          </w:tcPr>
          <w:p w14:paraId="30A391DF" w14:textId="77777777" w:rsidR="002F0133" w:rsidRPr="000B4E2C" w:rsidRDefault="002F0133" w:rsidP="008A7464">
            <w:pPr>
              <w:rPr>
                <w:sz w:val="22"/>
                <w:highlight w:val="red"/>
                <w:lang w:eastAsia="en-GB"/>
              </w:rPr>
            </w:pPr>
            <w:r w:rsidRPr="000B4E2C">
              <w:rPr>
                <w:sz w:val="22"/>
                <w:lang w:eastAsia="en-GB"/>
              </w:rPr>
              <w:t>Dominated</w:t>
            </w:r>
          </w:p>
        </w:tc>
        <w:tc>
          <w:tcPr>
            <w:tcW w:w="0" w:type="auto"/>
            <w:shd w:val="clear" w:color="auto" w:fill="auto"/>
            <w:noWrap/>
            <w:hideMark/>
          </w:tcPr>
          <w:p w14:paraId="0E1FE292"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7843A43F" w14:textId="77777777" w:rsidR="002F0133" w:rsidRPr="000B4E2C" w:rsidRDefault="002F0133" w:rsidP="008A7464">
            <w:pPr>
              <w:rPr>
                <w:sz w:val="22"/>
                <w:lang w:eastAsia="en-GB"/>
              </w:rPr>
            </w:pPr>
            <w:r w:rsidRPr="000B4E2C">
              <w:rPr>
                <w:sz w:val="22"/>
                <w:lang w:eastAsia="en-GB"/>
              </w:rPr>
              <w:t>0.0%</w:t>
            </w:r>
          </w:p>
        </w:tc>
      </w:tr>
      <w:tr w:rsidR="002F0133" w:rsidRPr="000B4E2C" w14:paraId="0D5FA084" w14:textId="77777777" w:rsidTr="000B4E2C">
        <w:trPr>
          <w:cantSplit/>
          <w:tblHeader/>
        </w:trPr>
        <w:tc>
          <w:tcPr>
            <w:tcW w:w="0" w:type="auto"/>
            <w:shd w:val="clear" w:color="auto" w:fill="auto"/>
            <w:noWrap/>
            <w:hideMark/>
          </w:tcPr>
          <w:p w14:paraId="7F9D5B91" w14:textId="662A43C5"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52CEB845" w14:textId="77777777" w:rsidR="002F0133" w:rsidRPr="000B4E2C" w:rsidRDefault="002F0133" w:rsidP="008A7464">
            <w:pPr>
              <w:rPr>
                <w:sz w:val="22"/>
                <w:lang w:eastAsia="en-GB"/>
              </w:rPr>
            </w:pPr>
            <w:r w:rsidRPr="000B4E2C">
              <w:rPr>
                <w:sz w:val="22"/>
                <w:lang w:eastAsia="en-GB"/>
              </w:rPr>
              <w:t>£23,110</w:t>
            </w:r>
          </w:p>
        </w:tc>
        <w:tc>
          <w:tcPr>
            <w:tcW w:w="0" w:type="auto"/>
            <w:gridSpan w:val="2"/>
            <w:shd w:val="clear" w:color="auto" w:fill="auto"/>
            <w:noWrap/>
            <w:hideMark/>
          </w:tcPr>
          <w:p w14:paraId="5F800CCD" w14:textId="77777777" w:rsidR="002F0133" w:rsidRPr="000B4E2C" w:rsidRDefault="002F0133" w:rsidP="008A7464">
            <w:pPr>
              <w:rPr>
                <w:sz w:val="22"/>
                <w:lang w:eastAsia="en-GB"/>
              </w:rPr>
            </w:pPr>
            <w:r w:rsidRPr="000B4E2C">
              <w:rPr>
                <w:sz w:val="22"/>
                <w:lang w:eastAsia="en-GB"/>
              </w:rPr>
              <w:t>£16</w:t>
            </w:r>
          </w:p>
        </w:tc>
        <w:tc>
          <w:tcPr>
            <w:tcW w:w="0" w:type="auto"/>
            <w:shd w:val="clear" w:color="auto" w:fill="auto"/>
            <w:noWrap/>
            <w:hideMark/>
          </w:tcPr>
          <w:p w14:paraId="4E77F73A" w14:textId="77777777" w:rsidR="002F0133" w:rsidRPr="000B4E2C" w:rsidRDefault="002F0133" w:rsidP="008A7464">
            <w:pPr>
              <w:rPr>
                <w:sz w:val="22"/>
                <w:lang w:eastAsia="en-GB"/>
              </w:rPr>
            </w:pPr>
            <w:r w:rsidRPr="000B4E2C">
              <w:rPr>
                <w:sz w:val="22"/>
                <w:lang w:eastAsia="en-GB"/>
              </w:rPr>
              <w:t>6.07534</w:t>
            </w:r>
          </w:p>
        </w:tc>
        <w:tc>
          <w:tcPr>
            <w:tcW w:w="0" w:type="auto"/>
            <w:shd w:val="clear" w:color="auto" w:fill="auto"/>
            <w:noWrap/>
            <w:hideMark/>
          </w:tcPr>
          <w:p w14:paraId="6B545558"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D5AF2AD" w14:textId="77777777" w:rsidR="002F0133" w:rsidRPr="000B4E2C" w:rsidRDefault="002F0133" w:rsidP="008A7464">
            <w:pPr>
              <w:rPr>
                <w:sz w:val="22"/>
                <w:highlight w:val="red"/>
                <w:lang w:eastAsia="en-GB"/>
              </w:rPr>
            </w:pPr>
            <w:r w:rsidRPr="000B4E2C">
              <w:rPr>
                <w:sz w:val="22"/>
                <w:lang w:eastAsia="en-GB"/>
              </w:rPr>
              <w:t>Dominated</w:t>
            </w:r>
          </w:p>
        </w:tc>
        <w:tc>
          <w:tcPr>
            <w:tcW w:w="0" w:type="auto"/>
            <w:shd w:val="clear" w:color="auto" w:fill="auto"/>
            <w:noWrap/>
            <w:hideMark/>
          </w:tcPr>
          <w:p w14:paraId="451CAB4B" w14:textId="77777777" w:rsidR="002F0133" w:rsidRPr="000B4E2C" w:rsidRDefault="002F0133" w:rsidP="008A7464">
            <w:pPr>
              <w:rPr>
                <w:sz w:val="22"/>
                <w:highlight w:val="red"/>
                <w:lang w:eastAsia="en-GB"/>
              </w:rPr>
            </w:pPr>
            <w:r w:rsidRPr="000B4E2C">
              <w:rPr>
                <w:sz w:val="22"/>
                <w:lang w:eastAsia="en-GB"/>
              </w:rPr>
              <w:t>Dominated</w:t>
            </w:r>
          </w:p>
        </w:tc>
        <w:tc>
          <w:tcPr>
            <w:tcW w:w="0" w:type="auto"/>
            <w:shd w:val="clear" w:color="auto" w:fill="auto"/>
            <w:noWrap/>
            <w:hideMark/>
          </w:tcPr>
          <w:p w14:paraId="77E42AEB"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074F6EF0" w14:textId="77777777" w:rsidR="002F0133" w:rsidRPr="000B4E2C" w:rsidRDefault="002F0133" w:rsidP="008A7464">
            <w:pPr>
              <w:rPr>
                <w:sz w:val="22"/>
                <w:lang w:eastAsia="en-GB"/>
              </w:rPr>
            </w:pPr>
            <w:r w:rsidRPr="000B4E2C">
              <w:rPr>
                <w:sz w:val="22"/>
                <w:lang w:eastAsia="en-GB"/>
              </w:rPr>
              <w:t>0.0%</w:t>
            </w:r>
          </w:p>
        </w:tc>
      </w:tr>
      <w:tr w:rsidR="002F0133" w:rsidRPr="000B4E2C" w14:paraId="3AE9BC6C" w14:textId="77777777" w:rsidTr="000B4E2C">
        <w:trPr>
          <w:cantSplit/>
          <w:tblHeader/>
        </w:trPr>
        <w:tc>
          <w:tcPr>
            <w:tcW w:w="0" w:type="auto"/>
            <w:shd w:val="clear" w:color="auto" w:fill="auto"/>
            <w:noWrap/>
            <w:hideMark/>
          </w:tcPr>
          <w:p w14:paraId="289DABB1" w14:textId="2E7F4014"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43D06092" w14:textId="77777777" w:rsidR="002F0133" w:rsidRPr="000B4E2C" w:rsidRDefault="002F0133" w:rsidP="008A7464">
            <w:pPr>
              <w:rPr>
                <w:sz w:val="22"/>
                <w:lang w:eastAsia="en-GB"/>
              </w:rPr>
            </w:pPr>
            <w:r w:rsidRPr="000B4E2C">
              <w:rPr>
                <w:sz w:val="22"/>
                <w:lang w:eastAsia="en-GB"/>
              </w:rPr>
              <w:t>£23,110</w:t>
            </w:r>
          </w:p>
        </w:tc>
        <w:tc>
          <w:tcPr>
            <w:tcW w:w="0" w:type="auto"/>
            <w:gridSpan w:val="2"/>
            <w:shd w:val="clear" w:color="auto" w:fill="auto"/>
            <w:noWrap/>
            <w:hideMark/>
          </w:tcPr>
          <w:p w14:paraId="2C158E8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20930C0" w14:textId="77777777" w:rsidR="002F0133" w:rsidRPr="000B4E2C" w:rsidRDefault="002F0133" w:rsidP="008A7464">
            <w:pPr>
              <w:rPr>
                <w:sz w:val="22"/>
                <w:lang w:eastAsia="en-GB"/>
              </w:rPr>
            </w:pPr>
            <w:r w:rsidRPr="000B4E2C">
              <w:rPr>
                <w:sz w:val="22"/>
                <w:lang w:eastAsia="en-GB"/>
              </w:rPr>
              <w:t>6.07534</w:t>
            </w:r>
          </w:p>
        </w:tc>
        <w:tc>
          <w:tcPr>
            <w:tcW w:w="0" w:type="auto"/>
            <w:shd w:val="clear" w:color="auto" w:fill="auto"/>
            <w:noWrap/>
            <w:hideMark/>
          </w:tcPr>
          <w:p w14:paraId="45A0049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6DC588A" w14:textId="77777777" w:rsidR="002F0133" w:rsidRPr="000B4E2C" w:rsidRDefault="002F0133" w:rsidP="008A7464">
            <w:pPr>
              <w:rPr>
                <w:sz w:val="22"/>
                <w:highlight w:val="red"/>
                <w:lang w:eastAsia="en-GB"/>
              </w:rPr>
            </w:pPr>
            <w:r w:rsidRPr="000B4E2C">
              <w:rPr>
                <w:sz w:val="22"/>
                <w:lang w:eastAsia="en-GB"/>
              </w:rPr>
              <w:t>Dominated</w:t>
            </w:r>
          </w:p>
        </w:tc>
        <w:tc>
          <w:tcPr>
            <w:tcW w:w="0" w:type="auto"/>
            <w:shd w:val="clear" w:color="auto" w:fill="auto"/>
            <w:noWrap/>
            <w:hideMark/>
          </w:tcPr>
          <w:p w14:paraId="6E3D7781" w14:textId="77777777" w:rsidR="002F0133" w:rsidRPr="000B4E2C" w:rsidRDefault="002F0133" w:rsidP="008A7464">
            <w:pPr>
              <w:rPr>
                <w:sz w:val="22"/>
                <w:highlight w:val="red"/>
                <w:lang w:eastAsia="en-GB"/>
              </w:rPr>
            </w:pPr>
            <w:r w:rsidRPr="000B4E2C">
              <w:rPr>
                <w:sz w:val="22"/>
                <w:lang w:eastAsia="en-GB"/>
              </w:rPr>
              <w:t>Dominated</w:t>
            </w:r>
          </w:p>
        </w:tc>
        <w:tc>
          <w:tcPr>
            <w:tcW w:w="0" w:type="auto"/>
            <w:shd w:val="clear" w:color="auto" w:fill="auto"/>
            <w:noWrap/>
            <w:hideMark/>
          </w:tcPr>
          <w:p w14:paraId="471E73BE"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764B1ECE" w14:textId="77777777" w:rsidR="002F0133" w:rsidRPr="000B4E2C" w:rsidRDefault="002F0133" w:rsidP="008A7464">
            <w:pPr>
              <w:rPr>
                <w:sz w:val="22"/>
                <w:lang w:eastAsia="en-GB"/>
              </w:rPr>
            </w:pPr>
            <w:r w:rsidRPr="000B4E2C">
              <w:rPr>
                <w:sz w:val="22"/>
                <w:lang w:eastAsia="en-GB"/>
              </w:rPr>
              <w:t>0.0%</w:t>
            </w:r>
          </w:p>
        </w:tc>
      </w:tr>
      <w:tr w:rsidR="002F0133" w:rsidRPr="000B4E2C" w14:paraId="674EE483" w14:textId="77777777" w:rsidTr="000B4E2C">
        <w:trPr>
          <w:cantSplit/>
          <w:tblHeader/>
        </w:trPr>
        <w:tc>
          <w:tcPr>
            <w:tcW w:w="0" w:type="auto"/>
            <w:shd w:val="clear" w:color="auto" w:fill="auto"/>
            <w:noWrap/>
            <w:hideMark/>
          </w:tcPr>
          <w:p w14:paraId="33EE512E"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58AD124C" w14:textId="77777777" w:rsidR="002F0133" w:rsidRPr="000B4E2C" w:rsidRDefault="002F0133" w:rsidP="008A7464">
            <w:pPr>
              <w:rPr>
                <w:sz w:val="22"/>
                <w:lang w:eastAsia="en-GB"/>
              </w:rPr>
            </w:pPr>
            <w:r w:rsidRPr="000B4E2C">
              <w:rPr>
                <w:sz w:val="22"/>
                <w:lang w:eastAsia="en-GB"/>
              </w:rPr>
              <w:t>£23,145</w:t>
            </w:r>
          </w:p>
        </w:tc>
        <w:tc>
          <w:tcPr>
            <w:tcW w:w="0" w:type="auto"/>
            <w:gridSpan w:val="2"/>
            <w:shd w:val="clear" w:color="auto" w:fill="auto"/>
            <w:noWrap/>
            <w:hideMark/>
          </w:tcPr>
          <w:p w14:paraId="02A3DD7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374726D" w14:textId="77777777" w:rsidR="002F0133" w:rsidRPr="000B4E2C" w:rsidRDefault="002F0133" w:rsidP="008A7464">
            <w:pPr>
              <w:rPr>
                <w:sz w:val="22"/>
                <w:lang w:eastAsia="en-GB"/>
              </w:rPr>
            </w:pPr>
            <w:r w:rsidRPr="000B4E2C">
              <w:rPr>
                <w:sz w:val="22"/>
                <w:lang w:eastAsia="en-GB"/>
              </w:rPr>
              <w:t>6.07534</w:t>
            </w:r>
          </w:p>
        </w:tc>
        <w:tc>
          <w:tcPr>
            <w:tcW w:w="0" w:type="auto"/>
            <w:shd w:val="clear" w:color="auto" w:fill="auto"/>
            <w:noWrap/>
            <w:hideMark/>
          </w:tcPr>
          <w:p w14:paraId="0556A90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89F2B76" w14:textId="77777777" w:rsidR="002F0133" w:rsidRPr="000B4E2C" w:rsidRDefault="002F0133" w:rsidP="008A7464">
            <w:pPr>
              <w:rPr>
                <w:sz w:val="22"/>
                <w:highlight w:val="red"/>
                <w:lang w:eastAsia="en-GB"/>
              </w:rPr>
            </w:pPr>
            <w:r w:rsidRPr="000B4E2C">
              <w:rPr>
                <w:sz w:val="22"/>
                <w:lang w:eastAsia="en-GB"/>
              </w:rPr>
              <w:t>Dominated</w:t>
            </w:r>
          </w:p>
        </w:tc>
        <w:tc>
          <w:tcPr>
            <w:tcW w:w="0" w:type="auto"/>
            <w:shd w:val="clear" w:color="auto" w:fill="auto"/>
            <w:noWrap/>
            <w:hideMark/>
          </w:tcPr>
          <w:p w14:paraId="3D53375E" w14:textId="77777777" w:rsidR="002F0133" w:rsidRPr="000B4E2C" w:rsidRDefault="002F0133" w:rsidP="008A7464">
            <w:pPr>
              <w:rPr>
                <w:sz w:val="22"/>
                <w:highlight w:val="red"/>
                <w:lang w:eastAsia="en-GB"/>
              </w:rPr>
            </w:pPr>
            <w:r w:rsidRPr="000B4E2C">
              <w:rPr>
                <w:sz w:val="22"/>
                <w:lang w:eastAsia="en-GB"/>
              </w:rPr>
              <w:t>Dominated</w:t>
            </w:r>
          </w:p>
        </w:tc>
        <w:tc>
          <w:tcPr>
            <w:tcW w:w="0" w:type="auto"/>
            <w:shd w:val="clear" w:color="auto" w:fill="auto"/>
            <w:noWrap/>
            <w:hideMark/>
          </w:tcPr>
          <w:p w14:paraId="3C7FE166"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10F6CE24" w14:textId="77777777" w:rsidR="002F0133" w:rsidRPr="000B4E2C" w:rsidRDefault="002F0133" w:rsidP="008A7464">
            <w:pPr>
              <w:rPr>
                <w:sz w:val="22"/>
                <w:lang w:eastAsia="en-GB"/>
              </w:rPr>
            </w:pPr>
            <w:r w:rsidRPr="000B4E2C">
              <w:rPr>
                <w:sz w:val="22"/>
                <w:lang w:eastAsia="en-GB"/>
              </w:rPr>
              <w:t>0.0%</w:t>
            </w:r>
          </w:p>
        </w:tc>
      </w:tr>
      <w:tr w:rsidR="002F0133" w:rsidRPr="000B4E2C" w14:paraId="42034304" w14:textId="77777777" w:rsidTr="000B4E2C">
        <w:trPr>
          <w:cantSplit/>
          <w:tblHeader/>
        </w:trPr>
        <w:tc>
          <w:tcPr>
            <w:tcW w:w="0" w:type="auto"/>
            <w:gridSpan w:val="11"/>
            <w:shd w:val="clear" w:color="auto" w:fill="auto"/>
            <w:noWrap/>
            <w:hideMark/>
          </w:tcPr>
          <w:p w14:paraId="58A16096" w14:textId="77777777" w:rsidR="002F0133" w:rsidRPr="000B4E2C" w:rsidRDefault="002F0133" w:rsidP="008A7464">
            <w:pPr>
              <w:rPr>
                <w:b/>
                <w:bCs/>
                <w:sz w:val="22"/>
                <w:lang w:eastAsia="en-GB"/>
              </w:rPr>
            </w:pPr>
            <w:r w:rsidRPr="000B4E2C">
              <w:rPr>
                <w:b/>
                <w:bCs/>
                <w:sz w:val="22"/>
                <w:lang w:eastAsia="en-GB"/>
              </w:rPr>
              <w:t>Scenario 2D: Full associative effect</w:t>
            </w:r>
          </w:p>
        </w:tc>
      </w:tr>
      <w:tr w:rsidR="002F0133" w:rsidRPr="000B4E2C" w14:paraId="5368A15E" w14:textId="77777777" w:rsidTr="000B4E2C">
        <w:trPr>
          <w:cantSplit/>
          <w:tblHeader/>
        </w:trPr>
        <w:tc>
          <w:tcPr>
            <w:tcW w:w="0" w:type="auto"/>
            <w:shd w:val="clear" w:color="auto" w:fill="auto"/>
            <w:noWrap/>
            <w:hideMark/>
          </w:tcPr>
          <w:p w14:paraId="122ED935"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2A4F772F" w14:textId="77777777" w:rsidR="002F0133" w:rsidRPr="000B4E2C" w:rsidRDefault="002F0133" w:rsidP="008A7464">
            <w:pPr>
              <w:rPr>
                <w:sz w:val="22"/>
                <w:lang w:eastAsia="en-GB"/>
              </w:rPr>
            </w:pPr>
            <w:r w:rsidRPr="000B4E2C">
              <w:rPr>
                <w:sz w:val="22"/>
                <w:lang w:eastAsia="en-GB"/>
              </w:rPr>
              <w:t>£23,114</w:t>
            </w:r>
          </w:p>
        </w:tc>
        <w:tc>
          <w:tcPr>
            <w:tcW w:w="0" w:type="auto"/>
            <w:gridSpan w:val="2"/>
            <w:shd w:val="clear" w:color="auto" w:fill="auto"/>
            <w:noWrap/>
            <w:hideMark/>
          </w:tcPr>
          <w:p w14:paraId="459C1101"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F451F6B" w14:textId="77777777" w:rsidR="002F0133" w:rsidRPr="000B4E2C" w:rsidRDefault="002F0133" w:rsidP="008A7464">
            <w:pPr>
              <w:rPr>
                <w:sz w:val="22"/>
                <w:lang w:eastAsia="en-GB"/>
              </w:rPr>
            </w:pPr>
            <w:r w:rsidRPr="000B4E2C">
              <w:rPr>
                <w:sz w:val="22"/>
                <w:lang w:eastAsia="en-GB"/>
              </w:rPr>
              <w:t>6.08592</w:t>
            </w:r>
          </w:p>
        </w:tc>
        <w:tc>
          <w:tcPr>
            <w:tcW w:w="0" w:type="auto"/>
            <w:shd w:val="clear" w:color="auto" w:fill="auto"/>
            <w:noWrap/>
            <w:hideMark/>
          </w:tcPr>
          <w:p w14:paraId="69D30D5B"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60B452D1"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0DA1850"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49E35641" w14:textId="77777777" w:rsidR="002F0133" w:rsidRPr="000B4E2C" w:rsidRDefault="002F0133" w:rsidP="008A7464">
            <w:pPr>
              <w:rPr>
                <w:sz w:val="22"/>
                <w:lang w:eastAsia="en-GB"/>
              </w:rPr>
            </w:pPr>
            <w:r w:rsidRPr="000B4E2C">
              <w:rPr>
                <w:sz w:val="22"/>
                <w:lang w:eastAsia="en-GB"/>
              </w:rPr>
              <w:t>0.7%</w:t>
            </w:r>
          </w:p>
        </w:tc>
        <w:tc>
          <w:tcPr>
            <w:tcW w:w="0" w:type="auto"/>
            <w:gridSpan w:val="2"/>
            <w:shd w:val="clear" w:color="auto" w:fill="auto"/>
            <w:noWrap/>
            <w:hideMark/>
          </w:tcPr>
          <w:p w14:paraId="3170E75D" w14:textId="77777777" w:rsidR="002F0133" w:rsidRPr="000B4E2C" w:rsidRDefault="002F0133" w:rsidP="008A7464">
            <w:pPr>
              <w:rPr>
                <w:sz w:val="22"/>
                <w:lang w:eastAsia="en-GB"/>
              </w:rPr>
            </w:pPr>
            <w:r w:rsidRPr="000B4E2C">
              <w:rPr>
                <w:sz w:val="22"/>
                <w:lang w:eastAsia="en-GB"/>
              </w:rPr>
              <w:t>--</w:t>
            </w:r>
          </w:p>
        </w:tc>
      </w:tr>
      <w:tr w:rsidR="002F0133" w:rsidRPr="000B4E2C" w14:paraId="3A7CE5F5" w14:textId="77777777" w:rsidTr="000B4E2C">
        <w:trPr>
          <w:cantSplit/>
          <w:tblHeader/>
        </w:trPr>
        <w:tc>
          <w:tcPr>
            <w:tcW w:w="0" w:type="auto"/>
            <w:shd w:val="clear" w:color="auto" w:fill="auto"/>
            <w:noWrap/>
            <w:hideMark/>
          </w:tcPr>
          <w:p w14:paraId="70037108" w14:textId="7DE17619"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4F143099" w14:textId="77777777" w:rsidR="002F0133" w:rsidRPr="000B4E2C" w:rsidRDefault="002F0133" w:rsidP="008A7464">
            <w:pPr>
              <w:rPr>
                <w:sz w:val="22"/>
                <w:lang w:eastAsia="en-GB"/>
              </w:rPr>
            </w:pPr>
            <w:r w:rsidRPr="000B4E2C">
              <w:rPr>
                <w:sz w:val="22"/>
                <w:lang w:eastAsia="en-GB"/>
              </w:rPr>
              <w:t>£23,199</w:t>
            </w:r>
          </w:p>
        </w:tc>
        <w:tc>
          <w:tcPr>
            <w:tcW w:w="0" w:type="auto"/>
            <w:gridSpan w:val="2"/>
            <w:shd w:val="clear" w:color="auto" w:fill="auto"/>
            <w:noWrap/>
            <w:hideMark/>
          </w:tcPr>
          <w:p w14:paraId="54993E9D" w14:textId="77777777" w:rsidR="002F0133" w:rsidRPr="000B4E2C" w:rsidRDefault="002F0133" w:rsidP="008A7464">
            <w:pPr>
              <w:rPr>
                <w:sz w:val="22"/>
                <w:lang w:eastAsia="en-GB"/>
              </w:rPr>
            </w:pPr>
            <w:r w:rsidRPr="000B4E2C">
              <w:rPr>
                <w:sz w:val="22"/>
                <w:lang w:eastAsia="en-GB"/>
              </w:rPr>
              <w:t>Ext Dom</w:t>
            </w:r>
          </w:p>
        </w:tc>
        <w:tc>
          <w:tcPr>
            <w:tcW w:w="0" w:type="auto"/>
            <w:shd w:val="clear" w:color="auto" w:fill="auto"/>
            <w:noWrap/>
            <w:hideMark/>
          </w:tcPr>
          <w:p w14:paraId="1603EF7E" w14:textId="77777777" w:rsidR="002F0133" w:rsidRPr="000B4E2C" w:rsidRDefault="002F0133" w:rsidP="008A7464">
            <w:pPr>
              <w:rPr>
                <w:sz w:val="22"/>
                <w:lang w:eastAsia="en-GB"/>
              </w:rPr>
            </w:pPr>
            <w:r w:rsidRPr="000B4E2C">
              <w:rPr>
                <w:sz w:val="22"/>
                <w:lang w:eastAsia="en-GB"/>
              </w:rPr>
              <w:t>6.09125</w:t>
            </w:r>
          </w:p>
        </w:tc>
        <w:tc>
          <w:tcPr>
            <w:tcW w:w="0" w:type="auto"/>
            <w:shd w:val="clear" w:color="auto" w:fill="auto"/>
            <w:noWrap/>
            <w:hideMark/>
          </w:tcPr>
          <w:p w14:paraId="3007822D" w14:textId="77777777" w:rsidR="002F0133" w:rsidRPr="000B4E2C" w:rsidRDefault="002F0133" w:rsidP="008A7464">
            <w:pPr>
              <w:rPr>
                <w:sz w:val="22"/>
                <w:lang w:eastAsia="en-GB"/>
              </w:rPr>
            </w:pPr>
            <w:r w:rsidRPr="000B4E2C">
              <w:rPr>
                <w:sz w:val="22"/>
                <w:lang w:eastAsia="en-GB"/>
              </w:rPr>
              <w:t>Ext Dom</w:t>
            </w:r>
          </w:p>
        </w:tc>
        <w:tc>
          <w:tcPr>
            <w:tcW w:w="0" w:type="auto"/>
            <w:shd w:val="clear" w:color="auto" w:fill="auto"/>
            <w:noWrap/>
            <w:hideMark/>
          </w:tcPr>
          <w:p w14:paraId="2B19C42D" w14:textId="77777777" w:rsidR="002F0133" w:rsidRPr="000B4E2C" w:rsidRDefault="002F0133" w:rsidP="008A7464">
            <w:pPr>
              <w:rPr>
                <w:sz w:val="22"/>
                <w:lang w:eastAsia="en-GB"/>
              </w:rPr>
            </w:pPr>
            <w:r w:rsidRPr="000B4E2C">
              <w:rPr>
                <w:sz w:val="22"/>
                <w:lang w:eastAsia="en-GB"/>
              </w:rPr>
              <w:t>Ext Dom</w:t>
            </w:r>
          </w:p>
        </w:tc>
        <w:tc>
          <w:tcPr>
            <w:tcW w:w="0" w:type="auto"/>
            <w:shd w:val="clear" w:color="auto" w:fill="auto"/>
            <w:noWrap/>
            <w:hideMark/>
          </w:tcPr>
          <w:p w14:paraId="1687C54C" w14:textId="77777777" w:rsidR="002F0133" w:rsidRPr="000B4E2C" w:rsidRDefault="002F0133" w:rsidP="008A7464">
            <w:pPr>
              <w:rPr>
                <w:sz w:val="22"/>
                <w:lang w:eastAsia="en-GB"/>
              </w:rPr>
            </w:pPr>
            <w:r w:rsidRPr="000B4E2C">
              <w:rPr>
                <w:sz w:val="22"/>
                <w:lang w:eastAsia="en-GB"/>
              </w:rPr>
              <w:t>£15,974</w:t>
            </w:r>
          </w:p>
        </w:tc>
        <w:tc>
          <w:tcPr>
            <w:tcW w:w="0" w:type="auto"/>
            <w:shd w:val="clear" w:color="auto" w:fill="auto"/>
            <w:noWrap/>
            <w:hideMark/>
          </w:tcPr>
          <w:p w14:paraId="71A8AB01" w14:textId="77777777" w:rsidR="002F0133" w:rsidRPr="000B4E2C" w:rsidRDefault="002F0133" w:rsidP="008A7464">
            <w:pPr>
              <w:rPr>
                <w:sz w:val="22"/>
                <w:lang w:eastAsia="en-GB"/>
              </w:rPr>
            </w:pPr>
            <w:r w:rsidRPr="000B4E2C">
              <w:rPr>
                <w:sz w:val="22"/>
                <w:lang w:eastAsia="en-GB"/>
              </w:rPr>
              <w:t>0.5%</w:t>
            </w:r>
          </w:p>
        </w:tc>
        <w:tc>
          <w:tcPr>
            <w:tcW w:w="0" w:type="auto"/>
            <w:gridSpan w:val="2"/>
            <w:shd w:val="clear" w:color="auto" w:fill="auto"/>
            <w:noWrap/>
            <w:hideMark/>
          </w:tcPr>
          <w:p w14:paraId="6EB5409E" w14:textId="77777777" w:rsidR="002F0133" w:rsidRPr="000B4E2C" w:rsidRDefault="002F0133" w:rsidP="008A7464">
            <w:pPr>
              <w:rPr>
                <w:sz w:val="22"/>
                <w:lang w:eastAsia="en-GB"/>
              </w:rPr>
            </w:pPr>
            <w:r w:rsidRPr="000B4E2C">
              <w:rPr>
                <w:sz w:val="22"/>
                <w:lang w:eastAsia="en-GB"/>
              </w:rPr>
              <w:t>55.8%</w:t>
            </w:r>
          </w:p>
        </w:tc>
      </w:tr>
      <w:tr w:rsidR="002F0133" w:rsidRPr="000B4E2C" w14:paraId="24E11A38" w14:textId="77777777" w:rsidTr="000B4E2C">
        <w:trPr>
          <w:cantSplit/>
          <w:tblHeader/>
        </w:trPr>
        <w:tc>
          <w:tcPr>
            <w:tcW w:w="0" w:type="auto"/>
            <w:shd w:val="clear" w:color="auto" w:fill="auto"/>
            <w:noWrap/>
            <w:hideMark/>
          </w:tcPr>
          <w:p w14:paraId="648ECBE2" w14:textId="40A50B86"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55307BCF" w14:textId="77777777" w:rsidR="002F0133" w:rsidRPr="000B4E2C" w:rsidRDefault="002F0133" w:rsidP="008A7464">
            <w:pPr>
              <w:rPr>
                <w:sz w:val="22"/>
                <w:lang w:eastAsia="en-GB"/>
              </w:rPr>
            </w:pPr>
            <w:r w:rsidRPr="000B4E2C">
              <w:rPr>
                <w:sz w:val="22"/>
                <w:lang w:eastAsia="en-GB"/>
              </w:rPr>
              <w:t>£23,214</w:t>
            </w:r>
          </w:p>
        </w:tc>
        <w:tc>
          <w:tcPr>
            <w:tcW w:w="0" w:type="auto"/>
            <w:gridSpan w:val="2"/>
            <w:shd w:val="clear" w:color="auto" w:fill="auto"/>
            <w:noWrap/>
            <w:hideMark/>
          </w:tcPr>
          <w:p w14:paraId="400AA4D1" w14:textId="77777777" w:rsidR="002F0133" w:rsidRPr="000B4E2C" w:rsidRDefault="002F0133" w:rsidP="008A7464">
            <w:pPr>
              <w:rPr>
                <w:sz w:val="22"/>
                <w:lang w:eastAsia="en-GB"/>
              </w:rPr>
            </w:pPr>
            <w:r w:rsidRPr="000B4E2C">
              <w:rPr>
                <w:sz w:val="22"/>
                <w:lang w:eastAsia="en-GB"/>
              </w:rPr>
              <w:t>Ext Dom</w:t>
            </w:r>
          </w:p>
        </w:tc>
        <w:tc>
          <w:tcPr>
            <w:tcW w:w="0" w:type="auto"/>
            <w:shd w:val="clear" w:color="auto" w:fill="auto"/>
            <w:noWrap/>
            <w:hideMark/>
          </w:tcPr>
          <w:p w14:paraId="7361BFFD" w14:textId="77777777" w:rsidR="002F0133" w:rsidRPr="000B4E2C" w:rsidRDefault="002F0133" w:rsidP="008A7464">
            <w:pPr>
              <w:rPr>
                <w:sz w:val="22"/>
                <w:lang w:eastAsia="en-GB"/>
              </w:rPr>
            </w:pPr>
            <w:r w:rsidRPr="000B4E2C">
              <w:rPr>
                <w:sz w:val="22"/>
                <w:lang w:eastAsia="en-GB"/>
              </w:rPr>
              <w:t>6.09137</w:t>
            </w:r>
          </w:p>
        </w:tc>
        <w:tc>
          <w:tcPr>
            <w:tcW w:w="0" w:type="auto"/>
            <w:shd w:val="clear" w:color="auto" w:fill="auto"/>
            <w:noWrap/>
            <w:hideMark/>
          </w:tcPr>
          <w:p w14:paraId="080F337E" w14:textId="77777777" w:rsidR="002F0133" w:rsidRPr="000B4E2C" w:rsidRDefault="002F0133" w:rsidP="008A7464">
            <w:pPr>
              <w:rPr>
                <w:sz w:val="22"/>
                <w:lang w:eastAsia="en-GB"/>
              </w:rPr>
            </w:pPr>
            <w:r w:rsidRPr="000B4E2C">
              <w:rPr>
                <w:sz w:val="22"/>
                <w:lang w:eastAsia="en-GB"/>
              </w:rPr>
              <w:t>Ext Dom</w:t>
            </w:r>
          </w:p>
        </w:tc>
        <w:tc>
          <w:tcPr>
            <w:tcW w:w="0" w:type="auto"/>
            <w:shd w:val="clear" w:color="auto" w:fill="auto"/>
            <w:noWrap/>
            <w:hideMark/>
          </w:tcPr>
          <w:p w14:paraId="4A370F83" w14:textId="77777777" w:rsidR="002F0133" w:rsidRPr="000B4E2C" w:rsidRDefault="002F0133" w:rsidP="008A7464">
            <w:pPr>
              <w:rPr>
                <w:sz w:val="22"/>
                <w:lang w:eastAsia="en-GB"/>
              </w:rPr>
            </w:pPr>
            <w:r w:rsidRPr="000B4E2C">
              <w:rPr>
                <w:sz w:val="22"/>
                <w:lang w:eastAsia="en-GB"/>
              </w:rPr>
              <w:t>Ext Dom</w:t>
            </w:r>
          </w:p>
        </w:tc>
        <w:tc>
          <w:tcPr>
            <w:tcW w:w="0" w:type="auto"/>
            <w:shd w:val="clear" w:color="auto" w:fill="auto"/>
            <w:noWrap/>
            <w:hideMark/>
          </w:tcPr>
          <w:p w14:paraId="3D5AEAE8" w14:textId="77777777" w:rsidR="002F0133" w:rsidRPr="000B4E2C" w:rsidRDefault="002F0133" w:rsidP="008A7464">
            <w:pPr>
              <w:rPr>
                <w:sz w:val="22"/>
                <w:lang w:eastAsia="en-GB"/>
              </w:rPr>
            </w:pPr>
            <w:r w:rsidRPr="000B4E2C">
              <w:rPr>
                <w:sz w:val="22"/>
                <w:lang w:eastAsia="en-GB"/>
              </w:rPr>
              <w:t>£18,364</w:t>
            </w:r>
          </w:p>
        </w:tc>
        <w:tc>
          <w:tcPr>
            <w:tcW w:w="0" w:type="auto"/>
            <w:shd w:val="clear" w:color="auto" w:fill="auto"/>
            <w:noWrap/>
            <w:hideMark/>
          </w:tcPr>
          <w:p w14:paraId="63F2A9B6" w14:textId="77777777" w:rsidR="002F0133" w:rsidRPr="000B4E2C" w:rsidRDefault="002F0133" w:rsidP="008A7464">
            <w:pPr>
              <w:rPr>
                <w:sz w:val="22"/>
                <w:lang w:eastAsia="en-GB"/>
              </w:rPr>
            </w:pPr>
            <w:r w:rsidRPr="000B4E2C">
              <w:rPr>
                <w:sz w:val="22"/>
                <w:lang w:eastAsia="en-GB"/>
              </w:rPr>
              <w:t>0.3%</w:t>
            </w:r>
          </w:p>
        </w:tc>
        <w:tc>
          <w:tcPr>
            <w:tcW w:w="0" w:type="auto"/>
            <w:gridSpan w:val="2"/>
            <w:shd w:val="clear" w:color="auto" w:fill="auto"/>
            <w:noWrap/>
            <w:hideMark/>
          </w:tcPr>
          <w:p w14:paraId="6F658661" w14:textId="77777777" w:rsidR="002F0133" w:rsidRPr="000B4E2C" w:rsidRDefault="002F0133" w:rsidP="008A7464">
            <w:pPr>
              <w:rPr>
                <w:sz w:val="22"/>
                <w:lang w:eastAsia="en-GB"/>
              </w:rPr>
            </w:pPr>
            <w:r w:rsidRPr="000B4E2C">
              <w:rPr>
                <w:sz w:val="22"/>
                <w:lang w:eastAsia="en-GB"/>
              </w:rPr>
              <w:t>50.3%</w:t>
            </w:r>
          </w:p>
        </w:tc>
      </w:tr>
      <w:tr w:rsidR="002F0133" w:rsidRPr="000B4E2C" w14:paraId="71EA6B5F" w14:textId="77777777" w:rsidTr="000B4E2C">
        <w:trPr>
          <w:cantSplit/>
          <w:tblHeader/>
        </w:trPr>
        <w:tc>
          <w:tcPr>
            <w:tcW w:w="0" w:type="auto"/>
            <w:shd w:val="clear" w:color="auto" w:fill="auto"/>
            <w:noWrap/>
            <w:hideMark/>
          </w:tcPr>
          <w:p w14:paraId="6AB7AE3B" w14:textId="2B561F83" w:rsidR="002F0133" w:rsidRPr="000B4E2C" w:rsidRDefault="002F0133" w:rsidP="008A7464">
            <w:pPr>
              <w:rPr>
                <w:sz w:val="22"/>
                <w:lang w:eastAsia="en-GB"/>
              </w:rPr>
            </w:pPr>
            <w:r w:rsidRPr="000B4E2C">
              <w:rPr>
                <w:sz w:val="22"/>
                <w:lang w:eastAsia="en-GB"/>
              </w:rPr>
              <w:lastRenderedPageBreak/>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23A4101C" w14:textId="77777777" w:rsidR="002F0133" w:rsidRPr="000B4E2C" w:rsidRDefault="002F0133" w:rsidP="008A7464">
            <w:pPr>
              <w:rPr>
                <w:sz w:val="22"/>
                <w:lang w:eastAsia="en-GB"/>
              </w:rPr>
            </w:pPr>
            <w:r w:rsidRPr="000B4E2C">
              <w:rPr>
                <w:sz w:val="22"/>
                <w:lang w:eastAsia="en-GB"/>
              </w:rPr>
              <w:t>£23,215</w:t>
            </w:r>
          </w:p>
        </w:tc>
        <w:tc>
          <w:tcPr>
            <w:tcW w:w="0" w:type="auto"/>
            <w:gridSpan w:val="2"/>
            <w:shd w:val="clear" w:color="auto" w:fill="auto"/>
            <w:noWrap/>
            <w:hideMark/>
          </w:tcPr>
          <w:p w14:paraId="680AD39E"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2653F40" w14:textId="77777777" w:rsidR="002F0133" w:rsidRPr="000B4E2C" w:rsidRDefault="002F0133" w:rsidP="008A7464">
            <w:pPr>
              <w:rPr>
                <w:sz w:val="22"/>
                <w:lang w:eastAsia="en-GB"/>
              </w:rPr>
            </w:pPr>
            <w:r w:rsidRPr="000B4E2C">
              <w:rPr>
                <w:sz w:val="22"/>
                <w:lang w:eastAsia="en-GB"/>
              </w:rPr>
              <w:t>6.09080</w:t>
            </w:r>
          </w:p>
        </w:tc>
        <w:tc>
          <w:tcPr>
            <w:tcW w:w="0" w:type="auto"/>
            <w:shd w:val="clear" w:color="auto" w:fill="auto"/>
            <w:noWrap/>
            <w:hideMark/>
          </w:tcPr>
          <w:p w14:paraId="01382E7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35BC8F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338FFD1" w14:textId="77777777" w:rsidR="002F0133" w:rsidRPr="000B4E2C" w:rsidRDefault="002F0133" w:rsidP="008A7464">
            <w:pPr>
              <w:rPr>
                <w:sz w:val="22"/>
                <w:lang w:eastAsia="en-GB"/>
              </w:rPr>
            </w:pPr>
            <w:r w:rsidRPr="000B4E2C">
              <w:rPr>
                <w:sz w:val="22"/>
                <w:lang w:eastAsia="en-GB"/>
              </w:rPr>
              <w:t>£20,721</w:t>
            </w:r>
          </w:p>
        </w:tc>
        <w:tc>
          <w:tcPr>
            <w:tcW w:w="0" w:type="auto"/>
            <w:shd w:val="clear" w:color="auto" w:fill="auto"/>
            <w:noWrap/>
            <w:hideMark/>
          </w:tcPr>
          <w:p w14:paraId="4CBAD116"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35F422DE" w14:textId="77777777" w:rsidR="002F0133" w:rsidRPr="000B4E2C" w:rsidRDefault="002F0133" w:rsidP="008A7464">
            <w:pPr>
              <w:rPr>
                <w:sz w:val="22"/>
                <w:lang w:eastAsia="en-GB"/>
              </w:rPr>
            </w:pPr>
            <w:r w:rsidRPr="000B4E2C">
              <w:rPr>
                <w:sz w:val="22"/>
                <w:lang w:eastAsia="en-GB"/>
              </w:rPr>
              <w:t>46.0%</w:t>
            </w:r>
          </w:p>
        </w:tc>
      </w:tr>
      <w:tr w:rsidR="002F0133" w:rsidRPr="000B4E2C" w14:paraId="57A86AD4" w14:textId="77777777" w:rsidTr="000B4E2C">
        <w:trPr>
          <w:cantSplit/>
          <w:tblHeader/>
        </w:trPr>
        <w:tc>
          <w:tcPr>
            <w:tcW w:w="0" w:type="auto"/>
            <w:shd w:val="clear" w:color="auto" w:fill="auto"/>
            <w:noWrap/>
            <w:hideMark/>
          </w:tcPr>
          <w:p w14:paraId="49261BB7"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56020D3A" w14:textId="77777777" w:rsidR="002F0133" w:rsidRPr="000B4E2C" w:rsidRDefault="002F0133" w:rsidP="008A7464">
            <w:pPr>
              <w:rPr>
                <w:sz w:val="22"/>
                <w:lang w:eastAsia="en-GB"/>
              </w:rPr>
            </w:pPr>
            <w:r w:rsidRPr="000B4E2C">
              <w:rPr>
                <w:sz w:val="22"/>
                <w:lang w:eastAsia="en-GB"/>
              </w:rPr>
              <w:t>£23,223</w:t>
            </w:r>
          </w:p>
        </w:tc>
        <w:tc>
          <w:tcPr>
            <w:tcW w:w="0" w:type="auto"/>
            <w:gridSpan w:val="2"/>
            <w:shd w:val="clear" w:color="auto" w:fill="auto"/>
            <w:noWrap/>
            <w:hideMark/>
          </w:tcPr>
          <w:p w14:paraId="27C24A6E" w14:textId="77777777" w:rsidR="002F0133" w:rsidRPr="000B4E2C" w:rsidRDefault="002F0133" w:rsidP="008A7464">
            <w:pPr>
              <w:rPr>
                <w:sz w:val="22"/>
                <w:lang w:eastAsia="en-GB"/>
              </w:rPr>
            </w:pPr>
            <w:r w:rsidRPr="000B4E2C">
              <w:rPr>
                <w:sz w:val="22"/>
                <w:lang w:eastAsia="en-GB"/>
              </w:rPr>
              <w:t>£109</w:t>
            </w:r>
          </w:p>
        </w:tc>
        <w:tc>
          <w:tcPr>
            <w:tcW w:w="0" w:type="auto"/>
            <w:shd w:val="clear" w:color="auto" w:fill="auto"/>
            <w:noWrap/>
            <w:hideMark/>
          </w:tcPr>
          <w:p w14:paraId="63AE2810" w14:textId="77777777" w:rsidR="002F0133" w:rsidRPr="000B4E2C" w:rsidRDefault="002F0133" w:rsidP="008A7464">
            <w:pPr>
              <w:rPr>
                <w:sz w:val="22"/>
                <w:lang w:eastAsia="en-GB"/>
              </w:rPr>
            </w:pPr>
            <w:r w:rsidRPr="000B4E2C">
              <w:rPr>
                <w:sz w:val="22"/>
                <w:lang w:eastAsia="en-GB"/>
              </w:rPr>
              <w:t>6.11360</w:t>
            </w:r>
          </w:p>
        </w:tc>
        <w:tc>
          <w:tcPr>
            <w:tcW w:w="0" w:type="auto"/>
            <w:shd w:val="clear" w:color="auto" w:fill="auto"/>
            <w:noWrap/>
            <w:hideMark/>
          </w:tcPr>
          <w:p w14:paraId="2B43E04E" w14:textId="77777777" w:rsidR="002F0133" w:rsidRPr="000B4E2C" w:rsidRDefault="002F0133" w:rsidP="008A7464">
            <w:pPr>
              <w:rPr>
                <w:sz w:val="22"/>
                <w:lang w:eastAsia="en-GB"/>
              </w:rPr>
            </w:pPr>
            <w:r w:rsidRPr="000B4E2C">
              <w:rPr>
                <w:sz w:val="22"/>
                <w:lang w:eastAsia="en-GB"/>
              </w:rPr>
              <w:t>0.02768</w:t>
            </w:r>
          </w:p>
        </w:tc>
        <w:tc>
          <w:tcPr>
            <w:tcW w:w="0" w:type="auto"/>
            <w:shd w:val="clear" w:color="auto" w:fill="auto"/>
            <w:noWrap/>
            <w:hideMark/>
          </w:tcPr>
          <w:p w14:paraId="6600D8CA" w14:textId="77777777" w:rsidR="002F0133" w:rsidRPr="000B4E2C" w:rsidRDefault="002F0133" w:rsidP="008A7464">
            <w:pPr>
              <w:rPr>
                <w:sz w:val="22"/>
                <w:lang w:eastAsia="en-GB"/>
              </w:rPr>
            </w:pPr>
            <w:r w:rsidRPr="000B4E2C">
              <w:rPr>
                <w:sz w:val="22"/>
                <w:lang w:eastAsia="en-GB"/>
              </w:rPr>
              <w:t>£3,941</w:t>
            </w:r>
          </w:p>
        </w:tc>
        <w:tc>
          <w:tcPr>
            <w:tcW w:w="0" w:type="auto"/>
            <w:shd w:val="clear" w:color="auto" w:fill="auto"/>
            <w:noWrap/>
            <w:hideMark/>
          </w:tcPr>
          <w:p w14:paraId="4989B006" w14:textId="77777777" w:rsidR="002F0133" w:rsidRPr="000B4E2C" w:rsidRDefault="002F0133" w:rsidP="008A7464">
            <w:pPr>
              <w:rPr>
                <w:sz w:val="22"/>
                <w:lang w:eastAsia="en-GB"/>
              </w:rPr>
            </w:pPr>
            <w:r w:rsidRPr="000B4E2C">
              <w:rPr>
                <w:sz w:val="22"/>
                <w:lang w:eastAsia="en-GB"/>
              </w:rPr>
              <w:t>£3,941</w:t>
            </w:r>
          </w:p>
        </w:tc>
        <w:tc>
          <w:tcPr>
            <w:tcW w:w="0" w:type="auto"/>
            <w:shd w:val="clear" w:color="auto" w:fill="auto"/>
            <w:noWrap/>
            <w:hideMark/>
          </w:tcPr>
          <w:p w14:paraId="4232AC92" w14:textId="77777777" w:rsidR="002F0133" w:rsidRPr="000B4E2C" w:rsidRDefault="002F0133" w:rsidP="008A7464">
            <w:pPr>
              <w:rPr>
                <w:sz w:val="22"/>
                <w:lang w:eastAsia="en-GB"/>
              </w:rPr>
            </w:pPr>
            <w:r w:rsidRPr="000B4E2C">
              <w:rPr>
                <w:sz w:val="22"/>
                <w:lang w:eastAsia="en-GB"/>
              </w:rPr>
              <w:t>98.5%</w:t>
            </w:r>
          </w:p>
        </w:tc>
        <w:tc>
          <w:tcPr>
            <w:tcW w:w="0" w:type="auto"/>
            <w:gridSpan w:val="2"/>
            <w:shd w:val="clear" w:color="auto" w:fill="auto"/>
            <w:noWrap/>
            <w:hideMark/>
          </w:tcPr>
          <w:p w14:paraId="2D134770" w14:textId="77777777" w:rsidR="002F0133" w:rsidRPr="000B4E2C" w:rsidRDefault="002F0133" w:rsidP="008A7464">
            <w:pPr>
              <w:rPr>
                <w:sz w:val="22"/>
                <w:lang w:eastAsia="en-GB"/>
              </w:rPr>
            </w:pPr>
            <w:r w:rsidRPr="000B4E2C">
              <w:rPr>
                <w:sz w:val="22"/>
                <w:lang w:eastAsia="en-GB"/>
              </w:rPr>
              <w:t>99.1%</w:t>
            </w:r>
          </w:p>
        </w:tc>
      </w:tr>
      <w:tr w:rsidR="002F0133" w:rsidRPr="000B4E2C" w14:paraId="5AC152CE" w14:textId="77777777" w:rsidTr="000B4E2C">
        <w:trPr>
          <w:cantSplit/>
          <w:tblHeader/>
        </w:trPr>
        <w:tc>
          <w:tcPr>
            <w:tcW w:w="0" w:type="auto"/>
            <w:gridSpan w:val="11"/>
            <w:shd w:val="clear" w:color="auto" w:fill="auto"/>
            <w:noWrap/>
            <w:hideMark/>
          </w:tcPr>
          <w:p w14:paraId="73172A5E" w14:textId="77777777" w:rsidR="002F0133" w:rsidRPr="000B4E2C" w:rsidRDefault="002F0133" w:rsidP="008A7464">
            <w:pPr>
              <w:rPr>
                <w:b/>
                <w:bCs/>
                <w:sz w:val="22"/>
                <w:lang w:eastAsia="en-GB"/>
              </w:rPr>
            </w:pPr>
            <w:r w:rsidRPr="000B4E2C">
              <w:rPr>
                <w:b/>
                <w:bCs/>
                <w:sz w:val="22"/>
                <w:lang w:eastAsia="en-GB"/>
              </w:rPr>
              <w:t>Scenario 2E: As per Scenario 2D but apply a daily excess AKI costs to patients in hospital/ICU</w:t>
            </w:r>
          </w:p>
        </w:tc>
      </w:tr>
      <w:tr w:rsidR="002F0133" w:rsidRPr="000B4E2C" w14:paraId="258871AB" w14:textId="77777777" w:rsidTr="000B4E2C">
        <w:trPr>
          <w:cantSplit/>
          <w:tblHeader/>
        </w:trPr>
        <w:tc>
          <w:tcPr>
            <w:tcW w:w="0" w:type="auto"/>
            <w:shd w:val="clear" w:color="auto" w:fill="auto"/>
            <w:noWrap/>
            <w:hideMark/>
          </w:tcPr>
          <w:p w14:paraId="45929003"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22ABA180" w14:textId="77777777" w:rsidR="002F0133" w:rsidRPr="000B4E2C" w:rsidRDefault="002F0133" w:rsidP="008A7464">
            <w:pPr>
              <w:rPr>
                <w:sz w:val="22"/>
                <w:lang w:eastAsia="en-GB"/>
              </w:rPr>
            </w:pPr>
            <w:r w:rsidRPr="000B4E2C">
              <w:rPr>
                <w:sz w:val="22"/>
                <w:lang w:eastAsia="en-GB"/>
              </w:rPr>
              <w:t>£23,729</w:t>
            </w:r>
          </w:p>
        </w:tc>
        <w:tc>
          <w:tcPr>
            <w:tcW w:w="0" w:type="auto"/>
            <w:gridSpan w:val="2"/>
            <w:shd w:val="clear" w:color="auto" w:fill="auto"/>
            <w:noWrap/>
            <w:hideMark/>
          </w:tcPr>
          <w:p w14:paraId="2D5F803F"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43C7B512" w14:textId="77777777" w:rsidR="002F0133" w:rsidRPr="000B4E2C" w:rsidRDefault="002F0133" w:rsidP="008A7464">
            <w:pPr>
              <w:rPr>
                <w:sz w:val="22"/>
                <w:lang w:eastAsia="en-GB"/>
              </w:rPr>
            </w:pPr>
            <w:r w:rsidRPr="000B4E2C">
              <w:rPr>
                <w:sz w:val="22"/>
                <w:lang w:eastAsia="en-GB"/>
              </w:rPr>
              <w:t>6.08549</w:t>
            </w:r>
          </w:p>
        </w:tc>
        <w:tc>
          <w:tcPr>
            <w:tcW w:w="0" w:type="auto"/>
            <w:shd w:val="clear" w:color="auto" w:fill="auto"/>
            <w:noWrap/>
            <w:hideMark/>
          </w:tcPr>
          <w:p w14:paraId="5F7A589E"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73A68082"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59CF6A2"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1AE84FD" w14:textId="77777777" w:rsidR="002F0133" w:rsidRPr="000B4E2C" w:rsidRDefault="002F0133" w:rsidP="008A7464">
            <w:pPr>
              <w:rPr>
                <w:sz w:val="22"/>
                <w:lang w:eastAsia="en-GB"/>
              </w:rPr>
            </w:pPr>
            <w:r w:rsidRPr="000B4E2C">
              <w:rPr>
                <w:sz w:val="22"/>
                <w:lang w:eastAsia="en-GB"/>
              </w:rPr>
              <w:t>0.7%</w:t>
            </w:r>
          </w:p>
        </w:tc>
        <w:tc>
          <w:tcPr>
            <w:tcW w:w="0" w:type="auto"/>
            <w:gridSpan w:val="2"/>
            <w:shd w:val="clear" w:color="auto" w:fill="auto"/>
            <w:noWrap/>
            <w:hideMark/>
          </w:tcPr>
          <w:p w14:paraId="1F30931D" w14:textId="77777777" w:rsidR="002F0133" w:rsidRPr="000B4E2C" w:rsidRDefault="002F0133" w:rsidP="008A7464">
            <w:pPr>
              <w:rPr>
                <w:sz w:val="22"/>
                <w:lang w:eastAsia="en-GB"/>
              </w:rPr>
            </w:pPr>
            <w:r w:rsidRPr="000B4E2C">
              <w:rPr>
                <w:sz w:val="22"/>
                <w:lang w:eastAsia="en-GB"/>
              </w:rPr>
              <w:t>--</w:t>
            </w:r>
          </w:p>
        </w:tc>
      </w:tr>
      <w:tr w:rsidR="002F0133" w:rsidRPr="000B4E2C" w14:paraId="0AA79DC2" w14:textId="77777777" w:rsidTr="000B4E2C">
        <w:trPr>
          <w:cantSplit/>
          <w:tblHeader/>
        </w:trPr>
        <w:tc>
          <w:tcPr>
            <w:tcW w:w="0" w:type="auto"/>
            <w:shd w:val="clear" w:color="auto" w:fill="auto"/>
            <w:noWrap/>
            <w:hideMark/>
          </w:tcPr>
          <w:p w14:paraId="7E7D6517"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2B9C177F" w14:textId="77777777" w:rsidR="002F0133" w:rsidRPr="000B4E2C" w:rsidRDefault="002F0133" w:rsidP="008A7464">
            <w:pPr>
              <w:rPr>
                <w:sz w:val="22"/>
                <w:lang w:eastAsia="en-GB"/>
              </w:rPr>
            </w:pPr>
            <w:r w:rsidRPr="000B4E2C">
              <w:rPr>
                <w:sz w:val="22"/>
                <w:lang w:eastAsia="en-GB"/>
              </w:rPr>
              <w:t>£23,730</w:t>
            </w:r>
          </w:p>
        </w:tc>
        <w:tc>
          <w:tcPr>
            <w:tcW w:w="0" w:type="auto"/>
            <w:gridSpan w:val="2"/>
            <w:shd w:val="clear" w:color="auto" w:fill="auto"/>
            <w:noWrap/>
            <w:hideMark/>
          </w:tcPr>
          <w:p w14:paraId="1E3E2B98" w14:textId="77777777" w:rsidR="002F0133" w:rsidRPr="000B4E2C" w:rsidRDefault="002F0133" w:rsidP="008A7464">
            <w:pPr>
              <w:rPr>
                <w:sz w:val="22"/>
                <w:lang w:eastAsia="en-GB"/>
              </w:rPr>
            </w:pPr>
            <w:r w:rsidRPr="000B4E2C">
              <w:rPr>
                <w:sz w:val="22"/>
                <w:lang w:eastAsia="en-GB"/>
              </w:rPr>
              <w:t>£1</w:t>
            </w:r>
          </w:p>
        </w:tc>
        <w:tc>
          <w:tcPr>
            <w:tcW w:w="0" w:type="auto"/>
            <w:shd w:val="clear" w:color="auto" w:fill="auto"/>
            <w:noWrap/>
            <w:hideMark/>
          </w:tcPr>
          <w:p w14:paraId="521B327F" w14:textId="77777777" w:rsidR="002F0133" w:rsidRPr="000B4E2C" w:rsidRDefault="002F0133" w:rsidP="008A7464">
            <w:pPr>
              <w:rPr>
                <w:sz w:val="22"/>
                <w:lang w:eastAsia="en-GB"/>
              </w:rPr>
            </w:pPr>
            <w:r w:rsidRPr="000B4E2C">
              <w:rPr>
                <w:sz w:val="22"/>
                <w:lang w:eastAsia="en-GB"/>
              </w:rPr>
              <w:t>6.11261</w:t>
            </w:r>
          </w:p>
        </w:tc>
        <w:tc>
          <w:tcPr>
            <w:tcW w:w="0" w:type="auto"/>
            <w:shd w:val="clear" w:color="auto" w:fill="auto"/>
            <w:noWrap/>
            <w:hideMark/>
          </w:tcPr>
          <w:p w14:paraId="786D0887" w14:textId="77777777" w:rsidR="002F0133" w:rsidRPr="000B4E2C" w:rsidRDefault="002F0133" w:rsidP="008A7464">
            <w:pPr>
              <w:rPr>
                <w:sz w:val="22"/>
                <w:lang w:eastAsia="en-GB"/>
              </w:rPr>
            </w:pPr>
            <w:r w:rsidRPr="000B4E2C">
              <w:rPr>
                <w:sz w:val="22"/>
                <w:lang w:eastAsia="en-GB"/>
              </w:rPr>
              <w:t>0.02712</w:t>
            </w:r>
          </w:p>
        </w:tc>
        <w:tc>
          <w:tcPr>
            <w:tcW w:w="0" w:type="auto"/>
            <w:shd w:val="clear" w:color="auto" w:fill="auto"/>
            <w:noWrap/>
            <w:hideMark/>
          </w:tcPr>
          <w:p w14:paraId="09ED0D72" w14:textId="77777777" w:rsidR="002F0133" w:rsidRPr="000B4E2C" w:rsidRDefault="002F0133" w:rsidP="008A7464">
            <w:pPr>
              <w:rPr>
                <w:sz w:val="22"/>
                <w:lang w:eastAsia="en-GB"/>
              </w:rPr>
            </w:pPr>
            <w:r w:rsidRPr="000B4E2C">
              <w:rPr>
                <w:sz w:val="22"/>
                <w:lang w:eastAsia="en-GB"/>
              </w:rPr>
              <w:t>£29</w:t>
            </w:r>
          </w:p>
        </w:tc>
        <w:tc>
          <w:tcPr>
            <w:tcW w:w="0" w:type="auto"/>
            <w:shd w:val="clear" w:color="auto" w:fill="auto"/>
            <w:noWrap/>
            <w:hideMark/>
          </w:tcPr>
          <w:p w14:paraId="66297F31" w14:textId="77777777" w:rsidR="002F0133" w:rsidRPr="000B4E2C" w:rsidRDefault="002F0133" w:rsidP="008A7464">
            <w:pPr>
              <w:rPr>
                <w:sz w:val="22"/>
                <w:lang w:eastAsia="en-GB"/>
              </w:rPr>
            </w:pPr>
            <w:r w:rsidRPr="000B4E2C">
              <w:rPr>
                <w:sz w:val="22"/>
                <w:lang w:eastAsia="en-GB"/>
              </w:rPr>
              <w:t>£29</w:t>
            </w:r>
          </w:p>
        </w:tc>
        <w:tc>
          <w:tcPr>
            <w:tcW w:w="0" w:type="auto"/>
            <w:shd w:val="clear" w:color="auto" w:fill="auto"/>
            <w:noWrap/>
            <w:hideMark/>
          </w:tcPr>
          <w:p w14:paraId="61015E27" w14:textId="77777777" w:rsidR="002F0133" w:rsidRPr="000B4E2C" w:rsidRDefault="002F0133" w:rsidP="008A7464">
            <w:pPr>
              <w:rPr>
                <w:sz w:val="22"/>
                <w:lang w:eastAsia="en-GB"/>
              </w:rPr>
            </w:pPr>
            <w:r w:rsidRPr="000B4E2C">
              <w:rPr>
                <w:sz w:val="22"/>
                <w:lang w:eastAsia="en-GB"/>
              </w:rPr>
              <w:t>98.8%</w:t>
            </w:r>
          </w:p>
        </w:tc>
        <w:tc>
          <w:tcPr>
            <w:tcW w:w="0" w:type="auto"/>
            <w:gridSpan w:val="2"/>
            <w:shd w:val="clear" w:color="auto" w:fill="auto"/>
            <w:noWrap/>
            <w:hideMark/>
          </w:tcPr>
          <w:p w14:paraId="0C85F8D4" w14:textId="77777777" w:rsidR="002F0133" w:rsidRPr="000B4E2C" w:rsidRDefault="002F0133" w:rsidP="008A7464">
            <w:pPr>
              <w:rPr>
                <w:sz w:val="22"/>
                <w:lang w:eastAsia="en-GB"/>
              </w:rPr>
            </w:pPr>
            <w:r w:rsidRPr="000B4E2C">
              <w:rPr>
                <w:sz w:val="22"/>
                <w:lang w:eastAsia="en-GB"/>
              </w:rPr>
              <w:t>99.1%</w:t>
            </w:r>
          </w:p>
        </w:tc>
      </w:tr>
      <w:tr w:rsidR="002F0133" w:rsidRPr="000B4E2C" w14:paraId="3BEA72C2" w14:textId="77777777" w:rsidTr="000B4E2C">
        <w:trPr>
          <w:cantSplit/>
          <w:tblHeader/>
        </w:trPr>
        <w:tc>
          <w:tcPr>
            <w:tcW w:w="0" w:type="auto"/>
            <w:shd w:val="clear" w:color="auto" w:fill="auto"/>
            <w:noWrap/>
            <w:hideMark/>
          </w:tcPr>
          <w:p w14:paraId="5B5BCC8E" w14:textId="03AD7F26"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6BC33C73" w14:textId="77777777" w:rsidR="002F0133" w:rsidRPr="000B4E2C" w:rsidRDefault="002F0133" w:rsidP="008A7464">
            <w:pPr>
              <w:rPr>
                <w:sz w:val="22"/>
                <w:lang w:eastAsia="en-GB"/>
              </w:rPr>
            </w:pPr>
            <w:r w:rsidRPr="000B4E2C">
              <w:rPr>
                <w:sz w:val="22"/>
                <w:lang w:eastAsia="en-GB"/>
              </w:rPr>
              <w:t>£23,815</w:t>
            </w:r>
          </w:p>
        </w:tc>
        <w:tc>
          <w:tcPr>
            <w:tcW w:w="0" w:type="auto"/>
            <w:gridSpan w:val="2"/>
            <w:shd w:val="clear" w:color="auto" w:fill="auto"/>
            <w:noWrap/>
            <w:hideMark/>
          </w:tcPr>
          <w:p w14:paraId="3BF2F1F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238DFF3" w14:textId="77777777" w:rsidR="002F0133" w:rsidRPr="000B4E2C" w:rsidRDefault="002F0133" w:rsidP="008A7464">
            <w:pPr>
              <w:rPr>
                <w:sz w:val="22"/>
                <w:lang w:eastAsia="en-GB"/>
              </w:rPr>
            </w:pPr>
            <w:r w:rsidRPr="000B4E2C">
              <w:rPr>
                <w:sz w:val="22"/>
                <w:lang w:eastAsia="en-GB"/>
              </w:rPr>
              <w:t>6.09063</w:t>
            </w:r>
          </w:p>
        </w:tc>
        <w:tc>
          <w:tcPr>
            <w:tcW w:w="0" w:type="auto"/>
            <w:shd w:val="clear" w:color="auto" w:fill="auto"/>
            <w:noWrap/>
            <w:hideMark/>
          </w:tcPr>
          <w:p w14:paraId="0AF463F8"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CABC9C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568C955" w14:textId="77777777" w:rsidR="002F0133" w:rsidRPr="000B4E2C" w:rsidRDefault="002F0133" w:rsidP="008A7464">
            <w:pPr>
              <w:rPr>
                <w:sz w:val="22"/>
                <w:lang w:eastAsia="en-GB"/>
              </w:rPr>
            </w:pPr>
            <w:r w:rsidRPr="000B4E2C">
              <w:rPr>
                <w:sz w:val="22"/>
                <w:lang w:eastAsia="en-GB"/>
              </w:rPr>
              <w:t>£16,615</w:t>
            </w:r>
          </w:p>
        </w:tc>
        <w:tc>
          <w:tcPr>
            <w:tcW w:w="0" w:type="auto"/>
            <w:shd w:val="clear" w:color="auto" w:fill="auto"/>
            <w:noWrap/>
            <w:hideMark/>
          </w:tcPr>
          <w:p w14:paraId="6000AD40" w14:textId="77777777" w:rsidR="002F0133" w:rsidRPr="000B4E2C" w:rsidRDefault="002F0133" w:rsidP="008A7464">
            <w:pPr>
              <w:rPr>
                <w:sz w:val="22"/>
                <w:lang w:eastAsia="en-GB"/>
              </w:rPr>
            </w:pPr>
            <w:r w:rsidRPr="000B4E2C">
              <w:rPr>
                <w:sz w:val="22"/>
                <w:lang w:eastAsia="en-GB"/>
              </w:rPr>
              <w:t>0.5%</w:t>
            </w:r>
          </w:p>
        </w:tc>
        <w:tc>
          <w:tcPr>
            <w:tcW w:w="0" w:type="auto"/>
            <w:gridSpan w:val="2"/>
            <w:shd w:val="clear" w:color="auto" w:fill="auto"/>
            <w:noWrap/>
            <w:hideMark/>
          </w:tcPr>
          <w:p w14:paraId="15035542" w14:textId="77777777" w:rsidR="002F0133" w:rsidRPr="000B4E2C" w:rsidRDefault="002F0133" w:rsidP="008A7464">
            <w:pPr>
              <w:rPr>
                <w:sz w:val="22"/>
                <w:lang w:eastAsia="en-GB"/>
              </w:rPr>
            </w:pPr>
            <w:r w:rsidRPr="000B4E2C">
              <w:rPr>
                <w:sz w:val="22"/>
                <w:lang w:eastAsia="en-GB"/>
              </w:rPr>
              <w:t>54.0%</w:t>
            </w:r>
          </w:p>
        </w:tc>
      </w:tr>
      <w:tr w:rsidR="002F0133" w:rsidRPr="000B4E2C" w14:paraId="199F1D27" w14:textId="77777777" w:rsidTr="000B4E2C">
        <w:trPr>
          <w:cantSplit/>
          <w:tblHeader/>
        </w:trPr>
        <w:tc>
          <w:tcPr>
            <w:tcW w:w="0" w:type="auto"/>
            <w:shd w:val="clear" w:color="auto" w:fill="auto"/>
            <w:noWrap/>
            <w:hideMark/>
          </w:tcPr>
          <w:p w14:paraId="2C4155A5" w14:textId="642801B3"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617F5443" w14:textId="77777777" w:rsidR="002F0133" w:rsidRPr="000B4E2C" w:rsidRDefault="002F0133" w:rsidP="008A7464">
            <w:pPr>
              <w:rPr>
                <w:sz w:val="22"/>
                <w:lang w:eastAsia="en-GB"/>
              </w:rPr>
            </w:pPr>
            <w:r w:rsidRPr="000B4E2C">
              <w:rPr>
                <w:sz w:val="22"/>
                <w:lang w:eastAsia="en-GB"/>
              </w:rPr>
              <w:t>£23,830</w:t>
            </w:r>
          </w:p>
        </w:tc>
        <w:tc>
          <w:tcPr>
            <w:tcW w:w="0" w:type="auto"/>
            <w:gridSpan w:val="2"/>
            <w:shd w:val="clear" w:color="auto" w:fill="auto"/>
            <w:noWrap/>
            <w:hideMark/>
          </w:tcPr>
          <w:p w14:paraId="6CD0667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1F7615C" w14:textId="77777777" w:rsidR="002F0133" w:rsidRPr="000B4E2C" w:rsidRDefault="002F0133" w:rsidP="008A7464">
            <w:pPr>
              <w:rPr>
                <w:sz w:val="22"/>
                <w:lang w:eastAsia="en-GB"/>
              </w:rPr>
            </w:pPr>
            <w:r w:rsidRPr="000B4E2C">
              <w:rPr>
                <w:sz w:val="22"/>
                <w:lang w:eastAsia="en-GB"/>
              </w:rPr>
              <w:t>6.09020</w:t>
            </w:r>
          </w:p>
        </w:tc>
        <w:tc>
          <w:tcPr>
            <w:tcW w:w="0" w:type="auto"/>
            <w:shd w:val="clear" w:color="auto" w:fill="auto"/>
            <w:noWrap/>
            <w:hideMark/>
          </w:tcPr>
          <w:p w14:paraId="5A5ECB9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1B4DFB6"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2F6EEA9" w14:textId="77777777" w:rsidR="002F0133" w:rsidRPr="000B4E2C" w:rsidRDefault="002F0133" w:rsidP="008A7464">
            <w:pPr>
              <w:rPr>
                <w:sz w:val="22"/>
                <w:lang w:eastAsia="en-GB"/>
              </w:rPr>
            </w:pPr>
            <w:r w:rsidRPr="000B4E2C">
              <w:rPr>
                <w:sz w:val="22"/>
                <w:lang w:eastAsia="en-GB"/>
              </w:rPr>
              <w:t>£21,436</w:t>
            </w:r>
          </w:p>
        </w:tc>
        <w:tc>
          <w:tcPr>
            <w:tcW w:w="0" w:type="auto"/>
            <w:shd w:val="clear" w:color="auto" w:fill="auto"/>
            <w:noWrap/>
            <w:hideMark/>
          </w:tcPr>
          <w:p w14:paraId="262E7CF3"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607C3F8E" w14:textId="77777777" w:rsidR="002F0133" w:rsidRPr="000B4E2C" w:rsidRDefault="002F0133" w:rsidP="008A7464">
            <w:pPr>
              <w:rPr>
                <w:sz w:val="22"/>
                <w:lang w:eastAsia="en-GB"/>
              </w:rPr>
            </w:pPr>
            <w:r w:rsidRPr="000B4E2C">
              <w:rPr>
                <w:sz w:val="22"/>
                <w:lang w:eastAsia="en-GB"/>
              </w:rPr>
              <w:t>45.1%</w:t>
            </w:r>
          </w:p>
        </w:tc>
      </w:tr>
      <w:tr w:rsidR="002F0133" w:rsidRPr="000B4E2C" w14:paraId="5A24AEC0" w14:textId="77777777" w:rsidTr="000B4E2C">
        <w:trPr>
          <w:cantSplit/>
          <w:tblHeader/>
        </w:trPr>
        <w:tc>
          <w:tcPr>
            <w:tcW w:w="0" w:type="auto"/>
            <w:shd w:val="clear" w:color="auto" w:fill="auto"/>
            <w:noWrap/>
            <w:hideMark/>
          </w:tcPr>
          <w:p w14:paraId="082E3098" w14:textId="4BE2C62B"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6F0AFF5F" w14:textId="77777777" w:rsidR="002F0133" w:rsidRPr="000B4E2C" w:rsidRDefault="002F0133" w:rsidP="008A7464">
            <w:pPr>
              <w:rPr>
                <w:sz w:val="22"/>
                <w:lang w:eastAsia="en-GB"/>
              </w:rPr>
            </w:pPr>
            <w:r w:rsidRPr="000B4E2C">
              <w:rPr>
                <w:sz w:val="22"/>
                <w:lang w:eastAsia="en-GB"/>
              </w:rPr>
              <w:t>£23,831</w:t>
            </w:r>
          </w:p>
        </w:tc>
        <w:tc>
          <w:tcPr>
            <w:tcW w:w="0" w:type="auto"/>
            <w:gridSpan w:val="2"/>
            <w:shd w:val="clear" w:color="auto" w:fill="auto"/>
            <w:noWrap/>
            <w:hideMark/>
          </w:tcPr>
          <w:p w14:paraId="13F3DCA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D64669C" w14:textId="77777777" w:rsidR="002F0133" w:rsidRPr="000B4E2C" w:rsidRDefault="002F0133" w:rsidP="008A7464">
            <w:pPr>
              <w:rPr>
                <w:sz w:val="22"/>
                <w:lang w:eastAsia="en-GB"/>
              </w:rPr>
            </w:pPr>
            <w:r w:rsidRPr="000B4E2C">
              <w:rPr>
                <w:sz w:val="22"/>
                <w:lang w:eastAsia="en-GB"/>
              </w:rPr>
              <w:t>6.09079</w:t>
            </w:r>
          </w:p>
        </w:tc>
        <w:tc>
          <w:tcPr>
            <w:tcW w:w="0" w:type="auto"/>
            <w:shd w:val="clear" w:color="auto" w:fill="auto"/>
            <w:noWrap/>
            <w:hideMark/>
          </w:tcPr>
          <w:p w14:paraId="5FC118C8"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DE08DA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AA6B660" w14:textId="77777777" w:rsidR="002F0133" w:rsidRPr="000B4E2C" w:rsidRDefault="002F0133" w:rsidP="008A7464">
            <w:pPr>
              <w:rPr>
                <w:sz w:val="22"/>
                <w:lang w:eastAsia="en-GB"/>
              </w:rPr>
            </w:pPr>
            <w:r w:rsidRPr="000B4E2C">
              <w:rPr>
                <w:sz w:val="22"/>
                <w:lang w:eastAsia="en-GB"/>
              </w:rPr>
              <w:t>£19,153</w:t>
            </w:r>
          </w:p>
        </w:tc>
        <w:tc>
          <w:tcPr>
            <w:tcW w:w="0" w:type="auto"/>
            <w:shd w:val="clear" w:color="auto" w:fill="auto"/>
            <w:noWrap/>
            <w:hideMark/>
          </w:tcPr>
          <w:p w14:paraId="68AF6CFF"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2CF550AC" w14:textId="77777777" w:rsidR="002F0133" w:rsidRPr="000B4E2C" w:rsidRDefault="002F0133" w:rsidP="008A7464">
            <w:pPr>
              <w:rPr>
                <w:sz w:val="22"/>
                <w:lang w:eastAsia="en-GB"/>
              </w:rPr>
            </w:pPr>
            <w:r w:rsidRPr="000B4E2C">
              <w:rPr>
                <w:sz w:val="22"/>
                <w:lang w:eastAsia="en-GB"/>
              </w:rPr>
              <w:t>49.9%</w:t>
            </w:r>
          </w:p>
        </w:tc>
      </w:tr>
      <w:tr w:rsidR="002F0133" w:rsidRPr="000B4E2C" w14:paraId="53F69556" w14:textId="77777777" w:rsidTr="000B4E2C">
        <w:trPr>
          <w:cantSplit/>
          <w:tblHeader/>
        </w:trPr>
        <w:tc>
          <w:tcPr>
            <w:tcW w:w="0" w:type="auto"/>
            <w:gridSpan w:val="11"/>
            <w:shd w:val="clear" w:color="auto" w:fill="auto"/>
            <w:noWrap/>
            <w:hideMark/>
          </w:tcPr>
          <w:p w14:paraId="4C50D48A" w14:textId="77777777" w:rsidR="002F0133" w:rsidRPr="000B4E2C" w:rsidRDefault="002F0133" w:rsidP="008A7464">
            <w:pPr>
              <w:rPr>
                <w:b/>
                <w:bCs/>
                <w:sz w:val="22"/>
                <w:lang w:eastAsia="en-GB"/>
              </w:rPr>
            </w:pPr>
            <w:r w:rsidRPr="000B4E2C">
              <w:rPr>
                <w:b/>
                <w:bCs/>
                <w:sz w:val="22"/>
                <w:lang w:eastAsia="en-GB"/>
              </w:rPr>
              <w:t>Scenario 2F: Exclude RRT cost</w:t>
            </w:r>
          </w:p>
        </w:tc>
      </w:tr>
      <w:tr w:rsidR="002F0133" w:rsidRPr="000B4E2C" w14:paraId="0D9F44E4" w14:textId="77777777" w:rsidTr="000B4E2C">
        <w:trPr>
          <w:cantSplit/>
          <w:tblHeader/>
        </w:trPr>
        <w:tc>
          <w:tcPr>
            <w:tcW w:w="0" w:type="auto"/>
            <w:shd w:val="clear" w:color="auto" w:fill="auto"/>
            <w:noWrap/>
            <w:hideMark/>
          </w:tcPr>
          <w:p w14:paraId="35CBF0F7"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6BE7FCB5" w14:textId="77777777" w:rsidR="002F0133" w:rsidRPr="000B4E2C" w:rsidRDefault="002F0133" w:rsidP="008A7464">
            <w:pPr>
              <w:rPr>
                <w:sz w:val="22"/>
                <w:lang w:eastAsia="en-GB"/>
              </w:rPr>
            </w:pPr>
            <w:r w:rsidRPr="000B4E2C">
              <w:rPr>
                <w:sz w:val="22"/>
                <w:lang w:eastAsia="en-GB"/>
              </w:rPr>
              <w:t>£22,779</w:t>
            </w:r>
          </w:p>
        </w:tc>
        <w:tc>
          <w:tcPr>
            <w:tcW w:w="0" w:type="auto"/>
            <w:gridSpan w:val="2"/>
            <w:shd w:val="clear" w:color="auto" w:fill="auto"/>
            <w:noWrap/>
            <w:hideMark/>
          </w:tcPr>
          <w:p w14:paraId="3DD6A8CF"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6F16ED2E" w14:textId="77777777" w:rsidR="002F0133" w:rsidRPr="000B4E2C" w:rsidRDefault="002F0133" w:rsidP="008A7464">
            <w:pPr>
              <w:rPr>
                <w:sz w:val="22"/>
                <w:lang w:eastAsia="en-GB"/>
              </w:rPr>
            </w:pPr>
            <w:r w:rsidRPr="000B4E2C">
              <w:rPr>
                <w:sz w:val="22"/>
                <w:lang w:eastAsia="en-GB"/>
              </w:rPr>
              <w:t>6.07846</w:t>
            </w:r>
          </w:p>
        </w:tc>
        <w:tc>
          <w:tcPr>
            <w:tcW w:w="0" w:type="auto"/>
            <w:shd w:val="clear" w:color="auto" w:fill="auto"/>
            <w:noWrap/>
            <w:hideMark/>
          </w:tcPr>
          <w:p w14:paraId="5D95F1B3"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C6640C2"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9CF3F6C"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7EC0F01E" w14:textId="77777777" w:rsidR="002F0133" w:rsidRPr="000B4E2C" w:rsidRDefault="002F0133" w:rsidP="008A7464">
            <w:pPr>
              <w:rPr>
                <w:sz w:val="22"/>
                <w:lang w:eastAsia="en-GB"/>
              </w:rPr>
            </w:pPr>
            <w:r w:rsidRPr="000B4E2C">
              <w:rPr>
                <w:sz w:val="22"/>
                <w:lang w:eastAsia="en-GB"/>
              </w:rPr>
              <w:t>68.1%</w:t>
            </w:r>
          </w:p>
        </w:tc>
        <w:tc>
          <w:tcPr>
            <w:tcW w:w="0" w:type="auto"/>
            <w:gridSpan w:val="2"/>
            <w:shd w:val="clear" w:color="auto" w:fill="auto"/>
            <w:noWrap/>
            <w:hideMark/>
          </w:tcPr>
          <w:p w14:paraId="4AC89F97" w14:textId="77777777" w:rsidR="002F0133" w:rsidRPr="000B4E2C" w:rsidRDefault="002F0133" w:rsidP="008A7464">
            <w:pPr>
              <w:rPr>
                <w:sz w:val="22"/>
                <w:lang w:eastAsia="en-GB"/>
              </w:rPr>
            </w:pPr>
            <w:r w:rsidRPr="000B4E2C">
              <w:rPr>
                <w:sz w:val="22"/>
                <w:lang w:eastAsia="en-GB"/>
              </w:rPr>
              <w:t>--</w:t>
            </w:r>
          </w:p>
        </w:tc>
      </w:tr>
      <w:tr w:rsidR="002F0133" w:rsidRPr="000B4E2C" w14:paraId="64219C3B" w14:textId="77777777" w:rsidTr="000B4E2C">
        <w:trPr>
          <w:cantSplit/>
          <w:tblHeader/>
        </w:trPr>
        <w:tc>
          <w:tcPr>
            <w:tcW w:w="0" w:type="auto"/>
            <w:shd w:val="clear" w:color="auto" w:fill="auto"/>
            <w:noWrap/>
            <w:hideMark/>
          </w:tcPr>
          <w:p w14:paraId="32229AEC"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749E1D22" w14:textId="77777777" w:rsidR="002F0133" w:rsidRPr="000B4E2C" w:rsidRDefault="002F0133" w:rsidP="008A7464">
            <w:pPr>
              <w:rPr>
                <w:sz w:val="22"/>
                <w:lang w:eastAsia="en-GB"/>
              </w:rPr>
            </w:pPr>
            <w:r w:rsidRPr="000B4E2C">
              <w:rPr>
                <w:sz w:val="22"/>
                <w:lang w:eastAsia="en-GB"/>
              </w:rPr>
              <w:t>£22,823</w:t>
            </w:r>
          </w:p>
        </w:tc>
        <w:tc>
          <w:tcPr>
            <w:tcW w:w="0" w:type="auto"/>
            <w:gridSpan w:val="2"/>
            <w:shd w:val="clear" w:color="auto" w:fill="auto"/>
            <w:noWrap/>
            <w:hideMark/>
          </w:tcPr>
          <w:p w14:paraId="70D0938A" w14:textId="77777777" w:rsidR="002F0133" w:rsidRPr="000B4E2C" w:rsidRDefault="002F0133" w:rsidP="008A7464">
            <w:pPr>
              <w:rPr>
                <w:sz w:val="22"/>
                <w:lang w:eastAsia="en-GB"/>
              </w:rPr>
            </w:pPr>
            <w:r w:rsidRPr="000B4E2C">
              <w:rPr>
                <w:sz w:val="22"/>
                <w:lang w:eastAsia="en-GB"/>
              </w:rPr>
              <w:t>£43</w:t>
            </w:r>
          </w:p>
        </w:tc>
        <w:tc>
          <w:tcPr>
            <w:tcW w:w="0" w:type="auto"/>
            <w:shd w:val="clear" w:color="auto" w:fill="auto"/>
            <w:noWrap/>
            <w:hideMark/>
          </w:tcPr>
          <w:p w14:paraId="0CB90E72" w14:textId="77777777" w:rsidR="002F0133" w:rsidRPr="000B4E2C" w:rsidRDefault="002F0133" w:rsidP="008A7464">
            <w:pPr>
              <w:rPr>
                <w:sz w:val="22"/>
                <w:lang w:eastAsia="en-GB"/>
              </w:rPr>
            </w:pPr>
            <w:r w:rsidRPr="000B4E2C">
              <w:rPr>
                <w:sz w:val="22"/>
                <w:lang w:eastAsia="en-GB"/>
              </w:rPr>
              <w:t>6.07882</w:t>
            </w:r>
          </w:p>
        </w:tc>
        <w:tc>
          <w:tcPr>
            <w:tcW w:w="0" w:type="auto"/>
            <w:shd w:val="clear" w:color="auto" w:fill="auto"/>
            <w:noWrap/>
            <w:hideMark/>
          </w:tcPr>
          <w:p w14:paraId="326BE1E3" w14:textId="77777777" w:rsidR="002F0133" w:rsidRPr="000B4E2C" w:rsidRDefault="002F0133" w:rsidP="008A7464">
            <w:pPr>
              <w:rPr>
                <w:sz w:val="22"/>
                <w:lang w:eastAsia="en-GB"/>
              </w:rPr>
            </w:pPr>
            <w:r w:rsidRPr="000B4E2C">
              <w:rPr>
                <w:sz w:val="22"/>
                <w:lang w:eastAsia="en-GB"/>
              </w:rPr>
              <w:t>0.00036</w:t>
            </w:r>
          </w:p>
        </w:tc>
        <w:tc>
          <w:tcPr>
            <w:tcW w:w="0" w:type="auto"/>
            <w:shd w:val="clear" w:color="auto" w:fill="auto"/>
            <w:noWrap/>
            <w:hideMark/>
          </w:tcPr>
          <w:p w14:paraId="6FC59D53" w14:textId="77777777" w:rsidR="002F0133" w:rsidRPr="000B4E2C" w:rsidRDefault="002F0133" w:rsidP="008A7464">
            <w:pPr>
              <w:rPr>
                <w:sz w:val="22"/>
                <w:lang w:eastAsia="en-GB"/>
              </w:rPr>
            </w:pPr>
            <w:r w:rsidRPr="000B4E2C">
              <w:rPr>
                <w:sz w:val="22"/>
                <w:lang w:eastAsia="en-GB"/>
              </w:rPr>
              <w:t>£119,317</w:t>
            </w:r>
          </w:p>
        </w:tc>
        <w:tc>
          <w:tcPr>
            <w:tcW w:w="0" w:type="auto"/>
            <w:shd w:val="clear" w:color="auto" w:fill="auto"/>
            <w:noWrap/>
            <w:hideMark/>
          </w:tcPr>
          <w:p w14:paraId="0B316D85" w14:textId="77777777" w:rsidR="002F0133" w:rsidRPr="000B4E2C" w:rsidRDefault="002F0133" w:rsidP="008A7464">
            <w:pPr>
              <w:rPr>
                <w:sz w:val="22"/>
                <w:lang w:eastAsia="en-GB"/>
              </w:rPr>
            </w:pPr>
            <w:r w:rsidRPr="000B4E2C">
              <w:rPr>
                <w:sz w:val="22"/>
                <w:lang w:eastAsia="en-GB"/>
              </w:rPr>
              <w:t>£119,317</w:t>
            </w:r>
          </w:p>
        </w:tc>
        <w:tc>
          <w:tcPr>
            <w:tcW w:w="0" w:type="auto"/>
            <w:shd w:val="clear" w:color="auto" w:fill="auto"/>
            <w:noWrap/>
            <w:hideMark/>
          </w:tcPr>
          <w:p w14:paraId="02433E3E" w14:textId="77777777" w:rsidR="002F0133" w:rsidRPr="000B4E2C" w:rsidRDefault="002F0133" w:rsidP="008A7464">
            <w:pPr>
              <w:rPr>
                <w:sz w:val="22"/>
                <w:lang w:eastAsia="en-GB"/>
              </w:rPr>
            </w:pPr>
            <w:r w:rsidRPr="000B4E2C">
              <w:rPr>
                <w:sz w:val="22"/>
                <w:lang w:eastAsia="en-GB"/>
              </w:rPr>
              <w:t>27.7%</w:t>
            </w:r>
          </w:p>
        </w:tc>
        <w:tc>
          <w:tcPr>
            <w:tcW w:w="0" w:type="auto"/>
            <w:gridSpan w:val="2"/>
            <w:shd w:val="clear" w:color="auto" w:fill="auto"/>
            <w:noWrap/>
            <w:hideMark/>
          </w:tcPr>
          <w:p w14:paraId="68B78977" w14:textId="77777777" w:rsidR="002F0133" w:rsidRPr="000B4E2C" w:rsidRDefault="002F0133" w:rsidP="008A7464">
            <w:pPr>
              <w:rPr>
                <w:sz w:val="22"/>
                <w:lang w:eastAsia="en-GB"/>
              </w:rPr>
            </w:pPr>
            <w:r w:rsidRPr="000B4E2C">
              <w:rPr>
                <w:sz w:val="22"/>
                <w:lang w:eastAsia="en-GB"/>
              </w:rPr>
              <w:t>29.6%</w:t>
            </w:r>
          </w:p>
        </w:tc>
      </w:tr>
      <w:tr w:rsidR="002F0133" w:rsidRPr="000B4E2C" w14:paraId="78F31748" w14:textId="77777777" w:rsidTr="000B4E2C">
        <w:trPr>
          <w:cantSplit/>
          <w:tblHeader/>
        </w:trPr>
        <w:tc>
          <w:tcPr>
            <w:tcW w:w="0" w:type="auto"/>
            <w:shd w:val="clear" w:color="auto" w:fill="auto"/>
            <w:noWrap/>
            <w:hideMark/>
          </w:tcPr>
          <w:p w14:paraId="787379E4" w14:textId="08928026"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011826B4" w14:textId="77777777" w:rsidR="002F0133" w:rsidRPr="000B4E2C" w:rsidRDefault="002F0133" w:rsidP="008A7464">
            <w:pPr>
              <w:rPr>
                <w:sz w:val="22"/>
                <w:lang w:eastAsia="en-GB"/>
              </w:rPr>
            </w:pPr>
            <w:r w:rsidRPr="000B4E2C">
              <w:rPr>
                <w:sz w:val="22"/>
                <w:lang w:eastAsia="en-GB"/>
              </w:rPr>
              <w:t>£22,850</w:t>
            </w:r>
          </w:p>
        </w:tc>
        <w:tc>
          <w:tcPr>
            <w:tcW w:w="0" w:type="auto"/>
            <w:gridSpan w:val="2"/>
            <w:shd w:val="clear" w:color="auto" w:fill="auto"/>
            <w:noWrap/>
            <w:hideMark/>
          </w:tcPr>
          <w:p w14:paraId="16917912"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5DE6B6C" w14:textId="77777777" w:rsidR="002F0133" w:rsidRPr="000B4E2C" w:rsidRDefault="002F0133" w:rsidP="008A7464">
            <w:pPr>
              <w:rPr>
                <w:sz w:val="22"/>
                <w:lang w:eastAsia="en-GB"/>
              </w:rPr>
            </w:pPr>
            <w:r w:rsidRPr="000B4E2C">
              <w:rPr>
                <w:sz w:val="22"/>
                <w:lang w:eastAsia="en-GB"/>
              </w:rPr>
              <w:t>6.07859</w:t>
            </w:r>
          </w:p>
        </w:tc>
        <w:tc>
          <w:tcPr>
            <w:tcW w:w="0" w:type="auto"/>
            <w:shd w:val="clear" w:color="auto" w:fill="auto"/>
            <w:noWrap/>
            <w:hideMark/>
          </w:tcPr>
          <w:p w14:paraId="20CC094E"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E8DC941"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06EAD3D" w14:textId="77777777" w:rsidR="002F0133" w:rsidRPr="000B4E2C" w:rsidRDefault="002F0133" w:rsidP="008A7464">
            <w:pPr>
              <w:rPr>
                <w:sz w:val="22"/>
                <w:lang w:eastAsia="en-GB"/>
              </w:rPr>
            </w:pPr>
            <w:r w:rsidRPr="000B4E2C">
              <w:rPr>
                <w:sz w:val="22"/>
                <w:lang w:eastAsia="en-GB"/>
              </w:rPr>
              <w:t>£533,230</w:t>
            </w:r>
          </w:p>
        </w:tc>
        <w:tc>
          <w:tcPr>
            <w:tcW w:w="0" w:type="auto"/>
            <w:shd w:val="clear" w:color="auto" w:fill="auto"/>
            <w:noWrap/>
            <w:hideMark/>
          </w:tcPr>
          <w:p w14:paraId="20F8C2D8" w14:textId="77777777" w:rsidR="002F0133" w:rsidRPr="000B4E2C" w:rsidRDefault="002F0133" w:rsidP="008A7464">
            <w:pPr>
              <w:rPr>
                <w:sz w:val="22"/>
                <w:lang w:eastAsia="en-GB"/>
              </w:rPr>
            </w:pPr>
            <w:r w:rsidRPr="000B4E2C">
              <w:rPr>
                <w:sz w:val="22"/>
                <w:lang w:eastAsia="en-GB"/>
              </w:rPr>
              <w:t>3.8%</w:t>
            </w:r>
          </w:p>
        </w:tc>
        <w:tc>
          <w:tcPr>
            <w:tcW w:w="0" w:type="auto"/>
            <w:gridSpan w:val="2"/>
            <w:shd w:val="clear" w:color="auto" w:fill="auto"/>
            <w:noWrap/>
            <w:hideMark/>
          </w:tcPr>
          <w:p w14:paraId="0257AF77" w14:textId="77777777" w:rsidR="002F0133" w:rsidRPr="000B4E2C" w:rsidRDefault="002F0133" w:rsidP="008A7464">
            <w:pPr>
              <w:rPr>
                <w:sz w:val="22"/>
                <w:lang w:eastAsia="en-GB"/>
              </w:rPr>
            </w:pPr>
            <w:r w:rsidRPr="000B4E2C">
              <w:rPr>
                <w:sz w:val="22"/>
                <w:lang w:eastAsia="en-GB"/>
              </w:rPr>
              <w:t>9.0%</w:t>
            </w:r>
          </w:p>
        </w:tc>
      </w:tr>
      <w:tr w:rsidR="002F0133" w:rsidRPr="000B4E2C" w14:paraId="43FCD7D9" w14:textId="77777777" w:rsidTr="000B4E2C">
        <w:trPr>
          <w:cantSplit/>
          <w:tblHeader/>
        </w:trPr>
        <w:tc>
          <w:tcPr>
            <w:tcW w:w="0" w:type="auto"/>
            <w:shd w:val="clear" w:color="auto" w:fill="auto"/>
            <w:noWrap/>
            <w:hideMark/>
          </w:tcPr>
          <w:p w14:paraId="20D1280F" w14:textId="0E1FDA48"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12FA9E72" w14:textId="77777777" w:rsidR="002F0133" w:rsidRPr="000B4E2C" w:rsidRDefault="002F0133" w:rsidP="008A7464">
            <w:pPr>
              <w:rPr>
                <w:sz w:val="22"/>
                <w:lang w:eastAsia="en-GB"/>
              </w:rPr>
            </w:pPr>
            <w:r w:rsidRPr="000B4E2C">
              <w:rPr>
                <w:sz w:val="22"/>
                <w:lang w:eastAsia="en-GB"/>
              </w:rPr>
              <w:t>£22,865</w:t>
            </w:r>
          </w:p>
        </w:tc>
        <w:tc>
          <w:tcPr>
            <w:tcW w:w="0" w:type="auto"/>
            <w:gridSpan w:val="2"/>
            <w:shd w:val="clear" w:color="auto" w:fill="auto"/>
            <w:noWrap/>
            <w:hideMark/>
          </w:tcPr>
          <w:p w14:paraId="339D2A78"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F731A22" w14:textId="77777777" w:rsidR="002F0133" w:rsidRPr="000B4E2C" w:rsidRDefault="002F0133" w:rsidP="008A7464">
            <w:pPr>
              <w:rPr>
                <w:sz w:val="22"/>
                <w:lang w:eastAsia="en-GB"/>
              </w:rPr>
            </w:pPr>
            <w:r w:rsidRPr="000B4E2C">
              <w:rPr>
                <w:sz w:val="22"/>
                <w:lang w:eastAsia="en-GB"/>
              </w:rPr>
              <w:t>6.07859</w:t>
            </w:r>
          </w:p>
        </w:tc>
        <w:tc>
          <w:tcPr>
            <w:tcW w:w="0" w:type="auto"/>
            <w:shd w:val="clear" w:color="auto" w:fill="auto"/>
            <w:noWrap/>
            <w:hideMark/>
          </w:tcPr>
          <w:p w14:paraId="6DBE4A56"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836CA1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8F3B025" w14:textId="77777777" w:rsidR="002F0133" w:rsidRPr="000B4E2C" w:rsidRDefault="002F0133" w:rsidP="008A7464">
            <w:pPr>
              <w:rPr>
                <w:sz w:val="22"/>
                <w:lang w:eastAsia="en-GB"/>
              </w:rPr>
            </w:pPr>
            <w:r w:rsidRPr="000B4E2C">
              <w:rPr>
                <w:sz w:val="22"/>
                <w:lang w:eastAsia="en-GB"/>
              </w:rPr>
              <w:t>£633,002</w:t>
            </w:r>
          </w:p>
        </w:tc>
        <w:tc>
          <w:tcPr>
            <w:tcW w:w="0" w:type="auto"/>
            <w:shd w:val="clear" w:color="auto" w:fill="auto"/>
            <w:noWrap/>
            <w:hideMark/>
          </w:tcPr>
          <w:p w14:paraId="27B9427A" w14:textId="77777777" w:rsidR="002F0133" w:rsidRPr="000B4E2C" w:rsidRDefault="002F0133" w:rsidP="008A7464">
            <w:pPr>
              <w:rPr>
                <w:sz w:val="22"/>
                <w:lang w:eastAsia="en-GB"/>
              </w:rPr>
            </w:pPr>
            <w:r w:rsidRPr="000B4E2C">
              <w:rPr>
                <w:sz w:val="22"/>
                <w:lang w:eastAsia="en-GB"/>
              </w:rPr>
              <w:t>0.4%</w:t>
            </w:r>
          </w:p>
        </w:tc>
        <w:tc>
          <w:tcPr>
            <w:tcW w:w="0" w:type="auto"/>
            <w:gridSpan w:val="2"/>
            <w:shd w:val="clear" w:color="auto" w:fill="auto"/>
            <w:noWrap/>
            <w:hideMark/>
          </w:tcPr>
          <w:p w14:paraId="0937FD4B" w14:textId="77777777" w:rsidR="002F0133" w:rsidRPr="000B4E2C" w:rsidRDefault="002F0133" w:rsidP="008A7464">
            <w:pPr>
              <w:rPr>
                <w:sz w:val="22"/>
                <w:lang w:eastAsia="en-GB"/>
              </w:rPr>
            </w:pPr>
            <w:r w:rsidRPr="000B4E2C">
              <w:rPr>
                <w:sz w:val="22"/>
                <w:lang w:eastAsia="en-GB"/>
              </w:rPr>
              <w:t>6.8%</w:t>
            </w:r>
          </w:p>
        </w:tc>
      </w:tr>
      <w:tr w:rsidR="002F0133" w:rsidRPr="000B4E2C" w14:paraId="2AA27C9A" w14:textId="77777777" w:rsidTr="000B4E2C">
        <w:trPr>
          <w:cantSplit/>
          <w:tblHeader/>
        </w:trPr>
        <w:tc>
          <w:tcPr>
            <w:tcW w:w="0" w:type="auto"/>
            <w:shd w:val="clear" w:color="auto" w:fill="auto"/>
            <w:noWrap/>
            <w:hideMark/>
          </w:tcPr>
          <w:p w14:paraId="55F1831C" w14:textId="312120A9"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2D3FBCDD" w14:textId="77777777" w:rsidR="002F0133" w:rsidRPr="000B4E2C" w:rsidRDefault="002F0133" w:rsidP="008A7464">
            <w:pPr>
              <w:rPr>
                <w:sz w:val="22"/>
                <w:lang w:eastAsia="en-GB"/>
              </w:rPr>
            </w:pPr>
            <w:r w:rsidRPr="000B4E2C">
              <w:rPr>
                <w:sz w:val="22"/>
                <w:lang w:eastAsia="en-GB"/>
              </w:rPr>
              <w:t>£22,867</w:t>
            </w:r>
          </w:p>
        </w:tc>
        <w:tc>
          <w:tcPr>
            <w:tcW w:w="0" w:type="auto"/>
            <w:gridSpan w:val="2"/>
            <w:shd w:val="clear" w:color="auto" w:fill="auto"/>
            <w:noWrap/>
            <w:hideMark/>
          </w:tcPr>
          <w:p w14:paraId="013D2F26"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3467583" w14:textId="77777777" w:rsidR="002F0133" w:rsidRPr="000B4E2C" w:rsidRDefault="002F0133" w:rsidP="008A7464">
            <w:pPr>
              <w:rPr>
                <w:sz w:val="22"/>
                <w:lang w:eastAsia="en-GB"/>
              </w:rPr>
            </w:pPr>
            <w:r w:rsidRPr="000B4E2C">
              <w:rPr>
                <w:sz w:val="22"/>
                <w:lang w:eastAsia="en-GB"/>
              </w:rPr>
              <w:t>6.07858</w:t>
            </w:r>
          </w:p>
        </w:tc>
        <w:tc>
          <w:tcPr>
            <w:tcW w:w="0" w:type="auto"/>
            <w:shd w:val="clear" w:color="auto" w:fill="auto"/>
            <w:noWrap/>
            <w:hideMark/>
          </w:tcPr>
          <w:p w14:paraId="6116D89D"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480E2F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F8F799E" w14:textId="77777777" w:rsidR="002F0133" w:rsidRPr="000B4E2C" w:rsidRDefault="002F0133" w:rsidP="008A7464">
            <w:pPr>
              <w:rPr>
                <w:sz w:val="22"/>
                <w:lang w:eastAsia="en-GB"/>
              </w:rPr>
            </w:pPr>
            <w:r w:rsidRPr="000B4E2C">
              <w:rPr>
                <w:sz w:val="22"/>
                <w:lang w:eastAsia="en-GB"/>
              </w:rPr>
              <w:t>£730,093</w:t>
            </w:r>
          </w:p>
        </w:tc>
        <w:tc>
          <w:tcPr>
            <w:tcW w:w="0" w:type="auto"/>
            <w:shd w:val="clear" w:color="auto" w:fill="auto"/>
            <w:noWrap/>
            <w:hideMark/>
          </w:tcPr>
          <w:p w14:paraId="5E39671B"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5B35664D" w14:textId="77777777" w:rsidR="002F0133" w:rsidRPr="000B4E2C" w:rsidRDefault="002F0133" w:rsidP="008A7464">
            <w:pPr>
              <w:rPr>
                <w:sz w:val="22"/>
                <w:lang w:eastAsia="en-GB"/>
              </w:rPr>
            </w:pPr>
            <w:r w:rsidRPr="000B4E2C">
              <w:rPr>
                <w:sz w:val="22"/>
                <w:lang w:eastAsia="en-GB"/>
              </w:rPr>
              <w:t>5.6%</w:t>
            </w:r>
          </w:p>
        </w:tc>
      </w:tr>
      <w:tr w:rsidR="002F0133" w:rsidRPr="000B4E2C" w14:paraId="3F320971" w14:textId="77777777" w:rsidTr="000B4E2C">
        <w:trPr>
          <w:cantSplit/>
          <w:tblHeader/>
        </w:trPr>
        <w:tc>
          <w:tcPr>
            <w:tcW w:w="0" w:type="auto"/>
            <w:gridSpan w:val="11"/>
            <w:shd w:val="clear" w:color="auto" w:fill="auto"/>
            <w:noWrap/>
            <w:hideMark/>
          </w:tcPr>
          <w:p w14:paraId="3692F79D" w14:textId="77777777" w:rsidR="002F0133" w:rsidRPr="000B4E2C" w:rsidRDefault="002F0133" w:rsidP="008A7464">
            <w:pPr>
              <w:rPr>
                <w:b/>
                <w:bCs/>
                <w:sz w:val="22"/>
                <w:lang w:eastAsia="en-GB"/>
              </w:rPr>
            </w:pPr>
            <w:r w:rsidRPr="000B4E2C">
              <w:rPr>
                <w:b/>
                <w:bCs/>
                <w:sz w:val="22"/>
                <w:lang w:eastAsia="en-GB"/>
              </w:rPr>
              <w:t>Scenario 2G: Apply the differential long-term follow-up costs and mortality according to whether patient entered ICU or not</w:t>
            </w:r>
          </w:p>
        </w:tc>
      </w:tr>
      <w:tr w:rsidR="002F0133" w:rsidRPr="000B4E2C" w14:paraId="2BFF567F" w14:textId="77777777" w:rsidTr="000B4E2C">
        <w:trPr>
          <w:cantSplit/>
          <w:tblHeader/>
        </w:trPr>
        <w:tc>
          <w:tcPr>
            <w:tcW w:w="0" w:type="auto"/>
            <w:shd w:val="clear" w:color="auto" w:fill="auto"/>
            <w:noWrap/>
            <w:hideMark/>
          </w:tcPr>
          <w:p w14:paraId="7DA111DC"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27370EA6" w14:textId="77777777" w:rsidR="002F0133" w:rsidRPr="000B4E2C" w:rsidRDefault="002F0133" w:rsidP="008A7464">
            <w:pPr>
              <w:rPr>
                <w:sz w:val="22"/>
                <w:lang w:eastAsia="en-GB"/>
              </w:rPr>
            </w:pPr>
            <w:r w:rsidRPr="000B4E2C">
              <w:rPr>
                <w:sz w:val="22"/>
                <w:lang w:eastAsia="en-GB"/>
              </w:rPr>
              <w:t>£30,438</w:t>
            </w:r>
          </w:p>
        </w:tc>
        <w:tc>
          <w:tcPr>
            <w:tcW w:w="0" w:type="auto"/>
            <w:gridSpan w:val="2"/>
            <w:shd w:val="clear" w:color="auto" w:fill="auto"/>
            <w:noWrap/>
            <w:hideMark/>
          </w:tcPr>
          <w:p w14:paraId="0639B52C"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6EE81BAB" w14:textId="77777777" w:rsidR="002F0133" w:rsidRPr="000B4E2C" w:rsidRDefault="002F0133" w:rsidP="008A7464">
            <w:pPr>
              <w:rPr>
                <w:sz w:val="22"/>
                <w:lang w:eastAsia="en-GB"/>
              </w:rPr>
            </w:pPr>
            <w:r w:rsidRPr="000B4E2C">
              <w:rPr>
                <w:sz w:val="22"/>
                <w:lang w:eastAsia="en-GB"/>
              </w:rPr>
              <w:t>6.55843</w:t>
            </w:r>
          </w:p>
        </w:tc>
        <w:tc>
          <w:tcPr>
            <w:tcW w:w="0" w:type="auto"/>
            <w:shd w:val="clear" w:color="auto" w:fill="auto"/>
            <w:noWrap/>
            <w:hideMark/>
          </w:tcPr>
          <w:p w14:paraId="597A6249"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47196B67"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353A22F0" w14:textId="77777777" w:rsidR="002F0133" w:rsidRPr="000B4E2C" w:rsidRDefault="002F0133" w:rsidP="008A7464">
            <w:pPr>
              <w:rPr>
                <w:sz w:val="22"/>
                <w:lang w:eastAsia="en-GB"/>
              </w:rPr>
            </w:pPr>
            <w:r w:rsidRPr="000B4E2C">
              <w:t>Dominant</w:t>
            </w:r>
          </w:p>
        </w:tc>
        <w:tc>
          <w:tcPr>
            <w:tcW w:w="0" w:type="auto"/>
            <w:shd w:val="clear" w:color="auto" w:fill="auto"/>
            <w:noWrap/>
            <w:hideMark/>
          </w:tcPr>
          <w:p w14:paraId="125B26D5" w14:textId="77777777" w:rsidR="002F0133" w:rsidRPr="000B4E2C" w:rsidRDefault="002F0133" w:rsidP="008A7464">
            <w:pPr>
              <w:rPr>
                <w:sz w:val="22"/>
                <w:lang w:eastAsia="en-GB"/>
              </w:rPr>
            </w:pPr>
            <w:r w:rsidRPr="000B4E2C">
              <w:rPr>
                <w:sz w:val="22"/>
                <w:lang w:eastAsia="en-GB"/>
              </w:rPr>
              <w:t>97.2%</w:t>
            </w:r>
          </w:p>
        </w:tc>
        <w:tc>
          <w:tcPr>
            <w:tcW w:w="0" w:type="auto"/>
            <w:gridSpan w:val="2"/>
            <w:shd w:val="clear" w:color="auto" w:fill="auto"/>
            <w:noWrap/>
            <w:hideMark/>
          </w:tcPr>
          <w:p w14:paraId="4DED8475" w14:textId="77777777" w:rsidR="002F0133" w:rsidRPr="000B4E2C" w:rsidRDefault="002F0133" w:rsidP="008A7464">
            <w:pPr>
              <w:rPr>
                <w:sz w:val="22"/>
                <w:lang w:eastAsia="en-GB"/>
              </w:rPr>
            </w:pPr>
            <w:r w:rsidRPr="000B4E2C">
              <w:rPr>
                <w:sz w:val="22"/>
                <w:lang w:eastAsia="en-GB"/>
              </w:rPr>
              <w:t>97.2%</w:t>
            </w:r>
          </w:p>
        </w:tc>
      </w:tr>
      <w:tr w:rsidR="002F0133" w:rsidRPr="000B4E2C" w14:paraId="1DD621AE" w14:textId="77777777" w:rsidTr="000B4E2C">
        <w:trPr>
          <w:cantSplit/>
          <w:tblHeader/>
        </w:trPr>
        <w:tc>
          <w:tcPr>
            <w:tcW w:w="0" w:type="auto"/>
            <w:shd w:val="clear" w:color="auto" w:fill="auto"/>
            <w:noWrap/>
            <w:hideMark/>
          </w:tcPr>
          <w:p w14:paraId="7DA5FF61"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644323BF" w14:textId="77777777" w:rsidR="002F0133" w:rsidRPr="000B4E2C" w:rsidRDefault="002F0133" w:rsidP="008A7464">
            <w:pPr>
              <w:rPr>
                <w:sz w:val="22"/>
                <w:lang w:eastAsia="en-GB"/>
              </w:rPr>
            </w:pPr>
            <w:r w:rsidRPr="000B4E2C">
              <w:rPr>
                <w:sz w:val="22"/>
                <w:lang w:eastAsia="en-GB"/>
              </w:rPr>
              <w:t>£30,712</w:t>
            </w:r>
          </w:p>
        </w:tc>
        <w:tc>
          <w:tcPr>
            <w:tcW w:w="0" w:type="auto"/>
            <w:gridSpan w:val="2"/>
            <w:shd w:val="clear" w:color="auto" w:fill="auto"/>
            <w:noWrap/>
            <w:hideMark/>
          </w:tcPr>
          <w:p w14:paraId="7EBF4BCC"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BCBC327" w14:textId="77777777" w:rsidR="002F0133" w:rsidRPr="000B4E2C" w:rsidRDefault="002F0133" w:rsidP="008A7464">
            <w:pPr>
              <w:rPr>
                <w:sz w:val="22"/>
                <w:lang w:eastAsia="en-GB"/>
              </w:rPr>
            </w:pPr>
            <w:r w:rsidRPr="000B4E2C">
              <w:rPr>
                <w:sz w:val="22"/>
                <w:lang w:eastAsia="en-GB"/>
              </w:rPr>
              <w:t>6.55697</w:t>
            </w:r>
          </w:p>
        </w:tc>
        <w:tc>
          <w:tcPr>
            <w:tcW w:w="0" w:type="auto"/>
            <w:shd w:val="clear" w:color="auto" w:fill="auto"/>
            <w:noWrap/>
            <w:hideMark/>
          </w:tcPr>
          <w:p w14:paraId="230A745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31D871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ED46F9E" w14:textId="77777777" w:rsidR="002F0133" w:rsidRPr="000B4E2C" w:rsidRDefault="002F0133" w:rsidP="008A7464">
            <w:pPr>
              <w:rPr>
                <w:sz w:val="22"/>
                <w:lang w:eastAsia="en-GB"/>
              </w:rPr>
            </w:pPr>
            <w:r w:rsidRPr="000B4E2C">
              <w:t>--</w:t>
            </w:r>
          </w:p>
        </w:tc>
        <w:tc>
          <w:tcPr>
            <w:tcW w:w="0" w:type="auto"/>
            <w:shd w:val="clear" w:color="auto" w:fill="auto"/>
            <w:noWrap/>
            <w:hideMark/>
          </w:tcPr>
          <w:p w14:paraId="36CB00AD" w14:textId="77777777" w:rsidR="002F0133" w:rsidRPr="000B4E2C" w:rsidRDefault="002F0133" w:rsidP="008A7464">
            <w:pPr>
              <w:rPr>
                <w:sz w:val="22"/>
                <w:lang w:eastAsia="en-GB"/>
              </w:rPr>
            </w:pPr>
            <w:r w:rsidRPr="000B4E2C">
              <w:rPr>
                <w:sz w:val="22"/>
                <w:lang w:eastAsia="en-GB"/>
              </w:rPr>
              <w:t>2.8%</w:t>
            </w:r>
          </w:p>
        </w:tc>
        <w:tc>
          <w:tcPr>
            <w:tcW w:w="0" w:type="auto"/>
            <w:gridSpan w:val="2"/>
            <w:shd w:val="clear" w:color="auto" w:fill="auto"/>
            <w:noWrap/>
            <w:hideMark/>
          </w:tcPr>
          <w:p w14:paraId="24E5C57D" w14:textId="77777777" w:rsidR="002F0133" w:rsidRPr="000B4E2C" w:rsidRDefault="002F0133" w:rsidP="008A7464">
            <w:pPr>
              <w:rPr>
                <w:sz w:val="22"/>
                <w:lang w:eastAsia="en-GB"/>
              </w:rPr>
            </w:pPr>
            <w:r w:rsidRPr="000B4E2C">
              <w:rPr>
                <w:sz w:val="22"/>
                <w:lang w:eastAsia="en-GB"/>
              </w:rPr>
              <w:t>--</w:t>
            </w:r>
          </w:p>
        </w:tc>
      </w:tr>
      <w:tr w:rsidR="002F0133" w:rsidRPr="000B4E2C" w14:paraId="15F8E2E6" w14:textId="77777777" w:rsidTr="000B4E2C">
        <w:trPr>
          <w:cantSplit/>
          <w:tblHeader/>
        </w:trPr>
        <w:tc>
          <w:tcPr>
            <w:tcW w:w="0" w:type="auto"/>
            <w:shd w:val="clear" w:color="auto" w:fill="auto"/>
            <w:noWrap/>
            <w:hideMark/>
          </w:tcPr>
          <w:p w14:paraId="3AD6DED0" w14:textId="0A164A8B"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602E99CB" w14:textId="77777777" w:rsidR="002F0133" w:rsidRPr="000B4E2C" w:rsidRDefault="002F0133" w:rsidP="008A7464">
            <w:pPr>
              <w:rPr>
                <w:sz w:val="22"/>
                <w:lang w:eastAsia="en-GB"/>
              </w:rPr>
            </w:pPr>
            <w:r w:rsidRPr="000B4E2C">
              <w:rPr>
                <w:sz w:val="22"/>
                <w:lang w:eastAsia="en-GB"/>
              </w:rPr>
              <w:t>£30,776</w:t>
            </w:r>
          </w:p>
        </w:tc>
        <w:tc>
          <w:tcPr>
            <w:tcW w:w="0" w:type="auto"/>
            <w:gridSpan w:val="2"/>
            <w:shd w:val="clear" w:color="auto" w:fill="auto"/>
            <w:noWrap/>
            <w:hideMark/>
          </w:tcPr>
          <w:p w14:paraId="76CEDE7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939F770" w14:textId="77777777" w:rsidR="002F0133" w:rsidRPr="000B4E2C" w:rsidRDefault="002F0133" w:rsidP="008A7464">
            <w:pPr>
              <w:rPr>
                <w:sz w:val="22"/>
                <w:lang w:eastAsia="en-GB"/>
              </w:rPr>
            </w:pPr>
            <w:r w:rsidRPr="000B4E2C">
              <w:rPr>
                <w:sz w:val="22"/>
                <w:lang w:eastAsia="en-GB"/>
              </w:rPr>
              <w:t>6.55733</w:t>
            </w:r>
          </w:p>
        </w:tc>
        <w:tc>
          <w:tcPr>
            <w:tcW w:w="0" w:type="auto"/>
            <w:shd w:val="clear" w:color="auto" w:fill="auto"/>
            <w:noWrap/>
            <w:hideMark/>
          </w:tcPr>
          <w:p w14:paraId="3FD66D1D"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024BAE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C229000" w14:textId="77777777" w:rsidR="002F0133" w:rsidRPr="000B4E2C" w:rsidRDefault="002F0133" w:rsidP="008A7464">
            <w:pPr>
              <w:rPr>
                <w:sz w:val="22"/>
                <w:lang w:eastAsia="en-GB"/>
              </w:rPr>
            </w:pPr>
            <w:r w:rsidRPr="000B4E2C">
              <w:t>£181,324</w:t>
            </w:r>
          </w:p>
        </w:tc>
        <w:tc>
          <w:tcPr>
            <w:tcW w:w="0" w:type="auto"/>
            <w:shd w:val="clear" w:color="auto" w:fill="auto"/>
            <w:noWrap/>
            <w:hideMark/>
          </w:tcPr>
          <w:p w14:paraId="14FB1B4E"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005347DF" w14:textId="77777777" w:rsidR="002F0133" w:rsidRPr="000B4E2C" w:rsidRDefault="002F0133" w:rsidP="008A7464">
            <w:pPr>
              <w:rPr>
                <w:sz w:val="22"/>
                <w:lang w:eastAsia="en-GB"/>
              </w:rPr>
            </w:pPr>
            <w:r w:rsidRPr="000B4E2C">
              <w:rPr>
                <w:sz w:val="22"/>
                <w:lang w:eastAsia="en-GB"/>
              </w:rPr>
              <w:t>15.4%</w:t>
            </w:r>
          </w:p>
        </w:tc>
      </w:tr>
      <w:tr w:rsidR="002F0133" w:rsidRPr="000B4E2C" w14:paraId="7A9CCE06" w14:textId="77777777" w:rsidTr="000B4E2C">
        <w:trPr>
          <w:cantSplit/>
          <w:tblHeader/>
        </w:trPr>
        <w:tc>
          <w:tcPr>
            <w:tcW w:w="0" w:type="auto"/>
            <w:shd w:val="clear" w:color="auto" w:fill="auto"/>
            <w:noWrap/>
            <w:hideMark/>
          </w:tcPr>
          <w:p w14:paraId="08253D78" w14:textId="04DD1A88"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17B3D103" w14:textId="77777777" w:rsidR="002F0133" w:rsidRPr="000B4E2C" w:rsidRDefault="002F0133" w:rsidP="008A7464">
            <w:pPr>
              <w:rPr>
                <w:sz w:val="22"/>
                <w:lang w:eastAsia="en-GB"/>
              </w:rPr>
            </w:pPr>
            <w:r w:rsidRPr="000B4E2C">
              <w:rPr>
                <w:sz w:val="22"/>
                <w:lang w:eastAsia="en-GB"/>
              </w:rPr>
              <w:t>£30,790</w:t>
            </w:r>
          </w:p>
        </w:tc>
        <w:tc>
          <w:tcPr>
            <w:tcW w:w="0" w:type="auto"/>
            <w:gridSpan w:val="2"/>
            <w:shd w:val="clear" w:color="auto" w:fill="auto"/>
            <w:noWrap/>
            <w:hideMark/>
          </w:tcPr>
          <w:p w14:paraId="68661066"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E9000D0" w14:textId="77777777" w:rsidR="002F0133" w:rsidRPr="000B4E2C" w:rsidRDefault="002F0133" w:rsidP="008A7464">
            <w:pPr>
              <w:rPr>
                <w:sz w:val="22"/>
                <w:lang w:eastAsia="en-GB"/>
              </w:rPr>
            </w:pPr>
            <w:r w:rsidRPr="000B4E2C">
              <w:rPr>
                <w:sz w:val="22"/>
                <w:lang w:eastAsia="en-GB"/>
              </w:rPr>
              <w:t>6.55733</w:t>
            </w:r>
          </w:p>
        </w:tc>
        <w:tc>
          <w:tcPr>
            <w:tcW w:w="0" w:type="auto"/>
            <w:shd w:val="clear" w:color="auto" w:fill="auto"/>
            <w:noWrap/>
            <w:hideMark/>
          </w:tcPr>
          <w:p w14:paraId="657BFCDC"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0A060D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3AFAE37" w14:textId="77777777" w:rsidR="002F0133" w:rsidRPr="000B4E2C" w:rsidRDefault="002F0133" w:rsidP="008A7464">
            <w:pPr>
              <w:rPr>
                <w:sz w:val="22"/>
                <w:lang w:eastAsia="en-GB"/>
              </w:rPr>
            </w:pPr>
            <w:r w:rsidRPr="000B4E2C">
              <w:t>£217,350</w:t>
            </w:r>
          </w:p>
        </w:tc>
        <w:tc>
          <w:tcPr>
            <w:tcW w:w="0" w:type="auto"/>
            <w:shd w:val="clear" w:color="auto" w:fill="auto"/>
            <w:noWrap/>
            <w:hideMark/>
          </w:tcPr>
          <w:p w14:paraId="05BB1780"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758140B8" w14:textId="77777777" w:rsidR="002F0133" w:rsidRPr="000B4E2C" w:rsidRDefault="002F0133" w:rsidP="008A7464">
            <w:pPr>
              <w:rPr>
                <w:sz w:val="22"/>
                <w:lang w:eastAsia="en-GB"/>
              </w:rPr>
            </w:pPr>
            <w:r w:rsidRPr="000B4E2C">
              <w:rPr>
                <w:sz w:val="22"/>
                <w:lang w:eastAsia="en-GB"/>
              </w:rPr>
              <w:t>11.8%</w:t>
            </w:r>
          </w:p>
        </w:tc>
      </w:tr>
      <w:tr w:rsidR="002F0133" w:rsidRPr="000B4E2C" w14:paraId="07668612" w14:textId="77777777" w:rsidTr="000B4E2C">
        <w:trPr>
          <w:cantSplit/>
          <w:tblHeader/>
        </w:trPr>
        <w:tc>
          <w:tcPr>
            <w:tcW w:w="0" w:type="auto"/>
            <w:shd w:val="clear" w:color="auto" w:fill="auto"/>
            <w:noWrap/>
            <w:hideMark/>
          </w:tcPr>
          <w:p w14:paraId="6C98ADB2" w14:textId="538BD70C"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384C66B2" w14:textId="77777777" w:rsidR="002F0133" w:rsidRPr="000B4E2C" w:rsidRDefault="002F0133" w:rsidP="008A7464">
            <w:pPr>
              <w:rPr>
                <w:sz w:val="22"/>
                <w:lang w:eastAsia="en-GB"/>
              </w:rPr>
            </w:pPr>
            <w:r w:rsidRPr="000B4E2C">
              <w:rPr>
                <w:sz w:val="22"/>
                <w:lang w:eastAsia="en-GB"/>
              </w:rPr>
              <w:t>£30,793</w:t>
            </w:r>
          </w:p>
        </w:tc>
        <w:tc>
          <w:tcPr>
            <w:tcW w:w="0" w:type="auto"/>
            <w:gridSpan w:val="2"/>
            <w:shd w:val="clear" w:color="auto" w:fill="auto"/>
            <w:noWrap/>
            <w:hideMark/>
          </w:tcPr>
          <w:p w14:paraId="660C9D31"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CF75B89" w14:textId="77777777" w:rsidR="002F0133" w:rsidRPr="000B4E2C" w:rsidRDefault="002F0133" w:rsidP="008A7464">
            <w:pPr>
              <w:rPr>
                <w:sz w:val="22"/>
                <w:lang w:eastAsia="en-GB"/>
              </w:rPr>
            </w:pPr>
            <w:r w:rsidRPr="000B4E2C">
              <w:rPr>
                <w:sz w:val="22"/>
                <w:lang w:eastAsia="en-GB"/>
              </w:rPr>
              <w:t>6.55730</w:t>
            </w:r>
          </w:p>
        </w:tc>
        <w:tc>
          <w:tcPr>
            <w:tcW w:w="0" w:type="auto"/>
            <w:shd w:val="clear" w:color="auto" w:fill="auto"/>
            <w:noWrap/>
            <w:hideMark/>
          </w:tcPr>
          <w:p w14:paraId="087F5E7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95841A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9DB09D1" w14:textId="77777777" w:rsidR="002F0133" w:rsidRPr="000B4E2C" w:rsidRDefault="002F0133" w:rsidP="008A7464">
            <w:pPr>
              <w:rPr>
                <w:sz w:val="22"/>
                <w:lang w:eastAsia="en-GB"/>
              </w:rPr>
            </w:pPr>
            <w:r w:rsidRPr="000B4E2C">
              <w:t>£249,264</w:t>
            </w:r>
          </w:p>
        </w:tc>
        <w:tc>
          <w:tcPr>
            <w:tcW w:w="0" w:type="auto"/>
            <w:shd w:val="clear" w:color="auto" w:fill="auto"/>
            <w:noWrap/>
            <w:hideMark/>
          </w:tcPr>
          <w:p w14:paraId="13147D95"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14226AC3" w14:textId="77777777" w:rsidR="002F0133" w:rsidRPr="000B4E2C" w:rsidRDefault="002F0133" w:rsidP="008A7464">
            <w:pPr>
              <w:rPr>
                <w:sz w:val="22"/>
                <w:lang w:eastAsia="en-GB"/>
              </w:rPr>
            </w:pPr>
            <w:r w:rsidRPr="000B4E2C">
              <w:rPr>
                <w:sz w:val="22"/>
                <w:lang w:eastAsia="en-GB"/>
              </w:rPr>
              <w:t>9.3%</w:t>
            </w:r>
          </w:p>
        </w:tc>
      </w:tr>
      <w:tr w:rsidR="002F0133" w:rsidRPr="000B4E2C" w14:paraId="355316D0" w14:textId="77777777" w:rsidTr="000B4E2C">
        <w:trPr>
          <w:cantSplit/>
          <w:tblHeader/>
        </w:trPr>
        <w:tc>
          <w:tcPr>
            <w:tcW w:w="0" w:type="auto"/>
            <w:gridSpan w:val="11"/>
            <w:shd w:val="clear" w:color="auto" w:fill="auto"/>
            <w:noWrap/>
            <w:hideMark/>
          </w:tcPr>
          <w:p w14:paraId="0332221B" w14:textId="77777777" w:rsidR="002F0133" w:rsidRPr="000B4E2C" w:rsidRDefault="002F0133" w:rsidP="008A7464">
            <w:pPr>
              <w:rPr>
                <w:b/>
                <w:bCs/>
                <w:sz w:val="22"/>
                <w:lang w:eastAsia="en-GB"/>
              </w:rPr>
            </w:pPr>
            <w:r w:rsidRPr="000B4E2C">
              <w:rPr>
                <w:b/>
                <w:bCs/>
                <w:sz w:val="22"/>
                <w:lang w:eastAsia="en-GB"/>
              </w:rPr>
              <w:t>Scenario 2H: Apply an excess CKD risk for those who experienced an AKI event over the full lifetime horizon</w:t>
            </w:r>
          </w:p>
        </w:tc>
      </w:tr>
      <w:tr w:rsidR="002F0133" w:rsidRPr="000B4E2C" w14:paraId="78DA0F81" w14:textId="77777777" w:rsidTr="000B4E2C">
        <w:trPr>
          <w:cantSplit/>
          <w:tblHeader/>
        </w:trPr>
        <w:tc>
          <w:tcPr>
            <w:tcW w:w="0" w:type="auto"/>
            <w:shd w:val="clear" w:color="auto" w:fill="auto"/>
            <w:noWrap/>
            <w:hideMark/>
          </w:tcPr>
          <w:p w14:paraId="4F9EFB76"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2121BCCE" w14:textId="77777777" w:rsidR="002F0133" w:rsidRPr="000B4E2C" w:rsidRDefault="002F0133" w:rsidP="008A7464">
            <w:pPr>
              <w:rPr>
                <w:sz w:val="22"/>
                <w:lang w:eastAsia="en-GB"/>
              </w:rPr>
            </w:pPr>
            <w:r w:rsidRPr="000B4E2C">
              <w:rPr>
                <w:sz w:val="22"/>
                <w:lang w:eastAsia="en-GB"/>
              </w:rPr>
              <w:t>£23,172</w:t>
            </w:r>
          </w:p>
        </w:tc>
        <w:tc>
          <w:tcPr>
            <w:tcW w:w="0" w:type="auto"/>
            <w:gridSpan w:val="2"/>
            <w:shd w:val="clear" w:color="auto" w:fill="auto"/>
            <w:noWrap/>
            <w:hideMark/>
          </w:tcPr>
          <w:p w14:paraId="2654E3A2"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21AD8B8E" w14:textId="77777777" w:rsidR="002F0133" w:rsidRPr="000B4E2C" w:rsidRDefault="002F0133" w:rsidP="008A7464">
            <w:pPr>
              <w:rPr>
                <w:sz w:val="22"/>
                <w:lang w:eastAsia="en-GB"/>
              </w:rPr>
            </w:pPr>
            <w:r w:rsidRPr="000B4E2C">
              <w:rPr>
                <w:sz w:val="22"/>
                <w:lang w:eastAsia="en-GB"/>
              </w:rPr>
              <w:t>6.07060</w:t>
            </w:r>
          </w:p>
        </w:tc>
        <w:tc>
          <w:tcPr>
            <w:tcW w:w="0" w:type="auto"/>
            <w:shd w:val="clear" w:color="auto" w:fill="auto"/>
            <w:noWrap/>
            <w:hideMark/>
          </w:tcPr>
          <w:p w14:paraId="19CF87ED"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499E518F"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9ABB935" w14:textId="77777777" w:rsidR="002F0133" w:rsidRPr="000B4E2C" w:rsidRDefault="002F0133" w:rsidP="008A7464">
            <w:pPr>
              <w:rPr>
                <w:sz w:val="22"/>
                <w:lang w:eastAsia="en-GB"/>
              </w:rPr>
            </w:pPr>
            <w:r w:rsidRPr="000B4E2C">
              <w:t>Dominant</w:t>
            </w:r>
          </w:p>
        </w:tc>
        <w:tc>
          <w:tcPr>
            <w:tcW w:w="0" w:type="auto"/>
            <w:shd w:val="clear" w:color="auto" w:fill="auto"/>
            <w:noWrap/>
            <w:hideMark/>
          </w:tcPr>
          <w:p w14:paraId="2BED136D" w14:textId="77777777" w:rsidR="002F0133" w:rsidRPr="000B4E2C" w:rsidRDefault="002F0133" w:rsidP="008A7464">
            <w:pPr>
              <w:rPr>
                <w:sz w:val="22"/>
                <w:lang w:eastAsia="en-GB"/>
              </w:rPr>
            </w:pPr>
            <w:r w:rsidRPr="000B4E2C">
              <w:rPr>
                <w:sz w:val="22"/>
                <w:lang w:eastAsia="en-GB"/>
              </w:rPr>
              <w:t>55.5%</w:t>
            </w:r>
          </w:p>
        </w:tc>
        <w:tc>
          <w:tcPr>
            <w:tcW w:w="0" w:type="auto"/>
            <w:gridSpan w:val="2"/>
            <w:shd w:val="clear" w:color="auto" w:fill="auto"/>
            <w:noWrap/>
            <w:hideMark/>
          </w:tcPr>
          <w:p w14:paraId="410F0906" w14:textId="77777777" w:rsidR="002F0133" w:rsidRPr="000B4E2C" w:rsidRDefault="002F0133" w:rsidP="008A7464">
            <w:pPr>
              <w:rPr>
                <w:sz w:val="22"/>
                <w:lang w:eastAsia="en-GB"/>
              </w:rPr>
            </w:pPr>
            <w:r w:rsidRPr="000B4E2C">
              <w:rPr>
                <w:sz w:val="22"/>
                <w:lang w:eastAsia="en-GB"/>
              </w:rPr>
              <w:t>57.7%</w:t>
            </w:r>
          </w:p>
        </w:tc>
      </w:tr>
      <w:tr w:rsidR="002F0133" w:rsidRPr="000B4E2C" w14:paraId="0F9C7137" w14:textId="77777777" w:rsidTr="000B4E2C">
        <w:trPr>
          <w:cantSplit/>
          <w:tblHeader/>
        </w:trPr>
        <w:tc>
          <w:tcPr>
            <w:tcW w:w="0" w:type="auto"/>
            <w:shd w:val="clear" w:color="auto" w:fill="auto"/>
            <w:noWrap/>
            <w:hideMark/>
          </w:tcPr>
          <w:p w14:paraId="6091D062"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54F417A4" w14:textId="77777777" w:rsidR="002F0133" w:rsidRPr="000B4E2C" w:rsidRDefault="002F0133" w:rsidP="008A7464">
            <w:pPr>
              <w:rPr>
                <w:sz w:val="22"/>
                <w:lang w:eastAsia="en-GB"/>
              </w:rPr>
            </w:pPr>
            <w:r w:rsidRPr="000B4E2C">
              <w:rPr>
                <w:sz w:val="22"/>
                <w:lang w:eastAsia="en-GB"/>
              </w:rPr>
              <w:t>£23,174</w:t>
            </w:r>
          </w:p>
        </w:tc>
        <w:tc>
          <w:tcPr>
            <w:tcW w:w="0" w:type="auto"/>
            <w:gridSpan w:val="2"/>
            <w:shd w:val="clear" w:color="auto" w:fill="auto"/>
            <w:noWrap/>
            <w:hideMark/>
          </w:tcPr>
          <w:p w14:paraId="333BD8D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9FA0639" w14:textId="77777777" w:rsidR="002F0133" w:rsidRPr="000B4E2C" w:rsidRDefault="002F0133" w:rsidP="008A7464">
            <w:pPr>
              <w:rPr>
                <w:sz w:val="22"/>
                <w:lang w:eastAsia="en-GB"/>
              </w:rPr>
            </w:pPr>
            <w:r w:rsidRPr="000B4E2C">
              <w:rPr>
                <w:sz w:val="22"/>
                <w:lang w:eastAsia="en-GB"/>
              </w:rPr>
              <w:t>6.06893</w:t>
            </w:r>
          </w:p>
        </w:tc>
        <w:tc>
          <w:tcPr>
            <w:tcW w:w="0" w:type="auto"/>
            <w:shd w:val="clear" w:color="auto" w:fill="auto"/>
            <w:noWrap/>
            <w:hideMark/>
          </w:tcPr>
          <w:p w14:paraId="27CD7DF1"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1655A19"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83E38DC" w14:textId="77777777" w:rsidR="002F0133" w:rsidRPr="000B4E2C" w:rsidRDefault="002F0133" w:rsidP="008A7464">
            <w:pPr>
              <w:rPr>
                <w:sz w:val="22"/>
                <w:lang w:eastAsia="en-GB"/>
              </w:rPr>
            </w:pPr>
            <w:r w:rsidRPr="000B4E2C">
              <w:t>--</w:t>
            </w:r>
          </w:p>
        </w:tc>
        <w:tc>
          <w:tcPr>
            <w:tcW w:w="0" w:type="auto"/>
            <w:shd w:val="clear" w:color="auto" w:fill="auto"/>
            <w:noWrap/>
            <w:hideMark/>
          </w:tcPr>
          <w:p w14:paraId="06185094" w14:textId="77777777" w:rsidR="002F0133" w:rsidRPr="000B4E2C" w:rsidRDefault="002F0133" w:rsidP="008A7464">
            <w:pPr>
              <w:rPr>
                <w:sz w:val="22"/>
                <w:lang w:eastAsia="en-GB"/>
              </w:rPr>
            </w:pPr>
            <w:r w:rsidRPr="000B4E2C">
              <w:rPr>
                <w:sz w:val="22"/>
                <w:lang w:eastAsia="en-GB"/>
              </w:rPr>
              <w:t>39.9%</w:t>
            </w:r>
          </w:p>
        </w:tc>
        <w:tc>
          <w:tcPr>
            <w:tcW w:w="0" w:type="auto"/>
            <w:gridSpan w:val="2"/>
            <w:shd w:val="clear" w:color="auto" w:fill="auto"/>
            <w:noWrap/>
            <w:hideMark/>
          </w:tcPr>
          <w:p w14:paraId="6DD7EC98" w14:textId="77777777" w:rsidR="002F0133" w:rsidRPr="000B4E2C" w:rsidRDefault="002F0133" w:rsidP="008A7464">
            <w:pPr>
              <w:rPr>
                <w:sz w:val="22"/>
                <w:lang w:eastAsia="en-GB"/>
              </w:rPr>
            </w:pPr>
            <w:r w:rsidRPr="000B4E2C">
              <w:rPr>
                <w:sz w:val="22"/>
                <w:lang w:eastAsia="en-GB"/>
              </w:rPr>
              <w:t>--</w:t>
            </w:r>
          </w:p>
        </w:tc>
      </w:tr>
      <w:tr w:rsidR="002F0133" w:rsidRPr="000B4E2C" w14:paraId="7116937C" w14:textId="77777777" w:rsidTr="000B4E2C">
        <w:trPr>
          <w:cantSplit/>
          <w:tblHeader/>
        </w:trPr>
        <w:tc>
          <w:tcPr>
            <w:tcW w:w="0" w:type="auto"/>
            <w:shd w:val="clear" w:color="auto" w:fill="auto"/>
            <w:noWrap/>
            <w:hideMark/>
          </w:tcPr>
          <w:p w14:paraId="7FB01754" w14:textId="5DE1B88E" w:rsidR="002F0133" w:rsidRPr="000B4E2C" w:rsidRDefault="002F0133" w:rsidP="008A7464">
            <w:pPr>
              <w:rPr>
                <w:sz w:val="22"/>
                <w:lang w:eastAsia="en-GB"/>
              </w:rPr>
            </w:pPr>
            <w:r w:rsidRPr="000B4E2C">
              <w:rPr>
                <w:sz w:val="22"/>
                <w:lang w:eastAsia="en-GB"/>
              </w:rPr>
              <w:lastRenderedPageBreak/>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217BF53E" w14:textId="77777777" w:rsidR="002F0133" w:rsidRPr="000B4E2C" w:rsidRDefault="002F0133" w:rsidP="008A7464">
            <w:pPr>
              <w:rPr>
                <w:sz w:val="22"/>
                <w:lang w:eastAsia="en-GB"/>
              </w:rPr>
            </w:pPr>
            <w:r w:rsidRPr="000B4E2C">
              <w:rPr>
                <w:sz w:val="22"/>
                <w:lang w:eastAsia="en-GB"/>
              </w:rPr>
              <w:t>£23,231</w:t>
            </w:r>
          </w:p>
        </w:tc>
        <w:tc>
          <w:tcPr>
            <w:tcW w:w="0" w:type="auto"/>
            <w:gridSpan w:val="2"/>
            <w:shd w:val="clear" w:color="auto" w:fill="auto"/>
            <w:noWrap/>
            <w:hideMark/>
          </w:tcPr>
          <w:p w14:paraId="2B7C0B9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0D55EF2" w14:textId="77777777" w:rsidR="002F0133" w:rsidRPr="000B4E2C" w:rsidRDefault="002F0133" w:rsidP="008A7464">
            <w:pPr>
              <w:rPr>
                <w:sz w:val="22"/>
                <w:lang w:eastAsia="en-GB"/>
              </w:rPr>
            </w:pPr>
            <w:r w:rsidRPr="000B4E2C">
              <w:rPr>
                <w:sz w:val="22"/>
                <w:lang w:eastAsia="en-GB"/>
              </w:rPr>
              <w:t>6.06947</w:t>
            </w:r>
          </w:p>
        </w:tc>
        <w:tc>
          <w:tcPr>
            <w:tcW w:w="0" w:type="auto"/>
            <w:shd w:val="clear" w:color="auto" w:fill="auto"/>
            <w:noWrap/>
            <w:hideMark/>
          </w:tcPr>
          <w:p w14:paraId="24A84182"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5E5D8A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DB5D3B1" w14:textId="77777777" w:rsidR="002F0133" w:rsidRPr="000B4E2C" w:rsidRDefault="002F0133" w:rsidP="008A7464">
            <w:pPr>
              <w:rPr>
                <w:sz w:val="22"/>
                <w:lang w:eastAsia="en-GB"/>
              </w:rPr>
            </w:pPr>
            <w:r w:rsidRPr="000B4E2C">
              <w:t>£106,920</w:t>
            </w:r>
          </w:p>
        </w:tc>
        <w:tc>
          <w:tcPr>
            <w:tcW w:w="0" w:type="auto"/>
            <w:shd w:val="clear" w:color="auto" w:fill="auto"/>
            <w:noWrap/>
            <w:hideMark/>
          </w:tcPr>
          <w:p w14:paraId="0386F04A" w14:textId="77777777" w:rsidR="002F0133" w:rsidRPr="000B4E2C" w:rsidRDefault="002F0133" w:rsidP="008A7464">
            <w:pPr>
              <w:rPr>
                <w:sz w:val="22"/>
                <w:lang w:eastAsia="en-GB"/>
              </w:rPr>
            </w:pPr>
            <w:r w:rsidRPr="000B4E2C">
              <w:rPr>
                <w:sz w:val="22"/>
                <w:lang w:eastAsia="en-GB"/>
              </w:rPr>
              <w:t>3.6%</w:t>
            </w:r>
          </w:p>
        </w:tc>
        <w:tc>
          <w:tcPr>
            <w:tcW w:w="0" w:type="auto"/>
            <w:gridSpan w:val="2"/>
            <w:shd w:val="clear" w:color="auto" w:fill="auto"/>
            <w:noWrap/>
            <w:hideMark/>
          </w:tcPr>
          <w:p w14:paraId="6ABD0931" w14:textId="77777777" w:rsidR="002F0133" w:rsidRPr="000B4E2C" w:rsidRDefault="002F0133" w:rsidP="008A7464">
            <w:pPr>
              <w:rPr>
                <w:sz w:val="22"/>
                <w:lang w:eastAsia="en-GB"/>
              </w:rPr>
            </w:pPr>
            <w:r w:rsidRPr="000B4E2C">
              <w:rPr>
                <w:sz w:val="22"/>
                <w:lang w:eastAsia="en-GB"/>
              </w:rPr>
              <w:t>21.2%</w:t>
            </w:r>
          </w:p>
        </w:tc>
      </w:tr>
      <w:tr w:rsidR="002F0133" w:rsidRPr="000B4E2C" w14:paraId="27FA350C" w14:textId="77777777" w:rsidTr="000B4E2C">
        <w:trPr>
          <w:cantSplit/>
          <w:tblHeader/>
        </w:trPr>
        <w:tc>
          <w:tcPr>
            <w:tcW w:w="0" w:type="auto"/>
            <w:shd w:val="clear" w:color="auto" w:fill="auto"/>
            <w:noWrap/>
            <w:hideMark/>
          </w:tcPr>
          <w:p w14:paraId="0A24F177" w14:textId="2F6B635E"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4650079F" w14:textId="77777777" w:rsidR="002F0133" w:rsidRPr="000B4E2C" w:rsidRDefault="002F0133" w:rsidP="008A7464">
            <w:pPr>
              <w:rPr>
                <w:sz w:val="22"/>
                <w:lang w:eastAsia="en-GB"/>
              </w:rPr>
            </w:pPr>
            <w:r w:rsidRPr="000B4E2C">
              <w:rPr>
                <w:sz w:val="22"/>
                <w:lang w:eastAsia="en-GB"/>
              </w:rPr>
              <w:t>£23,246</w:t>
            </w:r>
          </w:p>
        </w:tc>
        <w:tc>
          <w:tcPr>
            <w:tcW w:w="0" w:type="auto"/>
            <w:gridSpan w:val="2"/>
            <w:shd w:val="clear" w:color="auto" w:fill="auto"/>
            <w:noWrap/>
            <w:hideMark/>
          </w:tcPr>
          <w:p w14:paraId="07412ABE"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A11758A" w14:textId="77777777" w:rsidR="002F0133" w:rsidRPr="000B4E2C" w:rsidRDefault="002F0133" w:rsidP="008A7464">
            <w:pPr>
              <w:rPr>
                <w:sz w:val="22"/>
                <w:lang w:eastAsia="en-GB"/>
              </w:rPr>
            </w:pPr>
            <w:r w:rsidRPr="000B4E2C">
              <w:rPr>
                <w:sz w:val="22"/>
                <w:lang w:eastAsia="en-GB"/>
              </w:rPr>
              <w:t>6.06948</w:t>
            </w:r>
          </w:p>
        </w:tc>
        <w:tc>
          <w:tcPr>
            <w:tcW w:w="0" w:type="auto"/>
            <w:shd w:val="clear" w:color="auto" w:fill="auto"/>
            <w:noWrap/>
            <w:hideMark/>
          </w:tcPr>
          <w:p w14:paraId="3AD72A0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B73B118"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05DD729" w14:textId="77777777" w:rsidR="002F0133" w:rsidRPr="000B4E2C" w:rsidRDefault="002F0133" w:rsidP="008A7464">
            <w:pPr>
              <w:rPr>
                <w:sz w:val="22"/>
                <w:lang w:eastAsia="en-GB"/>
              </w:rPr>
            </w:pPr>
            <w:r w:rsidRPr="000B4E2C">
              <w:t>£132,282</w:t>
            </w:r>
          </w:p>
        </w:tc>
        <w:tc>
          <w:tcPr>
            <w:tcW w:w="0" w:type="auto"/>
            <w:shd w:val="clear" w:color="auto" w:fill="auto"/>
            <w:noWrap/>
            <w:hideMark/>
          </w:tcPr>
          <w:p w14:paraId="3B141A09" w14:textId="77777777" w:rsidR="002F0133" w:rsidRPr="000B4E2C" w:rsidRDefault="002F0133" w:rsidP="008A7464">
            <w:pPr>
              <w:rPr>
                <w:sz w:val="22"/>
                <w:lang w:eastAsia="en-GB"/>
              </w:rPr>
            </w:pPr>
            <w:r w:rsidRPr="000B4E2C">
              <w:rPr>
                <w:sz w:val="22"/>
                <w:lang w:eastAsia="en-GB"/>
              </w:rPr>
              <w:t>1.0%</w:t>
            </w:r>
          </w:p>
        </w:tc>
        <w:tc>
          <w:tcPr>
            <w:tcW w:w="0" w:type="auto"/>
            <w:gridSpan w:val="2"/>
            <w:shd w:val="clear" w:color="auto" w:fill="auto"/>
            <w:noWrap/>
            <w:hideMark/>
          </w:tcPr>
          <w:p w14:paraId="0D379274" w14:textId="77777777" w:rsidR="002F0133" w:rsidRPr="000B4E2C" w:rsidRDefault="002F0133" w:rsidP="008A7464">
            <w:pPr>
              <w:rPr>
                <w:sz w:val="22"/>
                <w:lang w:eastAsia="en-GB"/>
              </w:rPr>
            </w:pPr>
            <w:r w:rsidRPr="000B4E2C">
              <w:rPr>
                <w:sz w:val="22"/>
                <w:lang w:eastAsia="en-GB"/>
              </w:rPr>
              <w:t>16.6%</w:t>
            </w:r>
          </w:p>
        </w:tc>
      </w:tr>
      <w:tr w:rsidR="002F0133" w:rsidRPr="000B4E2C" w14:paraId="316AAC66" w14:textId="77777777" w:rsidTr="000B4E2C">
        <w:trPr>
          <w:cantSplit/>
          <w:tblHeader/>
        </w:trPr>
        <w:tc>
          <w:tcPr>
            <w:tcW w:w="0" w:type="auto"/>
            <w:shd w:val="clear" w:color="auto" w:fill="auto"/>
            <w:noWrap/>
            <w:hideMark/>
          </w:tcPr>
          <w:p w14:paraId="44D1DD15" w14:textId="52451BF2"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421B52A9" w14:textId="77777777" w:rsidR="002F0133" w:rsidRPr="000B4E2C" w:rsidRDefault="002F0133" w:rsidP="008A7464">
            <w:pPr>
              <w:rPr>
                <w:sz w:val="22"/>
                <w:lang w:eastAsia="en-GB"/>
              </w:rPr>
            </w:pPr>
            <w:r w:rsidRPr="000B4E2C">
              <w:rPr>
                <w:sz w:val="22"/>
                <w:lang w:eastAsia="en-GB"/>
              </w:rPr>
              <w:t>£23,250</w:t>
            </w:r>
          </w:p>
        </w:tc>
        <w:tc>
          <w:tcPr>
            <w:tcW w:w="0" w:type="auto"/>
            <w:gridSpan w:val="2"/>
            <w:shd w:val="clear" w:color="auto" w:fill="auto"/>
            <w:noWrap/>
            <w:hideMark/>
          </w:tcPr>
          <w:p w14:paraId="2D3EE3AE"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0B14C39" w14:textId="77777777" w:rsidR="002F0133" w:rsidRPr="000B4E2C" w:rsidRDefault="002F0133" w:rsidP="008A7464">
            <w:pPr>
              <w:rPr>
                <w:sz w:val="22"/>
                <w:lang w:eastAsia="en-GB"/>
              </w:rPr>
            </w:pPr>
            <w:r w:rsidRPr="000B4E2C">
              <w:rPr>
                <w:sz w:val="22"/>
                <w:lang w:eastAsia="en-GB"/>
              </w:rPr>
              <w:t>6.06942</w:t>
            </w:r>
          </w:p>
        </w:tc>
        <w:tc>
          <w:tcPr>
            <w:tcW w:w="0" w:type="auto"/>
            <w:shd w:val="clear" w:color="auto" w:fill="auto"/>
            <w:noWrap/>
            <w:hideMark/>
          </w:tcPr>
          <w:p w14:paraId="0CC60186"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3352AD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9B9B760" w14:textId="77777777" w:rsidR="002F0133" w:rsidRPr="000B4E2C" w:rsidRDefault="002F0133" w:rsidP="008A7464">
            <w:pPr>
              <w:rPr>
                <w:sz w:val="22"/>
                <w:lang w:eastAsia="en-GB"/>
              </w:rPr>
            </w:pPr>
            <w:r w:rsidRPr="000B4E2C">
              <w:t>£154,900</w:t>
            </w:r>
          </w:p>
        </w:tc>
        <w:tc>
          <w:tcPr>
            <w:tcW w:w="0" w:type="auto"/>
            <w:shd w:val="clear" w:color="auto" w:fill="auto"/>
            <w:noWrap/>
            <w:hideMark/>
          </w:tcPr>
          <w:p w14:paraId="74BCB0F8"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05DE04CC" w14:textId="77777777" w:rsidR="002F0133" w:rsidRPr="000B4E2C" w:rsidRDefault="002F0133" w:rsidP="008A7464">
            <w:pPr>
              <w:rPr>
                <w:sz w:val="22"/>
                <w:lang w:eastAsia="en-GB"/>
              </w:rPr>
            </w:pPr>
            <w:r w:rsidRPr="000B4E2C">
              <w:rPr>
                <w:sz w:val="22"/>
                <w:lang w:eastAsia="en-GB"/>
              </w:rPr>
              <w:t>12.7%</w:t>
            </w:r>
          </w:p>
        </w:tc>
      </w:tr>
      <w:tr w:rsidR="002F0133" w:rsidRPr="000B4E2C" w14:paraId="022534E5" w14:textId="77777777" w:rsidTr="000B4E2C">
        <w:trPr>
          <w:cantSplit/>
          <w:tblHeader/>
        </w:trPr>
        <w:tc>
          <w:tcPr>
            <w:tcW w:w="0" w:type="auto"/>
            <w:gridSpan w:val="11"/>
            <w:shd w:val="clear" w:color="auto" w:fill="auto"/>
            <w:noWrap/>
            <w:hideMark/>
          </w:tcPr>
          <w:p w14:paraId="646497EC" w14:textId="77777777" w:rsidR="002F0133" w:rsidRPr="000B4E2C" w:rsidRDefault="002F0133" w:rsidP="008A7464">
            <w:pPr>
              <w:rPr>
                <w:b/>
                <w:bCs/>
                <w:sz w:val="22"/>
                <w:lang w:eastAsia="en-GB"/>
              </w:rPr>
            </w:pPr>
            <w:r w:rsidRPr="000B4E2C">
              <w:rPr>
                <w:b/>
                <w:bCs/>
                <w:sz w:val="22"/>
                <w:lang w:eastAsia="en-GB"/>
              </w:rPr>
              <w:t>Scenario 2I: 0% discount rate applied to both costs and QALYs</w:t>
            </w:r>
          </w:p>
        </w:tc>
      </w:tr>
      <w:tr w:rsidR="002F0133" w:rsidRPr="000B4E2C" w14:paraId="1EB1783A" w14:textId="77777777" w:rsidTr="000B4E2C">
        <w:trPr>
          <w:cantSplit/>
          <w:tblHeader/>
        </w:trPr>
        <w:tc>
          <w:tcPr>
            <w:tcW w:w="0" w:type="auto"/>
            <w:shd w:val="clear" w:color="auto" w:fill="auto"/>
            <w:noWrap/>
            <w:hideMark/>
          </w:tcPr>
          <w:p w14:paraId="686AE7D7"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684D1B37" w14:textId="77777777" w:rsidR="002F0133" w:rsidRPr="000B4E2C" w:rsidRDefault="002F0133" w:rsidP="008A7464">
            <w:pPr>
              <w:rPr>
                <w:sz w:val="22"/>
                <w:lang w:eastAsia="en-GB"/>
              </w:rPr>
            </w:pPr>
            <w:r w:rsidRPr="000B4E2C">
              <w:rPr>
                <w:sz w:val="22"/>
                <w:lang w:eastAsia="en-GB"/>
              </w:rPr>
              <w:t>£27,689</w:t>
            </w:r>
          </w:p>
        </w:tc>
        <w:tc>
          <w:tcPr>
            <w:tcW w:w="0" w:type="auto"/>
            <w:gridSpan w:val="2"/>
            <w:shd w:val="clear" w:color="auto" w:fill="auto"/>
            <w:noWrap/>
            <w:hideMark/>
          </w:tcPr>
          <w:p w14:paraId="711A0457"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E256503" w14:textId="77777777" w:rsidR="002F0133" w:rsidRPr="000B4E2C" w:rsidRDefault="002F0133" w:rsidP="008A7464">
            <w:pPr>
              <w:rPr>
                <w:sz w:val="22"/>
                <w:lang w:eastAsia="en-GB"/>
              </w:rPr>
            </w:pPr>
            <w:r w:rsidRPr="000B4E2C">
              <w:rPr>
                <w:sz w:val="22"/>
                <w:lang w:eastAsia="en-GB"/>
              </w:rPr>
              <w:t>8.20138</w:t>
            </w:r>
          </w:p>
        </w:tc>
        <w:tc>
          <w:tcPr>
            <w:tcW w:w="0" w:type="auto"/>
            <w:shd w:val="clear" w:color="auto" w:fill="auto"/>
            <w:noWrap/>
            <w:hideMark/>
          </w:tcPr>
          <w:p w14:paraId="4BA0CAAD"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728C3D97"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923B588" w14:textId="77777777" w:rsidR="002F0133" w:rsidRPr="000B4E2C" w:rsidRDefault="002F0133" w:rsidP="008A7464">
            <w:pPr>
              <w:rPr>
                <w:sz w:val="22"/>
                <w:lang w:eastAsia="en-GB"/>
              </w:rPr>
            </w:pPr>
            <w:r w:rsidRPr="000B4E2C">
              <w:t>--</w:t>
            </w:r>
          </w:p>
        </w:tc>
        <w:tc>
          <w:tcPr>
            <w:tcW w:w="0" w:type="auto"/>
            <w:shd w:val="clear" w:color="auto" w:fill="auto"/>
            <w:noWrap/>
            <w:hideMark/>
          </w:tcPr>
          <w:p w14:paraId="39F7D6A2" w14:textId="77777777" w:rsidR="002F0133" w:rsidRPr="000B4E2C" w:rsidRDefault="002F0133" w:rsidP="008A7464">
            <w:pPr>
              <w:rPr>
                <w:sz w:val="22"/>
                <w:lang w:eastAsia="en-GB"/>
              </w:rPr>
            </w:pPr>
            <w:r w:rsidRPr="000B4E2C">
              <w:rPr>
                <w:sz w:val="22"/>
                <w:lang w:eastAsia="en-GB"/>
              </w:rPr>
              <w:t>60.5%</w:t>
            </w:r>
          </w:p>
        </w:tc>
        <w:tc>
          <w:tcPr>
            <w:tcW w:w="0" w:type="auto"/>
            <w:gridSpan w:val="2"/>
            <w:shd w:val="clear" w:color="auto" w:fill="auto"/>
            <w:noWrap/>
            <w:hideMark/>
          </w:tcPr>
          <w:p w14:paraId="73F1CF7A" w14:textId="77777777" w:rsidR="002F0133" w:rsidRPr="000B4E2C" w:rsidRDefault="002F0133" w:rsidP="008A7464">
            <w:pPr>
              <w:rPr>
                <w:sz w:val="22"/>
                <w:lang w:eastAsia="en-GB"/>
              </w:rPr>
            </w:pPr>
            <w:r w:rsidRPr="000B4E2C">
              <w:rPr>
                <w:sz w:val="22"/>
                <w:lang w:eastAsia="en-GB"/>
              </w:rPr>
              <w:t>--</w:t>
            </w:r>
          </w:p>
        </w:tc>
      </w:tr>
      <w:tr w:rsidR="002F0133" w:rsidRPr="000B4E2C" w14:paraId="6290F0C3" w14:textId="77777777" w:rsidTr="000B4E2C">
        <w:trPr>
          <w:cantSplit/>
          <w:tblHeader/>
        </w:trPr>
        <w:tc>
          <w:tcPr>
            <w:tcW w:w="0" w:type="auto"/>
            <w:shd w:val="clear" w:color="auto" w:fill="auto"/>
            <w:noWrap/>
            <w:hideMark/>
          </w:tcPr>
          <w:p w14:paraId="195E1B1F"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4A4323C4" w14:textId="77777777" w:rsidR="002F0133" w:rsidRPr="000B4E2C" w:rsidRDefault="002F0133" w:rsidP="008A7464">
            <w:pPr>
              <w:rPr>
                <w:sz w:val="22"/>
                <w:lang w:eastAsia="en-GB"/>
              </w:rPr>
            </w:pPr>
            <w:r w:rsidRPr="000B4E2C">
              <w:rPr>
                <w:sz w:val="22"/>
                <w:lang w:eastAsia="en-GB"/>
              </w:rPr>
              <w:t>£27,717</w:t>
            </w:r>
          </w:p>
        </w:tc>
        <w:tc>
          <w:tcPr>
            <w:tcW w:w="0" w:type="auto"/>
            <w:gridSpan w:val="2"/>
            <w:shd w:val="clear" w:color="auto" w:fill="auto"/>
            <w:noWrap/>
            <w:hideMark/>
          </w:tcPr>
          <w:p w14:paraId="0CBFF631" w14:textId="77777777" w:rsidR="002F0133" w:rsidRPr="000B4E2C" w:rsidRDefault="002F0133" w:rsidP="008A7464">
            <w:pPr>
              <w:rPr>
                <w:sz w:val="22"/>
                <w:lang w:eastAsia="en-GB"/>
              </w:rPr>
            </w:pPr>
            <w:r w:rsidRPr="000B4E2C">
              <w:rPr>
                <w:sz w:val="22"/>
                <w:lang w:eastAsia="en-GB"/>
              </w:rPr>
              <w:t>£28</w:t>
            </w:r>
          </w:p>
        </w:tc>
        <w:tc>
          <w:tcPr>
            <w:tcW w:w="0" w:type="auto"/>
            <w:shd w:val="clear" w:color="auto" w:fill="auto"/>
            <w:noWrap/>
            <w:hideMark/>
          </w:tcPr>
          <w:p w14:paraId="3B545D10" w14:textId="77777777" w:rsidR="002F0133" w:rsidRPr="000B4E2C" w:rsidRDefault="002F0133" w:rsidP="008A7464">
            <w:pPr>
              <w:rPr>
                <w:sz w:val="22"/>
                <w:lang w:eastAsia="en-GB"/>
              </w:rPr>
            </w:pPr>
            <w:r w:rsidRPr="000B4E2C">
              <w:rPr>
                <w:sz w:val="22"/>
                <w:lang w:eastAsia="en-GB"/>
              </w:rPr>
              <w:t>8.20191</w:t>
            </w:r>
          </w:p>
        </w:tc>
        <w:tc>
          <w:tcPr>
            <w:tcW w:w="0" w:type="auto"/>
            <w:shd w:val="clear" w:color="auto" w:fill="auto"/>
            <w:noWrap/>
            <w:hideMark/>
          </w:tcPr>
          <w:p w14:paraId="2E830F8C" w14:textId="77777777" w:rsidR="002F0133" w:rsidRPr="000B4E2C" w:rsidRDefault="002F0133" w:rsidP="008A7464">
            <w:pPr>
              <w:rPr>
                <w:sz w:val="22"/>
                <w:lang w:eastAsia="en-GB"/>
              </w:rPr>
            </w:pPr>
            <w:r w:rsidRPr="000B4E2C">
              <w:rPr>
                <w:sz w:val="22"/>
                <w:lang w:eastAsia="en-GB"/>
              </w:rPr>
              <w:t>0.00053</w:t>
            </w:r>
          </w:p>
        </w:tc>
        <w:tc>
          <w:tcPr>
            <w:tcW w:w="0" w:type="auto"/>
            <w:shd w:val="clear" w:color="auto" w:fill="auto"/>
            <w:noWrap/>
            <w:hideMark/>
          </w:tcPr>
          <w:p w14:paraId="74F83470" w14:textId="77777777" w:rsidR="002F0133" w:rsidRPr="000B4E2C" w:rsidRDefault="002F0133" w:rsidP="008A7464">
            <w:pPr>
              <w:rPr>
                <w:sz w:val="22"/>
                <w:lang w:eastAsia="en-GB"/>
              </w:rPr>
            </w:pPr>
            <w:r w:rsidRPr="000B4E2C">
              <w:rPr>
                <w:sz w:val="22"/>
                <w:lang w:eastAsia="en-GB"/>
              </w:rPr>
              <w:t>£52,565</w:t>
            </w:r>
          </w:p>
        </w:tc>
        <w:tc>
          <w:tcPr>
            <w:tcW w:w="0" w:type="auto"/>
            <w:shd w:val="clear" w:color="auto" w:fill="auto"/>
            <w:noWrap/>
            <w:hideMark/>
          </w:tcPr>
          <w:p w14:paraId="7100B0EF" w14:textId="77777777" w:rsidR="002F0133" w:rsidRPr="000B4E2C" w:rsidRDefault="002F0133" w:rsidP="008A7464">
            <w:pPr>
              <w:rPr>
                <w:sz w:val="22"/>
                <w:lang w:eastAsia="en-GB"/>
              </w:rPr>
            </w:pPr>
            <w:r w:rsidRPr="000B4E2C">
              <w:t>£52,565</w:t>
            </w:r>
          </w:p>
        </w:tc>
        <w:tc>
          <w:tcPr>
            <w:tcW w:w="0" w:type="auto"/>
            <w:shd w:val="clear" w:color="auto" w:fill="auto"/>
            <w:noWrap/>
            <w:hideMark/>
          </w:tcPr>
          <w:p w14:paraId="4290B197" w14:textId="77777777" w:rsidR="002F0133" w:rsidRPr="000B4E2C" w:rsidRDefault="002F0133" w:rsidP="008A7464">
            <w:pPr>
              <w:rPr>
                <w:sz w:val="22"/>
                <w:lang w:eastAsia="en-GB"/>
              </w:rPr>
            </w:pPr>
            <w:r w:rsidRPr="000B4E2C">
              <w:rPr>
                <w:sz w:val="22"/>
                <w:lang w:eastAsia="en-GB"/>
              </w:rPr>
              <w:t>34.1%</w:t>
            </w:r>
          </w:p>
        </w:tc>
        <w:tc>
          <w:tcPr>
            <w:tcW w:w="0" w:type="auto"/>
            <w:gridSpan w:val="2"/>
            <w:shd w:val="clear" w:color="auto" w:fill="auto"/>
            <w:noWrap/>
            <w:hideMark/>
          </w:tcPr>
          <w:p w14:paraId="43F9D5EE" w14:textId="77777777" w:rsidR="002F0133" w:rsidRPr="000B4E2C" w:rsidRDefault="002F0133" w:rsidP="008A7464">
            <w:pPr>
              <w:rPr>
                <w:sz w:val="22"/>
                <w:lang w:eastAsia="en-GB"/>
              </w:rPr>
            </w:pPr>
            <w:r w:rsidRPr="000B4E2C">
              <w:rPr>
                <w:sz w:val="22"/>
                <w:lang w:eastAsia="en-GB"/>
              </w:rPr>
              <w:t>36.6%</w:t>
            </w:r>
          </w:p>
        </w:tc>
      </w:tr>
      <w:tr w:rsidR="002F0133" w:rsidRPr="000B4E2C" w14:paraId="0840FA35" w14:textId="77777777" w:rsidTr="000B4E2C">
        <w:trPr>
          <w:cantSplit/>
          <w:tblHeader/>
        </w:trPr>
        <w:tc>
          <w:tcPr>
            <w:tcW w:w="0" w:type="auto"/>
            <w:shd w:val="clear" w:color="auto" w:fill="auto"/>
            <w:noWrap/>
            <w:hideMark/>
          </w:tcPr>
          <w:p w14:paraId="6D7158DB" w14:textId="09E4E9C1"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306AB89B" w14:textId="77777777" w:rsidR="002F0133" w:rsidRPr="000B4E2C" w:rsidRDefault="002F0133" w:rsidP="008A7464">
            <w:pPr>
              <w:rPr>
                <w:sz w:val="22"/>
                <w:lang w:eastAsia="en-GB"/>
              </w:rPr>
            </w:pPr>
            <w:r w:rsidRPr="000B4E2C">
              <w:rPr>
                <w:sz w:val="22"/>
                <w:lang w:eastAsia="en-GB"/>
              </w:rPr>
              <w:t>£27,757</w:t>
            </w:r>
          </w:p>
        </w:tc>
        <w:tc>
          <w:tcPr>
            <w:tcW w:w="0" w:type="auto"/>
            <w:gridSpan w:val="2"/>
            <w:shd w:val="clear" w:color="auto" w:fill="auto"/>
            <w:noWrap/>
            <w:hideMark/>
          </w:tcPr>
          <w:p w14:paraId="0938CD48"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327F4C2" w14:textId="77777777" w:rsidR="002F0133" w:rsidRPr="000B4E2C" w:rsidRDefault="002F0133" w:rsidP="008A7464">
            <w:pPr>
              <w:rPr>
                <w:sz w:val="22"/>
                <w:lang w:eastAsia="en-GB"/>
              </w:rPr>
            </w:pPr>
            <w:r w:rsidRPr="000B4E2C">
              <w:rPr>
                <w:sz w:val="22"/>
                <w:lang w:eastAsia="en-GB"/>
              </w:rPr>
              <w:t>8.20157</w:t>
            </w:r>
          </w:p>
        </w:tc>
        <w:tc>
          <w:tcPr>
            <w:tcW w:w="0" w:type="auto"/>
            <w:shd w:val="clear" w:color="auto" w:fill="auto"/>
            <w:noWrap/>
            <w:hideMark/>
          </w:tcPr>
          <w:p w14:paraId="0EE599C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94874CE"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BB5C7B3" w14:textId="77777777" w:rsidR="002F0133" w:rsidRPr="000B4E2C" w:rsidRDefault="002F0133" w:rsidP="008A7464">
            <w:pPr>
              <w:rPr>
                <w:sz w:val="22"/>
                <w:lang w:eastAsia="en-GB"/>
              </w:rPr>
            </w:pPr>
            <w:r w:rsidRPr="000B4E2C">
              <w:t>£371,108</w:t>
            </w:r>
          </w:p>
        </w:tc>
        <w:tc>
          <w:tcPr>
            <w:tcW w:w="0" w:type="auto"/>
            <w:shd w:val="clear" w:color="auto" w:fill="auto"/>
            <w:noWrap/>
            <w:hideMark/>
          </w:tcPr>
          <w:p w14:paraId="57BACEBB" w14:textId="77777777" w:rsidR="002F0133" w:rsidRPr="000B4E2C" w:rsidRDefault="002F0133" w:rsidP="008A7464">
            <w:pPr>
              <w:rPr>
                <w:sz w:val="22"/>
                <w:lang w:eastAsia="en-GB"/>
              </w:rPr>
            </w:pPr>
            <w:r w:rsidRPr="000B4E2C">
              <w:rPr>
                <w:sz w:val="22"/>
                <w:lang w:eastAsia="en-GB"/>
              </w:rPr>
              <w:t>4.9%</w:t>
            </w:r>
          </w:p>
        </w:tc>
        <w:tc>
          <w:tcPr>
            <w:tcW w:w="0" w:type="auto"/>
            <w:gridSpan w:val="2"/>
            <w:shd w:val="clear" w:color="auto" w:fill="auto"/>
            <w:noWrap/>
            <w:hideMark/>
          </w:tcPr>
          <w:p w14:paraId="3499B852" w14:textId="77777777" w:rsidR="002F0133" w:rsidRPr="000B4E2C" w:rsidRDefault="002F0133" w:rsidP="008A7464">
            <w:pPr>
              <w:rPr>
                <w:sz w:val="22"/>
                <w:lang w:eastAsia="en-GB"/>
              </w:rPr>
            </w:pPr>
            <w:r w:rsidRPr="000B4E2C">
              <w:rPr>
                <w:sz w:val="22"/>
                <w:lang w:eastAsia="en-GB"/>
              </w:rPr>
              <w:t>12.7%</w:t>
            </w:r>
          </w:p>
        </w:tc>
      </w:tr>
      <w:tr w:rsidR="002F0133" w:rsidRPr="000B4E2C" w14:paraId="4767BAD1" w14:textId="77777777" w:rsidTr="000B4E2C">
        <w:trPr>
          <w:cantSplit/>
          <w:tblHeader/>
        </w:trPr>
        <w:tc>
          <w:tcPr>
            <w:tcW w:w="0" w:type="auto"/>
            <w:shd w:val="clear" w:color="auto" w:fill="auto"/>
            <w:noWrap/>
            <w:hideMark/>
          </w:tcPr>
          <w:p w14:paraId="3FCB839E" w14:textId="40B37C83"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7D851F5C" w14:textId="77777777" w:rsidR="002F0133" w:rsidRPr="000B4E2C" w:rsidRDefault="002F0133" w:rsidP="008A7464">
            <w:pPr>
              <w:rPr>
                <w:sz w:val="22"/>
                <w:lang w:eastAsia="en-GB"/>
              </w:rPr>
            </w:pPr>
            <w:r w:rsidRPr="000B4E2C">
              <w:rPr>
                <w:sz w:val="22"/>
                <w:lang w:eastAsia="en-GB"/>
              </w:rPr>
              <w:t>£27,771</w:t>
            </w:r>
          </w:p>
        </w:tc>
        <w:tc>
          <w:tcPr>
            <w:tcW w:w="0" w:type="auto"/>
            <w:gridSpan w:val="2"/>
            <w:shd w:val="clear" w:color="auto" w:fill="auto"/>
            <w:noWrap/>
            <w:hideMark/>
          </w:tcPr>
          <w:p w14:paraId="7710F9E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14F8834" w14:textId="77777777" w:rsidR="002F0133" w:rsidRPr="000B4E2C" w:rsidRDefault="002F0133" w:rsidP="008A7464">
            <w:pPr>
              <w:rPr>
                <w:sz w:val="22"/>
                <w:lang w:eastAsia="en-GB"/>
              </w:rPr>
            </w:pPr>
            <w:r w:rsidRPr="000B4E2C">
              <w:rPr>
                <w:sz w:val="22"/>
                <w:lang w:eastAsia="en-GB"/>
              </w:rPr>
              <w:t>8.20157</w:t>
            </w:r>
          </w:p>
        </w:tc>
        <w:tc>
          <w:tcPr>
            <w:tcW w:w="0" w:type="auto"/>
            <w:shd w:val="clear" w:color="auto" w:fill="auto"/>
            <w:noWrap/>
            <w:hideMark/>
          </w:tcPr>
          <w:p w14:paraId="43290DC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90271CC"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DD4652C" w14:textId="77777777" w:rsidR="002F0133" w:rsidRPr="000B4E2C" w:rsidRDefault="002F0133" w:rsidP="008A7464">
            <w:pPr>
              <w:rPr>
                <w:sz w:val="22"/>
                <w:lang w:eastAsia="en-GB"/>
              </w:rPr>
            </w:pPr>
            <w:r w:rsidRPr="000B4E2C">
              <w:t>£439,959</w:t>
            </w:r>
          </w:p>
        </w:tc>
        <w:tc>
          <w:tcPr>
            <w:tcW w:w="0" w:type="auto"/>
            <w:shd w:val="clear" w:color="auto" w:fill="auto"/>
            <w:noWrap/>
            <w:hideMark/>
          </w:tcPr>
          <w:p w14:paraId="2839F618" w14:textId="77777777" w:rsidR="002F0133" w:rsidRPr="000B4E2C" w:rsidRDefault="002F0133" w:rsidP="008A7464">
            <w:pPr>
              <w:rPr>
                <w:sz w:val="22"/>
                <w:lang w:eastAsia="en-GB"/>
              </w:rPr>
            </w:pPr>
            <w:r w:rsidRPr="000B4E2C">
              <w:rPr>
                <w:sz w:val="22"/>
                <w:lang w:eastAsia="en-GB"/>
              </w:rPr>
              <w:t>0.4%</w:t>
            </w:r>
          </w:p>
        </w:tc>
        <w:tc>
          <w:tcPr>
            <w:tcW w:w="0" w:type="auto"/>
            <w:gridSpan w:val="2"/>
            <w:shd w:val="clear" w:color="auto" w:fill="auto"/>
            <w:noWrap/>
            <w:hideMark/>
          </w:tcPr>
          <w:p w14:paraId="52A2B788" w14:textId="77777777" w:rsidR="002F0133" w:rsidRPr="000B4E2C" w:rsidRDefault="002F0133" w:rsidP="008A7464">
            <w:pPr>
              <w:rPr>
                <w:sz w:val="22"/>
                <w:lang w:eastAsia="en-GB"/>
              </w:rPr>
            </w:pPr>
            <w:r w:rsidRPr="000B4E2C">
              <w:rPr>
                <w:sz w:val="22"/>
                <w:lang w:eastAsia="en-GB"/>
              </w:rPr>
              <w:t>9.5%</w:t>
            </w:r>
          </w:p>
        </w:tc>
      </w:tr>
      <w:tr w:rsidR="002F0133" w:rsidRPr="000B4E2C" w14:paraId="3F03270D" w14:textId="77777777" w:rsidTr="000B4E2C">
        <w:trPr>
          <w:cantSplit/>
          <w:tblHeader/>
        </w:trPr>
        <w:tc>
          <w:tcPr>
            <w:tcW w:w="0" w:type="auto"/>
            <w:shd w:val="clear" w:color="auto" w:fill="auto"/>
            <w:noWrap/>
            <w:hideMark/>
          </w:tcPr>
          <w:p w14:paraId="7176B8AB" w14:textId="1D144815"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729762AB" w14:textId="77777777" w:rsidR="002F0133" w:rsidRPr="000B4E2C" w:rsidRDefault="002F0133" w:rsidP="008A7464">
            <w:pPr>
              <w:rPr>
                <w:sz w:val="22"/>
                <w:lang w:eastAsia="en-GB"/>
              </w:rPr>
            </w:pPr>
            <w:r w:rsidRPr="000B4E2C">
              <w:rPr>
                <w:sz w:val="22"/>
                <w:lang w:eastAsia="en-GB"/>
              </w:rPr>
              <w:t>£27,774</w:t>
            </w:r>
          </w:p>
        </w:tc>
        <w:tc>
          <w:tcPr>
            <w:tcW w:w="0" w:type="auto"/>
            <w:gridSpan w:val="2"/>
            <w:shd w:val="clear" w:color="auto" w:fill="auto"/>
            <w:noWrap/>
            <w:hideMark/>
          </w:tcPr>
          <w:p w14:paraId="34B11F5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A0C8276" w14:textId="77777777" w:rsidR="002F0133" w:rsidRPr="000B4E2C" w:rsidRDefault="002F0133" w:rsidP="008A7464">
            <w:pPr>
              <w:rPr>
                <w:sz w:val="22"/>
                <w:lang w:eastAsia="en-GB"/>
              </w:rPr>
            </w:pPr>
            <w:r w:rsidRPr="000B4E2C">
              <w:rPr>
                <w:sz w:val="22"/>
                <w:lang w:eastAsia="en-GB"/>
              </w:rPr>
              <w:t>8.20155</w:t>
            </w:r>
          </w:p>
        </w:tc>
        <w:tc>
          <w:tcPr>
            <w:tcW w:w="0" w:type="auto"/>
            <w:shd w:val="clear" w:color="auto" w:fill="auto"/>
            <w:noWrap/>
            <w:hideMark/>
          </w:tcPr>
          <w:p w14:paraId="1CF5964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492D81E"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079C4D2" w14:textId="77777777" w:rsidR="002F0133" w:rsidRPr="000B4E2C" w:rsidRDefault="002F0133" w:rsidP="008A7464">
            <w:pPr>
              <w:rPr>
                <w:sz w:val="22"/>
                <w:lang w:eastAsia="en-GB"/>
              </w:rPr>
            </w:pPr>
            <w:r w:rsidRPr="000B4E2C">
              <w:t>£500,966</w:t>
            </w:r>
          </w:p>
        </w:tc>
        <w:tc>
          <w:tcPr>
            <w:tcW w:w="0" w:type="auto"/>
            <w:shd w:val="clear" w:color="auto" w:fill="auto"/>
            <w:noWrap/>
            <w:hideMark/>
          </w:tcPr>
          <w:p w14:paraId="3A80A8E5" w14:textId="77777777" w:rsidR="002F0133" w:rsidRPr="000B4E2C" w:rsidRDefault="002F0133" w:rsidP="008A7464">
            <w:pPr>
              <w:rPr>
                <w:sz w:val="22"/>
                <w:lang w:eastAsia="en-GB"/>
              </w:rPr>
            </w:pPr>
            <w:r w:rsidRPr="000B4E2C">
              <w:rPr>
                <w:sz w:val="22"/>
                <w:lang w:eastAsia="en-GB"/>
              </w:rPr>
              <w:t>0.1%</w:t>
            </w:r>
          </w:p>
        </w:tc>
        <w:tc>
          <w:tcPr>
            <w:tcW w:w="0" w:type="auto"/>
            <w:gridSpan w:val="2"/>
            <w:shd w:val="clear" w:color="auto" w:fill="auto"/>
            <w:noWrap/>
            <w:hideMark/>
          </w:tcPr>
          <w:p w14:paraId="74DC35A6" w14:textId="77777777" w:rsidR="002F0133" w:rsidRPr="000B4E2C" w:rsidRDefault="002F0133" w:rsidP="008A7464">
            <w:pPr>
              <w:rPr>
                <w:sz w:val="22"/>
                <w:lang w:eastAsia="en-GB"/>
              </w:rPr>
            </w:pPr>
            <w:r w:rsidRPr="000B4E2C">
              <w:rPr>
                <w:sz w:val="22"/>
                <w:lang w:eastAsia="en-GB"/>
              </w:rPr>
              <w:t>7.0%</w:t>
            </w:r>
          </w:p>
        </w:tc>
      </w:tr>
      <w:tr w:rsidR="002F0133" w:rsidRPr="000B4E2C" w14:paraId="096251BA" w14:textId="77777777" w:rsidTr="000B4E2C">
        <w:trPr>
          <w:cantSplit/>
          <w:tblHeader/>
        </w:trPr>
        <w:tc>
          <w:tcPr>
            <w:tcW w:w="0" w:type="auto"/>
            <w:gridSpan w:val="11"/>
            <w:shd w:val="clear" w:color="auto" w:fill="auto"/>
            <w:noWrap/>
            <w:hideMark/>
          </w:tcPr>
          <w:p w14:paraId="76FE0066" w14:textId="2FC3819B" w:rsidR="002F0133" w:rsidRPr="000B4E2C" w:rsidRDefault="002F0133" w:rsidP="008A7464">
            <w:pPr>
              <w:rPr>
                <w:b/>
                <w:bCs/>
                <w:sz w:val="22"/>
                <w:lang w:eastAsia="en-GB"/>
              </w:rPr>
            </w:pPr>
            <w:r w:rsidRPr="000B4E2C">
              <w:rPr>
                <w:b/>
                <w:bCs/>
                <w:sz w:val="22"/>
                <w:lang w:eastAsia="en-GB"/>
              </w:rPr>
              <w:t xml:space="preserve">Scenario </w:t>
            </w:r>
            <w:r w:rsidR="000B4E2C" w:rsidRPr="000B4E2C">
              <w:rPr>
                <w:b/>
                <w:bCs/>
                <w:color w:val="00B0F0"/>
                <w:sz w:val="22"/>
                <w:lang w:eastAsia="en-GB"/>
              </w:rPr>
              <w:t>2</w:t>
            </w:r>
            <w:r w:rsidR="000B4E2C" w:rsidRPr="000B4E2C">
              <w:rPr>
                <w:b/>
                <w:bCs/>
                <w:color w:val="00B0F0"/>
                <w:sz w:val="22"/>
                <w:lang w:eastAsia="en-GB"/>
              </w:rPr>
              <w:t> </w:t>
            </w:r>
            <w:r w:rsidR="000B4E2C" w:rsidRPr="000B4E2C">
              <w:rPr>
                <w:b/>
                <w:bCs/>
                <w:color w:val="00B0F0"/>
                <w:sz w:val="22"/>
                <w:lang w:eastAsia="en-GB"/>
              </w:rPr>
              <w:t>J:</w:t>
            </w:r>
            <w:r w:rsidRPr="000B4E2C">
              <w:rPr>
                <w:b/>
                <w:bCs/>
                <w:sz w:val="22"/>
                <w:lang w:eastAsia="en-GB"/>
              </w:rPr>
              <w:t xml:space="preserve"> 6% discount rate applied to both costs and QALYs</w:t>
            </w:r>
          </w:p>
        </w:tc>
      </w:tr>
      <w:tr w:rsidR="002F0133" w:rsidRPr="000B4E2C" w14:paraId="6A9DB07D" w14:textId="77777777" w:rsidTr="000B4E2C">
        <w:trPr>
          <w:cantSplit/>
          <w:tblHeader/>
        </w:trPr>
        <w:tc>
          <w:tcPr>
            <w:tcW w:w="0" w:type="auto"/>
            <w:shd w:val="clear" w:color="auto" w:fill="auto"/>
            <w:noWrap/>
            <w:hideMark/>
          </w:tcPr>
          <w:p w14:paraId="1BE60C09"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63688956" w14:textId="77777777" w:rsidR="002F0133" w:rsidRPr="000B4E2C" w:rsidRDefault="002F0133" w:rsidP="008A7464">
            <w:pPr>
              <w:rPr>
                <w:sz w:val="22"/>
                <w:lang w:eastAsia="en-GB"/>
              </w:rPr>
            </w:pPr>
            <w:r w:rsidRPr="000B4E2C">
              <w:rPr>
                <w:sz w:val="22"/>
                <w:lang w:eastAsia="en-GB"/>
              </w:rPr>
              <w:t>£21,153</w:t>
            </w:r>
          </w:p>
        </w:tc>
        <w:tc>
          <w:tcPr>
            <w:tcW w:w="0" w:type="auto"/>
            <w:gridSpan w:val="2"/>
            <w:shd w:val="clear" w:color="auto" w:fill="auto"/>
            <w:noWrap/>
            <w:hideMark/>
          </w:tcPr>
          <w:p w14:paraId="3C69A0CD"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3B4ABC47" w14:textId="77777777" w:rsidR="002F0133" w:rsidRPr="000B4E2C" w:rsidRDefault="002F0133" w:rsidP="008A7464">
            <w:pPr>
              <w:rPr>
                <w:sz w:val="22"/>
                <w:lang w:eastAsia="en-GB"/>
              </w:rPr>
            </w:pPr>
            <w:r w:rsidRPr="000B4E2C">
              <w:rPr>
                <w:sz w:val="22"/>
                <w:lang w:eastAsia="en-GB"/>
              </w:rPr>
              <w:t>5.11027</w:t>
            </w:r>
          </w:p>
        </w:tc>
        <w:tc>
          <w:tcPr>
            <w:tcW w:w="0" w:type="auto"/>
            <w:shd w:val="clear" w:color="auto" w:fill="auto"/>
            <w:noWrap/>
            <w:hideMark/>
          </w:tcPr>
          <w:p w14:paraId="3D25C789"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6D64A124"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4886E221" w14:textId="77777777" w:rsidR="002F0133" w:rsidRPr="000B4E2C" w:rsidRDefault="002F0133" w:rsidP="008A7464">
            <w:pPr>
              <w:rPr>
                <w:sz w:val="22"/>
                <w:lang w:eastAsia="en-GB"/>
              </w:rPr>
            </w:pPr>
            <w:r w:rsidRPr="000B4E2C">
              <w:t>--</w:t>
            </w:r>
          </w:p>
        </w:tc>
        <w:tc>
          <w:tcPr>
            <w:tcW w:w="0" w:type="auto"/>
            <w:shd w:val="clear" w:color="auto" w:fill="auto"/>
            <w:noWrap/>
            <w:hideMark/>
          </w:tcPr>
          <w:p w14:paraId="799DF629" w14:textId="77777777" w:rsidR="002F0133" w:rsidRPr="000B4E2C" w:rsidRDefault="002F0133" w:rsidP="008A7464">
            <w:pPr>
              <w:rPr>
                <w:sz w:val="22"/>
                <w:lang w:eastAsia="en-GB"/>
              </w:rPr>
            </w:pPr>
            <w:r w:rsidRPr="000B4E2C">
              <w:rPr>
                <w:sz w:val="22"/>
                <w:lang w:eastAsia="en-GB"/>
              </w:rPr>
              <w:t>67.1%</w:t>
            </w:r>
          </w:p>
        </w:tc>
        <w:tc>
          <w:tcPr>
            <w:tcW w:w="0" w:type="auto"/>
            <w:gridSpan w:val="2"/>
            <w:shd w:val="clear" w:color="auto" w:fill="auto"/>
            <w:noWrap/>
            <w:hideMark/>
          </w:tcPr>
          <w:p w14:paraId="3BF96B7F" w14:textId="77777777" w:rsidR="002F0133" w:rsidRPr="000B4E2C" w:rsidRDefault="002F0133" w:rsidP="008A7464">
            <w:pPr>
              <w:rPr>
                <w:sz w:val="22"/>
                <w:lang w:eastAsia="en-GB"/>
              </w:rPr>
            </w:pPr>
            <w:r w:rsidRPr="000B4E2C">
              <w:rPr>
                <w:sz w:val="22"/>
                <w:lang w:eastAsia="en-GB"/>
              </w:rPr>
              <w:t>--</w:t>
            </w:r>
          </w:p>
        </w:tc>
      </w:tr>
      <w:tr w:rsidR="002F0133" w:rsidRPr="000B4E2C" w14:paraId="59A2C48B" w14:textId="77777777" w:rsidTr="000B4E2C">
        <w:trPr>
          <w:cantSplit/>
          <w:tblHeader/>
        </w:trPr>
        <w:tc>
          <w:tcPr>
            <w:tcW w:w="0" w:type="auto"/>
            <w:shd w:val="clear" w:color="auto" w:fill="auto"/>
            <w:noWrap/>
            <w:hideMark/>
          </w:tcPr>
          <w:p w14:paraId="3E88A4F2"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1B2CA338" w14:textId="77777777" w:rsidR="002F0133" w:rsidRPr="000B4E2C" w:rsidRDefault="002F0133" w:rsidP="008A7464">
            <w:pPr>
              <w:rPr>
                <w:sz w:val="22"/>
                <w:lang w:eastAsia="en-GB"/>
              </w:rPr>
            </w:pPr>
            <w:r w:rsidRPr="000B4E2C">
              <w:rPr>
                <w:sz w:val="22"/>
                <w:lang w:eastAsia="en-GB"/>
              </w:rPr>
              <w:t>£21,192</w:t>
            </w:r>
          </w:p>
        </w:tc>
        <w:tc>
          <w:tcPr>
            <w:tcW w:w="0" w:type="auto"/>
            <w:gridSpan w:val="2"/>
            <w:shd w:val="clear" w:color="auto" w:fill="auto"/>
            <w:noWrap/>
            <w:hideMark/>
          </w:tcPr>
          <w:p w14:paraId="1A7E63E1" w14:textId="77777777" w:rsidR="002F0133" w:rsidRPr="000B4E2C" w:rsidRDefault="002F0133" w:rsidP="008A7464">
            <w:pPr>
              <w:rPr>
                <w:sz w:val="22"/>
                <w:lang w:eastAsia="en-GB"/>
              </w:rPr>
            </w:pPr>
            <w:r w:rsidRPr="000B4E2C">
              <w:rPr>
                <w:sz w:val="22"/>
                <w:lang w:eastAsia="en-GB"/>
              </w:rPr>
              <w:t>£40</w:t>
            </w:r>
          </w:p>
        </w:tc>
        <w:tc>
          <w:tcPr>
            <w:tcW w:w="0" w:type="auto"/>
            <w:shd w:val="clear" w:color="auto" w:fill="auto"/>
            <w:noWrap/>
            <w:hideMark/>
          </w:tcPr>
          <w:p w14:paraId="7DCA5B9E" w14:textId="77777777" w:rsidR="002F0133" w:rsidRPr="000B4E2C" w:rsidRDefault="002F0133" w:rsidP="008A7464">
            <w:pPr>
              <w:rPr>
                <w:sz w:val="22"/>
                <w:lang w:eastAsia="en-GB"/>
              </w:rPr>
            </w:pPr>
            <w:r w:rsidRPr="000B4E2C">
              <w:rPr>
                <w:sz w:val="22"/>
                <w:lang w:eastAsia="en-GB"/>
              </w:rPr>
              <w:t>5.11055</w:t>
            </w:r>
          </w:p>
        </w:tc>
        <w:tc>
          <w:tcPr>
            <w:tcW w:w="0" w:type="auto"/>
            <w:shd w:val="clear" w:color="auto" w:fill="auto"/>
            <w:noWrap/>
            <w:hideMark/>
          </w:tcPr>
          <w:p w14:paraId="5729B508" w14:textId="77777777" w:rsidR="002F0133" w:rsidRPr="000B4E2C" w:rsidRDefault="002F0133" w:rsidP="008A7464">
            <w:pPr>
              <w:rPr>
                <w:sz w:val="22"/>
                <w:lang w:eastAsia="en-GB"/>
              </w:rPr>
            </w:pPr>
            <w:r w:rsidRPr="000B4E2C">
              <w:rPr>
                <w:sz w:val="22"/>
                <w:lang w:eastAsia="en-GB"/>
              </w:rPr>
              <w:t>0.00028</w:t>
            </w:r>
          </w:p>
        </w:tc>
        <w:tc>
          <w:tcPr>
            <w:tcW w:w="0" w:type="auto"/>
            <w:shd w:val="clear" w:color="auto" w:fill="auto"/>
            <w:noWrap/>
            <w:hideMark/>
          </w:tcPr>
          <w:p w14:paraId="7612DED3" w14:textId="77777777" w:rsidR="002F0133" w:rsidRPr="000B4E2C" w:rsidRDefault="002F0133" w:rsidP="008A7464">
            <w:pPr>
              <w:rPr>
                <w:sz w:val="22"/>
                <w:lang w:eastAsia="en-GB"/>
              </w:rPr>
            </w:pPr>
            <w:r w:rsidRPr="000B4E2C">
              <w:rPr>
                <w:sz w:val="22"/>
                <w:lang w:eastAsia="en-GB"/>
              </w:rPr>
              <w:t>£140,771</w:t>
            </w:r>
          </w:p>
        </w:tc>
        <w:tc>
          <w:tcPr>
            <w:tcW w:w="0" w:type="auto"/>
            <w:shd w:val="clear" w:color="auto" w:fill="auto"/>
            <w:noWrap/>
            <w:hideMark/>
          </w:tcPr>
          <w:p w14:paraId="4CFB4C92" w14:textId="77777777" w:rsidR="002F0133" w:rsidRPr="000B4E2C" w:rsidRDefault="002F0133" w:rsidP="008A7464">
            <w:pPr>
              <w:rPr>
                <w:sz w:val="22"/>
                <w:lang w:eastAsia="en-GB"/>
              </w:rPr>
            </w:pPr>
            <w:r w:rsidRPr="000B4E2C">
              <w:t>£140,771</w:t>
            </w:r>
          </w:p>
        </w:tc>
        <w:tc>
          <w:tcPr>
            <w:tcW w:w="0" w:type="auto"/>
            <w:shd w:val="clear" w:color="auto" w:fill="auto"/>
            <w:noWrap/>
            <w:hideMark/>
          </w:tcPr>
          <w:p w14:paraId="5FB56A0F" w14:textId="77777777" w:rsidR="002F0133" w:rsidRPr="000B4E2C" w:rsidRDefault="002F0133" w:rsidP="008A7464">
            <w:pPr>
              <w:rPr>
                <w:sz w:val="22"/>
                <w:lang w:eastAsia="en-GB"/>
              </w:rPr>
            </w:pPr>
            <w:r w:rsidRPr="000B4E2C">
              <w:rPr>
                <w:sz w:val="22"/>
                <w:lang w:eastAsia="en-GB"/>
              </w:rPr>
              <w:t>27.4%</w:t>
            </w:r>
          </w:p>
        </w:tc>
        <w:tc>
          <w:tcPr>
            <w:tcW w:w="0" w:type="auto"/>
            <w:gridSpan w:val="2"/>
            <w:shd w:val="clear" w:color="auto" w:fill="auto"/>
            <w:noWrap/>
            <w:hideMark/>
          </w:tcPr>
          <w:p w14:paraId="4DB2A64D" w14:textId="77777777" w:rsidR="002F0133" w:rsidRPr="000B4E2C" w:rsidRDefault="002F0133" w:rsidP="008A7464">
            <w:pPr>
              <w:rPr>
                <w:sz w:val="22"/>
                <w:lang w:eastAsia="en-GB"/>
              </w:rPr>
            </w:pPr>
            <w:r w:rsidRPr="000B4E2C">
              <w:rPr>
                <w:sz w:val="22"/>
                <w:lang w:eastAsia="en-GB"/>
              </w:rPr>
              <w:t>30.7%</w:t>
            </w:r>
          </w:p>
        </w:tc>
      </w:tr>
      <w:tr w:rsidR="002F0133" w:rsidRPr="000B4E2C" w14:paraId="775B4855" w14:textId="77777777" w:rsidTr="000B4E2C">
        <w:trPr>
          <w:cantSplit/>
          <w:tblHeader/>
        </w:trPr>
        <w:tc>
          <w:tcPr>
            <w:tcW w:w="0" w:type="auto"/>
            <w:shd w:val="clear" w:color="auto" w:fill="auto"/>
            <w:noWrap/>
            <w:hideMark/>
          </w:tcPr>
          <w:p w14:paraId="545AE9E7" w14:textId="517BEAB4"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3ECC21DA" w14:textId="77777777" w:rsidR="002F0133" w:rsidRPr="000B4E2C" w:rsidRDefault="002F0133" w:rsidP="008A7464">
            <w:pPr>
              <w:rPr>
                <w:sz w:val="22"/>
                <w:lang w:eastAsia="en-GB"/>
              </w:rPr>
            </w:pPr>
            <w:r w:rsidRPr="000B4E2C">
              <w:rPr>
                <w:sz w:val="22"/>
                <w:lang w:eastAsia="en-GB"/>
              </w:rPr>
              <w:t>£21,221</w:t>
            </w:r>
          </w:p>
        </w:tc>
        <w:tc>
          <w:tcPr>
            <w:tcW w:w="0" w:type="auto"/>
            <w:gridSpan w:val="2"/>
            <w:shd w:val="clear" w:color="auto" w:fill="auto"/>
            <w:noWrap/>
            <w:hideMark/>
          </w:tcPr>
          <w:p w14:paraId="383B875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EC47BC2" w14:textId="77777777" w:rsidR="002F0133" w:rsidRPr="000B4E2C" w:rsidRDefault="002F0133" w:rsidP="008A7464">
            <w:pPr>
              <w:rPr>
                <w:sz w:val="22"/>
                <w:lang w:eastAsia="en-GB"/>
              </w:rPr>
            </w:pPr>
            <w:r w:rsidRPr="000B4E2C">
              <w:rPr>
                <w:sz w:val="22"/>
                <w:lang w:eastAsia="en-GB"/>
              </w:rPr>
              <w:t>5.11037</w:t>
            </w:r>
          </w:p>
        </w:tc>
        <w:tc>
          <w:tcPr>
            <w:tcW w:w="0" w:type="auto"/>
            <w:shd w:val="clear" w:color="auto" w:fill="auto"/>
            <w:noWrap/>
            <w:hideMark/>
          </w:tcPr>
          <w:p w14:paraId="32CCA92E"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0830C2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E76D23E" w14:textId="77777777" w:rsidR="002F0133" w:rsidRPr="000B4E2C" w:rsidRDefault="002F0133" w:rsidP="008A7464">
            <w:pPr>
              <w:rPr>
                <w:sz w:val="22"/>
                <w:lang w:eastAsia="en-GB"/>
              </w:rPr>
            </w:pPr>
            <w:r w:rsidRPr="000B4E2C">
              <w:t>£686,941</w:t>
            </w:r>
          </w:p>
        </w:tc>
        <w:tc>
          <w:tcPr>
            <w:tcW w:w="0" w:type="auto"/>
            <w:shd w:val="clear" w:color="auto" w:fill="auto"/>
            <w:noWrap/>
            <w:hideMark/>
          </w:tcPr>
          <w:p w14:paraId="5F6C81D8" w14:textId="77777777" w:rsidR="002F0133" w:rsidRPr="000B4E2C" w:rsidRDefault="002F0133" w:rsidP="008A7464">
            <w:pPr>
              <w:rPr>
                <w:sz w:val="22"/>
                <w:lang w:eastAsia="en-GB"/>
              </w:rPr>
            </w:pPr>
            <w:r w:rsidRPr="000B4E2C">
              <w:rPr>
                <w:sz w:val="22"/>
                <w:lang w:eastAsia="en-GB"/>
              </w:rPr>
              <w:t>4.7%</w:t>
            </w:r>
          </w:p>
        </w:tc>
        <w:tc>
          <w:tcPr>
            <w:tcW w:w="0" w:type="auto"/>
            <w:gridSpan w:val="2"/>
            <w:shd w:val="clear" w:color="auto" w:fill="auto"/>
            <w:noWrap/>
            <w:hideMark/>
          </w:tcPr>
          <w:p w14:paraId="60BE15E8" w14:textId="77777777" w:rsidR="002F0133" w:rsidRPr="000B4E2C" w:rsidRDefault="002F0133" w:rsidP="008A7464">
            <w:pPr>
              <w:rPr>
                <w:sz w:val="22"/>
                <w:lang w:eastAsia="en-GB"/>
              </w:rPr>
            </w:pPr>
            <w:r w:rsidRPr="000B4E2C">
              <w:rPr>
                <w:sz w:val="22"/>
                <w:lang w:eastAsia="en-GB"/>
              </w:rPr>
              <w:t>10.8%</w:t>
            </w:r>
          </w:p>
        </w:tc>
      </w:tr>
      <w:tr w:rsidR="002F0133" w:rsidRPr="000B4E2C" w14:paraId="02B79550" w14:textId="77777777" w:rsidTr="000B4E2C">
        <w:trPr>
          <w:cantSplit/>
          <w:tblHeader/>
        </w:trPr>
        <w:tc>
          <w:tcPr>
            <w:tcW w:w="0" w:type="auto"/>
            <w:shd w:val="clear" w:color="auto" w:fill="auto"/>
            <w:noWrap/>
            <w:hideMark/>
          </w:tcPr>
          <w:p w14:paraId="03F2EA08" w14:textId="6D3F91DD"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1908DFD8" w14:textId="77777777" w:rsidR="002F0133" w:rsidRPr="000B4E2C" w:rsidRDefault="002F0133" w:rsidP="008A7464">
            <w:pPr>
              <w:rPr>
                <w:sz w:val="22"/>
                <w:lang w:eastAsia="en-GB"/>
              </w:rPr>
            </w:pPr>
            <w:r w:rsidRPr="000B4E2C">
              <w:rPr>
                <w:sz w:val="22"/>
                <w:lang w:eastAsia="en-GB"/>
              </w:rPr>
              <w:t>£21,235</w:t>
            </w:r>
          </w:p>
        </w:tc>
        <w:tc>
          <w:tcPr>
            <w:tcW w:w="0" w:type="auto"/>
            <w:gridSpan w:val="2"/>
            <w:shd w:val="clear" w:color="auto" w:fill="auto"/>
            <w:noWrap/>
            <w:hideMark/>
          </w:tcPr>
          <w:p w14:paraId="0480180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1263449" w14:textId="77777777" w:rsidR="002F0133" w:rsidRPr="000B4E2C" w:rsidRDefault="002F0133" w:rsidP="008A7464">
            <w:pPr>
              <w:rPr>
                <w:sz w:val="22"/>
                <w:lang w:eastAsia="en-GB"/>
              </w:rPr>
            </w:pPr>
            <w:r w:rsidRPr="000B4E2C">
              <w:rPr>
                <w:sz w:val="22"/>
                <w:lang w:eastAsia="en-GB"/>
              </w:rPr>
              <w:t>5.11038</w:t>
            </w:r>
          </w:p>
        </w:tc>
        <w:tc>
          <w:tcPr>
            <w:tcW w:w="0" w:type="auto"/>
            <w:shd w:val="clear" w:color="auto" w:fill="auto"/>
            <w:noWrap/>
            <w:hideMark/>
          </w:tcPr>
          <w:p w14:paraId="71B09E6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FB98CA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C554479" w14:textId="77777777" w:rsidR="002F0133" w:rsidRPr="000B4E2C" w:rsidRDefault="002F0133" w:rsidP="008A7464">
            <w:pPr>
              <w:rPr>
                <w:sz w:val="22"/>
                <w:lang w:eastAsia="en-GB"/>
              </w:rPr>
            </w:pPr>
            <w:r w:rsidRPr="000B4E2C">
              <w:t>£808,828</w:t>
            </w:r>
          </w:p>
        </w:tc>
        <w:tc>
          <w:tcPr>
            <w:tcW w:w="0" w:type="auto"/>
            <w:shd w:val="clear" w:color="auto" w:fill="auto"/>
            <w:noWrap/>
            <w:hideMark/>
          </w:tcPr>
          <w:p w14:paraId="5E30A814" w14:textId="77777777" w:rsidR="002F0133" w:rsidRPr="000B4E2C" w:rsidRDefault="002F0133" w:rsidP="008A7464">
            <w:pPr>
              <w:rPr>
                <w:sz w:val="22"/>
                <w:lang w:eastAsia="en-GB"/>
              </w:rPr>
            </w:pPr>
            <w:r w:rsidRPr="000B4E2C">
              <w:rPr>
                <w:sz w:val="22"/>
                <w:lang w:eastAsia="en-GB"/>
              </w:rPr>
              <w:t>0.8%</w:t>
            </w:r>
          </w:p>
        </w:tc>
        <w:tc>
          <w:tcPr>
            <w:tcW w:w="0" w:type="auto"/>
            <w:gridSpan w:val="2"/>
            <w:shd w:val="clear" w:color="auto" w:fill="auto"/>
            <w:noWrap/>
            <w:hideMark/>
          </w:tcPr>
          <w:p w14:paraId="0BACE41B" w14:textId="77777777" w:rsidR="002F0133" w:rsidRPr="000B4E2C" w:rsidRDefault="002F0133" w:rsidP="008A7464">
            <w:pPr>
              <w:rPr>
                <w:sz w:val="22"/>
                <w:lang w:eastAsia="en-GB"/>
              </w:rPr>
            </w:pPr>
            <w:r w:rsidRPr="000B4E2C">
              <w:rPr>
                <w:sz w:val="22"/>
                <w:lang w:eastAsia="en-GB"/>
              </w:rPr>
              <w:t>8.0%</w:t>
            </w:r>
          </w:p>
        </w:tc>
      </w:tr>
      <w:tr w:rsidR="002F0133" w:rsidRPr="000B4E2C" w14:paraId="41DB848D" w14:textId="77777777" w:rsidTr="000B4E2C">
        <w:trPr>
          <w:cantSplit/>
          <w:tblHeader/>
        </w:trPr>
        <w:tc>
          <w:tcPr>
            <w:tcW w:w="0" w:type="auto"/>
            <w:shd w:val="clear" w:color="auto" w:fill="auto"/>
            <w:noWrap/>
            <w:hideMark/>
          </w:tcPr>
          <w:p w14:paraId="57E7C5B3" w14:textId="3408B1AA"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7198413D" w14:textId="77777777" w:rsidR="002F0133" w:rsidRPr="000B4E2C" w:rsidRDefault="002F0133" w:rsidP="008A7464">
            <w:pPr>
              <w:rPr>
                <w:sz w:val="22"/>
                <w:lang w:eastAsia="en-GB"/>
              </w:rPr>
            </w:pPr>
            <w:r w:rsidRPr="000B4E2C">
              <w:rPr>
                <w:sz w:val="22"/>
                <w:lang w:eastAsia="en-GB"/>
              </w:rPr>
              <w:t>£21,238</w:t>
            </w:r>
          </w:p>
        </w:tc>
        <w:tc>
          <w:tcPr>
            <w:tcW w:w="0" w:type="auto"/>
            <w:gridSpan w:val="2"/>
            <w:shd w:val="clear" w:color="auto" w:fill="auto"/>
            <w:noWrap/>
            <w:hideMark/>
          </w:tcPr>
          <w:p w14:paraId="790BB08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07F1BB4" w14:textId="77777777" w:rsidR="002F0133" w:rsidRPr="000B4E2C" w:rsidRDefault="002F0133" w:rsidP="008A7464">
            <w:pPr>
              <w:rPr>
                <w:sz w:val="22"/>
                <w:lang w:eastAsia="en-GB"/>
              </w:rPr>
            </w:pPr>
            <w:r w:rsidRPr="000B4E2C">
              <w:rPr>
                <w:sz w:val="22"/>
                <w:lang w:eastAsia="en-GB"/>
              </w:rPr>
              <w:t>5.11036</w:t>
            </w:r>
          </w:p>
        </w:tc>
        <w:tc>
          <w:tcPr>
            <w:tcW w:w="0" w:type="auto"/>
            <w:shd w:val="clear" w:color="auto" w:fill="auto"/>
            <w:noWrap/>
            <w:hideMark/>
          </w:tcPr>
          <w:p w14:paraId="3756B65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49CE07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15B56E5" w14:textId="77777777" w:rsidR="002F0133" w:rsidRPr="000B4E2C" w:rsidRDefault="002F0133" w:rsidP="008A7464">
            <w:pPr>
              <w:rPr>
                <w:sz w:val="22"/>
                <w:lang w:eastAsia="en-GB"/>
              </w:rPr>
            </w:pPr>
            <w:r w:rsidRPr="000B4E2C">
              <w:t>£937,507</w:t>
            </w:r>
          </w:p>
        </w:tc>
        <w:tc>
          <w:tcPr>
            <w:tcW w:w="0" w:type="auto"/>
            <w:shd w:val="clear" w:color="auto" w:fill="auto"/>
            <w:noWrap/>
            <w:hideMark/>
          </w:tcPr>
          <w:p w14:paraId="08217519"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0695F4C3" w14:textId="77777777" w:rsidR="002F0133" w:rsidRPr="000B4E2C" w:rsidRDefault="002F0133" w:rsidP="008A7464">
            <w:pPr>
              <w:rPr>
                <w:sz w:val="22"/>
                <w:lang w:eastAsia="en-GB"/>
              </w:rPr>
            </w:pPr>
            <w:r w:rsidRPr="000B4E2C">
              <w:rPr>
                <w:sz w:val="22"/>
                <w:lang w:eastAsia="en-GB"/>
              </w:rPr>
              <w:t>6.3%</w:t>
            </w:r>
          </w:p>
        </w:tc>
      </w:tr>
      <w:tr w:rsidR="002F0133" w:rsidRPr="000B4E2C" w14:paraId="4504B8A3" w14:textId="77777777" w:rsidTr="000B4E2C">
        <w:trPr>
          <w:cantSplit/>
          <w:tblHeader/>
        </w:trPr>
        <w:tc>
          <w:tcPr>
            <w:tcW w:w="0" w:type="auto"/>
            <w:gridSpan w:val="11"/>
            <w:shd w:val="clear" w:color="auto" w:fill="auto"/>
            <w:noWrap/>
            <w:hideMark/>
          </w:tcPr>
          <w:p w14:paraId="1D78F967" w14:textId="3978ADC9" w:rsidR="002F0133" w:rsidRPr="000B4E2C" w:rsidRDefault="002F0133" w:rsidP="008A7464">
            <w:pPr>
              <w:rPr>
                <w:b/>
                <w:bCs/>
                <w:sz w:val="22"/>
                <w:lang w:eastAsia="en-GB"/>
              </w:rPr>
            </w:pPr>
            <w:r w:rsidRPr="000B4E2C">
              <w:rPr>
                <w:b/>
                <w:bCs/>
                <w:sz w:val="22"/>
                <w:lang w:eastAsia="en-GB"/>
              </w:rPr>
              <w:t xml:space="preserve">Scenario </w:t>
            </w:r>
            <w:r w:rsidR="000B4E2C" w:rsidRPr="000B4E2C">
              <w:rPr>
                <w:b/>
                <w:bCs/>
                <w:color w:val="00B0F0"/>
                <w:sz w:val="22"/>
                <w:lang w:eastAsia="en-GB"/>
              </w:rPr>
              <w:t>2</w:t>
            </w:r>
            <w:r w:rsidR="000B4E2C" w:rsidRPr="000B4E2C">
              <w:rPr>
                <w:b/>
                <w:bCs/>
                <w:color w:val="00B0F0"/>
                <w:sz w:val="22"/>
                <w:lang w:eastAsia="en-GB"/>
              </w:rPr>
              <w:t> </w:t>
            </w:r>
            <w:r w:rsidR="000B4E2C" w:rsidRPr="000B4E2C">
              <w:rPr>
                <w:b/>
                <w:bCs/>
                <w:color w:val="00B0F0"/>
                <w:sz w:val="22"/>
                <w:lang w:eastAsia="en-GB"/>
              </w:rPr>
              <w:t>K:</w:t>
            </w:r>
            <w:r w:rsidRPr="000B4E2C">
              <w:rPr>
                <w:b/>
                <w:bCs/>
                <w:sz w:val="22"/>
                <w:lang w:eastAsia="en-GB"/>
              </w:rPr>
              <w:t xml:space="preserve"> Apply alternative source for </w:t>
            </w:r>
            <w:r w:rsidR="005A224F" w:rsidRPr="000B4E2C">
              <w:rPr>
                <w:b/>
                <w:bCs/>
                <w:sz w:val="22"/>
                <w:lang w:eastAsia="en-GB"/>
              </w:rPr>
              <w:t xml:space="preserve">AKI </w:t>
            </w:r>
            <w:r w:rsidRPr="000B4E2C">
              <w:rPr>
                <w:b/>
                <w:bCs/>
                <w:sz w:val="22"/>
                <w:lang w:eastAsia="en-GB"/>
              </w:rPr>
              <w:t xml:space="preserve">prevalence (average prevalence </w:t>
            </w:r>
            <w:r w:rsidR="005A224F" w:rsidRPr="000B4E2C">
              <w:rPr>
                <w:b/>
                <w:bCs/>
                <w:sz w:val="22"/>
                <w:lang w:eastAsia="en-GB"/>
              </w:rPr>
              <w:t xml:space="preserve">0.2332 </w:t>
            </w:r>
            <w:r w:rsidRPr="000B4E2C">
              <w:rPr>
                <w:b/>
                <w:bCs/>
                <w:sz w:val="22"/>
                <w:lang w:eastAsia="en-GB"/>
              </w:rPr>
              <w:t>across systematic review studies)</w:t>
            </w:r>
          </w:p>
        </w:tc>
      </w:tr>
      <w:tr w:rsidR="002F0133" w:rsidRPr="000B4E2C" w14:paraId="5067A69A" w14:textId="77777777" w:rsidTr="000B4E2C">
        <w:trPr>
          <w:cantSplit/>
          <w:tblHeader/>
        </w:trPr>
        <w:tc>
          <w:tcPr>
            <w:tcW w:w="0" w:type="auto"/>
            <w:shd w:val="clear" w:color="auto" w:fill="auto"/>
            <w:noWrap/>
            <w:hideMark/>
          </w:tcPr>
          <w:p w14:paraId="612C2559"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75A1A2E4" w14:textId="77777777" w:rsidR="002F0133" w:rsidRPr="000B4E2C" w:rsidRDefault="002F0133" w:rsidP="008A7464">
            <w:pPr>
              <w:rPr>
                <w:sz w:val="22"/>
                <w:lang w:eastAsia="en-GB"/>
              </w:rPr>
            </w:pPr>
            <w:r w:rsidRPr="000B4E2C">
              <w:rPr>
                <w:sz w:val="22"/>
                <w:lang w:eastAsia="en-GB"/>
              </w:rPr>
              <w:t>£23,014</w:t>
            </w:r>
          </w:p>
        </w:tc>
        <w:tc>
          <w:tcPr>
            <w:tcW w:w="0" w:type="auto"/>
            <w:gridSpan w:val="2"/>
            <w:shd w:val="clear" w:color="auto" w:fill="auto"/>
            <w:noWrap/>
            <w:hideMark/>
          </w:tcPr>
          <w:p w14:paraId="54F303AE"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9E117FC" w14:textId="77777777" w:rsidR="002F0133" w:rsidRPr="000B4E2C" w:rsidRDefault="002F0133" w:rsidP="008A7464">
            <w:pPr>
              <w:rPr>
                <w:sz w:val="22"/>
                <w:lang w:eastAsia="en-GB"/>
              </w:rPr>
            </w:pPr>
            <w:r w:rsidRPr="000B4E2C">
              <w:rPr>
                <w:sz w:val="22"/>
                <w:lang w:eastAsia="en-GB"/>
              </w:rPr>
              <w:t>5.85682</w:t>
            </w:r>
          </w:p>
        </w:tc>
        <w:tc>
          <w:tcPr>
            <w:tcW w:w="0" w:type="auto"/>
            <w:shd w:val="clear" w:color="auto" w:fill="auto"/>
            <w:noWrap/>
            <w:hideMark/>
          </w:tcPr>
          <w:p w14:paraId="1B61D5FF"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135B5B00"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32BECDCB" w14:textId="77777777" w:rsidR="002F0133" w:rsidRPr="000B4E2C" w:rsidRDefault="002F0133" w:rsidP="008A7464">
            <w:pPr>
              <w:rPr>
                <w:sz w:val="22"/>
                <w:lang w:eastAsia="en-GB"/>
              </w:rPr>
            </w:pPr>
            <w:r w:rsidRPr="000B4E2C">
              <w:t>Dominant</w:t>
            </w:r>
          </w:p>
        </w:tc>
        <w:tc>
          <w:tcPr>
            <w:tcW w:w="0" w:type="auto"/>
            <w:shd w:val="clear" w:color="auto" w:fill="auto"/>
            <w:noWrap/>
            <w:hideMark/>
          </w:tcPr>
          <w:p w14:paraId="5CE9A076" w14:textId="77777777" w:rsidR="002F0133" w:rsidRPr="000B4E2C" w:rsidRDefault="002F0133" w:rsidP="008A7464">
            <w:pPr>
              <w:rPr>
                <w:sz w:val="22"/>
                <w:lang w:eastAsia="en-GB"/>
              </w:rPr>
            </w:pPr>
            <w:r w:rsidRPr="000B4E2C">
              <w:rPr>
                <w:sz w:val="22"/>
                <w:lang w:eastAsia="en-GB"/>
              </w:rPr>
              <w:t>63.1%</w:t>
            </w:r>
          </w:p>
        </w:tc>
        <w:tc>
          <w:tcPr>
            <w:tcW w:w="0" w:type="auto"/>
            <w:gridSpan w:val="2"/>
            <w:shd w:val="clear" w:color="auto" w:fill="auto"/>
            <w:noWrap/>
            <w:hideMark/>
          </w:tcPr>
          <w:p w14:paraId="09BDC628" w14:textId="77777777" w:rsidR="002F0133" w:rsidRPr="000B4E2C" w:rsidRDefault="002F0133" w:rsidP="008A7464">
            <w:pPr>
              <w:rPr>
                <w:sz w:val="22"/>
                <w:lang w:eastAsia="en-GB"/>
              </w:rPr>
            </w:pPr>
            <w:r w:rsidRPr="000B4E2C">
              <w:rPr>
                <w:sz w:val="22"/>
                <w:lang w:eastAsia="en-GB"/>
              </w:rPr>
              <w:t>67.0%</w:t>
            </w:r>
          </w:p>
        </w:tc>
      </w:tr>
      <w:tr w:rsidR="002F0133" w:rsidRPr="000B4E2C" w14:paraId="6BE66457" w14:textId="77777777" w:rsidTr="000B4E2C">
        <w:trPr>
          <w:cantSplit/>
          <w:tblHeader/>
        </w:trPr>
        <w:tc>
          <w:tcPr>
            <w:tcW w:w="0" w:type="auto"/>
            <w:shd w:val="clear" w:color="auto" w:fill="auto"/>
            <w:noWrap/>
            <w:hideMark/>
          </w:tcPr>
          <w:p w14:paraId="336F3305"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4C050ED2" w14:textId="77777777" w:rsidR="002F0133" w:rsidRPr="000B4E2C" w:rsidRDefault="002F0133" w:rsidP="008A7464">
            <w:pPr>
              <w:rPr>
                <w:sz w:val="22"/>
                <w:lang w:eastAsia="en-GB"/>
              </w:rPr>
            </w:pPr>
            <w:r w:rsidRPr="000B4E2C">
              <w:rPr>
                <w:sz w:val="22"/>
                <w:lang w:eastAsia="en-GB"/>
              </w:rPr>
              <w:t>£23,122</w:t>
            </w:r>
          </w:p>
        </w:tc>
        <w:tc>
          <w:tcPr>
            <w:tcW w:w="0" w:type="auto"/>
            <w:gridSpan w:val="2"/>
            <w:shd w:val="clear" w:color="auto" w:fill="auto"/>
            <w:noWrap/>
            <w:hideMark/>
          </w:tcPr>
          <w:p w14:paraId="79167D7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ED8C6CD" w14:textId="77777777" w:rsidR="002F0133" w:rsidRPr="000B4E2C" w:rsidRDefault="002F0133" w:rsidP="008A7464">
            <w:pPr>
              <w:rPr>
                <w:sz w:val="22"/>
                <w:lang w:eastAsia="en-GB"/>
              </w:rPr>
            </w:pPr>
            <w:r w:rsidRPr="000B4E2C">
              <w:rPr>
                <w:sz w:val="22"/>
                <w:lang w:eastAsia="en-GB"/>
              </w:rPr>
              <w:t>5.85589</w:t>
            </w:r>
          </w:p>
        </w:tc>
        <w:tc>
          <w:tcPr>
            <w:tcW w:w="0" w:type="auto"/>
            <w:shd w:val="clear" w:color="auto" w:fill="auto"/>
            <w:noWrap/>
            <w:hideMark/>
          </w:tcPr>
          <w:p w14:paraId="0D4F8EB4"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02235F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B7DA690" w14:textId="77777777" w:rsidR="002F0133" w:rsidRPr="000B4E2C" w:rsidRDefault="002F0133" w:rsidP="008A7464">
            <w:pPr>
              <w:rPr>
                <w:sz w:val="22"/>
                <w:lang w:eastAsia="en-GB"/>
              </w:rPr>
            </w:pPr>
            <w:r w:rsidRPr="000B4E2C">
              <w:t>--</w:t>
            </w:r>
          </w:p>
        </w:tc>
        <w:tc>
          <w:tcPr>
            <w:tcW w:w="0" w:type="auto"/>
            <w:shd w:val="clear" w:color="auto" w:fill="auto"/>
            <w:noWrap/>
            <w:hideMark/>
          </w:tcPr>
          <w:p w14:paraId="1E6BCDFD" w14:textId="77777777" w:rsidR="002F0133" w:rsidRPr="000B4E2C" w:rsidRDefault="002F0133" w:rsidP="008A7464">
            <w:pPr>
              <w:rPr>
                <w:sz w:val="22"/>
                <w:lang w:eastAsia="en-GB"/>
              </w:rPr>
            </w:pPr>
            <w:r w:rsidRPr="000B4E2C">
              <w:rPr>
                <w:sz w:val="22"/>
                <w:lang w:eastAsia="en-GB"/>
              </w:rPr>
              <w:t>28.4%</w:t>
            </w:r>
          </w:p>
        </w:tc>
        <w:tc>
          <w:tcPr>
            <w:tcW w:w="0" w:type="auto"/>
            <w:gridSpan w:val="2"/>
            <w:shd w:val="clear" w:color="auto" w:fill="auto"/>
            <w:noWrap/>
            <w:hideMark/>
          </w:tcPr>
          <w:p w14:paraId="28CA1723" w14:textId="77777777" w:rsidR="002F0133" w:rsidRPr="000B4E2C" w:rsidRDefault="002F0133" w:rsidP="008A7464">
            <w:pPr>
              <w:rPr>
                <w:sz w:val="22"/>
                <w:lang w:eastAsia="en-GB"/>
              </w:rPr>
            </w:pPr>
            <w:r w:rsidRPr="000B4E2C">
              <w:rPr>
                <w:sz w:val="22"/>
                <w:lang w:eastAsia="en-GB"/>
              </w:rPr>
              <w:t>--</w:t>
            </w:r>
          </w:p>
        </w:tc>
      </w:tr>
      <w:tr w:rsidR="002F0133" w:rsidRPr="000B4E2C" w14:paraId="7C7B0D26" w14:textId="77777777" w:rsidTr="000B4E2C">
        <w:trPr>
          <w:cantSplit/>
          <w:tblHeader/>
        </w:trPr>
        <w:tc>
          <w:tcPr>
            <w:tcW w:w="0" w:type="auto"/>
            <w:shd w:val="clear" w:color="auto" w:fill="auto"/>
            <w:noWrap/>
            <w:hideMark/>
          </w:tcPr>
          <w:p w14:paraId="00A45A84" w14:textId="78FC6C20"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3C3125A3" w14:textId="77777777" w:rsidR="002F0133" w:rsidRPr="000B4E2C" w:rsidRDefault="002F0133" w:rsidP="008A7464">
            <w:pPr>
              <w:rPr>
                <w:sz w:val="22"/>
                <w:lang w:eastAsia="en-GB"/>
              </w:rPr>
            </w:pPr>
            <w:r w:rsidRPr="000B4E2C">
              <w:rPr>
                <w:sz w:val="22"/>
                <w:lang w:eastAsia="en-GB"/>
              </w:rPr>
              <w:t>£23,171</w:t>
            </w:r>
          </w:p>
        </w:tc>
        <w:tc>
          <w:tcPr>
            <w:tcW w:w="0" w:type="auto"/>
            <w:gridSpan w:val="2"/>
            <w:shd w:val="clear" w:color="auto" w:fill="auto"/>
            <w:noWrap/>
            <w:hideMark/>
          </w:tcPr>
          <w:p w14:paraId="447DB41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5727514" w14:textId="77777777" w:rsidR="002F0133" w:rsidRPr="000B4E2C" w:rsidRDefault="002F0133" w:rsidP="008A7464">
            <w:pPr>
              <w:rPr>
                <w:sz w:val="22"/>
                <w:lang w:eastAsia="en-GB"/>
              </w:rPr>
            </w:pPr>
            <w:r w:rsidRPr="000B4E2C">
              <w:rPr>
                <w:sz w:val="22"/>
                <w:lang w:eastAsia="en-GB"/>
              </w:rPr>
              <w:t>5.85623</w:t>
            </w:r>
          </w:p>
        </w:tc>
        <w:tc>
          <w:tcPr>
            <w:tcW w:w="0" w:type="auto"/>
            <w:shd w:val="clear" w:color="auto" w:fill="auto"/>
            <w:noWrap/>
            <w:hideMark/>
          </w:tcPr>
          <w:p w14:paraId="330245E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93F726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2148C99" w14:textId="77777777" w:rsidR="002F0133" w:rsidRPr="000B4E2C" w:rsidRDefault="002F0133" w:rsidP="008A7464">
            <w:pPr>
              <w:rPr>
                <w:sz w:val="22"/>
                <w:lang w:eastAsia="en-GB"/>
              </w:rPr>
            </w:pPr>
            <w:r w:rsidRPr="000B4E2C">
              <w:t>£142,617</w:t>
            </w:r>
          </w:p>
        </w:tc>
        <w:tc>
          <w:tcPr>
            <w:tcW w:w="0" w:type="auto"/>
            <w:shd w:val="clear" w:color="auto" w:fill="auto"/>
            <w:noWrap/>
            <w:hideMark/>
          </w:tcPr>
          <w:p w14:paraId="39627F75" w14:textId="77777777" w:rsidR="002F0133" w:rsidRPr="000B4E2C" w:rsidRDefault="002F0133" w:rsidP="008A7464">
            <w:pPr>
              <w:rPr>
                <w:sz w:val="22"/>
                <w:lang w:eastAsia="en-GB"/>
              </w:rPr>
            </w:pPr>
            <w:r w:rsidRPr="000B4E2C">
              <w:rPr>
                <w:sz w:val="22"/>
                <w:lang w:eastAsia="en-GB"/>
              </w:rPr>
              <w:t>6.7%</w:t>
            </w:r>
          </w:p>
        </w:tc>
        <w:tc>
          <w:tcPr>
            <w:tcW w:w="0" w:type="auto"/>
            <w:gridSpan w:val="2"/>
            <w:shd w:val="clear" w:color="auto" w:fill="auto"/>
            <w:noWrap/>
            <w:hideMark/>
          </w:tcPr>
          <w:p w14:paraId="12C075FC" w14:textId="77777777" w:rsidR="002F0133" w:rsidRPr="000B4E2C" w:rsidRDefault="002F0133" w:rsidP="008A7464">
            <w:pPr>
              <w:rPr>
                <w:sz w:val="22"/>
                <w:lang w:eastAsia="en-GB"/>
              </w:rPr>
            </w:pPr>
            <w:r w:rsidRPr="000B4E2C">
              <w:rPr>
                <w:sz w:val="22"/>
                <w:lang w:eastAsia="en-GB"/>
              </w:rPr>
              <w:t>33.2%</w:t>
            </w:r>
          </w:p>
        </w:tc>
      </w:tr>
      <w:tr w:rsidR="002F0133" w:rsidRPr="000B4E2C" w14:paraId="56CA4356" w14:textId="77777777" w:rsidTr="000B4E2C">
        <w:trPr>
          <w:cantSplit/>
          <w:tblHeader/>
        </w:trPr>
        <w:tc>
          <w:tcPr>
            <w:tcW w:w="0" w:type="auto"/>
            <w:shd w:val="clear" w:color="auto" w:fill="auto"/>
            <w:noWrap/>
            <w:hideMark/>
          </w:tcPr>
          <w:p w14:paraId="17B46B62" w14:textId="04363062"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7F885CC0" w14:textId="77777777" w:rsidR="002F0133" w:rsidRPr="000B4E2C" w:rsidRDefault="002F0133" w:rsidP="008A7464">
            <w:pPr>
              <w:rPr>
                <w:sz w:val="22"/>
                <w:lang w:eastAsia="en-GB"/>
              </w:rPr>
            </w:pPr>
            <w:r w:rsidRPr="000B4E2C">
              <w:rPr>
                <w:sz w:val="22"/>
                <w:lang w:eastAsia="en-GB"/>
              </w:rPr>
              <w:t>£23,183</w:t>
            </w:r>
          </w:p>
        </w:tc>
        <w:tc>
          <w:tcPr>
            <w:tcW w:w="0" w:type="auto"/>
            <w:gridSpan w:val="2"/>
            <w:shd w:val="clear" w:color="auto" w:fill="auto"/>
            <w:noWrap/>
            <w:hideMark/>
          </w:tcPr>
          <w:p w14:paraId="2D5B1CE6"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B7073CE" w14:textId="77777777" w:rsidR="002F0133" w:rsidRPr="000B4E2C" w:rsidRDefault="002F0133" w:rsidP="008A7464">
            <w:pPr>
              <w:rPr>
                <w:sz w:val="22"/>
                <w:lang w:eastAsia="en-GB"/>
              </w:rPr>
            </w:pPr>
            <w:r w:rsidRPr="000B4E2C">
              <w:rPr>
                <w:sz w:val="22"/>
                <w:lang w:eastAsia="en-GB"/>
              </w:rPr>
              <w:t>5.85624</w:t>
            </w:r>
          </w:p>
        </w:tc>
        <w:tc>
          <w:tcPr>
            <w:tcW w:w="0" w:type="auto"/>
            <w:shd w:val="clear" w:color="auto" w:fill="auto"/>
            <w:noWrap/>
            <w:hideMark/>
          </w:tcPr>
          <w:p w14:paraId="44176DE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1E0A02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16D7C9F" w14:textId="77777777" w:rsidR="002F0133" w:rsidRPr="000B4E2C" w:rsidRDefault="002F0133" w:rsidP="008A7464">
            <w:pPr>
              <w:rPr>
                <w:sz w:val="22"/>
                <w:lang w:eastAsia="en-GB"/>
              </w:rPr>
            </w:pPr>
            <w:r w:rsidRPr="000B4E2C">
              <w:t>£174,191</w:t>
            </w:r>
          </w:p>
        </w:tc>
        <w:tc>
          <w:tcPr>
            <w:tcW w:w="0" w:type="auto"/>
            <w:shd w:val="clear" w:color="auto" w:fill="auto"/>
            <w:noWrap/>
            <w:hideMark/>
          </w:tcPr>
          <w:p w14:paraId="5052A1EC" w14:textId="77777777" w:rsidR="002F0133" w:rsidRPr="000B4E2C" w:rsidRDefault="002F0133" w:rsidP="008A7464">
            <w:pPr>
              <w:rPr>
                <w:sz w:val="22"/>
                <w:lang w:eastAsia="en-GB"/>
              </w:rPr>
            </w:pPr>
            <w:r w:rsidRPr="000B4E2C">
              <w:rPr>
                <w:sz w:val="22"/>
                <w:lang w:eastAsia="en-GB"/>
              </w:rPr>
              <w:t>1.8%</w:t>
            </w:r>
          </w:p>
        </w:tc>
        <w:tc>
          <w:tcPr>
            <w:tcW w:w="0" w:type="auto"/>
            <w:gridSpan w:val="2"/>
            <w:shd w:val="clear" w:color="auto" w:fill="auto"/>
            <w:noWrap/>
            <w:hideMark/>
          </w:tcPr>
          <w:p w14:paraId="0D1AC37D" w14:textId="77777777" w:rsidR="002F0133" w:rsidRPr="000B4E2C" w:rsidRDefault="002F0133" w:rsidP="008A7464">
            <w:pPr>
              <w:rPr>
                <w:sz w:val="22"/>
                <w:lang w:eastAsia="en-GB"/>
              </w:rPr>
            </w:pPr>
            <w:r w:rsidRPr="000B4E2C">
              <w:rPr>
                <w:sz w:val="22"/>
                <w:lang w:eastAsia="en-GB"/>
              </w:rPr>
              <w:t>30.1%</w:t>
            </w:r>
          </w:p>
        </w:tc>
      </w:tr>
      <w:tr w:rsidR="002F0133" w:rsidRPr="000B4E2C" w14:paraId="04E69BBD" w14:textId="77777777" w:rsidTr="000B4E2C">
        <w:trPr>
          <w:cantSplit/>
          <w:tblHeader/>
        </w:trPr>
        <w:tc>
          <w:tcPr>
            <w:tcW w:w="0" w:type="auto"/>
            <w:shd w:val="clear" w:color="auto" w:fill="auto"/>
            <w:noWrap/>
            <w:hideMark/>
          </w:tcPr>
          <w:p w14:paraId="28862B89" w14:textId="23D321E6"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3E40F2D2" w14:textId="77777777" w:rsidR="002F0133" w:rsidRPr="000B4E2C" w:rsidRDefault="002F0133" w:rsidP="008A7464">
            <w:pPr>
              <w:rPr>
                <w:sz w:val="22"/>
                <w:lang w:eastAsia="en-GB"/>
              </w:rPr>
            </w:pPr>
            <w:r w:rsidRPr="000B4E2C">
              <w:rPr>
                <w:sz w:val="22"/>
                <w:lang w:eastAsia="en-GB"/>
              </w:rPr>
              <w:t>£23,188</w:t>
            </w:r>
          </w:p>
        </w:tc>
        <w:tc>
          <w:tcPr>
            <w:tcW w:w="0" w:type="auto"/>
            <w:gridSpan w:val="2"/>
            <w:shd w:val="clear" w:color="auto" w:fill="auto"/>
            <w:noWrap/>
            <w:hideMark/>
          </w:tcPr>
          <w:p w14:paraId="5CB04A2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2191779" w14:textId="77777777" w:rsidR="002F0133" w:rsidRPr="000B4E2C" w:rsidRDefault="002F0133" w:rsidP="008A7464">
            <w:pPr>
              <w:rPr>
                <w:sz w:val="22"/>
                <w:lang w:eastAsia="en-GB"/>
              </w:rPr>
            </w:pPr>
            <w:r w:rsidRPr="000B4E2C">
              <w:rPr>
                <w:sz w:val="22"/>
                <w:lang w:eastAsia="en-GB"/>
              </w:rPr>
              <w:t>5.85620</w:t>
            </w:r>
          </w:p>
        </w:tc>
        <w:tc>
          <w:tcPr>
            <w:tcW w:w="0" w:type="auto"/>
            <w:shd w:val="clear" w:color="auto" w:fill="auto"/>
            <w:noWrap/>
            <w:hideMark/>
          </w:tcPr>
          <w:p w14:paraId="47A67956"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889C629"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883FEA4" w14:textId="77777777" w:rsidR="002F0133" w:rsidRPr="000B4E2C" w:rsidRDefault="002F0133" w:rsidP="008A7464">
            <w:pPr>
              <w:rPr>
                <w:sz w:val="22"/>
                <w:lang w:eastAsia="en-GB"/>
              </w:rPr>
            </w:pPr>
            <w:r w:rsidRPr="000B4E2C">
              <w:t>£211,691</w:t>
            </w:r>
          </w:p>
        </w:tc>
        <w:tc>
          <w:tcPr>
            <w:tcW w:w="0" w:type="auto"/>
            <w:shd w:val="clear" w:color="auto" w:fill="auto"/>
            <w:noWrap/>
            <w:hideMark/>
          </w:tcPr>
          <w:p w14:paraId="3ACCBB0F"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5B31145A" w14:textId="77777777" w:rsidR="002F0133" w:rsidRPr="000B4E2C" w:rsidRDefault="002F0133" w:rsidP="008A7464">
            <w:pPr>
              <w:rPr>
                <w:sz w:val="22"/>
                <w:lang w:eastAsia="en-GB"/>
              </w:rPr>
            </w:pPr>
            <w:r w:rsidRPr="000B4E2C">
              <w:rPr>
                <w:sz w:val="22"/>
                <w:lang w:eastAsia="en-GB"/>
              </w:rPr>
              <w:t>26.1%</w:t>
            </w:r>
          </w:p>
        </w:tc>
      </w:tr>
      <w:tr w:rsidR="002F0133" w:rsidRPr="000B4E2C" w14:paraId="4C98A5B1" w14:textId="77777777" w:rsidTr="000B4E2C">
        <w:trPr>
          <w:cantSplit/>
          <w:tblHeader/>
        </w:trPr>
        <w:tc>
          <w:tcPr>
            <w:tcW w:w="0" w:type="auto"/>
            <w:gridSpan w:val="11"/>
            <w:shd w:val="clear" w:color="auto" w:fill="auto"/>
            <w:noWrap/>
            <w:hideMark/>
          </w:tcPr>
          <w:p w14:paraId="1DF14960" w14:textId="77777777" w:rsidR="002F0133" w:rsidRPr="000B4E2C" w:rsidRDefault="002F0133" w:rsidP="008A7464">
            <w:pPr>
              <w:rPr>
                <w:b/>
                <w:bCs/>
                <w:sz w:val="22"/>
                <w:lang w:eastAsia="en-GB"/>
              </w:rPr>
            </w:pPr>
            <w:r w:rsidRPr="000B4E2C">
              <w:rPr>
                <w:b/>
                <w:bCs/>
                <w:sz w:val="22"/>
                <w:lang w:eastAsia="en-GB"/>
              </w:rPr>
              <w:t>Scenario 2L: Increase the number of times test is conducted to 2</w:t>
            </w:r>
          </w:p>
        </w:tc>
      </w:tr>
      <w:tr w:rsidR="002F0133" w:rsidRPr="000B4E2C" w14:paraId="345C3F61" w14:textId="77777777" w:rsidTr="000B4E2C">
        <w:trPr>
          <w:cantSplit/>
          <w:tblHeader/>
        </w:trPr>
        <w:tc>
          <w:tcPr>
            <w:tcW w:w="0" w:type="auto"/>
            <w:shd w:val="clear" w:color="auto" w:fill="auto"/>
            <w:noWrap/>
            <w:hideMark/>
          </w:tcPr>
          <w:p w14:paraId="17194B86"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40730D73" w14:textId="77777777" w:rsidR="002F0133" w:rsidRPr="000B4E2C" w:rsidRDefault="002F0133" w:rsidP="008A7464">
            <w:pPr>
              <w:rPr>
                <w:sz w:val="22"/>
                <w:lang w:eastAsia="en-GB"/>
              </w:rPr>
            </w:pPr>
            <w:r w:rsidRPr="000B4E2C">
              <w:rPr>
                <w:sz w:val="22"/>
                <w:lang w:eastAsia="en-GB"/>
              </w:rPr>
              <w:t>£22,746</w:t>
            </w:r>
          </w:p>
        </w:tc>
        <w:tc>
          <w:tcPr>
            <w:tcW w:w="0" w:type="auto"/>
            <w:gridSpan w:val="2"/>
            <w:shd w:val="clear" w:color="auto" w:fill="auto"/>
            <w:noWrap/>
            <w:hideMark/>
          </w:tcPr>
          <w:p w14:paraId="18D7D058"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2A607219" w14:textId="77777777" w:rsidR="002F0133" w:rsidRPr="000B4E2C" w:rsidRDefault="002F0133" w:rsidP="008A7464">
            <w:pPr>
              <w:rPr>
                <w:sz w:val="22"/>
                <w:lang w:eastAsia="en-GB"/>
              </w:rPr>
            </w:pPr>
            <w:r w:rsidRPr="000B4E2C">
              <w:rPr>
                <w:sz w:val="22"/>
                <w:lang w:eastAsia="en-GB"/>
              </w:rPr>
              <w:t>6.07904</w:t>
            </w:r>
          </w:p>
        </w:tc>
        <w:tc>
          <w:tcPr>
            <w:tcW w:w="0" w:type="auto"/>
            <w:shd w:val="clear" w:color="auto" w:fill="auto"/>
            <w:noWrap/>
            <w:hideMark/>
          </w:tcPr>
          <w:p w14:paraId="5105F06A"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6BE4E959"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47D8E92D" w14:textId="77777777" w:rsidR="002F0133" w:rsidRPr="000B4E2C" w:rsidRDefault="002F0133" w:rsidP="008A7464">
            <w:pPr>
              <w:rPr>
                <w:sz w:val="22"/>
                <w:lang w:eastAsia="en-GB"/>
              </w:rPr>
            </w:pPr>
            <w:r w:rsidRPr="000B4E2C">
              <w:t>--</w:t>
            </w:r>
          </w:p>
        </w:tc>
        <w:tc>
          <w:tcPr>
            <w:tcW w:w="0" w:type="auto"/>
            <w:shd w:val="clear" w:color="auto" w:fill="auto"/>
            <w:noWrap/>
            <w:hideMark/>
          </w:tcPr>
          <w:p w14:paraId="67764846" w14:textId="77777777" w:rsidR="002F0133" w:rsidRPr="000B4E2C" w:rsidRDefault="002F0133" w:rsidP="008A7464">
            <w:pPr>
              <w:rPr>
                <w:sz w:val="22"/>
                <w:lang w:eastAsia="en-GB"/>
              </w:rPr>
            </w:pPr>
            <w:r w:rsidRPr="000B4E2C">
              <w:rPr>
                <w:sz w:val="22"/>
                <w:lang w:eastAsia="en-GB"/>
              </w:rPr>
              <w:t>88.8%</w:t>
            </w:r>
          </w:p>
        </w:tc>
        <w:tc>
          <w:tcPr>
            <w:tcW w:w="0" w:type="auto"/>
            <w:gridSpan w:val="2"/>
            <w:shd w:val="clear" w:color="auto" w:fill="auto"/>
            <w:noWrap/>
            <w:hideMark/>
          </w:tcPr>
          <w:p w14:paraId="3FBF98F8" w14:textId="77777777" w:rsidR="002F0133" w:rsidRPr="000B4E2C" w:rsidRDefault="002F0133" w:rsidP="008A7464">
            <w:pPr>
              <w:rPr>
                <w:sz w:val="22"/>
                <w:lang w:eastAsia="en-GB"/>
              </w:rPr>
            </w:pPr>
            <w:r w:rsidRPr="000B4E2C">
              <w:rPr>
                <w:sz w:val="22"/>
                <w:lang w:eastAsia="en-GB"/>
              </w:rPr>
              <w:t>--</w:t>
            </w:r>
          </w:p>
        </w:tc>
      </w:tr>
      <w:tr w:rsidR="002F0133" w:rsidRPr="000B4E2C" w14:paraId="33D96E4F" w14:textId="77777777" w:rsidTr="000B4E2C">
        <w:trPr>
          <w:cantSplit/>
          <w:tblHeader/>
        </w:trPr>
        <w:tc>
          <w:tcPr>
            <w:tcW w:w="0" w:type="auto"/>
            <w:shd w:val="clear" w:color="auto" w:fill="auto"/>
            <w:noWrap/>
            <w:hideMark/>
          </w:tcPr>
          <w:p w14:paraId="51F84B8C" w14:textId="1C32DB61" w:rsidR="002F0133" w:rsidRPr="000B4E2C" w:rsidRDefault="002F0133" w:rsidP="008A7464">
            <w:pPr>
              <w:rPr>
                <w:sz w:val="22"/>
                <w:lang w:eastAsia="en-GB"/>
              </w:rPr>
            </w:pPr>
            <w:r w:rsidRPr="000B4E2C">
              <w:rPr>
                <w:sz w:val="22"/>
                <w:lang w:eastAsia="en-GB"/>
              </w:rPr>
              <w:lastRenderedPageBreak/>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3D77157F" w14:textId="77777777" w:rsidR="002F0133" w:rsidRPr="000B4E2C" w:rsidRDefault="002F0133" w:rsidP="008A7464">
            <w:pPr>
              <w:rPr>
                <w:sz w:val="22"/>
                <w:lang w:eastAsia="en-GB"/>
              </w:rPr>
            </w:pPr>
            <w:r w:rsidRPr="000B4E2C">
              <w:rPr>
                <w:sz w:val="22"/>
                <w:lang w:eastAsia="en-GB"/>
              </w:rPr>
              <w:t>£22,873</w:t>
            </w:r>
          </w:p>
        </w:tc>
        <w:tc>
          <w:tcPr>
            <w:tcW w:w="0" w:type="auto"/>
            <w:gridSpan w:val="2"/>
            <w:shd w:val="clear" w:color="auto" w:fill="auto"/>
            <w:noWrap/>
            <w:hideMark/>
          </w:tcPr>
          <w:p w14:paraId="1C808899" w14:textId="77777777" w:rsidR="002F0133" w:rsidRPr="000B4E2C" w:rsidRDefault="002F0133" w:rsidP="008A7464">
            <w:pPr>
              <w:rPr>
                <w:sz w:val="22"/>
                <w:lang w:eastAsia="en-GB"/>
              </w:rPr>
            </w:pPr>
            <w:r w:rsidRPr="000B4E2C">
              <w:rPr>
                <w:sz w:val="22"/>
                <w:lang w:eastAsia="en-GB"/>
              </w:rPr>
              <w:t>Ext Dom</w:t>
            </w:r>
          </w:p>
        </w:tc>
        <w:tc>
          <w:tcPr>
            <w:tcW w:w="0" w:type="auto"/>
            <w:shd w:val="clear" w:color="auto" w:fill="auto"/>
            <w:noWrap/>
            <w:hideMark/>
          </w:tcPr>
          <w:p w14:paraId="0A0518CC" w14:textId="77777777" w:rsidR="002F0133" w:rsidRPr="000B4E2C" w:rsidRDefault="002F0133" w:rsidP="008A7464">
            <w:pPr>
              <w:rPr>
                <w:sz w:val="22"/>
                <w:lang w:eastAsia="en-GB"/>
              </w:rPr>
            </w:pPr>
            <w:r w:rsidRPr="000B4E2C">
              <w:rPr>
                <w:sz w:val="22"/>
                <w:lang w:eastAsia="en-GB"/>
              </w:rPr>
              <w:t>6.07916</w:t>
            </w:r>
          </w:p>
        </w:tc>
        <w:tc>
          <w:tcPr>
            <w:tcW w:w="0" w:type="auto"/>
            <w:shd w:val="clear" w:color="auto" w:fill="auto"/>
            <w:noWrap/>
            <w:hideMark/>
          </w:tcPr>
          <w:p w14:paraId="0094FAF8" w14:textId="77777777" w:rsidR="002F0133" w:rsidRPr="000B4E2C" w:rsidRDefault="002F0133" w:rsidP="008A7464">
            <w:pPr>
              <w:rPr>
                <w:sz w:val="22"/>
                <w:lang w:eastAsia="en-GB"/>
              </w:rPr>
            </w:pPr>
            <w:r w:rsidRPr="000B4E2C">
              <w:rPr>
                <w:sz w:val="22"/>
                <w:lang w:eastAsia="en-GB"/>
              </w:rPr>
              <w:t>Ext Dom</w:t>
            </w:r>
          </w:p>
        </w:tc>
        <w:tc>
          <w:tcPr>
            <w:tcW w:w="0" w:type="auto"/>
            <w:shd w:val="clear" w:color="auto" w:fill="auto"/>
            <w:noWrap/>
            <w:hideMark/>
          </w:tcPr>
          <w:p w14:paraId="6E6C99B0" w14:textId="77777777" w:rsidR="002F0133" w:rsidRPr="000B4E2C" w:rsidRDefault="002F0133" w:rsidP="008A7464">
            <w:pPr>
              <w:rPr>
                <w:sz w:val="22"/>
                <w:lang w:eastAsia="en-GB"/>
              </w:rPr>
            </w:pPr>
            <w:r w:rsidRPr="000B4E2C">
              <w:rPr>
                <w:sz w:val="22"/>
                <w:lang w:eastAsia="en-GB"/>
              </w:rPr>
              <w:t>Ext Dom</w:t>
            </w:r>
          </w:p>
        </w:tc>
        <w:tc>
          <w:tcPr>
            <w:tcW w:w="0" w:type="auto"/>
            <w:shd w:val="clear" w:color="auto" w:fill="auto"/>
            <w:noWrap/>
            <w:hideMark/>
          </w:tcPr>
          <w:p w14:paraId="5750EB79" w14:textId="77777777" w:rsidR="002F0133" w:rsidRPr="000B4E2C" w:rsidRDefault="002F0133" w:rsidP="008A7464">
            <w:pPr>
              <w:rPr>
                <w:sz w:val="22"/>
                <w:lang w:eastAsia="en-GB"/>
              </w:rPr>
            </w:pPr>
            <w:r w:rsidRPr="000B4E2C">
              <w:t>£1,053,861</w:t>
            </w:r>
          </w:p>
        </w:tc>
        <w:tc>
          <w:tcPr>
            <w:tcW w:w="0" w:type="auto"/>
            <w:shd w:val="clear" w:color="auto" w:fill="auto"/>
            <w:noWrap/>
            <w:hideMark/>
          </w:tcPr>
          <w:p w14:paraId="566673F9" w14:textId="77777777" w:rsidR="002F0133" w:rsidRPr="000B4E2C" w:rsidRDefault="002F0133" w:rsidP="008A7464">
            <w:pPr>
              <w:rPr>
                <w:sz w:val="22"/>
                <w:lang w:eastAsia="en-GB"/>
              </w:rPr>
            </w:pPr>
            <w:r w:rsidRPr="000B4E2C">
              <w:rPr>
                <w:sz w:val="22"/>
                <w:lang w:eastAsia="en-GB"/>
              </w:rPr>
              <w:t>1.9%</w:t>
            </w:r>
          </w:p>
        </w:tc>
        <w:tc>
          <w:tcPr>
            <w:tcW w:w="0" w:type="auto"/>
            <w:gridSpan w:val="2"/>
            <w:shd w:val="clear" w:color="auto" w:fill="auto"/>
            <w:noWrap/>
            <w:hideMark/>
          </w:tcPr>
          <w:p w14:paraId="337BEA54" w14:textId="77777777" w:rsidR="002F0133" w:rsidRPr="000B4E2C" w:rsidRDefault="002F0133" w:rsidP="008A7464">
            <w:pPr>
              <w:rPr>
                <w:sz w:val="22"/>
                <w:lang w:eastAsia="en-GB"/>
              </w:rPr>
            </w:pPr>
            <w:r w:rsidRPr="000B4E2C">
              <w:rPr>
                <w:sz w:val="22"/>
                <w:lang w:eastAsia="en-GB"/>
              </w:rPr>
              <w:t>2.6%</w:t>
            </w:r>
          </w:p>
        </w:tc>
      </w:tr>
      <w:tr w:rsidR="002F0133" w:rsidRPr="000B4E2C" w14:paraId="2CBC4D24" w14:textId="77777777" w:rsidTr="000B4E2C">
        <w:trPr>
          <w:cantSplit/>
          <w:tblHeader/>
        </w:trPr>
        <w:tc>
          <w:tcPr>
            <w:tcW w:w="0" w:type="auto"/>
            <w:shd w:val="clear" w:color="auto" w:fill="auto"/>
            <w:noWrap/>
            <w:hideMark/>
          </w:tcPr>
          <w:p w14:paraId="3769A5B7"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6B072F3A" w14:textId="77777777" w:rsidR="002F0133" w:rsidRPr="000B4E2C" w:rsidRDefault="002F0133" w:rsidP="008A7464">
            <w:pPr>
              <w:rPr>
                <w:sz w:val="22"/>
                <w:lang w:eastAsia="en-GB"/>
              </w:rPr>
            </w:pPr>
            <w:r w:rsidRPr="000B4E2C">
              <w:rPr>
                <w:sz w:val="22"/>
                <w:lang w:eastAsia="en-GB"/>
              </w:rPr>
              <w:t>£22,875</w:t>
            </w:r>
          </w:p>
        </w:tc>
        <w:tc>
          <w:tcPr>
            <w:tcW w:w="0" w:type="auto"/>
            <w:gridSpan w:val="2"/>
            <w:shd w:val="clear" w:color="auto" w:fill="auto"/>
            <w:noWrap/>
            <w:hideMark/>
          </w:tcPr>
          <w:p w14:paraId="0DABA46E" w14:textId="77777777" w:rsidR="002F0133" w:rsidRPr="000B4E2C" w:rsidRDefault="002F0133" w:rsidP="008A7464">
            <w:pPr>
              <w:rPr>
                <w:sz w:val="22"/>
                <w:lang w:eastAsia="en-GB"/>
              </w:rPr>
            </w:pPr>
            <w:r w:rsidRPr="000B4E2C">
              <w:rPr>
                <w:sz w:val="22"/>
                <w:lang w:eastAsia="en-GB"/>
              </w:rPr>
              <w:t>£129</w:t>
            </w:r>
          </w:p>
        </w:tc>
        <w:tc>
          <w:tcPr>
            <w:tcW w:w="0" w:type="auto"/>
            <w:shd w:val="clear" w:color="auto" w:fill="auto"/>
            <w:noWrap/>
            <w:hideMark/>
          </w:tcPr>
          <w:p w14:paraId="0CCFDA38" w14:textId="77777777" w:rsidR="002F0133" w:rsidRPr="000B4E2C" w:rsidRDefault="002F0133" w:rsidP="008A7464">
            <w:pPr>
              <w:rPr>
                <w:sz w:val="22"/>
                <w:lang w:eastAsia="en-GB"/>
              </w:rPr>
            </w:pPr>
            <w:r w:rsidRPr="000B4E2C">
              <w:rPr>
                <w:sz w:val="22"/>
                <w:lang w:eastAsia="en-GB"/>
              </w:rPr>
              <w:t>6.07939</w:t>
            </w:r>
          </w:p>
        </w:tc>
        <w:tc>
          <w:tcPr>
            <w:tcW w:w="0" w:type="auto"/>
            <w:shd w:val="clear" w:color="auto" w:fill="auto"/>
            <w:noWrap/>
            <w:hideMark/>
          </w:tcPr>
          <w:p w14:paraId="1CF34A0C" w14:textId="77777777" w:rsidR="002F0133" w:rsidRPr="000B4E2C" w:rsidRDefault="002F0133" w:rsidP="008A7464">
            <w:pPr>
              <w:rPr>
                <w:sz w:val="22"/>
                <w:lang w:eastAsia="en-GB"/>
              </w:rPr>
            </w:pPr>
            <w:r w:rsidRPr="000B4E2C">
              <w:rPr>
                <w:sz w:val="22"/>
                <w:lang w:eastAsia="en-GB"/>
              </w:rPr>
              <w:t>0.00035</w:t>
            </w:r>
          </w:p>
        </w:tc>
        <w:tc>
          <w:tcPr>
            <w:tcW w:w="0" w:type="auto"/>
            <w:shd w:val="clear" w:color="auto" w:fill="auto"/>
            <w:noWrap/>
            <w:hideMark/>
          </w:tcPr>
          <w:p w14:paraId="3C6C6E93" w14:textId="77777777" w:rsidR="002F0133" w:rsidRPr="000B4E2C" w:rsidRDefault="002F0133" w:rsidP="008A7464">
            <w:pPr>
              <w:rPr>
                <w:sz w:val="22"/>
                <w:lang w:eastAsia="en-GB"/>
              </w:rPr>
            </w:pPr>
            <w:r w:rsidRPr="000B4E2C">
              <w:rPr>
                <w:sz w:val="22"/>
                <w:lang w:eastAsia="en-GB"/>
              </w:rPr>
              <w:t>£369,737</w:t>
            </w:r>
          </w:p>
        </w:tc>
        <w:tc>
          <w:tcPr>
            <w:tcW w:w="0" w:type="auto"/>
            <w:shd w:val="clear" w:color="auto" w:fill="auto"/>
            <w:noWrap/>
            <w:hideMark/>
          </w:tcPr>
          <w:p w14:paraId="26DACA6E" w14:textId="77777777" w:rsidR="002F0133" w:rsidRPr="000B4E2C" w:rsidRDefault="002F0133" w:rsidP="008A7464">
            <w:pPr>
              <w:rPr>
                <w:sz w:val="22"/>
                <w:lang w:eastAsia="en-GB"/>
              </w:rPr>
            </w:pPr>
            <w:r w:rsidRPr="000B4E2C">
              <w:t>£369,737</w:t>
            </w:r>
          </w:p>
        </w:tc>
        <w:tc>
          <w:tcPr>
            <w:tcW w:w="0" w:type="auto"/>
            <w:shd w:val="clear" w:color="auto" w:fill="auto"/>
            <w:noWrap/>
            <w:hideMark/>
          </w:tcPr>
          <w:p w14:paraId="3294AD50" w14:textId="77777777" w:rsidR="002F0133" w:rsidRPr="000B4E2C" w:rsidRDefault="002F0133" w:rsidP="008A7464">
            <w:pPr>
              <w:rPr>
                <w:sz w:val="22"/>
                <w:lang w:eastAsia="en-GB"/>
              </w:rPr>
            </w:pPr>
            <w:r w:rsidRPr="000B4E2C">
              <w:rPr>
                <w:sz w:val="22"/>
                <w:lang w:eastAsia="en-GB"/>
              </w:rPr>
              <w:t>9.0%</w:t>
            </w:r>
          </w:p>
        </w:tc>
        <w:tc>
          <w:tcPr>
            <w:tcW w:w="0" w:type="auto"/>
            <w:gridSpan w:val="2"/>
            <w:shd w:val="clear" w:color="auto" w:fill="auto"/>
            <w:noWrap/>
            <w:hideMark/>
          </w:tcPr>
          <w:p w14:paraId="0CC99741" w14:textId="77777777" w:rsidR="002F0133" w:rsidRPr="000B4E2C" w:rsidRDefault="002F0133" w:rsidP="008A7464">
            <w:pPr>
              <w:rPr>
                <w:sz w:val="22"/>
                <w:lang w:eastAsia="en-GB"/>
              </w:rPr>
            </w:pPr>
            <w:r w:rsidRPr="000B4E2C">
              <w:rPr>
                <w:sz w:val="22"/>
                <w:lang w:eastAsia="en-GB"/>
              </w:rPr>
              <w:t>9.4%</w:t>
            </w:r>
          </w:p>
        </w:tc>
      </w:tr>
      <w:tr w:rsidR="002F0133" w:rsidRPr="000B4E2C" w14:paraId="3592133B" w14:textId="77777777" w:rsidTr="000B4E2C">
        <w:trPr>
          <w:cantSplit/>
          <w:tblHeader/>
        </w:trPr>
        <w:tc>
          <w:tcPr>
            <w:tcW w:w="0" w:type="auto"/>
            <w:shd w:val="clear" w:color="auto" w:fill="auto"/>
            <w:noWrap/>
            <w:hideMark/>
          </w:tcPr>
          <w:p w14:paraId="4EE81E37" w14:textId="179CCE99"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39DC1067" w14:textId="77777777" w:rsidR="002F0133" w:rsidRPr="000B4E2C" w:rsidRDefault="002F0133" w:rsidP="008A7464">
            <w:pPr>
              <w:rPr>
                <w:sz w:val="22"/>
                <w:lang w:eastAsia="en-GB"/>
              </w:rPr>
            </w:pPr>
            <w:r w:rsidRPr="000B4E2C">
              <w:rPr>
                <w:sz w:val="22"/>
                <w:lang w:eastAsia="en-GB"/>
              </w:rPr>
              <w:t>£22,888</w:t>
            </w:r>
          </w:p>
        </w:tc>
        <w:tc>
          <w:tcPr>
            <w:tcW w:w="0" w:type="auto"/>
            <w:gridSpan w:val="2"/>
            <w:shd w:val="clear" w:color="auto" w:fill="auto"/>
            <w:noWrap/>
            <w:hideMark/>
          </w:tcPr>
          <w:p w14:paraId="4A6E12E3"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BD775A3" w14:textId="77777777" w:rsidR="002F0133" w:rsidRPr="000B4E2C" w:rsidRDefault="002F0133" w:rsidP="008A7464">
            <w:pPr>
              <w:rPr>
                <w:sz w:val="22"/>
                <w:lang w:eastAsia="en-GB"/>
              </w:rPr>
            </w:pPr>
            <w:r w:rsidRPr="000B4E2C">
              <w:rPr>
                <w:sz w:val="22"/>
                <w:lang w:eastAsia="en-GB"/>
              </w:rPr>
              <w:t>6.07916</w:t>
            </w:r>
          </w:p>
        </w:tc>
        <w:tc>
          <w:tcPr>
            <w:tcW w:w="0" w:type="auto"/>
            <w:shd w:val="clear" w:color="auto" w:fill="auto"/>
            <w:noWrap/>
            <w:hideMark/>
          </w:tcPr>
          <w:p w14:paraId="13C8F2FE"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F1EA8A8"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638F937" w14:textId="77777777" w:rsidR="002F0133" w:rsidRPr="000B4E2C" w:rsidRDefault="002F0133" w:rsidP="008A7464">
            <w:pPr>
              <w:rPr>
                <w:sz w:val="22"/>
                <w:lang w:eastAsia="en-GB"/>
              </w:rPr>
            </w:pPr>
            <w:r w:rsidRPr="000B4E2C">
              <w:t>£1,167,690</w:t>
            </w:r>
          </w:p>
        </w:tc>
        <w:tc>
          <w:tcPr>
            <w:tcW w:w="0" w:type="auto"/>
            <w:shd w:val="clear" w:color="auto" w:fill="auto"/>
            <w:noWrap/>
            <w:hideMark/>
          </w:tcPr>
          <w:p w14:paraId="02BD9810" w14:textId="77777777" w:rsidR="002F0133" w:rsidRPr="000B4E2C" w:rsidRDefault="002F0133" w:rsidP="008A7464">
            <w:pPr>
              <w:rPr>
                <w:sz w:val="22"/>
                <w:lang w:eastAsia="en-GB"/>
              </w:rPr>
            </w:pPr>
            <w:r w:rsidRPr="000B4E2C">
              <w:rPr>
                <w:sz w:val="22"/>
                <w:lang w:eastAsia="en-GB"/>
              </w:rPr>
              <w:t>0.3%</w:t>
            </w:r>
          </w:p>
        </w:tc>
        <w:tc>
          <w:tcPr>
            <w:tcW w:w="0" w:type="auto"/>
            <w:gridSpan w:val="2"/>
            <w:shd w:val="clear" w:color="auto" w:fill="auto"/>
            <w:noWrap/>
            <w:hideMark/>
          </w:tcPr>
          <w:p w14:paraId="3E7F52A3" w14:textId="77777777" w:rsidR="002F0133" w:rsidRPr="000B4E2C" w:rsidRDefault="002F0133" w:rsidP="008A7464">
            <w:pPr>
              <w:rPr>
                <w:sz w:val="22"/>
                <w:lang w:eastAsia="en-GB"/>
              </w:rPr>
            </w:pPr>
            <w:r w:rsidRPr="000B4E2C">
              <w:rPr>
                <w:sz w:val="22"/>
                <w:lang w:eastAsia="en-GB"/>
              </w:rPr>
              <w:t>1.5%</w:t>
            </w:r>
          </w:p>
        </w:tc>
      </w:tr>
      <w:tr w:rsidR="002F0133" w:rsidRPr="000B4E2C" w14:paraId="0F73DEB6" w14:textId="77777777" w:rsidTr="000B4E2C">
        <w:trPr>
          <w:cantSplit/>
          <w:tblHeader/>
        </w:trPr>
        <w:tc>
          <w:tcPr>
            <w:tcW w:w="0" w:type="auto"/>
            <w:shd w:val="clear" w:color="auto" w:fill="auto"/>
            <w:noWrap/>
            <w:hideMark/>
          </w:tcPr>
          <w:p w14:paraId="3FF88B03" w14:textId="42EBF72C"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3CF9BDFE" w14:textId="77777777" w:rsidR="002F0133" w:rsidRPr="000B4E2C" w:rsidRDefault="002F0133" w:rsidP="008A7464">
            <w:pPr>
              <w:rPr>
                <w:sz w:val="22"/>
                <w:lang w:eastAsia="en-GB"/>
              </w:rPr>
            </w:pPr>
            <w:r w:rsidRPr="000B4E2C">
              <w:rPr>
                <w:sz w:val="22"/>
                <w:lang w:eastAsia="en-GB"/>
              </w:rPr>
              <w:t>£22,898</w:t>
            </w:r>
          </w:p>
        </w:tc>
        <w:tc>
          <w:tcPr>
            <w:tcW w:w="0" w:type="auto"/>
            <w:gridSpan w:val="2"/>
            <w:shd w:val="clear" w:color="auto" w:fill="auto"/>
            <w:noWrap/>
            <w:hideMark/>
          </w:tcPr>
          <w:p w14:paraId="53FA933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EED7114" w14:textId="77777777" w:rsidR="002F0133" w:rsidRPr="000B4E2C" w:rsidRDefault="002F0133" w:rsidP="008A7464">
            <w:pPr>
              <w:rPr>
                <w:sz w:val="22"/>
                <w:lang w:eastAsia="en-GB"/>
              </w:rPr>
            </w:pPr>
            <w:r w:rsidRPr="000B4E2C">
              <w:rPr>
                <w:sz w:val="22"/>
                <w:lang w:eastAsia="en-GB"/>
              </w:rPr>
              <w:t>6.07915</w:t>
            </w:r>
          </w:p>
        </w:tc>
        <w:tc>
          <w:tcPr>
            <w:tcW w:w="0" w:type="auto"/>
            <w:shd w:val="clear" w:color="auto" w:fill="auto"/>
            <w:noWrap/>
            <w:hideMark/>
          </w:tcPr>
          <w:p w14:paraId="0617E18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D34135E"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1D7EBBE" w14:textId="77777777" w:rsidR="002F0133" w:rsidRPr="000B4E2C" w:rsidRDefault="002F0133" w:rsidP="008A7464">
            <w:pPr>
              <w:rPr>
                <w:sz w:val="22"/>
                <w:lang w:eastAsia="en-GB"/>
              </w:rPr>
            </w:pPr>
            <w:r w:rsidRPr="000B4E2C">
              <w:t>£1,370,281</w:t>
            </w:r>
          </w:p>
        </w:tc>
        <w:tc>
          <w:tcPr>
            <w:tcW w:w="0" w:type="auto"/>
            <w:shd w:val="clear" w:color="auto" w:fill="auto"/>
            <w:noWrap/>
            <w:hideMark/>
          </w:tcPr>
          <w:p w14:paraId="437BB5C2"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7BF8B63B" w14:textId="77777777" w:rsidR="002F0133" w:rsidRPr="000B4E2C" w:rsidRDefault="002F0133" w:rsidP="008A7464">
            <w:pPr>
              <w:rPr>
                <w:sz w:val="22"/>
                <w:lang w:eastAsia="en-GB"/>
              </w:rPr>
            </w:pPr>
            <w:r w:rsidRPr="000B4E2C">
              <w:rPr>
                <w:sz w:val="22"/>
                <w:lang w:eastAsia="en-GB"/>
              </w:rPr>
              <w:t>0.7%</w:t>
            </w:r>
          </w:p>
        </w:tc>
      </w:tr>
      <w:tr w:rsidR="002F0133" w:rsidRPr="000B4E2C" w14:paraId="37AF0E2F" w14:textId="77777777" w:rsidTr="000B4E2C">
        <w:trPr>
          <w:cantSplit/>
          <w:tblHeader/>
        </w:trPr>
        <w:tc>
          <w:tcPr>
            <w:tcW w:w="0" w:type="auto"/>
            <w:gridSpan w:val="11"/>
            <w:shd w:val="clear" w:color="auto" w:fill="auto"/>
            <w:noWrap/>
            <w:hideMark/>
          </w:tcPr>
          <w:p w14:paraId="6B33A788" w14:textId="2518B4B8" w:rsidR="002F0133" w:rsidRPr="000B4E2C" w:rsidRDefault="002F0133" w:rsidP="008A7464">
            <w:pPr>
              <w:rPr>
                <w:b/>
                <w:bCs/>
                <w:sz w:val="22"/>
                <w:lang w:eastAsia="en-GB"/>
              </w:rPr>
            </w:pPr>
            <w:r w:rsidRPr="000B4E2C">
              <w:rPr>
                <w:b/>
                <w:bCs/>
                <w:sz w:val="22"/>
                <w:lang w:eastAsia="en-GB"/>
              </w:rPr>
              <w:t>Scenario 2M: Apply an additional risk of mortality to those with a false positive test (RR</w:t>
            </w:r>
            <w:r w:rsidR="000B4E2C" w:rsidRPr="000B4E2C">
              <w:rPr>
                <w:b/>
                <w:bCs/>
                <w:color w:val="00B0F0"/>
                <w:sz w:val="22"/>
                <w:lang w:eastAsia="en-GB"/>
              </w:rPr>
              <w:t> = </w:t>
            </w:r>
            <w:r w:rsidRPr="000B4E2C">
              <w:rPr>
                <w:b/>
                <w:bCs/>
                <w:sz w:val="22"/>
                <w:lang w:eastAsia="en-GB"/>
              </w:rPr>
              <w:t>1.5)</w:t>
            </w:r>
          </w:p>
        </w:tc>
      </w:tr>
      <w:tr w:rsidR="009F7D37" w:rsidRPr="000B4E2C" w14:paraId="143DD807" w14:textId="77777777" w:rsidTr="000B4E2C">
        <w:trPr>
          <w:cantSplit/>
          <w:tblHeader/>
        </w:trPr>
        <w:tc>
          <w:tcPr>
            <w:tcW w:w="0" w:type="auto"/>
            <w:shd w:val="clear" w:color="auto" w:fill="auto"/>
            <w:noWrap/>
            <w:vAlign w:val="center"/>
            <w:hideMark/>
          </w:tcPr>
          <w:p w14:paraId="51BFEBA1" w14:textId="6310358C" w:rsidR="009F7D37" w:rsidRPr="000B4E2C" w:rsidRDefault="009F7D37" w:rsidP="009F7D37">
            <w:pPr>
              <w:rPr>
                <w:sz w:val="22"/>
                <w:lang w:eastAsia="en-GB"/>
              </w:rPr>
            </w:pPr>
            <w:r w:rsidRPr="000B4E2C">
              <w:rPr>
                <w:lang w:eastAsia="en-GB"/>
              </w:rPr>
              <w:t>Test 1 (Nephrocheck)</w:t>
            </w:r>
          </w:p>
        </w:tc>
        <w:tc>
          <w:tcPr>
            <w:tcW w:w="0" w:type="auto"/>
            <w:shd w:val="clear" w:color="auto" w:fill="auto"/>
            <w:noWrap/>
            <w:vAlign w:val="center"/>
            <w:hideMark/>
          </w:tcPr>
          <w:p w14:paraId="4ABF4F10" w14:textId="7FE316E5" w:rsidR="009F7D37" w:rsidRPr="000B4E2C" w:rsidRDefault="009F7D37" w:rsidP="009F7D37">
            <w:pPr>
              <w:rPr>
                <w:sz w:val="22"/>
                <w:lang w:eastAsia="en-GB"/>
              </w:rPr>
            </w:pPr>
            <w:r w:rsidRPr="000B4E2C">
              <w:rPr>
                <w:lang w:eastAsia="en-GB"/>
              </w:rPr>
              <w:t>£22,533</w:t>
            </w:r>
          </w:p>
        </w:tc>
        <w:tc>
          <w:tcPr>
            <w:tcW w:w="0" w:type="auto"/>
            <w:gridSpan w:val="2"/>
            <w:shd w:val="clear" w:color="auto" w:fill="auto"/>
            <w:noWrap/>
            <w:vAlign w:val="center"/>
            <w:hideMark/>
          </w:tcPr>
          <w:p w14:paraId="2848EEE8" w14:textId="45F243A1" w:rsidR="009F7D37" w:rsidRPr="000B4E2C" w:rsidRDefault="009F7D37" w:rsidP="009F7D37">
            <w:pPr>
              <w:rPr>
                <w:sz w:val="22"/>
                <w:lang w:eastAsia="en-GB"/>
              </w:rPr>
            </w:pPr>
            <w:r w:rsidRPr="000B4E2C">
              <w:rPr>
                <w:lang w:eastAsia="en-GB"/>
              </w:rPr>
              <w:t>--</w:t>
            </w:r>
          </w:p>
        </w:tc>
        <w:tc>
          <w:tcPr>
            <w:tcW w:w="0" w:type="auto"/>
            <w:shd w:val="clear" w:color="auto" w:fill="auto"/>
            <w:noWrap/>
            <w:vAlign w:val="center"/>
            <w:hideMark/>
          </w:tcPr>
          <w:p w14:paraId="110208CF" w14:textId="7A195BD0" w:rsidR="009F7D37" w:rsidRPr="000B4E2C" w:rsidRDefault="009F7D37" w:rsidP="009F7D37">
            <w:pPr>
              <w:rPr>
                <w:sz w:val="22"/>
                <w:lang w:eastAsia="en-GB"/>
              </w:rPr>
            </w:pPr>
            <w:r w:rsidRPr="000B4E2C">
              <w:rPr>
                <w:lang w:eastAsia="en-GB"/>
              </w:rPr>
              <w:t>5.93052</w:t>
            </w:r>
          </w:p>
        </w:tc>
        <w:tc>
          <w:tcPr>
            <w:tcW w:w="0" w:type="auto"/>
            <w:shd w:val="clear" w:color="auto" w:fill="auto"/>
            <w:noWrap/>
            <w:vAlign w:val="center"/>
            <w:hideMark/>
          </w:tcPr>
          <w:p w14:paraId="1618AE77" w14:textId="39E44315" w:rsidR="009F7D37" w:rsidRPr="000B4E2C" w:rsidRDefault="009F7D37" w:rsidP="009F7D37">
            <w:pPr>
              <w:rPr>
                <w:sz w:val="22"/>
                <w:lang w:eastAsia="en-GB"/>
              </w:rPr>
            </w:pPr>
            <w:r w:rsidRPr="000B4E2C">
              <w:rPr>
                <w:lang w:eastAsia="en-GB"/>
              </w:rPr>
              <w:t>0.00000</w:t>
            </w:r>
          </w:p>
        </w:tc>
        <w:tc>
          <w:tcPr>
            <w:tcW w:w="0" w:type="auto"/>
            <w:shd w:val="clear" w:color="auto" w:fill="auto"/>
            <w:noWrap/>
            <w:vAlign w:val="center"/>
            <w:hideMark/>
          </w:tcPr>
          <w:p w14:paraId="4BE9C6B9" w14:textId="04EE54AC" w:rsidR="009F7D37" w:rsidRPr="000B4E2C" w:rsidRDefault="009F7D37" w:rsidP="009F7D37">
            <w:pPr>
              <w:rPr>
                <w:sz w:val="22"/>
                <w:lang w:eastAsia="en-GB"/>
              </w:rPr>
            </w:pPr>
            <w:r w:rsidRPr="000B4E2C">
              <w:rPr>
                <w:lang w:eastAsia="en-GB"/>
              </w:rPr>
              <w:t>--</w:t>
            </w:r>
          </w:p>
        </w:tc>
        <w:tc>
          <w:tcPr>
            <w:tcW w:w="0" w:type="auto"/>
            <w:shd w:val="clear" w:color="auto" w:fill="auto"/>
            <w:noWrap/>
            <w:vAlign w:val="center"/>
            <w:hideMark/>
          </w:tcPr>
          <w:p w14:paraId="62798996" w14:textId="46330E5F" w:rsidR="009F7D37" w:rsidRPr="000B4E2C" w:rsidRDefault="009F7D37" w:rsidP="009F7D37">
            <w:pPr>
              <w:rPr>
                <w:sz w:val="22"/>
                <w:lang w:eastAsia="en-GB"/>
              </w:rPr>
            </w:pPr>
            <w:r w:rsidRPr="000B4E2C">
              <w:rPr>
                <w:rFonts w:ascii="Arial" w:hAnsi="Arial" w:cs="Arial"/>
                <w:lang w:eastAsia="en-GB"/>
              </w:rPr>
              <w:t>£3,062</w:t>
            </w:r>
          </w:p>
        </w:tc>
        <w:tc>
          <w:tcPr>
            <w:tcW w:w="0" w:type="auto"/>
            <w:shd w:val="clear" w:color="auto" w:fill="auto"/>
            <w:noWrap/>
            <w:vAlign w:val="center"/>
            <w:hideMark/>
          </w:tcPr>
          <w:p w14:paraId="6BA02C49" w14:textId="2FBB1BB8" w:rsidR="009F7D37" w:rsidRPr="000B4E2C" w:rsidRDefault="009F7D37" w:rsidP="009F7D37">
            <w:pPr>
              <w:rPr>
                <w:sz w:val="22"/>
                <w:lang w:eastAsia="en-GB"/>
              </w:rPr>
            </w:pPr>
            <w:r w:rsidRPr="000B4E2C">
              <w:rPr>
                <w:lang w:eastAsia="en-GB"/>
              </w:rPr>
              <w:t>0%</w:t>
            </w:r>
          </w:p>
        </w:tc>
        <w:tc>
          <w:tcPr>
            <w:tcW w:w="0" w:type="auto"/>
            <w:gridSpan w:val="2"/>
            <w:shd w:val="clear" w:color="auto" w:fill="auto"/>
            <w:noWrap/>
            <w:vAlign w:val="center"/>
            <w:hideMark/>
          </w:tcPr>
          <w:p w14:paraId="7ACFE2D4" w14:textId="38232714" w:rsidR="009F7D37" w:rsidRPr="000B4E2C" w:rsidRDefault="009F7D37" w:rsidP="009F7D37">
            <w:pPr>
              <w:rPr>
                <w:sz w:val="22"/>
                <w:lang w:eastAsia="en-GB"/>
              </w:rPr>
            </w:pPr>
            <w:r w:rsidRPr="000B4E2C">
              <w:rPr>
                <w:lang w:eastAsia="en-GB"/>
              </w:rPr>
              <w:t>0%</w:t>
            </w:r>
          </w:p>
        </w:tc>
      </w:tr>
      <w:tr w:rsidR="009F7D37" w:rsidRPr="000B4E2C" w14:paraId="66C06CB0" w14:textId="77777777" w:rsidTr="000B4E2C">
        <w:trPr>
          <w:cantSplit/>
          <w:tblHeader/>
        </w:trPr>
        <w:tc>
          <w:tcPr>
            <w:tcW w:w="0" w:type="auto"/>
            <w:shd w:val="clear" w:color="auto" w:fill="auto"/>
            <w:noWrap/>
            <w:vAlign w:val="center"/>
            <w:hideMark/>
          </w:tcPr>
          <w:p w14:paraId="23954582" w14:textId="5B4107BD" w:rsidR="009F7D37" w:rsidRPr="000B4E2C" w:rsidRDefault="009F7D37" w:rsidP="009F7D37">
            <w:pPr>
              <w:rPr>
                <w:sz w:val="22"/>
                <w:lang w:eastAsia="en-GB"/>
              </w:rPr>
            </w:pPr>
            <w:r w:rsidRPr="000B4E2C">
              <w:rPr>
                <w:lang w:eastAsia="en-GB"/>
              </w:rPr>
              <w:t>Test 2 (NGAL plasma</w:t>
            </w:r>
            <w:r w:rsidR="000B4E2C" w:rsidRPr="000B4E2C">
              <w:rPr>
                <w:color w:val="00B0F0"/>
                <w:lang w:eastAsia="en-GB"/>
              </w:rPr>
              <w:t xml:space="preserve"> – </w:t>
            </w:r>
            <w:r w:rsidRPr="000B4E2C">
              <w:rPr>
                <w:lang w:eastAsia="en-GB"/>
              </w:rPr>
              <w:t>BioPorto)</w:t>
            </w:r>
          </w:p>
        </w:tc>
        <w:tc>
          <w:tcPr>
            <w:tcW w:w="0" w:type="auto"/>
            <w:shd w:val="clear" w:color="auto" w:fill="auto"/>
            <w:noWrap/>
            <w:vAlign w:val="center"/>
            <w:hideMark/>
          </w:tcPr>
          <w:p w14:paraId="30985236" w14:textId="697BDC57" w:rsidR="009F7D37" w:rsidRPr="000B4E2C" w:rsidRDefault="009F7D37" w:rsidP="009F7D37">
            <w:pPr>
              <w:rPr>
                <w:sz w:val="22"/>
                <w:lang w:eastAsia="en-GB"/>
              </w:rPr>
            </w:pPr>
            <w:r w:rsidRPr="000B4E2C">
              <w:rPr>
                <w:lang w:eastAsia="en-GB"/>
              </w:rPr>
              <w:t>£22,632</w:t>
            </w:r>
          </w:p>
        </w:tc>
        <w:tc>
          <w:tcPr>
            <w:tcW w:w="0" w:type="auto"/>
            <w:gridSpan w:val="2"/>
            <w:shd w:val="clear" w:color="auto" w:fill="auto"/>
            <w:noWrap/>
            <w:vAlign w:val="center"/>
            <w:hideMark/>
          </w:tcPr>
          <w:p w14:paraId="5E96AE1E" w14:textId="4FC0F642" w:rsidR="009F7D37" w:rsidRPr="000B4E2C" w:rsidRDefault="009F7D37" w:rsidP="009F7D37">
            <w:pPr>
              <w:rPr>
                <w:sz w:val="22"/>
                <w:lang w:eastAsia="en-GB"/>
              </w:rPr>
            </w:pPr>
            <w:r w:rsidRPr="000B4E2C">
              <w:rPr>
                <w:lang w:eastAsia="en-GB"/>
              </w:rPr>
              <w:t>£99</w:t>
            </w:r>
          </w:p>
        </w:tc>
        <w:tc>
          <w:tcPr>
            <w:tcW w:w="0" w:type="auto"/>
            <w:shd w:val="clear" w:color="auto" w:fill="auto"/>
            <w:noWrap/>
            <w:vAlign w:val="center"/>
            <w:hideMark/>
          </w:tcPr>
          <w:p w14:paraId="55A2A032" w14:textId="38B41719" w:rsidR="009F7D37" w:rsidRPr="000B4E2C" w:rsidRDefault="009F7D37" w:rsidP="009F7D37">
            <w:pPr>
              <w:rPr>
                <w:sz w:val="22"/>
                <w:lang w:eastAsia="en-GB"/>
              </w:rPr>
            </w:pPr>
            <w:r w:rsidRPr="000B4E2C">
              <w:rPr>
                <w:lang w:eastAsia="en-GB"/>
              </w:rPr>
              <w:t>5.94584</w:t>
            </w:r>
          </w:p>
        </w:tc>
        <w:tc>
          <w:tcPr>
            <w:tcW w:w="0" w:type="auto"/>
            <w:shd w:val="clear" w:color="auto" w:fill="auto"/>
            <w:noWrap/>
            <w:vAlign w:val="center"/>
            <w:hideMark/>
          </w:tcPr>
          <w:p w14:paraId="5AE87C33" w14:textId="6FE6DABE" w:rsidR="009F7D37" w:rsidRPr="000B4E2C" w:rsidRDefault="009F7D37" w:rsidP="009F7D37">
            <w:pPr>
              <w:rPr>
                <w:sz w:val="22"/>
                <w:lang w:eastAsia="en-GB"/>
              </w:rPr>
            </w:pPr>
            <w:r w:rsidRPr="000B4E2C">
              <w:rPr>
                <w:lang w:eastAsia="en-GB"/>
              </w:rPr>
              <w:t>0.01532</w:t>
            </w:r>
          </w:p>
        </w:tc>
        <w:tc>
          <w:tcPr>
            <w:tcW w:w="0" w:type="auto"/>
            <w:shd w:val="clear" w:color="auto" w:fill="auto"/>
            <w:noWrap/>
            <w:vAlign w:val="center"/>
            <w:hideMark/>
          </w:tcPr>
          <w:p w14:paraId="23F188CB" w14:textId="0662A1DD" w:rsidR="009F7D37" w:rsidRPr="000B4E2C" w:rsidRDefault="009F7D37" w:rsidP="009F7D37">
            <w:pPr>
              <w:rPr>
                <w:sz w:val="22"/>
                <w:lang w:eastAsia="en-GB"/>
              </w:rPr>
            </w:pPr>
            <w:r w:rsidRPr="000B4E2C">
              <w:rPr>
                <w:lang w:eastAsia="en-GB"/>
              </w:rPr>
              <w:t>£6,478</w:t>
            </w:r>
          </w:p>
        </w:tc>
        <w:tc>
          <w:tcPr>
            <w:tcW w:w="0" w:type="auto"/>
            <w:shd w:val="clear" w:color="auto" w:fill="auto"/>
            <w:noWrap/>
            <w:vAlign w:val="center"/>
            <w:hideMark/>
          </w:tcPr>
          <w:p w14:paraId="0419AC8A" w14:textId="10E85210" w:rsidR="009F7D37" w:rsidRPr="000B4E2C" w:rsidRDefault="009F7D37" w:rsidP="009F7D37">
            <w:pPr>
              <w:rPr>
                <w:sz w:val="22"/>
                <w:lang w:eastAsia="en-GB"/>
              </w:rPr>
            </w:pPr>
            <w:r w:rsidRPr="000B4E2C">
              <w:rPr>
                <w:rFonts w:ascii="Arial" w:hAnsi="Arial" w:cs="Arial"/>
                <w:lang w:eastAsia="en-GB"/>
              </w:rPr>
              <w:t>£2,644</w:t>
            </w:r>
          </w:p>
        </w:tc>
        <w:tc>
          <w:tcPr>
            <w:tcW w:w="0" w:type="auto"/>
            <w:shd w:val="clear" w:color="auto" w:fill="auto"/>
            <w:noWrap/>
            <w:vAlign w:val="center"/>
            <w:hideMark/>
          </w:tcPr>
          <w:p w14:paraId="67FCE6F9" w14:textId="24F78E2C" w:rsidR="009F7D37" w:rsidRPr="000B4E2C" w:rsidRDefault="009F7D37" w:rsidP="009F7D37">
            <w:pPr>
              <w:rPr>
                <w:sz w:val="22"/>
                <w:lang w:eastAsia="en-GB"/>
              </w:rPr>
            </w:pPr>
            <w:r w:rsidRPr="000B4E2C">
              <w:rPr>
                <w:lang w:eastAsia="en-GB"/>
              </w:rPr>
              <w:t>0%</w:t>
            </w:r>
          </w:p>
        </w:tc>
        <w:tc>
          <w:tcPr>
            <w:tcW w:w="0" w:type="auto"/>
            <w:gridSpan w:val="2"/>
            <w:shd w:val="clear" w:color="auto" w:fill="auto"/>
            <w:noWrap/>
            <w:vAlign w:val="center"/>
            <w:hideMark/>
          </w:tcPr>
          <w:p w14:paraId="6C35CB2D" w14:textId="4815E655" w:rsidR="009F7D37" w:rsidRPr="000B4E2C" w:rsidRDefault="009F7D37" w:rsidP="009F7D37">
            <w:pPr>
              <w:rPr>
                <w:sz w:val="22"/>
                <w:lang w:eastAsia="en-GB"/>
              </w:rPr>
            </w:pPr>
            <w:r w:rsidRPr="000B4E2C">
              <w:rPr>
                <w:lang w:eastAsia="en-GB"/>
              </w:rPr>
              <w:t>0%</w:t>
            </w:r>
          </w:p>
        </w:tc>
      </w:tr>
      <w:tr w:rsidR="009F7D37" w:rsidRPr="000B4E2C" w14:paraId="79315928" w14:textId="77777777" w:rsidTr="000B4E2C">
        <w:trPr>
          <w:cantSplit/>
          <w:tblHeader/>
        </w:trPr>
        <w:tc>
          <w:tcPr>
            <w:tcW w:w="0" w:type="auto"/>
            <w:shd w:val="clear" w:color="auto" w:fill="auto"/>
            <w:noWrap/>
            <w:vAlign w:val="center"/>
            <w:hideMark/>
          </w:tcPr>
          <w:p w14:paraId="7F169924" w14:textId="7B3D4879" w:rsidR="009F7D37" w:rsidRPr="000B4E2C" w:rsidRDefault="009F7D37" w:rsidP="009F7D37">
            <w:pPr>
              <w:rPr>
                <w:sz w:val="22"/>
                <w:lang w:eastAsia="en-GB"/>
              </w:rPr>
            </w:pPr>
            <w:r w:rsidRPr="000B4E2C">
              <w:rPr>
                <w:lang w:eastAsia="en-GB"/>
              </w:rPr>
              <w:t>Test 4 (NGAL urine</w:t>
            </w:r>
            <w:r w:rsidR="000B4E2C" w:rsidRPr="000B4E2C">
              <w:rPr>
                <w:color w:val="00B0F0"/>
                <w:lang w:eastAsia="en-GB"/>
              </w:rPr>
              <w:t xml:space="preserve"> – </w:t>
            </w:r>
            <w:r w:rsidRPr="000B4E2C">
              <w:rPr>
                <w:lang w:eastAsia="en-GB"/>
              </w:rPr>
              <w:t>ARCHITECT)</w:t>
            </w:r>
          </w:p>
        </w:tc>
        <w:tc>
          <w:tcPr>
            <w:tcW w:w="0" w:type="auto"/>
            <w:shd w:val="clear" w:color="auto" w:fill="auto"/>
            <w:noWrap/>
            <w:vAlign w:val="center"/>
            <w:hideMark/>
          </w:tcPr>
          <w:p w14:paraId="20FDE7ED" w14:textId="707E8904" w:rsidR="009F7D37" w:rsidRPr="000B4E2C" w:rsidRDefault="009F7D37" w:rsidP="009F7D37">
            <w:pPr>
              <w:rPr>
                <w:sz w:val="22"/>
                <w:lang w:eastAsia="en-GB"/>
              </w:rPr>
            </w:pPr>
            <w:r w:rsidRPr="000B4E2C">
              <w:rPr>
                <w:lang w:eastAsia="en-GB"/>
              </w:rPr>
              <w:t>£22,715</w:t>
            </w:r>
          </w:p>
        </w:tc>
        <w:tc>
          <w:tcPr>
            <w:tcW w:w="0" w:type="auto"/>
            <w:gridSpan w:val="2"/>
            <w:shd w:val="clear" w:color="auto" w:fill="auto"/>
            <w:noWrap/>
            <w:vAlign w:val="center"/>
            <w:hideMark/>
          </w:tcPr>
          <w:p w14:paraId="47B72DAA" w14:textId="415B542A" w:rsidR="009F7D37" w:rsidRPr="000B4E2C" w:rsidRDefault="009F7D37" w:rsidP="009F7D37">
            <w:pPr>
              <w:rPr>
                <w:sz w:val="22"/>
                <w:lang w:eastAsia="en-GB"/>
              </w:rPr>
            </w:pPr>
            <w:r w:rsidRPr="000B4E2C">
              <w:rPr>
                <w:lang w:eastAsia="en-GB"/>
              </w:rPr>
              <w:t>£83</w:t>
            </w:r>
          </w:p>
        </w:tc>
        <w:tc>
          <w:tcPr>
            <w:tcW w:w="0" w:type="auto"/>
            <w:shd w:val="clear" w:color="auto" w:fill="auto"/>
            <w:noWrap/>
            <w:vAlign w:val="center"/>
            <w:hideMark/>
          </w:tcPr>
          <w:p w14:paraId="595F9FEF" w14:textId="67B8B6E2" w:rsidR="009F7D37" w:rsidRPr="000B4E2C" w:rsidRDefault="009F7D37" w:rsidP="009F7D37">
            <w:pPr>
              <w:rPr>
                <w:sz w:val="22"/>
                <w:lang w:eastAsia="en-GB"/>
              </w:rPr>
            </w:pPr>
            <w:r w:rsidRPr="000B4E2C">
              <w:rPr>
                <w:lang w:eastAsia="en-GB"/>
              </w:rPr>
              <w:t>5.97024</w:t>
            </w:r>
          </w:p>
        </w:tc>
        <w:tc>
          <w:tcPr>
            <w:tcW w:w="0" w:type="auto"/>
            <w:shd w:val="clear" w:color="auto" w:fill="auto"/>
            <w:noWrap/>
            <w:vAlign w:val="center"/>
            <w:hideMark/>
          </w:tcPr>
          <w:p w14:paraId="4487711C" w14:textId="344CDDF5" w:rsidR="009F7D37" w:rsidRPr="000B4E2C" w:rsidRDefault="009F7D37" w:rsidP="009F7D37">
            <w:pPr>
              <w:rPr>
                <w:sz w:val="22"/>
                <w:lang w:eastAsia="en-GB"/>
              </w:rPr>
            </w:pPr>
            <w:r w:rsidRPr="000B4E2C">
              <w:rPr>
                <w:lang w:eastAsia="en-GB"/>
              </w:rPr>
              <w:t>0.02440</w:t>
            </w:r>
          </w:p>
        </w:tc>
        <w:tc>
          <w:tcPr>
            <w:tcW w:w="0" w:type="auto"/>
            <w:shd w:val="clear" w:color="auto" w:fill="auto"/>
            <w:noWrap/>
            <w:vAlign w:val="center"/>
            <w:hideMark/>
          </w:tcPr>
          <w:p w14:paraId="1B0B1E7C" w14:textId="03EBE264" w:rsidR="009F7D37" w:rsidRPr="000B4E2C" w:rsidRDefault="009F7D37" w:rsidP="009F7D37">
            <w:pPr>
              <w:rPr>
                <w:sz w:val="22"/>
                <w:lang w:eastAsia="en-GB"/>
              </w:rPr>
            </w:pPr>
            <w:r w:rsidRPr="000B4E2C">
              <w:rPr>
                <w:lang w:eastAsia="en-GB"/>
              </w:rPr>
              <w:t>£3,389</w:t>
            </w:r>
          </w:p>
        </w:tc>
        <w:tc>
          <w:tcPr>
            <w:tcW w:w="0" w:type="auto"/>
            <w:shd w:val="clear" w:color="auto" w:fill="auto"/>
            <w:noWrap/>
            <w:vAlign w:val="center"/>
            <w:hideMark/>
          </w:tcPr>
          <w:p w14:paraId="149D3053" w14:textId="0B58B667" w:rsidR="009F7D37" w:rsidRPr="000B4E2C" w:rsidRDefault="009F7D37" w:rsidP="009F7D37">
            <w:pPr>
              <w:rPr>
                <w:sz w:val="22"/>
                <w:lang w:eastAsia="en-GB"/>
              </w:rPr>
            </w:pPr>
            <w:r w:rsidRPr="000B4E2C">
              <w:rPr>
                <w:rFonts w:ascii="Arial" w:hAnsi="Arial" w:cs="Arial"/>
                <w:lang w:eastAsia="en-GB"/>
              </w:rPr>
              <w:t>£2,464</w:t>
            </w:r>
          </w:p>
        </w:tc>
        <w:tc>
          <w:tcPr>
            <w:tcW w:w="0" w:type="auto"/>
            <w:shd w:val="clear" w:color="auto" w:fill="auto"/>
            <w:noWrap/>
            <w:vAlign w:val="center"/>
            <w:hideMark/>
          </w:tcPr>
          <w:p w14:paraId="6D53993F" w14:textId="655A3700" w:rsidR="009F7D37" w:rsidRPr="000B4E2C" w:rsidRDefault="009F7D37" w:rsidP="009F7D37">
            <w:pPr>
              <w:rPr>
                <w:sz w:val="22"/>
                <w:lang w:eastAsia="en-GB"/>
              </w:rPr>
            </w:pPr>
            <w:r w:rsidRPr="000B4E2C">
              <w:rPr>
                <w:lang w:eastAsia="en-GB"/>
              </w:rPr>
              <w:t>0%</w:t>
            </w:r>
          </w:p>
        </w:tc>
        <w:tc>
          <w:tcPr>
            <w:tcW w:w="0" w:type="auto"/>
            <w:gridSpan w:val="2"/>
            <w:shd w:val="clear" w:color="auto" w:fill="auto"/>
            <w:noWrap/>
            <w:vAlign w:val="center"/>
            <w:hideMark/>
          </w:tcPr>
          <w:p w14:paraId="3B2AEF76" w14:textId="50FCF3EF" w:rsidR="009F7D37" w:rsidRPr="000B4E2C" w:rsidRDefault="009F7D37" w:rsidP="009F7D37">
            <w:pPr>
              <w:rPr>
                <w:sz w:val="22"/>
                <w:lang w:eastAsia="en-GB"/>
              </w:rPr>
            </w:pPr>
            <w:r w:rsidRPr="000B4E2C">
              <w:rPr>
                <w:lang w:eastAsia="en-GB"/>
              </w:rPr>
              <w:t>0%</w:t>
            </w:r>
          </w:p>
        </w:tc>
      </w:tr>
      <w:tr w:rsidR="009F7D37" w:rsidRPr="000B4E2C" w14:paraId="58AA5187" w14:textId="77777777" w:rsidTr="000B4E2C">
        <w:trPr>
          <w:cantSplit/>
          <w:tblHeader/>
        </w:trPr>
        <w:tc>
          <w:tcPr>
            <w:tcW w:w="0" w:type="auto"/>
            <w:shd w:val="clear" w:color="auto" w:fill="auto"/>
            <w:noWrap/>
            <w:vAlign w:val="center"/>
            <w:hideMark/>
          </w:tcPr>
          <w:p w14:paraId="753644D2" w14:textId="4D01A0A9" w:rsidR="009F7D37" w:rsidRPr="000B4E2C" w:rsidRDefault="009F7D37" w:rsidP="009F7D37">
            <w:pPr>
              <w:rPr>
                <w:sz w:val="22"/>
                <w:lang w:eastAsia="en-GB"/>
              </w:rPr>
            </w:pPr>
            <w:r w:rsidRPr="000B4E2C">
              <w:rPr>
                <w:lang w:eastAsia="en-GB"/>
              </w:rPr>
              <w:t>Test 3 (NGAL urine</w:t>
            </w:r>
            <w:r w:rsidR="000B4E2C" w:rsidRPr="000B4E2C">
              <w:rPr>
                <w:color w:val="00B0F0"/>
                <w:lang w:eastAsia="en-GB"/>
              </w:rPr>
              <w:t xml:space="preserve"> – </w:t>
            </w:r>
            <w:r w:rsidRPr="000B4E2C">
              <w:rPr>
                <w:lang w:eastAsia="en-GB"/>
              </w:rPr>
              <w:t>BioPorto)</w:t>
            </w:r>
          </w:p>
        </w:tc>
        <w:tc>
          <w:tcPr>
            <w:tcW w:w="0" w:type="auto"/>
            <w:shd w:val="clear" w:color="auto" w:fill="auto"/>
            <w:noWrap/>
            <w:vAlign w:val="center"/>
            <w:hideMark/>
          </w:tcPr>
          <w:p w14:paraId="3DFB1EB4" w14:textId="22A35A39" w:rsidR="009F7D37" w:rsidRPr="000B4E2C" w:rsidRDefault="009F7D37" w:rsidP="009F7D37">
            <w:pPr>
              <w:rPr>
                <w:sz w:val="22"/>
                <w:lang w:eastAsia="en-GB"/>
              </w:rPr>
            </w:pPr>
            <w:r w:rsidRPr="000B4E2C">
              <w:rPr>
                <w:lang w:eastAsia="en-GB"/>
              </w:rPr>
              <w:t>£22,809</w:t>
            </w:r>
          </w:p>
        </w:tc>
        <w:tc>
          <w:tcPr>
            <w:tcW w:w="0" w:type="auto"/>
            <w:gridSpan w:val="2"/>
            <w:shd w:val="clear" w:color="auto" w:fill="auto"/>
            <w:noWrap/>
            <w:vAlign w:val="center"/>
            <w:hideMark/>
          </w:tcPr>
          <w:p w14:paraId="65D5C750" w14:textId="6FC90157" w:rsidR="009F7D37" w:rsidRPr="000B4E2C" w:rsidRDefault="009F7D37" w:rsidP="009F7D37">
            <w:pPr>
              <w:rPr>
                <w:sz w:val="22"/>
                <w:lang w:eastAsia="en-GB"/>
              </w:rPr>
            </w:pPr>
            <w:r w:rsidRPr="000B4E2C">
              <w:rPr>
                <w:lang w:eastAsia="en-GB"/>
              </w:rPr>
              <w:t>£94</w:t>
            </w:r>
          </w:p>
        </w:tc>
        <w:tc>
          <w:tcPr>
            <w:tcW w:w="0" w:type="auto"/>
            <w:shd w:val="clear" w:color="auto" w:fill="auto"/>
            <w:noWrap/>
            <w:vAlign w:val="center"/>
            <w:hideMark/>
          </w:tcPr>
          <w:p w14:paraId="554C45CB" w14:textId="0D454F22" w:rsidR="009F7D37" w:rsidRPr="000B4E2C" w:rsidRDefault="009F7D37" w:rsidP="009F7D37">
            <w:pPr>
              <w:rPr>
                <w:sz w:val="22"/>
                <w:lang w:eastAsia="en-GB"/>
              </w:rPr>
            </w:pPr>
            <w:r w:rsidRPr="000B4E2C">
              <w:rPr>
                <w:lang w:eastAsia="en-GB"/>
              </w:rPr>
              <w:t>6.00383</w:t>
            </w:r>
          </w:p>
        </w:tc>
        <w:tc>
          <w:tcPr>
            <w:tcW w:w="0" w:type="auto"/>
            <w:shd w:val="clear" w:color="auto" w:fill="auto"/>
            <w:noWrap/>
            <w:vAlign w:val="center"/>
            <w:hideMark/>
          </w:tcPr>
          <w:p w14:paraId="6A1E4EA4" w14:textId="36F98DD0" w:rsidR="009F7D37" w:rsidRPr="000B4E2C" w:rsidRDefault="009F7D37" w:rsidP="009F7D37">
            <w:pPr>
              <w:rPr>
                <w:sz w:val="22"/>
                <w:lang w:eastAsia="en-GB"/>
              </w:rPr>
            </w:pPr>
            <w:r w:rsidRPr="000B4E2C">
              <w:rPr>
                <w:lang w:eastAsia="en-GB"/>
              </w:rPr>
              <w:t>0.03360</w:t>
            </w:r>
          </w:p>
        </w:tc>
        <w:tc>
          <w:tcPr>
            <w:tcW w:w="0" w:type="auto"/>
            <w:shd w:val="clear" w:color="auto" w:fill="auto"/>
            <w:noWrap/>
            <w:vAlign w:val="center"/>
            <w:hideMark/>
          </w:tcPr>
          <w:p w14:paraId="27BBD7E0" w14:textId="1EC242D3" w:rsidR="009F7D37" w:rsidRPr="000B4E2C" w:rsidRDefault="009F7D37" w:rsidP="009F7D37">
            <w:pPr>
              <w:rPr>
                <w:sz w:val="22"/>
                <w:lang w:eastAsia="en-GB"/>
              </w:rPr>
            </w:pPr>
            <w:r w:rsidRPr="000B4E2C">
              <w:rPr>
                <w:lang w:eastAsia="en-GB"/>
              </w:rPr>
              <w:t>£2,801</w:t>
            </w:r>
          </w:p>
        </w:tc>
        <w:tc>
          <w:tcPr>
            <w:tcW w:w="0" w:type="auto"/>
            <w:shd w:val="clear" w:color="auto" w:fill="auto"/>
            <w:noWrap/>
            <w:vAlign w:val="center"/>
            <w:hideMark/>
          </w:tcPr>
          <w:p w14:paraId="6C556E3C" w14:textId="1D8A5F76" w:rsidR="009F7D37" w:rsidRPr="000B4E2C" w:rsidRDefault="009F7D37" w:rsidP="009F7D37">
            <w:pPr>
              <w:rPr>
                <w:sz w:val="22"/>
                <w:lang w:eastAsia="en-GB"/>
              </w:rPr>
            </w:pPr>
            <w:r w:rsidRPr="000B4E2C">
              <w:rPr>
                <w:rFonts w:ascii="Arial" w:hAnsi="Arial" w:cs="Arial"/>
                <w:lang w:eastAsia="en-GB"/>
              </w:rPr>
              <w:t>£2,297</w:t>
            </w:r>
          </w:p>
        </w:tc>
        <w:tc>
          <w:tcPr>
            <w:tcW w:w="0" w:type="auto"/>
            <w:shd w:val="clear" w:color="auto" w:fill="auto"/>
            <w:noWrap/>
            <w:vAlign w:val="center"/>
            <w:hideMark/>
          </w:tcPr>
          <w:p w14:paraId="2472E70A" w14:textId="607CFE4B" w:rsidR="009F7D37" w:rsidRPr="000B4E2C" w:rsidRDefault="009F7D37" w:rsidP="009F7D37">
            <w:pPr>
              <w:rPr>
                <w:sz w:val="22"/>
                <w:lang w:eastAsia="en-GB"/>
              </w:rPr>
            </w:pPr>
            <w:r w:rsidRPr="000B4E2C">
              <w:rPr>
                <w:lang w:eastAsia="en-GB"/>
              </w:rPr>
              <w:t>0.0%</w:t>
            </w:r>
          </w:p>
        </w:tc>
        <w:tc>
          <w:tcPr>
            <w:tcW w:w="0" w:type="auto"/>
            <w:gridSpan w:val="2"/>
            <w:shd w:val="clear" w:color="auto" w:fill="auto"/>
            <w:noWrap/>
            <w:vAlign w:val="center"/>
            <w:hideMark/>
          </w:tcPr>
          <w:p w14:paraId="67162C31" w14:textId="36346793" w:rsidR="009F7D37" w:rsidRPr="000B4E2C" w:rsidRDefault="009F7D37" w:rsidP="009F7D37">
            <w:pPr>
              <w:rPr>
                <w:sz w:val="22"/>
                <w:lang w:eastAsia="en-GB"/>
              </w:rPr>
            </w:pPr>
            <w:r w:rsidRPr="000B4E2C">
              <w:rPr>
                <w:lang w:eastAsia="en-GB"/>
              </w:rPr>
              <w:t>0.00%</w:t>
            </w:r>
          </w:p>
        </w:tc>
      </w:tr>
      <w:tr w:rsidR="009F7D37" w:rsidRPr="000B4E2C" w14:paraId="0302BEDC" w14:textId="77777777" w:rsidTr="000B4E2C">
        <w:trPr>
          <w:cantSplit/>
          <w:tblHeader/>
        </w:trPr>
        <w:tc>
          <w:tcPr>
            <w:tcW w:w="0" w:type="auto"/>
            <w:shd w:val="clear" w:color="auto" w:fill="auto"/>
            <w:noWrap/>
            <w:vAlign w:val="center"/>
            <w:hideMark/>
          </w:tcPr>
          <w:p w14:paraId="1906A04E" w14:textId="13765490" w:rsidR="009F7D37" w:rsidRPr="000B4E2C" w:rsidRDefault="009F7D37" w:rsidP="009F7D37">
            <w:pPr>
              <w:rPr>
                <w:sz w:val="22"/>
                <w:lang w:eastAsia="en-GB"/>
              </w:rPr>
            </w:pPr>
            <w:r w:rsidRPr="000B4E2C">
              <w:rPr>
                <w:lang w:eastAsia="en-GB"/>
              </w:rPr>
              <w:t>Standard care (Scr)</w:t>
            </w:r>
          </w:p>
        </w:tc>
        <w:tc>
          <w:tcPr>
            <w:tcW w:w="0" w:type="auto"/>
            <w:shd w:val="clear" w:color="auto" w:fill="auto"/>
            <w:noWrap/>
            <w:vAlign w:val="center"/>
            <w:hideMark/>
          </w:tcPr>
          <w:p w14:paraId="2E409845" w14:textId="3D96C9D7" w:rsidR="009F7D37" w:rsidRPr="000B4E2C" w:rsidRDefault="009F7D37" w:rsidP="009F7D37">
            <w:pPr>
              <w:rPr>
                <w:sz w:val="22"/>
                <w:lang w:eastAsia="en-GB"/>
              </w:rPr>
            </w:pPr>
            <w:r w:rsidRPr="000B4E2C">
              <w:rPr>
                <w:lang w:eastAsia="en-GB"/>
              </w:rPr>
              <w:t>£22,963</w:t>
            </w:r>
          </w:p>
        </w:tc>
        <w:tc>
          <w:tcPr>
            <w:tcW w:w="0" w:type="auto"/>
            <w:gridSpan w:val="2"/>
            <w:shd w:val="clear" w:color="auto" w:fill="auto"/>
            <w:noWrap/>
            <w:vAlign w:val="center"/>
            <w:hideMark/>
          </w:tcPr>
          <w:p w14:paraId="7F1E50ED" w14:textId="5CCA196A" w:rsidR="009F7D37" w:rsidRPr="000B4E2C" w:rsidRDefault="009F7D37" w:rsidP="009F7D37">
            <w:pPr>
              <w:rPr>
                <w:sz w:val="22"/>
                <w:lang w:eastAsia="en-GB"/>
              </w:rPr>
            </w:pPr>
            <w:r w:rsidRPr="000B4E2C">
              <w:rPr>
                <w:lang w:eastAsia="en-GB"/>
              </w:rPr>
              <w:t>£155</w:t>
            </w:r>
          </w:p>
        </w:tc>
        <w:tc>
          <w:tcPr>
            <w:tcW w:w="0" w:type="auto"/>
            <w:shd w:val="clear" w:color="auto" w:fill="auto"/>
            <w:noWrap/>
            <w:vAlign w:val="center"/>
            <w:hideMark/>
          </w:tcPr>
          <w:p w14:paraId="49138756" w14:textId="503DEF51" w:rsidR="009F7D37" w:rsidRPr="000B4E2C" w:rsidRDefault="009F7D37" w:rsidP="009F7D37">
            <w:pPr>
              <w:rPr>
                <w:sz w:val="22"/>
                <w:lang w:eastAsia="en-GB"/>
              </w:rPr>
            </w:pPr>
            <w:r w:rsidRPr="000B4E2C">
              <w:rPr>
                <w:lang w:eastAsia="en-GB"/>
              </w:rPr>
              <w:t>6.07124</w:t>
            </w:r>
          </w:p>
        </w:tc>
        <w:tc>
          <w:tcPr>
            <w:tcW w:w="0" w:type="auto"/>
            <w:shd w:val="clear" w:color="auto" w:fill="auto"/>
            <w:noWrap/>
            <w:vAlign w:val="center"/>
            <w:hideMark/>
          </w:tcPr>
          <w:p w14:paraId="0D3BD62C" w14:textId="7312E145" w:rsidR="009F7D37" w:rsidRPr="000B4E2C" w:rsidRDefault="009F7D37" w:rsidP="009F7D37">
            <w:pPr>
              <w:rPr>
                <w:sz w:val="22"/>
                <w:lang w:eastAsia="en-GB"/>
              </w:rPr>
            </w:pPr>
            <w:r w:rsidRPr="000B4E2C">
              <w:rPr>
                <w:lang w:eastAsia="en-GB"/>
              </w:rPr>
              <w:t>0.06740</w:t>
            </w:r>
          </w:p>
        </w:tc>
        <w:tc>
          <w:tcPr>
            <w:tcW w:w="0" w:type="auto"/>
            <w:shd w:val="clear" w:color="auto" w:fill="auto"/>
            <w:noWrap/>
            <w:vAlign w:val="center"/>
            <w:hideMark/>
          </w:tcPr>
          <w:p w14:paraId="4B9406FD" w14:textId="36591505" w:rsidR="009F7D37" w:rsidRPr="000B4E2C" w:rsidRDefault="009F7D37" w:rsidP="009F7D37">
            <w:pPr>
              <w:rPr>
                <w:sz w:val="22"/>
                <w:lang w:eastAsia="en-GB"/>
              </w:rPr>
            </w:pPr>
            <w:r w:rsidRPr="000B4E2C">
              <w:rPr>
                <w:lang w:eastAsia="en-GB"/>
              </w:rPr>
              <w:t>£2,297</w:t>
            </w:r>
          </w:p>
        </w:tc>
        <w:tc>
          <w:tcPr>
            <w:tcW w:w="0" w:type="auto"/>
            <w:shd w:val="clear" w:color="auto" w:fill="auto"/>
            <w:noWrap/>
            <w:vAlign w:val="center"/>
            <w:hideMark/>
          </w:tcPr>
          <w:p w14:paraId="08DCE9CF" w14:textId="12882B86" w:rsidR="009F7D37" w:rsidRPr="000B4E2C" w:rsidRDefault="009F7D37" w:rsidP="009F7D37">
            <w:pPr>
              <w:rPr>
                <w:sz w:val="22"/>
                <w:lang w:eastAsia="en-GB"/>
              </w:rPr>
            </w:pPr>
            <w:r w:rsidRPr="000B4E2C">
              <w:rPr>
                <w:rFonts w:ascii="Arial" w:hAnsi="Arial" w:cs="Arial"/>
                <w:lang w:eastAsia="en-GB"/>
              </w:rPr>
              <w:t>--</w:t>
            </w:r>
          </w:p>
        </w:tc>
        <w:tc>
          <w:tcPr>
            <w:tcW w:w="0" w:type="auto"/>
            <w:shd w:val="clear" w:color="auto" w:fill="auto"/>
            <w:noWrap/>
            <w:vAlign w:val="center"/>
            <w:hideMark/>
          </w:tcPr>
          <w:p w14:paraId="1E027222" w14:textId="0CFA6AD5" w:rsidR="009F7D37" w:rsidRPr="000B4E2C" w:rsidRDefault="009F7D37" w:rsidP="009F7D37">
            <w:pPr>
              <w:rPr>
                <w:sz w:val="22"/>
                <w:lang w:eastAsia="en-GB"/>
              </w:rPr>
            </w:pPr>
            <w:r w:rsidRPr="000B4E2C">
              <w:rPr>
                <w:lang w:eastAsia="en-GB"/>
              </w:rPr>
              <w:t>100.0%</w:t>
            </w:r>
          </w:p>
        </w:tc>
        <w:tc>
          <w:tcPr>
            <w:tcW w:w="0" w:type="auto"/>
            <w:gridSpan w:val="2"/>
            <w:shd w:val="clear" w:color="auto" w:fill="auto"/>
            <w:noWrap/>
            <w:vAlign w:val="center"/>
            <w:hideMark/>
          </w:tcPr>
          <w:p w14:paraId="5EE14436" w14:textId="7DE114DD" w:rsidR="009F7D37" w:rsidRPr="000B4E2C" w:rsidRDefault="009F7D37" w:rsidP="009F7D37">
            <w:pPr>
              <w:rPr>
                <w:sz w:val="22"/>
                <w:lang w:eastAsia="en-GB"/>
              </w:rPr>
            </w:pPr>
            <w:r w:rsidRPr="000B4E2C">
              <w:rPr>
                <w:lang w:eastAsia="en-GB"/>
              </w:rPr>
              <w:t>--</w:t>
            </w:r>
          </w:p>
        </w:tc>
      </w:tr>
      <w:tr w:rsidR="002F0133" w:rsidRPr="000B4E2C" w14:paraId="69990FAC" w14:textId="77777777" w:rsidTr="000B4E2C">
        <w:trPr>
          <w:cantSplit/>
          <w:tblHeader/>
        </w:trPr>
        <w:tc>
          <w:tcPr>
            <w:tcW w:w="0" w:type="auto"/>
            <w:gridSpan w:val="11"/>
            <w:shd w:val="clear" w:color="auto" w:fill="auto"/>
            <w:noWrap/>
            <w:hideMark/>
          </w:tcPr>
          <w:p w14:paraId="1B60BF56" w14:textId="1A9CC847" w:rsidR="002F0133" w:rsidRPr="000B4E2C" w:rsidRDefault="002F0133" w:rsidP="008A7464">
            <w:pPr>
              <w:rPr>
                <w:b/>
                <w:bCs/>
                <w:sz w:val="22"/>
                <w:lang w:eastAsia="en-GB"/>
              </w:rPr>
            </w:pPr>
            <w:r w:rsidRPr="000B4E2C">
              <w:rPr>
                <w:b/>
                <w:bCs/>
                <w:sz w:val="22"/>
                <w:lang w:eastAsia="en-GB"/>
              </w:rPr>
              <w:t xml:space="preserve">Scenario </w:t>
            </w:r>
            <w:r w:rsidR="000B4E2C" w:rsidRPr="000B4E2C">
              <w:rPr>
                <w:b/>
                <w:bCs/>
                <w:color w:val="00B0F0"/>
                <w:sz w:val="22"/>
                <w:lang w:eastAsia="en-GB"/>
              </w:rPr>
              <w:t>2</w:t>
            </w:r>
            <w:r w:rsidR="000B4E2C" w:rsidRPr="000B4E2C">
              <w:rPr>
                <w:b/>
                <w:bCs/>
                <w:color w:val="00B0F0"/>
                <w:sz w:val="22"/>
                <w:lang w:eastAsia="en-GB"/>
              </w:rPr>
              <w:t> </w:t>
            </w:r>
            <w:r w:rsidR="000B4E2C" w:rsidRPr="000B4E2C">
              <w:rPr>
                <w:b/>
                <w:bCs/>
                <w:color w:val="00B0F0"/>
                <w:sz w:val="22"/>
                <w:lang w:eastAsia="en-GB"/>
              </w:rPr>
              <w:t>N:</w:t>
            </w:r>
            <w:r w:rsidRPr="000B4E2C">
              <w:rPr>
                <w:b/>
                <w:bCs/>
                <w:sz w:val="22"/>
                <w:lang w:eastAsia="en-GB"/>
              </w:rPr>
              <w:t xml:space="preserve"> Exclude capital and training costs in test costs</w:t>
            </w:r>
          </w:p>
        </w:tc>
      </w:tr>
      <w:tr w:rsidR="002F0133" w:rsidRPr="000B4E2C" w14:paraId="0D06740F" w14:textId="77777777" w:rsidTr="000B4E2C">
        <w:trPr>
          <w:cantSplit/>
          <w:tblHeader/>
        </w:trPr>
        <w:tc>
          <w:tcPr>
            <w:tcW w:w="0" w:type="auto"/>
            <w:shd w:val="clear" w:color="auto" w:fill="auto"/>
            <w:noWrap/>
            <w:hideMark/>
          </w:tcPr>
          <w:p w14:paraId="2FFB2AA1"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519F209A" w14:textId="77777777" w:rsidR="002F0133" w:rsidRPr="000B4E2C" w:rsidRDefault="002F0133" w:rsidP="008A7464">
            <w:pPr>
              <w:rPr>
                <w:sz w:val="22"/>
                <w:lang w:eastAsia="en-GB"/>
              </w:rPr>
            </w:pPr>
            <w:r w:rsidRPr="000B4E2C">
              <w:rPr>
                <w:sz w:val="22"/>
                <w:lang w:eastAsia="en-GB"/>
              </w:rPr>
              <w:t>£22,987</w:t>
            </w:r>
          </w:p>
        </w:tc>
        <w:tc>
          <w:tcPr>
            <w:tcW w:w="0" w:type="auto"/>
            <w:gridSpan w:val="2"/>
            <w:shd w:val="clear" w:color="auto" w:fill="auto"/>
            <w:noWrap/>
            <w:hideMark/>
          </w:tcPr>
          <w:p w14:paraId="60B2A409"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404BE348" w14:textId="77777777" w:rsidR="002F0133" w:rsidRPr="000B4E2C" w:rsidRDefault="002F0133" w:rsidP="008A7464">
            <w:pPr>
              <w:rPr>
                <w:sz w:val="22"/>
                <w:lang w:eastAsia="en-GB"/>
              </w:rPr>
            </w:pPr>
            <w:r w:rsidRPr="000B4E2C">
              <w:rPr>
                <w:sz w:val="22"/>
                <w:lang w:eastAsia="en-GB"/>
              </w:rPr>
              <w:t>6.08128</w:t>
            </w:r>
          </w:p>
        </w:tc>
        <w:tc>
          <w:tcPr>
            <w:tcW w:w="0" w:type="auto"/>
            <w:shd w:val="clear" w:color="auto" w:fill="auto"/>
            <w:noWrap/>
            <w:hideMark/>
          </w:tcPr>
          <w:p w14:paraId="3A5B1E38"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54A314BF"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F5FCB64"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690A734C" w14:textId="77777777" w:rsidR="002F0133" w:rsidRPr="000B4E2C" w:rsidRDefault="002F0133" w:rsidP="008A7464">
            <w:pPr>
              <w:rPr>
                <w:sz w:val="22"/>
                <w:lang w:eastAsia="en-GB"/>
              </w:rPr>
            </w:pPr>
            <w:r w:rsidRPr="000B4E2C">
              <w:rPr>
                <w:sz w:val="22"/>
                <w:lang w:eastAsia="en-GB"/>
              </w:rPr>
              <w:t>65.1%</w:t>
            </w:r>
          </w:p>
        </w:tc>
        <w:tc>
          <w:tcPr>
            <w:tcW w:w="0" w:type="auto"/>
            <w:gridSpan w:val="2"/>
            <w:shd w:val="clear" w:color="auto" w:fill="auto"/>
            <w:noWrap/>
            <w:hideMark/>
          </w:tcPr>
          <w:p w14:paraId="50F61EBF" w14:textId="77777777" w:rsidR="002F0133" w:rsidRPr="000B4E2C" w:rsidRDefault="002F0133" w:rsidP="008A7464">
            <w:pPr>
              <w:rPr>
                <w:sz w:val="22"/>
                <w:lang w:eastAsia="en-GB"/>
              </w:rPr>
            </w:pPr>
            <w:r w:rsidRPr="000B4E2C">
              <w:rPr>
                <w:sz w:val="22"/>
                <w:lang w:eastAsia="en-GB"/>
              </w:rPr>
              <w:t>--</w:t>
            </w:r>
          </w:p>
        </w:tc>
      </w:tr>
      <w:tr w:rsidR="002F0133" w:rsidRPr="000B4E2C" w14:paraId="2F63E31E" w14:textId="77777777" w:rsidTr="000B4E2C">
        <w:trPr>
          <w:cantSplit/>
          <w:tblHeader/>
        </w:trPr>
        <w:tc>
          <w:tcPr>
            <w:tcW w:w="0" w:type="auto"/>
            <w:shd w:val="clear" w:color="auto" w:fill="auto"/>
            <w:noWrap/>
            <w:hideMark/>
          </w:tcPr>
          <w:p w14:paraId="4B9F21CA"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32E02105" w14:textId="77777777" w:rsidR="002F0133" w:rsidRPr="000B4E2C" w:rsidRDefault="002F0133" w:rsidP="008A7464">
            <w:pPr>
              <w:rPr>
                <w:sz w:val="22"/>
                <w:lang w:eastAsia="en-GB"/>
              </w:rPr>
            </w:pPr>
            <w:r w:rsidRPr="000B4E2C">
              <w:rPr>
                <w:sz w:val="22"/>
                <w:lang w:eastAsia="en-GB"/>
              </w:rPr>
              <w:t>£23,025</w:t>
            </w:r>
          </w:p>
        </w:tc>
        <w:tc>
          <w:tcPr>
            <w:tcW w:w="0" w:type="auto"/>
            <w:gridSpan w:val="2"/>
            <w:shd w:val="clear" w:color="auto" w:fill="auto"/>
            <w:noWrap/>
            <w:hideMark/>
          </w:tcPr>
          <w:p w14:paraId="5B5F801A" w14:textId="77777777" w:rsidR="002F0133" w:rsidRPr="000B4E2C" w:rsidRDefault="002F0133" w:rsidP="008A7464">
            <w:pPr>
              <w:rPr>
                <w:sz w:val="22"/>
                <w:lang w:eastAsia="en-GB"/>
              </w:rPr>
            </w:pPr>
            <w:r w:rsidRPr="000B4E2C">
              <w:rPr>
                <w:sz w:val="22"/>
                <w:lang w:eastAsia="en-GB"/>
              </w:rPr>
              <w:t>£39</w:t>
            </w:r>
          </w:p>
        </w:tc>
        <w:tc>
          <w:tcPr>
            <w:tcW w:w="0" w:type="auto"/>
            <w:shd w:val="clear" w:color="auto" w:fill="auto"/>
            <w:noWrap/>
            <w:hideMark/>
          </w:tcPr>
          <w:p w14:paraId="79C243A1" w14:textId="77777777" w:rsidR="002F0133" w:rsidRPr="000B4E2C" w:rsidRDefault="002F0133" w:rsidP="008A7464">
            <w:pPr>
              <w:rPr>
                <w:sz w:val="22"/>
                <w:lang w:eastAsia="en-GB"/>
              </w:rPr>
            </w:pPr>
            <w:r w:rsidRPr="000B4E2C">
              <w:rPr>
                <w:sz w:val="22"/>
                <w:lang w:eastAsia="en-GB"/>
              </w:rPr>
              <w:t>6.08162</w:t>
            </w:r>
          </w:p>
        </w:tc>
        <w:tc>
          <w:tcPr>
            <w:tcW w:w="0" w:type="auto"/>
            <w:shd w:val="clear" w:color="auto" w:fill="auto"/>
            <w:noWrap/>
            <w:hideMark/>
          </w:tcPr>
          <w:p w14:paraId="2CA95DB1" w14:textId="77777777" w:rsidR="002F0133" w:rsidRPr="000B4E2C" w:rsidRDefault="002F0133" w:rsidP="008A7464">
            <w:pPr>
              <w:rPr>
                <w:sz w:val="22"/>
                <w:lang w:eastAsia="en-GB"/>
              </w:rPr>
            </w:pPr>
            <w:r w:rsidRPr="000B4E2C">
              <w:rPr>
                <w:sz w:val="22"/>
                <w:lang w:eastAsia="en-GB"/>
              </w:rPr>
              <w:t>0.00035</w:t>
            </w:r>
          </w:p>
        </w:tc>
        <w:tc>
          <w:tcPr>
            <w:tcW w:w="0" w:type="auto"/>
            <w:shd w:val="clear" w:color="auto" w:fill="auto"/>
            <w:noWrap/>
            <w:hideMark/>
          </w:tcPr>
          <w:p w14:paraId="787C1FD8" w14:textId="77777777" w:rsidR="002F0133" w:rsidRPr="000B4E2C" w:rsidRDefault="002F0133" w:rsidP="008A7464">
            <w:pPr>
              <w:rPr>
                <w:sz w:val="22"/>
                <w:lang w:eastAsia="en-GB"/>
              </w:rPr>
            </w:pPr>
            <w:r w:rsidRPr="000B4E2C">
              <w:rPr>
                <w:sz w:val="22"/>
                <w:lang w:eastAsia="en-GB"/>
              </w:rPr>
              <w:t>£111,620</w:t>
            </w:r>
          </w:p>
        </w:tc>
        <w:tc>
          <w:tcPr>
            <w:tcW w:w="0" w:type="auto"/>
            <w:shd w:val="clear" w:color="auto" w:fill="auto"/>
            <w:noWrap/>
            <w:hideMark/>
          </w:tcPr>
          <w:p w14:paraId="4CDEABC9" w14:textId="77777777" w:rsidR="002F0133" w:rsidRPr="000B4E2C" w:rsidRDefault="002F0133" w:rsidP="008A7464">
            <w:pPr>
              <w:rPr>
                <w:sz w:val="22"/>
                <w:lang w:eastAsia="en-GB"/>
              </w:rPr>
            </w:pPr>
            <w:r w:rsidRPr="000B4E2C">
              <w:rPr>
                <w:sz w:val="22"/>
                <w:lang w:eastAsia="en-GB"/>
              </w:rPr>
              <w:t>£111,620</w:t>
            </w:r>
          </w:p>
        </w:tc>
        <w:tc>
          <w:tcPr>
            <w:tcW w:w="0" w:type="auto"/>
            <w:shd w:val="clear" w:color="auto" w:fill="auto"/>
            <w:noWrap/>
            <w:hideMark/>
          </w:tcPr>
          <w:p w14:paraId="157123DA" w14:textId="77777777" w:rsidR="002F0133" w:rsidRPr="000B4E2C" w:rsidRDefault="002F0133" w:rsidP="008A7464">
            <w:pPr>
              <w:rPr>
                <w:sz w:val="22"/>
                <w:lang w:eastAsia="en-GB"/>
              </w:rPr>
            </w:pPr>
            <w:r w:rsidRPr="000B4E2C">
              <w:rPr>
                <w:sz w:val="22"/>
                <w:lang w:eastAsia="en-GB"/>
              </w:rPr>
              <w:t>29.4%</w:t>
            </w:r>
          </w:p>
        </w:tc>
        <w:tc>
          <w:tcPr>
            <w:tcW w:w="0" w:type="auto"/>
            <w:gridSpan w:val="2"/>
            <w:shd w:val="clear" w:color="auto" w:fill="auto"/>
            <w:noWrap/>
            <w:hideMark/>
          </w:tcPr>
          <w:p w14:paraId="30790FE7" w14:textId="77777777" w:rsidR="002F0133" w:rsidRPr="000B4E2C" w:rsidRDefault="002F0133" w:rsidP="008A7464">
            <w:pPr>
              <w:rPr>
                <w:sz w:val="22"/>
                <w:lang w:eastAsia="en-GB"/>
              </w:rPr>
            </w:pPr>
            <w:r w:rsidRPr="000B4E2C">
              <w:rPr>
                <w:sz w:val="22"/>
                <w:lang w:eastAsia="en-GB"/>
              </w:rPr>
              <w:t>32.2%</w:t>
            </w:r>
          </w:p>
        </w:tc>
      </w:tr>
      <w:tr w:rsidR="002F0133" w:rsidRPr="000B4E2C" w14:paraId="73BC17B5" w14:textId="77777777" w:rsidTr="000B4E2C">
        <w:trPr>
          <w:cantSplit/>
          <w:tblHeader/>
        </w:trPr>
        <w:tc>
          <w:tcPr>
            <w:tcW w:w="0" w:type="auto"/>
            <w:shd w:val="clear" w:color="auto" w:fill="auto"/>
            <w:noWrap/>
            <w:hideMark/>
          </w:tcPr>
          <w:p w14:paraId="260CB357" w14:textId="2B119398"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5048E859" w14:textId="77777777" w:rsidR="002F0133" w:rsidRPr="000B4E2C" w:rsidRDefault="002F0133" w:rsidP="008A7464">
            <w:pPr>
              <w:rPr>
                <w:sz w:val="22"/>
                <w:lang w:eastAsia="en-GB"/>
              </w:rPr>
            </w:pPr>
            <w:r w:rsidRPr="000B4E2C">
              <w:rPr>
                <w:sz w:val="22"/>
                <w:lang w:eastAsia="en-GB"/>
              </w:rPr>
              <w:t>£23,051</w:t>
            </w:r>
          </w:p>
        </w:tc>
        <w:tc>
          <w:tcPr>
            <w:tcW w:w="0" w:type="auto"/>
            <w:gridSpan w:val="2"/>
            <w:shd w:val="clear" w:color="auto" w:fill="auto"/>
            <w:noWrap/>
            <w:hideMark/>
          </w:tcPr>
          <w:p w14:paraId="18066CB6"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9853571" w14:textId="77777777" w:rsidR="002F0133" w:rsidRPr="000B4E2C" w:rsidRDefault="002F0133" w:rsidP="008A7464">
            <w:pPr>
              <w:rPr>
                <w:sz w:val="22"/>
                <w:lang w:eastAsia="en-GB"/>
              </w:rPr>
            </w:pPr>
            <w:r w:rsidRPr="000B4E2C">
              <w:rPr>
                <w:sz w:val="22"/>
                <w:lang w:eastAsia="en-GB"/>
              </w:rPr>
              <w:t>6.08139</w:t>
            </w:r>
          </w:p>
        </w:tc>
        <w:tc>
          <w:tcPr>
            <w:tcW w:w="0" w:type="auto"/>
            <w:shd w:val="clear" w:color="auto" w:fill="auto"/>
            <w:noWrap/>
            <w:hideMark/>
          </w:tcPr>
          <w:p w14:paraId="16601A2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FD8056F"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D55672A" w14:textId="77777777" w:rsidR="002F0133" w:rsidRPr="000B4E2C" w:rsidRDefault="002F0133" w:rsidP="008A7464">
            <w:pPr>
              <w:rPr>
                <w:sz w:val="22"/>
                <w:lang w:eastAsia="en-GB"/>
              </w:rPr>
            </w:pPr>
            <w:r w:rsidRPr="000B4E2C">
              <w:rPr>
                <w:sz w:val="22"/>
                <w:lang w:eastAsia="en-GB"/>
              </w:rPr>
              <w:t>£546,618</w:t>
            </w:r>
          </w:p>
        </w:tc>
        <w:tc>
          <w:tcPr>
            <w:tcW w:w="0" w:type="auto"/>
            <w:shd w:val="clear" w:color="auto" w:fill="auto"/>
            <w:noWrap/>
            <w:hideMark/>
          </w:tcPr>
          <w:p w14:paraId="70638933" w14:textId="77777777" w:rsidR="002F0133" w:rsidRPr="000B4E2C" w:rsidRDefault="002F0133" w:rsidP="008A7464">
            <w:pPr>
              <w:rPr>
                <w:sz w:val="22"/>
                <w:lang w:eastAsia="en-GB"/>
              </w:rPr>
            </w:pPr>
            <w:r w:rsidRPr="000B4E2C">
              <w:rPr>
                <w:sz w:val="22"/>
                <w:lang w:eastAsia="en-GB"/>
              </w:rPr>
              <w:t>4.5%</w:t>
            </w:r>
          </w:p>
        </w:tc>
        <w:tc>
          <w:tcPr>
            <w:tcW w:w="0" w:type="auto"/>
            <w:gridSpan w:val="2"/>
            <w:shd w:val="clear" w:color="auto" w:fill="auto"/>
            <w:noWrap/>
            <w:hideMark/>
          </w:tcPr>
          <w:p w14:paraId="35936CA7" w14:textId="77777777" w:rsidR="002F0133" w:rsidRPr="000B4E2C" w:rsidRDefault="002F0133" w:rsidP="008A7464">
            <w:pPr>
              <w:rPr>
                <w:sz w:val="22"/>
                <w:lang w:eastAsia="en-GB"/>
              </w:rPr>
            </w:pPr>
            <w:r w:rsidRPr="000B4E2C">
              <w:rPr>
                <w:sz w:val="22"/>
                <w:lang w:eastAsia="en-GB"/>
              </w:rPr>
              <w:t>12.6%</w:t>
            </w:r>
          </w:p>
        </w:tc>
      </w:tr>
      <w:tr w:rsidR="002F0133" w:rsidRPr="000B4E2C" w14:paraId="05B88581" w14:textId="77777777" w:rsidTr="000B4E2C">
        <w:trPr>
          <w:cantSplit/>
          <w:tblHeader/>
        </w:trPr>
        <w:tc>
          <w:tcPr>
            <w:tcW w:w="0" w:type="auto"/>
            <w:shd w:val="clear" w:color="auto" w:fill="auto"/>
            <w:noWrap/>
            <w:hideMark/>
          </w:tcPr>
          <w:p w14:paraId="11E6812E" w14:textId="33C7AC56"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52F67017" w14:textId="77777777" w:rsidR="002F0133" w:rsidRPr="000B4E2C" w:rsidRDefault="002F0133" w:rsidP="008A7464">
            <w:pPr>
              <w:rPr>
                <w:sz w:val="22"/>
                <w:lang w:eastAsia="en-GB"/>
              </w:rPr>
            </w:pPr>
            <w:r w:rsidRPr="000B4E2C">
              <w:rPr>
                <w:sz w:val="22"/>
                <w:lang w:eastAsia="en-GB"/>
              </w:rPr>
              <w:t>£23,066</w:t>
            </w:r>
          </w:p>
        </w:tc>
        <w:tc>
          <w:tcPr>
            <w:tcW w:w="0" w:type="auto"/>
            <w:gridSpan w:val="2"/>
            <w:shd w:val="clear" w:color="auto" w:fill="auto"/>
            <w:noWrap/>
            <w:hideMark/>
          </w:tcPr>
          <w:p w14:paraId="53370CE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1F6DF00" w14:textId="77777777" w:rsidR="002F0133" w:rsidRPr="000B4E2C" w:rsidRDefault="002F0133" w:rsidP="008A7464">
            <w:pPr>
              <w:rPr>
                <w:sz w:val="22"/>
                <w:lang w:eastAsia="en-GB"/>
              </w:rPr>
            </w:pPr>
            <w:r w:rsidRPr="000B4E2C">
              <w:rPr>
                <w:sz w:val="22"/>
                <w:lang w:eastAsia="en-GB"/>
              </w:rPr>
              <w:t>6.08140</w:t>
            </w:r>
          </w:p>
        </w:tc>
        <w:tc>
          <w:tcPr>
            <w:tcW w:w="0" w:type="auto"/>
            <w:shd w:val="clear" w:color="auto" w:fill="auto"/>
            <w:noWrap/>
            <w:hideMark/>
          </w:tcPr>
          <w:p w14:paraId="76D5B7BF"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FF715C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50C03CF" w14:textId="77777777" w:rsidR="002F0133" w:rsidRPr="000B4E2C" w:rsidRDefault="002F0133" w:rsidP="008A7464">
            <w:pPr>
              <w:rPr>
                <w:sz w:val="22"/>
                <w:lang w:eastAsia="en-GB"/>
              </w:rPr>
            </w:pPr>
            <w:r w:rsidRPr="000B4E2C">
              <w:rPr>
                <w:sz w:val="22"/>
                <w:lang w:eastAsia="en-GB"/>
              </w:rPr>
              <w:t>£663,328</w:t>
            </w:r>
          </w:p>
        </w:tc>
        <w:tc>
          <w:tcPr>
            <w:tcW w:w="0" w:type="auto"/>
            <w:shd w:val="clear" w:color="auto" w:fill="auto"/>
            <w:noWrap/>
            <w:hideMark/>
          </w:tcPr>
          <w:p w14:paraId="78FAE7CC" w14:textId="77777777" w:rsidR="002F0133" w:rsidRPr="000B4E2C" w:rsidRDefault="002F0133" w:rsidP="008A7464">
            <w:pPr>
              <w:rPr>
                <w:sz w:val="22"/>
                <w:lang w:eastAsia="en-GB"/>
              </w:rPr>
            </w:pPr>
            <w:r w:rsidRPr="000B4E2C">
              <w:rPr>
                <w:sz w:val="22"/>
                <w:lang w:eastAsia="en-GB"/>
              </w:rPr>
              <w:t>1.0%</w:t>
            </w:r>
          </w:p>
        </w:tc>
        <w:tc>
          <w:tcPr>
            <w:tcW w:w="0" w:type="auto"/>
            <w:gridSpan w:val="2"/>
            <w:shd w:val="clear" w:color="auto" w:fill="auto"/>
            <w:noWrap/>
            <w:hideMark/>
          </w:tcPr>
          <w:p w14:paraId="4C9B87E0" w14:textId="77777777" w:rsidR="002F0133" w:rsidRPr="000B4E2C" w:rsidRDefault="002F0133" w:rsidP="008A7464">
            <w:pPr>
              <w:rPr>
                <w:sz w:val="22"/>
                <w:lang w:eastAsia="en-GB"/>
              </w:rPr>
            </w:pPr>
            <w:r w:rsidRPr="000B4E2C">
              <w:rPr>
                <w:sz w:val="22"/>
                <w:lang w:eastAsia="en-GB"/>
              </w:rPr>
              <w:t>9.3%</w:t>
            </w:r>
          </w:p>
        </w:tc>
      </w:tr>
      <w:tr w:rsidR="002F0133" w:rsidRPr="000B4E2C" w14:paraId="0C17C986" w14:textId="77777777" w:rsidTr="000B4E2C">
        <w:trPr>
          <w:cantSplit/>
          <w:tblHeader/>
        </w:trPr>
        <w:tc>
          <w:tcPr>
            <w:tcW w:w="0" w:type="auto"/>
            <w:shd w:val="clear" w:color="auto" w:fill="auto"/>
            <w:noWrap/>
            <w:hideMark/>
          </w:tcPr>
          <w:p w14:paraId="12E65346" w14:textId="28820B99"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29155AC1" w14:textId="77777777" w:rsidR="002F0133" w:rsidRPr="000B4E2C" w:rsidRDefault="002F0133" w:rsidP="008A7464">
            <w:pPr>
              <w:rPr>
                <w:sz w:val="22"/>
                <w:lang w:eastAsia="en-GB"/>
              </w:rPr>
            </w:pPr>
            <w:r w:rsidRPr="000B4E2C">
              <w:rPr>
                <w:sz w:val="22"/>
                <w:lang w:eastAsia="en-GB"/>
              </w:rPr>
              <w:t>£23,069</w:t>
            </w:r>
          </w:p>
        </w:tc>
        <w:tc>
          <w:tcPr>
            <w:tcW w:w="0" w:type="auto"/>
            <w:gridSpan w:val="2"/>
            <w:shd w:val="clear" w:color="auto" w:fill="auto"/>
            <w:noWrap/>
            <w:hideMark/>
          </w:tcPr>
          <w:p w14:paraId="33476C0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60891E0" w14:textId="77777777" w:rsidR="002F0133" w:rsidRPr="000B4E2C" w:rsidRDefault="002F0133" w:rsidP="008A7464">
            <w:pPr>
              <w:rPr>
                <w:sz w:val="22"/>
                <w:lang w:eastAsia="en-GB"/>
              </w:rPr>
            </w:pPr>
            <w:r w:rsidRPr="000B4E2C">
              <w:rPr>
                <w:sz w:val="22"/>
                <w:lang w:eastAsia="en-GB"/>
              </w:rPr>
              <w:t>6.08138</w:t>
            </w:r>
          </w:p>
        </w:tc>
        <w:tc>
          <w:tcPr>
            <w:tcW w:w="0" w:type="auto"/>
            <w:shd w:val="clear" w:color="auto" w:fill="auto"/>
            <w:noWrap/>
            <w:hideMark/>
          </w:tcPr>
          <w:p w14:paraId="21D11AD7"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DFF632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98AA53A" w14:textId="77777777" w:rsidR="002F0133" w:rsidRPr="000B4E2C" w:rsidRDefault="002F0133" w:rsidP="008A7464">
            <w:pPr>
              <w:rPr>
                <w:sz w:val="22"/>
                <w:lang w:eastAsia="en-GB"/>
              </w:rPr>
            </w:pPr>
            <w:r w:rsidRPr="000B4E2C">
              <w:rPr>
                <w:sz w:val="22"/>
                <w:lang w:eastAsia="en-GB"/>
              </w:rPr>
              <w:t>£766,927</w:t>
            </w:r>
          </w:p>
        </w:tc>
        <w:tc>
          <w:tcPr>
            <w:tcW w:w="0" w:type="auto"/>
            <w:shd w:val="clear" w:color="auto" w:fill="auto"/>
            <w:noWrap/>
            <w:hideMark/>
          </w:tcPr>
          <w:p w14:paraId="56F1A3C5"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0F24A698" w14:textId="77777777" w:rsidR="002F0133" w:rsidRPr="000B4E2C" w:rsidRDefault="002F0133" w:rsidP="008A7464">
            <w:pPr>
              <w:rPr>
                <w:sz w:val="22"/>
                <w:lang w:eastAsia="en-GB"/>
              </w:rPr>
            </w:pPr>
            <w:r w:rsidRPr="000B4E2C">
              <w:rPr>
                <w:sz w:val="22"/>
                <w:lang w:eastAsia="en-GB"/>
              </w:rPr>
              <w:t>6.1%</w:t>
            </w:r>
          </w:p>
        </w:tc>
      </w:tr>
      <w:tr w:rsidR="002F0133" w:rsidRPr="000B4E2C" w14:paraId="5781176E" w14:textId="77777777" w:rsidTr="000B4E2C">
        <w:trPr>
          <w:cantSplit/>
          <w:tblHeader/>
        </w:trPr>
        <w:tc>
          <w:tcPr>
            <w:tcW w:w="0" w:type="auto"/>
            <w:gridSpan w:val="11"/>
            <w:shd w:val="clear" w:color="auto" w:fill="auto"/>
            <w:noWrap/>
            <w:hideMark/>
          </w:tcPr>
          <w:p w14:paraId="079AC4EB" w14:textId="384607EB" w:rsidR="002F0133" w:rsidRPr="000B4E2C" w:rsidRDefault="002F0133" w:rsidP="008A7464">
            <w:pPr>
              <w:rPr>
                <w:b/>
                <w:bCs/>
                <w:sz w:val="22"/>
                <w:lang w:eastAsia="en-GB"/>
              </w:rPr>
            </w:pPr>
            <w:r w:rsidRPr="000B4E2C">
              <w:rPr>
                <w:b/>
                <w:bCs/>
                <w:sz w:val="22"/>
                <w:lang w:eastAsia="en-GB"/>
              </w:rPr>
              <w:t xml:space="preserve">Scenario 2O: Apply alternative ICU utility value (average of </w:t>
            </w:r>
            <w:r w:rsidR="000B4E2C" w:rsidRPr="000B4E2C">
              <w:rPr>
                <w:b/>
                <w:bCs/>
                <w:color w:val="00B0F0"/>
                <w:sz w:val="22"/>
                <w:lang w:eastAsia="en-GB"/>
              </w:rPr>
              <w:t>–</w:t>
            </w:r>
            <w:r w:rsidR="000B4E2C" w:rsidRPr="000B4E2C">
              <w:rPr>
                <w:b/>
                <w:bCs/>
                <w:color w:val="00B0F0"/>
                <w:sz w:val="22"/>
                <w:lang w:eastAsia="en-GB"/>
              </w:rPr>
              <w:t>0</w:t>
            </w:r>
            <w:r w:rsidRPr="000B4E2C">
              <w:rPr>
                <w:b/>
                <w:bCs/>
                <w:sz w:val="22"/>
                <w:lang w:eastAsia="en-GB"/>
              </w:rPr>
              <w:t>.402 and 0.44)</w:t>
            </w:r>
          </w:p>
        </w:tc>
      </w:tr>
      <w:tr w:rsidR="002F0133" w:rsidRPr="000B4E2C" w14:paraId="12F24164" w14:textId="77777777" w:rsidTr="000B4E2C">
        <w:trPr>
          <w:cantSplit/>
          <w:tblHeader/>
        </w:trPr>
        <w:tc>
          <w:tcPr>
            <w:tcW w:w="0" w:type="auto"/>
            <w:shd w:val="clear" w:color="auto" w:fill="auto"/>
            <w:noWrap/>
            <w:hideMark/>
          </w:tcPr>
          <w:p w14:paraId="0E6CA94F"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79A80713" w14:textId="77777777" w:rsidR="002F0133" w:rsidRPr="000B4E2C" w:rsidRDefault="002F0133" w:rsidP="008A7464">
            <w:pPr>
              <w:rPr>
                <w:sz w:val="22"/>
                <w:lang w:eastAsia="en-GB"/>
              </w:rPr>
            </w:pPr>
            <w:r w:rsidRPr="000B4E2C">
              <w:rPr>
                <w:sz w:val="22"/>
                <w:lang w:eastAsia="en-GB"/>
              </w:rPr>
              <w:t>£23,234</w:t>
            </w:r>
          </w:p>
        </w:tc>
        <w:tc>
          <w:tcPr>
            <w:tcW w:w="0" w:type="auto"/>
            <w:gridSpan w:val="2"/>
            <w:shd w:val="clear" w:color="auto" w:fill="auto"/>
            <w:noWrap/>
            <w:hideMark/>
          </w:tcPr>
          <w:p w14:paraId="3E2459C4"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13948368" w14:textId="77777777" w:rsidR="002F0133" w:rsidRPr="000B4E2C" w:rsidRDefault="002F0133" w:rsidP="008A7464">
            <w:pPr>
              <w:rPr>
                <w:sz w:val="22"/>
                <w:lang w:eastAsia="en-GB"/>
              </w:rPr>
            </w:pPr>
            <w:r w:rsidRPr="000B4E2C">
              <w:rPr>
                <w:sz w:val="22"/>
                <w:lang w:eastAsia="en-GB"/>
              </w:rPr>
              <w:t>6.07749</w:t>
            </w:r>
          </w:p>
        </w:tc>
        <w:tc>
          <w:tcPr>
            <w:tcW w:w="0" w:type="auto"/>
            <w:shd w:val="clear" w:color="auto" w:fill="auto"/>
            <w:noWrap/>
            <w:hideMark/>
          </w:tcPr>
          <w:p w14:paraId="4381E008"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687C7609"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9C91D07"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36B3C49" w14:textId="77777777" w:rsidR="002F0133" w:rsidRPr="000B4E2C" w:rsidRDefault="002F0133" w:rsidP="008A7464">
            <w:pPr>
              <w:rPr>
                <w:sz w:val="22"/>
                <w:lang w:eastAsia="en-GB"/>
              </w:rPr>
            </w:pPr>
            <w:r w:rsidRPr="000B4E2C">
              <w:rPr>
                <w:sz w:val="22"/>
                <w:lang w:eastAsia="en-GB"/>
              </w:rPr>
              <w:t>67.2%</w:t>
            </w:r>
          </w:p>
        </w:tc>
        <w:tc>
          <w:tcPr>
            <w:tcW w:w="0" w:type="auto"/>
            <w:gridSpan w:val="2"/>
            <w:shd w:val="clear" w:color="auto" w:fill="auto"/>
            <w:noWrap/>
            <w:hideMark/>
          </w:tcPr>
          <w:p w14:paraId="43F46C79" w14:textId="77777777" w:rsidR="002F0133" w:rsidRPr="000B4E2C" w:rsidRDefault="002F0133" w:rsidP="008A7464">
            <w:pPr>
              <w:rPr>
                <w:sz w:val="22"/>
                <w:lang w:eastAsia="en-GB"/>
              </w:rPr>
            </w:pPr>
            <w:r w:rsidRPr="000B4E2C">
              <w:rPr>
                <w:sz w:val="22"/>
                <w:lang w:eastAsia="en-GB"/>
              </w:rPr>
              <w:t>--</w:t>
            </w:r>
          </w:p>
        </w:tc>
      </w:tr>
      <w:tr w:rsidR="002F0133" w:rsidRPr="000B4E2C" w14:paraId="5515691B" w14:textId="77777777" w:rsidTr="000B4E2C">
        <w:trPr>
          <w:cantSplit/>
          <w:tblHeader/>
        </w:trPr>
        <w:tc>
          <w:tcPr>
            <w:tcW w:w="0" w:type="auto"/>
            <w:shd w:val="clear" w:color="auto" w:fill="auto"/>
            <w:noWrap/>
            <w:hideMark/>
          </w:tcPr>
          <w:p w14:paraId="72C34E3A" w14:textId="77777777" w:rsidR="002F0133" w:rsidRPr="000B4E2C" w:rsidRDefault="002F0133" w:rsidP="008A7464">
            <w:pPr>
              <w:rPr>
                <w:sz w:val="22"/>
                <w:lang w:eastAsia="en-GB"/>
              </w:rPr>
            </w:pPr>
            <w:r w:rsidRPr="000B4E2C">
              <w:rPr>
                <w:sz w:val="22"/>
                <w:lang w:eastAsia="en-GB"/>
              </w:rPr>
              <w:t>Test 1 (Nephrocheck)</w:t>
            </w:r>
          </w:p>
        </w:tc>
        <w:tc>
          <w:tcPr>
            <w:tcW w:w="0" w:type="auto"/>
            <w:shd w:val="clear" w:color="auto" w:fill="auto"/>
            <w:noWrap/>
            <w:hideMark/>
          </w:tcPr>
          <w:p w14:paraId="499CEA0D" w14:textId="77777777" w:rsidR="002F0133" w:rsidRPr="000B4E2C" w:rsidRDefault="002F0133" w:rsidP="008A7464">
            <w:pPr>
              <w:rPr>
                <w:sz w:val="22"/>
                <w:lang w:eastAsia="en-GB"/>
              </w:rPr>
            </w:pPr>
            <w:r w:rsidRPr="000B4E2C">
              <w:rPr>
                <w:sz w:val="22"/>
                <w:lang w:eastAsia="en-GB"/>
              </w:rPr>
              <w:t>£23,274</w:t>
            </w:r>
          </w:p>
        </w:tc>
        <w:tc>
          <w:tcPr>
            <w:tcW w:w="0" w:type="auto"/>
            <w:gridSpan w:val="2"/>
            <w:shd w:val="clear" w:color="auto" w:fill="auto"/>
            <w:noWrap/>
            <w:hideMark/>
          </w:tcPr>
          <w:p w14:paraId="23CBCC9E" w14:textId="77777777" w:rsidR="002F0133" w:rsidRPr="000B4E2C" w:rsidRDefault="002F0133" w:rsidP="008A7464">
            <w:pPr>
              <w:rPr>
                <w:sz w:val="22"/>
                <w:lang w:eastAsia="en-GB"/>
              </w:rPr>
            </w:pPr>
            <w:r w:rsidRPr="000B4E2C">
              <w:rPr>
                <w:sz w:val="22"/>
                <w:lang w:eastAsia="en-GB"/>
              </w:rPr>
              <w:t>£41</w:t>
            </w:r>
          </w:p>
        </w:tc>
        <w:tc>
          <w:tcPr>
            <w:tcW w:w="0" w:type="auto"/>
            <w:shd w:val="clear" w:color="auto" w:fill="auto"/>
            <w:noWrap/>
            <w:hideMark/>
          </w:tcPr>
          <w:p w14:paraId="5C757F58" w14:textId="77777777" w:rsidR="002F0133" w:rsidRPr="000B4E2C" w:rsidRDefault="002F0133" w:rsidP="008A7464">
            <w:pPr>
              <w:rPr>
                <w:sz w:val="22"/>
                <w:lang w:eastAsia="en-GB"/>
              </w:rPr>
            </w:pPr>
            <w:r w:rsidRPr="000B4E2C">
              <w:rPr>
                <w:sz w:val="22"/>
                <w:lang w:eastAsia="en-GB"/>
              </w:rPr>
              <w:t>6.07783</w:t>
            </w:r>
          </w:p>
        </w:tc>
        <w:tc>
          <w:tcPr>
            <w:tcW w:w="0" w:type="auto"/>
            <w:shd w:val="clear" w:color="auto" w:fill="auto"/>
            <w:noWrap/>
            <w:hideMark/>
          </w:tcPr>
          <w:p w14:paraId="22A34AC8" w14:textId="77777777" w:rsidR="002F0133" w:rsidRPr="000B4E2C" w:rsidRDefault="002F0133" w:rsidP="008A7464">
            <w:pPr>
              <w:rPr>
                <w:sz w:val="22"/>
                <w:lang w:eastAsia="en-GB"/>
              </w:rPr>
            </w:pPr>
            <w:r w:rsidRPr="000B4E2C">
              <w:rPr>
                <w:sz w:val="22"/>
                <w:lang w:eastAsia="en-GB"/>
              </w:rPr>
              <w:t>0.00034</w:t>
            </w:r>
          </w:p>
        </w:tc>
        <w:tc>
          <w:tcPr>
            <w:tcW w:w="0" w:type="auto"/>
            <w:shd w:val="clear" w:color="auto" w:fill="auto"/>
            <w:noWrap/>
            <w:hideMark/>
          </w:tcPr>
          <w:p w14:paraId="6D789F23" w14:textId="77777777" w:rsidR="002F0133" w:rsidRPr="000B4E2C" w:rsidRDefault="002F0133" w:rsidP="008A7464">
            <w:pPr>
              <w:rPr>
                <w:sz w:val="22"/>
                <w:lang w:eastAsia="en-GB"/>
              </w:rPr>
            </w:pPr>
            <w:r w:rsidRPr="000B4E2C">
              <w:rPr>
                <w:sz w:val="22"/>
                <w:lang w:eastAsia="en-GB"/>
              </w:rPr>
              <w:t>£120,580</w:t>
            </w:r>
          </w:p>
        </w:tc>
        <w:tc>
          <w:tcPr>
            <w:tcW w:w="0" w:type="auto"/>
            <w:shd w:val="clear" w:color="auto" w:fill="auto"/>
            <w:noWrap/>
            <w:hideMark/>
          </w:tcPr>
          <w:p w14:paraId="477E02AB" w14:textId="77777777" w:rsidR="002F0133" w:rsidRPr="000B4E2C" w:rsidRDefault="002F0133" w:rsidP="008A7464">
            <w:pPr>
              <w:rPr>
                <w:sz w:val="22"/>
                <w:lang w:eastAsia="en-GB"/>
              </w:rPr>
            </w:pPr>
            <w:r w:rsidRPr="000B4E2C">
              <w:rPr>
                <w:sz w:val="22"/>
                <w:lang w:eastAsia="en-GB"/>
              </w:rPr>
              <w:t>£120,580</w:t>
            </w:r>
          </w:p>
        </w:tc>
        <w:tc>
          <w:tcPr>
            <w:tcW w:w="0" w:type="auto"/>
            <w:shd w:val="clear" w:color="auto" w:fill="auto"/>
            <w:noWrap/>
            <w:hideMark/>
          </w:tcPr>
          <w:p w14:paraId="483924D3" w14:textId="77777777" w:rsidR="002F0133" w:rsidRPr="000B4E2C" w:rsidRDefault="002F0133" w:rsidP="008A7464">
            <w:pPr>
              <w:rPr>
                <w:sz w:val="22"/>
                <w:lang w:eastAsia="en-GB"/>
              </w:rPr>
            </w:pPr>
            <w:r w:rsidRPr="000B4E2C">
              <w:rPr>
                <w:sz w:val="22"/>
                <w:lang w:eastAsia="en-GB"/>
              </w:rPr>
              <w:t>28.0%</w:t>
            </w:r>
          </w:p>
        </w:tc>
        <w:tc>
          <w:tcPr>
            <w:tcW w:w="0" w:type="auto"/>
            <w:gridSpan w:val="2"/>
            <w:shd w:val="clear" w:color="auto" w:fill="auto"/>
            <w:noWrap/>
            <w:hideMark/>
          </w:tcPr>
          <w:p w14:paraId="53469029" w14:textId="77777777" w:rsidR="002F0133" w:rsidRPr="000B4E2C" w:rsidRDefault="002F0133" w:rsidP="008A7464">
            <w:pPr>
              <w:rPr>
                <w:sz w:val="22"/>
                <w:lang w:eastAsia="en-GB"/>
              </w:rPr>
            </w:pPr>
            <w:r w:rsidRPr="000B4E2C">
              <w:rPr>
                <w:sz w:val="22"/>
                <w:lang w:eastAsia="en-GB"/>
              </w:rPr>
              <w:t>29.9%</w:t>
            </w:r>
          </w:p>
        </w:tc>
      </w:tr>
      <w:tr w:rsidR="002F0133" w:rsidRPr="000B4E2C" w14:paraId="06576C1D" w14:textId="77777777" w:rsidTr="000B4E2C">
        <w:trPr>
          <w:cantSplit/>
          <w:tblHeader/>
        </w:trPr>
        <w:tc>
          <w:tcPr>
            <w:tcW w:w="0" w:type="auto"/>
            <w:shd w:val="clear" w:color="auto" w:fill="auto"/>
            <w:noWrap/>
            <w:hideMark/>
          </w:tcPr>
          <w:p w14:paraId="316E2672" w14:textId="4BC8EFF1"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69C5C3FF" w14:textId="77777777" w:rsidR="002F0133" w:rsidRPr="000B4E2C" w:rsidRDefault="002F0133" w:rsidP="008A7464">
            <w:pPr>
              <w:rPr>
                <w:sz w:val="22"/>
                <w:lang w:eastAsia="en-GB"/>
              </w:rPr>
            </w:pPr>
            <w:r w:rsidRPr="000B4E2C">
              <w:rPr>
                <w:sz w:val="22"/>
                <w:lang w:eastAsia="en-GB"/>
              </w:rPr>
              <w:t>£23,302</w:t>
            </w:r>
          </w:p>
        </w:tc>
        <w:tc>
          <w:tcPr>
            <w:tcW w:w="0" w:type="auto"/>
            <w:gridSpan w:val="2"/>
            <w:shd w:val="clear" w:color="auto" w:fill="auto"/>
            <w:noWrap/>
            <w:hideMark/>
          </w:tcPr>
          <w:p w14:paraId="62FCECA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C0F5C12" w14:textId="77777777" w:rsidR="002F0133" w:rsidRPr="000B4E2C" w:rsidRDefault="002F0133" w:rsidP="008A7464">
            <w:pPr>
              <w:rPr>
                <w:sz w:val="22"/>
                <w:lang w:eastAsia="en-GB"/>
              </w:rPr>
            </w:pPr>
            <w:r w:rsidRPr="000B4E2C">
              <w:rPr>
                <w:sz w:val="22"/>
                <w:lang w:eastAsia="en-GB"/>
              </w:rPr>
              <w:t>6.07761</w:t>
            </w:r>
          </w:p>
        </w:tc>
        <w:tc>
          <w:tcPr>
            <w:tcW w:w="0" w:type="auto"/>
            <w:shd w:val="clear" w:color="auto" w:fill="auto"/>
            <w:noWrap/>
            <w:hideMark/>
          </w:tcPr>
          <w:p w14:paraId="144BE81F"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F14AEF9"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7896BC3" w14:textId="77777777" w:rsidR="002F0133" w:rsidRPr="000B4E2C" w:rsidRDefault="002F0133" w:rsidP="008A7464">
            <w:pPr>
              <w:rPr>
                <w:sz w:val="22"/>
                <w:lang w:eastAsia="en-GB"/>
              </w:rPr>
            </w:pPr>
            <w:r w:rsidRPr="000B4E2C">
              <w:rPr>
                <w:sz w:val="22"/>
                <w:lang w:eastAsia="en-GB"/>
              </w:rPr>
              <w:t>£586,840</w:t>
            </w:r>
          </w:p>
        </w:tc>
        <w:tc>
          <w:tcPr>
            <w:tcW w:w="0" w:type="auto"/>
            <w:shd w:val="clear" w:color="auto" w:fill="auto"/>
            <w:noWrap/>
            <w:hideMark/>
          </w:tcPr>
          <w:p w14:paraId="0DF7E17F" w14:textId="77777777" w:rsidR="002F0133" w:rsidRPr="000B4E2C" w:rsidRDefault="002F0133" w:rsidP="008A7464">
            <w:pPr>
              <w:rPr>
                <w:sz w:val="22"/>
                <w:lang w:eastAsia="en-GB"/>
              </w:rPr>
            </w:pPr>
            <w:r w:rsidRPr="000B4E2C">
              <w:rPr>
                <w:sz w:val="22"/>
                <w:lang w:eastAsia="en-GB"/>
              </w:rPr>
              <w:t>4.4%</w:t>
            </w:r>
          </w:p>
        </w:tc>
        <w:tc>
          <w:tcPr>
            <w:tcW w:w="0" w:type="auto"/>
            <w:gridSpan w:val="2"/>
            <w:shd w:val="clear" w:color="auto" w:fill="auto"/>
            <w:noWrap/>
            <w:hideMark/>
          </w:tcPr>
          <w:p w14:paraId="79928DD0" w14:textId="77777777" w:rsidR="002F0133" w:rsidRPr="000B4E2C" w:rsidRDefault="002F0133" w:rsidP="008A7464">
            <w:pPr>
              <w:rPr>
                <w:sz w:val="22"/>
                <w:lang w:eastAsia="en-GB"/>
              </w:rPr>
            </w:pPr>
            <w:r w:rsidRPr="000B4E2C">
              <w:rPr>
                <w:sz w:val="22"/>
                <w:lang w:eastAsia="en-GB"/>
              </w:rPr>
              <w:t>11.0%</w:t>
            </w:r>
          </w:p>
        </w:tc>
      </w:tr>
      <w:tr w:rsidR="002F0133" w:rsidRPr="000B4E2C" w14:paraId="01058A4F" w14:textId="77777777" w:rsidTr="000B4E2C">
        <w:trPr>
          <w:cantSplit/>
          <w:tblHeader/>
        </w:trPr>
        <w:tc>
          <w:tcPr>
            <w:tcW w:w="0" w:type="auto"/>
            <w:shd w:val="clear" w:color="auto" w:fill="auto"/>
            <w:noWrap/>
            <w:hideMark/>
          </w:tcPr>
          <w:p w14:paraId="62DB3846" w14:textId="69E5FA16"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0F0AC7EC" w14:textId="77777777" w:rsidR="002F0133" w:rsidRPr="000B4E2C" w:rsidRDefault="002F0133" w:rsidP="008A7464">
            <w:pPr>
              <w:rPr>
                <w:sz w:val="22"/>
                <w:lang w:eastAsia="en-GB"/>
              </w:rPr>
            </w:pPr>
            <w:r w:rsidRPr="000B4E2C">
              <w:rPr>
                <w:sz w:val="22"/>
                <w:lang w:eastAsia="en-GB"/>
              </w:rPr>
              <w:t>£23,317</w:t>
            </w:r>
          </w:p>
        </w:tc>
        <w:tc>
          <w:tcPr>
            <w:tcW w:w="0" w:type="auto"/>
            <w:gridSpan w:val="2"/>
            <w:shd w:val="clear" w:color="auto" w:fill="auto"/>
            <w:noWrap/>
            <w:hideMark/>
          </w:tcPr>
          <w:p w14:paraId="2BA47131"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E973114" w14:textId="77777777" w:rsidR="002F0133" w:rsidRPr="000B4E2C" w:rsidRDefault="002F0133" w:rsidP="008A7464">
            <w:pPr>
              <w:rPr>
                <w:sz w:val="22"/>
                <w:lang w:eastAsia="en-GB"/>
              </w:rPr>
            </w:pPr>
            <w:r w:rsidRPr="000B4E2C">
              <w:rPr>
                <w:sz w:val="22"/>
                <w:lang w:eastAsia="en-GB"/>
              </w:rPr>
              <w:t>6.07761</w:t>
            </w:r>
          </w:p>
        </w:tc>
        <w:tc>
          <w:tcPr>
            <w:tcW w:w="0" w:type="auto"/>
            <w:shd w:val="clear" w:color="auto" w:fill="auto"/>
            <w:noWrap/>
            <w:hideMark/>
          </w:tcPr>
          <w:p w14:paraId="6942A2A8"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C66F16E"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448E01A" w14:textId="77777777" w:rsidR="002F0133" w:rsidRPr="000B4E2C" w:rsidRDefault="002F0133" w:rsidP="008A7464">
            <w:pPr>
              <w:rPr>
                <w:sz w:val="22"/>
                <w:lang w:eastAsia="en-GB"/>
              </w:rPr>
            </w:pPr>
            <w:r w:rsidRPr="000B4E2C">
              <w:rPr>
                <w:sz w:val="22"/>
                <w:lang w:eastAsia="en-GB"/>
              </w:rPr>
              <w:t>£696,184</w:t>
            </w:r>
          </w:p>
        </w:tc>
        <w:tc>
          <w:tcPr>
            <w:tcW w:w="0" w:type="auto"/>
            <w:shd w:val="clear" w:color="auto" w:fill="auto"/>
            <w:noWrap/>
            <w:hideMark/>
          </w:tcPr>
          <w:p w14:paraId="0ACA28CE" w14:textId="77777777" w:rsidR="002F0133" w:rsidRPr="000B4E2C" w:rsidRDefault="002F0133" w:rsidP="008A7464">
            <w:pPr>
              <w:rPr>
                <w:sz w:val="22"/>
                <w:lang w:eastAsia="en-GB"/>
              </w:rPr>
            </w:pPr>
            <w:r w:rsidRPr="000B4E2C">
              <w:rPr>
                <w:sz w:val="22"/>
                <w:lang w:eastAsia="en-GB"/>
              </w:rPr>
              <w:t>0.4%</w:t>
            </w:r>
          </w:p>
        </w:tc>
        <w:tc>
          <w:tcPr>
            <w:tcW w:w="0" w:type="auto"/>
            <w:gridSpan w:val="2"/>
            <w:shd w:val="clear" w:color="auto" w:fill="auto"/>
            <w:noWrap/>
            <w:hideMark/>
          </w:tcPr>
          <w:p w14:paraId="088C14C5" w14:textId="77777777" w:rsidR="002F0133" w:rsidRPr="000B4E2C" w:rsidRDefault="002F0133" w:rsidP="008A7464">
            <w:pPr>
              <w:rPr>
                <w:sz w:val="22"/>
                <w:lang w:eastAsia="en-GB"/>
              </w:rPr>
            </w:pPr>
            <w:r w:rsidRPr="000B4E2C">
              <w:rPr>
                <w:sz w:val="22"/>
                <w:lang w:eastAsia="en-GB"/>
              </w:rPr>
              <w:t>8.1%</w:t>
            </w:r>
          </w:p>
        </w:tc>
      </w:tr>
      <w:tr w:rsidR="002F0133" w:rsidRPr="000B4E2C" w14:paraId="02E6F7D0" w14:textId="77777777" w:rsidTr="000B4E2C">
        <w:trPr>
          <w:cantSplit/>
          <w:tblHeader/>
        </w:trPr>
        <w:tc>
          <w:tcPr>
            <w:tcW w:w="0" w:type="auto"/>
            <w:shd w:val="clear" w:color="auto" w:fill="auto"/>
            <w:noWrap/>
            <w:hideMark/>
          </w:tcPr>
          <w:p w14:paraId="4C97A9C7" w14:textId="4CC7DFBD"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71591028" w14:textId="77777777" w:rsidR="002F0133" w:rsidRPr="000B4E2C" w:rsidRDefault="002F0133" w:rsidP="008A7464">
            <w:pPr>
              <w:rPr>
                <w:sz w:val="22"/>
                <w:lang w:eastAsia="en-GB"/>
              </w:rPr>
            </w:pPr>
            <w:r w:rsidRPr="000B4E2C">
              <w:rPr>
                <w:sz w:val="22"/>
                <w:lang w:eastAsia="en-GB"/>
              </w:rPr>
              <w:t>£23,319</w:t>
            </w:r>
          </w:p>
        </w:tc>
        <w:tc>
          <w:tcPr>
            <w:tcW w:w="0" w:type="auto"/>
            <w:gridSpan w:val="2"/>
            <w:shd w:val="clear" w:color="auto" w:fill="auto"/>
            <w:noWrap/>
            <w:hideMark/>
          </w:tcPr>
          <w:p w14:paraId="00CDC42C"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70EB865A" w14:textId="77777777" w:rsidR="002F0133" w:rsidRPr="000B4E2C" w:rsidRDefault="002F0133" w:rsidP="008A7464">
            <w:pPr>
              <w:rPr>
                <w:sz w:val="22"/>
                <w:lang w:eastAsia="en-GB"/>
              </w:rPr>
            </w:pPr>
            <w:r w:rsidRPr="000B4E2C">
              <w:rPr>
                <w:sz w:val="22"/>
                <w:lang w:eastAsia="en-GB"/>
              </w:rPr>
              <w:t>6.07760</w:t>
            </w:r>
          </w:p>
        </w:tc>
        <w:tc>
          <w:tcPr>
            <w:tcW w:w="0" w:type="auto"/>
            <w:shd w:val="clear" w:color="auto" w:fill="auto"/>
            <w:noWrap/>
            <w:hideMark/>
          </w:tcPr>
          <w:p w14:paraId="168E17A5"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42DD80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4DC467A5" w14:textId="77777777" w:rsidR="002F0133" w:rsidRPr="000B4E2C" w:rsidRDefault="002F0133" w:rsidP="008A7464">
            <w:pPr>
              <w:rPr>
                <w:sz w:val="22"/>
                <w:lang w:eastAsia="en-GB"/>
              </w:rPr>
            </w:pPr>
            <w:r w:rsidRPr="000B4E2C">
              <w:rPr>
                <w:sz w:val="22"/>
                <w:lang w:eastAsia="en-GB"/>
              </w:rPr>
              <w:t>£796,431</w:t>
            </w:r>
          </w:p>
        </w:tc>
        <w:tc>
          <w:tcPr>
            <w:tcW w:w="0" w:type="auto"/>
            <w:shd w:val="clear" w:color="auto" w:fill="auto"/>
            <w:noWrap/>
            <w:hideMark/>
          </w:tcPr>
          <w:p w14:paraId="02C8F126"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71D7E7DD" w14:textId="77777777" w:rsidR="002F0133" w:rsidRPr="000B4E2C" w:rsidRDefault="002F0133" w:rsidP="008A7464">
            <w:pPr>
              <w:rPr>
                <w:sz w:val="22"/>
                <w:lang w:eastAsia="en-GB"/>
              </w:rPr>
            </w:pPr>
            <w:r w:rsidRPr="000B4E2C">
              <w:rPr>
                <w:sz w:val="22"/>
                <w:lang w:eastAsia="en-GB"/>
              </w:rPr>
              <w:t>6.2%</w:t>
            </w:r>
          </w:p>
        </w:tc>
      </w:tr>
      <w:tr w:rsidR="002F0133" w:rsidRPr="000B4E2C" w14:paraId="0F082320" w14:textId="77777777" w:rsidTr="000B4E2C">
        <w:trPr>
          <w:cantSplit/>
          <w:tblHeader/>
        </w:trPr>
        <w:tc>
          <w:tcPr>
            <w:tcW w:w="0" w:type="auto"/>
            <w:gridSpan w:val="11"/>
            <w:shd w:val="clear" w:color="auto" w:fill="auto"/>
            <w:noWrap/>
            <w:hideMark/>
          </w:tcPr>
          <w:p w14:paraId="71BD879A" w14:textId="77777777" w:rsidR="002F0133" w:rsidRPr="000B4E2C" w:rsidRDefault="002F0133" w:rsidP="008A7464">
            <w:pPr>
              <w:rPr>
                <w:b/>
                <w:bCs/>
                <w:sz w:val="22"/>
                <w:lang w:eastAsia="en-GB"/>
              </w:rPr>
            </w:pPr>
            <w:r w:rsidRPr="000B4E2C">
              <w:rPr>
                <w:b/>
                <w:bCs/>
                <w:sz w:val="22"/>
                <w:lang w:eastAsia="en-GB"/>
              </w:rPr>
              <w:t>Scenario 2P: Alternative outpatient utility source in the long term (apply general population norms)</w:t>
            </w:r>
          </w:p>
        </w:tc>
      </w:tr>
      <w:tr w:rsidR="002F0133" w:rsidRPr="000B4E2C" w14:paraId="22415355" w14:textId="77777777" w:rsidTr="000B4E2C">
        <w:trPr>
          <w:cantSplit/>
          <w:tblHeader/>
        </w:trPr>
        <w:tc>
          <w:tcPr>
            <w:tcW w:w="0" w:type="auto"/>
            <w:shd w:val="clear" w:color="auto" w:fill="auto"/>
            <w:noWrap/>
            <w:hideMark/>
          </w:tcPr>
          <w:p w14:paraId="463836B3" w14:textId="77777777" w:rsidR="002F0133" w:rsidRPr="000B4E2C" w:rsidRDefault="002F0133" w:rsidP="008A7464">
            <w:pPr>
              <w:rPr>
                <w:sz w:val="22"/>
                <w:lang w:eastAsia="en-GB"/>
              </w:rPr>
            </w:pPr>
            <w:r w:rsidRPr="000B4E2C">
              <w:rPr>
                <w:sz w:val="22"/>
                <w:lang w:eastAsia="en-GB"/>
              </w:rPr>
              <w:t>Standard care (Scr)</w:t>
            </w:r>
          </w:p>
        </w:tc>
        <w:tc>
          <w:tcPr>
            <w:tcW w:w="0" w:type="auto"/>
            <w:shd w:val="clear" w:color="auto" w:fill="auto"/>
            <w:noWrap/>
            <w:hideMark/>
          </w:tcPr>
          <w:p w14:paraId="75975414" w14:textId="77777777" w:rsidR="002F0133" w:rsidRPr="000B4E2C" w:rsidRDefault="002F0133" w:rsidP="008A7464">
            <w:pPr>
              <w:rPr>
                <w:sz w:val="22"/>
                <w:lang w:eastAsia="en-GB"/>
              </w:rPr>
            </w:pPr>
            <w:r w:rsidRPr="000B4E2C">
              <w:rPr>
                <w:sz w:val="22"/>
                <w:lang w:eastAsia="en-GB"/>
              </w:rPr>
              <w:t>£22,867</w:t>
            </w:r>
          </w:p>
        </w:tc>
        <w:tc>
          <w:tcPr>
            <w:tcW w:w="0" w:type="auto"/>
            <w:gridSpan w:val="2"/>
            <w:shd w:val="clear" w:color="auto" w:fill="auto"/>
            <w:noWrap/>
            <w:hideMark/>
          </w:tcPr>
          <w:p w14:paraId="4981886A"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95B1BCF" w14:textId="77777777" w:rsidR="002F0133" w:rsidRPr="000B4E2C" w:rsidRDefault="002F0133" w:rsidP="008A7464">
            <w:pPr>
              <w:rPr>
                <w:sz w:val="22"/>
                <w:lang w:eastAsia="en-GB"/>
              </w:rPr>
            </w:pPr>
            <w:r w:rsidRPr="000B4E2C">
              <w:rPr>
                <w:sz w:val="22"/>
                <w:lang w:eastAsia="en-GB"/>
              </w:rPr>
              <w:t>7.05869</w:t>
            </w:r>
          </w:p>
        </w:tc>
        <w:tc>
          <w:tcPr>
            <w:tcW w:w="0" w:type="auto"/>
            <w:shd w:val="clear" w:color="auto" w:fill="auto"/>
            <w:noWrap/>
            <w:hideMark/>
          </w:tcPr>
          <w:p w14:paraId="07468AC0"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3845A438"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62B9C239" w14:textId="77777777" w:rsidR="002F0133" w:rsidRPr="000B4E2C" w:rsidRDefault="002F0133" w:rsidP="008A7464">
            <w:pPr>
              <w:rPr>
                <w:sz w:val="22"/>
                <w:lang w:eastAsia="en-GB"/>
              </w:rPr>
            </w:pPr>
            <w:r w:rsidRPr="000B4E2C">
              <w:rPr>
                <w:sz w:val="22"/>
                <w:lang w:eastAsia="en-GB"/>
              </w:rPr>
              <w:t>--</w:t>
            </w:r>
          </w:p>
        </w:tc>
        <w:tc>
          <w:tcPr>
            <w:tcW w:w="0" w:type="auto"/>
            <w:shd w:val="clear" w:color="auto" w:fill="auto"/>
            <w:noWrap/>
            <w:hideMark/>
          </w:tcPr>
          <w:p w14:paraId="0B5CE24C" w14:textId="77777777" w:rsidR="002F0133" w:rsidRPr="000B4E2C" w:rsidRDefault="002F0133" w:rsidP="008A7464">
            <w:pPr>
              <w:rPr>
                <w:sz w:val="22"/>
                <w:lang w:eastAsia="en-GB"/>
              </w:rPr>
            </w:pPr>
            <w:r w:rsidRPr="000B4E2C">
              <w:rPr>
                <w:sz w:val="22"/>
                <w:lang w:eastAsia="en-GB"/>
              </w:rPr>
              <w:t>63.5%</w:t>
            </w:r>
          </w:p>
        </w:tc>
        <w:tc>
          <w:tcPr>
            <w:tcW w:w="0" w:type="auto"/>
            <w:gridSpan w:val="2"/>
            <w:shd w:val="clear" w:color="auto" w:fill="auto"/>
            <w:noWrap/>
            <w:hideMark/>
          </w:tcPr>
          <w:p w14:paraId="05622C12" w14:textId="77777777" w:rsidR="002F0133" w:rsidRPr="000B4E2C" w:rsidRDefault="002F0133" w:rsidP="008A7464">
            <w:pPr>
              <w:rPr>
                <w:sz w:val="22"/>
                <w:lang w:eastAsia="en-GB"/>
              </w:rPr>
            </w:pPr>
            <w:r w:rsidRPr="000B4E2C">
              <w:rPr>
                <w:sz w:val="22"/>
                <w:lang w:eastAsia="en-GB"/>
              </w:rPr>
              <w:t>--</w:t>
            </w:r>
          </w:p>
        </w:tc>
      </w:tr>
      <w:tr w:rsidR="002F0133" w:rsidRPr="000B4E2C" w14:paraId="11CFD404" w14:textId="77777777" w:rsidTr="000B4E2C">
        <w:trPr>
          <w:cantSplit/>
          <w:tblHeader/>
        </w:trPr>
        <w:tc>
          <w:tcPr>
            <w:tcW w:w="0" w:type="auto"/>
            <w:shd w:val="clear" w:color="auto" w:fill="auto"/>
            <w:noWrap/>
            <w:hideMark/>
          </w:tcPr>
          <w:p w14:paraId="3F269E79" w14:textId="77777777" w:rsidR="002F0133" w:rsidRPr="000B4E2C" w:rsidRDefault="002F0133" w:rsidP="008A7464">
            <w:pPr>
              <w:rPr>
                <w:sz w:val="22"/>
                <w:lang w:eastAsia="en-GB"/>
              </w:rPr>
            </w:pPr>
            <w:r w:rsidRPr="000B4E2C">
              <w:rPr>
                <w:sz w:val="22"/>
                <w:lang w:eastAsia="en-GB"/>
              </w:rPr>
              <w:lastRenderedPageBreak/>
              <w:t>Test 1 (Nephrocheck)</w:t>
            </w:r>
          </w:p>
        </w:tc>
        <w:tc>
          <w:tcPr>
            <w:tcW w:w="0" w:type="auto"/>
            <w:shd w:val="clear" w:color="auto" w:fill="auto"/>
            <w:noWrap/>
            <w:hideMark/>
          </w:tcPr>
          <w:p w14:paraId="479A6372" w14:textId="77777777" w:rsidR="002F0133" w:rsidRPr="000B4E2C" w:rsidRDefault="002F0133" w:rsidP="008A7464">
            <w:pPr>
              <w:rPr>
                <w:sz w:val="22"/>
                <w:lang w:eastAsia="en-GB"/>
              </w:rPr>
            </w:pPr>
            <w:r w:rsidRPr="000B4E2C">
              <w:rPr>
                <w:sz w:val="22"/>
                <w:lang w:eastAsia="en-GB"/>
              </w:rPr>
              <w:t>£22,904</w:t>
            </w:r>
          </w:p>
        </w:tc>
        <w:tc>
          <w:tcPr>
            <w:tcW w:w="0" w:type="auto"/>
            <w:gridSpan w:val="2"/>
            <w:shd w:val="clear" w:color="auto" w:fill="auto"/>
            <w:noWrap/>
            <w:hideMark/>
          </w:tcPr>
          <w:p w14:paraId="08E5DDF1" w14:textId="77777777" w:rsidR="002F0133" w:rsidRPr="000B4E2C" w:rsidRDefault="002F0133" w:rsidP="008A7464">
            <w:pPr>
              <w:rPr>
                <w:sz w:val="22"/>
                <w:lang w:eastAsia="en-GB"/>
              </w:rPr>
            </w:pPr>
            <w:r w:rsidRPr="000B4E2C">
              <w:rPr>
                <w:sz w:val="22"/>
                <w:lang w:eastAsia="en-GB"/>
              </w:rPr>
              <w:t>£36</w:t>
            </w:r>
          </w:p>
        </w:tc>
        <w:tc>
          <w:tcPr>
            <w:tcW w:w="0" w:type="auto"/>
            <w:shd w:val="clear" w:color="auto" w:fill="auto"/>
            <w:noWrap/>
            <w:hideMark/>
          </w:tcPr>
          <w:p w14:paraId="75800BA3" w14:textId="77777777" w:rsidR="002F0133" w:rsidRPr="000B4E2C" w:rsidRDefault="002F0133" w:rsidP="008A7464">
            <w:pPr>
              <w:rPr>
                <w:sz w:val="22"/>
                <w:lang w:eastAsia="en-GB"/>
              </w:rPr>
            </w:pPr>
            <w:r w:rsidRPr="000B4E2C">
              <w:rPr>
                <w:sz w:val="22"/>
                <w:lang w:eastAsia="en-GB"/>
              </w:rPr>
              <w:t>7.05928</w:t>
            </w:r>
          </w:p>
        </w:tc>
        <w:tc>
          <w:tcPr>
            <w:tcW w:w="0" w:type="auto"/>
            <w:shd w:val="clear" w:color="auto" w:fill="auto"/>
            <w:noWrap/>
            <w:hideMark/>
          </w:tcPr>
          <w:p w14:paraId="4C4B690C" w14:textId="77777777" w:rsidR="002F0133" w:rsidRPr="000B4E2C" w:rsidRDefault="002F0133" w:rsidP="008A7464">
            <w:pPr>
              <w:rPr>
                <w:sz w:val="22"/>
                <w:lang w:eastAsia="en-GB"/>
              </w:rPr>
            </w:pPr>
            <w:r w:rsidRPr="000B4E2C">
              <w:rPr>
                <w:sz w:val="22"/>
                <w:lang w:eastAsia="en-GB"/>
              </w:rPr>
              <w:t>0.00059</w:t>
            </w:r>
          </w:p>
        </w:tc>
        <w:tc>
          <w:tcPr>
            <w:tcW w:w="0" w:type="auto"/>
            <w:shd w:val="clear" w:color="auto" w:fill="auto"/>
            <w:noWrap/>
            <w:hideMark/>
          </w:tcPr>
          <w:p w14:paraId="0409BC84" w14:textId="77777777" w:rsidR="002F0133" w:rsidRPr="000B4E2C" w:rsidRDefault="002F0133" w:rsidP="008A7464">
            <w:pPr>
              <w:rPr>
                <w:sz w:val="22"/>
                <w:lang w:eastAsia="en-GB"/>
              </w:rPr>
            </w:pPr>
            <w:r w:rsidRPr="000B4E2C">
              <w:rPr>
                <w:sz w:val="22"/>
                <w:lang w:eastAsia="en-GB"/>
              </w:rPr>
              <w:t>£61,809</w:t>
            </w:r>
          </w:p>
        </w:tc>
        <w:tc>
          <w:tcPr>
            <w:tcW w:w="0" w:type="auto"/>
            <w:shd w:val="clear" w:color="auto" w:fill="auto"/>
            <w:noWrap/>
            <w:hideMark/>
          </w:tcPr>
          <w:p w14:paraId="0491CE8D" w14:textId="77777777" w:rsidR="002F0133" w:rsidRPr="000B4E2C" w:rsidRDefault="002F0133" w:rsidP="008A7464">
            <w:pPr>
              <w:rPr>
                <w:sz w:val="22"/>
                <w:lang w:eastAsia="en-GB"/>
              </w:rPr>
            </w:pPr>
            <w:r w:rsidRPr="000B4E2C">
              <w:rPr>
                <w:sz w:val="22"/>
                <w:lang w:eastAsia="en-GB"/>
              </w:rPr>
              <w:t>£61,809</w:t>
            </w:r>
          </w:p>
        </w:tc>
        <w:tc>
          <w:tcPr>
            <w:tcW w:w="0" w:type="auto"/>
            <w:shd w:val="clear" w:color="auto" w:fill="auto"/>
            <w:noWrap/>
            <w:hideMark/>
          </w:tcPr>
          <w:p w14:paraId="68ADAC58" w14:textId="77777777" w:rsidR="002F0133" w:rsidRPr="000B4E2C" w:rsidRDefault="002F0133" w:rsidP="008A7464">
            <w:pPr>
              <w:rPr>
                <w:sz w:val="22"/>
                <w:lang w:eastAsia="en-GB"/>
              </w:rPr>
            </w:pPr>
            <w:r w:rsidRPr="000B4E2C">
              <w:rPr>
                <w:sz w:val="22"/>
                <w:lang w:eastAsia="en-GB"/>
              </w:rPr>
              <w:t>32.0%</w:t>
            </w:r>
          </w:p>
        </w:tc>
        <w:tc>
          <w:tcPr>
            <w:tcW w:w="0" w:type="auto"/>
            <w:gridSpan w:val="2"/>
            <w:shd w:val="clear" w:color="auto" w:fill="auto"/>
            <w:noWrap/>
            <w:hideMark/>
          </w:tcPr>
          <w:p w14:paraId="69B9A3DA" w14:textId="77777777" w:rsidR="002F0133" w:rsidRPr="000B4E2C" w:rsidRDefault="002F0133" w:rsidP="008A7464">
            <w:pPr>
              <w:rPr>
                <w:sz w:val="22"/>
                <w:lang w:eastAsia="en-GB"/>
              </w:rPr>
            </w:pPr>
            <w:r w:rsidRPr="000B4E2C">
              <w:rPr>
                <w:sz w:val="22"/>
                <w:lang w:eastAsia="en-GB"/>
              </w:rPr>
              <w:t>34.1%</w:t>
            </w:r>
          </w:p>
        </w:tc>
      </w:tr>
      <w:tr w:rsidR="002F0133" w:rsidRPr="000B4E2C" w14:paraId="2B205C07" w14:textId="77777777" w:rsidTr="000B4E2C">
        <w:trPr>
          <w:cantSplit/>
          <w:tblHeader/>
        </w:trPr>
        <w:tc>
          <w:tcPr>
            <w:tcW w:w="0" w:type="auto"/>
            <w:shd w:val="clear" w:color="auto" w:fill="auto"/>
            <w:noWrap/>
            <w:hideMark/>
          </w:tcPr>
          <w:p w14:paraId="6D054D8E" w14:textId="4DFD60E1" w:rsidR="002F0133" w:rsidRPr="000B4E2C" w:rsidRDefault="002F0133" w:rsidP="008A7464">
            <w:pPr>
              <w:rPr>
                <w:sz w:val="22"/>
                <w:lang w:eastAsia="en-GB"/>
              </w:rPr>
            </w:pPr>
            <w:r w:rsidRPr="000B4E2C">
              <w:rPr>
                <w:sz w:val="22"/>
                <w:lang w:eastAsia="en-GB"/>
              </w:rPr>
              <w:t>Test 3 (NGAL urine</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7F7D31F3" w14:textId="77777777" w:rsidR="002F0133" w:rsidRPr="000B4E2C" w:rsidRDefault="002F0133" w:rsidP="008A7464">
            <w:pPr>
              <w:rPr>
                <w:sz w:val="22"/>
                <w:lang w:eastAsia="en-GB"/>
              </w:rPr>
            </w:pPr>
            <w:r w:rsidRPr="000B4E2C">
              <w:rPr>
                <w:sz w:val="22"/>
                <w:lang w:eastAsia="en-GB"/>
              </w:rPr>
              <w:t>£22,938</w:t>
            </w:r>
          </w:p>
        </w:tc>
        <w:tc>
          <w:tcPr>
            <w:tcW w:w="0" w:type="auto"/>
            <w:gridSpan w:val="2"/>
            <w:shd w:val="clear" w:color="auto" w:fill="auto"/>
            <w:noWrap/>
            <w:hideMark/>
          </w:tcPr>
          <w:p w14:paraId="00F230BE"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6448711" w14:textId="77777777" w:rsidR="002F0133" w:rsidRPr="000B4E2C" w:rsidRDefault="002F0133" w:rsidP="008A7464">
            <w:pPr>
              <w:rPr>
                <w:sz w:val="22"/>
                <w:lang w:eastAsia="en-GB"/>
              </w:rPr>
            </w:pPr>
            <w:r w:rsidRPr="000B4E2C">
              <w:rPr>
                <w:sz w:val="22"/>
                <w:lang w:eastAsia="en-GB"/>
              </w:rPr>
              <w:t>7.05889</w:t>
            </w:r>
          </w:p>
        </w:tc>
        <w:tc>
          <w:tcPr>
            <w:tcW w:w="0" w:type="auto"/>
            <w:shd w:val="clear" w:color="auto" w:fill="auto"/>
            <w:noWrap/>
            <w:hideMark/>
          </w:tcPr>
          <w:p w14:paraId="6DFE9128"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5A13AC1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3FBE7C53" w14:textId="77777777" w:rsidR="002F0133" w:rsidRPr="000B4E2C" w:rsidRDefault="002F0133" w:rsidP="008A7464">
            <w:pPr>
              <w:rPr>
                <w:sz w:val="22"/>
                <w:lang w:eastAsia="en-GB"/>
              </w:rPr>
            </w:pPr>
            <w:r w:rsidRPr="000B4E2C">
              <w:rPr>
                <w:sz w:val="22"/>
                <w:lang w:eastAsia="en-GB"/>
              </w:rPr>
              <w:t>£360,613</w:t>
            </w:r>
          </w:p>
        </w:tc>
        <w:tc>
          <w:tcPr>
            <w:tcW w:w="0" w:type="auto"/>
            <w:shd w:val="clear" w:color="auto" w:fill="auto"/>
            <w:noWrap/>
            <w:hideMark/>
          </w:tcPr>
          <w:p w14:paraId="09B440F1" w14:textId="77777777" w:rsidR="002F0133" w:rsidRPr="000B4E2C" w:rsidRDefault="002F0133" w:rsidP="008A7464">
            <w:pPr>
              <w:rPr>
                <w:sz w:val="22"/>
                <w:lang w:eastAsia="en-GB"/>
              </w:rPr>
            </w:pPr>
            <w:r w:rsidRPr="000B4E2C">
              <w:rPr>
                <w:sz w:val="22"/>
                <w:lang w:eastAsia="en-GB"/>
              </w:rPr>
              <w:t>4.3%</w:t>
            </w:r>
          </w:p>
        </w:tc>
        <w:tc>
          <w:tcPr>
            <w:tcW w:w="0" w:type="auto"/>
            <w:gridSpan w:val="2"/>
            <w:shd w:val="clear" w:color="auto" w:fill="auto"/>
            <w:noWrap/>
            <w:hideMark/>
          </w:tcPr>
          <w:p w14:paraId="632C0749" w14:textId="77777777" w:rsidR="002F0133" w:rsidRPr="000B4E2C" w:rsidRDefault="002F0133" w:rsidP="008A7464">
            <w:pPr>
              <w:rPr>
                <w:sz w:val="22"/>
                <w:lang w:eastAsia="en-GB"/>
              </w:rPr>
            </w:pPr>
            <w:r w:rsidRPr="000B4E2C">
              <w:rPr>
                <w:sz w:val="22"/>
                <w:lang w:eastAsia="en-GB"/>
              </w:rPr>
              <w:t>9.9%</w:t>
            </w:r>
          </w:p>
        </w:tc>
      </w:tr>
      <w:tr w:rsidR="002F0133" w:rsidRPr="000B4E2C" w14:paraId="5166931E" w14:textId="77777777" w:rsidTr="000B4E2C">
        <w:trPr>
          <w:cantSplit/>
          <w:tblHeader/>
        </w:trPr>
        <w:tc>
          <w:tcPr>
            <w:tcW w:w="0" w:type="auto"/>
            <w:shd w:val="clear" w:color="auto" w:fill="auto"/>
            <w:noWrap/>
            <w:hideMark/>
          </w:tcPr>
          <w:p w14:paraId="13775096" w14:textId="528BF39B" w:rsidR="002F0133" w:rsidRPr="000B4E2C" w:rsidRDefault="002F0133" w:rsidP="008A7464">
            <w:pPr>
              <w:rPr>
                <w:sz w:val="22"/>
                <w:lang w:eastAsia="en-GB"/>
              </w:rPr>
            </w:pPr>
            <w:r w:rsidRPr="000B4E2C">
              <w:rPr>
                <w:sz w:val="22"/>
                <w:lang w:eastAsia="en-GB"/>
              </w:rPr>
              <w:t>Test 2 (NGAL plasma</w:t>
            </w:r>
            <w:r w:rsidR="000B4E2C" w:rsidRPr="000B4E2C">
              <w:rPr>
                <w:color w:val="00B0F0"/>
                <w:sz w:val="22"/>
                <w:lang w:eastAsia="en-GB"/>
              </w:rPr>
              <w:t xml:space="preserve"> – </w:t>
            </w:r>
            <w:r w:rsidR="009D7F5A" w:rsidRPr="000B4E2C">
              <w:rPr>
                <w:sz w:val="22"/>
                <w:lang w:eastAsia="en-GB"/>
              </w:rPr>
              <w:t>BioPorto</w:t>
            </w:r>
            <w:r w:rsidRPr="000B4E2C">
              <w:rPr>
                <w:sz w:val="22"/>
                <w:lang w:eastAsia="en-GB"/>
              </w:rPr>
              <w:t>)</w:t>
            </w:r>
          </w:p>
        </w:tc>
        <w:tc>
          <w:tcPr>
            <w:tcW w:w="0" w:type="auto"/>
            <w:shd w:val="clear" w:color="auto" w:fill="auto"/>
            <w:noWrap/>
            <w:hideMark/>
          </w:tcPr>
          <w:p w14:paraId="635B4E60" w14:textId="77777777" w:rsidR="002F0133" w:rsidRPr="000B4E2C" w:rsidRDefault="002F0133" w:rsidP="008A7464">
            <w:pPr>
              <w:rPr>
                <w:sz w:val="22"/>
                <w:lang w:eastAsia="en-GB"/>
              </w:rPr>
            </w:pPr>
            <w:r w:rsidRPr="000B4E2C">
              <w:rPr>
                <w:sz w:val="22"/>
                <w:lang w:eastAsia="en-GB"/>
              </w:rPr>
              <w:t>£22,954</w:t>
            </w:r>
          </w:p>
        </w:tc>
        <w:tc>
          <w:tcPr>
            <w:tcW w:w="0" w:type="auto"/>
            <w:gridSpan w:val="2"/>
            <w:shd w:val="clear" w:color="auto" w:fill="auto"/>
            <w:noWrap/>
            <w:hideMark/>
          </w:tcPr>
          <w:p w14:paraId="40DAA872"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F7CE2A6" w14:textId="77777777" w:rsidR="002F0133" w:rsidRPr="000B4E2C" w:rsidRDefault="002F0133" w:rsidP="008A7464">
            <w:pPr>
              <w:rPr>
                <w:sz w:val="22"/>
                <w:lang w:eastAsia="en-GB"/>
              </w:rPr>
            </w:pPr>
            <w:r w:rsidRPr="000B4E2C">
              <w:rPr>
                <w:sz w:val="22"/>
                <w:lang w:eastAsia="en-GB"/>
              </w:rPr>
              <w:t>7.05889</w:t>
            </w:r>
          </w:p>
        </w:tc>
        <w:tc>
          <w:tcPr>
            <w:tcW w:w="0" w:type="auto"/>
            <w:shd w:val="clear" w:color="auto" w:fill="auto"/>
            <w:noWrap/>
            <w:hideMark/>
          </w:tcPr>
          <w:p w14:paraId="150FCDDA"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1A58EBFB"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6061B01B" w14:textId="77777777" w:rsidR="002F0133" w:rsidRPr="000B4E2C" w:rsidRDefault="002F0133" w:rsidP="008A7464">
            <w:pPr>
              <w:rPr>
                <w:sz w:val="22"/>
                <w:lang w:eastAsia="en-GB"/>
              </w:rPr>
            </w:pPr>
            <w:r w:rsidRPr="000B4E2C">
              <w:rPr>
                <w:sz w:val="22"/>
                <w:lang w:eastAsia="en-GB"/>
              </w:rPr>
              <w:t>£431,098</w:t>
            </w:r>
          </w:p>
        </w:tc>
        <w:tc>
          <w:tcPr>
            <w:tcW w:w="0" w:type="auto"/>
            <w:shd w:val="clear" w:color="auto" w:fill="auto"/>
            <w:noWrap/>
            <w:hideMark/>
          </w:tcPr>
          <w:p w14:paraId="1EADF74B" w14:textId="77777777" w:rsidR="002F0133" w:rsidRPr="000B4E2C" w:rsidRDefault="002F0133" w:rsidP="008A7464">
            <w:pPr>
              <w:rPr>
                <w:sz w:val="22"/>
                <w:lang w:eastAsia="en-GB"/>
              </w:rPr>
            </w:pPr>
            <w:r w:rsidRPr="000B4E2C">
              <w:rPr>
                <w:sz w:val="22"/>
                <w:lang w:eastAsia="en-GB"/>
              </w:rPr>
              <w:t>0.2%</w:t>
            </w:r>
          </w:p>
        </w:tc>
        <w:tc>
          <w:tcPr>
            <w:tcW w:w="0" w:type="auto"/>
            <w:gridSpan w:val="2"/>
            <w:shd w:val="clear" w:color="auto" w:fill="auto"/>
            <w:noWrap/>
            <w:hideMark/>
          </w:tcPr>
          <w:p w14:paraId="12F4B8EA" w14:textId="77777777" w:rsidR="002F0133" w:rsidRPr="000B4E2C" w:rsidRDefault="002F0133" w:rsidP="008A7464">
            <w:pPr>
              <w:rPr>
                <w:sz w:val="22"/>
                <w:lang w:eastAsia="en-GB"/>
              </w:rPr>
            </w:pPr>
            <w:r w:rsidRPr="000B4E2C">
              <w:rPr>
                <w:sz w:val="22"/>
                <w:lang w:eastAsia="en-GB"/>
              </w:rPr>
              <w:t>7.8%</w:t>
            </w:r>
          </w:p>
        </w:tc>
      </w:tr>
      <w:tr w:rsidR="002F0133" w:rsidRPr="000B4E2C" w14:paraId="1189F41E" w14:textId="77777777" w:rsidTr="000B4E2C">
        <w:trPr>
          <w:cantSplit/>
          <w:tblHeader/>
        </w:trPr>
        <w:tc>
          <w:tcPr>
            <w:tcW w:w="0" w:type="auto"/>
            <w:shd w:val="clear" w:color="auto" w:fill="auto"/>
            <w:noWrap/>
            <w:hideMark/>
          </w:tcPr>
          <w:p w14:paraId="6726C2E2" w14:textId="43853A6C" w:rsidR="002F0133" w:rsidRPr="000B4E2C" w:rsidRDefault="002F0133" w:rsidP="008A7464">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noWrap/>
            <w:hideMark/>
          </w:tcPr>
          <w:p w14:paraId="550F41E6" w14:textId="77777777" w:rsidR="002F0133" w:rsidRPr="000B4E2C" w:rsidRDefault="002F0133" w:rsidP="008A7464">
            <w:pPr>
              <w:rPr>
                <w:sz w:val="22"/>
                <w:lang w:eastAsia="en-GB"/>
              </w:rPr>
            </w:pPr>
            <w:r w:rsidRPr="000B4E2C">
              <w:rPr>
                <w:sz w:val="22"/>
                <w:lang w:eastAsia="en-GB"/>
              </w:rPr>
              <w:t>£22,955</w:t>
            </w:r>
          </w:p>
        </w:tc>
        <w:tc>
          <w:tcPr>
            <w:tcW w:w="0" w:type="auto"/>
            <w:gridSpan w:val="2"/>
            <w:shd w:val="clear" w:color="auto" w:fill="auto"/>
            <w:noWrap/>
            <w:hideMark/>
          </w:tcPr>
          <w:p w14:paraId="456000AD"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F06CAD0" w14:textId="77777777" w:rsidR="002F0133" w:rsidRPr="000B4E2C" w:rsidRDefault="002F0133" w:rsidP="008A7464">
            <w:pPr>
              <w:rPr>
                <w:sz w:val="22"/>
                <w:lang w:eastAsia="en-GB"/>
              </w:rPr>
            </w:pPr>
            <w:r w:rsidRPr="000B4E2C">
              <w:rPr>
                <w:sz w:val="22"/>
                <w:lang w:eastAsia="en-GB"/>
              </w:rPr>
              <w:t>7.05887</w:t>
            </w:r>
          </w:p>
        </w:tc>
        <w:tc>
          <w:tcPr>
            <w:tcW w:w="0" w:type="auto"/>
            <w:shd w:val="clear" w:color="auto" w:fill="auto"/>
            <w:noWrap/>
            <w:hideMark/>
          </w:tcPr>
          <w:p w14:paraId="129F3880"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01473D0D" w14:textId="77777777" w:rsidR="002F0133" w:rsidRPr="000B4E2C" w:rsidRDefault="002F0133" w:rsidP="008A7464">
            <w:pPr>
              <w:rPr>
                <w:sz w:val="22"/>
                <w:lang w:eastAsia="en-GB"/>
              </w:rPr>
            </w:pPr>
            <w:r w:rsidRPr="000B4E2C">
              <w:rPr>
                <w:sz w:val="22"/>
                <w:lang w:eastAsia="en-GB"/>
              </w:rPr>
              <w:t>Dominated</w:t>
            </w:r>
          </w:p>
        </w:tc>
        <w:tc>
          <w:tcPr>
            <w:tcW w:w="0" w:type="auto"/>
            <w:shd w:val="clear" w:color="auto" w:fill="auto"/>
            <w:noWrap/>
            <w:hideMark/>
          </w:tcPr>
          <w:p w14:paraId="24FDD831" w14:textId="77777777" w:rsidR="002F0133" w:rsidRPr="000B4E2C" w:rsidRDefault="002F0133" w:rsidP="008A7464">
            <w:pPr>
              <w:rPr>
                <w:sz w:val="22"/>
                <w:lang w:eastAsia="en-GB"/>
              </w:rPr>
            </w:pPr>
            <w:r w:rsidRPr="000B4E2C">
              <w:rPr>
                <w:sz w:val="22"/>
                <w:lang w:eastAsia="en-GB"/>
              </w:rPr>
              <w:t>£483,707</w:t>
            </w:r>
          </w:p>
        </w:tc>
        <w:tc>
          <w:tcPr>
            <w:tcW w:w="0" w:type="auto"/>
            <w:shd w:val="clear" w:color="auto" w:fill="auto"/>
            <w:noWrap/>
            <w:hideMark/>
          </w:tcPr>
          <w:p w14:paraId="395B99AF" w14:textId="77777777" w:rsidR="002F0133" w:rsidRPr="000B4E2C" w:rsidRDefault="002F0133" w:rsidP="008A7464">
            <w:pPr>
              <w:rPr>
                <w:sz w:val="22"/>
                <w:lang w:eastAsia="en-GB"/>
              </w:rPr>
            </w:pPr>
            <w:r w:rsidRPr="000B4E2C">
              <w:rPr>
                <w:sz w:val="22"/>
                <w:lang w:eastAsia="en-GB"/>
              </w:rPr>
              <w:t>0.0%</w:t>
            </w:r>
          </w:p>
        </w:tc>
        <w:tc>
          <w:tcPr>
            <w:tcW w:w="0" w:type="auto"/>
            <w:gridSpan w:val="2"/>
            <w:shd w:val="clear" w:color="auto" w:fill="auto"/>
            <w:noWrap/>
            <w:hideMark/>
          </w:tcPr>
          <w:p w14:paraId="0A23914D" w14:textId="77777777" w:rsidR="002F0133" w:rsidRPr="000B4E2C" w:rsidRDefault="002F0133" w:rsidP="008A7464">
            <w:pPr>
              <w:rPr>
                <w:sz w:val="22"/>
                <w:lang w:eastAsia="en-GB"/>
              </w:rPr>
            </w:pPr>
            <w:r w:rsidRPr="000B4E2C">
              <w:rPr>
                <w:sz w:val="22"/>
                <w:lang w:eastAsia="en-GB"/>
              </w:rPr>
              <w:t>5.7%</w:t>
            </w:r>
          </w:p>
        </w:tc>
      </w:tr>
      <w:tr w:rsidR="002F0133" w:rsidRPr="000B4E2C" w14:paraId="297CE410" w14:textId="77777777" w:rsidTr="000B4E2C">
        <w:trPr>
          <w:cantSplit/>
          <w:tblHeader/>
        </w:trPr>
        <w:tc>
          <w:tcPr>
            <w:tcW w:w="0" w:type="auto"/>
            <w:gridSpan w:val="11"/>
            <w:shd w:val="clear" w:color="auto" w:fill="auto"/>
            <w:noWrap/>
            <w:hideMark/>
          </w:tcPr>
          <w:p w14:paraId="7466DEC3" w14:textId="44107346" w:rsidR="002F0133" w:rsidRPr="000B4E2C" w:rsidRDefault="002F0133" w:rsidP="008A7464">
            <w:pPr>
              <w:rPr>
                <w:b/>
                <w:bCs/>
                <w:sz w:val="22"/>
                <w:lang w:eastAsia="en-GB"/>
              </w:rPr>
            </w:pPr>
            <w:r w:rsidRPr="000B4E2C">
              <w:rPr>
                <w:b/>
                <w:bCs/>
                <w:sz w:val="22"/>
                <w:lang w:eastAsia="en-GB"/>
              </w:rPr>
              <w:t>Scenario 2Q</w:t>
            </w:r>
            <w:r w:rsidR="000B4E2C" w:rsidRPr="000B4E2C">
              <w:rPr>
                <w:b/>
                <w:bCs/>
                <w:sz w:val="22"/>
                <w:lang w:eastAsia="en-GB"/>
              </w:rPr>
              <w:t xml:space="preserve"> </w:t>
            </w:r>
            <w:r w:rsidRPr="000B4E2C">
              <w:rPr>
                <w:b/>
                <w:bCs/>
                <w:sz w:val="22"/>
                <w:lang w:eastAsia="en-GB"/>
              </w:rPr>
              <w:t xml:space="preserve">Applying diagnostic test accuracy </w:t>
            </w:r>
            <w:r w:rsidRPr="000B4E2C">
              <w:rPr>
                <w:b/>
                <w:bCs/>
                <w:sz w:val="22"/>
                <w:highlight w:val="magenta"/>
                <w:lang w:eastAsia="en-GB"/>
              </w:rPr>
              <w:t>data</w:t>
            </w:r>
            <w:r w:rsidRPr="000B4E2C">
              <w:rPr>
                <w:b/>
                <w:bCs/>
                <w:sz w:val="22"/>
                <w:lang w:eastAsia="en-GB"/>
              </w:rPr>
              <w:t xml:space="preserve"> for children to the adult AKI model (exploratory only)</w:t>
            </w:r>
          </w:p>
        </w:tc>
      </w:tr>
      <w:tr w:rsidR="002F0133" w:rsidRPr="000B4E2C" w14:paraId="44E2F314" w14:textId="77777777" w:rsidTr="000B4E2C">
        <w:trPr>
          <w:cantSplit/>
          <w:tblHeader/>
        </w:trPr>
        <w:tc>
          <w:tcPr>
            <w:tcW w:w="0" w:type="auto"/>
            <w:shd w:val="clear" w:color="auto" w:fill="auto"/>
            <w:noWrap/>
            <w:vAlign w:val="bottom"/>
            <w:hideMark/>
          </w:tcPr>
          <w:p w14:paraId="37461227" w14:textId="77777777" w:rsidR="002F0133" w:rsidRPr="000B4E2C" w:rsidRDefault="002F0133" w:rsidP="008A7464">
            <w:pPr>
              <w:rPr>
                <w:sz w:val="22"/>
                <w:lang w:eastAsia="en-GB"/>
              </w:rPr>
            </w:pPr>
            <w:r w:rsidRPr="000B4E2C">
              <w:rPr>
                <w:sz w:val="22"/>
              </w:rPr>
              <w:t>Standard care (Scr)</w:t>
            </w:r>
          </w:p>
        </w:tc>
        <w:tc>
          <w:tcPr>
            <w:tcW w:w="0" w:type="auto"/>
            <w:gridSpan w:val="2"/>
            <w:shd w:val="clear" w:color="auto" w:fill="auto"/>
            <w:noWrap/>
            <w:vAlign w:val="bottom"/>
            <w:hideMark/>
          </w:tcPr>
          <w:p w14:paraId="163341EE" w14:textId="77777777" w:rsidR="002F0133" w:rsidRPr="000B4E2C" w:rsidRDefault="002F0133" w:rsidP="008A7464">
            <w:pPr>
              <w:rPr>
                <w:sz w:val="22"/>
                <w:lang w:eastAsia="en-GB"/>
              </w:rPr>
            </w:pPr>
            <w:r w:rsidRPr="000B4E2C">
              <w:rPr>
                <w:sz w:val="22"/>
              </w:rPr>
              <w:t>£23,012</w:t>
            </w:r>
          </w:p>
        </w:tc>
        <w:tc>
          <w:tcPr>
            <w:tcW w:w="0" w:type="auto"/>
            <w:shd w:val="clear" w:color="auto" w:fill="auto"/>
            <w:noWrap/>
            <w:vAlign w:val="bottom"/>
            <w:hideMark/>
          </w:tcPr>
          <w:p w14:paraId="4775002E" w14:textId="1657DF45" w:rsidR="002F0133" w:rsidRPr="000B4E2C" w:rsidRDefault="000B4E2C" w:rsidP="008A7464">
            <w:pPr>
              <w:rPr>
                <w:sz w:val="22"/>
                <w:lang w:eastAsia="en-GB"/>
              </w:rPr>
            </w:pPr>
            <w:r w:rsidRPr="000B4E2C">
              <w:rPr>
                <w:sz w:val="22"/>
              </w:rPr>
              <w:t xml:space="preserve"> </w:t>
            </w:r>
          </w:p>
        </w:tc>
        <w:tc>
          <w:tcPr>
            <w:tcW w:w="0" w:type="auto"/>
            <w:shd w:val="clear" w:color="auto" w:fill="auto"/>
            <w:noWrap/>
            <w:vAlign w:val="bottom"/>
            <w:hideMark/>
          </w:tcPr>
          <w:p w14:paraId="6E94D1CE" w14:textId="77777777" w:rsidR="002F0133" w:rsidRPr="000B4E2C" w:rsidRDefault="002F0133" w:rsidP="008A7464">
            <w:pPr>
              <w:rPr>
                <w:sz w:val="22"/>
                <w:lang w:eastAsia="en-GB"/>
              </w:rPr>
            </w:pPr>
            <w:r w:rsidRPr="000B4E2C">
              <w:rPr>
                <w:sz w:val="22"/>
              </w:rPr>
              <w:t>6.07121</w:t>
            </w:r>
          </w:p>
        </w:tc>
        <w:tc>
          <w:tcPr>
            <w:tcW w:w="0" w:type="auto"/>
            <w:shd w:val="clear" w:color="auto" w:fill="auto"/>
            <w:noWrap/>
            <w:vAlign w:val="bottom"/>
            <w:hideMark/>
          </w:tcPr>
          <w:p w14:paraId="5E41B7A8" w14:textId="2AC851B8" w:rsidR="002F0133" w:rsidRPr="000B4E2C" w:rsidRDefault="000B4E2C" w:rsidP="008A7464">
            <w:pPr>
              <w:rPr>
                <w:sz w:val="22"/>
                <w:lang w:eastAsia="en-GB"/>
              </w:rPr>
            </w:pPr>
            <w:r w:rsidRPr="000B4E2C">
              <w:rPr>
                <w:sz w:val="22"/>
              </w:rPr>
              <w:t xml:space="preserve"> </w:t>
            </w:r>
          </w:p>
        </w:tc>
        <w:tc>
          <w:tcPr>
            <w:tcW w:w="0" w:type="auto"/>
            <w:shd w:val="clear" w:color="auto" w:fill="auto"/>
            <w:noWrap/>
            <w:vAlign w:val="bottom"/>
            <w:hideMark/>
          </w:tcPr>
          <w:p w14:paraId="1A2F908F" w14:textId="61E4AC67" w:rsidR="002F0133" w:rsidRPr="000B4E2C" w:rsidRDefault="000B4E2C" w:rsidP="008A7464">
            <w:pPr>
              <w:rPr>
                <w:sz w:val="22"/>
                <w:lang w:eastAsia="en-GB"/>
              </w:rPr>
            </w:pPr>
            <w:r w:rsidRPr="000B4E2C">
              <w:rPr>
                <w:sz w:val="22"/>
              </w:rPr>
              <w:t xml:space="preserve"> </w:t>
            </w:r>
          </w:p>
        </w:tc>
        <w:tc>
          <w:tcPr>
            <w:tcW w:w="0" w:type="auto"/>
            <w:shd w:val="clear" w:color="auto" w:fill="auto"/>
            <w:noWrap/>
            <w:vAlign w:val="bottom"/>
            <w:hideMark/>
          </w:tcPr>
          <w:p w14:paraId="2DC98056" w14:textId="2B38C0F6" w:rsidR="002F0133" w:rsidRPr="000B4E2C" w:rsidRDefault="000B4E2C" w:rsidP="008A7464">
            <w:pPr>
              <w:rPr>
                <w:sz w:val="22"/>
                <w:lang w:eastAsia="en-GB"/>
              </w:rPr>
            </w:pPr>
            <w:r w:rsidRPr="000B4E2C">
              <w:rPr>
                <w:sz w:val="22"/>
              </w:rPr>
              <w:t xml:space="preserve"> </w:t>
            </w:r>
          </w:p>
        </w:tc>
        <w:tc>
          <w:tcPr>
            <w:tcW w:w="0" w:type="auto"/>
            <w:gridSpan w:val="2"/>
            <w:shd w:val="clear" w:color="auto" w:fill="auto"/>
            <w:noWrap/>
            <w:vAlign w:val="bottom"/>
            <w:hideMark/>
          </w:tcPr>
          <w:p w14:paraId="264D3A89" w14:textId="77777777" w:rsidR="002F0133" w:rsidRPr="000B4E2C" w:rsidRDefault="002F0133" w:rsidP="008A7464">
            <w:pPr>
              <w:rPr>
                <w:sz w:val="22"/>
                <w:lang w:eastAsia="en-GB"/>
              </w:rPr>
            </w:pPr>
            <w:r w:rsidRPr="000B4E2C">
              <w:rPr>
                <w:sz w:val="22"/>
              </w:rPr>
              <w:t>91.0%</w:t>
            </w:r>
          </w:p>
        </w:tc>
        <w:tc>
          <w:tcPr>
            <w:tcW w:w="0" w:type="auto"/>
            <w:shd w:val="clear" w:color="auto" w:fill="auto"/>
            <w:noWrap/>
            <w:vAlign w:val="bottom"/>
            <w:hideMark/>
          </w:tcPr>
          <w:p w14:paraId="7BCB64B2" w14:textId="6E5E6ECF" w:rsidR="002F0133" w:rsidRPr="000B4E2C" w:rsidRDefault="000B4E2C" w:rsidP="008A7464">
            <w:pPr>
              <w:rPr>
                <w:sz w:val="22"/>
                <w:lang w:eastAsia="en-GB"/>
              </w:rPr>
            </w:pPr>
            <w:r w:rsidRPr="000B4E2C">
              <w:rPr>
                <w:sz w:val="22"/>
              </w:rPr>
              <w:t xml:space="preserve"> </w:t>
            </w:r>
          </w:p>
        </w:tc>
      </w:tr>
      <w:tr w:rsidR="002F0133" w:rsidRPr="000B4E2C" w14:paraId="4455333D" w14:textId="77777777" w:rsidTr="000B4E2C">
        <w:trPr>
          <w:cantSplit/>
          <w:tblHeader/>
        </w:trPr>
        <w:tc>
          <w:tcPr>
            <w:tcW w:w="0" w:type="auto"/>
            <w:shd w:val="clear" w:color="auto" w:fill="auto"/>
            <w:noWrap/>
            <w:vAlign w:val="bottom"/>
            <w:hideMark/>
          </w:tcPr>
          <w:p w14:paraId="51942E31" w14:textId="6969F90E" w:rsidR="002F0133" w:rsidRPr="000B4E2C" w:rsidRDefault="002F0133" w:rsidP="008A7464">
            <w:pPr>
              <w:rPr>
                <w:sz w:val="22"/>
                <w:lang w:eastAsia="en-GB"/>
              </w:rPr>
            </w:pPr>
            <w:r w:rsidRPr="000B4E2C">
              <w:rPr>
                <w:sz w:val="22"/>
              </w:rPr>
              <w:t>Test 4 (NGAL urine</w:t>
            </w:r>
            <w:r w:rsidR="000B4E2C" w:rsidRPr="000B4E2C">
              <w:rPr>
                <w:color w:val="00B0F0"/>
                <w:sz w:val="22"/>
              </w:rPr>
              <w:t xml:space="preserve"> – </w:t>
            </w:r>
            <w:r w:rsidRPr="000B4E2C">
              <w:rPr>
                <w:sz w:val="22"/>
              </w:rPr>
              <w:t>ARCHITECT)</w:t>
            </w:r>
          </w:p>
        </w:tc>
        <w:tc>
          <w:tcPr>
            <w:tcW w:w="0" w:type="auto"/>
            <w:gridSpan w:val="2"/>
            <w:shd w:val="clear" w:color="auto" w:fill="auto"/>
            <w:noWrap/>
            <w:vAlign w:val="bottom"/>
            <w:hideMark/>
          </w:tcPr>
          <w:p w14:paraId="3CBCE52B" w14:textId="77777777" w:rsidR="002F0133" w:rsidRPr="000B4E2C" w:rsidRDefault="002F0133" w:rsidP="008A7464">
            <w:pPr>
              <w:rPr>
                <w:sz w:val="22"/>
                <w:lang w:eastAsia="en-GB"/>
              </w:rPr>
            </w:pPr>
            <w:r w:rsidRPr="000B4E2C">
              <w:rPr>
                <w:sz w:val="22"/>
              </w:rPr>
              <w:t>£23,093</w:t>
            </w:r>
          </w:p>
        </w:tc>
        <w:tc>
          <w:tcPr>
            <w:tcW w:w="0" w:type="auto"/>
            <w:shd w:val="clear" w:color="auto" w:fill="auto"/>
            <w:noWrap/>
            <w:vAlign w:val="bottom"/>
            <w:hideMark/>
          </w:tcPr>
          <w:p w14:paraId="35B07485" w14:textId="77777777" w:rsidR="002F0133" w:rsidRPr="000B4E2C" w:rsidRDefault="002F0133" w:rsidP="008A7464">
            <w:pPr>
              <w:rPr>
                <w:sz w:val="22"/>
                <w:lang w:eastAsia="en-GB"/>
              </w:rPr>
            </w:pPr>
            <w:r w:rsidRPr="000B4E2C">
              <w:rPr>
                <w:sz w:val="22"/>
              </w:rPr>
              <w:t>£80</w:t>
            </w:r>
          </w:p>
        </w:tc>
        <w:tc>
          <w:tcPr>
            <w:tcW w:w="0" w:type="auto"/>
            <w:shd w:val="clear" w:color="auto" w:fill="auto"/>
            <w:noWrap/>
            <w:vAlign w:val="bottom"/>
            <w:hideMark/>
          </w:tcPr>
          <w:p w14:paraId="4D72DA3F" w14:textId="77777777" w:rsidR="002F0133" w:rsidRPr="000B4E2C" w:rsidRDefault="002F0133" w:rsidP="008A7464">
            <w:pPr>
              <w:rPr>
                <w:sz w:val="22"/>
                <w:lang w:eastAsia="en-GB"/>
              </w:rPr>
            </w:pPr>
            <w:r w:rsidRPr="000B4E2C">
              <w:rPr>
                <w:sz w:val="22"/>
              </w:rPr>
              <w:t>6.07132</w:t>
            </w:r>
          </w:p>
        </w:tc>
        <w:tc>
          <w:tcPr>
            <w:tcW w:w="0" w:type="auto"/>
            <w:shd w:val="clear" w:color="auto" w:fill="auto"/>
            <w:noWrap/>
            <w:vAlign w:val="bottom"/>
            <w:hideMark/>
          </w:tcPr>
          <w:p w14:paraId="4A2B8B1D" w14:textId="77777777" w:rsidR="002F0133" w:rsidRPr="000B4E2C" w:rsidRDefault="002F0133" w:rsidP="008A7464">
            <w:pPr>
              <w:rPr>
                <w:sz w:val="22"/>
                <w:lang w:eastAsia="en-GB"/>
              </w:rPr>
            </w:pPr>
            <w:r w:rsidRPr="000B4E2C">
              <w:rPr>
                <w:sz w:val="22"/>
              </w:rPr>
              <w:t>0.00011</w:t>
            </w:r>
          </w:p>
        </w:tc>
        <w:tc>
          <w:tcPr>
            <w:tcW w:w="0" w:type="auto"/>
            <w:shd w:val="clear" w:color="auto" w:fill="auto"/>
            <w:noWrap/>
            <w:vAlign w:val="bottom"/>
            <w:hideMark/>
          </w:tcPr>
          <w:p w14:paraId="0384A46A" w14:textId="77777777" w:rsidR="002F0133" w:rsidRPr="000B4E2C" w:rsidRDefault="002F0133" w:rsidP="008A7464">
            <w:pPr>
              <w:rPr>
                <w:sz w:val="22"/>
                <w:lang w:eastAsia="en-GB"/>
              </w:rPr>
            </w:pPr>
            <w:r w:rsidRPr="000B4E2C">
              <w:rPr>
                <w:sz w:val="22"/>
              </w:rPr>
              <w:t>£713,879</w:t>
            </w:r>
          </w:p>
        </w:tc>
        <w:tc>
          <w:tcPr>
            <w:tcW w:w="0" w:type="auto"/>
            <w:shd w:val="clear" w:color="auto" w:fill="auto"/>
            <w:noWrap/>
            <w:vAlign w:val="bottom"/>
            <w:hideMark/>
          </w:tcPr>
          <w:p w14:paraId="12A437EC" w14:textId="77777777" w:rsidR="002F0133" w:rsidRPr="000B4E2C" w:rsidRDefault="002F0133" w:rsidP="008A7464">
            <w:pPr>
              <w:rPr>
                <w:sz w:val="22"/>
                <w:lang w:eastAsia="en-GB"/>
              </w:rPr>
            </w:pPr>
            <w:r w:rsidRPr="000B4E2C">
              <w:rPr>
                <w:sz w:val="22"/>
              </w:rPr>
              <w:t>£713,879</w:t>
            </w:r>
          </w:p>
        </w:tc>
        <w:tc>
          <w:tcPr>
            <w:tcW w:w="0" w:type="auto"/>
            <w:gridSpan w:val="2"/>
            <w:shd w:val="clear" w:color="auto" w:fill="auto"/>
            <w:noWrap/>
            <w:vAlign w:val="bottom"/>
            <w:hideMark/>
          </w:tcPr>
          <w:p w14:paraId="4102222A" w14:textId="77777777" w:rsidR="002F0133" w:rsidRPr="000B4E2C" w:rsidRDefault="002F0133" w:rsidP="008A7464">
            <w:pPr>
              <w:rPr>
                <w:sz w:val="22"/>
                <w:lang w:eastAsia="en-GB"/>
              </w:rPr>
            </w:pPr>
            <w:r w:rsidRPr="000B4E2C">
              <w:rPr>
                <w:sz w:val="22"/>
              </w:rPr>
              <w:t>6.5%</w:t>
            </w:r>
          </w:p>
        </w:tc>
        <w:tc>
          <w:tcPr>
            <w:tcW w:w="0" w:type="auto"/>
            <w:shd w:val="clear" w:color="auto" w:fill="auto"/>
            <w:noWrap/>
            <w:vAlign w:val="bottom"/>
            <w:hideMark/>
          </w:tcPr>
          <w:p w14:paraId="09E57F66" w14:textId="77777777" w:rsidR="002F0133" w:rsidRPr="000B4E2C" w:rsidRDefault="002F0133" w:rsidP="008A7464">
            <w:pPr>
              <w:rPr>
                <w:sz w:val="22"/>
                <w:lang w:eastAsia="en-GB"/>
              </w:rPr>
            </w:pPr>
            <w:r w:rsidRPr="000B4E2C">
              <w:rPr>
                <w:sz w:val="22"/>
              </w:rPr>
              <w:t>8.8%</w:t>
            </w:r>
          </w:p>
        </w:tc>
      </w:tr>
      <w:tr w:rsidR="002F0133" w:rsidRPr="000B4E2C" w14:paraId="01B56F9F" w14:textId="77777777" w:rsidTr="000B4E2C">
        <w:trPr>
          <w:cantSplit/>
          <w:tblHeader/>
        </w:trPr>
        <w:tc>
          <w:tcPr>
            <w:tcW w:w="0" w:type="auto"/>
            <w:shd w:val="clear" w:color="auto" w:fill="auto"/>
            <w:noWrap/>
            <w:vAlign w:val="bottom"/>
            <w:hideMark/>
          </w:tcPr>
          <w:p w14:paraId="139B7412" w14:textId="72C9DBC8" w:rsidR="002F0133" w:rsidRPr="000B4E2C" w:rsidRDefault="002F0133" w:rsidP="008A7464">
            <w:pPr>
              <w:rPr>
                <w:sz w:val="22"/>
                <w:lang w:eastAsia="en-GB"/>
              </w:rPr>
            </w:pPr>
            <w:r w:rsidRPr="000B4E2C">
              <w:rPr>
                <w:sz w:val="22"/>
              </w:rPr>
              <w:t>Test 3 (NGAL urine</w:t>
            </w:r>
            <w:r w:rsidR="000B4E2C" w:rsidRPr="000B4E2C">
              <w:rPr>
                <w:color w:val="00B0F0"/>
                <w:sz w:val="22"/>
              </w:rPr>
              <w:t xml:space="preserve"> – </w:t>
            </w:r>
            <w:r w:rsidR="009D7F5A" w:rsidRPr="000B4E2C">
              <w:rPr>
                <w:sz w:val="22"/>
              </w:rPr>
              <w:t>BioPorto</w:t>
            </w:r>
            <w:r w:rsidRPr="000B4E2C">
              <w:rPr>
                <w:sz w:val="22"/>
              </w:rPr>
              <w:t>)</w:t>
            </w:r>
          </w:p>
        </w:tc>
        <w:tc>
          <w:tcPr>
            <w:tcW w:w="0" w:type="auto"/>
            <w:gridSpan w:val="2"/>
            <w:shd w:val="clear" w:color="auto" w:fill="auto"/>
            <w:noWrap/>
            <w:vAlign w:val="bottom"/>
            <w:hideMark/>
          </w:tcPr>
          <w:p w14:paraId="4DC07FE6" w14:textId="77777777" w:rsidR="002F0133" w:rsidRPr="000B4E2C" w:rsidRDefault="002F0133" w:rsidP="008A7464">
            <w:pPr>
              <w:rPr>
                <w:sz w:val="22"/>
                <w:lang w:eastAsia="en-GB"/>
              </w:rPr>
            </w:pPr>
            <w:r w:rsidRPr="000B4E2C">
              <w:rPr>
                <w:sz w:val="22"/>
              </w:rPr>
              <w:t>£23,114</w:t>
            </w:r>
          </w:p>
        </w:tc>
        <w:tc>
          <w:tcPr>
            <w:tcW w:w="0" w:type="auto"/>
            <w:shd w:val="clear" w:color="auto" w:fill="auto"/>
            <w:noWrap/>
            <w:vAlign w:val="bottom"/>
            <w:hideMark/>
          </w:tcPr>
          <w:p w14:paraId="6CF77E95" w14:textId="77777777" w:rsidR="002F0133" w:rsidRPr="000B4E2C" w:rsidRDefault="002F0133" w:rsidP="008A7464">
            <w:pPr>
              <w:rPr>
                <w:sz w:val="22"/>
                <w:lang w:eastAsia="en-GB"/>
              </w:rPr>
            </w:pPr>
            <w:r w:rsidRPr="000B4E2C">
              <w:rPr>
                <w:sz w:val="22"/>
              </w:rPr>
              <w:t>£21</w:t>
            </w:r>
          </w:p>
        </w:tc>
        <w:tc>
          <w:tcPr>
            <w:tcW w:w="0" w:type="auto"/>
            <w:shd w:val="clear" w:color="auto" w:fill="auto"/>
            <w:noWrap/>
            <w:vAlign w:val="bottom"/>
            <w:hideMark/>
          </w:tcPr>
          <w:p w14:paraId="6DC006C6" w14:textId="77777777" w:rsidR="002F0133" w:rsidRPr="000B4E2C" w:rsidRDefault="002F0133" w:rsidP="008A7464">
            <w:pPr>
              <w:rPr>
                <w:sz w:val="22"/>
                <w:lang w:eastAsia="en-GB"/>
              </w:rPr>
            </w:pPr>
            <w:r w:rsidRPr="000B4E2C">
              <w:rPr>
                <w:sz w:val="22"/>
              </w:rPr>
              <w:t>6.07134</w:t>
            </w:r>
          </w:p>
        </w:tc>
        <w:tc>
          <w:tcPr>
            <w:tcW w:w="0" w:type="auto"/>
            <w:shd w:val="clear" w:color="auto" w:fill="auto"/>
            <w:noWrap/>
            <w:vAlign w:val="bottom"/>
            <w:hideMark/>
          </w:tcPr>
          <w:p w14:paraId="7AD0C274" w14:textId="77777777" w:rsidR="002F0133" w:rsidRPr="000B4E2C" w:rsidRDefault="002F0133" w:rsidP="008A7464">
            <w:pPr>
              <w:rPr>
                <w:sz w:val="22"/>
                <w:lang w:eastAsia="en-GB"/>
              </w:rPr>
            </w:pPr>
            <w:r w:rsidRPr="000B4E2C">
              <w:rPr>
                <w:sz w:val="22"/>
              </w:rPr>
              <w:t>0.00001</w:t>
            </w:r>
          </w:p>
        </w:tc>
        <w:tc>
          <w:tcPr>
            <w:tcW w:w="0" w:type="auto"/>
            <w:shd w:val="clear" w:color="auto" w:fill="auto"/>
            <w:noWrap/>
            <w:vAlign w:val="bottom"/>
            <w:hideMark/>
          </w:tcPr>
          <w:p w14:paraId="35C0C4F7" w14:textId="77777777" w:rsidR="002F0133" w:rsidRPr="000B4E2C" w:rsidRDefault="002F0133" w:rsidP="008A7464">
            <w:pPr>
              <w:rPr>
                <w:sz w:val="22"/>
                <w:lang w:eastAsia="en-GB"/>
              </w:rPr>
            </w:pPr>
            <w:r w:rsidRPr="000B4E2C">
              <w:rPr>
                <w:sz w:val="22"/>
              </w:rPr>
              <w:t>£1,477,906</w:t>
            </w:r>
          </w:p>
        </w:tc>
        <w:tc>
          <w:tcPr>
            <w:tcW w:w="0" w:type="auto"/>
            <w:shd w:val="clear" w:color="auto" w:fill="auto"/>
            <w:noWrap/>
            <w:vAlign w:val="bottom"/>
            <w:hideMark/>
          </w:tcPr>
          <w:p w14:paraId="3F511611" w14:textId="77777777" w:rsidR="002F0133" w:rsidRPr="000B4E2C" w:rsidRDefault="002F0133" w:rsidP="008A7464">
            <w:pPr>
              <w:rPr>
                <w:sz w:val="22"/>
                <w:lang w:eastAsia="en-GB"/>
              </w:rPr>
            </w:pPr>
            <w:r w:rsidRPr="000B4E2C">
              <w:rPr>
                <w:sz w:val="22"/>
              </w:rPr>
              <w:t>£801,274</w:t>
            </w:r>
          </w:p>
        </w:tc>
        <w:tc>
          <w:tcPr>
            <w:tcW w:w="0" w:type="auto"/>
            <w:gridSpan w:val="2"/>
            <w:shd w:val="clear" w:color="auto" w:fill="auto"/>
            <w:noWrap/>
            <w:vAlign w:val="bottom"/>
            <w:hideMark/>
          </w:tcPr>
          <w:p w14:paraId="24C857F4" w14:textId="77777777" w:rsidR="002F0133" w:rsidRPr="000B4E2C" w:rsidRDefault="002F0133" w:rsidP="008A7464">
            <w:pPr>
              <w:rPr>
                <w:sz w:val="22"/>
                <w:lang w:eastAsia="en-GB"/>
              </w:rPr>
            </w:pPr>
            <w:r w:rsidRPr="000B4E2C">
              <w:rPr>
                <w:sz w:val="22"/>
              </w:rPr>
              <w:t>2.5%</w:t>
            </w:r>
          </w:p>
        </w:tc>
        <w:tc>
          <w:tcPr>
            <w:tcW w:w="0" w:type="auto"/>
            <w:shd w:val="clear" w:color="auto" w:fill="auto"/>
            <w:noWrap/>
            <w:vAlign w:val="bottom"/>
            <w:hideMark/>
          </w:tcPr>
          <w:p w14:paraId="34E2F3F3" w14:textId="77777777" w:rsidR="002F0133" w:rsidRPr="000B4E2C" w:rsidRDefault="002F0133" w:rsidP="008A7464">
            <w:pPr>
              <w:rPr>
                <w:sz w:val="22"/>
                <w:lang w:eastAsia="en-GB"/>
              </w:rPr>
            </w:pPr>
            <w:r w:rsidRPr="000B4E2C">
              <w:rPr>
                <w:sz w:val="22"/>
              </w:rPr>
              <w:t>7.0%</w:t>
            </w:r>
          </w:p>
        </w:tc>
      </w:tr>
    </w:tbl>
    <w:p w14:paraId="24906990" w14:textId="3BDA6902" w:rsidR="000B4E2C" w:rsidRPr="000B4E2C" w:rsidRDefault="002F0133" w:rsidP="008A7464">
      <w:pPr>
        <w:rPr>
          <w:lang w:eastAsia="en-GB"/>
        </w:rPr>
      </w:pPr>
      <w:r w:rsidRPr="000B4E2C">
        <w:rPr>
          <w:iCs/>
          <w:vertAlign w:val="superscript"/>
          <w:lang w:eastAsia="en-GB"/>
        </w:rPr>
        <w:t>A</w:t>
      </w:r>
      <w:r w:rsidRPr="000B4E2C">
        <w:rPr>
          <w:iCs/>
          <w:lang w:eastAsia="en-GB"/>
        </w:rPr>
        <w:t xml:space="preserve"> Probability of indifference </w:t>
      </w:r>
      <w:r w:rsidR="000B4E2C" w:rsidRPr="000B4E2C">
        <w:rPr>
          <w:iCs/>
          <w:color w:val="00B0F0"/>
          <w:lang w:eastAsia="en-GB"/>
        </w:rPr>
        <w:t>&lt;</w:t>
      </w:r>
      <w:r w:rsidR="000B4E2C" w:rsidRPr="000B4E2C">
        <w:rPr>
          <w:iCs/>
          <w:color w:val="00B0F0"/>
          <w:lang w:eastAsia="en-GB"/>
        </w:rPr>
        <w:t> </w:t>
      </w:r>
      <w:r w:rsidRPr="000B4E2C">
        <w:rPr>
          <w:iCs/>
          <w:lang w:eastAsia="en-GB"/>
        </w:rPr>
        <w:t xml:space="preserve">0.002 at a threshold of cost indifference </w:t>
      </w:r>
      <w:r w:rsidR="000B4E2C" w:rsidRPr="000B4E2C">
        <w:rPr>
          <w:iCs/>
          <w:color w:val="00B0F0"/>
          <w:lang w:eastAsia="en-GB"/>
        </w:rPr>
        <w:t>&lt;</w:t>
      </w:r>
      <w:r w:rsidR="000B4E2C" w:rsidRPr="000B4E2C">
        <w:rPr>
          <w:iCs/>
          <w:color w:val="00B0F0"/>
          <w:lang w:eastAsia="en-GB"/>
        </w:rPr>
        <w:t> </w:t>
      </w:r>
      <w:r w:rsidRPr="000B4E2C">
        <w:rPr>
          <w:iCs/>
          <w:lang w:eastAsia="en-GB"/>
        </w:rPr>
        <w:t>£0.01</w:t>
      </w:r>
    </w:p>
    <w:p w14:paraId="2EE8EE5C" w14:textId="2988503C" w:rsidR="000B4E2C" w:rsidRPr="000B4E2C" w:rsidRDefault="002F0133" w:rsidP="008A7464">
      <w:r w:rsidRPr="000B4E2C">
        <w:t xml:space="preserve">Scenarios </w:t>
      </w:r>
      <w:r w:rsidR="000B4E2C" w:rsidRPr="000B4E2C">
        <w:rPr>
          <w:color w:val="00B0F0"/>
        </w:rPr>
        <w:t>1</w:t>
      </w:r>
      <w:r w:rsidR="000B4E2C" w:rsidRPr="000B4E2C">
        <w:rPr>
          <w:color w:val="00B0F0"/>
        </w:rPr>
        <w:t> </w:t>
      </w:r>
      <w:r w:rsidR="000B4E2C" w:rsidRPr="000B4E2C">
        <w:rPr>
          <w:color w:val="00B0F0"/>
        </w:rPr>
        <w:t xml:space="preserve">A </w:t>
      </w:r>
      <w:r w:rsidRPr="000B4E2C">
        <w:t xml:space="preserve">and </w:t>
      </w:r>
      <w:r w:rsidR="000B4E2C" w:rsidRPr="000B4E2C">
        <w:rPr>
          <w:color w:val="00B0F0"/>
        </w:rPr>
        <w:t>2</w:t>
      </w:r>
      <w:r w:rsidR="000B4E2C" w:rsidRPr="000B4E2C">
        <w:rPr>
          <w:color w:val="00B0F0"/>
        </w:rPr>
        <w:t> </w:t>
      </w:r>
      <w:r w:rsidR="000B4E2C" w:rsidRPr="000B4E2C">
        <w:rPr>
          <w:color w:val="00B0F0"/>
        </w:rPr>
        <w:t xml:space="preserve">A </w:t>
      </w:r>
      <w:r w:rsidRPr="000B4E2C">
        <w:t>describe two potential base-case analyses on which all the sensitivity analyses are conducted. These scenarios assume that there is a potential benefit of averting or having less severe AKI, in terms of improved outcomes (need for ICU care, risk of CKD and length of stay), but the magnitude of that benefit may be less than that o</w:t>
      </w:r>
      <w:r w:rsidR="004A38D7" w:rsidRPr="000B4E2C">
        <w:t xml:space="preserve">bserved in observational </w:t>
      </w:r>
      <w:r w:rsidR="004A38D7" w:rsidRPr="000B4E2C">
        <w:rPr>
          <w:highlight w:val="magenta"/>
        </w:rPr>
        <w:t>data</w:t>
      </w:r>
      <w:r w:rsidR="004A38D7" w:rsidRPr="000B4E2C">
        <w:t xml:space="preserve">. </w:t>
      </w:r>
      <w:r w:rsidRPr="000B4E2C">
        <w:t>Given the lack of direct evidence demonstrating the impact of biomarker tests on mortality, the base case assumes there is no impact of averting AKI on 90-day mortality.</w:t>
      </w:r>
    </w:p>
    <w:p w14:paraId="44CE8530" w14:textId="77777777" w:rsidR="000B4E2C" w:rsidRPr="000B4E2C" w:rsidRDefault="002F0133" w:rsidP="008A7464">
      <w:r w:rsidRPr="000B4E2C">
        <w:t xml:space="preserve">Scenarios B to E illustrate the impact of assumptions around the magnitude of the associative benefits of averting/having less severe AKI on health outcomes. Scenarios F to P explore the impact of applying alternative follow-up costs and mortality, CKD projection, discount rate, alternative source </w:t>
      </w:r>
      <w:r w:rsidRPr="000B4E2C">
        <w:rPr>
          <w:highlight w:val="magenta"/>
        </w:rPr>
        <w:t>data</w:t>
      </w:r>
      <w:r w:rsidRPr="000B4E2C">
        <w:t xml:space="preserve"> for AKI prevalence, test costs, excess mortality risk </w:t>
      </w:r>
      <w:r w:rsidRPr="000B4E2C">
        <w:rPr>
          <w:highlight w:val="magenta"/>
        </w:rPr>
        <w:t>due to</w:t>
      </w:r>
      <w:r w:rsidRPr="000B4E2C">
        <w:t xml:space="preserve"> a false positive result, and alternative utility sources.</w:t>
      </w:r>
    </w:p>
    <w:p w14:paraId="22E33247" w14:textId="77777777" w:rsidR="000B4E2C" w:rsidRPr="000B4E2C" w:rsidRDefault="002F0133" w:rsidP="008A7464">
      <w:r w:rsidRPr="000B4E2C">
        <w:t>The results are highly uncertain, with no cle</w:t>
      </w:r>
      <w:r w:rsidR="004A38D7" w:rsidRPr="000B4E2C">
        <w:t xml:space="preserve">ar optimal biomarker strategy. </w:t>
      </w:r>
      <w:r w:rsidRPr="000B4E2C">
        <w:t>The findings are highly sensitive to each of the associative links applied between AKI and health outcomes; i.e.</w:t>
      </w:r>
      <w:r w:rsidR="00881500" w:rsidRPr="000B4E2C">
        <w:t>,</w:t>
      </w:r>
      <w:r w:rsidRPr="000B4E2C">
        <w:t xml:space="preserve"> probability of ICU admission, LOS in hospital, probability of dying at 90 days, and the risk of developing CKD.</w:t>
      </w:r>
    </w:p>
    <w:p w14:paraId="5D42C6A0" w14:textId="77777777" w:rsidR="000B4E2C" w:rsidRPr="000B4E2C" w:rsidRDefault="002F0133" w:rsidP="008A7464">
      <w:r w:rsidRPr="000B4E2C">
        <w:t xml:space="preserve">In scenarios where NGAL tests are assumed to be equally effective as NephroCheck at averting AKI, the </w:t>
      </w:r>
      <w:r w:rsidR="009D7F5A" w:rsidRPr="000B4E2C">
        <w:t>BioPorto</w:t>
      </w:r>
      <w:r w:rsidRPr="000B4E2C">
        <w:t xml:space="preserve"> urine test generally has the greatest prob</w:t>
      </w:r>
      <w:r w:rsidR="004A38D7" w:rsidRPr="000B4E2C">
        <w:t xml:space="preserve">ability of cost-effectiveness. </w:t>
      </w:r>
      <w:r w:rsidRPr="000B4E2C">
        <w:t>That is because the main drivers of the relative cost-effectiveness of each of the biomarker tests against each other are the cost of the te</w:t>
      </w:r>
      <w:r w:rsidR="004A38D7" w:rsidRPr="000B4E2C">
        <w:t>st and the diagnostic accuracy.</w:t>
      </w:r>
      <w:r w:rsidRPr="000B4E2C">
        <w:t xml:space="preserve"> The </w:t>
      </w:r>
      <w:r w:rsidR="009D7F5A" w:rsidRPr="000B4E2C">
        <w:t>BioPorto</w:t>
      </w:r>
      <w:r w:rsidRPr="000B4E2C">
        <w:t xml:space="preserve"> urine NGAL test is slightly cheaper and comes out of the meta-analysis as having slightly better diagnostic acc</w:t>
      </w:r>
      <w:r w:rsidR="004A38D7" w:rsidRPr="000B4E2C">
        <w:t>uracy in the all-comers cohort.</w:t>
      </w:r>
      <w:r w:rsidRPr="000B4E2C">
        <w:t xml:space="preserve"> However, these findings should be interpreted cautiously </w:t>
      </w:r>
      <w:r w:rsidRPr="000B4E2C">
        <w:rPr>
          <w:highlight w:val="magenta"/>
        </w:rPr>
        <w:t>due to</w:t>
      </w:r>
      <w:r w:rsidRPr="000B4E2C">
        <w:t xml:space="preserve"> the heterogeneity in the diagnostic test accuracy studies, which </w:t>
      </w:r>
      <w:r w:rsidRPr="000B4E2C">
        <w:rPr>
          <w:highlight w:val="magenta"/>
        </w:rPr>
        <w:t>lead</w:t>
      </w:r>
      <w:r w:rsidRPr="000B4E2C">
        <w:t xml:space="preserve"> to further uncertainty in the cost-effectiveness results.</w:t>
      </w:r>
    </w:p>
    <w:p w14:paraId="31C1985D" w14:textId="77777777" w:rsidR="000B4E2C" w:rsidRPr="000B4E2C" w:rsidRDefault="002F0133" w:rsidP="008A7464">
      <w:r w:rsidRPr="000B4E2C">
        <w:t>Conversely, NephroCheck and Abbott ARCHITECT NGAL urine are never the most cost-effective strategy when assuming all tests are equally efficacious in averting AKI, because they are more costly tests, with comparative</w:t>
      </w:r>
      <w:r w:rsidR="004A38D7" w:rsidRPr="000B4E2C">
        <w:t xml:space="preserve">ly poorer diagnostic accuracy. </w:t>
      </w:r>
      <w:r w:rsidRPr="000B4E2C">
        <w:t xml:space="preserve">NephroCheck is estimated to have poorer specificity </w:t>
      </w:r>
      <w:r w:rsidRPr="000B4E2C">
        <w:rPr>
          <w:highlight w:val="magenta"/>
        </w:rPr>
        <w:t>compared to</w:t>
      </w:r>
      <w:r w:rsidRPr="000B4E2C">
        <w:t xml:space="preserve"> the NGAL urine tests, thereby generating additional costs of treating false positive test cases unnecessa</w:t>
      </w:r>
      <w:r w:rsidR="004A38D7" w:rsidRPr="000B4E2C">
        <w:t xml:space="preserve">rily with a KDIGO care bundle. </w:t>
      </w:r>
      <w:r w:rsidRPr="000B4E2C">
        <w:t>However, under the alternative base case assumptions, where the NGAL tests are assumed to have no effect on averting AKI, the probability of NephroCheck being the most cost-effective test rises considerably. In the most optimistic scenario, NephroCheck is 100% cost-effective. In the most pessimistic scenario, standard care is the most cost-effective strategy.</w:t>
      </w:r>
    </w:p>
    <w:p w14:paraId="51C9217F" w14:textId="2CBD3684" w:rsidR="000B4E2C" w:rsidRPr="000B4E2C" w:rsidRDefault="002F0133" w:rsidP="008A7464">
      <w:r w:rsidRPr="000B4E2C">
        <w:t>Applying a daily excess cost of AKI in hospital or ICU, i.e.</w:t>
      </w:r>
      <w:r w:rsidR="00881500" w:rsidRPr="000B4E2C">
        <w:t>,</w:t>
      </w:r>
      <w:r w:rsidRPr="000B4E2C">
        <w:t xml:space="preserve"> if the cost incurred by patients with AKI is not fully captured in the hospital/ICU daily cost, results in the tests being even more </w:t>
      </w:r>
      <w:r w:rsidR="000B4E2C" w:rsidRPr="000B4E2C">
        <w:rPr>
          <w:color w:val="00B0F0"/>
        </w:rPr>
        <w:t>favourable</w:t>
      </w:r>
      <w:r w:rsidRPr="000B4E2C">
        <w:t xml:space="preserve"> </w:t>
      </w:r>
      <w:r w:rsidRPr="000B4E2C">
        <w:rPr>
          <w:highlight w:val="magenta"/>
        </w:rPr>
        <w:t>compared to</w:t>
      </w:r>
      <w:r w:rsidRPr="000B4E2C">
        <w:t xml:space="preserve"> base case because more costs are offset by averting AKI or having less severe AKI in the test arms. This results in the NGAL tests being dominant and NephroCheck cost-effective (ICER &lt;£20,000) </w:t>
      </w:r>
      <w:r w:rsidRPr="000B4E2C">
        <w:rPr>
          <w:highlight w:val="magenta"/>
        </w:rPr>
        <w:t>compared to</w:t>
      </w:r>
      <w:r w:rsidRPr="000B4E2C">
        <w:t xml:space="preserve"> standard care.</w:t>
      </w:r>
    </w:p>
    <w:p w14:paraId="07604CDF" w14:textId="77777777" w:rsidR="000B4E2C" w:rsidRPr="000B4E2C" w:rsidRDefault="002F0133" w:rsidP="008A7464">
      <w:r w:rsidRPr="000B4E2C">
        <w:t xml:space="preserve">ARCHITECT is generally less likely to be cost-effective in all scenarios because of the test accuracy and test cost. ARCHITECT is estimated to have lower sensitivity and specificity </w:t>
      </w:r>
      <w:r w:rsidRPr="000B4E2C">
        <w:rPr>
          <w:highlight w:val="magenta"/>
        </w:rPr>
        <w:t>compared to</w:t>
      </w:r>
      <w:r w:rsidRPr="000B4E2C">
        <w:t xml:space="preserve"> the other tests, and costs more than the other NGAL tests.</w:t>
      </w:r>
    </w:p>
    <w:p w14:paraId="6A625B33" w14:textId="75A90133" w:rsidR="000B4E2C" w:rsidRPr="000B4E2C" w:rsidRDefault="004A38D7" w:rsidP="008A7464">
      <w:r w:rsidRPr="000B4E2C">
        <w:lastRenderedPageBreak/>
        <w:t xml:space="preserve">In general, </w:t>
      </w:r>
      <w:r w:rsidR="002F0133" w:rsidRPr="000B4E2C">
        <w:t xml:space="preserve">the results are also sensitive to the assumption on having hospital/ICU specific follow-up costs and mortality (instead of an average of the two), increased long term cost of AKI, including the linked effect between AKI and probability of CKD for the whole duration of the model (instead of for one cycle as in the base-case) and using an alternative source of AKI prevalence </w:t>
      </w:r>
      <w:r w:rsidR="002F0133" w:rsidRPr="000B4E2C">
        <w:rPr>
          <w:highlight w:val="magenta"/>
        </w:rPr>
        <w:t>data</w:t>
      </w:r>
      <w:r w:rsidR="002F0133" w:rsidRPr="000B4E2C">
        <w:t xml:space="preserve"> (with higher prevalence), with all scenarios favouring the test strategies, making them increasingly</w:t>
      </w:r>
      <w:r w:rsidRPr="000B4E2C">
        <w:t xml:space="preserve"> more cost-effective compared with</w:t>
      </w:r>
      <w:r w:rsidR="002F0133" w:rsidRPr="000B4E2C">
        <w:t xml:space="preserve"> standard care. In most of these cases, NGAL urine (</w:t>
      </w:r>
      <w:r w:rsidR="009D7F5A" w:rsidRPr="000B4E2C">
        <w:t>BioPorto</w:t>
      </w:r>
      <w:r w:rsidR="002F0133" w:rsidRPr="000B4E2C">
        <w:t xml:space="preserve">) is the most cost-effective test strategy, however, in the most optimistic scenario, NGAL plasma is the most cost-effective choice of test. On the other hand, assuming that a false positive test result </w:t>
      </w:r>
      <w:r w:rsidR="005A224F" w:rsidRPr="000B4E2C">
        <w:t xml:space="preserve">can </w:t>
      </w:r>
      <w:r w:rsidR="005A224F" w:rsidRPr="000B4E2C">
        <w:rPr>
          <w:highlight w:val="magenta"/>
        </w:rPr>
        <w:t>lead</w:t>
      </w:r>
      <w:r w:rsidR="005A224F" w:rsidRPr="000B4E2C">
        <w:t xml:space="preserve"> to an increased risk of mortality at </w:t>
      </w:r>
      <w:r w:rsidR="002F0133" w:rsidRPr="000B4E2C">
        <w:t>90 days</w:t>
      </w:r>
      <w:r w:rsidR="005A224F" w:rsidRPr="000B4E2C">
        <w:t xml:space="preserve"> (i.e.</w:t>
      </w:r>
      <w:r w:rsidR="00881500" w:rsidRPr="000B4E2C">
        <w:t>,</w:t>
      </w:r>
      <w:r w:rsidR="005A224F" w:rsidRPr="000B4E2C">
        <w:t xml:space="preserve"> RR</w:t>
      </w:r>
      <w:r w:rsidR="000B4E2C" w:rsidRPr="000B4E2C">
        <w:rPr>
          <w:color w:val="00B0F0"/>
        </w:rPr>
        <w:t> = </w:t>
      </w:r>
      <w:r w:rsidR="005A224F" w:rsidRPr="000B4E2C">
        <w:t>1.5)</w:t>
      </w:r>
      <w:r w:rsidR="002F0133" w:rsidRPr="000B4E2C">
        <w:t xml:space="preserve">, favours standard care, which becomes the </w:t>
      </w:r>
      <w:r w:rsidR="00437EBF" w:rsidRPr="000B4E2C">
        <w:t>strategy with the highest probability of cost-effectiveness.</w:t>
      </w:r>
    </w:p>
    <w:p w14:paraId="0A0FEE21" w14:textId="77777777" w:rsidR="000B4E2C" w:rsidRPr="000B4E2C" w:rsidRDefault="002F0133" w:rsidP="008A7464">
      <w:r w:rsidRPr="000B4E2C">
        <w:t xml:space="preserve">We have included an exploratory analysis where the limited available diagnostic accuracy </w:t>
      </w:r>
      <w:r w:rsidRPr="000B4E2C">
        <w:rPr>
          <w:highlight w:val="magenta"/>
        </w:rPr>
        <w:t>data</w:t>
      </w:r>
      <w:r w:rsidRPr="000B4E2C">
        <w:t xml:space="preserve"> for children a</w:t>
      </w:r>
      <w:r w:rsidR="004A38D7" w:rsidRPr="000B4E2C">
        <w:t xml:space="preserve">re applied in the adult model. </w:t>
      </w:r>
      <w:r w:rsidRPr="000B4E2C">
        <w:t xml:space="preserve">Diagnostic accuracy </w:t>
      </w:r>
      <w:r w:rsidRPr="000B4E2C">
        <w:rPr>
          <w:highlight w:val="magenta"/>
        </w:rPr>
        <w:t>data</w:t>
      </w:r>
      <w:r w:rsidRPr="000B4E2C">
        <w:t xml:space="preserve"> were only available for two biomarkers (NGAL urine ARCHITECT and NGAL urine </w:t>
      </w:r>
      <w:r w:rsidR="009D7F5A" w:rsidRPr="000B4E2C">
        <w:t>BioPorto</w:t>
      </w:r>
      <w:r w:rsidRPr="000B4E2C">
        <w:t>).</w:t>
      </w:r>
      <w:r w:rsidR="000B4E2C" w:rsidRPr="000B4E2C">
        <w:t xml:space="preserve"> </w:t>
      </w:r>
      <w:r w:rsidRPr="000B4E2C">
        <w:t>The following diagnostic accuracy estimates were included in this run of the model:</w:t>
      </w:r>
      <w:r w:rsidR="000B4E2C" w:rsidRPr="000B4E2C">
        <w:t xml:space="preserve"> </w:t>
      </w:r>
      <w:r w:rsidRPr="000B4E2C">
        <w:t xml:space="preserve">NGAL urine </w:t>
      </w:r>
      <w:r w:rsidR="009D7F5A" w:rsidRPr="000B4E2C">
        <w:t>BioPorto</w:t>
      </w:r>
      <w:r w:rsidRPr="000B4E2C">
        <w:t>: Sensitivity 0.77 (0.70 to 0.84); Specificity: 0.47 (0.40 to 0.54) and for the NGAL urine ARCHITECT test: Sensitivity 0.68 (0.53 to 0.80) and Specificity: 0.79 (0.63 to 0.89)</w:t>
      </w:r>
    </w:p>
    <w:p w14:paraId="498B3DEC" w14:textId="0157E40B" w:rsidR="000B4E2C" w:rsidRPr="000B4E2C" w:rsidRDefault="002F0133" w:rsidP="008A7464">
      <w:r w:rsidRPr="000B4E2C">
        <w:t xml:space="preserve">This analysis should be considered as speculative only as to ensure a robust assessment of cost-effectiveness in children would require the reconfiguration of the model for a </w:t>
      </w:r>
      <w:r w:rsidR="000B4E2C" w:rsidRPr="000B4E2C">
        <w:rPr>
          <w:color w:val="00B0F0"/>
        </w:rPr>
        <w:t>paediatric</w:t>
      </w:r>
      <w:r w:rsidRPr="000B4E2C">
        <w:t xml:space="preserve"> cohort, with appropriate care pathways and age specific risks of transition between health states.</w:t>
      </w:r>
    </w:p>
    <w:p w14:paraId="2F27505B" w14:textId="6D0981B5" w:rsidR="000B4E2C" w:rsidRPr="000B4E2C" w:rsidRDefault="002F0133" w:rsidP="008A7464">
      <w:pPr>
        <w:rPr>
          <w:color w:val="000000" w:themeColor="text1"/>
          <w:lang w:eastAsia="en-GB"/>
        </w:rPr>
      </w:pPr>
      <w:r w:rsidRPr="000B4E2C">
        <w:rPr>
          <w:lang w:eastAsia="en-GB"/>
        </w:rPr>
        <w:t>In summary, the results are highly uncertain, and it is impossible to ascertain the most likely ICER</w:t>
      </w:r>
      <w:r w:rsidR="004A38D7" w:rsidRPr="000B4E2C">
        <w:rPr>
          <w:lang w:eastAsia="en-GB"/>
        </w:rPr>
        <w:t xml:space="preserve"> given the available evidence. </w:t>
      </w:r>
      <w:r w:rsidRPr="000B4E2C">
        <w:rPr>
          <w:lang w:eastAsia="en-GB"/>
        </w:rPr>
        <w:t>The range of ICERs across different plausible sets of assumptions is substantial and the probabilistic analyses indicate substantial uncertainties regard</w:t>
      </w:r>
      <w:r w:rsidR="004A38D7" w:rsidRPr="000B4E2C">
        <w:rPr>
          <w:lang w:eastAsia="en-GB"/>
        </w:rPr>
        <w:t xml:space="preserve">ing the optimal test strategy. </w:t>
      </w:r>
      <w:r w:rsidRPr="000B4E2C">
        <w:rPr>
          <w:lang w:eastAsia="en-GB"/>
        </w:rPr>
        <w:t>A</w:t>
      </w:r>
      <w:r w:rsidRPr="000B4E2C">
        <w:rPr>
          <w:color w:val="000000" w:themeColor="text1"/>
          <w:lang w:eastAsia="en-GB"/>
        </w:rPr>
        <w:t xml:space="preserve">ny of the scenarios explored might be feasible and so it is important to consider these findings </w:t>
      </w:r>
      <w:r w:rsidR="000B4E2C" w:rsidRPr="000B4E2C">
        <w:rPr>
          <w:color w:val="00B0F0"/>
          <w:lang w:eastAsia="en-GB"/>
        </w:rPr>
        <w:t>in the light of</w:t>
      </w:r>
      <w:r w:rsidRPr="000B4E2C">
        <w:rPr>
          <w:color w:val="000000" w:themeColor="text1"/>
          <w:lang w:eastAsia="en-GB"/>
        </w:rPr>
        <w:t xml:space="preserve"> the substantial uncertainty underlying the impact of the tests on AKI and the causative links between AKI a</w:t>
      </w:r>
      <w:r w:rsidR="004A38D7" w:rsidRPr="000B4E2C">
        <w:rPr>
          <w:color w:val="000000" w:themeColor="text1"/>
          <w:lang w:eastAsia="en-GB"/>
        </w:rPr>
        <w:t xml:space="preserve">nd changes in health outcomes. </w:t>
      </w:r>
      <w:r w:rsidRPr="000B4E2C">
        <w:rPr>
          <w:color w:val="000000" w:themeColor="text1"/>
          <w:lang w:eastAsia="en-GB"/>
        </w:rPr>
        <w:t>T</w:t>
      </w:r>
      <w:r w:rsidRPr="000B4E2C">
        <w:rPr>
          <w:lang w:eastAsia="en-GB"/>
        </w:rPr>
        <w:t xml:space="preserve">he substantial heterogeneity in the study populations for the diagnostic accuracy </w:t>
      </w:r>
      <w:r w:rsidRPr="000B4E2C">
        <w:rPr>
          <w:highlight w:val="magenta"/>
          <w:lang w:eastAsia="en-GB"/>
        </w:rPr>
        <w:t>data</w:t>
      </w:r>
      <w:r w:rsidRPr="000B4E2C">
        <w:rPr>
          <w:lang w:eastAsia="en-GB"/>
        </w:rPr>
        <w:t xml:space="preserve"> for the candidate tests raises further concerns about the relative cost-effectiveness of the comparators in the absence of head to head trial comparisons across multiple candidate tests.</w:t>
      </w:r>
    </w:p>
    <w:p w14:paraId="166B0195" w14:textId="7DD35315" w:rsidR="00437EBF" w:rsidRPr="000B4E2C" w:rsidRDefault="00437EBF" w:rsidP="00437EBF">
      <w:pPr>
        <w:pStyle w:val="Heading3"/>
      </w:pPr>
      <w:r w:rsidRPr="000B4E2C">
        <w:t>Cohort traces from the base case Markov models</w:t>
      </w:r>
    </w:p>
    <w:p w14:paraId="22286D60" w14:textId="04EA4510" w:rsidR="00437EBF" w:rsidRPr="000B4E2C" w:rsidRDefault="000B4E2C" w:rsidP="00437EBF">
      <w:pPr>
        <w:rPr>
          <w:lang w:val="en-GB" w:eastAsia="en-GB"/>
        </w:rPr>
      </w:pPr>
      <w:r w:rsidRPr="000B4E2C">
        <w:rPr>
          <w:i/>
          <w:color w:val="FF0000"/>
          <w:lang w:val="en-GB" w:eastAsia="en-GB"/>
        </w:rPr>
        <w:t>F</w:t>
      </w:r>
      <w:r w:rsidRPr="000B4E2C">
        <w:rPr>
          <w:i/>
          <w:color w:val="FF0000"/>
          <w:lang w:val="en-GB" w:eastAsia="en-GB"/>
        </w:rPr>
        <w:t>igure</w:t>
      </w:r>
      <w:r w:rsidRPr="000B4E2C">
        <w:rPr>
          <w:i/>
          <w:color w:val="FF0000"/>
          <w:lang w:val="en-GB" w:eastAsia="en-GB"/>
        </w:rPr>
        <w:t xml:space="preserve"> </w:t>
      </w:r>
      <w:r w:rsidRPr="000B4E2C">
        <w:rPr>
          <w:i/>
          <w:color w:val="FF0000"/>
          <w:lang w:val="en-GB" w:eastAsia="en-GB"/>
        </w:rPr>
        <w:t>22</w:t>
      </w:r>
      <w:r w:rsidR="00550B0A" w:rsidRPr="000B4E2C">
        <w:rPr>
          <w:lang w:val="en-GB" w:eastAsia="en-GB"/>
        </w:rPr>
        <w:t xml:space="preserve"> </w:t>
      </w:r>
      <w:r w:rsidR="00437EBF" w:rsidRPr="000B4E2C">
        <w:rPr>
          <w:lang w:val="en-GB" w:eastAsia="en-GB"/>
        </w:rPr>
        <w:t>shows the Markov traces for the standard care arm of the model under base-case 1 assumptions. In the standard care arm, at 10 years, the mortality for the 63-year old cohort was 45% for the no AKI cohort and 59% for the average of AKI 1,2 and 3cohorts. The mortality for the no AKI group is consistent with the observed 10-year mortality in the Grampian data</w:t>
      </w:r>
      <w:r w:rsidR="00280A97" w:rsidRPr="000B4E2C">
        <w:rPr>
          <w:noProof/>
          <w:vertAlign w:val="superscript"/>
          <w:lang w:val="en-GB" w:eastAsia="en-GB"/>
        </w:rPr>
        <w:t>105</w:t>
      </w:r>
      <w:r w:rsidR="00437EBF" w:rsidRPr="000B4E2C">
        <w:rPr>
          <w:lang w:val="en-GB" w:eastAsia="en-GB"/>
        </w:rPr>
        <w:t xml:space="preserve"> However, the mortality observed for the AKI cohorts at 10 years is lower than in the observational </w:t>
      </w:r>
      <w:r w:rsidR="00437EBF" w:rsidRPr="000B4E2C">
        <w:rPr>
          <w:highlight w:val="magenta"/>
          <w:lang w:val="en-GB" w:eastAsia="en-GB"/>
        </w:rPr>
        <w:t>data</w:t>
      </w:r>
      <w:r w:rsidR="00437EBF" w:rsidRPr="000B4E2C">
        <w:rPr>
          <w:lang w:val="en-GB" w:eastAsia="en-GB"/>
        </w:rPr>
        <w:t xml:space="preserve"> from Grampian. This is because we did not apply an additional AKI specific excess mortality risk beyond the first year of follow-up in the model as to assume such an additional risk is directly caused by AKI </w:t>
      </w:r>
      <w:r w:rsidR="00826CAC" w:rsidRPr="000B4E2C">
        <w:rPr>
          <w:lang w:val="en-GB" w:eastAsia="en-GB"/>
        </w:rPr>
        <w:t>is questionable, based on existing evidence (e.g. Meersch</w:t>
      </w:r>
      <w:r w:rsidR="00826CAC" w:rsidRPr="000B4E2C">
        <w:rPr>
          <w:i/>
          <w:color w:val="00B0F0"/>
          <w:lang w:val="en-GB" w:eastAsia="en-GB"/>
        </w:rPr>
        <w:t xml:space="preserve"> et al</w:t>
      </w:r>
      <w:r w:rsidR="004A38D7" w:rsidRPr="000B4E2C">
        <w:rPr>
          <w:lang w:val="en-GB" w:eastAsia="en-GB"/>
        </w:rPr>
        <w:t>).</w:t>
      </w:r>
      <w:r w:rsidR="00280A97" w:rsidRPr="000B4E2C">
        <w:rPr>
          <w:noProof/>
          <w:vertAlign w:val="superscript"/>
          <w:lang w:val="en-GB" w:eastAsia="en-GB"/>
        </w:rPr>
        <w:t>112</w:t>
      </w:r>
    </w:p>
    <w:bookmarkEnd w:id="17"/>
    <w:p w14:paraId="5783BA3E" w14:textId="77777777" w:rsidR="000B4E2C" w:rsidRPr="000B4E2C" w:rsidRDefault="000B4E2C">
      <w:pPr>
        <w:spacing w:after="200" w:line="276" w:lineRule="auto"/>
      </w:pPr>
    </w:p>
    <w:p w14:paraId="4973E1D6" w14:textId="522B05A0" w:rsidR="002F0133" w:rsidRPr="000B4E2C" w:rsidRDefault="002F0133" w:rsidP="008A7464">
      <w:pPr>
        <w:rPr>
          <w:color w:val="FF0000"/>
          <w:highlight w:val="yellow"/>
          <w:lang w:eastAsia="en-GB"/>
        </w:rPr>
      </w:pPr>
    </w:p>
    <w:p w14:paraId="7DABBBC2" w14:textId="6B807BDE" w:rsidR="002F0133" w:rsidRPr="000B4E2C" w:rsidRDefault="000B4E2C" w:rsidP="008A7464">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22</w:t>
      </w:r>
      <w:r w:rsidRPr="000B4E2C">
        <w:t xml:space="preserve"> </w:t>
      </w:r>
      <w:r w:rsidR="002F0133" w:rsidRPr="000B4E2C">
        <w:t>Markov cohort traces</w:t>
      </w:r>
      <w:r w:rsidR="00437EBF" w:rsidRPr="000B4E2C">
        <w:t xml:space="preserve"> for base case model configuration</w:t>
      </w:r>
      <w:r w:rsidR="00BB4DF5" w:rsidRPr="000B4E2C">
        <w:t>. (a) No AKI; (b) AKI 1; (c) AKI 2; (d) AKI 3.</w:t>
      </w:r>
    </w:p>
    <w:p w14:paraId="404F0CB2" w14:textId="77777777" w:rsidR="002F0133" w:rsidRPr="000B4E2C" w:rsidRDefault="002F0133" w:rsidP="008A7464">
      <w:pPr>
        <w:rPr>
          <w:color w:val="FF0000"/>
          <w:highlight w:val="yellow"/>
          <w:lang w:eastAsia="en-GB"/>
        </w:rPr>
      </w:pPr>
    </w:p>
    <w:p w14:paraId="0B8D88E7" w14:textId="77777777" w:rsidR="000B4E2C" w:rsidRPr="000B4E2C" w:rsidRDefault="000B4E2C" w:rsidP="008A7464">
      <w:pPr>
        <w:pStyle w:val="Heading3"/>
        <w:rPr>
          <w:lang w:val="en-US"/>
        </w:rPr>
      </w:pPr>
      <w:r w:rsidRPr="000B4E2C">
        <w:rPr>
          <w:highlight w:val="yellow"/>
        </w:rPr>
        <w:t xml:space="preserve"> </w:t>
      </w:r>
      <w:r w:rsidR="00E42462" w:rsidRPr="000B4E2C">
        <w:rPr>
          <w:lang w:val="en-US"/>
        </w:rPr>
        <w:t>Cost-effectiveness acceptability curves</w:t>
      </w:r>
    </w:p>
    <w:p w14:paraId="1E697593" w14:textId="53C8BA02" w:rsidR="000B4E2C" w:rsidRPr="000B4E2C" w:rsidRDefault="000B4E2C" w:rsidP="008A7464">
      <w:r w:rsidRPr="000B4E2C">
        <w:rPr>
          <w:i/>
          <w:color w:val="FF0000"/>
        </w:rPr>
        <w:t>F</w:t>
      </w:r>
      <w:r w:rsidRPr="000B4E2C">
        <w:rPr>
          <w:i/>
          <w:color w:val="FF0000"/>
        </w:rPr>
        <w:t>igure</w:t>
      </w:r>
      <w:r w:rsidRPr="000B4E2C">
        <w:rPr>
          <w:i/>
          <w:color w:val="FF0000"/>
        </w:rPr>
        <w:t xml:space="preserve"> </w:t>
      </w:r>
      <w:r w:rsidRPr="000B4E2C">
        <w:rPr>
          <w:i/>
          <w:color w:val="FF0000"/>
        </w:rPr>
        <w:t>23</w:t>
      </w:r>
      <w:r w:rsidR="00550B0A" w:rsidRPr="000B4E2C">
        <w:t xml:space="preserve"> </w:t>
      </w:r>
      <w:r w:rsidR="002F0133" w:rsidRPr="000B4E2C">
        <w:t xml:space="preserve">and </w:t>
      </w:r>
      <w:r w:rsidRPr="000B4E2C">
        <w:rPr>
          <w:i/>
          <w:color w:val="FF0000"/>
        </w:rPr>
        <w:t>F</w:t>
      </w:r>
      <w:r w:rsidRPr="000B4E2C">
        <w:rPr>
          <w:i/>
          <w:color w:val="FF0000"/>
        </w:rPr>
        <w:t>igure</w:t>
      </w:r>
      <w:r w:rsidRPr="000B4E2C">
        <w:rPr>
          <w:i/>
          <w:color w:val="FF0000"/>
        </w:rPr>
        <w:t xml:space="preserve"> </w:t>
      </w:r>
      <w:r w:rsidRPr="000B4E2C">
        <w:rPr>
          <w:i/>
          <w:color w:val="FF0000"/>
        </w:rPr>
        <w:t>24</w:t>
      </w:r>
      <w:r w:rsidR="00550B0A" w:rsidRPr="000B4E2C">
        <w:t xml:space="preserve"> </w:t>
      </w:r>
      <w:r w:rsidR="002F0133" w:rsidRPr="000B4E2C">
        <w:t xml:space="preserve">report </w:t>
      </w:r>
      <w:r w:rsidR="00E42462" w:rsidRPr="000B4E2C">
        <w:t>c</w:t>
      </w:r>
      <w:r w:rsidR="002F0133" w:rsidRPr="000B4E2C">
        <w:t>ost-effectiveness acceptability curves for the two potential base case scenarios.</w:t>
      </w:r>
    </w:p>
    <w:p w14:paraId="29E8A69F" w14:textId="08737192" w:rsidR="000B4E2C" w:rsidRPr="000B4E2C" w:rsidRDefault="000B4E2C" w:rsidP="008A7464">
      <w:pPr>
        <w:pStyle w:val="Heading2"/>
        <w:rPr>
          <w:noProof/>
        </w:rPr>
      </w:pPr>
      <w:r w:rsidRPr="000B4E2C">
        <w:rPr>
          <w:i/>
          <w:noProof/>
          <w:color w:val="FF0000"/>
        </w:rPr>
        <w:t>F</w:t>
      </w:r>
      <w:r w:rsidRPr="000B4E2C">
        <w:rPr>
          <w:i/>
          <w:noProof/>
          <w:color w:val="FF0000"/>
        </w:rPr>
        <w:t>igure</w:t>
      </w:r>
      <w:r w:rsidRPr="000B4E2C">
        <w:rPr>
          <w:i/>
          <w:noProof/>
          <w:color w:val="FF0000"/>
        </w:rPr>
        <w:t xml:space="preserve"> </w:t>
      </w:r>
      <w:r w:rsidRPr="000B4E2C">
        <w:rPr>
          <w:i/>
          <w:noProof/>
          <w:color w:val="FF0000"/>
        </w:rPr>
        <w:t>23</w:t>
      </w:r>
      <w:r w:rsidR="00550B0A" w:rsidRPr="000B4E2C">
        <w:rPr>
          <w:noProof/>
        </w:rPr>
        <w:t xml:space="preserve"> </w:t>
      </w:r>
      <w:r w:rsidR="002F0133" w:rsidRPr="000B4E2C">
        <w:rPr>
          <w:noProof/>
        </w:rPr>
        <w:t>Cost-effectiveness acceptability curves: Base case 1</w:t>
      </w:r>
    </w:p>
    <w:p w14:paraId="6726DA0E" w14:textId="12DDB532" w:rsidR="002F0133" w:rsidRPr="000B4E2C" w:rsidRDefault="000B4E2C" w:rsidP="008A7464">
      <w:pPr>
        <w:pStyle w:val="Heading3"/>
      </w:pPr>
      <w:r w:rsidRPr="000B4E2C">
        <w:rPr>
          <w:noProof/>
          <w:color w:val="FF0000"/>
        </w:rPr>
        <w:t>F</w:t>
      </w:r>
      <w:r w:rsidRPr="000B4E2C">
        <w:rPr>
          <w:noProof/>
          <w:color w:val="FF0000"/>
        </w:rPr>
        <w:t>igure</w:t>
      </w:r>
      <w:r w:rsidRPr="000B4E2C">
        <w:rPr>
          <w:noProof/>
          <w:color w:val="FF0000"/>
        </w:rPr>
        <w:t xml:space="preserve"> </w:t>
      </w:r>
      <w:r w:rsidRPr="000B4E2C">
        <w:rPr>
          <w:noProof/>
          <w:color w:val="FF0000"/>
        </w:rPr>
        <w:t>24</w:t>
      </w:r>
      <w:r w:rsidRPr="000B4E2C">
        <w:rPr>
          <w:noProof/>
        </w:rPr>
        <w:t xml:space="preserve"> </w:t>
      </w:r>
      <w:r w:rsidR="002F0133" w:rsidRPr="000B4E2C">
        <w:rPr>
          <w:noProof/>
        </w:rPr>
        <w:t>Cost-effectiveness acceptability curves: Base case 2</w:t>
      </w:r>
      <w:r w:rsidRPr="000B4E2C">
        <w:t xml:space="preserve"> </w:t>
      </w:r>
      <w:r w:rsidR="002F0133" w:rsidRPr="000B4E2C">
        <w:t>Subgroup analyses</w:t>
      </w:r>
    </w:p>
    <w:p w14:paraId="6B3DCD0F" w14:textId="41FEF36A" w:rsidR="000B4E2C" w:rsidRPr="000B4E2C" w:rsidRDefault="008B3A0A" w:rsidP="008B3A0A">
      <w:r w:rsidRPr="000B4E2C">
        <w:t>Three subgroup analyses have been carried out on the two EAG suggested base case strategies (based on whether NGAL is assumed to be capable of averting AKI or not).</w:t>
      </w:r>
      <w:r w:rsidR="000B4E2C" w:rsidRPr="000B4E2C">
        <w:t xml:space="preserve"> </w:t>
      </w:r>
      <w:r w:rsidRPr="000B4E2C">
        <w:t>The subgroups considered are adult critical care and adult post cardiac surgery.</w:t>
      </w:r>
      <w:r w:rsidR="000B4E2C" w:rsidRPr="000B4E2C">
        <w:t xml:space="preserve"> </w:t>
      </w:r>
      <w:r w:rsidRPr="000B4E2C">
        <w:t xml:space="preserve">As there was not sufficient </w:t>
      </w:r>
      <w:r w:rsidRPr="000B4E2C">
        <w:rPr>
          <w:highlight w:val="magenta"/>
        </w:rPr>
        <w:t>data</w:t>
      </w:r>
      <w:r w:rsidRPr="000B4E2C">
        <w:t xml:space="preserve"> to populate a robust model for a children subgroup, this was only considered as an exploratory analysis (as per </w:t>
      </w:r>
      <w:r w:rsidR="000B4E2C" w:rsidRPr="000B4E2C">
        <w:rPr>
          <w:i/>
          <w:color w:val="FF0000"/>
        </w:rPr>
        <w:t>T</w:t>
      </w:r>
      <w:r w:rsidR="000B4E2C" w:rsidRPr="000B4E2C">
        <w:rPr>
          <w:i/>
          <w:color w:val="FF0000"/>
        </w:rPr>
        <w:t>ables</w:t>
      </w:r>
      <w:r w:rsidR="000B4E2C" w:rsidRPr="000B4E2C">
        <w:rPr>
          <w:i/>
          <w:color w:val="FF0000"/>
        </w:rPr>
        <w:t xml:space="preserve"> </w:t>
      </w:r>
      <w:r w:rsidR="000B4E2C" w:rsidRPr="000B4E2C">
        <w:rPr>
          <w:i/>
          <w:color w:val="FF0000"/>
        </w:rPr>
        <w:t>20</w:t>
      </w:r>
      <w:r w:rsidRPr="000B4E2C">
        <w:t xml:space="preserve"> and </w:t>
      </w:r>
      <w:r w:rsidR="00A14183" w:rsidRPr="000B4E2C">
        <w:t>21</w:t>
      </w:r>
      <w:r w:rsidRPr="000B4E2C">
        <w:t xml:space="preserve"> above.</w:t>
      </w:r>
    </w:p>
    <w:p w14:paraId="4E1449B0" w14:textId="5D4CED70" w:rsidR="002F0133" w:rsidRPr="000B4E2C" w:rsidRDefault="002F0133" w:rsidP="008A7464">
      <w:pPr>
        <w:pStyle w:val="Heading4"/>
      </w:pPr>
      <w:r w:rsidRPr="000B4E2C">
        <w:t>Critical care subgroup</w:t>
      </w:r>
    </w:p>
    <w:p w14:paraId="75D53F48" w14:textId="72672022" w:rsidR="000B4E2C" w:rsidRPr="000B4E2C" w:rsidRDefault="002F0133" w:rsidP="008A7464">
      <w:r w:rsidRPr="000B4E2C">
        <w:t>For the critical care subgroup, the same parameter values as the all-comers are used for the downstream model proba</w:t>
      </w:r>
      <w:r w:rsidR="004A38D7" w:rsidRPr="000B4E2C">
        <w:t xml:space="preserve">bilities, costs and utilities. </w:t>
      </w:r>
      <w:r w:rsidRPr="000B4E2C">
        <w:t xml:space="preserve">This subgroup may be useful for </w:t>
      </w:r>
      <w:r w:rsidR="000B4E2C" w:rsidRPr="000B4E2C">
        <w:rPr>
          <w:color w:val="00B0F0"/>
        </w:rPr>
        <w:t>decision-mak</w:t>
      </w:r>
      <w:r w:rsidRPr="000B4E2C">
        <w:t xml:space="preserve">ing as it could be considered as an alternative, potentially more seriously ill, definition of the population in the NICE scope. </w:t>
      </w:r>
      <w:r w:rsidR="000B4E2C" w:rsidRPr="000B4E2C">
        <w:rPr>
          <w:color w:val="00B0F0"/>
        </w:rPr>
        <w:t>While</w:t>
      </w:r>
      <w:r w:rsidRPr="000B4E2C">
        <w:t xml:space="preserve"> the group are defined as </w:t>
      </w:r>
      <w:r w:rsidR="000B4E2C" w:rsidRPr="000B4E2C">
        <w:rPr>
          <w:color w:val="00B0F0"/>
        </w:rPr>
        <w:t>“</w:t>
      </w:r>
      <w:r w:rsidR="0072128A" w:rsidRPr="000B4E2C">
        <w:t>critical care</w:t>
      </w:r>
      <w:r w:rsidR="000B4E2C" w:rsidRPr="000B4E2C">
        <w:rPr>
          <w:color w:val="00B0F0"/>
        </w:rPr>
        <w:t>”</w:t>
      </w:r>
      <w:r w:rsidRPr="000B4E2C">
        <w:t xml:space="preserve">, the populations described in the source diagnostic accuracy studies are often more reflective of a seriously ill patient group who would not yet be in ICU in the UK setting. The diagnostic accuracy </w:t>
      </w:r>
      <w:r w:rsidRPr="000B4E2C">
        <w:rPr>
          <w:highlight w:val="magenta"/>
        </w:rPr>
        <w:t>data</w:t>
      </w:r>
      <w:r w:rsidRPr="000B4E2C">
        <w:t xml:space="preserve"> used for this subgroup are described in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22</w:t>
      </w:r>
      <w:r w:rsidR="00101B12" w:rsidRPr="000B4E2C">
        <w:t xml:space="preserve"> </w:t>
      </w:r>
      <w:r w:rsidRPr="000B4E2C">
        <w:t>below.</w:t>
      </w:r>
    </w:p>
    <w:p w14:paraId="7EB013B5" w14:textId="38B44110" w:rsidR="002F0133" w:rsidRPr="000B4E2C" w:rsidRDefault="000B4E2C" w:rsidP="008A7464">
      <w:pPr>
        <w:pStyle w:val="Heading2"/>
      </w:pPr>
      <w:r w:rsidRPr="000B4E2C">
        <w:rPr>
          <w:i/>
          <w:color w:val="FF0000"/>
        </w:rPr>
        <w:lastRenderedPageBreak/>
        <w:t>T</w:t>
      </w:r>
      <w:r w:rsidRPr="000B4E2C">
        <w:rPr>
          <w:i/>
          <w:color w:val="FF0000"/>
        </w:rPr>
        <w:t>able</w:t>
      </w:r>
      <w:r w:rsidRPr="000B4E2C">
        <w:rPr>
          <w:i/>
          <w:color w:val="FF0000"/>
        </w:rPr>
        <w:t xml:space="preserve"> </w:t>
      </w:r>
      <w:r w:rsidRPr="000B4E2C">
        <w:rPr>
          <w:i/>
          <w:color w:val="FF0000"/>
        </w:rPr>
        <w:t>22</w:t>
      </w:r>
      <w:r w:rsidR="00101B12" w:rsidRPr="000B4E2C">
        <w:t xml:space="preserve"> </w:t>
      </w:r>
      <w:r w:rsidR="002F0133" w:rsidRPr="000B4E2C">
        <w:t xml:space="preserve">Diagnostic accuracy </w:t>
      </w:r>
      <w:r w:rsidR="002F0133" w:rsidRPr="000B4E2C">
        <w:rPr>
          <w:highlight w:val="magenta"/>
        </w:rPr>
        <w:t>data</w:t>
      </w:r>
      <w:r w:rsidR="002F0133" w:rsidRPr="000B4E2C">
        <w:t xml:space="preserve"> used for Critical Care subgroup analysis</w:t>
      </w:r>
    </w:p>
    <w:tbl>
      <w:tblPr>
        <w:tblW w:w="0" w:type="auto"/>
        <w:tblCellMar>
          <w:top w:w="40" w:type="dxa"/>
          <w:left w:w="60" w:type="dxa"/>
          <w:bottom w:w="40" w:type="dxa"/>
          <w:right w:w="60" w:type="dxa"/>
        </w:tblCellMar>
        <w:tblLook w:val="04A0" w:firstRow="1" w:lastRow="0" w:firstColumn="1" w:lastColumn="0" w:noHBand="0" w:noVBand="1"/>
      </w:tblPr>
      <w:tblGrid>
        <w:gridCol w:w="1501"/>
        <w:gridCol w:w="1074"/>
        <w:gridCol w:w="1318"/>
        <w:gridCol w:w="658"/>
        <w:gridCol w:w="615"/>
        <w:gridCol w:w="1220"/>
        <w:gridCol w:w="1336"/>
      </w:tblGrid>
      <w:tr w:rsidR="000B4E2C" w:rsidRPr="000B4E2C" w14:paraId="0A2D43F1" w14:textId="77777777" w:rsidTr="000B4E2C">
        <w:trPr>
          <w:cantSplit/>
        </w:trPr>
        <w:tc>
          <w:tcPr>
            <w:tcW w:w="0" w:type="auto"/>
            <w:shd w:val="clear" w:color="auto" w:fill="auto"/>
            <w:noWrap/>
            <w:vAlign w:val="bottom"/>
            <w:hideMark/>
          </w:tcPr>
          <w:p w14:paraId="43F0F965" w14:textId="77777777" w:rsidR="002F0133" w:rsidRPr="000B4E2C" w:rsidRDefault="002F0133" w:rsidP="008A7464">
            <w:pPr>
              <w:rPr>
                <w:b/>
                <w:bCs/>
                <w:color w:val="000000"/>
                <w:sz w:val="22"/>
                <w:lang w:val="en-GB" w:eastAsia="en-GB"/>
              </w:rPr>
            </w:pPr>
            <w:r w:rsidRPr="000B4E2C">
              <w:rPr>
                <w:b/>
                <w:bCs/>
                <w:sz w:val="22"/>
                <w:lang w:val="en-GB" w:eastAsia="en-GB"/>
              </w:rPr>
              <w:t>Test</w:t>
            </w:r>
          </w:p>
        </w:tc>
        <w:tc>
          <w:tcPr>
            <w:tcW w:w="0" w:type="auto"/>
            <w:shd w:val="clear" w:color="auto" w:fill="auto"/>
            <w:noWrap/>
            <w:vAlign w:val="bottom"/>
            <w:hideMark/>
          </w:tcPr>
          <w:p w14:paraId="0E9C6E3D" w14:textId="77777777" w:rsidR="002F0133" w:rsidRPr="000B4E2C" w:rsidRDefault="002F0133" w:rsidP="008A7464">
            <w:pPr>
              <w:rPr>
                <w:b/>
                <w:bCs/>
                <w:color w:val="000000"/>
                <w:sz w:val="22"/>
                <w:lang w:val="en-GB" w:eastAsia="en-GB"/>
              </w:rPr>
            </w:pPr>
            <w:r w:rsidRPr="000B4E2C">
              <w:rPr>
                <w:b/>
                <w:bCs/>
                <w:sz w:val="22"/>
                <w:lang w:val="en-GB" w:eastAsia="en-GB"/>
              </w:rPr>
              <w:t>measure</w:t>
            </w:r>
          </w:p>
        </w:tc>
        <w:tc>
          <w:tcPr>
            <w:tcW w:w="0" w:type="auto"/>
            <w:shd w:val="clear" w:color="auto" w:fill="auto"/>
          </w:tcPr>
          <w:p w14:paraId="561AD79F" w14:textId="77777777" w:rsidR="000B4E2C" w:rsidRPr="000B4E2C" w:rsidRDefault="002F0133" w:rsidP="008A7464">
            <w:pPr>
              <w:rPr>
                <w:b/>
                <w:bCs/>
                <w:sz w:val="22"/>
                <w:lang w:val="en-GB" w:eastAsia="en-GB"/>
              </w:rPr>
            </w:pPr>
            <w:r w:rsidRPr="000B4E2C">
              <w:rPr>
                <w:b/>
                <w:bCs/>
                <w:sz w:val="22"/>
                <w:lang w:val="en-GB" w:eastAsia="en-GB"/>
              </w:rPr>
              <w:t>Mean</w:t>
            </w:r>
          </w:p>
          <w:p w14:paraId="36D8E577" w14:textId="71975813" w:rsidR="002F0133" w:rsidRPr="000B4E2C" w:rsidRDefault="002F0133" w:rsidP="008A7464">
            <w:pPr>
              <w:rPr>
                <w:b/>
                <w:bCs/>
                <w:color w:val="000000"/>
                <w:sz w:val="22"/>
                <w:lang w:val="en-GB" w:eastAsia="en-GB"/>
              </w:rPr>
            </w:pPr>
            <w:r w:rsidRPr="000B4E2C">
              <w:rPr>
                <w:b/>
                <w:bCs/>
                <w:sz w:val="22"/>
                <w:lang w:val="en-GB" w:eastAsia="en-GB"/>
              </w:rPr>
              <w:t>(95</w:t>
            </w:r>
            <w:r w:rsidR="000B4E2C" w:rsidRPr="000B4E2C">
              <w:rPr>
                <w:b/>
                <w:bCs/>
                <w:color w:val="00B0F0"/>
                <w:sz w:val="22"/>
                <w:lang w:val="en-GB" w:eastAsia="en-GB"/>
              </w:rPr>
              <w:t>%</w:t>
            </w:r>
            <w:r w:rsidRPr="000B4E2C">
              <w:rPr>
                <w:b/>
                <w:bCs/>
                <w:sz w:val="22"/>
                <w:lang w:val="en-GB" w:eastAsia="en-GB"/>
              </w:rPr>
              <w:t xml:space="preserve"> CI)</w:t>
            </w:r>
          </w:p>
        </w:tc>
        <w:tc>
          <w:tcPr>
            <w:tcW w:w="0" w:type="auto"/>
            <w:shd w:val="clear" w:color="auto" w:fill="auto"/>
            <w:noWrap/>
            <w:vAlign w:val="bottom"/>
            <w:hideMark/>
          </w:tcPr>
          <w:p w14:paraId="415C664D" w14:textId="77777777" w:rsidR="000B4E2C" w:rsidRPr="000B4E2C" w:rsidRDefault="002F0133" w:rsidP="008A7464">
            <w:pPr>
              <w:rPr>
                <w:b/>
                <w:bCs/>
                <w:sz w:val="22"/>
                <w:lang w:val="en-GB" w:eastAsia="en-GB"/>
              </w:rPr>
            </w:pPr>
            <w:r w:rsidRPr="000B4E2C">
              <w:rPr>
                <w:b/>
                <w:bCs/>
                <w:sz w:val="22"/>
                <w:lang w:val="en-GB" w:eastAsia="en-GB"/>
              </w:rPr>
              <w:t>Mean</w:t>
            </w:r>
          </w:p>
          <w:p w14:paraId="1115B27F" w14:textId="5ECEDF61" w:rsidR="002F0133" w:rsidRPr="000B4E2C" w:rsidRDefault="002F0133" w:rsidP="008A7464">
            <w:pPr>
              <w:rPr>
                <w:b/>
                <w:bCs/>
                <w:color w:val="000000"/>
                <w:sz w:val="22"/>
                <w:lang w:val="en-GB" w:eastAsia="en-GB"/>
              </w:rPr>
            </w:pPr>
            <w:r w:rsidRPr="000B4E2C">
              <w:rPr>
                <w:b/>
                <w:bCs/>
                <w:sz w:val="22"/>
                <w:lang w:val="en-GB" w:eastAsia="en-GB"/>
              </w:rPr>
              <w:t>logit</w:t>
            </w:r>
          </w:p>
        </w:tc>
        <w:tc>
          <w:tcPr>
            <w:tcW w:w="0" w:type="auto"/>
            <w:shd w:val="clear" w:color="auto" w:fill="auto"/>
            <w:noWrap/>
            <w:vAlign w:val="bottom"/>
            <w:hideMark/>
          </w:tcPr>
          <w:p w14:paraId="367CB440" w14:textId="77777777" w:rsidR="000B4E2C" w:rsidRPr="000B4E2C" w:rsidRDefault="002F0133" w:rsidP="008A7464">
            <w:pPr>
              <w:rPr>
                <w:b/>
                <w:bCs/>
                <w:sz w:val="22"/>
                <w:lang w:val="en-GB" w:eastAsia="en-GB"/>
              </w:rPr>
            </w:pPr>
            <w:r w:rsidRPr="000B4E2C">
              <w:rPr>
                <w:b/>
                <w:bCs/>
                <w:sz w:val="22"/>
                <w:lang w:val="en-GB" w:eastAsia="en-GB"/>
              </w:rPr>
              <w:t>SE</w:t>
            </w:r>
          </w:p>
          <w:p w14:paraId="696F97BA" w14:textId="10CD7E8D" w:rsidR="002F0133" w:rsidRPr="000B4E2C" w:rsidRDefault="002F0133" w:rsidP="008A7464">
            <w:pPr>
              <w:rPr>
                <w:b/>
                <w:bCs/>
                <w:color w:val="000000"/>
                <w:sz w:val="22"/>
                <w:lang w:val="en-GB" w:eastAsia="en-GB"/>
              </w:rPr>
            </w:pPr>
            <w:r w:rsidRPr="000B4E2C">
              <w:rPr>
                <w:b/>
                <w:bCs/>
                <w:sz w:val="22"/>
                <w:lang w:val="en-GB" w:eastAsia="en-GB"/>
              </w:rPr>
              <w:t>logit</w:t>
            </w:r>
          </w:p>
        </w:tc>
        <w:tc>
          <w:tcPr>
            <w:tcW w:w="0" w:type="auto"/>
            <w:shd w:val="clear" w:color="auto" w:fill="auto"/>
            <w:noWrap/>
            <w:vAlign w:val="bottom"/>
            <w:hideMark/>
          </w:tcPr>
          <w:p w14:paraId="6A383721" w14:textId="77777777" w:rsidR="000B4E2C" w:rsidRPr="000B4E2C" w:rsidRDefault="002F0133" w:rsidP="008A7464">
            <w:pPr>
              <w:rPr>
                <w:b/>
                <w:bCs/>
                <w:sz w:val="22"/>
                <w:lang w:val="en-GB" w:eastAsia="en-GB"/>
              </w:rPr>
            </w:pPr>
            <w:r w:rsidRPr="000B4E2C">
              <w:rPr>
                <w:b/>
                <w:bCs/>
                <w:sz w:val="22"/>
                <w:lang w:val="en-GB" w:eastAsia="en-GB"/>
              </w:rPr>
              <w:t>Correlation</w:t>
            </w:r>
          </w:p>
          <w:p w14:paraId="0A6B80AA" w14:textId="77777777" w:rsidR="000B4E2C" w:rsidRPr="000B4E2C" w:rsidRDefault="002F0133" w:rsidP="008A7464">
            <w:pPr>
              <w:rPr>
                <w:b/>
                <w:bCs/>
                <w:sz w:val="22"/>
                <w:lang w:val="en-GB" w:eastAsia="en-GB"/>
              </w:rPr>
            </w:pPr>
            <w:r w:rsidRPr="000B4E2C">
              <w:rPr>
                <w:b/>
                <w:bCs/>
                <w:sz w:val="22"/>
                <w:lang w:val="en-GB" w:eastAsia="en-GB"/>
              </w:rPr>
              <w:t>for MVN</w:t>
            </w:r>
          </w:p>
          <w:p w14:paraId="58FB5F3D" w14:textId="09A7EE3E" w:rsidR="002F0133" w:rsidRPr="000B4E2C" w:rsidRDefault="002F0133" w:rsidP="008A7464">
            <w:pPr>
              <w:rPr>
                <w:b/>
                <w:bCs/>
                <w:color w:val="000000"/>
                <w:sz w:val="22"/>
                <w:lang w:val="en-GB" w:eastAsia="en-GB"/>
              </w:rPr>
            </w:pPr>
            <w:r w:rsidRPr="000B4E2C">
              <w:rPr>
                <w:b/>
                <w:bCs/>
                <w:sz w:val="22"/>
                <w:lang w:val="en-GB" w:eastAsia="en-GB"/>
              </w:rPr>
              <w:t>analysis</w:t>
            </w:r>
          </w:p>
        </w:tc>
        <w:tc>
          <w:tcPr>
            <w:tcW w:w="0" w:type="auto"/>
            <w:shd w:val="clear" w:color="auto" w:fill="auto"/>
          </w:tcPr>
          <w:p w14:paraId="3E818738" w14:textId="77777777" w:rsidR="002F0133" w:rsidRPr="000B4E2C" w:rsidRDefault="002F0133" w:rsidP="008A7464">
            <w:pPr>
              <w:rPr>
                <w:b/>
                <w:bCs/>
                <w:sz w:val="22"/>
                <w:lang w:val="en-GB" w:eastAsia="en-GB"/>
              </w:rPr>
            </w:pPr>
            <w:r w:rsidRPr="000B4E2C">
              <w:rPr>
                <w:b/>
                <w:bCs/>
                <w:sz w:val="22"/>
                <w:lang w:val="en-GB" w:eastAsia="en-GB"/>
              </w:rPr>
              <w:t>Source</w:t>
            </w:r>
          </w:p>
        </w:tc>
      </w:tr>
      <w:tr w:rsidR="000B4E2C" w:rsidRPr="000B4E2C" w14:paraId="3E9B264F" w14:textId="77777777" w:rsidTr="000B4E2C">
        <w:trPr>
          <w:cantSplit/>
        </w:trPr>
        <w:tc>
          <w:tcPr>
            <w:tcW w:w="0" w:type="auto"/>
            <w:vMerge w:val="restart"/>
            <w:shd w:val="clear" w:color="auto" w:fill="auto"/>
            <w:noWrap/>
            <w:vAlign w:val="center"/>
            <w:hideMark/>
          </w:tcPr>
          <w:p w14:paraId="7A61E6C1" w14:textId="77777777" w:rsidR="000B4E2C" w:rsidRPr="000B4E2C" w:rsidRDefault="002F0133" w:rsidP="008A7464">
            <w:pPr>
              <w:rPr>
                <w:sz w:val="22"/>
                <w:lang w:val="en-GB" w:eastAsia="en-GB"/>
              </w:rPr>
            </w:pPr>
            <w:r w:rsidRPr="000B4E2C">
              <w:rPr>
                <w:sz w:val="22"/>
                <w:lang w:val="en-GB" w:eastAsia="en-GB"/>
              </w:rPr>
              <w:t>NephroCheck</w:t>
            </w:r>
          </w:p>
          <w:p w14:paraId="203AC16F" w14:textId="738CC4AC" w:rsidR="002F0133" w:rsidRPr="000B4E2C" w:rsidRDefault="002F0133" w:rsidP="008A7464">
            <w:pPr>
              <w:rPr>
                <w:color w:val="000000"/>
                <w:sz w:val="22"/>
                <w:lang w:val="en-GB" w:eastAsia="en-GB"/>
              </w:rPr>
            </w:pPr>
          </w:p>
        </w:tc>
        <w:tc>
          <w:tcPr>
            <w:tcW w:w="0" w:type="auto"/>
            <w:shd w:val="clear" w:color="auto" w:fill="auto"/>
            <w:noWrap/>
            <w:vAlign w:val="center"/>
            <w:hideMark/>
          </w:tcPr>
          <w:p w14:paraId="091B7354" w14:textId="77777777" w:rsidR="002F0133" w:rsidRPr="000B4E2C" w:rsidRDefault="002F0133" w:rsidP="008A7464">
            <w:pPr>
              <w:rPr>
                <w:color w:val="000000"/>
                <w:sz w:val="22"/>
                <w:lang w:val="en-GB" w:eastAsia="en-GB"/>
              </w:rPr>
            </w:pPr>
            <w:r w:rsidRPr="000B4E2C">
              <w:rPr>
                <w:sz w:val="22"/>
                <w:lang w:val="en-GB" w:eastAsia="en-GB"/>
              </w:rPr>
              <w:t>Sensitivity</w:t>
            </w:r>
          </w:p>
        </w:tc>
        <w:tc>
          <w:tcPr>
            <w:tcW w:w="0" w:type="auto"/>
            <w:shd w:val="clear" w:color="auto" w:fill="auto"/>
          </w:tcPr>
          <w:p w14:paraId="31528866" w14:textId="77777777" w:rsidR="000B4E2C" w:rsidRPr="000B4E2C" w:rsidRDefault="002F0133" w:rsidP="008A7464">
            <w:pPr>
              <w:jc w:val="right"/>
              <w:rPr>
                <w:sz w:val="22"/>
                <w:lang w:val="en-GB" w:eastAsia="en-GB"/>
              </w:rPr>
            </w:pPr>
            <w:r w:rsidRPr="000B4E2C">
              <w:rPr>
                <w:sz w:val="22"/>
                <w:lang w:val="en-GB" w:eastAsia="en-GB"/>
              </w:rPr>
              <w:t>0.83</w:t>
            </w:r>
          </w:p>
          <w:p w14:paraId="6C02EE10" w14:textId="5933BFD1" w:rsidR="002F0133" w:rsidRPr="000B4E2C" w:rsidRDefault="002F0133" w:rsidP="008A7464">
            <w:pPr>
              <w:jc w:val="right"/>
              <w:rPr>
                <w:color w:val="000000"/>
                <w:sz w:val="22"/>
                <w:lang w:val="en-GB" w:eastAsia="en-GB"/>
              </w:rPr>
            </w:pPr>
            <w:r w:rsidRPr="000B4E2C">
              <w:rPr>
                <w:sz w:val="22"/>
                <w:lang w:val="en-GB" w:eastAsia="en-GB"/>
              </w:rPr>
              <w:t>(0.72 to 0.91)</w:t>
            </w:r>
          </w:p>
        </w:tc>
        <w:tc>
          <w:tcPr>
            <w:tcW w:w="0" w:type="auto"/>
            <w:shd w:val="clear" w:color="auto" w:fill="auto"/>
            <w:noWrap/>
            <w:vAlign w:val="center"/>
            <w:hideMark/>
          </w:tcPr>
          <w:p w14:paraId="4773D306" w14:textId="77777777" w:rsidR="002F0133" w:rsidRPr="000B4E2C" w:rsidRDefault="002F0133" w:rsidP="008A7464">
            <w:pPr>
              <w:jc w:val="right"/>
              <w:rPr>
                <w:color w:val="000000"/>
                <w:sz w:val="22"/>
                <w:lang w:val="en-GB" w:eastAsia="en-GB"/>
              </w:rPr>
            </w:pPr>
            <w:r w:rsidRPr="000B4E2C">
              <w:rPr>
                <w:sz w:val="22"/>
                <w:lang w:val="en-GB" w:eastAsia="en-GB"/>
              </w:rPr>
              <w:t>1.615</w:t>
            </w:r>
          </w:p>
        </w:tc>
        <w:tc>
          <w:tcPr>
            <w:tcW w:w="0" w:type="auto"/>
            <w:shd w:val="clear" w:color="auto" w:fill="auto"/>
            <w:noWrap/>
            <w:vAlign w:val="center"/>
            <w:hideMark/>
          </w:tcPr>
          <w:p w14:paraId="417366B8" w14:textId="77777777" w:rsidR="002F0133" w:rsidRPr="000B4E2C" w:rsidRDefault="002F0133" w:rsidP="008A7464">
            <w:pPr>
              <w:jc w:val="right"/>
              <w:rPr>
                <w:color w:val="000000"/>
                <w:sz w:val="22"/>
                <w:lang w:val="en-GB" w:eastAsia="en-GB"/>
              </w:rPr>
            </w:pPr>
            <w:r w:rsidRPr="000B4E2C">
              <w:rPr>
                <w:sz w:val="22"/>
                <w:lang w:val="en-GB" w:eastAsia="en-GB"/>
              </w:rPr>
              <w:t>0.336</w:t>
            </w:r>
          </w:p>
        </w:tc>
        <w:tc>
          <w:tcPr>
            <w:tcW w:w="0" w:type="auto"/>
            <w:vMerge w:val="restart"/>
            <w:shd w:val="clear" w:color="auto" w:fill="auto"/>
            <w:noWrap/>
            <w:vAlign w:val="center"/>
            <w:hideMark/>
          </w:tcPr>
          <w:p w14:paraId="03387D02" w14:textId="701B9D4D" w:rsidR="002F0133" w:rsidRPr="000B4E2C" w:rsidRDefault="000B4E2C" w:rsidP="008A7464">
            <w:pPr>
              <w:jc w:val="right"/>
              <w:rPr>
                <w:color w:val="000000"/>
                <w:sz w:val="22"/>
                <w:lang w:val="en-GB" w:eastAsia="en-GB"/>
              </w:rPr>
            </w:pPr>
            <w:r w:rsidRPr="000B4E2C">
              <w:rPr>
                <w:color w:val="00B0F0"/>
                <w:sz w:val="22"/>
                <w:lang w:val="en-GB" w:eastAsia="en-GB"/>
              </w:rPr>
              <w:t>–</w:t>
            </w:r>
            <w:r w:rsidRPr="000B4E2C">
              <w:rPr>
                <w:color w:val="00B0F0"/>
                <w:sz w:val="22"/>
                <w:lang w:val="en-GB" w:eastAsia="en-GB"/>
              </w:rPr>
              <w:t>1</w:t>
            </w:r>
            <w:r w:rsidR="002F0133" w:rsidRPr="000B4E2C">
              <w:rPr>
                <w:sz w:val="22"/>
                <w:lang w:val="en-GB" w:eastAsia="en-GB"/>
              </w:rPr>
              <w:t>.000</w:t>
            </w:r>
            <w:r w:rsidRPr="000B4E2C">
              <w:rPr>
                <w:sz w:val="22"/>
                <w:lang w:val="en-GB" w:eastAsia="en-GB"/>
              </w:rPr>
              <w:t xml:space="preserve"> </w:t>
            </w:r>
          </w:p>
        </w:tc>
        <w:tc>
          <w:tcPr>
            <w:tcW w:w="0" w:type="auto"/>
            <w:vMerge w:val="restart"/>
            <w:shd w:val="clear" w:color="auto" w:fill="auto"/>
            <w:vAlign w:val="center"/>
          </w:tcPr>
          <w:p w14:paraId="2920793D" w14:textId="77777777" w:rsidR="002F0133" w:rsidRPr="000B4E2C" w:rsidRDefault="002F0133" w:rsidP="008A7464">
            <w:pPr>
              <w:jc w:val="right"/>
              <w:rPr>
                <w:sz w:val="22"/>
                <w:lang w:val="en-GB" w:eastAsia="en-GB"/>
              </w:rPr>
            </w:pPr>
            <w:r w:rsidRPr="000B4E2C">
              <w:rPr>
                <w:sz w:val="22"/>
                <w:lang w:val="en-GB" w:eastAsia="en-GB"/>
              </w:rPr>
              <w:t>Meta analysis</w:t>
            </w:r>
          </w:p>
          <w:p w14:paraId="5DD7E5E3" w14:textId="485B2A42" w:rsidR="002F0133" w:rsidRPr="000B4E2C" w:rsidRDefault="002F0133" w:rsidP="008A7464">
            <w:pPr>
              <w:jc w:val="right"/>
              <w:rPr>
                <w:sz w:val="22"/>
                <w:lang w:val="en-GB" w:eastAsia="en-GB"/>
              </w:rPr>
            </w:pPr>
            <w:r w:rsidRPr="000B4E2C">
              <w:rPr>
                <w:sz w:val="22"/>
                <w:lang w:val="en-GB" w:eastAsia="en-GB"/>
              </w:rPr>
              <w:t>(</w:t>
            </w:r>
            <w:r w:rsidR="008B3A0A" w:rsidRPr="000B4E2C">
              <w:rPr>
                <w:sz w:val="22"/>
                <w:lang w:val="en-GB" w:eastAsia="en-GB"/>
              </w:rPr>
              <w:t>Chapter 3</w:t>
            </w:r>
            <w:r w:rsidRPr="000B4E2C">
              <w:rPr>
                <w:sz w:val="22"/>
                <w:lang w:val="en-GB" w:eastAsia="en-GB"/>
              </w:rPr>
              <w:t>)</w:t>
            </w:r>
          </w:p>
        </w:tc>
      </w:tr>
      <w:tr w:rsidR="000B4E2C" w:rsidRPr="000B4E2C" w14:paraId="62EF1265" w14:textId="77777777" w:rsidTr="000B4E2C">
        <w:trPr>
          <w:cantSplit/>
        </w:trPr>
        <w:tc>
          <w:tcPr>
            <w:tcW w:w="0" w:type="auto"/>
            <w:vMerge/>
            <w:shd w:val="clear" w:color="auto" w:fill="auto"/>
            <w:noWrap/>
            <w:vAlign w:val="center"/>
            <w:hideMark/>
          </w:tcPr>
          <w:p w14:paraId="61196D4E" w14:textId="77777777" w:rsidR="002F0133" w:rsidRPr="000B4E2C" w:rsidRDefault="002F0133" w:rsidP="008A7464">
            <w:pPr>
              <w:rPr>
                <w:color w:val="000000"/>
                <w:sz w:val="22"/>
                <w:lang w:val="en-GB" w:eastAsia="en-GB"/>
              </w:rPr>
            </w:pPr>
          </w:p>
        </w:tc>
        <w:tc>
          <w:tcPr>
            <w:tcW w:w="0" w:type="auto"/>
            <w:shd w:val="clear" w:color="auto" w:fill="auto"/>
            <w:noWrap/>
            <w:vAlign w:val="center"/>
            <w:hideMark/>
          </w:tcPr>
          <w:p w14:paraId="2783238D" w14:textId="77777777" w:rsidR="002F0133" w:rsidRPr="000B4E2C" w:rsidRDefault="002F0133" w:rsidP="008A7464">
            <w:pPr>
              <w:rPr>
                <w:color w:val="000000"/>
                <w:sz w:val="22"/>
                <w:lang w:val="en-GB" w:eastAsia="en-GB"/>
              </w:rPr>
            </w:pPr>
            <w:r w:rsidRPr="000B4E2C">
              <w:rPr>
                <w:sz w:val="22"/>
                <w:lang w:val="en-GB" w:eastAsia="en-GB"/>
              </w:rPr>
              <w:t>Specificity</w:t>
            </w:r>
          </w:p>
        </w:tc>
        <w:tc>
          <w:tcPr>
            <w:tcW w:w="0" w:type="auto"/>
            <w:shd w:val="clear" w:color="auto" w:fill="auto"/>
          </w:tcPr>
          <w:p w14:paraId="3DE8300F" w14:textId="77777777" w:rsidR="000B4E2C" w:rsidRPr="000B4E2C" w:rsidRDefault="002F0133" w:rsidP="008A7464">
            <w:pPr>
              <w:jc w:val="right"/>
              <w:rPr>
                <w:sz w:val="22"/>
                <w:lang w:val="en-GB" w:eastAsia="en-GB"/>
              </w:rPr>
            </w:pPr>
            <w:r w:rsidRPr="000B4E2C">
              <w:rPr>
                <w:sz w:val="22"/>
                <w:lang w:val="en-GB" w:eastAsia="en-GB"/>
              </w:rPr>
              <w:t>0.51</w:t>
            </w:r>
          </w:p>
          <w:p w14:paraId="73B675A8" w14:textId="464771DE" w:rsidR="002F0133" w:rsidRPr="000B4E2C" w:rsidRDefault="002F0133" w:rsidP="008A7464">
            <w:pPr>
              <w:jc w:val="right"/>
              <w:rPr>
                <w:color w:val="000000"/>
                <w:sz w:val="22"/>
                <w:lang w:val="en-GB" w:eastAsia="en-GB"/>
              </w:rPr>
            </w:pPr>
            <w:r w:rsidRPr="000B4E2C">
              <w:rPr>
                <w:sz w:val="22"/>
                <w:lang w:val="en-GB" w:eastAsia="en-GB"/>
              </w:rPr>
              <w:t>(0.48 to 0.54)</w:t>
            </w:r>
          </w:p>
        </w:tc>
        <w:tc>
          <w:tcPr>
            <w:tcW w:w="0" w:type="auto"/>
            <w:shd w:val="clear" w:color="auto" w:fill="auto"/>
            <w:noWrap/>
            <w:vAlign w:val="center"/>
            <w:hideMark/>
          </w:tcPr>
          <w:p w14:paraId="39CCA4A5" w14:textId="77777777" w:rsidR="002F0133" w:rsidRPr="000B4E2C" w:rsidRDefault="002F0133" w:rsidP="008A7464">
            <w:pPr>
              <w:jc w:val="right"/>
              <w:rPr>
                <w:color w:val="000000"/>
                <w:sz w:val="22"/>
                <w:lang w:val="en-GB" w:eastAsia="en-GB"/>
              </w:rPr>
            </w:pPr>
            <w:r w:rsidRPr="000B4E2C">
              <w:rPr>
                <w:sz w:val="22"/>
                <w:lang w:val="en-GB" w:eastAsia="en-GB"/>
              </w:rPr>
              <w:t>0.040</w:t>
            </w:r>
          </w:p>
        </w:tc>
        <w:tc>
          <w:tcPr>
            <w:tcW w:w="0" w:type="auto"/>
            <w:shd w:val="clear" w:color="auto" w:fill="auto"/>
            <w:noWrap/>
            <w:vAlign w:val="center"/>
            <w:hideMark/>
          </w:tcPr>
          <w:p w14:paraId="7AD51618" w14:textId="77777777" w:rsidR="002F0133" w:rsidRPr="000B4E2C" w:rsidRDefault="002F0133" w:rsidP="008A7464">
            <w:pPr>
              <w:jc w:val="right"/>
              <w:rPr>
                <w:color w:val="000000"/>
                <w:sz w:val="22"/>
                <w:lang w:val="en-GB" w:eastAsia="en-GB"/>
              </w:rPr>
            </w:pPr>
            <w:r w:rsidRPr="000B4E2C">
              <w:rPr>
                <w:sz w:val="22"/>
                <w:lang w:val="en-GB" w:eastAsia="en-GB"/>
              </w:rPr>
              <w:t>0.064</w:t>
            </w:r>
          </w:p>
        </w:tc>
        <w:tc>
          <w:tcPr>
            <w:tcW w:w="0" w:type="auto"/>
            <w:vMerge/>
            <w:shd w:val="clear" w:color="auto" w:fill="auto"/>
            <w:noWrap/>
            <w:vAlign w:val="center"/>
            <w:hideMark/>
          </w:tcPr>
          <w:p w14:paraId="5BBD93D9" w14:textId="77777777" w:rsidR="002F0133" w:rsidRPr="000B4E2C" w:rsidRDefault="002F0133" w:rsidP="008A7464">
            <w:pPr>
              <w:jc w:val="right"/>
              <w:rPr>
                <w:color w:val="000000"/>
                <w:sz w:val="22"/>
                <w:lang w:val="en-GB" w:eastAsia="en-GB"/>
              </w:rPr>
            </w:pPr>
          </w:p>
        </w:tc>
        <w:tc>
          <w:tcPr>
            <w:tcW w:w="0" w:type="auto"/>
            <w:vMerge/>
            <w:shd w:val="clear" w:color="auto" w:fill="auto"/>
            <w:vAlign w:val="center"/>
          </w:tcPr>
          <w:p w14:paraId="12DDD2DD" w14:textId="77777777" w:rsidR="002F0133" w:rsidRPr="000B4E2C" w:rsidRDefault="002F0133" w:rsidP="008A7464">
            <w:pPr>
              <w:jc w:val="right"/>
              <w:rPr>
                <w:sz w:val="22"/>
                <w:lang w:val="en-GB" w:eastAsia="en-GB"/>
              </w:rPr>
            </w:pPr>
          </w:p>
        </w:tc>
      </w:tr>
      <w:tr w:rsidR="000B4E2C" w:rsidRPr="000B4E2C" w14:paraId="2B87AE35" w14:textId="77777777" w:rsidTr="000B4E2C">
        <w:trPr>
          <w:cantSplit/>
        </w:trPr>
        <w:tc>
          <w:tcPr>
            <w:tcW w:w="0" w:type="auto"/>
            <w:vMerge w:val="restart"/>
            <w:shd w:val="clear" w:color="auto" w:fill="auto"/>
            <w:noWrap/>
            <w:vAlign w:val="center"/>
            <w:hideMark/>
          </w:tcPr>
          <w:p w14:paraId="08A189AE" w14:textId="77777777" w:rsidR="002F0133" w:rsidRPr="000B4E2C" w:rsidRDefault="002F0133" w:rsidP="008A7464">
            <w:pPr>
              <w:rPr>
                <w:sz w:val="22"/>
                <w:lang w:val="en-GB" w:eastAsia="en-GB"/>
              </w:rPr>
            </w:pPr>
            <w:r w:rsidRPr="000B4E2C">
              <w:rPr>
                <w:sz w:val="22"/>
                <w:lang w:val="en-GB" w:eastAsia="en-GB"/>
              </w:rPr>
              <w:t>NGAL urine</w:t>
            </w:r>
          </w:p>
          <w:p w14:paraId="26FF2A18" w14:textId="77777777" w:rsidR="000B4E2C" w:rsidRPr="000B4E2C" w:rsidRDefault="002F0133" w:rsidP="008A7464">
            <w:pPr>
              <w:rPr>
                <w:sz w:val="22"/>
                <w:lang w:val="en-GB" w:eastAsia="en-GB"/>
              </w:rPr>
            </w:pPr>
            <w:r w:rsidRPr="000B4E2C">
              <w:rPr>
                <w:sz w:val="22"/>
                <w:lang w:val="en-GB" w:eastAsia="en-GB"/>
              </w:rPr>
              <w:t>(</w:t>
            </w:r>
            <w:r w:rsidR="009D7F5A" w:rsidRPr="000B4E2C">
              <w:rPr>
                <w:sz w:val="22"/>
                <w:lang w:val="en-GB" w:eastAsia="en-GB"/>
              </w:rPr>
              <w:t>BioPorto</w:t>
            </w:r>
            <w:r w:rsidRPr="000B4E2C">
              <w:rPr>
                <w:sz w:val="22"/>
                <w:lang w:val="en-GB" w:eastAsia="en-GB"/>
              </w:rPr>
              <w:t>)</w:t>
            </w:r>
          </w:p>
          <w:p w14:paraId="7BFEF50F" w14:textId="18DE6616" w:rsidR="002F0133" w:rsidRPr="000B4E2C" w:rsidRDefault="002F0133" w:rsidP="008A7464">
            <w:pPr>
              <w:rPr>
                <w:color w:val="000000"/>
                <w:sz w:val="22"/>
                <w:lang w:val="en-GB" w:eastAsia="en-GB"/>
              </w:rPr>
            </w:pPr>
          </w:p>
        </w:tc>
        <w:tc>
          <w:tcPr>
            <w:tcW w:w="0" w:type="auto"/>
            <w:shd w:val="clear" w:color="auto" w:fill="auto"/>
            <w:noWrap/>
            <w:vAlign w:val="center"/>
            <w:hideMark/>
          </w:tcPr>
          <w:p w14:paraId="7F0C44C5" w14:textId="77777777" w:rsidR="002F0133" w:rsidRPr="000B4E2C" w:rsidRDefault="002F0133" w:rsidP="008A7464">
            <w:pPr>
              <w:rPr>
                <w:color w:val="000000"/>
                <w:sz w:val="22"/>
                <w:lang w:val="en-GB" w:eastAsia="en-GB"/>
              </w:rPr>
            </w:pPr>
            <w:r w:rsidRPr="000B4E2C">
              <w:rPr>
                <w:sz w:val="22"/>
                <w:lang w:val="en-GB" w:eastAsia="en-GB"/>
              </w:rPr>
              <w:t>Sensitivity</w:t>
            </w:r>
          </w:p>
        </w:tc>
        <w:tc>
          <w:tcPr>
            <w:tcW w:w="0" w:type="auto"/>
            <w:shd w:val="clear" w:color="auto" w:fill="auto"/>
          </w:tcPr>
          <w:p w14:paraId="32A1BA54" w14:textId="77777777" w:rsidR="000B4E2C" w:rsidRPr="000B4E2C" w:rsidRDefault="002F0133" w:rsidP="008A7464">
            <w:pPr>
              <w:jc w:val="right"/>
              <w:rPr>
                <w:sz w:val="22"/>
                <w:lang w:val="en-GB" w:eastAsia="en-GB"/>
              </w:rPr>
            </w:pPr>
            <w:r w:rsidRPr="000B4E2C">
              <w:rPr>
                <w:sz w:val="22"/>
                <w:lang w:val="en-GB" w:eastAsia="en-GB"/>
              </w:rPr>
              <w:t>0.72</w:t>
            </w:r>
          </w:p>
          <w:p w14:paraId="52EE1ACC" w14:textId="25FE94DD" w:rsidR="002F0133" w:rsidRPr="000B4E2C" w:rsidRDefault="002F0133" w:rsidP="008A7464">
            <w:pPr>
              <w:jc w:val="right"/>
              <w:rPr>
                <w:color w:val="000000"/>
                <w:sz w:val="22"/>
                <w:lang w:val="en-GB" w:eastAsia="en-GB"/>
              </w:rPr>
            </w:pPr>
            <w:r w:rsidRPr="000B4E2C">
              <w:rPr>
                <w:sz w:val="22"/>
                <w:lang w:val="en-GB" w:eastAsia="en-GB"/>
              </w:rPr>
              <w:t>(0.61 to 0.80)</w:t>
            </w:r>
          </w:p>
        </w:tc>
        <w:tc>
          <w:tcPr>
            <w:tcW w:w="0" w:type="auto"/>
            <w:shd w:val="clear" w:color="auto" w:fill="auto"/>
            <w:noWrap/>
            <w:vAlign w:val="center"/>
            <w:hideMark/>
          </w:tcPr>
          <w:p w14:paraId="1386E5AB" w14:textId="77777777" w:rsidR="002F0133" w:rsidRPr="000B4E2C" w:rsidRDefault="002F0133" w:rsidP="008A7464">
            <w:pPr>
              <w:jc w:val="right"/>
              <w:rPr>
                <w:color w:val="000000"/>
                <w:sz w:val="22"/>
                <w:lang w:val="en-GB" w:eastAsia="en-GB"/>
              </w:rPr>
            </w:pPr>
            <w:r w:rsidRPr="000B4E2C">
              <w:rPr>
                <w:sz w:val="22"/>
                <w:lang w:val="en-GB" w:eastAsia="en-GB"/>
              </w:rPr>
              <w:t>0.926</w:t>
            </w:r>
          </w:p>
        </w:tc>
        <w:tc>
          <w:tcPr>
            <w:tcW w:w="0" w:type="auto"/>
            <w:shd w:val="clear" w:color="auto" w:fill="auto"/>
            <w:noWrap/>
            <w:vAlign w:val="center"/>
            <w:hideMark/>
          </w:tcPr>
          <w:p w14:paraId="392597A1" w14:textId="77777777" w:rsidR="002F0133" w:rsidRPr="000B4E2C" w:rsidRDefault="002F0133" w:rsidP="008A7464">
            <w:pPr>
              <w:jc w:val="right"/>
              <w:rPr>
                <w:color w:val="000000"/>
                <w:sz w:val="22"/>
                <w:lang w:val="en-GB" w:eastAsia="en-GB"/>
              </w:rPr>
            </w:pPr>
            <w:r w:rsidRPr="000B4E2C">
              <w:rPr>
                <w:sz w:val="22"/>
                <w:lang w:val="en-GB" w:eastAsia="en-GB"/>
              </w:rPr>
              <w:t>0.247</w:t>
            </w:r>
          </w:p>
        </w:tc>
        <w:tc>
          <w:tcPr>
            <w:tcW w:w="0" w:type="auto"/>
            <w:vMerge w:val="restart"/>
            <w:shd w:val="clear" w:color="auto" w:fill="auto"/>
            <w:noWrap/>
            <w:vAlign w:val="center"/>
            <w:hideMark/>
          </w:tcPr>
          <w:p w14:paraId="7236D267" w14:textId="0F8F1FB4" w:rsidR="002F0133" w:rsidRPr="000B4E2C" w:rsidRDefault="000B4E2C" w:rsidP="008A7464">
            <w:pPr>
              <w:jc w:val="right"/>
              <w:rPr>
                <w:color w:val="000000"/>
                <w:sz w:val="22"/>
                <w:lang w:val="en-GB" w:eastAsia="en-GB"/>
              </w:rPr>
            </w:pPr>
            <w:r w:rsidRPr="000B4E2C">
              <w:rPr>
                <w:color w:val="00B0F0"/>
                <w:sz w:val="22"/>
                <w:lang w:val="en-GB" w:eastAsia="en-GB"/>
              </w:rPr>
              <w:t>+</w:t>
            </w:r>
            <w:r w:rsidRPr="000B4E2C">
              <w:rPr>
                <w:color w:val="00B0F0"/>
                <w:sz w:val="22"/>
                <w:lang w:val="en-GB" w:eastAsia="en-GB"/>
              </w:rPr>
              <w:t> </w:t>
            </w:r>
            <w:r w:rsidRPr="000B4E2C">
              <w:rPr>
                <w:color w:val="00B0F0"/>
                <w:sz w:val="22"/>
                <w:lang w:val="en-GB" w:eastAsia="en-GB"/>
              </w:rPr>
              <w:t>0</w:t>
            </w:r>
            <w:r w:rsidR="002F0133" w:rsidRPr="000B4E2C">
              <w:rPr>
                <w:sz w:val="22"/>
                <w:lang w:val="en-GB" w:eastAsia="en-GB"/>
              </w:rPr>
              <w:t>.905</w:t>
            </w:r>
            <w:r w:rsidRPr="000B4E2C">
              <w:rPr>
                <w:sz w:val="22"/>
                <w:lang w:val="en-GB" w:eastAsia="en-GB"/>
              </w:rPr>
              <w:t xml:space="preserve"> </w:t>
            </w:r>
          </w:p>
        </w:tc>
        <w:tc>
          <w:tcPr>
            <w:tcW w:w="0" w:type="auto"/>
            <w:vMerge w:val="restart"/>
            <w:shd w:val="clear" w:color="auto" w:fill="auto"/>
            <w:vAlign w:val="center"/>
          </w:tcPr>
          <w:p w14:paraId="642C9AFA" w14:textId="77777777" w:rsidR="008B3A0A" w:rsidRPr="000B4E2C" w:rsidRDefault="008B3A0A" w:rsidP="008B3A0A">
            <w:pPr>
              <w:jc w:val="right"/>
              <w:rPr>
                <w:sz w:val="22"/>
                <w:lang w:val="en-GB" w:eastAsia="en-GB"/>
              </w:rPr>
            </w:pPr>
            <w:r w:rsidRPr="000B4E2C">
              <w:rPr>
                <w:sz w:val="22"/>
                <w:lang w:val="en-GB" w:eastAsia="en-GB"/>
              </w:rPr>
              <w:t>Meta analysis</w:t>
            </w:r>
          </w:p>
          <w:p w14:paraId="7F52EE2A" w14:textId="1E424775" w:rsidR="002F0133" w:rsidRPr="000B4E2C" w:rsidRDefault="008B3A0A" w:rsidP="008B3A0A">
            <w:pPr>
              <w:jc w:val="right"/>
              <w:rPr>
                <w:sz w:val="22"/>
                <w:lang w:val="en-GB" w:eastAsia="en-GB"/>
              </w:rPr>
            </w:pPr>
            <w:r w:rsidRPr="000B4E2C">
              <w:rPr>
                <w:sz w:val="22"/>
                <w:lang w:val="en-GB" w:eastAsia="en-GB"/>
              </w:rPr>
              <w:t>(Chapter 3)</w:t>
            </w:r>
          </w:p>
        </w:tc>
      </w:tr>
      <w:tr w:rsidR="000B4E2C" w:rsidRPr="000B4E2C" w14:paraId="69E960B5" w14:textId="77777777" w:rsidTr="000B4E2C">
        <w:trPr>
          <w:cantSplit/>
        </w:trPr>
        <w:tc>
          <w:tcPr>
            <w:tcW w:w="0" w:type="auto"/>
            <w:vMerge/>
            <w:shd w:val="clear" w:color="auto" w:fill="auto"/>
            <w:noWrap/>
            <w:vAlign w:val="center"/>
            <w:hideMark/>
          </w:tcPr>
          <w:p w14:paraId="0F32DEEE" w14:textId="77777777" w:rsidR="002F0133" w:rsidRPr="000B4E2C" w:rsidRDefault="002F0133" w:rsidP="008A7464">
            <w:pPr>
              <w:rPr>
                <w:color w:val="000000"/>
                <w:sz w:val="22"/>
                <w:lang w:val="en-GB" w:eastAsia="en-GB"/>
              </w:rPr>
            </w:pPr>
          </w:p>
        </w:tc>
        <w:tc>
          <w:tcPr>
            <w:tcW w:w="0" w:type="auto"/>
            <w:shd w:val="clear" w:color="auto" w:fill="auto"/>
            <w:noWrap/>
            <w:vAlign w:val="center"/>
            <w:hideMark/>
          </w:tcPr>
          <w:p w14:paraId="2D9F025D" w14:textId="77777777" w:rsidR="002F0133" w:rsidRPr="000B4E2C" w:rsidRDefault="002F0133" w:rsidP="008A7464">
            <w:pPr>
              <w:rPr>
                <w:color w:val="000000"/>
                <w:sz w:val="22"/>
                <w:lang w:val="en-GB" w:eastAsia="en-GB"/>
              </w:rPr>
            </w:pPr>
            <w:r w:rsidRPr="000B4E2C">
              <w:rPr>
                <w:sz w:val="22"/>
                <w:lang w:val="en-GB" w:eastAsia="en-GB"/>
              </w:rPr>
              <w:t>Specificity</w:t>
            </w:r>
          </w:p>
        </w:tc>
        <w:tc>
          <w:tcPr>
            <w:tcW w:w="0" w:type="auto"/>
            <w:shd w:val="clear" w:color="auto" w:fill="auto"/>
          </w:tcPr>
          <w:p w14:paraId="482A8293" w14:textId="77777777" w:rsidR="002F0133" w:rsidRPr="000B4E2C" w:rsidRDefault="002F0133" w:rsidP="008A7464">
            <w:pPr>
              <w:jc w:val="right"/>
              <w:rPr>
                <w:sz w:val="22"/>
                <w:lang w:val="en-GB" w:eastAsia="en-GB"/>
              </w:rPr>
            </w:pPr>
            <w:r w:rsidRPr="000B4E2C">
              <w:rPr>
                <w:sz w:val="22"/>
                <w:lang w:val="en-GB" w:eastAsia="en-GB"/>
              </w:rPr>
              <w:t>0.87</w:t>
            </w:r>
          </w:p>
          <w:p w14:paraId="21E0249C" w14:textId="77777777" w:rsidR="002F0133" w:rsidRPr="000B4E2C" w:rsidRDefault="002F0133" w:rsidP="008A7464">
            <w:pPr>
              <w:jc w:val="right"/>
              <w:rPr>
                <w:color w:val="000000"/>
                <w:sz w:val="22"/>
                <w:lang w:val="en-GB" w:eastAsia="en-GB"/>
              </w:rPr>
            </w:pPr>
            <w:r w:rsidRPr="000B4E2C">
              <w:rPr>
                <w:sz w:val="22"/>
                <w:lang w:val="en-GB" w:eastAsia="en-GB"/>
              </w:rPr>
              <w:t>(0.66 to 0.96)</w:t>
            </w:r>
          </w:p>
        </w:tc>
        <w:tc>
          <w:tcPr>
            <w:tcW w:w="0" w:type="auto"/>
            <w:shd w:val="clear" w:color="auto" w:fill="auto"/>
            <w:noWrap/>
            <w:vAlign w:val="center"/>
            <w:hideMark/>
          </w:tcPr>
          <w:p w14:paraId="2EE93B08" w14:textId="77777777" w:rsidR="002F0133" w:rsidRPr="000B4E2C" w:rsidRDefault="002F0133" w:rsidP="008A7464">
            <w:pPr>
              <w:jc w:val="right"/>
              <w:rPr>
                <w:color w:val="000000"/>
                <w:sz w:val="22"/>
                <w:lang w:val="en-GB" w:eastAsia="en-GB"/>
              </w:rPr>
            </w:pPr>
            <w:r w:rsidRPr="000B4E2C">
              <w:rPr>
                <w:sz w:val="22"/>
                <w:lang w:val="en-GB" w:eastAsia="en-GB"/>
              </w:rPr>
              <w:t>1.876</w:t>
            </w:r>
          </w:p>
        </w:tc>
        <w:tc>
          <w:tcPr>
            <w:tcW w:w="0" w:type="auto"/>
            <w:shd w:val="clear" w:color="auto" w:fill="auto"/>
            <w:noWrap/>
            <w:vAlign w:val="center"/>
            <w:hideMark/>
          </w:tcPr>
          <w:p w14:paraId="448A6AE3" w14:textId="77777777" w:rsidR="002F0133" w:rsidRPr="000B4E2C" w:rsidRDefault="002F0133" w:rsidP="008A7464">
            <w:pPr>
              <w:jc w:val="right"/>
              <w:rPr>
                <w:color w:val="000000"/>
                <w:sz w:val="22"/>
                <w:lang w:val="en-GB" w:eastAsia="en-GB"/>
              </w:rPr>
            </w:pPr>
            <w:r w:rsidRPr="000B4E2C">
              <w:rPr>
                <w:sz w:val="22"/>
                <w:lang w:val="en-GB" w:eastAsia="en-GB"/>
              </w:rPr>
              <w:t>0.617</w:t>
            </w:r>
          </w:p>
        </w:tc>
        <w:tc>
          <w:tcPr>
            <w:tcW w:w="0" w:type="auto"/>
            <w:vMerge/>
            <w:shd w:val="clear" w:color="auto" w:fill="auto"/>
            <w:noWrap/>
            <w:vAlign w:val="center"/>
            <w:hideMark/>
          </w:tcPr>
          <w:p w14:paraId="0D335D29" w14:textId="77777777" w:rsidR="002F0133" w:rsidRPr="000B4E2C" w:rsidRDefault="002F0133" w:rsidP="008A7464">
            <w:pPr>
              <w:jc w:val="right"/>
              <w:rPr>
                <w:color w:val="000000"/>
                <w:sz w:val="22"/>
                <w:lang w:val="en-GB" w:eastAsia="en-GB"/>
              </w:rPr>
            </w:pPr>
          </w:p>
        </w:tc>
        <w:tc>
          <w:tcPr>
            <w:tcW w:w="0" w:type="auto"/>
            <w:vMerge/>
            <w:shd w:val="clear" w:color="auto" w:fill="auto"/>
            <w:vAlign w:val="center"/>
          </w:tcPr>
          <w:p w14:paraId="0689A771" w14:textId="77777777" w:rsidR="002F0133" w:rsidRPr="000B4E2C" w:rsidRDefault="002F0133" w:rsidP="008A7464">
            <w:pPr>
              <w:jc w:val="right"/>
              <w:rPr>
                <w:sz w:val="22"/>
                <w:lang w:val="en-GB" w:eastAsia="en-GB"/>
              </w:rPr>
            </w:pPr>
          </w:p>
        </w:tc>
      </w:tr>
      <w:tr w:rsidR="000B4E2C" w:rsidRPr="000B4E2C" w14:paraId="7660AE35" w14:textId="77777777" w:rsidTr="000B4E2C">
        <w:trPr>
          <w:cantSplit/>
        </w:trPr>
        <w:tc>
          <w:tcPr>
            <w:tcW w:w="0" w:type="auto"/>
            <w:vMerge w:val="restart"/>
            <w:shd w:val="clear" w:color="auto" w:fill="auto"/>
            <w:noWrap/>
            <w:vAlign w:val="center"/>
            <w:hideMark/>
          </w:tcPr>
          <w:p w14:paraId="392FE49C" w14:textId="77777777" w:rsidR="002F0133" w:rsidRPr="000B4E2C" w:rsidRDefault="002F0133" w:rsidP="008A7464">
            <w:pPr>
              <w:rPr>
                <w:sz w:val="22"/>
                <w:lang w:val="en-GB" w:eastAsia="en-GB"/>
              </w:rPr>
            </w:pPr>
            <w:r w:rsidRPr="000B4E2C">
              <w:rPr>
                <w:sz w:val="22"/>
                <w:lang w:val="en-GB" w:eastAsia="en-GB"/>
              </w:rPr>
              <w:t>NGAL urine</w:t>
            </w:r>
          </w:p>
          <w:p w14:paraId="23FAF4A0" w14:textId="77777777" w:rsidR="000B4E2C" w:rsidRPr="000B4E2C" w:rsidRDefault="002F0133" w:rsidP="008A7464">
            <w:pPr>
              <w:rPr>
                <w:sz w:val="22"/>
                <w:lang w:val="en-GB" w:eastAsia="en-GB"/>
              </w:rPr>
            </w:pPr>
            <w:r w:rsidRPr="000B4E2C">
              <w:rPr>
                <w:sz w:val="22"/>
                <w:lang w:val="en-GB" w:eastAsia="en-GB"/>
              </w:rPr>
              <w:t>(ARCHITECT)</w:t>
            </w:r>
          </w:p>
          <w:p w14:paraId="32E26B25" w14:textId="0175EC68" w:rsidR="002F0133" w:rsidRPr="000B4E2C" w:rsidRDefault="002F0133" w:rsidP="008A7464">
            <w:pPr>
              <w:rPr>
                <w:color w:val="000000"/>
                <w:sz w:val="22"/>
                <w:lang w:val="en-GB" w:eastAsia="en-GB"/>
              </w:rPr>
            </w:pPr>
          </w:p>
        </w:tc>
        <w:tc>
          <w:tcPr>
            <w:tcW w:w="0" w:type="auto"/>
            <w:shd w:val="clear" w:color="auto" w:fill="auto"/>
            <w:noWrap/>
            <w:vAlign w:val="center"/>
            <w:hideMark/>
          </w:tcPr>
          <w:p w14:paraId="33354960" w14:textId="77777777" w:rsidR="002F0133" w:rsidRPr="000B4E2C" w:rsidRDefault="002F0133" w:rsidP="008A7464">
            <w:pPr>
              <w:rPr>
                <w:color w:val="000000"/>
                <w:sz w:val="22"/>
                <w:lang w:val="en-GB" w:eastAsia="en-GB"/>
              </w:rPr>
            </w:pPr>
            <w:r w:rsidRPr="000B4E2C">
              <w:rPr>
                <w:sz w:val="22"/>
                <w:lang w:val="en-GB" w:eastAsia="en-GB"/>
              </w:rPr>
              <w:t>Sensitivity</w:t>
            </w:r>
          </w:p>
        </w:tc>
        <w:tc>
          <w:tcPr>
            <w:tcW w:w="0" w:type="auto"/>
            <w:shd w:val="clear" w:color="auto" w:fill="auto"/>
          </w:tcPr>
          <w:p w14:paraId="0344365A" w14:textId="77777777" w:rsidR="000B4E2C" w:rsidRPr="000B4E2C" w:rsidRDefault="002F0133" w:rsidP="008A7464">
            <w:pPr>
              <w:jc w:val="right"/>
              <w:rPr>
                <w:sz w:val="22"/>
                <w:lang w:val="en-GB" w:eastAsia="en-GB"/>
              </w:rPr>
            </w:pPr>
            <w:r w:rsidRPr="000B4E2C">
              <w:rPr>
                <w:sz w:val="22"/>
                <w:lang w:val="en-GB" w:eastAsia="en-GB"/>
              </w:rPr>
              <w:t>0.70</w:t>
            </w:r>
          </w:p>
          <w:p w14:paraId="027C71F9" w14:textId="0F888432" w:rsidR="002F0133" w:rsidRPr="000B4E2C" w:rsidRDefault="002F0133" w:rsidP="008A7464">
            <w:pPr>
              <w:jc w:val="right"/>
              <w:rPr>
                <w:color w:val="000000"/>
                <w:sz w:val="22"/>
                <w:lang w:val="en-GB" w:eastAsia="en-GB"/>
              </w:rPr>
            </w:pPr>
            <w:r w:rsidRPr="000B4E2C">
              <w:rPr>
                <w:sz w:val="22"/>
                <w:lang w:val="en-GB" w:eastAsia="en-GB"/>
              </w:rPr>
              <w:t>(0.63 to 0.76)</w:t>
            </w:r>
          </w:p>
        </w:tc>
        <w:tc>
          <w:tcPr>
            <w:tcW w:w="0" w:type="auto"/>
            <w:shd w:val="clear" w:color="auto" w:fill="auto"/>
            <w:noWrap/>
            <w:vAlign w:val="center"/>
            <w:hideMark/>
          </w:tcPr>
          <w:p w14:paraId="7B2D1ECB" w14:textId="77777777" w:rsidR="002F0133" w:rsidRPr="000B4E2C" w:rsidRDefault="002F0133" w:rsidP="008A7464">
            <w:pPr>
              <w:jc w:val="right"/>
              <w:rPr>
                <w:color w:val="000000"/>
                <w:sz w:val="22"/>
                <w:lang w:val="en-GB" w:eastAsia="en-GB"/>
              </w:rPr>
            </w:pPr>
            <w:r w:rsidRPr="000B4E2C">
              <w:rPr>
                <w:sz w:val="22"/>
                <w:lang w:val="en-GB" w:eastAsia="en-GB"/>
              </w:rPr>
              <w:t>0.855</w:t>
            </w:r>
          </w:p>
        </w:tc>
        <w:tc>
          <w:tcPr>
            <w:tcW w:w="0" w:type="auto"/>
            <w:shd w:val="clear" w:color="auto" w:fill="auto"/>
            <w:noWrap/>
            <w:vAlign w:val="center"/>
            <w:hideMark/>
          </w:tcPr>
          <w:p w14:paraId="0D033A94" w14:textId="77777777" w:rsidR="002F0133" w:rsidRPr="000B4E2C" w:rsidRDefault="002F0133" w:rsidP="008A7464">
            <w:pPr>
              <w:jc w:val="right"/>
              <w:rPr>
                <w:color w:val="000000"/>
                <w:sz w:val="22"/>
                <w:lang w:val="en-GB" w:eastAsia="en-GB"/>
              </w:rPr>
            </w:pPr>
            <w:r w:rsidRPr="000B4E2C">
              <w:rPr>
                <w:sz w:val="22"/>
                <w:lang w:val="en-GB" w:eastAsia="en-GB"/>
              </w:rPr>
              <w:t>0.165</w:t>
            </w:r>
          </w:p>
        </w:tc>
        <w:tc>
          <w:tcPr>
            <w:tcW w:w="0" w:type="auto"/>
            <w:vMerge w:val="restart"/>
            <w:shd w:val="clear" w:color="auto" w:fill="auto"/>
            <w:noWrap/>
            <w:vAlign w:val="center"/>
            <w:hideMark/>
          </w:tcPr>
          <w:p w14:paraId="4FEAE84D" w14:textId="3CE887EB" w:rsidR="002F0133" w:rsidRPr="000B4E2C" w:rsidRDefault="000B4E2C" w:rsidP="008A7464">
            <w:pPr>
              <w:jc w:val="right"/>
              <w:rPr>
                <w:color w:val="000000"/>
                <w:sz w:val="22"/>
                <w:lang w:val="en-GB" w:eastAsia="en-GB"/>
              </w:rPr>
            </w:pPr>
            <w:r w:rsidRPr="000B4E2C">
              <w:rPr>
                <w:color w:val="00B0F0"/>
                <w:sz w:val="22"/>
                <w:lang w:val="en-GB" w:eastAsia="en-GB"/>
              </w:rPr>
              <w:t>+</w:t>
            </w:r>
            <w:r w:rsidRPr="000B4E2C">
              <w:rPr>
                <w:color w:val="00B0F0"/>
                <w:sz w:val="22"/>
                <w:lang w:val="en-GB" w:eastAsia="en-GB"/>
              </w:rPr>
              <w:t> </w:t>
            </w:r>
            <w:r w:rsidRPr="000B4E2C">
              <w:rPr>
                <w:color w:val="00B0F0"/>
                <w:sz w:val="22"/>
                <w:lang w:val="en-GB" w:eastAsia="en-GB"/>
              </w:rPr>
              <w:t>1</w:t>
            </w:r>
            <w:r w:rsidR="002F0133" w:rsidRPr="000B4E2C">
              <w:rPr>
                <w:sz w:val="22"/>
                <w:lang w:val="en-GB" w:eastAsia="en-GB"/>
              </w:rPr>
              <w:t>.000</w:t>
            </w:r>
            <w:r w:rsidRPr="000B4E2C">
              <w:rPr>
                <w:sz w:val="22"/>
                <w:lang w:val="en-GB" w:eastAsia="en-GB"/>
              </w:rPr>
              <w:t xml:space="preserve"> </w:t>
            </w:r>
          </w:p>
        </w:tc>
        <w:tc>
          <w:tcPr>
            <w:tcW w:w="0" w:type="auto"/>
            <w:vMerge w:val="restart"/>
            <w:shd w:val="clear" w:color="auto" w:fill="auto"/>
            <w:vAlign w:val="center"/>
          </w:tcPr>
          <w:p w14:paraId="1DC32192" w14:textId="77777777" w:rsidR="008B3A0A" w:rsidRPr="000B4E2C" w:rsidRDefault="008B3A0A" w:rsidP="008B3A0A">
            <w:pPr>
              <w:jc w:val="right"/>
              <w:rPr>
                <w:sz w:val="22"/>
                <w:lang w:val="en-GB" w:eastAsia="en-GB"/>
              </w:rPr>
            </w:pPr>
            <w:r w:rsidRPr="000B4E2C">
              <w:rPr>
                <w:sz w:val="22"/>
                <w:lang w:val="en-GB" w:eastAsia="en-GB"/>
              </w:rPr>
              <w:t>Meta analysis</w:t>
            </w:r>
          </w:p>
          <w:p w14:paraId="57FBEA84" w14:textId="61EB9DF3" w:rsidR="002F0133" w:rsidRPr="000B4E2C" w:rsidRDefault="008B3A0A" w:rsidP="008B3A0A">
            <w:pPr>
              <w:jc w:val="right"/>
              <w:rPr>
                <w:sz w:val="22"/>
                <w:lang w:val="en-GB" w:eastAsia="en-GB"/>
              </w:rPr>
            </w:pPr>
            <w:r w:rsidRPr="000B4E2C">
              <w:rPr>
                <w:sz w:val="22"/>
                <w:lang w:val="en-GB" w:eastAsia="en-GB"/>
              </w:rPr>
              <w:t>(Chapter 3)</w:t>
            </w:r>
          </w:p>
        </w:tc>
      </w:tr>
      <w:tr w:rsidR="000B4E2C" w:rsidRPr="000B4E2C" w14:paraId="1C5C30F8" w14:textId="77777777" w:rsidTr="000B4E2C">
        <w:trPr>
          <w:cantSplit/>
        </w:trPr>
        <w:tc>
          <w:tcPr>
            <w:tcW w:w="0" w:type="auto"/>
            <w:vMerge/>
            <w:shd w:val="clear" w:color="auto" w:fill="auto"/>
            <w:noWrap/>
            <w:vAlign w:val="center"/>
            <w:hideMark/>
          </w:tcPr>
          <w:p w14:paraId="76081971" w14:textId="77777777" w:rsidR="002F0133" w:rsidRPr="000B4E2C" w:rsidRDefault="002F0133" w:rsidP="008A7464">
            <w:pPr>
              <w:rPr>
                <w:color w:val="000000"/>
                <w:sz w:val="22"/>
                <w:lang w:val="en-GB" w:eastAsia="en-GB"/>
              </w:rPr>
            </w:pPr>
          </w:p>
        </w:tc>
        <w:tc>
          <w:tcPr>
            <w:tcW w:w="0" w:type="auto"/>
            <w:shd w:val="clear" w:color="auto" w:fill="auto"/>
            <w:noWrap/>
            <w:vAlign w:val="center"/>
            <w:hideMark/>
          </w:tcPr>
          <w:p w14:paraId="2FC4FD5C" w14:textId="77777777" w:rsidR="002F0133" w:rsidRPr="000B4E2C" w:rsidRDefault="002F0133" w:rsidP="008A7464">
            <w:pPr>
              <w:rPr>
                <w:color w:val="000000"/>
                <w:sz w:val="22"/>
                <w:lang w:val="en-GB" w:eastAsia="en-GB"/>
              </w:rPr>
            </w:pPr>
            <w:r w:rsidRPr="000B4E2C">
              <w:rPr>
                <w:sz w:val="22"/>
                <w:lang w:val="en-GB" w:eastAsia="en-GB"/>
              </w:rPr>
              <w:t>Specificity</w:t>
            </w:r>
          </w:p>
        </w:tc>
        <w:tc>
          <w:tcPr>
            <w:tcW w:w="0" w:type="auto"/>
            <w:shd w:val="clear" w:color="auto" w:fill="auto"/>
          </w:tcPr>
          <w:p w14:paraId="0ED26C43" w14:textId="77777777" w:rsidR="000B4E2C" w:rsidRPr="000B4E2C" w:rsidRDefault="002F0133" w:rsidP="008A7464">
            <w:pPr>
              <w:jc w:val="right"/>
              <w:rPr>
                <w:sz w:val="22"/>
                <w:lang w:val="en-GB" w:eastAsia="en-GB"/>
              </w:rPr>
            </w:pPr>
            <w:r w:rsidRPr="000B4E2C">
              <w:rPr>
                <w:sz w:val="22"/>
                <w:lang w:val="en-GB" w:eastAsia="en-GB"/>
              </w:rPr>
              <w:t>0.72</w:t>
            </w:r>
          </w:p>
          <w:p w14:paraId="1BDCB2D7" w14:textId="6AE5D968" w:rsidR="002F0133" w:rsidRPr="000B4E2C" w:rsidRDefault="002F0133" w:rsidP="008A7464">
            <w:pPr>
              <w:jc w:val="right"/>
              <w:rPr>
                <w:color w:val="000000"/>
                <w:sz w:val="22"/>
                <w:lang w:val="en-GB" w:eastAsia="en-GB"/>
              </w:rPr>
            </w:pPr>
            <w:r w:rsidRPr="000B4E2C">
              <w:rPr>
                <w:sz w:val="22"/>
                <w:lang w:val="en-GB" w:eastAsia="en-GB"/>
              </w:rPr>
              <w:t>(0.63 to 0.80)</w:t>
            </w:r>
          </w:p>
        </w:tc>
        <w:tc>
          <w:tcPr>
            <w:tcW w:w="0" w:type="auto"/>
            <w:shd w:val="clear" w:color="auto" w:fill="auto"/>
            <w:noWrap/>
            <w:vAlign w:val="center"/>
            <w:hideMark/>
          </w:tcPr>
          <w:p w14:paraId="7CC5B01A" w14:textId="77777777" w:rsidR="002F0133" w:rsidRPr="000B4E2C" w:rsidRDefault="002F0133" w:rsidP="008A7464">
            <w:pPr>
              <w:jc w:val="right"/>
              <w:rPr>
                <w:color w:val="000000"/>
                <w:sz w:val="22"/>
                <w:lang w:val="en-GB" w:eastAsia="en-GB"/>
              </w:rPr>
            </w:pPr>
            <w:r w:rsidRPr="000B4E2C">
              <w:rPr>
                <w:sz w:val="22"/>
                <w:lang w:val="en-GB" w:eastAsia="en-GB"/>
              </w:rPr>
              <w:t>0.958</w:t>
            </w:r>
          </w:p>
        </w:tc>
        <w:tc>
          <w:tcPr>
            <w:tcW w:w="0" w:type="auto"/>
            <w:shd w:val="clear" w:color="auto" w:fill="auto"/>
            <w:noWrap/>
            <w:vAlign w:val="center"/>
            <w:hideMark/>
          </w:tcPr>
          <w:p w14:paraId="4701D905" w14:textId="77777777" w:rsidR="002F0133" w:rsidRPr="000B4E2C" w:rsidRDefault="002F0133" w:rsidP="008A7464">
            <w:pPr>
              <w:jc w:val="right"/>
              <w:rPr>
                <w:color w:val="000000"/>
                <w:sz w:val="22"/>
                <w:lang w:val="en-GB" w:eastAsia="en-GB"/>
              </w:rPr>
            </w:pPr>
            <w:r w:rsidRPr="000B4E2C">
              <w:rPr>
                <w:sz w:val="22"/>
                <w:lang w:val="en-GB" w:eastAsia="en-GB"/>
              </w:rPr>
              <w:t>0.226</w:t>
            </w:r>
          </w:p>
        </w:tc>
        <w:tc>
          <w:tcPr>
            <w:tcW w:w="0" w:type="auto"/>
            <w:vMerge/>
            <w:shd w:val="clear" w:color="auto" w:fill="auto"/>
            <w:noWrap/>
            <w:vAlign w:val="center"/>
            <w:hideMark/>
          </w:tcPr>
          <w:p w14:paraId="2CEF6D29" w14:textId="77777777" w:rsidR="002F0133" w:rsidRPr="000B4E2C" w:rsidRDefault="002F0133" w:rsidP="008A7464">
            <w:pPr>
              <w:jc w:val="right"/>
              <w:rPr>
                <w:color w:val="000000"/>
                <w:sz w:val="22"/>
                <w:lang w:val="en-GB" w:eastAsia="en-GB"/>
              </w:rPr>
            </w:pPr>
          </w:p>
        </w:tc>
        <w:tc>
          <w:tcPr>
            <w:tcW w:w="0" w:type="auto"/>
            <w:vMerge/>
            <w:shd w:val="clear" w:color="auto" w:fill="auto"/>
            <w:vAlign w:val="center"/>
          </w:tcPr>
          <w:p w14:paraId="783B7749" w14:textId="77777777" w:rsidR="002F0133" w:rsidRPr="000B4E2C" w:rsidRDefault="002F0133" w:rsidP="008A7464">
            <w:pPr>
              <w:jc w:val="right"/>
              <w:rPr>
                <w:sz w:val="22"/>
                <w:lang w:val="en-GB" w:eastAsia="en-GB"/>
              </w:rPr>
            </w:pPr>
          </w:p>
        </w:tc>
      </w:tr>
      <w:tr w:rsidR="000B4E2C" w:rsidRPr="000B4E2C" w14:paraId="27498D28" w14:textId="77777777" w:rsidTr="000B4E2C">
        <w:trPr>
          <w:cantSplit/>
        </w:trPr>
        <w:tc>
          <w:tcPr>
            <w:tcW w:w="0" w:type="auto"/>
            <w:vMerge w:val="restart"/>
            <w:shd w:val="clear" w:color="auto" w:fill="auto"/>
            <w:noWrap/>
            <w:vAlign w:val="center"/>
            <w:hideMark/>
          </w:tcPr>
          <w:p w14:paraId="17CF60E7" w14:textId="77777777" w:rsidR="002F0133" w:rsidRPr="000B4E2C" w:rsidRDefault="002F0133" w:rsidP="008A7464">
            <w:pPr>
              <w:rPr>
                <w:sz w:val="22"/>
                <w:lang w:val="en-GB" w:eastAsia="en-GB"/>
              </w:rPr>
            </w:pPr>
            <w:r w:rsidRPr="000B4E2C">
              <w:rPr>
                <w:sz w:val="22"/>
                <w:lang w:val="en-GB" w:eastAsia="en-GB"/>
              </w:rPr>
              <w:t>NGAL plasma</w:t>
            </w:r>
          </w:p>
          <w:p w14:paraId="7DFB9F77" w14:textId="77777777" w:rsidR="000B4E2C" w:rsidRPr="000B4E2C" w:rsidRDefault="002F0133" w:rsidP="008A7464">
            <w:pPr>
              <w:rPr>
                <w:sz w:val="22"/>
                <w:lang w:val="en-GB" w:eastAsia="en-GB"/>
              </w:rPr>
            </w:pPr>
            <w:r w:rsidRPr="000B4E2C">
              <w:rPr>
                <w:sz w:val="22"/>
                <w:lang w:val="en-GB" w:eastAsia="en-GB"/>
              </w:rPr>
              <w:t>(</w:t>
            </w:r>
            <w:r w:rsidR="009D7F5A" w:rsidRPr="000B4E2C">
              <w:rPr>
                <w:sz w:val="22"/>
                <w:lang w:val="en-GB" w:eastAsia="en-GB"/>
              </w:rPr>
              <w:t>BioPorto</w:t>
            </w:r>
            <w:r w:rsidRPr="000B4E2C">
              <w:rPr>
                <w:sz w:val="22"/>
                <w:lang w:val="en-GB" w:eastAsia="en-GB"/>
              </w:rPr>
              <w:t>)</w:t>
            </w:r>
          </w:p>
          <w:p w14:paraId="70C1F64C" w14:textId="6D87635C" w:rsidR="002F0133" w:rsidRPr="000B4E2C" w:rsidRDefault="002F0133" w:rsidP="008A7464">
            <w:pPr>
              <w:rPr>
                <w:color w:val="000000"/>
                <w:sz w:val="22"/>
                <w:lang w:val="en-GB" w:eastAsia="en-GB"/>
              </w:rPr>
            </w:pPr>
          </w:p>
        </w:tc>
        <w:tc>
          <w:tcPr>
            <w:tcW w:w="0" w:type="auto"/>
            <w:shd w:val="clear" w:color="auto" w:fill="auto"/>
            <w:noWrap/>
            <w:vAlign w:val="center"/>
            <w:hideMark/>
          </w:tcPr>
          <w:p w14:paraId="5C12A3C4" w14:textId="77777777" w:rsidR="002F0133" w:rsidRPr="000B4E2C" w:rsidRDefault="002F0133" w:rsidP="008A7464">
            <w:pPr>
              <w:rPr>
                <w:color w:val="000000"/>
                <w:sz w:val="22"/>
                <w:lang w:val="en-GB" w:eastAsia="en-GB"/>
              </w:rPr>
            </w:pPr>
            <w:r w:rsidRPr="000B4E2C">
              <w:rPr>
                <w:sz w:val="22"/>
                <w:lang w:val="en-GB" w:eastAsia="en-GB"/>
              </w:rPr>
              <w:t>Sensitivity</w:t>
            </w:r>
          </w:p>
        </w:tc>
        <w:tc>
          <w:tcPr>
            <w:tcW w:w="0" w:type="auto"/>
            <w:shd w:val="clear" w:color="auto" w:fill="auto"/>
          </w:tcPr>
          <w:p w14:paraId="662CF90A" w14:textId="77777777" w:rsidR="000B4E2C" w:rsidRPr="000B4E2C" w:rsidRDefault="002F0133" w:rsidP="008A7464">
            <w:pPr>
              <w:jc w:val="right"/>
              <w:rPr>
                <w:sz w:val="22"/>
                <w:lang w:val="en-GB" w:eastAsia="en-GB"/>
              </w:rPr>
            </w:pPr>
            <w:r w:rsidRPr="000B4E2C">
              <w:rPr>
                <w:sz w:val="22"/>
                <w:lang w:val="en-GB" w:eastAsia="en-GB"/>
              </w:rPr>
              <w:t>0.76</w:t>
            </w:r>
          </w:p>
          <w:p w14:paraId="678F2AC5" w14:textId="39900C19" w:rsidR="002F0133" w:rsidRPr="000B4E2C" w:rsidRDefault="002F0133" w:rsidP="008A7464">
            <w:pPr>
              <w:jc w:val="right"/>
              <w:rPr>
                <w:color w:val="000000"/>
                <w:sz w:val="22"/>
                <w:lang w:val="en-GB" w:eastAsia="en-GB"/>
              </w:rPr>
            </w:pPr>
            <w:r w:rsidRPr="000B4E2C">
              <w:rPr>
                <w:sz w:val="22"/>
                <w:lang w:val="en-GB" w:eastAsia="en-GB"/>
              </w:rPr>
              <w:t>(0.56 to 0.89)</w:t>
            </w:r>
          </w:p>
        </w:tc>
        <w:tc>
          <w:tcPr>
            <w:tcW w:w="0" w:type="auto"/>
            <w:shd w:val="clear" w:color="auto" w:fill="auto"/>
            <w:noWrap/>
            <w:vAlign w:val="center"/>
            <w:hideMark/>
          </w:tcPr>
          <w:p w14:paraId="7A68B722" w14:textId="77777777" w:rsidR="002F0133" w:rsidRPr="000B4E2C" w:rsidRDefault="002F0133" w:rsidP="008A7464">
            <w:pPr>
              <w:jc w:val="right"/>
              <w:rPr>
                <w:color w:val="000000"/>
                <w:sz w:val="22"/>
                <w:lang w:val="en-GB" w:eastAsia="en-GB"/>
              </w:rPr>
            </w:pPr>
            <w:r w:rsidRPr="000B4E2C">
              <w:rPr>
                <w:sz w:val="22"/>
                <w:lang w:val="en-GB" w:eastAsia="en-GB"/>
              </w:rPr>
              <w:t>1.156</w:t>
            </w:r>
          </w:p>
        </w:tc>
        <w:tc>
          <w:tcPr>
            <w:tcW w:w="0" w:type="auto"/>
            <w:shd w:val="clear" w:color="auto" w:fill="auto"/>
            <w:noWrap/>
            <w:vAlign w:val="center"/>
            <w:hideMark/>
          </w:tcPr>
          <w:p w14:paraId="1E467EF3" w14:textId="77777777" w:rsidR="002F0133" w:rsidRPr="000B4E2C" w:rsidRDefault="002F0133" w:rsidP="008A7464">
            <w:pPr>
              <w:jc w:val="right"/>
              <w:rPr>
                <w:color w:val="000000"/>
                <w:sz w:val="22"/>
                <w:lang w:val="en-GB" w:eastAsia="en-GB"/>
              </w:rPr>
            </w:pPr>
            <w:r w:rsidRPr="000B4E2C">
              <w:rPr>
                <w:sz w:val="22"/>
                <w:lang w:val="en-GB" w:eastAsia="en-GB"/>
              </w:rPr>
              <w:t>0.462</w:t>
            </w:r>
          </w:p>
        </w:tc>
        <w:tc>
          <w:tcPr>
            <w:tcW w:w="0" w:type="auto"/>
            <w:vMerge w:val="restart"/>
            <w:shd w:val="clear" w:color="auto" w:fill="auto"/>
            <w:noWrap/>
            <w:vAlign w:val="center"/>
            <w:hideMark/>
          </w:tcPr>
          <w:p w14:paraId="118103D3" w14:textId="4676CF19" w:rsidR="002F0133" w:rsidRPr="000B4E2C" w:rsidRDefault="000B4E2C" w:rsidP="008A7464">
            <w:pPr>
              <w:jc w:val="right"/>
              <w:rPr>
                <w:color w:val="000000"/>
                <w:sz w:val="22"/>
                <w:lang w:val="en-GB" w:eastAsia="en-GB"/>
              </w:rPr>
            </w:pPr>
            <w:r w:rsidRPr="000B4E2C">
              <w:rPr>
                <w:color w:val="00B0F0"/>
                <w:sz w:val="22"/>
                <w:lang w:val="en-GB" w:eastAsia="en-GB"/>
              </w:rPr>
              <w:t>–</w:t>
            </w:r>
            <w:r w:rsidRPr="000B4E2C">
              <w:rPr>
                <w:color w:val="00B0F0"/>
                <w:sz w:val="22"/>
                <w:lang w:val="en-GB" w:eastAsia="en-GB"/>
              </w:rPr>
              <w:t>1</w:t>
            </w:r>
            <w:r w:rsidR="002F0133" w:rsidRPr="000B4E2C">
              <w:rPr>
                <w:sz w:val="22"/>
                <w:lang w:val="en-GB" w:eastAsia="en-GB"/>
              </w:rPr>
              <w:t>.000</w:t>
            </w:r>
            <w:r w:rsidRPr="000B4E2C">
              <w:rPr>
                <w:sz w:val="22"/>
                <w:lang w:val="en-GB" w:eastAsia="en-GB"/>
              </w:rPr>
              <w:t xml:space="preserve"> </w:t>
            </w:r>
          </w:p>
        </w:tc>
        <w:tc>
          <w:tcPr>
            <w:tcW w:w="0" w:type="auto"/>
            <w:vMerge w:val="restart"/>
            <w:shd w:val="clear" w:color="auto" w:fill="auto"/>
            <w:vAlign w:val="center"/>
          </w:tcPr>
          <w:p w14:paraId="495CEB5D" w14:textId="77777777" w:rsidR="008B3A0A" w:rsidRPr="000B4E2C" w:rsidRDefault="008B3A0A" w:rsidP="008B3A0A">
            <w:pPr>
              <w:jc w:val="right"/>
              <w:rPr>
                <w:sz w:val="22"/>
                <w:lang w:val="en-GB" w:eastAsia="en-GB"/>
              </w:rPr>
            </w:pPr>
            <w:r w:rsidRPr="000B4E2C">
              <w:rPr>
                <w:sz w:val="22"/>
                <w:lang w:val="en-GB" w:eastAsia="en-GB"/>
              </w:rPr>
              <w:t>Meta analysis</w:t>
            </w:r>
          </w:p>
          <w:p w14:paraId="4BE4E59D" w14:textId="0CBE34D7" w:rsidR="002F0133" w:rsidRPr="000B4E2C" w:rsidRDefault="008B3A0A" w:rsidP="008B3A0A">
            <w:pPr>
              <w:jc w:val="right"/>
              <w:rPr>
                <w:sz w:val="22"/>
                <w:lang w:val="en-GB" w:eastAsia="en-GB"/>
              </w:rPr>
            </w:pPr>
            <w:r w:rsidRPr="000B4E2C">
              <w:rPr>
                <w:sz w:val="22"/>
                <w:lang w:val="en-GB" w:eastAsia="en-GB"/>
              </w:rPr>
              <w:t>(Chapter 3)</w:t>
            </w:r>
          </w:p>
        </w:tc>
      </w:tr>
      <w:tr w:rsidR="000B4E2C" w:rsidRPr="000B4E2C" w14:paraId="2C129604" w14:textId="77777777" w:rsidTr="000B4E2C">
        <w:trPr>
          <w:cantSplit/>
        </w:trPr>
        <w:tc>
          <w:tcPr>
            <w:tcW w:w="0" w:type="auto"/>
            <w:vMerge/>
            <w:shd w:val="clear" w:color="auto" w:fill="auto"/>
            <w:noWrap/>
            <w:vAlign w:val="center"/>
            <w:hideMark/>
          </w:tcPr>
          <w:p w14:paraId="4BB8F832" w14:textId="77777777" w:rsidR="002F0133" w:rsidRPr="000B4E2C" w:rsidRDefault="002F0133" w:rsidP="008A7464">
            <w:pPr>
              <w:rPr>
                <w:color w:val="000000"/>
                <w:sz w:val="22"/>
                <w:lang w:val="en-GB" w:eastAsia="en-GB"/>
              </w:rPr>
            </w:pPr>
          </w:p>
        </w:tc>
        <w:tc>
          <w:tcPr>
            <w:tcW w:w="0" w:type="auto"/>
            <w:shd w:val="clear" w:color="auto" w:fill="auto"/>
            <w:noWrap/>
            <w:vAlign w:val="center"/>
            <w:hideMark/>
          </w:tcPr>
          <w:p w14:paraId="121666A4" w14:textId="77777777" w:rsidR="002F0133" w:rsidRPr="000B4E2C" w:rsidRDefault="002F0133" w:rsidP="008A7464">
            <w:pPr>
              <w:rPr>
                <w:color w:val="000000"/>
                <w:sz w:val="22"/>
                <w:lang w:val="en-GB" w:eastAsia="en-GB"/>
              </w:rPr>
            </w:pPr>
            <w:r w:rsidRPr="000B4E2C">
              <w:rPr>
                <w:sz w:val="22"/>
                <w:lang w:val="en-GB" w:eastAsia="en-GB"/>
              </w:rPr>
              <w:t>Specificity</w:t>
            </w:r>
          </w:p>
        </w:tc>
        <w:tc>
          <w:tcPr>
            <w:tcW w:w="0" w:type="auto"/>
            <w:shd w:val="clear" w:color="auto" w:fill="auto"/>
          </w:tcPr>
          <w:p w14:paraId="4927D628" w14:textId="77777777" w:rsidR="000B4E2C" w:rsidRPr="000B4E2C" w:rsidRDefault="002F0133" w:rsidP="008A7464">
            <w:pPr>
              <w:jc w:val="right"/>
              <w:rPr>
                <w:sz w:val="22"/>
                <w:lang w:val="en-GB" w:eastAsia="en-GB"/>
              </w:rPr>
            </w:pPr>
            <w:r w:rsidRPr="000B4E2C">
              <w:rPr>
                <w:sz w:val="22"/>
                <w:lang w:val="en-GB" w:eastAsia="en-GB"/>
              </w:rPr>
              <w:t>0.67</w:t>
            </w:r>
          </w:p>
          <w:p w14:paraId="57808653" w14:textId="665AEC4B" w:rsidR="002F0133" w:rsidRPr="000B4E2C" w:rsidRDefault="002F0133" w:rsidP="008A7464">
            <w:pPr>
              <w:jc w:val="right"/>
              <w:rPr>
                <w:color w:val="000000"/>
                <w:sz w:val="22"/>
                <w:lang w:val="en-GB" w:eastAsia="en-GB"/>
              </w:rPr>
            </w:pPr>
            <w:r w:rsidRPr="000B4E2C">
              <w:rPr>
                <w:sz w:val="22"/>
                <w:lang w:val="en-GB" w:eastAsia="en-GB"/>
              </w:rPr>
              <w:t>(0.40 to 0.86)</w:t>
            </w:r>
          </w:p>
        </w:tc>
        <w:tc>
          <w:tcPr>
            <w:tcW w:w="0" w:type="auto"/>
            <w:shd w:val="clear" w:color="auto" w:fill="auto"/>
            <w:noWrap/>
            <w:vAlign w:val="center"/>
            <w:hideMark/>
          </w:tcPr>
          <w:p w14:paraId="78AE0A46" w14:textId="77777777" w:rsidR="002F0133" w:rsidRPr="000B4E2C" w:rsidRDefault="002F0133" w:rsidP="008A7464">
            <w:pPr>
              <w:jc w:val="right"/>
              <w:rPr>
                <w:color w:val="000000"/>
                <w:sz w:val="22"/>
                <w:lang w:val="en-GB" w:eastAsia="en-GB"/>
              </w:rPr>
            </w:pPr>
            <w:r w:rsidRPr="000B4E2C">
              <w:rPr>
                <w:sz w:val="22"/>
                <w:lang w:val="en-GB" w:eastAsia="en-GB"/>
              </w:rPr>
              <w:t>0.686</w:t>
            </w:r>
          </w:p>
        </w:tc>
        <w:tc>
          <w:tcPr>
            <w:tcW w:w="0" w:type="auto"/>
            <w:shd w:val="clear" w:color="auto" w:fill="auto"/>
            <w:noWrap/>
            <w:vAlign w:val="center"/>
            <w:hideMark/>
          </w:tcPr>
          <w:p w14:paraId="47CD08DB" w14:textId="77777777" w:rsidR="002F0133" w:rsidRPr="000B4E2C" w:rsidRDefault="002F0133" w:rsidP="008A7464">
            <w:pPr>
              <w:jc w:val="right"/>
              <w:rPr>
                <w:color w:val="000000"/>
                <w:sz w:val="22"/>
                <w:lang w:val="en-GB" w:eastAsia="en-GB"/>
              </w:rPr>
            </w:pPr>
            <w:r w:rsidRPr="000B4E2C">
              <w:rPr>
                <w:sz w:val="22"/>
                <w:lang w:val="en-GB" w:eastAsia="en-GB"/>
              </w:rPr>
              <w:t>0.566</w:t>
            </w:r>
          </w:p>
        </w:tc>
        <w:tc>
          <w:tcPr>
            <w:tcW w:w="0" w:type="auto"/>
            <w:vMerge/>
            <w:shd w:val="clear" w:color="auto" w:fill="auto"/>
            <w:noWrap/>
            <w:vAlign w:val="center"/>
            <w:hideMark/>
          </w:tcPr>
          <w:p w14:paraId="1FD982EA" w14:textId="77777777" w:rsidR="002F0133" w:rsidRPr="000B4E2C" w:rsidRDefault="002F0133" w:rsidP="008A7464">
            <w:pPr>
              <w:jc w:val="right"/>
              <w:rPr>
                <w:color w:val="000000"/>
                <w:sz w:val="22"/>
                <w:lang w:val="en-GB" w:eastAsia="en-GB"/>
              </w:rPr>
            </w:pPr>
          </w:p>
        </w:tc>
        <w:tc>
          <w:tcPr>
            <w:tcW w:w="0" w:type="auto"/>
            <w:vMerge/>
            <w:shd w:val="clear" w:color="auto" w:fill="auto"/>
          </w:tcPr>
          <w:p w14:paraId="76801E2D" w14:textId="77777777" w:rsidR="002F0133" w:rsidRPr="000B4E2C" w:rsidRDefault="002F0133" w:rsidP="008A7464">
            <w:pPr>
              <w:rPr>
                <w:sz w:val="22"/>
                <w:lang w:val="en-GB" w:eastAsia="en-GB"/>
              </w:rPr>
            </w:pPr>
          </w:p>
        </w:tc>
      </w:tr>
    </w:tbl>
    <w:p w14:paraId="6011E00F" w14:textId="77777777" w:rsidR="002F0133" w:rsidRPr="000B4E2C" w:rsidRDefault="002F0133" w:rsidP="008A7464">
      <w:pPr>
        <w:rPr>
          <w:color w:val="000000" w:themeColor="text1"/>
        </w:rPr>
      </w:pPr>
    </w:p>
    <w:p w14:paraId="6F929568" w14:textId="0BA2C999" w:rsidR="000B4E2C" w:rsidRPr="000B4E2C" w:rsidRDefault="002F0133" w:rsidP="008A7464">
      <w:pPr>
        <w:rPr>
          <w:lang w:val="en-GB" w:eastAsia="en-GB"/>
        </w:rPr>
      </w:pPr>
      <w:r w:rsidRPr="000B4E2C">
        <w:rPr>
          <w:color w:val="000000" w:themeColor="text1"/>
        </w:rPr>
        <w:t xml:space="preserve">The results of the critical care subgroup analysis are provided in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23</w:t>
      </w:r>
    </w:p>
    <w:p w14:paraId="296DFB36" w14:textId="111EA85E" w:rsidR="002F0133" w:rsidRPr="000B4E2C" w:rsidRDefault="000B4E2C" w:rsidP="008A7464">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23</w:t>
      </w:r>
      <w:r w:rsidRPr="000B4E2C">
        <w:t xml:space="preserve"> </w:t>
      </w:r>
      <w:r w:rsidR="002F0133" w:rsidRPr="000B4E2C">
        <w:t>Results of the critical care subgroup analysis</w:t>
      </w:r>
    </w:p>
    <w:tbl>
      <w:tblPr>
        <w:tblW w:w="0" w:type="auto"/>
        <w:tblCellMar>
          <w:top w:w="40" w:type="dxa"/>
          <w:left w:w="60" w:type="dxa"/>
          <w:bottom w:w="40" w:type="dxa"/>
          <w:right w:w="60" w:type="dxa"/>
        </w:tblCellMar>
        <w:tblLook w:val="04A0" w:firstRow="1" w:lastRow="0" w:firstColumn="1" w:lastColumn="0" w:noHBand="0" w:noVBand="1"/>
      </w:tblPr>
      <w:tblGrid>
        <w:gridCol w:w="2838"/>
        <w:gridCol w:w="706"/>
        <w:gridCol w:w="921"/>
        <w:gridCol w:w="706"/>
        <w:gridCol w:w="921"/>
        <w:gridCol w:w="921"/>
        <w:gridCol w:w="841"/>
        <w:gridCol w:w="586"/>
        <w:gridCol w:w="586"/>
      </w:tblGrid>
      <w:tr w:rsidR="000B4E2C" w:rsidRPr="000B4E2C" w14:paraId="4DB64FD1" w14:textId="77777777" w:rsidTr="000B4E2C">
        <w:trPr>
          <w:cantSplit/>
        </w:trPr>
        <w:tc>
          <w:tcPr>
            <w:tcW w:w="0" w:type="auto"/>
            <w:shd w:val="clear" w:color="auto" w:fill="auto"/>
            <w:vAlign w:val="bottom"/>
            <w:hideMark/>
          </w:tcPr>
          <w:p w14:paraId="7B4B0EB2" w14:textId="77777777" w:rsidR="002F0133" w:rsidRPr="000B4E2C" w:rsidRDefault="002F0133" w:rsidP="008A7464">
            <w:pPr>
              <w:rPr>
                <w:b/>
                <w:bCs/>
                <w:color w:val="000000"/>
                <w:sz w:val="22"/>
                <w:lang w:val="en-GB" w:eastAsia="en-GB"/>
              </w:rPr>
            </w:pPr>
            <w:r w:rsidRPr="000B4E2C">
              <w:rPr>
                <w:b/>
                <w:bCs/>
                <w:sz w:val="22"/>
                <w:lang w:val="en-GB" w:eastAsia="en-GB"/>
              </w:rPr>
              <w:t>Scenario</w:t>
            </w:r>
          </w:p>
        </w:tc>
        <w:tc>
          <w:tcPr>
            <w:tcW w:w="0" w:type="auto"/>
            <w:shd w:val="clear" w:color="auto" w:fill="auto"/>
            <w:vAlign w:val="bottom"/>
            <w:hideMark/>
          </w:tcPr>
          <w:p w14:paraId="097FB8D4" w14:textId="77777777" w:rsidR="002F0133" w:rsidRPr="000B4E2C" w:rsidRDefault="002F0133" w:rsidP="008A7464">
            <w:pPr>
              <w:rPr>
                <w:b/>
                <w:bCs/>
                <w:color w:val="000000"/>
                <w:sz w:val="22"/>
                <w:lang w:val="en-GB" w:eastAsia="en-GB"/>
              </w:rPr>
            </w:pPr>
            <w:r w:rsidRPr="000B4E2C">
              <w:rPr>
                <w:b/>
                <w:bCs/>
                <w:sz w:val="22"/>
                <w:lang w:val="en-GB" w:eastAsia="en-GB"/>
              </w:rPr>
              <w:t>Cost</w:t>
            </w:r>
          </w:p>
        </w:tc>
        <w:tc>
          <w:tcPr>
            <w:tcW w:w="0" w:type="auto"/>
            <w:shd w:val="clear" w:color="auto" w:fill="auto"/>
            <w:vAlign w:val="bottom"/>
            <w:hideMark/>
          </w:tcPr>
          <w:p w14:paraId="03E261BB" w14:textId="77777777" w:rsidR="002F0133" w:rsidRPr="000B4E2C" w:rsidRDefault="002F0133" w:rsidP="008A7464">
            <w:pPr>
              <w:rPr>
                <w:b/>
                <w:bCs/>
                <w:color w:val="000000"/>
                <w:sz w:val="22"/>
                <w:lang w:val="en-GB" w:eastAsia="en-GB"/>
              </w:rPr>
            </w:pPr>
            <w:r w:rsidRPr="000B4E2C">
              <w:rPr>
                <w:b/>
                <w:bCs/>
                <w:sz w:val="22"/>
                <w:lang w:val="en-GB" w:eastAsia="en-GB"/>
              </w:rPr>
              <w:t>Inc. Cost</w:t>
            </w:r>
          </w:p>
        </w:tc>
        <w:tc>
          <w:tcPr>
            <w:tcW w:w="0" w:type="auto"/>
            <w:shd w:val="clear" w:color="auto" w:fill="auto"/>
            <w:vAlign w:val="bottom"/>
            <w:hideMark/>
          </w:tcPr>
          <w:p w14:paraId="1ECBE5B4" w14:textId="77777777" w:rsidR="002F0133" w:rsidRPr="000B4E2C" w:rsidRDefault="002F0133" w:rsidP="008A7464">
            <w:pPr>
              <w:rPr>
                <w:b/>
                <w:bCs/>
                <w:color w:val="000000"/>
                <w:sz w:val="22"/>
                <w:lang w:val="en-GB" w:eastAsia="en-GB"/>
              </w:rPr>
            </w:pPr>
            <w:r w:rsidRPr="000B4E2C">
              <w:rPr>
                <w:b/>
                <w:bCs/>
                <w:sz w:val="22"/>
                <w:lang w:val="en-GB" w:eastAsia="en-GB"/>
              </w:rPr>
              <w:t>QALY</w:t>
            </w:r>
          </w:p>
        </w:tc>
        <w:tc>
          <w:tcPr>
            <w:tcW w:w="0" w:type="auto"/>
            <w:shd w:val="clear" w:color="auto" w:fill="auto"/>
            <w:vAlign w:val="bottom"/>
            <w:hideMark/>
          </w:tcPr>
          <w:p w14:paraId="0F37E8A9" w14:textId="77777777" w:rsidR="002F0133" w:rsidRPr="000B4E2C" w:rsidRDefault="002F0133" w:rsidP="008A7464">
            <w:pPr>
              <w:rPr>
                <w:b/>
                <w:bCs/>
                <w:color w:val="000000"/>
                <w:sz w:val="22"/>
                <w:lang w:val="en-GB" w:eastAsia="en-GB"/>
              </w:rPr>
            </w:pPr>
            <w:r w:rsidRPr="000B4E2C">
              <w:rPr>
                <w:b/>
                <w:bCs/>
                <w:sz w:val="22"/>
                <w:lang w:val="en-GB" w:eastAsia="en-GB"/>
              </w:rPr>
              <w:t>Inc. QALY</w:t>
            </w:r>
          </w:p>
        </w:tc>
        <w:tc>
          <w:tcPr>
            <w:tcW w:w="0" w:type="auto"/>
            <w:shd w:val="clear" w:color="auto" w:fill="auto"/>
            <w:vAlign w:val="bottom"/>
            <w:hideMark/>
          </w:tcPr>
          <w:p w14:paraId="6EE54CB2" w14:textId="77777777" w:rsidR="002F0133" w:rsidRPr="000B4E2C" w:rsidRDefault="002F0133" w:rsidP="008A7464">
            <w:pPr>
              <w:rPr>
                <w:b/>
                <w:bCs/>
                <w:color w:val="000000"/>
                <w:sz w:val="22"/>
                <w:lang w:val="en-GB" w:eastAsia="en-GB"/>
              </w:rPr>
            </w:pPr>
            <w:r w:rsidRPr="000B4E2C">
              <w:rPr>
                <w:b/>
                <w:bCs/>
                <w:sz w:val="22"/>
                <w:lang w:val="en-GB" w:eastAsia="en-GB"/>
              </w:rPr>
              <w:t>ICER (inc)</w:t>
            </w:r>
          </w:p>
        </w:tc>
        <w:tc>
          <w:tcPr>
            <w:tcW w:w="0" w:type="auto"/>
            <w:shd w:val="clear" w:color="auto" w:fill="auto"/>
            <w:vAlign w:val="bottom"/>
            <w:hideMark/>
          </w:tcPr>
          <w:p w14:paraId="6DBC366E" w14:textId="77777777" w:rsidR="002F0133" w:rsidRPr="000B4E2C" w:rsidRDefault="002F0133" w:rsidP="008A7464">
            <w:pPr>
              <w:rPr>
                <w:b/>
                <w:bCs/>
                <w:color w:val="000000"/>
                <w:sz w:val="22"/>
                <w:lang w:val="en-GB" w:eastAsia="en-GB"/>
              </w:rPr>
            </w:pPr>
            <w:r w:rsidRPr="000B4E2C">
              <w:rPr>
                <w:b/>
                <w:bCs/>
                <w:sz w:val="22"/>
                <w:lang w:val="en-GB" w:eastAsia="en-GB"/>
              </w:rPr>
              <w:t>ICER vs. SC</w:t>
            </w:r>
          </w:p>
        </w:tc>
        <w:tc>
          <w:tcPr>
            <w:tcW w:w="0" w:type="auto"/>
            <w:shd w:val="clear" w:color="auto" w:fill="auto"/>
            <w:vAlign w:val="bottom"/>
            <w:hideMark/>
          </w:tcPr>
          <w:p w14:paraId="68811E35" w14:textId="77777777" w:rsidR="002F0133" w:rsidRPr="000B4E2C" w:rsidRDefault="002F0133" w:rsidP="008A7464">
            <w:pPr>
              <w:rPr>
                <w:b/>
                <w:bCs/>
                <w:color w:val="000000"/>
                <w:sz w:val="22"/>
                <w:lang w:val="en-GB" w:eastAsia="en-GB"/>
              </w:rPr>
            </w:pPr>
            <w:r w:rsidRPr="000B4E2C">
              <w:rPr>
                <w:b/>
                <w:bCs/>
                <w:i/>
                <w:color w:val="00B0F0"/>
                <w:sz w:val="22"/>
                <w:lang w:val="en-GB" w:eastAsia="en-GB"/>
              </w:rPr>
              <w:t>p</w:t>
            </w:r>
            <w:r w:rsidRPr="000B4E2C">
              <w:rPr>
                <w:b/>
                <w:bCs/>
                <w:sz w:val="22"/>
                <w:lang w:val="en-GB" w:eastAsia="en-GB"/>
              </w:rPr>
              <w:t xml:space="preserve"> (C/E) @ 20k</w:t>
            </w:r>
          </w:p>
        </w:tc>
        <w:tc>
          <w:tcPr>
            <w:tcW w:w="0" w:type="auto"/>
            <w:shd w:val="clear" w:color="auto" w:fill="auto"/>
            <w:vAlign w:val="bottom"/>
            <w:hideMark/>
          </w:tcPr>
          <w:p w14:paraId="3C70C806" w14:textId="77777777" w:rsidR="002F0133" w:rsidRPr="000B4E2C" w:rsidRDefault="002F0133" w:rsidP="008A7464">
            <w:pPr>
              <w:rPr>
                <w:b/>
                <w:bCs/>
                <w:sz w:val="22"/>
                <w:lang w:val="en-GB" w:eastAsia="en-GB"/>
              </w:rPr>
            </w:pPr>
            <w:r w:rsidRPr="000B4E2C">
              <w:rPr>
                <w:b/>
                <w:bCs/>
                <w:i/>
                <w:color w:val="00B0F0"/>
                <w:sz w:val="22"/>
                <w:lang w:val="en-GB" w:eastAsia="en-GB"/>
              </w:rPr>
              <w:t>p</w:t>
            </w:r>
            <w:r w:rsidRPr="000B4E2C">
              <w:rPr>
                <w:b/>
                <w:bCs/>
                <w:sz w:val="22"/>
                <w:lang w:val="en-GB" w:eastAsia="en-GB"/>
              </w:rPr>
              <w:t xml:space="preserve"> (C/E) @ 20k vs. SC</w:t>
            </w:r>
          </w:p>
        </w:tc>
      </w:tr>
      <w:tr w:rsidR="002F0133" w:rsidRPr="000B4E2C" w14:paraId="16BB4F1E" w14:textId="77777777" w:rsidTr="000B4E2C">
        <w:trPr>
          <w:cantSplit/>
        </w:trPr>
        <w:tc>
          <w:tcPr>
            <w:tcW w:w="0" w:type="auto"/>
            <w:gridSpan w:val="9"/>
            <w:shd w:val="clear" w:color="auto" w:fill="auto"/>
            <w:noWrap/>
            <w:vAlign w:val="bottom"/>
            <w:hideMark/>
          </w:tcPr>
          <w:p w14:paraId="6620E342" w14:textId="77777777" w:rsidR="002F0133" w:rsidRPr="000B4E2C" w:rsidRDefault="002F0133" w:rsidP="008A7464">
            <w:pPr>
              <w:rPr>
                <w:b/>
                <w:bCs/>
                <w:sz w:val="22"/>
                <w:lang w:val="en-GB" w:eastAsia="en-GB"/>
              </w:rPr>
            </w:pPr>
            <w:r w:rsidRPr="000B4E2C">
              <w:rPr>
                <w:b/>
                <w:bCs/>
                <w:sz w:val="22"/>
                <w:lang w:val="en-GB" w:eastAsia="en-GB"/>
              </w:rPr>
              <w:t>Critical care subgroup, applied to base case 1</w:t>
            </w:r>
          </w:p>
        </w:tc>
      </w:tr>
      <w:tr w:rsidR="000B4E2C" w:rsidRPr="000B4E2C" w14:paraId="650D60B7" w14:textId="77777777" w:rsidTr="000B4E2C">
        <w:trPr>
          <w:cantSplit/>
        </w:trPr>
        <w:tc>
          <w:tcPr>
            <w:tcW w:w="0" w:type="auto"/>
            <w:shd w:val="clear" w:color="auto" w:fill="auto"/>
            <w:noWrap/>
            <w:vAlign w:val="bottom"/>
            <w:hideMark/>
          </w:tcPr>
          <w:p w14:paraId="2AD6FA35" w14:textId="4382DE39" w:rsidR="002F0133" w:rsidRPr="000B4E2C" w:rsidRDefault="002F0133" w:rsidP="008A7464">
            <w:pPr>
              <w:rPr>
                <w:color w:val="000000"/>
                <w:sz w:val="22"/>
                <w:lang w:val="en-GB" w:eastAsia="en-GB"/>
              </w:rPr>
            </w:pPr>
            <w:r w:rsidRPr="000B4E2C">
              <w:rPr>
                <w:sz w:val="22"/>
                <w:lang w:val="en-GB" w:eastAsia="en-GB"/>
              </w:rPr>
              <w:t>Test 3 (NGAL urine</w:t>
            </w:r>
            <w:r w:rsidR="000B4E2C" w:rsidRPr="000B4E2C">
              <w:rPr>
                <w:color w:val="00B0F0"/>
                <w:sz w:val="22"/>
                <w:lang w:val="en-GB" w:eastAsia="en-GB"/>
              </w:rPr>
              <w:t xml:space="preserve"> – </w:t>
            </w:r>
            <w:r w:rsidR="009D7F5A" w:rsidRPr="000B4E2C">
              <w:rPr>
                <w:sz w:val="22"/>
                <w:lang w:val="en-GB" w:eastAsia="en-GB"/>
              </w:rPr>
              <w:t>BioPorto</w:t>
            </w:r>
            <w:r w:rsidRPr="000B4E2C">
              <w:rPr>
                <w:sz w:val="22"/>
                <w:lang w:val="en-GB" w:eastAsia="en-GB"/>
              </w:rPr>
              <w:t>)</w:t>
            </w:r>
          </w:p>
        </w:tc>
        <w:tc>
          <w:tcPr>
            <w:tcW w:w="0" w:type="auto"/>
            <w:shd w:val="clear" w:color="auto" w:fill="auto"/>
            <w:noWrap/>
            <w:vAlign w:val="bottom"/>
            <w:hideMark/>
          </w:tcPr>
          <w:p w14:paraId="14498199" w14:textId="77777777" w:rsidR="002F0133" w:rsidRPr="000B4E2C" w:rsidRDefault="002F0133" w:rsidP="008A7464">
            <w:pPr>
              <w:jc w:val="right"/>
              <w:rPr>
                <w:color w:val="000000"/>
                <w:sz w:val="22"/>
                <w:lang w:val="en-GB" w:eastAsia="en-GB"/>
              </w:rPr>
            </w:pPr>
            <w:r w:rsidRPr="000B4E2C">
              <w:rPr>
                <w:sz w:val="22"/>
                <w:lang w:val="en-GB" w:eastAsia="en-GB"/>
              </w:rPr>
              <w:t>£23,008</w:t>
            </w:r>
          </w:p>
        </w:tc>
        <w:tc>
          <w:tcPr>
            <w:tcW w:w="0" w:type="auto"/>
            <w:shd w:val="clear" w:color="auto" w:fill="auto"/>
            <w:noWrap/>
            <w:vAlign w:val="bottom"/>
            <w:hideMark/>
          </w:tcPr>
          <w:p w14:paraId="62FD82DA" w14:textId="77777777" w:rsidR="002F0133" w:rsidRPr="000B4E2C" w:rsidRDefault="002F0133" w:rsidP="008A7464">
            <w:pPr>
              <w:jc w:val="right"/>
              <w:rPr>
                <w:color w:val="000000"/>
                <w:sz w:val="22"/>
                <w:lang w:val="en-GB" w:eastAsia="en-GB"/>
              </w:rPr>
            </w:pPr>
            <w:r w:rsidRPr="000B4E2C">
              <w:rPr>
                <w:sz w:val="22"/>
                <w:lang w:val="en-GB" w:eastAsia="en-GB"/>
              </w:rPr>
              <w:t>--</w:t>
            </w:r>
          </w:p>
        </w:tc>
        <w:tc>
          <w:tcPr>
            <w:tcW w:w="0" w:type="auto"/>
            <w:shd w:val="clear" w:color="auto" w:fill="auto"/>
            <w:noWrap/>
            <w:vAlign w:val="bottom"/>
            <w:hideMark/>
          </w:tcPr>
          <w:p w14:paraId="3291CED8" w14:textId="77777777" w:rsidR="002F0133" w:rsidRPr="000B4E2C" w:rsidRDefault="002F0133" w:rsidP="008A7464">
            <w:pPr>
              <w:jc w:val="right"/>
              <w:rPr>
                <w:color w:val="000000"/>
                <w:sz w:val="22"/>
                <w:lang w:val="en-GB" w:eastAsia="en-GB"/>
              </w:rPr>
            </w:pPr>
            <w:r w:rsidRPr="000B4E2C">
              <w:rPr>
                <w:sz w:val="22"/>
                <w:lang w:val="en-GB" w:eastAsia="en-GB"/>
              </w:rPr>
              <w:t>6.07439</w:t>
            </w:r>
          </w:p>
        </w:tc>
        <w:tc>
          <w:tcPr>
            <w:tcW w:w="0" w:type="auto"/>
            <w:shd w:val="clear" w:color="auto" w:fill="auto"/>
            <w:noWrap/>
            <w:vAlign w:val="bottom"/>
            <w:hideMark/>
          </w:tcPr>
          <w:p w14:paraId="1EB912A8" w14:textId="77777777" w:rsidR="002F0133" w:rsidRPr="000B4E2C" w:rsidRDefault="002F0133" w:rsidP="008A7464">
            <w:pPr>
              <w:jc w:val="right"/>
              <w:rPr>
                <w:color w:val="000000"/>
                <w:sz w:val="22"/>
                <w:lang w:val="en-GB" w:eastAsia="en-GB"/>
              </w:rPr>
            </w:pPr>
            <w:r w:rsidRPr="000B4E2C">
              <w:rPr>
                <w:sz w:val="22"/>
                <w:lang w:val="en-GB" w:eastAsia="en-GB"/>
              </w:rPr>
              <w:t>--</w:t>
            </w:r>
          </w:p>
        </w:tc>
        <w:tc>
          <w:tcPr>
            <w:tcW w:w="0" w:type="auto"/>
            <w:shd w:val="clear" w:color="auto" w:fill="auto"/>
            <w:noWrap/>
            <w:vAlign w:val="bottom"/>
            <w:hideMark/>
          </w:tcPr>
          <w:p w14:paraId="3D0D76DF" w14:textId="77777777" w:rsidR="002F0133" w:rsidRPr="000B4E2C" w:rsidRDefault="002F0133" w:rsidP="008A7464">
            <w:pPr>
              <w:jc w:val="right"/>
              <w:rPr>
                <w:color w:val="000000"/>
                <w:sz w:val="22"/>
                <w:lang w:val="en-GB" w:eastAsia="en-GB"/>
              </w:rPr>
            </w:pPr>
            <w:r w:rsidRPr="000B4E2C">
              <w:rPr>
                <w:sz w:val="22"/>
                <w:lang w:val="en-GB" w:eastAsia="en-GB"/>
              </w:rPr>
              <w:t>--</w:t>
            </w:r>
          </w:p>
        </w:tc>
        <w:tc>
          <w:tcPr>
            <w:tcW w:w="0" w:type="auto"/>
            <w:shd w:val="clear" w:color="auto" w:fill="auto"/>
            <w:noWrap/>
            <w:vAlign w:val="bottom"/>
            <w:hideMark/>
          </w:tcPr>
          <w:p w14:paraId="4896198F" w14:textId="77777777" w:rsidR="002F0133" w:rsidRPr="000B4E2C" w:rsidRDefault="002F0133" w:rsidP="008A7464">
            <w:pPr>
              <w:jc w:val="right"/>
              <w:rPr>
                <w:color w:val="000000"/>
                <w:sz w:val="22"/>
                <w:lang w:val="en-GB" w:eastAsia="en-GB"/>
              </w:rPr>
            </w:pPr>
            <w:r w:rsidRPr="000B4E2C">
              <w:rPr>
                <w:sz w:val="22"/>
                <w:lang w:val="en-GB" w:eastAsia="en-GB"/>
              </w:rPr>
              <w:t>Dominant</w:t>
            </w:r>
          </w:p>
        </w:tc>
        <w:tc>
          <w:tcPr>
            <w:tcW w:w="0" w:type="auto"/>
            <w:shd w:val="clear" w:color="auto" w:fill="auto"/>
            <w:noWrap/>
            <w:vAlign w:val="bottom"/>
            <w:hideMark/>
          </w:tcPr>
          <w:p w14:paraId="415F66E7" w14:textId="77777777" w:rsidR="002F0133" w:rsidRPr="000B4E2C" w:rsidRDefault="002F0133" w:rsidP="008A7464">
            <w:pPr>
              <w:jc w:val="right"/>
              <w:rPr>
                <w:color w:val="000000"/>
                <w:sz w:val="22"/>
                <w:lang w:val="en-GB" w:eastAsia="en-GB"/>
              </w:rPr>
            </w:pPr>
            <w:r w:rsidRPr="000B4E2C">
              <w:rPr>
                <w:sz w:val="22"/>
                <w:lang w:val="en-GB" w:eastAsia="en-GB"/>
              </w:rPr>
              <w:t>37.0%</w:t>
            </w:r>
          </w:p>
        </w:tc>
        <w:tc>
          <w:tcPr>
            <w:tcW w:w="0" w:type="auto"/>
            <w:shd w:val="clear" w:color="auto" w:fill="auto"/>
            <w:noWrap/>
            <w:vAlign w:val="bottom"/>
            <w:hideMark/>
          </w:tcPr>
          <w:p w14:paraId="03FB919A" w14:textId="77777777" w:rsidR="002F0133" w:rsidRPr="000B4E2C" w:rsidRDefault="002F0133" w:rsidP="008A7464">
            <w:pPr>
              <w:jc w:val="right"/>
              <w:rPr>
                <w:sz w:val="22"/>
                <w:lang w:val="en-GB" w:eastAsia="en-GB"/>
              </w:rPr>
            </w:pPr>
            <w:r w:rsidRPr="000B4E2C">
              <w:rPr>
                <w:sz w:val="22"/>
                <w:lang w:val="en-GB" w:eastAsia="en-GB"/>
              </w:rPr>
              <w:t>51.5%</w:t>
            </w:r>
          </w:p>
        </w:tc>
      </w:tr>
      <w:tr w:rsidR="000B4E2C" w:rsidRPr="000B4E2C" w14:paraId="29A2BEED" w14:textId="77777777" w:rsidTr="000B4E2C">
        <w:trPr>
          <w:cantSplit/>
        </w:trPr>
        <w:tc>
          <w:tcPr>
            <w:tcW w:w="0" w:type="auto"/>
            <w:shd w:val="clear" w:color="auto" w:fill="auto"/>
            <w:noWrap/>
            <w:vAlign w:val="bottom"/>
            <w:hideMark/>
          </w:tcPr>
          <w:p w14:paraId="4D4426EB" w14:textId="620BFB85" w:rsidR="002F0133" w:rsidRPr="000B4E2C" w:rsidRDefault="002F0133" w:rsidP="008A7464">
            <w:pPr>
              <w:rPr>
                <w:color w:val="000000"/>
                <w:sz w:val="22"/>
                <w:lang w:val="en-GB" w:eastAsia="en-GB"/>
              </w:rPr>
            </w:pPr>
            <w:r w:rsidRPr="000B4E2C">
              <w:rPr>
                <w:sz w:val="22"/>
                <w:lang w:val="en-GB" w:eastAsia="en-GB"/>
              </w:rPr>
              <w:t>Test 2 (NGAL plasma</w:t>
            </w:r>
            <w:r w:rsidR="000B4E2C" w:rsidRPr="000B4E2C">
              <w:rPr>
                <w:color w:val="00B0F0"/>
                <w:sz w:val="22"/>
                <w:lang w:val="en-GB" w:eastAsia="en-GB"/>
              </w:rPr>
              <w:t xml:space="preserve"> – </w:t>
            </w:r>
            <w:r w:rsidR="009D7F5A" w:rsidRPr="000B4E2C">
              <w:rPr>
                <w:sz w:val="22"/>
                <w:lang w:val="en-GB" w:eastAsia="en-GB"/>
              </w:rPr>
              <w:t>BioPorto</w:t>
            </w:r>
            <w:r w:rsidRPr="000B4E2C">
              <w:rPr>
                <w:sz w:val="22"/>
                <w:lang w:val="en-GB" w:eastAsia="en-GB"/>
              </w:rPr>
              <w:t>)</w:t>
            </w:r>
          </w:p>
        </w:tc>
        <w:tc>
          <w:tcPr>
            <w:tcW w:w="0" w:type="auto"/>
            <w:shd w:val="clear" w:color="auto" w:fill="auto"/>
            <w:noWrap/>
            <w:vAlign w:val="bottom"/>
            <w:hideMark/>
          </w:tcPr>
          <w:p w14:paraId="4A95E86D" w14:textId="77777777" w:rsidR="002F0133" w:rsidRPr="000B4E2C" w:rsidRDefault="002F0133" w:rsidP="008A7464">
            <w:pPr>
              <w:jc w:val="right"/>
              <w:rPr>
                <w:color w:val="000000"/>
                <w:sz w:val="22"/>
                <w:lang w:val="en-GB" w:eastAsia="en-GB"/>
              </w:rPr>
            </w:pPr>
            <w:r w:rsidRPr="000B4E2C">
              <w:rPr>
                <w:sz w:val="22"/>
                <w:lang w:val="en-GB" w:eastAsia="en-GB"/>
              </w:rPr>
              <w:t>£23,022</w:t>
            </w:r>
          </w:p>
        </w:tc>
        <w:tc>
          <w:tcPr>
            <w:tcW w:w="0" w:type="auto"/>
            <w:shd w:val="clear" w:color="auto" w:fill="auto"/>
            <w:noWrap/>
            <w:vAlign w:val="bottom"/>
            <w:hideMark/>
          </w:tcPr>
          <w:p w14:paraId="74027C61" w14:textId="77777777" w:rsidR="002F0133" w:rsidRPr="000B4E2C" w:rsidRDefault="002F0133" w:rsidP="008A7464">
            <w:pPr>
              <w:jc w:val="right"/>
              <w:rPr>
                <w:color w:val="000000"/>
                <w:sz w:val="22"/>
                <w:lang w:val="en-GB" w:eastAsia="en-GB"/>
              </w:rPr>
            </w:pPr>
            <w:r w:rsidRPr="000B4E2C">
              <w:rPr>
                <w:sz w:val="22"/>
                <w:lang w:val="en-GB" w:eastAsia="en-GB"/>
              </w:rPr>
              <w:t>£14</w:t>
            </w:r>
          </w:p>
        </w:tc>
        <w:tc>
          <w:tcPr>
            <w:tcW w:w="0" w:type="auto"/>
            <w:shd w:val="clear" w:color="auto" w:fill="auto"/>
            <w:noWrap/>
            <w:vAlign w:val="bottom"/>
            <w:hideMark/>
          </w:tcPr>
          <w:p w14:paraId="1E6A8CD4" w14:textId="77777777" w:rsidR="002F0133" w:rsidRPr="000B4E2C" w:rsidRDefault="002F0133" w:rsidP="008A7464">
            <w:pPr>
              <w:jc w:val="right"/>
              <w:rPr>
                <w:color w:val="000000"/>
                <w:sz w:val="22"/>
                <w:lang w:val="en-GB" w:eastAsia="en-GB"/>
              </w:rPr>
            </w:pPr>
            <w:r w:rsidRPr="000B4E2C">
              <w:rPr>
                <w:sz w:val="22"/>
                <w:lang w:val="en-GB" w:eastAsia="en-GB"/>
              </w:rPr>
              <w:t>6.07440</w:t>
            </w:r>
          </w:p>
        </w:tc>
        <w:tc>
          <w:tcPr>
            <w:tcW w:w="0" w:type="auto"/>
            <w:shd w:val="clear" w:color="auto" w:fill="auto"/>
            <w:noWrap/>
            <w:vAlign w:val="bottom"/>
            <w:hideMark/>
          </w:tcPr>
          <w:p w14:paraId="78A95098" w14:textId="77777777" w:rsidR="002F0133" w:rsidRPr="000B4E2C" w:rsidRDefault="002F0133" w:rsidP="008A7464">
            <w:pPr>
              <w:jc w:val="right"/>
              <w:rPr>
                <w:color w:val="000000"/>
                <w:sz w:val="22"/>
                <w:lang w:val="en-GB" w:eastAsia="en-GB"/>
              </w:rPr>
            </w:pPr>
            <w:r w:rsidRPr="000B4E2C">
              <w:rPr>
                <w:sz w:val="22"/>
                <w:lang w:val="en-GB" w:eastAsia="en-GB"/>
              </w:rPr>
              <w:t>0.00002</w:t>
            </w:r>
          </w:p>
        </w:tc>
        <w:tc>
          <w:tcPr>
            <w:tcW w:w="0" w:type="auto"/>
            <w:shd w:val="clear" w:color="auto" w:fill="auto"/>
            <w:noWrap/>
            <w:vAlign w:val="bottom"/>
            <w:hideMark/>
          </w:tcPr>
          <w:p w14:paraId="1285BE2C" w14:textId="77777777" w:rsidR="002F0133" w:rsidRPr="000B4E2C" w:rsidRDefault="002F0133" w:rsidP="008A7464">
            <w:pPr>
              <w:jc w:val="right"/>
              <w:rPr>
                <w:color w:val="000000"/>
                <w:sz w:val="22"/>
                <w:lang w:val="en-GB" w:eastAsia="en-GB"/>
              </w:rPr>
            </w:pPr>
            <w:r w:rsidRPr="000B4E2C">
              <w:rPr>
                <w:sz w:val="22"/>
                <w:lang w:val="en-GB" w:eastAsia="en-GB"/>
              </w:rPr>
              <w:t>£900,179</w:t>
            </w:r>
          </w:p>
        </w:tc>
        <w:tc>
          <w:tcPr>
            <w:tcW w:w="0" w:type="auto"/>
            <w:shd w:val="clear" w:color="auto" w:fill="auto"/>
            <w:noWrap/>
            <w:vAlign w:val="bottom"/>
            <w:hideMark/>
          </w:tcPr>
          <w:p w14:paraId="2FDD67A4" w14:textId="77777777" w:rsidR="002F0133" w:rsidRPr="000B4E2C" w:rsidRDefault="002F0133" w:rsidP="008A7464">
            <w:pPr>
              <w:jc w:val="right"/>
              <w:rPr>
                <w:color w:val="000000"/>
                <w:sz w:val="22"/>
                <w:lang w:val="en-GB" w:eastAsia="en-GB"/>
              </w:rPr>
            </w:pPr>
            <w:r w:rsidRPr="000B4E2C">
              <w:rPr>
                <w:sz w:val="22"/>
                <w:lang w:val="en-GB" w:eastAsia="en-GB"/>
              </w:rPr>
              <w:t>Dominant</w:t>
            </w:r>
          </w:p>
        </w:tc>
        <w:tc>
          <w:tcPr>
            <w:tcW w:w="0" w:type="auto"/>
            <w:shd w:val="clear" w:color="auto" w:fill="auto"/>
            <w:noWrap/>
            <w:vAlign w:val="bottom"/>
            <w:hideMark/>
          </w:tcPr>
          <w:p w14:paraId="5BDDC742" w14:textId="77777777" w:rsidR="002F0133" w:rsidRPr="000B4E2C" w:rsidRDefault="002F0133" w:rsidP="008A7464">
            <w:pPr>
              <w:jc w:val="right"/>
              <w:rPr>
                <w:color w:val="000000"/>
                <w:sz w:val="22"/>
                <w:lang w:val="en-GB" w:eastAsia="en-GB"/>
              </w:rPr>
            </w:pPr>
            <w:r w:rsidRPr="000B4E2C">
              <w:rPr>
                <w:sz w:val="22"/>
                <w:lang w:val="en-GB" w:eastAsia="en-GB"/>
              </w:rPr>
              <w:t>12.1%</w:t>
            </w:r>
          </w:p>
        </w:tc>
        <w:tc>
          <w:tcPr>
            <w:tcW w:w="0" w:type="auto"/>
            <w:shd w:val="clear" w:color="auto" w:fill="auto"/>
            <w:noWrap/>
            <w:vAlign w:val="bottom"/>
            <w:hideMark/>
          </w:tcPr>
          <w:p w14:paraId="66321028" w14:textId="77777777" w:rsidR="002F0133" w:rsidRPr="000B4E2C" w:rsidRDefault="002F0133" w:rsidP="008A7464">
            <w:pPr>
              <w:jc w:val="right"/>
              <w:rPr>
                <w:sz w:val="22"/>
                <w:lang w:val="en-GB" w:eastAsia="en-GB"/>
              </w:rPr>
            </w:pPr>
            <w:r w:rsidRPr="000B4E2C">
              <w:rPr>
                <w:sz w:val="22"/>
                <w:lang w:val="en-GB" w:eastAsia="en-GB"/>
              </w:rPr>
              <w:t>45.7%</w:t>
            </w:r>
          </w:p>
        </w:tc>
      </w:tr>
      <w:tr w:rsidR="000B4E2C" w:rsidRPr="000B4E2C" w14:paraId="55950505" w14:textId="77777777" w:rsidTr="000B4E2C">
        <w:trPr>
          <w:cantSplit/>
        </w:trPr>
        <w:tc>
          <w:tcPr>
            <w:tcW w:w="0" w:type="auto"/>
            <w:shd w:val="clear" w:color="auto" w:fill="auto"/>
            <w:noWrap/>
            <w:vAlign w:val="bottom"/>
            <w:hideMark/>
          </w:tcPr>
          <w:p w14:paraId="63834F41" w14:textId="77777777" w:rsidR="002F0133" w:rsidRPr="000B4E2C" w:rsidRDefault="002F0133" w:rsidP="008A7464">
            <w:pPr>
              <w:rPr>
                <w:color w:val="000000"/>
                <w:sz w:val="22"/>
                <w:lang w:val="en-GB" w:eastAsia="en-GB"/>
              </w:rPr>
            </w:pPr>
            <w:r w:rsidRPr="000B4E2C">
              <w:rPr>
                <w:sz w:val="22"/>
                <w:lang w:val="en-GB" w:eastAsia="en-GB"/>
              </w:rPr>
              <w:t>Standard care (Scr)</w:t>
            </w:r>
          </w:p>
        </w:tc>
        <w:tc>
          <w:tcPr>
            <w:tcW w:w="0" w:type="auto"/>
            <w:shd w:val="clear" w:color="auto" w:fill="auto"/>
            <w:noWrap/>
            <w:vAlign w:val="bottom"/>
            <w:hideMark/>
          </w:tcPr>
          <w:p w14:paraId="3F84638E" w14:textId="77777777" w:rsidR="002F0133" w:rsidRPr="000B4E2C" w:rsidRDefault="002F0133" w:rsidP="008A7464">
            <w:pPr>
              <w:jc w:val="right"/>
              <w:rPr>
                <w:color w:val="000000"/>
                <w:sz w:val="22"/>
                <w:lang w:val="en-GB" w:eastAsia="en-GB"/>
              </w:rPr>
            </w:pPr>
            <w:r w:rsidRPr="000B4E2C">
              <w:rPr>
                <w:sz w:val="22"/>
                <w:lang w:val="en-GB" w:eastAsia="en-GB"/>
              </w:rPr>
              <w:t>£23,024</w:t>
            </w:r>
          </w:p>
        </w:tc>
        <w:tc>
          <w:tcPr>
            <w:tcW w:w="0" w:type="auto"/>
            <w:shd w:val="clear" w:color="auto" w:fill="auto"/>
            <w:noWrap/>
            <w:vAlign w:val="bottom"/>
            <w:hideMark/>
          </w:tcPr>
          <w:p w14:paraId="54EC0A7D"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7E5B3752" w14:textId="77777777" w:rsidR="002F0133" w:rsidRPr="000B4E2C" w:rsidRDefault="002F0133" w:rsidP="008A7464">
            <w:pPr>
              <w:jc w:val="right"/>
              <w:rPr>
                <w:color w:val="000000"/>
                <w:sz w:val="22"/>
                <w:lang w:val="en-GB" w:eastAsia="en-GB"/>
              </w:rPr>
            </w:pPr>
            <w:r w:rsidRPr="000B4E2C">
              <w:rPr>
                <w:sz w:val="22"/>
                <w:lang w:val="en-GB" w:eastAsia="en-GB"/>
              </w:rPr>
              <w:t>6.07406</w:t>
            </w:r>
          </w:p>
        </w:tc>
        <w:tc>
          <w:tcPr>
            <w:tcW w:w="0" w:type="auto"/>
            <w:shd w:val="clear" w:color="auto" w:fill="auto"/>
            <w:noWrap/>
            <w:vAlign w:val="bottom"/>
            <w:hideMark/>
          </w:tcPr>
          <w:p w14:paraId="0C6643CC"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4A439817"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1E2E7FED" w14:textId="77777777" w:rsidR="002F0133" w:rsidRPr="000B4E2C" w:rsidRDefault="002F0133" w:rsidP="008A7464">
            <w:pPr>
              <w:jc w:val="right"/>
              <w:rPr>
                <w:color w:val="000000"/>
                <w:sz w:val="22"/>
                <w:lang w:val="en-GB" w:eastAsia="en-GB"/>
              </w:rPr>
            </w:pPr>
            <w:r w:rsidRPr="000B4E2C">
              <w:rPr>
                <w:sz w:val="22"/>
                <w:lang w:val="en-GB" w:eastAsia="en-GB"/>
              </w:rPr>
              <w:t>--</w:t>
            </w:r>
          </w:p>
        </w:tc>
        <w:tc>
          <w:tcPr>
            <w:tcW w:w="0" w:type="auto"/>
            <w:shd w:val="clear" w:color="auto" w:fill="auto"/>
            <w:noWrap/>
            <w:vAlign w:val="bottom"/>
            <w:hideMark/>
          </w:tcPr>
          <w:p w14:paraId="78EE6B34" w14:textId="77777777" w:rsidR="002F0133" w:rsidRPr="000B4E2C" w:rsidRDefault="002F0133" w:rsidP="008A7464">
            <w:pPr>
              <w:jc w:val="right"/>
              <w:rPr>
                <w:color w:val="000000"/>
                <w:sz w:val="22"/>
                <w:lang w:val="en-GB" w:eastAsia="en-GB"/>
              </w:rPr>
            </w:pPr>
            <w:r w:rsidRPr="000B4E2C">
              <w:rPr>
                <w:sz w:val="22"/>
                <w:lang w:val="en-GB" w:eastAsia="en-GB"/>
              </w:rPr>
              <w:t>47.9%</w:t>
            </w:r>
          </w:p>
        </w:tc>
        <w:tc>
          <w:tcPr>
            <w:tcW w:w="0" w:type="auto"/>
            <w:shd w:val="clear" w:color="auto" w:fill="auto"/>
            <w:noWrap/>
            <w:vAlign w:val="bottom"/>
            <w:hideMark/>
          </w:tcPr>
          <w:p w14:paraId="6D93AE5D" w14:textId="77777777" w:rsidR="002F0133" w:rsidRPr="000B4E2C" w:rsidRDefault="002F0133" w:rsidP="008A7464">
            <w:pPr>
              <w:jc w:val="right"/>
              <w:rPr>
                <w:sz w:val="22"/>
                <w:lang w:val="en-GB" w:eastAsia="en-GB"/>
              </w:rPr>
            </w:pPr>
            <w:r w:rsidRPr="000B4E2C">
              <w:rPr>
                <w:sz w:val="22"/>
                <w:lang w:val="en-GB" w:eastAsia="en-GB"/>
              </w:rPr>
              <w:t>--</w:t>
            </w:r>
          </w:p>
        </w:tc>
      </w:tr>
      <w:tr w:rsidR="000B4E2C" w:rsidRPr="000B4E2C" w14:paraId="36B1D861" w14:textId="77777777" w:rsidTr="000B4E2C">
        <w:trPr>
          <w:cantSplit/>
        </w:trPr>
        <w:tc>
          <w:tcPr>
            <w:tcW w:w="0" w:type="auto"/>
            <w:shd w:val="clear" w:color="auto" w:fill="auto"/>
            <w:noWrap/>
            <w:vAlign w:val="bottom"/>
            <w:hideMark/>
          </w:tcPr>
          <w:p w14:paraId="50EE658F" w14:textId="6D84DE24" w:rsidR="002F0133" w:rsidRPr="000B4E2C" w:rsidRDefault="002F0133" w:rsidP="008A7464">
            <w:pPr>
              <w:rPr>
                <w:color w:val="000000"/>
                <w:sz w:val="22"/>
                <w:lang w:val="en-GB" w:eastAsia="en-GB"/>
              </w:rPr>
            </w:pPr>
            <w:r w:rsidRPr="000B4E2C">
              <w:rPr>
                <w:sz w:val="22"/>
                <w:lang w:val="en-GB" w:eastAsia="en-GB"/>
              </w:rPr>
              <w:t>Test 4 (NGAL urine</w:t>
            </w:r>
            <w:r w:rsidR="000B4E2C" w:rsidRPr="000B4E2C">
              <w:rPr>
                <w:color w:val="00B0F0"/>
                <w:sz w:val="22"/>
                <w:lang w:val="en-GB" w:eastAsia="en-GB"/>
              </w:rPr>
              <w:t xml:space="preserve"> – </w:t>
            </w:r>
            <w:r w:rsidRPr="000B4E2C">
              <w:rPr>
                <w:sz w:val="22"/>
                <w:lang w:val="en-GB" w:eastAsia="en-GB"/>
              </w:rPr>
              <w:t>ARCHITECT)</w:t>
            </w:r>
          </w:p>
        </w:tc>
        <w:tc>
          <w:tcPr>
            <w:tcW w:w="0" w:type="auto"/>
            <w:shd w:val="clear" w:color="auto" w:fill="auto"/>
            <w:noWrap/>
            <w:vAlign w:val="bottom"/>
            <w:hideMark/>
          </w:tcPr>
          <w:p w14:paraId="64BB097F" w14:textId="77777777" w:rsidR="002F0133" w:rsidRPr="000B4E2C" w:rsidRDefault="002F0133" w:rsidP="008A7464">
            <w:pPr>
              <w:jc w:val="right"/>
              <w:rPr>
                <w:color w:val="000000"/>
                <w:sz w:val="22"/>
                <w:lang w:val="en-GB" w:eastAsia="en-GB"/>
              </w:rPr>
            </w:pPr>
            <w:r w:rsidRPr="000B4E2C">
              <w:rPr>
                <w:sz w:val="22"/>
                <w:lang w:val="en-GB" w:eastAsia="en-GB"/>
              </w:rPr>
              <w:t>£23,029</w:t>
            </w:r>
          </w:p>
        </w:tc>
        <w:tc>
          <w:tcPr>
            <w:tcW w:w="0" w:type="auto"/>
            <w:shd w:val="clear" w:color="auto" w:fill="auto"/>
            <w:noWrap/>
            <w:vAlign w:val="bottom"/>
            <w:hideMark/>
          </w:tcPr>
          <w:p w14:paraId="76683236"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165B4319" w14:textId="77777777" w:rsidR="002F0133" w:rsidRPr="000B4E2C" w:rsidRDefault="002F0133" w:rsidP="008A7464">
            <w:pPr>
              <w:jc w:val="right"/>
              <w:rPr>
                <w:color w:val="000000"/>
                <w:sz w:val="22"/>
                <w:lang w:val="en-GB" w:eastAsia="en-GB"/>
              </w:rPr>
            </w:pPr>
            <w:r w:rsidRPr="000B4E2C">
              <w:rPr>
                <w:sz w:val="22"/>
                <w:lang w:val="en-GB" w:eastAsia="en-GB"/>
              </w:rPr>
              <w:t>6.07438</w:t>
            </w:r>
          </w:p>
        </w:tc>
        <w:tc>
          <w:tcPr>
            <w:tcW w:w="0" w:type="auto"/>
            <w:shd w:val="clear" w:color="auto" w:fill="auto"/>
            <w:noWrap/>
            <w:vAlign w:val="bottom"/>
            <w:hideMark/>
          </w:tcPr>
          <w:p w14:paraId="4629C4C3"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4B6E4CE6"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6188E826" w14:textId="77777777" w:rsidR="002F0133" w:rsidRPr="000B4E2C" w:rsidRDefault="002F0133" w:rsidP="008A7464">
            <w:pPr>
              <w:jc w:val="right"/>
              <w:rPr>
                <w:color w:val="000000"/>
                <w:sz w:val="22"/>
                <w:lang w:val="en-GB" w:eastAsia="en-GB"/>
              </w:rPr>
            </w:pPr>
            <w:r w:rsidRPr="000B4E2C">
              <w:rPr>
                <w:sz w:val="22"/>
                <w:lang w:val="en-GB" w:eastAsia="en-GB"/>
              </w:rPr>
              <w:t>£15,046</w:t>
            </w:r>
          </w:p>
        </w:tc>
        <w:tc>
          <w:tcPr>
            <w:tcW w:w="0" w:type="auto"/>
            <w:shd w:val="clear" w:color="auto" w:fill="auto"/>
            <w:noWrap/>
            <w:vAlign w:val="bottom"/>
            <w:hideMark/>
          </w:tcPr>
          <w:p w14:paraId="5C3ED66A" w14:textId="77777777" w:rsidR="002F0133" w:rsidRPr="000B4E2C" w:rsidRDefault="002F0133" w:rsidP="008A7464">
            <w:pPr>
              <w:jc w:val="right"/>
              <w:rPr>
                <w:color w:val="000000"/>
                <w:sz w:val="22"/>
                <w:lang w:val="en-GB" w:eastAsia="en-GB"/>
              </w:rPr>
            </w:pPr>
            <w:r w:rsidRPr="000B4E2C">
              <w:rPr>
                <w:sz w:val="22"/>
                <w:lang w:val="en-GB" w:eastAsia="en-GB"/>
              </w:rPr>
              <w:t>1.8%</w:t>
            </w:r>
          </w:p>
        </w:tc>
        <w:tc>
          <w:tcPr>
            <w:tcW w:w="0" w:type="auto"/>
            <w:shd w:val="clear" w:color="auto" w:fill="auto"/>
            <w:noWrap/>
            <w:vAlign w:val="bottom"/>
            <w:hideMark/>
          </w:tcPr>
          <w:p w14:paraId="71B48DD3" w14:textId="77777777" w:rsidR="002F0133" w:rsidRPr="000B4E2C" w:rsidRDefault="002F0133" w:rsidP="008A7464">
            <w:pPr>
              <w:jc w:val="right"/>
              <w:rPr>
                <w:sz w:val="22"/>
                <w:lang w:val="en-GB" w:eastAsia="en-GB"/>
              </w:rPr>
            </w:pPr>
            <w:r w:rsidRPr="000B4E2C">
              <w:rPr>
                <w:sz w:val="22"/>
                <w:lang w:val="en-GB" w:eastAsia="en-GB"/>
              </w:rPr>
              <w:t>42.3%</w:t>
            </w:r>
          </w:p>
        </w:tc>
      </w:tr>
      <w:tr w:rsidR="000B4E2C" w:rsidRPr="000B4E2C" w14:paraId="7A08E749" w14:textId="77777777" w:rsidTr="000B4E2C">
        <w:trPr>
          <w:cantSplit/>
        </w:trPr>
        <w:tc>
          <w:tcPr>
            <w:tcW w:w="0" w:type="auto"/>
            <w:shd w:val="clear" w:color="auto" w:fill="auto"/>
            <w:noWrap/>
            <w:vAlign w:val="bottom"/>
            <w:hideMark/>
          </w:tcPr>
          <w:p w14:paraId="5FC6DD79" w14:textId="77777777" w:rsidR="002F0133" w:rsidRPr="000B4E2C" w:rsidRDefault="002F0133" w:rsidP="008A7464">
            <w:pPr>
              <w:rPr>
                <w:color w:val="000000"/>
                <w:sz w:val="22"/>
                <w:lang w:val="en-GB" w:eastAsia="en-GB"/>
              </w:rPr>
            </w:pPr>
            <w:r w:rsidRPr="000B4E2C">
              <w:rPr>
                <w:sz w:val="22"/>
                <w:lang w:val="en-GB" w:eastAsia="en-GB"/>
              </w:rPr>
              <w:t>Test 1 (Nephrocheck)</w:t>
            </w:r>
          </w:p>
        </w:tc>
        <w:tc>
          <w:tcPr>
            <w:tcW w:w="0" w:type="auto"/>
            <w:shd w:val="clear" w:color="auto" w:fill="auto"/>
            <w:noWrap/>
            <w:vAlign w:val="bottom"/>
            <w:hideMark/>
          </w:tcPr>
          <w:p w14:paraId="6B2B5BCC" w14:textId="77777777" w:rsidR="002F0133" w:rsidRPr="000B4E2C" w:rsidRDefault="002F0133" w:rsidP="008A7464">
            <w:pPr>
              <w:jc w:val="right"/>
              <w:rPr>
                <w:color w:val="000000"/>
                <w:sz w:val="22"/>
                <w:lang w:val="en-GB" w:eastAsia="en-GB"/>
              </w:rPr>
            </w:pPr>
            <w:r w:rsidRPr="000B4E2C">
              <w:rPr>
                <w:sz w:val="22"/>
                <w:lang w:val="en-GB" w:eastAsia="en-GB"/>
              </w:rPr>
              <w:t>£23,057</w:t>
            </w:r>
          </w:p>
        </w:tc>
        <w:tc>
          <w:tcPr>
            <w:tcW w:w="0" w:type="auto"/>
            <w:shd w:val="clear" w:color="auto" w:fill="auto"/>
            <w:noWrap/>
            <w:vAlign w:val="bottom"/>
            <w:hideMark/>
          </w:tcPr>
          <w:p w14:paraId="796D9013" w14:textId="77777777" w:rsidR="002F0133" w:rsidRPr="000B4E2C" w:rsidRDefault="002F0133" w:rsidP="008A7464">
            <w:pPr>
              <w:jc w:val="right"/>
              <w:rPr>
                <w:color w:val="000000"/>
                <w:sz w:val="22"/>
                <w:lang w:val="en-GB" w:eastAsia="en-GB"/>
              </w:rPr>
            </w:pPr>
            <w:r w:rsidRPr="000B4E2C">
              <w:rPr>
                <w:sz w:val="22"/>
                <w:lang w:val="en-GB" w:eastAsia="en-GB"/>
              </w:rPr>
              <w:t>£36</w:t>
            </w:r>
          </w:p>
        </w:tc>
        <w:tc>
          <w:tcPr>
            <w:tcW w:w="0" w:type="auto"/>
            <w:shd w:val="clear" w:color="auto" w:fill="auto"/>
            <w:noWrap/>
            <w:vAlign w:val="bottom"/>
            <w:hideMark/>
          </w:tcPr>
          <w:p w14:paraId="7B3D298D" w14:textId="77777777" w:rsidR="002F0133" w:rsidRPr="000B4E2C" w:rsidRDefault="002F0133" w:rsidP="008A7464">
            <w:pPr>
              <w:jc w:val="right"/>
              <w:rPr>
                <w:color w:val="000000"/>
                <w:sz w:val="22"/>
                <w:lang w:val="en-GB" w:eastAsia="en-GB"/>
              </w:rPr>
            </w:pPr>
            <w:r w:rsidRPr="000B4E2C">
              <w:rPr>
                <w:sz w:val="22"/>
                <w:lang w:val="en-GB" w:eastAsia="en-GB"/>
              </w:rPr>
              <w:t>6.07444</w:t>
            </w:r>
          </w:p>
        </w:tc>
        <w:tc>
          <w:tcPr>
            <w:tcW w:w="0" w:type="auto"/>
            <w:shd w:val="clear" w:color="auto" w:fill="auto"/>
            <w:noWrap/>
            <w:vAlign w:val="bottom"/>
            <w:hideMark/>
          </w:tcPr>
          <w:p w14:paraId="747001C7" w14:textId="77777777" w:rsidR="002F0133" w:rsidRPr="000B4E2C" w:rsidRDefault="002F0133" w:rsidP="008A7464">
            <w:pPr>
              <w:jc w:val="right"/>
              <w:rPr>
                <w:color w:val="000000"/>
                <w:sz w:val="22"/>
                <w:lang w:val="en-GB" w:eastAsia="en-GB"/>
              </w:rPr>
            </w:pPr>
            <w:r w:rsidRPr="000B4E2C">
              <w:rPr>
                <w:sz w:val="22"/>
                <w:lang w:val="en-GB" w:eastAsia="en-GB"/>
              </w:rPr>
              <w:t>0.00004</w:t>
            </w:r>
          </w:p>
        </w:tc>
        <w:tc>
          <w:tcPr>
            <w:tcW w:w="0" w:type="auto"/>
            <w:shd w:val="clear" w:color="auto" w:fill="auto"/>
            <w:noWrap/>
            <w:vAlign w:val="bottom"/>
            <w:hideMark/>
          </w:tcPr>
          <w:p w14:paraId="08011D5E" w14:textId="77777777" w:rsidR="002F0133" w:rsidRPr="000B4E2C" w:rsidRDefault="002F0133" w:rsidP="008A7464">
            <w:pPr>
              <w:jc w:val="right"/>
              <w:rPr>
                <w:color w:val="000000"/>
                <w:sz w:val="22"/>
                <w:lang w:val="en-GB" w:eastAsia="en-GB"/>
              </w:rPr>
            </w:pPr>
            <w:r w:rsidRPr="000B4E2C">
              <w:rPr>
                <w:sz w:val="22"/>
                <w:lang w:val="en-GB" w:eastAsia="en-GB"/>
              </w:rPr>
              <w:t>£905,334</w:t>
            </w:r>
          </w:p>
        </w:tc>
        <w:tc>
          <w:tcPr>
            <w:tcW w:w="0" w:type="auto"/>
            <w:shd w:val="clear" w:color="auto" w:fill="auto"/>
            <w:noWrap/>
            <w:vAlign w:val="bottom"/>
            <w:hideMark/>
          </w:tcPr>
          <w:p w14:paraId="2DD04C2F" w14:textId="77777777" w:rsidR="002F0133" w:rsidRPr="000B4E2C" w:rsidRDefault="002F0133" w:rsidP="008A7464">
            <w:pPr>
              <w:jc w:val="right"/>
              <w:rPr>
                <w:color w:val="000000"/>
                <w:sz w:val="22"/>
                <w:lang w:val="en-GB" w:eastAsia="en-GB"/>
              </w:rPr>
            </w:pPr>
            <w:r w:rsidRPr="000B4E2C">
              <w:rPr>
                <w:sz w:val="22"/>
                <w:lang w:val="en-GB" w:eastAsia="en-GB"/>
              </w:rPr>
              <w:t>£87,368</w:t>
            </w:r>
          </w:p>
        </w:tc>
        <w:tc>
          <w:tcPr>
            <w:tcW w:w="0" w:type="auto"/>
            <w:shd w:val="clear" w:color="auto" w:fill="auto"/>
            <w:noWrap/>
            <w:vAlign w:val="bottom"/>
            <w:hideMark/>
          </w:tcPr>
          <w:p w14:paraId="2B0760EC" w14:textId="77777777" w:rsidR="002F0133" w:rsidRPr="000B4E2C" w:rsidRDefault="002F0133" w:rsidP="008A7464">
            <w:pPr>
              <w:jc w:val="right"/>
              <w:rPr>
                <w:color w:val="000000"/>
                <w:sz w:val="22"/>
                <w:lang w:val="en-GB" w:eastAsia="en-GB"/>
              </w:rPr>
            </w:pPr>
            <w:r w:rsidRPr="000B4E2C">
              <w:rPr>
                <w:sz w:val="22"/>
                <w:lang w:val="en-GB" w:eastAsia="en-GB"/>
              </w:rPr>
              <w:t>1.2%</w:t>
            </w:r>
          </w:p>
        </w:tc>
        <w:tc>
          <w:tcPr>
            <w:tcW w:w="0" w:type="auto"/>
            <w:shd w:val="clear" w:color="auto" w:fill="auto"/>
            <w:noWrap/>
            <w:vAlign w:val="bottom"/>
            <w:hideMark/>
          </w:tcPr>
          <w:p w14:paraId="551DF9E7" w14:textId="77777777" w:rsidR="002F0133" w:rsidRPr="000B4E2C" w:rsidRDefault="002F0133" w:rsidP="008A7464">
            <w:pPr>
              <w:jc w:val="right"/>
              <w:rPr>
                <w:sz w:val="22"/>
                <w:lang w:val="en-GB" w:eastAsia="en-GB"/>
              </w:rPr>
            </w:pPr>
            <w:r w:rsidRPr="000B4E2C">
              <w:rPr>
                <w:sz w:val="22"/>
                <w:lang w:val="en-GB" w:eastAsia="en-GB"/>
              </w:rPr>
              <w:t>34.2%</w:t>
            </w:r>
          </w:p>
        </w:tc>
      </w:tr>
      <w:tr w:rsidR="002F0133" w:rsidRPr="000B4E2C" w14:paraId="3A4B7940" w14:textId="77777777" w:rsidTr="000B4E2C">
        <w:trPr>
          <w:cantSplit/>
        </w:trPr>
        <w:tc>
          <w:tcPr>
            <w:tcW w:w="0" w:type="auto"/>
            <w:gridSpan w:val="9"/>
            <w:shd w:val="clear" w:color="auto" w:fill="auto"/>
            <w:noWrap/>
            <w:vAlign w:val="bottom"/>
            <w:hideMark/>
          </w:tcPr>
          <w:p w14:paraId="429DC997" w14:textId="77777777" w:rsidR="002F0133" w:rsidRPr="000B4E2C" w:rsidRDefault="002F0133" w:rsidP="008A7464">
            <w:pPr>
              <w:rPr>
                <w:b/>
                <w:bCs/>
                <w:sz w:val="22"/>
                <w:lang w:val="en-GB" w:eastAsia="en-GB"/>
              </w:rPr>
            </w:pPr>
            <w:r w:rsidRPr="000B4E2C">
              <w:rPr>
                <w:b/>
                <w:bCs/>
                <w:sz w:val="22"/>
                <w:lang w:val="en-GB" w:eastAsia="en-GB"/>
              </w:rPr>
              <w:t>Critical care subgroup, applied to base case 2</w:t>
            </w:r>
          </w:p>
        </w:tc>
      </w:tr>
      <w:tr w:rsidR="000B4E2C" w:rsidRPr="000B4E2C" w14:paraId="301CED0E" w14:textId="77777777" w:rsidTr="000B4E2C">
        <w:trPr>
          <w:cantSplit/>
        </w:trPr>
        <w:tc>
          <w:tcPr>
            <w:tcW w:w="0" w:type="auto"/>
            <w:shd w:val="clear" w:color="auto" w:fill="auto"/>
            <w:noWrap/>
            <w:vAlign w:val="bottom"/>
            <w:hideMark/>
          </w:tcPr>
          <w:p w14:paraId="7C776C74" w14:textId="77777777" w:rsidR="002F0133" w:rsidRPr="000B4E2C" w:rsidRDefault="002F0133" w:rsidP="008A7464">
            <w:pPr>
              <w:rPr>
                <w:color w:val="000000"/>
                <w:sz w:val="22"/>
                <w:lang w:val="en-GB" w:eastAsia="en-GB"/>
              </w:rPr>
            </w:pPr>
            <w:r w:rsidRPr="000B4E2C">
              <w:rPr>
                <w:sz w:val="22"/>
                <w:lang w:val="en-GB" w:eastAsia="en-GB"/>
              </w:rPr>
              <w:t>Standard care (Scr)</w:t>
            </w:r>
          </w:p>
        </w:tc>
        <w:tc>
          <w:tcPr>
            <w:tcW w:w="0" w:type="auto"/>
            <w:shd w:val="clear" w:color="auto" w:fill="auto"/>
            <w:noWrap/>
            <w:vAlign w:val="bottom"/>
            <w:hideMark/>
          </w:tcPr>
          <w:p w14:paraId="0C88A70A" w14:textId="77777777" w:rsidR="002F0133" w:rsidRPr="000B4E2C" w:rsidRDefault="002F0133" w:rsidP="008A7464">
            <w:pPr>
              <w:jc w:val="right"/>
              <w:rPr>
                <w:color w:val="000000"/>
                <w:sz w:val="22"/>
                <w:lang w:val="en-GB" w:eastAsia="en-GB"/>
              </w:rPr>
            </w:pPr>
            <w:r w:rsidRPr="000B4E2C">
              <w:rPr>
                <w:sz w:val="22"/>
                <w:lang w:val="en-GB" w:eastAsia="en-GB"/>
              </w:rPr>
              <w:t>£22,904</w:t>
            </w:r>
          </w:p>
        </w:tc>
        <w:tc>
          <w:tcPr>
            <w:tcW w:w="0" w:type="auto"/>
            <w:shd w:val="clear" w:color="auto" w:fill="auto"/>
            <w:noWrap/>
            <w:vAlign w:val="bottom"/>
            <w:hideMark/>
          </w:tcPr>
          <w:p w14:paraId="717CD8B6" w14:textId="400F7FCD" w:rsidR="002F0133" w:rsidRPr="000B4E2C" w:rsidRDefault="000B4E2C" w:rsidP="008A7464">
            <w:pPr>
              <w:jc w:val="right"/>
              <w:rPr>
                <w:color w:val="000000"/>
                <w:sz w:val="22"/>
                <w:lang w:val="en-GB" w:eastAsia="en-GB"/>
              </w:rPr>
            </w:pPr>
            <w:r w:rsidRPr="000B4E2C">
              <w:rPr>
                <w:sz w:val="22"/>
                <w:lang w:val="en-GB" w:eastAsia="en-GB"/>
              </w:rPr>
              <w:t xml:space="preserve"> </w:t>
            </w:r>
          </w:p>
        </w:tc>
        <w:tc>
          <w:tcPr>
            <w:tcW w:w="0" w:type="auto"/>
            <w:shd w:val="clear" w:color="auto" w:fill="auto"/>
            <w:noWrap/>
            <w:vAlign w:val="bottom"/>
            <w:hideMark/>
          </w:tcPr>
          <w:p w14:paraId="5D92B327" w14:textId="77777777" w:rsidR="002F0133" w:rsidRPr="000B4E2C" w:rsidRDefault="002F0133" w:rsidP="008A7464">
            <w:pPr>
              <w:jc w:val="right"/>
              <w:rPr>
                <w:color w:val="000000"/>
                <w:sz w:val="22"/>
                <w:lang w:val="en-GB" w:eastAsia="en-GB"/>
              </w:rPr>
            </w:pPr>
            <w:r w:rsidRPr="000B4E2C">
              <w:rPr>
                <w:sz w:val="22"/>
                <w:lang w:val="en-GB" w:eastAsia="en-GB"/>
              </w:rPr>
              <w:t>6.07716</w:t>
            </w:r>
          </w:p>
        </w:tc>
        <w:tc>
          <w:tcPr>
            <w:tcW w:w="0" w:type="auto"/>
            <w:shd w:val="clear" w:color="auto" w:fill="auto"/>
            <w:noWrap/>
            <w:vAlign w:val="bottom"/>
            <w:hideMark/>
          </w:tcPr>
          <w:p w14:paraId="5FEFD4E1" w14:textId="718358D7" w:rsidR="002F0133" w:rsidRPr="000B4E2C" w:rsidRDefault="000B4E2C" w:rsidP="008A7464">
            <w:pPr>
              <w:jc w:val="right"/>
              <w:rPr>
                <w:color w:val="000000"/>
                <w:sz w:val="22"/>
                <w:lang w:val="en-GB" w:eastAsia="en-GB"/>
              </w:rPr>
            </w:pPr>
            <w:r w:rsidRPr="000B4E2C">
              <w:rPr>
                <w:sz w:val="22"/>
                <w:lang w:val="en-GB" w:eastAsia="en-GB"/>
              </w:rPr>
              <w:t xml:space="preserve"> </w:t>
            </w:r>
          </w:p>
        </w:tc>
        <w:tc>
          <w:tcPr>
            <w:tcW w:w="0" w:type="auto"/>
            <w:shd w:val="clear" w:color="auto" w:fill="auto"/>
            <w:noWrap/>
            <w:vAlign w:val="bottom"/>
            <w:hideMark/>
          </w:tcPr>
          <w:p w14:paraId="0EC6A34B" w14:textId="70C8BA33" w:rsidR="002F0133" w:rsidRPr="000B4E2C" w:rsidRDefault="000B4E2C" w:rsidP="008A7464">
            <w:pPr>
              <w:jc w:val="right"/>
              <w:rPr>
                <w:color w:val="000000"/>
                <w:sz w:val="22"/>
                <w:lang w:val="en-GB" w:eastAsia="en-GB"/>
              </w:rPr>
            </w:pPr>
            <w:r w:rsidRPr="000B4E2C">
              <w:rPr>
                <w:sz w:val="22"/>
                <w:lang w:val="en-GB" w:eastAsia="en-GB"/>
              </w:rPr>
              <w:t xml:space="preserve"> </w:t>
            </w:r>
          </w:p>
        </w:tc>
        <w:tc>
          <w:tcPr>
            <w:tcW w:w="0" w:type="auto"/>
            <w:shd w:val="clear" w:color="auto" w:fill="auto"/>
            <w:noWrap/>
            <w:vAlign w:val="bottom"/>
            <w:hideMark/>
          </w:tcPr>
          <w:p w14:paraId="757328C5" w14:textId="0579A671" w:rsidR="002F0133" w:rsidRPr="000B4E2C" w:rsidRDefault="000B4E2C" w:rsidP="008A7464">
            <w:pPr>
              <w:jc w:val="right"/>
              <w:rPr>
                <w:color w:val="000000"/>
                <w:sz w:val="22"/>
                <w:lang w:val="en-GB" w:eastAsia="en-GB"/>
              </w:rPr>
            </w:pPr>
            <w:r w:rsidRPr="000B4E2C">
              <w:rPr>
                <w:sz w:val="22"/>
                <w:lang w:val="en-GB" w:eastAsia="en-GB"/>
              </w:rPr>
              <w:t xml:space="preserve"> </w:t>
            </w:r>
          </w:p>
        </w:tc>
        <w:tc>
          <w:tcPr>
            <w:tcW w:w="0" w:type="auto"/>
            <w:shd w:val="clear" w:color="auto" w:fill="auto"/>
            <w:noWrap/>
            <w:vAlign w:val="bottom"/>
            <w:hideMark/>
          </w:tcPr>
          <w:p w14:paraId="5DEFF411" w14:textId="77777777" w:rsidR="002F0133" w:rsidRPr="000B4E2C" w:rsidRDefault="002F0133" w:rsidP="008A7464">
            <w:pPr>
              <w:jc w:val="right"/>
              <w:rPr>
                <w:color w:val="000000"/>
                <w:sz w:val="22"/>
                <w:lang w:val="en-GB" w:eastAsia="en-GB"/>
              </w:rPr>
            </w:pPr>
            <w:r w:rsidRPr="000B4E2C">
              <w:rPr>
                <w:sz w:val="22"/>
                <w:lang w:val="en-GB" w:eastAsia="en-GB"/>
              </w:rPr>
              <w:t>65.0%</w:t>
            </w:r>
          </w:p>
        </w:tc>
        <w:tc>
          <w:tcPr>
            <w:tcW w:w="0" w:type="auto"/>
            <w:shd w:val="clear" w:color="auto" w:fill="auto"/>
            <w:noWrap/>
            <w:vAlign w:val="bottom"/>
            <w:hideMark/>
          </w:tcPr>
          <w:p w14:paraId="59731C99" w14:textId="77777777" w:rsidR="002F0133" w:rsidRPr="000B4E2C" w:rsidRDefault="002F0133" w:rsidP="008A7464">
            <w:pPr>
              <w:jc w:val="right"/>
              <w:rPr>
                <w:sz w:val="22"/>
                <w:lang w:val="en-GB" w:eastAsia="en-GB"/>
              </w:rPr>
            </w:pPr>
            <w:r w:rsidRPr="000B4E2C">
              <w:rPr>
                <w:sz w:val="22"/>
                <w:lang w:val="en-GB" w:eastAsia="en-GB"/>
              </w:rPr>
              <w:t>--</w:t>
            </w:r>
          </w:p>
        </w:tc>
      </w:tr>
      <w:tr w:rsidR="000B4E2C" w:rsidRPr="000B4E2C" w14:paraId="75B126EC" w14:textId="77777777" w:rsidTr="000B4E2C">
        <w:trPr>
          <w:cantSplit/>
        </w:trPr>
        <w:tc>
          <w:tcPr>
            <w:tcW w:w="0" w:type="auto"/>
            <w:shd w:val="clear" w:color="auto" w:fill="auto"/>
            <w:noWrap/>
            <w:vAlign w:val="bottom"/>
            <w:hideMark/>
          </w:tcPr>
          <w:p w14:paraId="60BEF2E6" w14:textId="77777777" w:rsidR="002F0133" w:rsidRPr="000B4E2C" w:rsidRDefault="002F0133" w:rsidP="008A7464">
            <w:pPr>
              <w:rPr>
                <w:color w:val="000000"/>
                <w:sz w:val="22"/>
                <w:lang w:val="en-GB" w:eastAsia="en-GB"/>
              </w:rPr>
            </w:pPr>
            <w:r w:rsidRPr="000B4E2C">
              <w:rPr>
                <w:sz w:val="22"/>
                <w:lang w:val="en-GB" w:eastAsia="en-GB"/>
              </w:rPr>
              <w:t>Test 1 (Nephrocheck)</w:t>
            </w:r>
          </w:p>
        </w:tc>
        <w:tc>
          <w:tcPr>
            <w:tcW w:w="0" w:type="auto"/>
            <w:shd w:val="clear" w:color="auto" w:fill="auto"/>
            <w:noWrap/>
            <w:vAlign w:val="bottom"/>
            <w:hideMark/>
          </w:tcPr>
          <w:p w14:paraId="18793FF8" w14:textId="77777777" w:rsidR="002F0133" w:rsidRPr="000B4E2C" w:rsidRDefault="002F0133" w:rsidP="008A7464">
            <w:pPr>
              <w:jc w:val="right"/>
              <w:rPr>
                <w:color w:val="000000"/>
                <w:sz w:val="22"/>
                <w:lang w:val="en-GB" w:eastAsia="en-GB"/>
              </w:rPr>
            </w:pPr>
            <w:r w:rsidRPr="000B4E2C">
              <w:rPr>
                <w:sz w:val="22"/>
                <w:lang w:val="en-GB" w:eastAsia="en-GB"/>
              </w:rPr>
              <w:t>£22,937</w:t>
            </w:r>
          </w:p>
        </w:tc>
        <w:tc>
          <w:tcPr>
            <w:tcW w:w="0" w:type="auto"/>
            <w:shd w:val="clear" w:color="auto" w:fill="auto"/>
            <w:noWrap/>
            <w:vAlign w:val="bottom"/>
            <w:hideMark/>
          </w:tcPr>
          <w:p w14:paraId="7E97BB79" w14:textId="77777777" w:rsidR="002F0133" w:rsidRPr="000B4E2C" w:rsidRDefault="002F0133" w:rsidP="008A7464">
            <w:pPr>
              <w:jc w:val="right"/>
              <w:rPr>
                <w:color w:val="000000"/>
                <w:sz w:val="22"/>
                <w:lang w:val="en-GB" w:eastAsia="en-GB"/>
              </w:rPr>
            </w:pPr>
            <w:r w:rsidRPr="000B4E2C">
              <w:rPr>
                <w:sz w:val="22"/>
                <w:lang w:val="en-GB" w:eastAsia="en-GB"/>
              </w:rPr>
              <w:t>£32</w:t>
            </w:r>
          </w:p>
        </w:tc>
        <w:tc>
          <w:tcPr>
            <w:tcW w:w="0" w:type="auto"/>
            <w:shd w:val="clear" w:color="auto" w:fill="auto"/>
            <w:noWrap/>
            <w:vAlign w:val="bottom"/>
            <w:hideMark/>
          </w:tcPr>
          <w:p w14:paraId="1DFFFB82" w14:textId="77777777" w:rsidR="002F0133" w:rsidRPr="000B4E2C" w:rsidRDefault="002F0133" w:rsidP="008A7464">
            <w:pPr>
              <w:jc w:val="right"/>
              <w:rPr>
                <w:color w:val="000000"/>
                <w:sz w:val="22"/>
                <w:lang w:val="en-GB" w:eastAsia="en-GB"/>
              </w:rPr>
            </w:pPr>
            <w:r w:rsidRPr="000B4E2C">
              <w:rPr>
                <w:sz w:val="22"/>
                <w:lang w:val="en-GB" w:eastAsia="en-GB"/>
              </w:rPr>
              <w:t>6.07755</w:t>
            </w:r>
          </w:p>
        </w:tc>
        <w:tc>
          <w:tcPr>
            <w:tcW w:w="0" w:type="auto"/>
            <w:shd w:val="clear" w:color="auto" w:fill="auto"/>
            <w:noWrap/>
            <w:vAlign w:val="bottom"/>
            <w:hideMark/>
          </w:tcPr>
          <w:p w14:paraId="00606918" w14:textId="77777777" w:rsidR="002F0133" w:rsidRPr="000B4E2C" w:rsidRDefault="002F0133" w:rsidP="008A7464">
            <w:pPr>
              <w:jc w:val="right"/>
              <w:rPr>
                <w:color w:val="000000"/>
                <w:sz w:val="22"/>
                <w:lang w:val="en-GB" w:eastAsia="en-GB"/>
              </w:rPr>
            </w:pPr>
            <w:r w:rsidRPr="000B4E2C">
              <w:rPr>
                <w:sz w:val="22"/>
                <w:lang w:val="en-GB" w:eastAsia="en-GB"/>
              </w:rPr>
              <w:t>0.00039</w:t>
            </w:r>
          </w:p>
        </w:tc>
        <w:tc>
          <w:tcPr>
            <w:tcW w:w="0" w:type="auto"/>
            <w:shd w:val="clear" w:color="auto" w:fill="auto"/>
            <w:noWrap/>
            <w:vAlign w:val="bottom"/>
            <w:hideMark/>
          </w:tcPr>
          <w:p w14:paraId="0DAC8069" w14:textId="77777777" w:rsidR="002F0133" w:rsidRPr="000B4E2C" w:rsidRDefault="002F0133" w:rsidP="008A7464">
            <w:pPr>
              <w:jc w:val="right"/>
              <w:rPr>
                <w:color w:val="000000"/>
                <w:sz w:val="22"/>
                <w:lang w:val="en-GB" w:eastAsia="en-GB"/>
              </w:rPr>
            </w:pPr>
            <w:r w:rsidRPr="000B4E2C">
              <w:rPr>
                <w:sz w:val="22"/>
                <w:lang w:val="en-GB" w:eastAsia="en-GB"/>
              </w:rPr>
              <w:t>£82,079</w:t>
            </w:r>
          </w:p>
        </w:tc>
        <w:tc>
          <w:tcPr>
            <w:tcW w:w="0" w:type="auto"/>
            <w:shd w:val="clear" w:color="auto" w:fill="auto"/>
            <w:noWrap/>
            <w:vAlign w:val="bottom"/>
            <w:hideMark/>
          </w:tcPr>
          <w:p w14:paraId="2DC6E296" w14:textId="77777777" w:rsidR="002F0133" w:rsidRPr="000B4E2C" w:rsidRDefault="002F0133" w:rsidP="008A7464">
            <w:pPr>
              <w:jc w:val="right"/>
              <w:rPr>
                <w:color w:val="000000"/>
                <w:sz w:val="22"/>
                <w:lang w:val="en-GB" w:eastAsia="en-GB"/>
              </w:rPr>
            </w:pPr>
            <w:r w:rsidRPr="000B4E2C">
              <w:rPr>
                <w:sz w:val="22"/>
                <w:lang w:val="en-GB" w:eastAsia="en-GB"/>
              </w:rPr>
              <w:t>£82,079</w:t>
            </w:r>
          </w:p>
        </w:tc>
        <w:tc>
          <w:tcPr>
            <w:tcW w:w="0" w:type="auto"/>
            <w:shd w:val="clear" w:color="auto" w:fill="auto"/>
            <w:noWrap/>
            <w:vAlign w:val="bottom"/>
            <w:hideMark/>
          </w:tcPr>
          <w:p w14:paraId="41EF5D4E" w14:textId="77777777" w:rsidR="002F0133" w:rsidRPr="000B4E2C" w:rsidRDefault="002F0133" w:rsidP="008A7464">
            <w:pPr>
              <w:jc w:val="right"/>
              <w:rPr>
                <w:color w:val="000000"/>
                <w:sz w:val="22"/>
                <w:lang w:val="en-GB" w:eastAsia="en-GB"/>
              </w:rPr>
            </w:pPr>
            <w:r w:rsidRPr="000B4E2C">
              <w:rPr>
                <w:sz w:val="22"/>
                <w:lang w:val="en-GB" w:eastAsia="en-GB"/>
              </w:rPr>
              <w:t>31.4%</w:t>
            </w:r>
          </w:p>
        </w:tc>
        <w:tc>
          <w:tcPr>
            <w:tcW w:w="0" w:type="auto"/>
            <w:shd w:val="clear" w:color="auto" w:fill="auto"/>
            <w:noWrap/>
            <w:vAlign w:val="bottom"/>
            <w:hideMark/>
          </w:tcPr>
          <w:p w14:paraId="16DB49F6" w14:textId="77777777" w:rsidR="002F0133" w:rsidRPr="000B4E2C" w:rsidRDefault="002F0133" w:rsidP="008A7464">
            <w:pPr>
              <w:jc w:val="right"/>
              <w:rPr>
                <w:sz w:val="22"/>
                <w:lang w:val="en-GB" w:eastAsia="en-GB"/>
              </w:rPr>
            </w:pPr>
            <w:r w:rsidRPr="000B4E2C">
              <w:rPr>
                <w:sz w:val="22"/>
                <w:lang w:val="en-GB" w:eastAsia="en-GB"/>
              </w:rPr>
              <w:t>32.8%</w:t>
            </w:r>
          </w:p>
        </w:tc>
      </w:tr>
      <w:tr w:rsidR="000B4E2C" w:rsidRPr="000B4E2C" w14:paraId="34B6596D" w14:textId="77777777" w:rsidTr="000B4E2C">
        <w:trPr>
          <w:cantSplit/>
        </w:trPr>
        <w:tc>
          <w:tcPr>
            <w:tcW w:w="0" w:type="auto"/>
            <w:shd w:val="clear" w:color="auto" w:fill="auto"/>
            <w:noWrap/>
            <w:vAlign w:val="bottom"/>
            <w:hideMark/>
          </w:tcPr>
          <w:p w14:paraId="282F33A8" w14:textId="5E08FF66" w:rsidR="002F0133" w:rsidRPr="000B4E2C" w:rsidRDefault="002F0133" w:rsidP="008A7464">
            <w:pPr>
              <w:rPr>
                <w:color w:val="000000"/>
                <w:sz w:val="22"/>
                <w:lang w:val="en-GB" w:eastAsia="en-GB"/>
              </w:rPr>
            </w:pPr>
            <w:r w:rsidRPr="000B4E2C">
              <w:rPr>
                <w:sz w:val="22"/>
                <w:lang w:val="en-GB" w:eastAsia="en-GB"/>
              </w:rPr>
              <w:lastRenderedPageBreak/>
              <w:t>Test 3 (NGAL urine</w:t>
            </w:r>
            <w:r w:rsidR="000B4E2C" w:rsidRPr="000B4E2C">
              <w:rPr>
                <w:color w:val="00B0F0"/>
                <w:sz w:val="22"/>
                <w:lang w:val="en-GB" w:eastAsia="en-GB"/>
              </w:rPr>
              <w:t xml:space="preserve"> – </w:t>
            </w:r>
            <w:r w:rsidR="009D7F5A" w:rsidRPr="000B4E2C">
              <w:rPr>
                <w:sz w:val="22"/>
                <w:lang w:val="en-GB" w:eastAsia="en-GB"/>
              </w:rPr>
              <w:t>BioPorto</w:t>
            </w:r>
            <w:r w:rsidRPr="000B4E2C">
              <w:rPr>
                <w:sz w:val="22"/>
                <w:lang w:val="en-GB" w:eastAsia="en-GB"/>
              </w:rPr>
              <w:t>)</w:t>
            </w:r>
          </w:p>
        </w:tc>
        <w:tc>
          <w:tcPr>
            <w:tcW w:w="0" w:type="auto"/>
            <w:shd w:val="clear" w:color="auto" w:fill="auto"/>
            <w:noWrap/>
            <w:vAlign w:val="bottom"/>
            <w:hideMark/>
          </w:tcPr>
          <w:p w14:paraId="35DD7AB1" w14:textId="77777777" w:rsidR="002F0133" w:rsidRPr="000B4E2C" w:rsidRDefault="002F0133" w:rsidP="008A7464">
            <w:pPr>
              <w:jc w:val="right"/>
              <w:rPr>
                <w:color w:val="000000"/>
                <w:sz w:val="22"/>
                <w:lang w:val="en-GB" w:eastAsia="en-GB"/>
              </w:rPr>
            </w:pPr>
            <w:r w:rsidRPr="000B4E2C">
              <w:rPr>
                <w:sz w:val="22"/>
                <w:lang w:val="en-GB" w:eastAsia="en-GB"/>
              </w:rPr>
              <w:t>£22,971</w:t>
            </w:r>
          </w:p>
        </w:tc>
        <w:tc>
          <w:tcPr>
            <w:tcW w:w="0" w:type="auto"/>
            <w:shd w:val="clear" w:color="auto" w:fill="auto"/>
            <w:noWrap/>
            <w:vAlign w:val="bottom"/>
            <w:hideMark/>
          </w:tcPr>
          <w:p w14:paraId="0CB896CB"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207DAFF5" w14:textId="77777777" w:rsidR="002F0133" w:rsidRPr="000B4E2C" w:rsidRDefault="002F0133" w:rsidP="008A7464">
            <w:pPr>
              <w:jc w:val="right"/>
              <w:rPr>
                <w:color w:val="000000"/>
                <w:sz w:val="22"/>
                <w:lang w:val="en-GB" w:eastAsia="en-GB"/>
              </w:rPr>
            </w:pPr>
            <w:r w:rsidRPr="000B4E2C">
              <w:rPr>
                <w:sz w:val="22"/>
                <w:lang w:val="en-GB" w:eastAsia="en-GB"/>
              </w:rPr>
              <w:t>6.07728</w:t>
            </w:r>
          </w:p>
        </w:tc>
        <w:tc>
          <w:tcPr>
            <w:tcW w:w="0" w:type="auto"/>
            <w:shd w:val="clear" w:color="auto" w:fill="auto"/>
            <w:noWrap/>
            <w:vAlign w:val="bottom"/>
            <w:hideMark/>
          </w:tcPr>
          <w:p w14:paraId="10D4050D"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30D27C4B"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15F72868" w14:textId="77777777" w:rsidR="002F0133" w:rsidRPr="000B4E2C" w:rsidRDefault="002F0133" w:rsidP="008A7464">
            <w:pPr>
              <w:jc w:val="right"/>
              <w:rPr>
                <w:color w:val="000000"/>
                <w:sz w:val="22"/>
                <w:lang w:val="en-GB" w:eastAsia="en-GB"/>
              </w:rPr>
            </w:pPr>
            <w:r w:rsidRPr="000B4E2C">
              <w:rPr>
                <w:sz w:val="22"/>
                <w:lang w:val="en-GB" w:eastAsia="en-GB"/>
              </w:rPr>
              <w:t>£555,173</w:t>
            </w:r>
          </w:p>
        </w:tc>
        <w:tc>
          <w:tcPr>
            <w:tcW w:w="0" w:type="auto"/>
            <w:shd w:val="clear" w:color="auto" w:fill="auto"/>
            <w:noWrap/>
            <w:vAlign w:val="bottom"/>
            <w:hideMark/>
          </w:tcPr>
          <w:p w14:paraId="45D5EB7B" w14:textId="77777777" w:rsidR="002F0133" w:rsidRPr="000B4E2C" w:rsidRDefault="002F0133" w:rsidP="008A7464">
            <w:pPr>
              <w:jc w:val="right"/>
              <w:rPr>
                <w:color w:val="000000"/>
                <w:sz w:val="22"/>
                <w:lang w:val="en-GB" w:eastAsia="en-GB"/>
              </w:rPr>
            </w:pPr>
            <w:r w:rsidRPr="000B4E2C">
              <w:rPr>
                <w:sz w:val="22"/>
                <w:lang w:val="en-GB" w:eastAsia="en-GB"/>
              </w:rPr>
              <w:t>3.0%</w:t>
            </w:r>
          </w:p>
        </w:tc>
        <w:tc>
          <w:tcPr>
            <w:tcW w:w="0" w:type="auto"/>
            <w:shd w:val="clear" w:color="auto" w:fill="auto"/>
            <w:noWrap/>
            <w:vAlign w:val="bottom"/>
            <w:hideMark/>
          </w:tcPr>
          <w:p w14:paraId="3AB7B563" w14:textId="77777777" w:rsidR="002F0133" w:rsidRPr="000B4E2C" w:rsidRDefault="002F0133" w:rsidP="008A7464">
            <w:pPr>
              <w:jc w:val="right"/>
              <w:rPr>
                <w:sz w:val="22"/>
                <w:lang w:val="en-GB" w:eastAsia="en-GB"/>
              </w:rPr>
            </w:pPr>
            <w:r w:rsidRPr="000B4E2C">
              <w:rPr>
                <w:sz w:val="22"/>
                <w:lang w:val="en-GB" w:eastAsia="en-GB"/>
              </w:rPr>
              <w:t>11.1%</w:t>
            </w:r>
          </w:p>
        </w:tc>
      </w:tr>
      <w:tr w:rsidR="000B4E2C" w:rsidRPr="000B4E2C" w14:paraId="1128E5B3" w14:textId="77777777" w:rsidTr="000B4E2C">
        <w:trPr>
          <w:cantSplit/>
        </w:trPr>
        <w:tc>
          <w:tcPr>
            <w:tcW w:w="0" w:type="auto"/>
            <w:shd w:val="clear" w:color="auto" w:fill="auto"/>
            <w:noWrap/>
            <w:vAlign w:val="bottom"/>
            <w:hideMark/>
          </w:tcPr>
          <w:p w14:paraId="529188DB" w14:textId="5DB23DBF" w:rsidR="002F0133" w:rsidRPr="000B4E2C" w:rsidRDefault="002F0133" w:rsidP="008A7464">
            <w:pPr>
              <w:rPr>
                <w:color w:val="000000"/>
                <w:sz w:val="22"/>
                <w:lang w:val="en-GB" w:eastAsia="en-GB"/>
              </w:rPr>
            </w:pPr>
            <w:r w:rsidRPr="000B4E2C">
              <w:rPr>
                <w:sz w:val="22"/>
                <w:lang w:val="en-GB" w:eastAsia="en-GB"/>
              </w:rPr>
              <w:t>Test 2 (NGAL plasma</w:t>
            </w:r>
            <w:r w:rsidR="000B4E2C" w:rsidRPr="000B4E2C">
              <w:rPr>
                <w:color w:val="00B0F0"/>
                <w:sz w:val="22"/>
                <w:lang w:val="en-GB" w:eastAsia="en-GB"/>
              </w:rPr>
              <w:t xml:space="preserve"> – </w:t>
            </w:r>
            <w:r w:rsidR="009D7F5A" w:rsidRPr="000B4E2C">
              <w:rPr>
                <w:sz w:val="22"/>
                <w:lang w:val="en-GB" w:eastAsia="en-GB"/>
              </w:rPr>
              <w:t>BioPorto</w:t>
            </w:r>
            <w:r w:rsidRPr="000B4E2C">
              <w:rPr>
                <w:sz w:val="22"/>
                <w:lang w:val="en-GB" w:eastAsia="en-GB"/>
              </w:rPr>
              <w:t>)</w:t>
            </w:r>
          </w:p>
        </w:tc>
        <w:tc>
          <w:tcPr>
            <w:tcW w:w="0" w:type="auto"/>
            <w:shd w:val="clear" w:color="auto" w:fill="auto"/>
            <w:noWrap/>
            <w:vAlign w:val="bottom"/>
            <w:hideMark/>
          </w:tcPr>
          <w:p w14:paraId="343C26BB" w14:textId="77777777" w:rsidR="002F0133" w:rsidRPr="000B4E2C" w:rsidRDefault="002F0133" w:rsidP="008A7464">
            <w:pPr>
              <w:jc w:val="right"/>
              <w:rPr>
                <w:color w:val="000000"/>
                <w:sz w:val="22"/>
                <w:lang w:val="en-GB" w:eastAsia="en-GB"/>
              </w:rPr>
            </w:pPr>
            <w:r w:rsidRPr="000B4E2C">
              <w:rPr>
                <w:sz w:val="22"/>
                <w:lang w:val="en-GB" w:eastAsia="en-GB"/>
              </w:rPr>
              <w:t>£22,991</w:t>
            </w:r>
          </w:p>
        </w:tc>
        <w:tc>
          <w:tcPr>
            <w:tcW w:w="0" w:type="auto"/>
            <w:shd w:val="clear" w:color="auto" w:fill="auto"/>
            <w:noWrap/>
            <w:vAlign w:val="bottom"/>
            <w:hideMark/>
          </w:tcPr>
          <w:p w14:paraId="02A6A05D"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4D62CDC0" w14:textId="77777777" w:rsidR="002F0133" w:rsidRPr="000B4E2C" w:rsidRDefault="002F0133" w:rsidP="008A7464">
            <w:pPr>
              <w:jc w:val="right"/>
              <w:rPr>
                <w:color w:val="000000"/>
                <w:sz w:val="22"/>
                <w:lang w:val="en-GB" w:eastAsia="en-GB"/>
              </w:rPr>
            </w:pPr>
            <w:r w:rsidRPr="000B4E2C">
              <w:rPr>
                <w:sz w:val="22"/>
                <w:lang w:val="en-GB" w:eastAsia="en-GB"/>
              </w:rPr>
              <w:t>6.07729</w:t>
            </w:r>
          </w:p>
        </w:tc>
        <w:tc>
          <w:tcPr>
            <w:tcW w:w="0" w:type="auto"/>
            <w:shd w:val="clear" w:color="auto" w:fill="auto"/>
            <w:noWrap/>
            <w:vAlign w:val="bottom"/>
            <w:hideMark/>
          </w:tcPr>
          <w:p w14:paraId="627C20E8"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4F07532D"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670EB897" w14:textId="77777777" w:rsidR="002F0133" w:rsidRPr="000B4E2C" w:rsidRDefault="002F0133" w:rsidP="008A7464">
            <w:pPr>
              <w:jc w:val="right"/>
              <w:rPr>
                <w:color w:val="000000"/>
                <w:sz w:val="22"/>
                <w:lang w:val="en-GB" w:eastAsia="en-GB"/>
              </w:rPr>
            </w:pPr>
            <w:r w:rsidRPr="000B4E2C">
              <w:rPr>
                <w:sz w:val="22"/>
                <w:lang w:val="en-GB" w:eastAsia="en-GB"/>
              </w:rPr>
              <w:t>£676,218</w:t>
            </w:r>
          </w:p>
        </w:tc>
        <w:tc>
          <w:tcPr>
            <w:tcW w:w="0" w:type="auto"/>
            <w:shd w:val="clear" w:color="auto" w:fill="auto"/>
            <w:noWrap/>
            <w:vAlign w:val="bottom"/>
            <w:hideMark/>
          </w:tcPr>
          <w:p w14:paraId="3ACC717E" w14:textId="77777777" w:rsidR="002F0133" w:rsidRPr="000B4E2C" w:rsidRDefault="002F0133" w:rsidP="008A7464">
            <w:pPr>
              <w:jc w:val="right"/>
              <w:rPr>
                <w:color w:val="000000"/>
                <w:sz w:val="22"/>
                <w:lang w:val="en-GB" w:eastAsia="en-GB"/>
              </w:rPr>
            </w:pPr>
            <w:r w:rsidRPr="000B4E2C">
              <w:rPr>
                <w:sz w:val="22"/>
                <w:lang w:val="en-GB" w:eastAsia="en-GB"/>
              </w:rPr>
              <w:t>0.5%</w:t>
            </w:r>
          </w:p>
        </w:tc>
        <w:tc>
          <w:tcPr>
            <w:tcW w:w="0" w:type="auto"/>
            <w:shd w:val="clear" w:color="auto" w:fill="auto"/>
            <w:noWrap/>
            <w:vAlign w:val="bottom"/>
            <w:hideMark/>
          </w:tcPr>
          <w:p w14:paraId="502AB32F" w14:textId="77777777" w:rsidR="002F0133" w:rsidRPr="000B4E2C" w:rsidRDefault="002F0133" w:rsidP="008A7464">
            <w:pPr>
              <w:jc w:val="right"/>
              <w:rPr>
                <w:sz w:val="22"/>
                <w:lang w:val="en-GB" w:eastAsia="en-GB"/>
              </w:rPr>
            </w:pPr>
            <w:r w:rsidRPr="000B4E2C">
              <w:rPr>
                <w:sz w:val="22"/>
                <w:lang w:val="en-GB" w:eastAsia="en-GB"/>
              </w:rPr>
              <w:t>8.3%</w:t>
            </w:r>
          </w:p>
        </w:tc>
      </w:tr>
      <w:tr w:rsidR="000B4E2C" w:rsidRPr="000B4E2C" w14:paraId="61A5504D" w14:textId="77777777" w:rsidTr="000B4E2C">
        <w:trPr>
          <w:cantSplit/>
        </w:trPr>
        <w:tc>
          <w:tcPr>
            <w:tcW w:w="0" w:type="auto"/>
            <w:shd w:val="clear" w:color="auto" w:fill="auto"/>
            <w:noWrap/>
            <w:vAlign w:val="bottom"/>
            <w:hideMark/>
          </w:tcPr>
          <w:p w14:paraId="6900AC69" w14:textId="4FA693BF" w:rsidR="002F0133" w:rsidRPr="000B4E2C" w:rsidRDefault="002F0133" w:rsidP="008A7464">
            <w:pPr>
              <w:rPr>
                <w:color w:val="000000"/>
                <w:sz w:val="22"/>
                <w:lang w:val="en-GB" w:eastAsia="en-GB"/>
              </w:rPr>
            </w:pPr>
            <w:r w:rsidRPr="000B4E2C">
              <w:rPr>
                <w:sz w:val="22"/>
                <w:lang w:val="en-GB" w:eastAsia="en-GB"/>
              </w:rPr>
              <w:t>Test 4 (NGAL urine</w:t>
            </w:r>
            <w:r w:rsidR="000B4E2C" w:rsidRPr="000B4E2C">
              <w:rPr>
                <w:color w:val="00B0F0"/>
                <w:sz w:val="22"/>
                <w:lang w:val="en-GB" w:eastAsia="en-GB"/>
              </w:rPr>
              <w:t xml:space="preserve"> – </w:t>
            </w:r>
            <w:r w:rsidRPr="000B4E2C">
              <w:rPr>
                <w:sz w:val="22"/>
                <w:lang w:val="en-GB" w:eastAsia="en-GB"/>
              </w:rPr>
              <w:t>ARCHITECT)</w:t>
            </w:r>
          </w:p>
        </w:tc>
        <w:tc>
          <w:tcPr>
            <w:tcW w:w="0" w:type="auto"/>
            <w:shd w:val="clear" w:color="auto" w:fill="auto"/>
            <w:noWrap/>
            <w:vAlign w:val="bottom"/>
            <w:hideMark/>
          </w:tcPr>
          <w:p w14:paraId="59E334AD" w14:textId="77777777" w:rsidR="002F0133" w:rsidRPr="000B4E2C" w:rsidRDefault="002F0133" w:rsidP="008A7464">
            <w:pPr>
              <w:jc w:val="right"/>
              <w:rPr>
                <w:color w:val="000000"/>
                <w:sz w:val="22"/>
                <w:lang w:val="en-GB" w:eastAsia="en-GB"/>
              </w:rPr>
            </w:pPr>
            <w:r w:rsidRPr="000B4E2C">
              <w:rPr>
                <w:sz w:val="22"/>
                <w:lang w:val="en-GB" w:eastAsia="en-GB"/>
              </w:rPr>
              <w:t>£22,991</w:t>
            </w:r>
          </w:p>
        </w:tc>
        <w:tc>
          <w:tcPr>
            <w:tcW w:w="0" w:type="auto"/>
            <w:shd w:val="clear" w:color="auto" w:fill="auto"/>
            <w:noWrap/>
            <w:vAlign w:val="bottom"/>
            <w:hideMark/>
          </w:tcPr>
          <w:p w14:paraId="7C68A656"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55C23B1C" w14:textId="77777777" w:rsidR="002F0133" w:rsidRPr="000B4E2C" w:rsidRDefault="002F0133" w:rsidP="008A7464">
            <w:pPr>
              <w:jc w:val="right"/>
              <w:rPr>
                <w:color w:val="000000"/>
                <w:sz w:val="22"/>
                <w:lang w:val="en-GB" w:eastAsia="en-GB"/>
              </w:rPr>
            </w:pPr>
            <w:r w:rsidRPr="000B4E2C">
              <w:rPr>
                <w:sz w:val="22"/>
                <w:lang w:val="en-GB" w:eastAsia="en-GB"/>
              </w:rPr>
              <w:t>6.07728</w:t>
            </w:r>
          </w:p>
        </w:tc>
        <w:tc>
          <w:tcPr>
            <w:tcW w:w="0" w:type="auto"/>
            <w:shd w:val="clear" w:color="auto" w:fill="auto"/>
            <w:noWrap/>
            <w:vAlign w:val="bottom"/>
            <w:hideMark/>
          </w:tcPr>
          <w:p w14:paraId="17628368"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3957E547"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7C03ACFB" w14:textId="77777777" w:rsidR="002F0133" w:rsidRPr="000B4E2C" w:rsidRDefault="002F0133" w:rsidP="008A7464">
            <w:pPr>
              <w:jc w:val="right"/>
              <w:rPr>
                <w:color w:val="000000"/>
                <w:sz w:val="22"/>
                <w:lang w:val="en-GB" w:eastAsia="en-GB"/>
              </w:rPr>
            </w:pPr>
            <w:r w:rsidRPr="000B4E2C">
              <w:rPr>
                <w:sz w:val="22"/>
                <w:lang w:val="en-GB" w:eastAsia="en-GB"/>
              </w:rPr>
              <w:t>£732,572</w:t>
            </w:r>
          </w:p>
        </w:tc>
        <w:tc>
          <w:tcPr>
            <w:tcW w:w="0" w:type="auto"/>
            <w:shd w:val="clear" w:color="auto" w:fill="auto"/>
            <w:noWrap/>
            <w:vAlign w:val="bottom"/>
            <w:hideMark/>
          </w:tcPr>
          <w:p w14:paraId="3410115F" w14:textId="77777777" w:rsidR="002F0133" w:rsidRPr="000B4E2C" w:rsidRDefault="002F0133" w:rsidP="008A7464">
            <w:pPr>
              <w:jc w:val="right"/>
              <w:rPr>
                <w:color w:val="000000"/>
                <w:sz w:val="22"/>
                <w:lang w:val="en-GB" w:eastAsia="en-GB"/>
              </w:rPr>
            </w:pPr>
            <w:r w:rsidRPr="000B4E2C">
              <w:rPr>
                <w:sz w:val="22"/>
                <w:lang w:val="en-GB" w:eastAsia="en-GB"/>
              </w:rPr>
              <w:t>0.1%</w:t>
            </w:r>
          </w:p>
        </w:tc>
        <w:tc>
          <w:tcPr>
            <w:tcW w:w="0" w:type="auto"/>
            <w:shd w:val="clear" w:color="auto" w:fill="auto"/>
            <w:noWrap/>
            <w:vAlign w:val="bottom"/>
            <w:hideMark/>
          </w:tcPr>
          <w:p w14:paraId="67772A79" w14:textId="77777777" w:rsidR="002F0133" w:rsidRPr="000B4E2C" w:rsidRDefault="002F0133" w:rsidP="008A7464">
            <w:pPr>
              <w:jc w:val="right"/>
              <w:rPr>
                <w:sz w:val="22"/>
                <w:lang w:val="en-GB" w:eastAsia="en-GB"/>
              </w:rPr>
            </w:pPr>
            <w:r w:rsidRPr="000B4E2C">
              <w:rPr>
                <w:sz w:val="22"/>
                <w:lang w:val="en-GB" w:eastAsia="en-GB"/>
              </w:rPr>
              <w:t>7.9%</w:t>
            </w:r>
          </w:p>
        </w:tc>
      </w:tr>
    </w:tbl>
    <w:p w14:paraId="67918EBC" w14:textId="77777777" w:rsidR="000B4E2C" w:rsidRPr="000B4E2C" w:rsidRDefault="000B4E2C" w:rsidP="001544BB">
      <w:pPr>
        <w:rPr>
          <w:b/>
          <w:lang w:val="en-GB" w:eastAsia="en-GB"/>
        </w:rPr>
      </w:pPr>
    </w:p>
    <w:p w14:paraId="047432AC" w14:textId="7078DBB4" w:rsidR="002F0133" w:rsidRPr="000B4E2C" w:rsidRDefault="002F0133" w:rsidP="008A7464">
      <w:pPr>
        <w:pStyle w:val="Heading4"/>
        <w:rPr>
          <w:lang w:val="en-GB" w:eastAsia="en-GB"/>
        </w:rPr>
      </w:pPr>
      <w:r w:rsidRPr="000B4E2C">
        <w:rPr>
          <w:lang w:val="en-GB" w:eastAsia="en-GB"/>
        </w:rPr>
        <w:t>Cardiac Surgery subgroup</w:t>
      </w:r>
    </w:p>
    <w:p w14:paraId="2BDF8081" w14:textId="111B73E1" w:rsidR="000B4E2C" w:rsidRPr="000B4E2C" w:rsidRDefault="002F0133" w:rsidP="001544BB">
      <w:pPr>
        <w:rPr>
          <w:lang w:val="en-GB" w:eastAsia="en-GB"/>
        </w:rPr>
      </w:pPr>
      <w:r w:rsidRPr="000B4E2C">
        <w:rPr>
          <w:lang w:val="en-GB" w:eastAsia="en-GB"/>
        </w:rPr>
        <w:t xml:space="preserve">Diagnostic accuracy </w:t>
      </w:r>
      <w:r w:rsidRPr="000B4E2C">
        <w:rPr>
          <w:highlight w:val="magenta"/>
          <w:lang w:val="en-GB" w:eastAsia="en-GB"/>
        </w:rPr>
        <w:t>data</w:t>
      </w:r>
      <w:r w:rsidRPr="000B4E2C">
        <w:rPr>
          <w:lang w:val="en-GB" w:eastAsia="en-GB"/>
        </w:rPr>
        <w:t xml:space="preserve"> were not available from the systematic review for all biomarker strategies for this group and were only available from single studies for some tests</w:t>
      </w:r>
      <w:r w:rsidR="004A38D7" w:rsidRPr="000B4E2C">
        <w:rPr>
          <w:lang w:val="en-GB" w:eastAsia="en-GB"/>
        </w:rPr>
        <w:t xml:space="preserve">. </w:t>
      </w:r>
      <w:r w:rsidRPr="000B4E2C">
        <w:rPr>
          <w:lang w:val="en-GB" w:eastAsia="en-GB"/>
        </w:rPr>
        <w:t xml:space="preserve">Where </w:t>
      </w:r>
      <w:r w:rsidRPr="000B4E2C">
        <w:rPr>
          <w:highlight w:val="magenta"/>
          <w:lang w:val="en-GB" w:eastAsia="en-GB"/>
        </w:rPr>
        <w:t>data</w:t>
      </w:r>
      <w:r w:rsidRPr="000B4E2C">
        <w:rPr>
          <w:lang w:val="en-GB" w:eastAsia="en-GB"/>
        </w:rPr>
        <w:t xml:space="preserve"> were not available from the review, we have taken pooled estimates from Hall</w:t>
      </w:r>
      <w:r w:rsidRPr="000B4E2C">
        <w:rPr>
          <w:i/>
          <w:color w:val="00B0F0"/>
          <w:lang w:val="en-GB" w:eastAsia="en-GB"/>
        </w:rPr>
        <w:t xml:space="preserve"> et al</w:t>
      </w:r>
      <w:r w:rsidRPr="000B4E2C">
        <w:rPr>
          <w:color w:val="00B0F0"/>
          <w:lang w:val="en-GB" w:eastAsia="en-GB"/>
        </w:rPr>
        <w:t>.,</w:t>
      </w:r>
      <w:r w:rsidRPr="000B4E2C">
        <w:rPr>
          <w:lang w:val="en-GB" w:eastAsia="en-GB"/>
        </w:rPr>
        <w:t xml:space="preserve"> but note that this analysis should be considered </w:t>
      </w:r>
      <w:r w:rsidR="004A38D7" w:rsidRPr="000B4E2C">
        <w:rPr>
          <w:lang w:val="en-GB" w:eastAsia="en-GB"/>
        </w:rPr>
        <w:t>with caution</w:t>
      </w:r>
      <w:r w:rsidRPr="000B4E2C">
        <w:rPr>
          <w:lang w:val="en-GB" w:eastAsia="en-GB"/>
        </w:rPr>
        <w:t xml:space="preserve"> as it includes test manufacturers out with the</w:t>
      </w:r>
      <w:r w:rsidR="004A38D7" w:rsidRPr="000B4E2C">
        <w:rPr>
          <w:lang w:val="en-GB" w:eastAsia="en-GB"/>
        </w:rPr>
        <w:t xml:space="preserve"> scope of the NICE assessment. </w:t>
      </w:r>
      <w:r w:rsidRPr="000B4E2C">
        <w:rPr>
          <w:lang w:val="en-GB" w:eastAsia="en-GB"/>
        </w:rPr>
        <w:t xml:space="preserve">The diagnostic accuracy </w:t>
      </w:r>
      <w:r w:rsidRPr="000B4E2C">
        <w:rPr>
          <w:highlight w:val="magenta"/>
          <w:lang w:val="en-GB" w:eastAsia="en-GB"/>
        </w:rPr>
        <w:t>data</w:t>
      </w:r>
      <w:r w:rsidRPr="000B4E2C">
        <w:rPr>
          <w:lang w:val="en-GB" w:eastAsia="en-GB"/>
        </w:rPr>
        <w:t xml:space="preserve"> for the cardiac surgery subgroup are provided in </w:t>
      </w:r>
      <w:r w:rsidR="000B4E2C" w:rsidRPr="000B4E2C">
        <w:rPr>
          <w:i/>
          <w:color w:val="FF0000"/>
          <w:lang w:val="en-GB" w:eastAsia="en-GB"/>
        </w:rPr>
        <w:t>T</w:t>
      </w:r>
      <w:r w:rsidR="000B4E2C" w:rsidRPr="000B4E2C">
        <w:rPr>
          <w:i/>
          <w:color w:val="FF0000"/>
          <w:lang w:val="en-GB" w:eastAsia="en-GB"/>
        </w:rPr>
        <w:t>able</w:t>
      </w:r>
      <w:r w:rsidR="000B4E2C" w:rsidRPr="000B4E2C">
        <w:rPr>
          <w:i/>
          <w:color w:val="FF0000"/>
          <w:lang w:val="en-GB" w:eastAsia="en-GB"/>
        </w:rPr>
        <w:t xml:space="preserve"> </w:t>
      </w:r>
      <w:r w:rsidR="000B4E2C" w:rsidRPr="000B4E2C">
        <w:rPr>
          <w:i/>
          <w:color w:val="FF0000"/>
          <w:lang w:val="en-GB" w:eastAsia="en-GB"/>
        </w:rPr>
        <w:t>24</w:t>
      </w:r>
      <w:r w:rsidR="00101B12" w:rsidRPr="000B4E2C">
        <w:rPr>
          <w:lang w:val="en-GB" w:eastAsia="en-GB"/>
        </w:rPr>
        <w:t xml:space="preserve"> </w:t>
      </w:r>
      <w:r w:rsidR="008B3A0A" w:rsidRPr="000B4E2C">
        <w:rPr>
          <w:lang w:val="en-GB" w:eastAsia="en-GB"/>
        </w:rPr>
        <w:t>and are included probabilistically in the model where possible</w:t>
      </w:r>
      <w:r w:rsidRPr="000B4E2C">
        <w:rPr>
          <w:lang w:val="en-GB" w:eastAsia="en-GB"/>
        </w:rPr>
        <w:t>.</w:t>
      </w:r>
    </w:p>
    <w:p w14:paraId="2FBF2B8A" w14:textId="77777777" w:rsidR="000B4E2C" w:rsidRPr="000B4E2C" w:rsidRDefault="002F0133" w:rsidP="001544BB">
      <w:pPr>
        <w:rPr>
          <w:lang w:val="en-GB" w:eastAsia="en-GB"/>
        </w:rPr>
      </w:pPr>
      <w:r w:rsidRPr="000B4E2C">
        <w:rPr>
          <w:lang w:val="en-GB" w:eastAsia="en-GB"/>
        </w:rPr>
        <w:t>We caution again that these results should be interpreted cautiously because of the lack of</w:t>
      </w:r>
      <w:r w:rsidR="000B4E2C" w:rsidRPr="000B4E2C">
        <w:rPr>
          <w:color w:val="00B0F0"/>
          <w:lang w:val="en-GB" w:eastAsia="en-GB"/>
        </w:rPr>
        <w:t>/</w:t>
      </w:r>
      <w:r w:rsidRPr="000B4E2C">
        <w:rPr>
          <w:lang w:val="en-GB" w:eastAsia="en-GB"/>
        </w:rPr>
        <w:t xml:space="preserve">limitations with the diagnostic accuracy </w:t>
      </w:r>
      <w:r w:rsidRPr="000B4E2C">
        <w:rPr>
          <w:highlight w:val="magenta"/>
          <w:lang w:val="en-GB" w:eastAsia="en-GB"/>
        </w:rPr>
        <w:t>data</w:t>
      </w:r>
      <w:r w:rsidRPr="000B4E2C">
        <w:rPr>
          <w:lang w:val="en-GB" w:eastAsia="en-GB"/>
        </w:rPr>
        <w:t>, and the questionable relevance of the downstream parameters</w:t>
      </w:r>
      <w:r w:rsidR="000B4E2C" w:rsidRPr="000B4E2C">
        <w:rPr>
          <w:color w:val="00B0F0"/>
          <w:lang w:val="en-GB" w:eastAsia="en-GB"/>
        </w:rPr>
        <w:t>/</w:t>
      </w:r>
      <w:r w:rsidRPr="000B4E2C">
        <w:rPr>
          <w:lang w:val="en-GB" w:eastAsia="en-GB"/>
        </w:rPr>
        <w:t>model structure for a cohort of post-cardiac patients only.</w:t>
      </w:r>
    </w:p>
    <w:p w14:paraId="57D624EF" w14:textId="7E306D4A" w:rsidR="002F0133" w:rsidRPr="000B4E2C" w:rsidRDefault="000B4E2C" w:rsidP="008A7464">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24</w:t>
      </w:r>
      <w:r w:rsidRPr="000B4E2C">
        <w:t xml:space="preserve"> </w:t>
      </w:r>
      <w:r w:rsidR="002F0133" w:rsidRPr="000B4E2C">
        <w:t xml:space="preserve">Diagnostic accuracy </w:t>
      </w:r>
      <w:r w:rsidR="002F0133" w:rsidRPr="000B4E2C">
        <w:rPr>
          <w:highlight w:val="magenta"/>
        </w:rPr>
        <w:t>data</w:t>
      </w:r>
      <w:r w:rsidR="002F0133" w:rsidRPr="000B4E2C">
        <w:t xml:space="preserve"> used for cardiac surgery subgroup</w:t>
      </w:r>
    </w:p>
    <w:tbl>
      <w:tblPr>
        <w:tblW w:w="0" w:type="auto"/>
        <w:tblCellMar>
          <w:top w:w="40" w:type="dxa"/>
          <w:left w:w="60" w:type="dxa"/>
          <w:bottom w:w="40" w:type="dxa"/>
          <w:right w:w="60" w:type="dxa"/>
        </w:tblCellMar>
        <w:tblLook w:val="04A0" w:firstRow="1" w:lastRow="0" w:firstColumn="1" w:lastColumn="0" w:noHBand="0" w:noVBand="1"/>
      </w:tblPr>
      <w:tblGrid>
        <w:gridCol w:w="1501"/>
        <w:gridCol w:w="1074"/>
        <w:gridCol w:w="1318"/>
        <w:gridCol w:w="725"/>
        <w:gridCol w:w="615"/>
        <w:gridCol w:w="1220"/>
        <w:gridCol w:w="1776"/>
      </w:tblGrid>
      <w:tr w:rsidR="000B4E2C" w:rsidRPr="000B4E2C" w14:paraId="73F4209E" w14:textId="77777777" w:rsidTr="000B4E2C">
        <w:trPr>
          <w:cantSplit/>
        </w:trPr>
        <w:tc>
          <w:tcPr>
            <w:tcW w:w="0" w:type="auto"/>
            <w:shd w:val="clear" w:color="auto" w:fill="auto"/>
            <w:noWrap/>
            <w:vAlign w:val="bottom"/>
            <w:hideMark/>
          </w:tcPr>
          <w:p w14:paraId="4D53CE06" w14:textId="77777777" w:rsidR="002F0133" w:rsidRPr="000B4E2C" w:rsidRDefault="002F0133" w:rsidP="008A7464">
            <w:pPr>
              <w:rPr>
                <w:b/>
                <w:bCs/>
                <w:color w:val="000000"/>
                <w:sz w:val="22"/>
                <w:lang w:val="en-GB" w:eastAsia="en-GB"/>
              </w:rPr>
            </w:pPr>
            <w:r w:rsidRPr="000B4E2C">
              <w:rPr>
                <w:b/>
                <w:bCs/>
                <w:sz w:val="22"/>
                <w:lang w:val="en-GB" w:eastAsia="en-GB"/>
              </w:rPr>
              <w:t>Test</w:t>
            </w:r>
          </w:p>
        </w:tc>
        <w:tc>
          <w:tcPr>
            <w:tcW w:w="0" w:type="auto"/>
            <w:shd w:val="clear" w:color="auto" w:fill="auto"/>
            <w:noWrap/>
            <w:vAlign w:val="bottom"/>
            <w:hideMark/>
          </w:tcPr>
          <w:p w14:paraId="231396EC" w14:textId="77777777" w:rsidR="002F0133" w:rsidRPr="000B4E2C" w:rsidRDefault="002F0133" w:rsidP="008A7464">
            <w:pPr>
              <w:rPr>
                <w:b/>
                <w:bCs/>
                <w:color w:val="000000"/>
                <w:sz w:val="22"/>
                <w:lang w:val="en-GB" w:eastAsia="en-GB"/>
              </w:rPr>
            </w:pPr>
            <w:r w:rsidRPr="000B4E2C">
              <w:rPr>
                <w:b/>
                <w:bCs/>
                <w:sz w:val="22"/>
                <w:lang w:val="en-GB" w:eastAsia="en-GB"/>
              </w:rPr>
              <w:t>measure</w:t>
            </w:r>
          </w:p>
        </w:tc>
        <w:tc>
          <w:tcPr>
            <w:tcW w:w="0" w:type="auto"/>
            <w:shd w:val="clear" w:color="auto" w:fill="auto"/>
            <w:vAlign w:val="bottom"/>
          </w:tcPr>
          <w:p w14:paraId="6D47FBC9" w14:textId="77777777" w:rsidR="000B4E2C" w:rsidRPr="000B4E2C" w:rsidRDefault="002F0133" w:rsidP="008A7464">
            <w:pPr>
              <w:rPr>
                <w:b/>
                <w:bCs/>
                <w:sz w:val="22"/>
                <w:lang w:val="en-GB" w:eastAsia="en-GB"/>
              </w:rPr>
            </w:pPr>
            <w:r w:rsidRPr="000B4E2C">
              <w:rPr>
                <w:b/>
                <w:bCs/>
                <w:sz w:val="22"/>
                <w:lang w:val="en-GB" w:eastAsia="en-GB"/>
              </w:rPr>
              <w:t>Mean</w:t>
            </w:r>
          </w:p>
          <w:p w14:paraId="07FEFE7E" w14:textId="6B386357" w:rsidR="002F0133" w:rsidRPr="000B4E2C" w:rsidRDefault="002F0133" w:rsidP="008A7464">
            <w:pPr>
              <w:rPr>
                <w:b/>
                <w:bCs/>
                <w:color w:val="000000"/>
                <w:sz w:val="22"/>
                <w:lang w:val="en-GB" w:eastAsia="en-GB"/>
              </w:rPr>
            </w:pPr>
            <w:r w:rsidRPr="000B4E2C">
              <w:rPr>
                <w:b/>
                <w:bCs/>
                <w:sz w:val="22"/>
                <w:lang w:val="en-GB" w:eastAsia="en-GB"/>
              </w:rPr>
              <w:t>(95</w:t>
            </w:r>
            <w:r w:rsidR="000B4E2C" w:rsidRPr="000B4E2C">
              <w:rPr>
                <w:b/>
                <w:bCs/>
                <w:color w:val="00B0F0"/>
                <w:sz w:val="22"/>
                <w:lang w:val="en-GB" w:eastAsia="en-GB"/>
              </w:rPr>
              <w:t>%</w:t>
            </w:r>
            <w:r w:rsidRPr="000B4E2C">
              <w:rPr>
                <w:b/>
                <w:bCs/>
                <w:sz w:val="22"/>
                <w:lang w:val="en-GB" w:eastAsia="en-GB"/>
              </w:rPr>
              <w:t xml:space="preserve"> CI)</w:t>
            </w:r>
          </w:p>
        </w:tc>
        <w:tc>
          <w:tcPr>
            <w:tcW w:w="0" w:type="auto"/>
            <w:shd w:val="clear" w:color="auto" w:fill="auto"/>
            <w:noWrap/>
            <w:vAlign w:val="bottom"/>
            <w:hideMark/>
          </w:tcPr>
          <w:p w14:paraId="14F94BCE" w14:textId="77777777" w:rsidR="000B4E2C" w:rsidRPr="000B4E2C" w:rsidRDefault="002F0133" w:rsidP="008A7464">
            <w:pPr>
              <w:rPr>
                <w:b/>
                <w:bCs/>
                <w:sz w:val="22"/>
                <w:lang w:val="en-GB" w:eastAsia="en-GB"/>
              </w:rPr>
            </w:pPr>
            <w:r w:rsidRPr="000B4E2C">
              <w:rPr>
                <w:b/>
                <w:bCs/>
                <w:sz w:val="22"/>
                <w:lang w:val="en-GB" w:eastAsia="en-GB"/>
              </w:rPr>
              <w:t>Mean</w:t>
            </w:r>
          </w:p>
          <w:p w14:paraId="2F57E436" w14:textId="7D933F88" w:rsidR="002F0133" w:rsidRPr="000B4E2C" w:rsidRDefault="002F0133" w:rsidP="008A7464">
            <w:pPr>
              <w:rPr>
                <w:b/>
                <w:bCs/>
                <w:color w:val="000000"/>
                <w:sz w:val="22"/>
                <w:lang w:val="en-GB" w:eastAsia="en-GB"/>
              </w:rPr>
            </w:pPr>
            <w:r w:rsidRPr="000B4E2C">
              <w:rPr>
                <w:b/>
                <w:bCs/>
                <w:sz w:val="22"/>
                <w:lang w:val="en-GB" w:eastAsia="en-GB"/>
              </w:rPr>
              <w:t>logit</w:t>
            </w:r>
          </w:p>
        </w:tc>
        <w:tc>
          <w:tcPr>
            <w:tcW w:w="0" w:type="auto"/>
            <w:shd w:val="clear" w:color="auto" w:fill="auto"/>
            <w:noWrap/>
            <w:vAlign w:val="bottom"/>
            <w:hideMark/>
          </w:tcPr>
          <w:p w14:paraId="6C012CBB" w14:textId="77777777" w:rsidR="000B4E2C" w:rsidRPr="000B4E2C" w:rsidRDefault="002F0133" w:rsidP="008A7464">
            <w:pPr>
              <w:rPr>
                <w:b/>
                <w:bCs/>
                <w:sz w:val="22"/>
                <w:lang w:val="en-GB" w:eastAsia="en-GB"/>
              </w:rPr>
            </w:pPr>
            <w:r w:rsidRPr="000B4E2C">
              <w:rPr>
                <w:b/>
                <w:bCs/>
                <w:sz w:val="22"/>
                <w:lang w:val="en-GB" w:eastAsia="en-GB"/>
              </w:rPr>
              <w:t>SE</w:t>
            </w:r>
          </w:p>
          <w:p w14:paraId="3432C097" w14:textId="3ADDDA01" w:rsidR="002F0133" w:rsidRPr="000B4E2C" w:rsidRDefault="002F0133" w:rsidP="008A7464">
            <w:pPr>
              <w:rPr>
                <w:b/>
                <w:bCs/>
                <w:color w:val="000000"/>
                <w:sz w:val="22"/>
                <w:lang w:val="en-GB" w:eastAsia="en-GB"/>
              </w:rPr>
            </w:pPr>
            <w:r w:rsidRPr="000B4E2C">
              <w:rPr>
                <w:b/>
                <w:bCs/>
                <w:sz w:val="22"/>
                <w:lang w:val="en-GB" w:eastAsia="en-GB"/>
              </w:rPr>
              <w:t>logit</w:t>
            </w:r>
          </w:p>
        </w:tc>
        <w:tc>
          <w:tcPr>
            <w:tcW w:w="0" w:type="auto"/>
            <w:shd w:val="clear" w:color="auto" w:fill="auto"/>
            <w:noWrap/>
            <w:vAlign w:val="bottom"/>
            <w:hideMark/>
          </w:tcPr>
          <w:p w14:paraId="0B8D29C3" w14:textId="77777777" w:rsidR="000B4E2C" w:rsidRPr="000B4E2C" w:rsidRDefault="002F0133" w:rsidP="008A7464">
            <w:pPr>
              <w:rPr>
                <w:b/>
                <w:bCs/>
                <w:sz w:val="22"/>
                <w:lang w:val="en-GB" w:eastAsia="en-GB"/>
              </w:rPr>
            </w:pPr>
            <w:r w:rsidRPr="000B4E2C">
              <w:rPr>
                <w:b/>
                <w:bCs/>
                <w:sz w:val="22"/>
                <w:lang w:val="en-GB" w:eastAsia="en-GB"/>
              </w:rPr>
              <w:t>Correlation</w:t>
            </w:r>
          </w:p>
          <w:p w14:paraId="136A371C" w14:textId="77777777" w:rsidR="000B4E2C" w:rsidRPr="000B4E2C" w:rsidRDefault="002F0133" w:rsidP="008A7464">
            <w:pPr>
              <w:rPr>
                <w:b/>
                <w:bCs/>
                <w:sz w:val="22"/>
                <w:lang w:val="en-GB" w:eastAsia="en-GB"/>
              </w:rPr>
            </w:pPr>
            <w:r w:rsidRPr="000B4E2C">
              <w:rPr>
                <w:b/>
                <w:bCs/>
                <w:sz w:val="22"/>
                <w:lang w:val="en-GB" w:eastAsia="en-GB"/>
              </w:rPr>
              <w:t>for MVN</w:t>
            </w:r>
          </w:p>
          <w:p w14:paraId="310622D3" w14:textId="4187D7AF" w:rsidR="002F0133" w:rsidRPr="000B4E2C" w:rsidRDefault="002F0133" w:rsidP="008A7464">
            <w:pPr>
              <w:rPr>
                <w:b/>
                <w:bCs/>
                <w:color w:val="000000"/>
                <w:sz w:val="22"/>
                <w:lang w:val="en-GB" w:eastAsia="en-GB"/>
              </w:rPr>
            </w:pPr>
            <w:r w:rsidRPr="000B4E2C">
              <w:rPr>
                <w:b/>
                <w:bCs/>
                <w:sz w:val="22"/>
                <w:lang w:val="en-GB" w:eastAsia="en-GB"/>
              </w:rPr>
              <w:t xml:space="preserve">analysis </w:t>
            </w:r>
            <w:r w:rsidRPr="000B4E2C">
              <w:rPr>
                <w:b/>
                <w:bCs/>
                <w:sz w:val="22"/>
                <w:vertAlign w:val="superscript"/>
                <w:lang w:val="en-GB" w:eastAsia="en-GB"/>
              </w:rPr>
              <w:t>A</w:t>
            </w:r>
          </w:p>
        </w:tc>
        <w:tc>
          <w:tcPr>
            <w:tcW w:w="0" w:type="auto"/>
            <w:shd w:val="clear" w:color="auto" w:fill="auto"/>
          </w:tcPr>
          <w:p w14:paraId="5372BE1C" w14:textId="77777777" w:rsidR="002F0133" w:rsidRPr="000B4E2C" w:rsidRDefault="002F0133" w:rsidP="008A7464">
            <w:pPr>
              <w:rPr>
                <w:b/>
                <w:bCs/>
                <w:sz w:val="22"/>
                <w:lang w:val="en-GB" w:eastAsia="en-GB"/>
              </w:rPr>
            </w:pPr>
            <w:r w:rsidRPr="000B4E2C">
              <w:rPr>
                <w:b/>
                <w:bCs/>
                <w:sz w:val="22"/>
                <w:lang w:val="en-GB" w:eastAsia="en-GB"/>
              </w:rPr>
              <w:t>Source</w:t>
            </w:r>
          </w:p>
        </w:tc>
      </w:tr>
      <w:tr w:rsidR="000B4E2C" w:rsidRPr="000B4E2C" w14:paraId="7196312B" w14:textId="77777777" w:rsidTr="000B4E2C">
        <w:trPr>
          <w:cantSplit/>
        </w:trPr>
        <w:tc>
          <w:tcPr>
            <w:tcW w:w="0" w:type="auto"/>
            <w:vMerge w:val="restart"/>
            <w:shd w:val="clear" w:color="auto" w:fill="auto"/>
            <w:noWrap/>
            <w:vAlign w:val="center"/>
            <w:hideMark/>
          </w:tcPr>
          <w:p w14:paraId="7794558A" w14:textId="77777777" w:rsidR="002F0133" w:rsidRPr="000B4E2C" w:rsidRDefault="002F0133" w:rsidP="008A7464">
            <w:pPr>
              <w:rPr>
                <w:color w:val="000000"/>
                <w:sz w:val="22"/>
                <w:lang w:val="en-GB" w:eastAsia="en-GB"/>
              </w:rPr>
            </w:pPr>
            <w:r w:rsidRPr="000B4E2C">
              <w:rPr>
                <w:sz w:val="22"/>
                <w:lang w:val="en-GB" w:eastAsia="en-GB"/>
              </w:rPr>
              <w:t>Nephro-Check</w:t>
            </w:r>
          </w:p>
        </w:tc>
        <w:tc>
          <w:tcPr>
            <w:tcW w:w="0" w:type="auto"/>
            <w:shd w:val="clear" w:color="auto" w:fill="auto"/>
            <w:noWrap/>
            <w:vAlign w:val="center"/>
            <w:hideMark/>
          </w:tcPr>
          <w:p w14:paraId="10A290FD" w14:textId="77777777" w:rsidR="002F0133" w:rsidRPr="000B4E2C" w:rsidRDefault="002F0133" w:rsidP="008A7464">
            <w:pPr>
              <w:rPr>
                <w:color w:val="000000"/>
                <w:sz w:val="22"/>
                <w:lang w:val="en-GB" w:eastAsia="en-GB"/>
              </w:rPr>
            </w:pPr>
            <w:r w:rsidRPr="000B4E2C">
              <w:rPr>
                <w:sz w:val="22"/>
                <w:lang w:val="en-GB" w:eastAsia="en-GB"/>
              </w:rPr>
              <w:t>Sensitivity</w:t>
            </w:r>
          </w:p>
        </w:tc>
        <w:tc>
          <w:tcPr>
            <w:tcW w:w="0" w:type="auto"/>
            <w:shd w:val="clear" w:color="auto" w:fill="auto"/>
            <w:vAlign w:val="center"/>
          </w:tcPr>
          <w:p w14:paraId="23753B6B" w14:textId="77777777" w:rsidR="000B4E2C" w:rsidRPr="000B4E2C" w:rsidRDefault="002F0133" w:rsidP="008A7464">
            <w:pPr>
              <w:jc w:val="right"/>
              <w:rPr>
                <w:sz w:val="22"/>
              </w:rPr>
            </w:pPr>
            <w:r w:rsidRPr="000B4E2C">
              <w:rPr>
                <w:sz w:val="22"/>
              </w:rPr>
              <w:t>0.31</w:t>
            </w:r>
          </w:p>
          <w:p w14:paraId="02838EDE" w14:textId="6CD0DB2D" w:rsidR="002F0133" w:rsidRPr="000B4E2C" w:rsidRDefault="002F0133" w:rsidP="008A7464">
            <w:pPr>
              <w:jc w:val="right"/>
              <w:rPr>
                <w:sz w:val="22"/>
                <w:lang w:val="en-GB" w:eastAsia="en-GB"/>
              </w:rPr>
            </w:pPr>
            <w:r w:rsidRPr="000B4E2C">
              <w:rPr>
                <w:sz w:val="22"/>
              </w:rPr>
              <w:t>(0.09 to 0.61)</w:t>
            </w:r>
          </w:p>
        </w:tc>
        <w:tc>
          <w:tcPr>
            <w:tcW w:w="0" w:type="auto"/>
            <w:shd w:val="clear" w:color="auto" w:fill="auto"/>
            <w:noWrap/>
            <w:vAlign w:val="center"/>
            <w:hideMark/>
          </w:tcPr>
          <w:p w14:paraId="0C0C86A3" w14:textId="37B674D7" w:rsidR="002F0133" w:rsidRPr="000B4E2C" w:rsidRDefault="000B4E2C" w:rsidP="008A7464">
            <w:pPr>
              <w:jc w:val="right"/>
              <w:rPr>
                <w:sz w:val="22"/>
                <w:lang w:val="en-GB" w:eastAsia="en-GB"/>
              </w:rPr>
            </w:pPr>
            <w:r w:rsidRPr="000B4E2C">
              <w:rPr>
                <w:color w:val="00B0F0"/>
                <w:sz w:val="22"/>
              </w:rPr>
              <w:t>–</w:t>
            </w:r>
            <w:r w:rsidRPr="000B4E2C">
              <w:rPr>
                <w:color w:val="00B0F0"/>
                <w:sz w:val="22"/>
              </w:rPr>
              <w:t>0</w:t>
            </w:r>
            <w:r w:rsidR="002F0133" w:rsidRPr="000B4E2C">
              <w:rPr>
                <w:sz w:val="22"/>
              </w:rPr>
              <w:t>.800</w:t>
            </w:r>
          </w:p>
        </w:tc>
        <w:tc>
          <w:tcPr>
            <w:tcW w:w="0" w:type="auto"/>
            <w:shd w:val="clear" w:color="auto" w:fill="auto"/>
            <w:noWrap/>
            <w:vAlign w:val="center"/>
            <w:hideMark/>
          </w:tcPr>
          <w:p w14:paraId="5795C03B" w14:textId="77777777" w:rsidR="002F0133" w:rsidRPr="000B4E2C" w:rsidRDefault="002F0133" w:rsidP="008A7464">
            <w:pPr>
              <w:jc w:val="right"/>
              <w:rPr>
                <w:color w:val="000000"/>
                <w:sz w:val="22"/>
                <w:lang w:val="en-GB" w:eastAsia="en-GB"/>
              </w:rPr>
            </w:pPr>
            <w:r w:rsidRPr="000B4E2C">
              <w:rPr>
                <w:sz w:val="22"/>
              </w:rPr>
              <w:t>0.704</w:t>
            </w:r>
          </w:p>
        </w:tc>
        <w:tc>
          <w:tcPr>
            <w:tcW w:w="0" w:type="auto"/>
            <w:vMerge w:val="restart"/>
            <w:shd w:val="clear" w:color="auto" w:fill="auto"/>
            <w:noWrap/>
            <w:vAlign w:val="center"/>
            <w:hideMark/>
          </w:tcPr>
          <w:p w14:paraId="26FC7DEE" w14:textId="22EDC7C7" w:rsidR="002F0133" w:rsidRPr="000B4E2C" w:rsidRDefault="000B4E2C" w:rsidP="008A7464">
            <w:pPr>
              <w:jc w:val="right"/>
              <w:rPr>
                <w:color w:val="000000"/>
                <w:sz w:val="22"/>
                <w:lang w:val="en-GB" w:eastAsia="en-GB"/>
              </w:rPr>
            </w:pPr>
            <w:r w:rsidRPr="000B4E2C">
              <w:rPr>
                <w:color w:val="00B0F0"/>
                <w:sz w:val="22"/>
                <w:lang w:val="en-GB" w:eastAsia="en-GB"/>
              </w:rPr>
              <w:t>–</w:t>
            </w:r>
            <w:r w:rsidRPr="000B4E2C">
              <w:rPr>
                <w:color w:val="00B0F0"/>
                <w:sz w:val="22"/>
                <w:lang w:val="en-GB" w:eastAsia="en-GB"/>
              </w:rPr>
              <w:t>0</w:t>
            </w:r>
            <w:r w:rsidR="002F0133" w:rsidRPr="000B4E2C">
              <w:rPr>
                <w:sz w:val="22"/>
                <w:lang w:val="en-GB" w:eastAsia="en-GB"/>
              </w:rPr>
              <w:t>.824</w:t>
            </w:r>
          </w:p>
        </w:tc>
        <w:tc>
          <w:tcPr>
            <w:tcW w:w="0" w:type="auto"/>
            <w:vMerge w:val="restart"/>
            <w:shd w:val="clear" w:color="auto" w:fill="auto"/>
            <w:vAlign w:val="center"/>
          </w:tcPr>
          <w:p w14:paraId="3F77CA3C" w14:textId="4F0ABD3E" w:rsidR="002F0133" w:rsidRPr="000B4E2C" w:rsidRDefault="002F0133" w:rsidP="008A7464">
            <w:pPr>
              <w:jc w:val="right"/>
              <w:rPr>
                <w:sz w:val="22"/>
                <w:lang w:val="en-GB" w:eastAsia="en-GB"/>
              </w:rPr>
            </w:pPr>
            <w:r w:rsidRPr="000B4E2C">
              <w:rPr>
                <w:sz w:val="22"/>
                <w:lang w:val="en-GB" w:eastAsia="en-GB"/>
              </w:rPr>
              <w:t>Cummings, 2019</w:t>
            </w:r>
            <w:r w:rsidR="005B5026" w:rsidRPr="000B4E2C">
              <w:rPr>
                <w:noProof/>
                <w:sz w:val="22"/>
                <w:vertAlign w:val="superscript"/>
                <w:lang w:val="en-GB" w:eastAsia="en-GB"/>
              </w:rPr>
              <w:t>28</w:t>
            </w:r>
          </w:p>
        </w:tc>
      </w:tr>
      <w:tr w:rsidR="000B4E2C" w:rsidRPr="000B4E2C" w14:paraId="3B43165C" w14:textId="77777777" w:rsidTr="000B4E2C">
        <w:trPr>
          <w:cantSplit/>
        </w:trPr>
        <w:tc>
          <w:tcPr>
            <w:tcW w:w="0" w:type="auto"/>
            <w:vMerge/>
            <w:shd w:val="clear" w:color="auto" w:fill="auto"/>
            <w:noWrap/>
            <w:vAlign w:val="center"/>
            <w:hideMark/>
          </w:tcPr>
          <w:p w14:paraId="29E92281" w14:textId="77777777" w:rsidR="002F0133" w:rsidRPr="000B4E2C" w:rsidRDefault="002F0133" w:rsidP="008A7464">
            <w:pPr>
              <w:rPr>
                <w:color w:val="000000"/>
                <w:sz w:val="22"/>
                <w:lang w:val="en-GB" w:eastAsia="en-GB"/>
              </w:rPr>
            </w:pPr>
          </w:p>
        </w:tc>
        <w:tc>
          <w:tcPr>
            <w:tcW w:w="0" w:type="auto"/>
            <w:shd w:val="clear" w:color="auto" w:fill="auto"/>
            <w:noWrap/>
            <w:vAlign w:val="center"/>
            <w:hideMark/>
          </w:tcPr>
          <w:p w14:paraId="6FDD6748" w14:textId="77777777" w:rsidR="002F0133" w:rsidRPr="000B4E2C" w:rsidRDefault="002F0133" w:rsidP="008A7464">
            <w:pPr>
              <w:rPr>
                <w:color w:val="000000"/>
                <w:sz w:val="22"/>
                <w:lang w:val="en-GB" w:eastAsia="en-GB"/>
              </w:rPr>
            </w:pPr>
            <w:r w:rsidRPr="000B4E2C">
              <w:rPr>
                <w:sz w:val="22"/>
                <w:lang w:val="en-GB" w:eastAsia="en-GB"/>
              </w:rPr>
              <w:t>Specificity</w:t>
            </w:r>
          </w:p>
        </w:tc>
        <w:tc>
          <w:tcPr>
            <w:tcW w:w="0" w:type="auto"/>
            <w:shd w:val="clear" w:color="auto" w:fill="auto"/>
            <w:vAlign w:val="center"/>
          </w:tcPr>
          <w:p w14:paraId="25D54FEA" w14:textId="77777777" w:rsidR="000B4E2C" w:rsidRPr="000B4E2C" w:rsidRDefault="002F0133" w:rsidP="008A7464">
            <w:pPr>
              <w:jc w:val="right"/>
              <w:rPr>
                <w:sz w:val="22"/>
              </w:rPr>
            </w:pPr>
            <w:r w:rsidRPr="000B4E2C">
              <w:rPr>
                <w:sz w:val="22"/>
              </w:rPr>
              <w:t>0.78</w:t>
            </w:r>
          </w:p>
          <w:p w14:paraId="1C514AF8" w14:textId="63754B44" w:rsidR="002F0133" w:rsidRPr="000B4E2C" w:rsidRDefault="002F0133" w:rsidP="008A7464">
            <w:pPr>
              <w:jc w:val="right"/>
              <w:rPr>
                <w:sz w:val="22"/>
                <w:lang w:val="en-GB" w:eastAsia="en-GB"/>
              </w:rPr>
            </w:pPr>
            <w:r w:rsidRPr="000B4E2C">
              <w:rPr>
                <w:sz w:val="22"/>
              </w:rPr>
              <w:t>(0.74 to 0.82)</w:t>
            </w:r>
          </w:p>
        </w:tc>
        <w:tc>
          <w:tcPr>
            <w:tcW w:w="0" w:type="auto"/>
            <w:shd w:val="clear" w:color="auto" w:fill="auto"/>
            <w:noWrap/>
            <w:vAlign w:val="center"/>
            <w:hideMark/>
          </w:tcPr>
          <w:p w14:paraId="75B5CCAE" w14:textId="77777777" w:rsidR="002F0133" w:rsidRPr="000B4E2C" w:rsidRDefault="002F0133" w:rsidP="008A7464">
            <w:pPr>
              <w:jc w:val="right"/>
              <w:rPr>
                <w:sz w:val="22"/>
                <w:lang w:val="en-GB" w:eastAsia="en-GB"/>
              </w:rPr>
            </w:pPr>
            <w:r w:rsidRPr="000B4E2C">
              <w:rPr>
                <w:sz w:val="22"/>
              </w:rPr>
              <w:t>1.266</w:t>
            </w:r>
          </w:p>
        </w:tc>
        <w:tc>
          <w:tcPr>
            <w:tcW w:w="0" w:type="auto"/>
            <w:shd w:val="clear" w:color="auto" w:fill="auto"/>
            <w:noWrap/>
            <w:vAlign w:val="center"/>
            <w:hideMark/>
          </w:tcPr>
          <w:p w14:paraId="5A7A1F14" w14:textId="77777777" w:rsidR="002F0133" w:rsidRPr="000B4E2C" w:rsidRDefault="002F0133" w:rsidP="008A7464">
            <w:pPr>
              <w:jc w:val="right"/>
              <w:rPr>
                <w:color w:val="000000"/>
                <w:sz w:val="22"/>
                <w:lang w:val="en-GB" w:eastAsia="en-GB"/>
              </w:rPr>
            </w:pPr>
            <w:r w:rsidRPr="000B4E2C">
              <w:rPr>
                <w:sz w:val="22"/>
              </w:rPr>
              <w:t>0.120</w:t>
            </w:r>
          </w:p>
        </w:tc>
        <w:tc>
          <w:tcPr>
            <w:tcW w:w="0" w:type="auto"/>
            <w:vMerge/>
            <w:shd w:val="clear" w:color="auto" w:fill="auto"/>
            <w:noWrap/>
            <w:vAlign w:val="center"/>
            <w:hideMark/>
          </w:tcPr>
          <w:p w14:paraId="1A072373" w14:textId="77777777" w:rsidR="002F0133" w:rsidRPr="000B4E2C" w:rsidRDefault="002F0133" w:rsidP="008A7464">
            <w:pPr>
              <w:jc w:val="right"/>
              <w:rPr>
                <w:color w:val="000000"/>
                <w:sz w:val="22"/>
                <w:lang w:val="en-GB" w:eastAsia="en-GB"/>
              </w:rPr>
            </w:pPr>
          </w:p>
        </w:tc>
        <w:tc>
          <w:tcPr>
            <w:tcW w:w="0" w:type="auto"/>
            <w:vMerge/>
            <w:shd w:val="clear" w:color="auto" w:fill="auto"/>
            <w:vAlign w:val="center"/>
          </w:tcPr>
          <w:p w14:paraId="1EE7BCCF" w14:textId="77777777" w:rsidR="002F0133" w:rsidRPr="000B4E2C" w:rsidRDefault="002F0133" w:rsidP="008A7464">
            <w:pPr>
              <w:jc w:val="right"/>
              <w:rPr>
                <w:sz w:val="22"/>
                <w:lang w:val="en-GB" w:eastAsia="en-GB"/>
              </w:rPr>
            </w:pPr>
          </w:p>
        </w:tc>
      </w:tr>
      <w:tr w:rsidR="000B4E2C" w:rsidRPr="000B4E2C" w14:paraId="5D9E7A3E" w14:textId="77777777" w:rsidTr="000B4E2C">
        <w:trPr>
          <w:cantSplit/>
        </w:trPr>
        <w:tc>
          <w:tcPr>
            <w:tcW w:w="0" w:type="auto"/>
            <w:vMerge w:val="restart"/>
            <w:shd w:val="clear" w:color="auto" w:fill="auto"/>
            <w:noWrap/>
            <w:vAlign w:val="center"/>
            <w:hideMark/>
          </w:tcPr>
          <w:p w14:paraId="17BD9400" w14:textId="77777777" w:rsidR="002F0133" w:rsidRPr="000B4E2C" w:rsidRDefault="002F0133" w:rsidP="008A7464">
            <w:pPr>
              <w:rPr>
                <w:sz w:val="22"/>
                <w:lang w:val="en-GB" w:eastAsia="en-GB"/>
              </w:rPr>
            </w:pPr>
            <w:r w:rsidRPr="000B4E2C">
              <w:rPr>
                <w:sz w:val="22"/>
                <w:lang w:val="en-GB" w:eastAsia="en-GB"/>
              </w:rPr>
              <w:t>NGAL urine</w:t>
            </w:r>
          </w:p>
          <w:p w14:paraId="5EE38FE7" w14:textId="558FC6F9" w:rsidR="002F0133" w:rsidRPr="000B4E2C" w:rsidRDefault="002F0133" w:rsidP="008A7464">
            <w:pPr>
              <w:rPr>
                <w:color w:val="000000"/>
                <w:sz w:val="22"/>
                <w:lang w:val="en-GB" w:eastAsia="en-GB"/>
              </w:rPr>
            </w:pPr>
            <w:r w:rsidRPr="000B4E2C">
              <w:rPr>
                <w:sz w:val="22"/>
                <w:lang w:val="en-GB" w:eastAsia="en-GB"/>
              </w:rPr>
              <w:t>(</w:t>
            </w:r>
            <w:r w:rsidR="009D7F5A" w:rsidRPr="000B4E2C">
              <w:rPr>
                <w:sz w:val="22"/>
                <w:lang w:val="en-GB" w:eastAsia="en-GB"/>
              </w:rPr>
              <w:t>BioPorto</w:t>
            </w:r>
            <w:r w:rsidRPr="000B4E2C">
              <w:rPr>
                <w:sz w:val="22"/>
                <w:lang w:val="en-GB" w:eastAsia="en-GB"/>
              </w:rPr>
              <w:t>)</w:t>
            </w:r>
          </w:p>
        </w:tc>
        <w:tc>
          <w:tcPr>
            <w:tcW w:w="0" w:type="auto"/>
            <w:shd w:val="clear" w:color="auto" w:fill="auto"/>
            <w:noWrap/>
            <w:vAlign w:val="center"/>
            <w:hideMark/>
          </w:tcPr>
          <w:p w14:paraId="5B146AD5" w14:textId="77777777" w:rsidR="002F0133" w:rsidRPr="000B4E2C" w:rsidRDefault="002F0133" w:rsidP="008A7464">
            <w:pPr>
              <w:rPr>
                <w:color w:val="000000"/>
                <w:sz w:val="22"/>
                <w:lang w:val="en-GB" w:eastAsia="en-GB"/>
              </w:rPr>
            </w:pPr>
            <w:r w:rsidRPr="000B4E2C">
              <w:rPr>
                <w:sz w:val="22"/>
                <w:lang w:val="en-GB" w:eastAsia="en-GB"/>
              </w:rPr>
              <w:t>Sensitivity</w:t>
            </w:r>
          </w:p>
        </w:tc>
        <w:tc>
          <w:tcPr>
            <w:tcW w:w="0" w:type="auto"/>
            <w:shd w:val="clear" w:color="auto" w:fill="auto"/>
            <w:vAlign w:val="center"/>
          </w:tcPr>
          <w:p w14:paraId="34AD12B8" w14:textId="77777777" w:rsidR="000B4E2C" w:rsidRPr="000B4E2C" w:rsidRDefault="002F0133" w:rsidP="008A7464">
            <w:pPr>
              <w:jc w:val="right"/>
              <w:rPr>
                <w:sz w:val="22"/>
              </w:rPr>
            </w:pPr>
            <w:r w:rsidRPr="000B4E2C">
              <w:rPr>
                <w:sz w:val="22"/>
              </w:rPr>
              <w:t>0.78</w:t>
            </w:r>
          </w:p>
          <w:p w14:paraId="4AB20316" w14:textId="0367802E" w:rsidR="002F0133" w:rsidRPr="000B4E2C" w:rsidRDefault="002F0133" w:rsidP="008A7464">
            <w:pPr>
              <w:jc w:val="right"/>
              <w:rPr>
                <w:sz w:val="22"/>
                <w:lang w:val="en-GB" w:eastAsia="en-GB"/>
              </w:rPr>
            </w:pPr>
            <w:r w:rsidRPr="000B4E2C">
              <w:rPr>
                <w:sz w:val="22"/>
              </w:rPr>
              <w:t>(0.72 to 0.84)</w:t>
            </w:r>
          </w:p>
        </w:tc>
        <w:tc>
          <w:tcPr>
            <w:tcW w:w="0" w:type="auto"/>
            <w:shd w:val="clear" w:color="auto" w:fill="auto"/>
            <w:noWrap/>
            <w:vAlign w:val="center"/>
            <w:hideMark/>
          </w:tcPr>
          <w:p w14:paraId="2A2D3198" w14:textId="77777777" w:rsidR="002F0133" w:rsidRPr="000B4E2C" w:rsidRDefault="002F0133" w:rsidP="008A7464">
            <w:pPr>
              <w:jc w:val="right"/>
              <w:rPr>
                <w:sz w:val="22"/>
                <w:lang w:val="en-GB" w:eastAsia="en-GB"/>
              </w:rPr>
            </w:pPr>
            <w:r w:rsidRPr="000B4E2C">
              <w:rPr>
                <w:sz w:val="22"/>
              </w:rPr>
              <w:t>1.266</w:t>
            </w:r>
          </w:p>
        </w:tc>
        <w:tc>
          <w:tcPr>
            <w:tcW w:w="0" w:type="auto"/>
            <w:shd w:val="clear" w:color="auto" w:fill="auto"/>
            <w:noWrap/>
            <w:vAlign w:val="center"/>
            <w:hideMark/>
          </w:tcPr>
          <w:p w14:paraId="22D45C74" w14:textId="77777777" w:rsidR="002F0133" w:rsidRPr="000B4E2C" w:rsidRDefault="002F0133" w:rsidP="008A7464">
            <w:pPr>
              <w:jc w:val="right"/>
              <w:rPr>
                <w:color w:val="000000"/>
                <w:sz w:val="22"/>
                <w:lang w:val="en-GB" w:eastAsia="en-GB"/>
              </w:rPr>
            </w:pPr>
            <w:r w:rsidRPr="000B4E2C">
              <w:rPr>
                <w:sz w:val="22"/>
              </w:rPr>
              <w:t>0.182</w:t>
            </w:r>
          </w:p>
        </w:tc>
        <w:tc>
          <w:tcPr>
            <w:tcW w:w="0" w:type="auto"/>
            <w:vMerge w:val="restart"/>
            <w:shd w:val="clear" w:color="auto" w:fill="auto"/>
            <w:noWrap/>
            <w:vAlign w:val="center"/>
            <w:hideMark/>
          </w:tcPr>
          <w:p w14:paraId="47EB8583" w14:textId="49A10C9C" w:rsidR="002F0133" w:rsidRPr="000B4E2C" w:rsidRDefault="000B4E2C" w:rsidP="008A7464">
            <w:pPr>
              <w:jc w:val="right"/>
              <w:rPr>
                <w:color w:val="000000"/>
                <w:sz w:val="22"/>
                <w:lang w:val="en-GB" w:eastAsia="en-GB"/>
              </w:rPr>
            </w:pPr>
            <w:r w:rsidRPr="000B4E2C">
              <w:rPr>
                <w:color w:val="00B0F0"/>
                <w:sz w:val="22"/>
                <w:lang w:val="en-GB" w:eastAsia="en-GB"/>
              </w:rPr>
              <w:t>+</w:t>
            </w:r>
            <w:r w:rsidRPr="000B4E2C">
              <w:rPr>
                <w:color w:val="00B0F0"/>
                <w:sz w:val="22"/>
                <w:lang w:val="en-GB" w:eastAsia="en-GB"/>
              </w:rPr>
              <w:t> </w:t>
            </w:r>
            <w:r w:rsidRPr="000B4E2C">
              <w:rPr>
                <w:color w:val="00B0F0"/>
                <w:sz w:val="22"/>
                <w:lang w:val="en-GB" w:eastAsia="en-GB"/>
              </w:rPr>
              <w:t>0</w:t>
            </w:r>
            <w:r w:rsidR="002F0133" w:rsidRPr="000B4E2C">
              <w:rPr>
                <w:sz w:val="22"/>
                <w:lang w:val="en-GB" w:eastAsia="en-GB"/>
              </w:rPr>
              <w:t>.526</w:t>
            </w:r>
          </w:p>
        </w:tc>
        <w:tc>
          <w:tcPr>
            <w:tcW w:w="0" w:type="auto"/>
            <w:vMerge w:val="restart"/>
            <w:shd w:val="clear" w:color="auto" w:fill="auto"/>
            <w:vAlign w:val="center"/>
          </w:tcPr>
          <w:p w14:paraId="316DD559" w14:textId="09456C63" w:rsidR="002F0133" w:rsidRPr="000B4E2C" w:rsidRDefault="002F0133" w:rsidP="008A7464">
            <w:pPr>
              <w:jc w:val="right"/>
              <w:rPr>
                <w:sz w:val="22"/>
                <w:lang w:val="en-GB" w:eastAsia="en-GB"/>
              </w:rPr>
            </w:pPr>
            <w:r w:rsidRPr="000B4E2C">
              <w:rPr>
                <w:sz w:val="22"/>
                <w:lang w:val="en-GB" w:eastAsia="en-GB"/>
              </w:rPr>
              <w:t>Yang, 2017</w:t>
            </w:r>
            <w:r w:rsidR="005B5026" w:rsidRPr="000B4E2C">
              <w:rPr>
                <w:noProof/>
                <w:sz w:val="22"/>
                <w:vertAlign w:val="superscript"/>
                <w:lang w:val="en-GB" w:eastAsia="en-GB"/>
              </w:rPr>
              <w:t>67</w:t>
            </w:r>
          </w:p>
        </w:tc>
      </w:tr>
      <w:tr w:rsidR="000B4E2C" w:rsidRPr="000B4E2C" w14:paraId="17E704B1" w14:textId="77777777" w:rsidTr="000B4E2C">
        <w:trPr>
          <w:cantSplit/>
        </w:trPr>
        <w:tc>
          <w:tcPr>
            <w:tcW w:w="0" w:type="auto"/>
            <w:vMerge/>
            <w:shd w:val="clear" w:color="auto" w:fill="auto"/>
            <w:noWrap/>
            <w:vAlign w:val="center"/>
            <w:hideMark/>
          </w:tcPr>
          <w:p w14:paraId="23C47E3B" w14:textId="77777777" w:rsidR="002F0133" w:rsidRPr="000B4E2C" w:rsidRDefault="002F0133" w:rsidP="008A7464">
            <w:pPr>
              <w:rPr>
                <w:color w:val="000000"/>
                <w:sz w:val="22"/>
                <w:lang w:val="en-GB" w:eastAsia="en-GB"/>
              </w:rPr>
            </w:pPr>
          </w:p>
        </w:tc>
        <w:tc>
          <w:tcPr>
            <w:tcW w:w="0" w:type="auto"/>
            <w:shd w:val="clear" w:color="auto" w:fill="auto"/>
            <w:noWrap/>
            <w:vAlign w:val="center"/>
            <w:hideMark/>
          </w:tcPr>
          <w:p w14:paraId="442B71E1" w14:textId="77777777" w:rsidR="002F0133" w:rsidRPr="000B4E2C" w:rsidRDefault="002F0133" w:rsidP="008A7464">
            <w:pPr>
              <w:rPr>
                <w:color w:val="000000"/>
                <w:sz w:val="22"/>
                <w:lang w:val="en-GB" w:eastAsia="en-GB"/>
              </w:rPr>
            </w:pPr>
            <w:r w:rsidRPr="000B4E2C">
              <w:rPr>
                <w:sz w:val="22"/>
                <w:lang w:val="en-GB" w:eastAsia="en-GB"/>
              </w:rPr>
              <w:t>Specificity</w:t>
            </w:r>
          </w:p>
        </w:tc>
        <w:tc>
          <w:tcPr>
            <w:tcW w:w="0" w:type="auto"/>
            <w:shd w:val="clear" w:color="auto" w:fill="auto"/>
            <w:vAlign w:val="center"/>
          </w:tcPr>
          <w:p w14:paraId="0653C88C" w14:textId="77777777" w:rsidR="000B4E2C" w:rsidRPr="000B4E2C" w:rsidRDefault="002F0133" w:rsidP="008A7464">
            <w:pPr>
              <w:jc w:val="right"/>
              <w:rPr>
                <w:sz w:val="22"/>
              </w:rPr>
            </w:pPr>
            <w:r w:rsidRPr="000B4E2C">
              <w:rPr>
                <w:sz w:val="22"/>
              </w:rPr>
              <w:t>0.48</w:t>
            </w:r>
          </w:p>
          <w:p w14:paraId="4A7018B5" w14:textId="6EB3E48C" w:rsidR="002F0133" w:rsidRPr="000B4E2C" w:rsidRDefault="002F0133" w:rsidP="008A7464">
            <w:pPr>
              <w:jc w:val="right"/>
              <w:rPr>
                <w:sz w:val="22"/>
                <w:lang w:val="en-GB" w:eastAsia="en-GB"/>
              </w:rPr>
            </w:pPr>
            <w:r w:rsidRPr="000B4E2C">
              <w:rPr>
                <w:sz w:val="22"/>
              </w:rPr>
              <w:t>(0.42 to 0.54)</w:t>
            </w:r>
          </w:p>
        </w:tc>
        <w:tc>
          <w:tcPr>
            <w:tcW w:w="0" w:type="auto"/>
            <w:shd w:val="clear" w:color="auto" w:fill="auto"/>
            <w:noWrap/>
            <w:vAlign w:val="center"/>
            <w:hideMark/>
          </w:tcPr>
          <w:p w14:paraId="4970B15E" w14:textId="711E8DEF" w:rsidR="002F0133" w:rsidRPr="000B4E2C" w:rsidRDefault="000B4E2C" w:rsidP="008A7464">
            <w:pPr>
              <w:jc w:val="right"/>
              <w:rPr>
                <w:sz w:val="22"/>
                <w:lang w:val="en-GB" w:eastAsia="en-GB"/>
              </w:rPr>
            </w:pPr>
            <w:r w:rsidRPr="000B4E2C">
              <w:rPr>
                <w:color w:val="00B0F0"/>
                <w:sz w:val="22"/>
              </w:rPr>
              <w:t>–</w:t>
            </w:r>
            <w:r w:rsidRPr="000B4E2C">
              <w:rPr>
                <w:color w:val="00B0F0"/>
                <w:sz w:val="22"/>
              </w:rPr>
              <w:t>0</w:t>
            </w:r>
            <w:r w:rsidR="002F0133" w:rsidRPr="000B4E2C">
              <w:rPr>
                <w:sz w:val="22"/>
              </w:rPr>
              <w:t>.080</w:t>
            </w:r>
          </w:p>
        </w:tc>
        <w:tc>
          <w:tcPr>
            <w:tcW w:w="0" w:type="auto"/>
            <w:shd w:val="clear" w:color="auto" w:fill="auto"/>
            <w:noWrap/>
            <w:vAlign w:val="center"/>
            <w:hideMark/>
          </w:tcPr>
          <w:p w14:paraId="03514648" w14:textId="77777777" w:rsidR="002F0133" w:rsidRPr="000B4E2C" w:rsidRDefault="002F0133" w:rsidP="008A7464">
            <w:pPr>
              <w:jc w:val="right"/>
              <w:rPr>
                <w:color w:val="000000"/>
                <w:sz w:val="22"/>
                <w:lang w:val="en-GB" w:eastAsia="en-GB"/>
              </w:rPr>
            </w:pPr>
            <w:r w:rsidRPr="000B4E2C">
              <w:rPr>
                <w:sz w:val="22"/>
              </w:rPr>
              <w:t>0.123</w:t>
            </w:r>
          </w:p>
        </w:tc>
        <w:tc>
          <w:tcPr>
            <w:tcW w:w="0" w:type="auto"/>
            <w:vMerge/>
            <w:shd w:val="clear" w:color="auto" w:fill="auto"/>
            <w:noWrap/>
            <w:vAlign w:val="center"/>
            <w:hideMark/>
          </w:tcPr>
          <w:p w14:paraId="6001F78B" w14:textId="77777777" w:rsidR="002F0133" w:rsidRPr="000B4E2C" w:rsidRDefault="002F0133" w:rsidP="008A7464">
            <w:pPr>
              <w:jc w:val="right"/>
              <w:rPr>
                <w:color w:val="000000"/>
                <w:sz w:val="22"/>
                <w:lang w:val="en-GB" w:eastAsia="en-GB"/>
              </w:rPr>
            </w:pPr>
          </w:p>
        </w:tc>
        <w:tc>
          <w:tcPr>
            <w:tcW w:w="0" w:type="auto"/>
            <w:vMerge/>
            <w:shd w:val="clear" w:color="auto" w:fill="auto"/>
            <w:vAlign w:val="center"/>
          </w:tcPr>
          <w:p w14:paraId="468282F6" w14:textId="77777777" w:rsidR="002F0133" w:rsidRPr="000B4E2C" w:rsidRDefault="002F0133" w:rsidP="008A7464">
            <w:pPr>
              <w:jc w:val="right"/>
              <w:rPr>
                <w:sz w:val="22"/>
                <w:lang w:val="en-GB" w:eastAsia="en-GB"/>
              </w:rPr>
            </w:pPr>
          </w:p>
        </w:tc>
      </w:tr>
      <w:tr w:rsidR="000B4E2C" w:rsidRPr="000B4E2C" w14:paraId="4BEFEE2C" w14:textId="77777777" w:rsidTr="000B4E2C">
        <w:trPr>
          <w:cantSplit/>
        </w:trPr>
        <w:tc>
          <w:tcPr>
            <w:tcW w:w="0" w:type="auto"/>
            <w:vMerge w:val="restart"/>
            <w:shd w:val="clear" w:color="auto" w:fill="auto"/>
            <w:noWrap/>
            <w:vAlign w:val="center"/>
            <w:hideMark/>
          </w:tcPr>
          <w:p w14:paraId="14ABAE4E" w14:textId="77777777" w:rsidR="002F0133" w:rsidRPr="000B4E2C" w:rsidRDefault="002F0133" w:rsidP="008A7464">
            <w:pPr>
              <w:rPr>
                <w:sz w:val="22"/>
                <w:lang w:val="en-GB" w:eastAsia="en-GB"/>
              </w:rPr>
            </w:pPr>
            <w:r w:rsidRPr="000B4E2C">
              <w:rPr>
                <w:sz w:val="22"/>
                <w:lang w:val="en-GB" w:eastAsia="en-GB"/>
              </w:rPr>
              <w:t>NGAL urine</w:t>
            </w:r>
          </w:p>
          <w:p w14:paraId="194A9C10" w14:textId="77777777" w:rsidR="002F0133" w:rsidRPr="000B4E2C" w:rsidRDefault="002F0133" w:rsidP="008A7464">
            <w:pPr>
              <w:rPr>
                <w:color w:val="000000"/>
                <w:sz w:val="22"/>
                <w:lang w:val="en-GB" w:eastAsia="en-GB"/>
              </w:rPr>
            </w:pPr>
            <w:r w:rsidRPr="000B4E2C">
              <w:rPr>
                <w:sz w:val="22"/>
                <w:lang w:val="en-GB" w:eastAsia="en-GB"/>
              </w:rPr>
              <w:t>(ARCHITECT)</w:t>
            </w:r>
          </w:p>
        </w:tc>
        <w:tc>
          <w:tcPr>
            <w:tcW w:w="0" w:type="auto"/>
            <w:shd w:val="clear" w:color="auto" w:fill="auto"/>
            <w:noWrap/>
            <w:vAlign w:val="center"/>
            <w:hideMark/>
          </w:tcPr>
          <w:p w14:paraId="5E51CE5A" w14:textId="77777777" w:rsidR="002F0133" w:rsidRPr="000B4E2C" w:rsidRDefault="002F0133" w:rsidP="008A7464">
            <w:pPr>
              <w:rPr>
                <w:color w:val="000000"/>
                <w:sz w:val="22"/>
                <w:lang w:val="en-GB" w:eastAsia="en-GB"/>
              </w:rPr>
            </w:pPr>
            <w:r w:rsidRPr="000B4E2C">
              <w:rPr>
                <w:sz w:val="22"/>
                <w:lang w:val="en-GB" w:eastAsia="en-GB"/>
              </w:rPr>
              <w:t>Sensitivity</w:t>
            </w:r>
          </w:p>
        </w:tc>
        <w:tc>
          <w:tcPr>
            <w:tcW w:w="0" w:type="auto"/>
            <w:shd w:val="clear" w:color="auto" w:fill="auto"/>
            <w:vAlign w:val="center"/>
          </w:tcPr>
          <w:p w14:paraId="0082F3F4" w14:textId="77777777" w:rsidR="000B4E2C" w:rsidRPr="000B4E2C" w:rsidRDefault="002F0133" w:rsidP="008A7464">
            <w:pPr>
              <w:jc w:val="right"/>
              <w:rPr>
                <w:sz w:val="22"/>
              </w:rPr>
            </w:pPr>
            <w:r w:rsidRPr="000B4E2C">
              <w:rPr>
                <w:sz w:val="22"/>
              </w:rPr>
              <w:t>0.46</w:t>
            </w:r>
          </w:p>
          <w:p w14:paraId="062E22C0" w14:textId="574155BC" w:rsidR="002F0133" w:rsidRPr="000B4E2C" w:rsidRDefault="002F0133" w:rsidP="008A7464">
            <w:pPr>
              <w:jc w:val="right"/>
              <w:rPr>
                <w:sz w:val="22"/>
                <w:lang w:val="en-GB" w:eastAsia="en-GB"/>
              </w:rPr>
            </w:pPr>
            <w:r w:rsidRPr="000B4E2C">
              <w:rPr>
                <w:sz w:val="22"/>
              </w:rPr>
              <w:t>(0.33 to 0.59)</w:t>
            </w:r>
          </w:p>
        </w:tc>
        <w:tc>
          <w:tcPr>
            <w:tcW w:w="0" w:type="auto"/>
            <w:shd w:val="clear" w:color="auto" w:fill="auto"/>
            <w:noWrap/>
            <w:vAlign w:val="center"/>
            <w:hideMark/>
          </w:tcPr>
          <w:p w14:paraId="32F7CE95" w14:textId="04FC797F" w:rsidR="002F0133" w:rsidRPr="000B4E2C" w:rsidRDefault="000B4E2C" w:rsidP="008A7464">
            <w:pPr>
              <w:jc w:val="right"/>
              <w:rPr>
                <w:sz w:val="22"/>
                <w:lang w:val="en-GB" w:eastAsia="en-GB"/>
              </w:rPr>
            </w:pPr>
            <w:r w:rsidRPr="000B4E2C">
              <w:rPr>
                <w:color w:val="00B0F0"/>
                <w:sz w:val="22"/>
              </w:rPr>
              <w:t>–</w:t>
            </w:r>
            <w:r w:rsidRPr="000B4E2C">
              <w:rPr>
                <w:color w:val="00B0F0"/>
                <w:sz w:val="22"/>
              </w:rPr>
              <w:t>0</w:t>
            </w:r>
            <w:r w:rsidR="002F0133" w:rsidRPr="000B4E2C">
              <w:rPr>
                <w:sz w:val="22"/>
              </w:rPr>
              <w:t>.160</w:t>
            </w:r>
          </w:p>
        </w:tc>
        <w:tc>
          <w:tcPr>
            <w:tcW w:w="0" w:type="auto"/>
            <w:shd w:val="clear" w:color="auto" w:fill="auto"/>
            <w:noWrap/>
            <w:vAlign w:val="center"/>
            <w:hideMark/>
          </w:tcPr>
          <w:p w14:paraId="67BCF1C2" w14:textId="77777777" w:rsidR="002F0133" w:rsidRPr="000B4E2C" w:rsidRDefault="002F0133" w:rsidP="008A7464">
            <w:pPr>
              <w:jc w:val="right"/>
              <w:rPr>
                <w:color w:val="000000"/>
                <w:sz w:val="22"/>
                <w:lang w:val="en-GB" w:eastAsia="en-GB"/>
              </w:rPr>
            </w:pPr>
            <w:r w:rsidRPr="000B4E2C">
              <w:rPr>
                <w:sz w:val="22"/>
              </w:rPr>
              <w:t>0.274</w:t>
            </w:r>
          </w:p>
        </w:tc>
        <w:tc>
          <w:tcPr>
            <w:tcW w:w="0" w:type="auto"/>
            <w:vMerge w:val="restart"/>
            <w:shd w:val="clear" w:color="auto" w:fill="auto"/>
            <w:noWrap/>
            <w:vAlign w:val="center"/>
            <w:hideMark/>
          </w:tcPr>
          <w:p w14:paraId="56939231" w14:textId="7E58FBA0" w:rsidR="002F0133" w:rsidRPr="000B4E2C" w:rsidRDefault="000B4E2C" w:rsidP="008A7464">
            <w:pPr>
              <w:jc w:val="right"/>
              <w:rPr>
                <w:color w:val="000000"/>
                <w:sz w:val="22"/>
                <w:lang w:val="en-GB" w:eastAsia="en-GB"/>
              </w:rPr>
            </w:pPr>
            <w:r w:rsidRPr="000B4E2C">
              <w:rPr>
                <w:color w:val="00B0F0"/>
                <w:sz w:val="22"/>
                <w:lang w:val="en-GB" w:eastAsia="en-GB"/>
              </w:rPr>
              <w:t>–</w:t>
            </w:r>
            <w:r w:rsidRPr="000B4E2C">
              <w:rPr>
                <w:color w:val="00B0F0"/>
                <w:sz w:val="22"/>
                <w:lang w:val="en-GB" w:eastAsia="en-GB"/>
              </w:rPr>
              <w:t>0</w:t>
            </w:r>
            <w:r w:rsidR="002F0133" w:rsidRPr="000B4E2C">
              <w:rPr>
                <w:sz w:val="22"/>
                <w:lang w:val="en-GB" w:eastAsia="en-GB"/>
              </w:rPr>
              <w:t>.517</w:t>
            </w:r>
          </w:p>
        </w:tc>
        <w:tc>
          <w:tcPr>
            <w:tcW w:w="0" w:type="auto"/>
            <w:vMerge w:val="restart"/>
            <w:shd w:val="clear" w:color="auto" w:fill="auto"/>
            <w:vAlign w:val="center"/>
          </w:tcPr>
          <w:p w14:paraId="765C3F29" w14:textId="437CDA5A" w:rsidR="002F0133" w:rsidRPr="000B4E2C" w:rsidRDefault="002F0133" w:rsidP="008A7464">
            <w:pPr>
              <w:jc w:val="right"/>
              <w:rPr>
                <w:sz w:val="22"/>
                <w:lang w:val="en-GB" w:eastAsia="en-GB"/>
              </w:rPr>
            </w:pPr>
            <w:r w:rsidRPr="000B4E2C">
              <w:rPr>
                <w:sz w:val="22"/>
                <w:lang w:val="en-GB" w:eastAsia="en-GB"/>
              </w:rPr>
              <w:t>Parikh, 201</w:t>
            </w:r>
            <w:r w:rsidR="00484AA7" w:rsidRPr="000B4E2C">
              <w:rPr>
                <w:sz w:val="22"/>
                <w:lang w:val="en-GB" w:eastAsia="en-GB"/>
              </w:rPr>
              <w:t>7</w:t>
            </w:r>
            <w:r w:rsidR="005B5026" w:rsidRPr="000B4E2C">
              <w:rPr>
                <w:noProof/>
                <w:sz w:val="22"/>
                <w:vertAlign w:val="superscript"/>
                <w:lang w:val="en-GB" w:eastAsia="en-GB"/>
              </w:rPr>
              <w:t>97</w:t>
            </w:r>
          </w:p>
        </w:tc>
      </w:tr>
      <w:tr w:rsidR="000B4E2C" w:rsidRPr="000B4E2C" w14:paraId="653EAA30" w14:textId="77777777" w:rsidTr="000B4E2C">
        <w:trPr>
          <w:cantSplit/>
        </w:trPr>
        <w:tc>
          <w:tcPr>
            <w:tcW w:w="0" w:type="auto"/>
            <w:vMerge/>
            <w:shd w:val="clear" w:color="auto" w:fill="auto"/>
            <w:noWrap/>
            <w:vAlign w:val="center"/>
            <w:hideMark/>
          </w:tcPr>
          <w:p w14:paraId="4E90E593" w14:textId="77777777" w:rsidR="002F0133" w:rsidRPr="000B4E2C" w:rsidRDefault="002F0133" w:rsidP="008A7464">
            <w:pPr>
              <w:rPr>
                <w:color w:val="000000"/>
                <w:sz w:val="22"/>
                <w:lang w:val="en-GB" w:eastAsia="en-GB"/>
              </w:rPr>
            </w:pPr>
          </w:p>
        </w:tc>
        <w:tc>
          <w:tcPr>
            <w:tcW w:w="0" w:type="auto"/>
            <w:shd w:val="clear" w:color="auto" w:fill="auto"/>
            <w:noWrap/>
            <w:vAlign w:val="center"/>
            <w:hideMark/>
          </w:tcPr>
          <w:p w14:paraId="27C41F35" w14:textId="77777777" w:rsidR="002F0133" w:rsidRPr="000B4E2C" w:rsidRDefault="002F0133" w:rsidP="008A7464">
            <w:pPr>
              <w:rPr>
                <w:color w:val="000000"/>
                <w:sz w:val="22"/>
                <w:lang w:val="en-GB" w:eastAsia="en-GB"/>
              </w:rPr>
            </w:pPr>
            <w:r w:rsidRPr="000B4E2C">
              <w:rPr>
                <w:sz w:val="22"/>
                <w:lang w:val="en-GB" w:eastAsia="en-GB"/>
              </w:rPr>
              <w:t>Specificity</w:t>
            </w:r>
          </w:p>
        </w:tc>
        <w:tc>
          <w:tcPr>
            <w:tcW w:w="0" w:type="auto"/>
            <w:shd w:val="clear" w:color="auto" w:fill="auto"/>
            <w:vAlign w:val="center"/>
          </w:tcPr>
          <w:p w14:paraId="2C6699A9" w14:textId="77777777" w:rsidR="000B4E2C" w:rsidRPr="000B4E2C" w:rsidRDefault="002F0133" w:rsidP="008A7464">
            <w:pPr>
              <w:jc w:val="right"/>
              <w:rPr>
                <w:sz w:val="22"/>
              </w:rPr>
            </w:pPr>
            <w:r w:rsidRPr="000B4E2C">
              <w:rPr>
                <w:sz w:val="22"/>
              </w:rPr>
              <w:t>0.81</w:t>
            </w:r>
          </w:p>
          <w:p w14:paraId="281634A4" w14:textId="3AD58546" w:rsidR="002F0133" w:rsidRPr="000B4E2C" w:rsidRDefault="002F0133" w:rsidP="008A7464">
            <w:pPr>
              <w:jc w:val="right"/>
              <w:rPr>
                <w:sz w:val="22"/>
                <w:lang w:val="en-GB" w:eastAsia="en-GB"/>
              </w:rPr>
            </w:pPr>
            <w:r w:rsidRPr="000B4E2C">
              <w:rPr>
                <w:sz w:val="22"/>
              </w:rPr>
              <w:t>(0.79 to 0.83)</w:t>
            </w:r>
          </w:p>
        </w:tc>
        <w:tc>
          <w:tcPr>
            <w:tcW w:w="0" w:type="auto"/>
            <w:shd w:val="clear" w:color="auto" w:fill="auto"/>
            <w:noWrap/>
            <w:vAlign w:val="center"/>
            <w:hideMark/>
          </w:tcPr>
          <w:p w14:paraId="76EE39E3" w14:textId="77777777" w:rsidR="002F0133" w:rsidRPr="000B4E2C" w:rsidRDefault="002F0133" w:rsidP="008A7464">
            <w:pPr>
              <w:jc w:val="right"/>
              <w:rPr>
                <w:sz w:val="22"/>
                <w:lang w:val="en-GB" w:eastAsia="en-GB"/>
              </w:rPr>
            </w:pPr>
            <w:r w:rsidRPr="000B4E2C">
              <w:rPr>
                <w:sz w:val="22"/>
              </w:rPr>
              <w:t>1.450</w:t>
            </w:r>
          </w:p>
        </w:tc>
        <w:tc>
          <w:tcPr>
            <w:tcW w:w="0" w:type="auto"/>
            <w:shd w:val="clear" w:color="auto" w:fill="auto"/>
            <w:noWrap/>
            <w:vAlign w:val="center"/>
            <w:hideMark/>
          </w:tcPr>
          <w:p w14:paraId="2C2FB027" w14:textId="77777777" w:rsidR="002F0133" w:rsidRPr="000B4E2C" w:rsidRDefault="002F0133" w:rsidP="008A7464">
            <w:pPr>
              <w:jc w:val="right"/>
              <w:rPr>
                <w:color w:val="000000"/>
                <w:sz w:val="22"/>
                <w:lang w:val="en-GB" w:eastAsia="en-GB"/>
              </w:rPr>
            </w:pPr>
            <w:r w:rsidRPr="000B4E2C">
              <w:rPr>
                <w:sz w:val="22"/>
              </w:rPr>
              <w:t>0.067</w:t>
            </w:r>
          </w:p>
        </w:tc>
        <w:tc>
          <w:tcPr>
            <w:tcW w:w="0" w:type="auto"/>
            <w:vMerge/>
            <w:shd w:val="clear" w:color="auto" w:fill="auto"/>
            <w:noWrap/>
            <w:vAlign w:val="center"/>
            <w:hideMark/>
          </w:tcPr>
          <w:p w14:paraId="3C859738" w14:textId="77777777" w:rsidR="002F0133" w:rsidRPr="000B4E2C" w:rsidRDefault="002F0133" w:rsidP="008A7464">
            <w:pPr>
              <w:jc w:val="right"/>
              <w:rPr>
                <w:color w:val="000000"/>
                <w:sz w:val="22"/>
                <w:lang w:val="en-GB" w:eastAsia="en-GB"/>
              </w:rPr>
            </w:pPr>
          </w:p>
        </w:tc>
        <w:tc>
          <w:tcPr>
            <w:tcW w:w="0" w:type="auto"/>
            <w:vMerge/>
            <w:shd w:val="clear" w:color="auto" w:fill="auto"/>
            <w:vAlign w:val="center"/>
          </w:tcPr>
          <w:p w14:paraId="6C070B05" w14:textId="77777777" w:rsidR="002F0133" w:rsidRPr="000B4E2C" w:rsidRDefault="002F0133" w:rsidP="008A7464">
            <w:pPr>
              <w:jc w:val="right"/>
              <w:rPr>
                <w:sz w:val="22"/>
                <w:lang w:val="en-GB" w:eastAsia="en-GB"/>
              </w:rPr>
            </w:pPr>
          </w:p>
        </w:tc>
      </w:tr>
      <w:tr w:rsidR="000B4E2C" w:rsidRPr="000B4E2C" w14:paraId="7BDB08E0" w14:textId="77777777" w:rsidTr="000B4E2C">
        <w:trPr>
          <w:cantSplit/>
        </w:trPr>
        <w:tc>
          <w:tcPr>
            <w:tcW w:w="0" w:type="auto"/>
            <w:vMerge w:val="restart"/>
            <w:shd w:val="clear" w:color="auto" w:fill="auto"/>
            <w:noWrap/>
            <w:vAlign w:val="center"/>
            <w:hideMark/>
          </w:tcPr>
          <w:p w14:paraId="3013D884" w14:textId="77777777" w:rsidR="002F0133" w:rsidRPr="000B4E2C" w:rsidRDefault="002F0133" w:rsidP="008A7464">
            <w:pPr>
              <w:rPr>
                <w:sz w:val="22"/>
                <w:lang w:val="en-GB" w:eastAsia="en-GB"/>
              </w:rPr>
            </w:pPr>
            <w:r w:rsidRPr="000B4E2C">
              <w:rPr>
                <w:sz w:val="22"/>
                <w:lang w:val="en-GB" w:eastAsia="en-GB"/>
              </w:rPr>
              <w:t>NGAL plasma</w:t>
            </w:r>
          </w:p>
          <w:p w14:paraId="04661B12" w14:textId="7D58995D" w:rsidR="002F0133" w:rsidRPr="000B4E2C" w:rsidRDefault="002F0133" w:rsidP="008A7464">
            <w:pPr>
              <w:rPr>
                <w:color w:val="000000"/>
                <w:sz w:val="22"/>
                <w:lang w:val="en-GB" w:eastAsia="en-GB"/>
              </w:rPr>
            </w:pPr>
            <w:r w:rsidRPr="000B4E2C">
              <w:rPr>
                <w:sz w:val="22"/>
                <w:lang w:val="en-GB" w:eastAsia="en-GB"/>
              </w:rPr>
              <w:t>(</w:t>
            </w:r>
            <w:r w:rsidR="009D7F5A" w:rsidRPr="000B4E2C">
              <w:rPr>
                <w:sz w:val="22"/>
                <w:lang w:val="en-GB" w:eastAsia="en-GB"/>
              </w:rPr>
              <w:t>BioPorto</w:t>
            </w:r>
            <w:r w:rsidRPr="000B4E2C">
              <w:rPr>
                <w:sz w:val="22"/>
                <w:lang w:val="en-GB" w:eastAsia="en-GB"/>
              </w:rPr>
              <w:t>)</w:t>
            </w:r>
          </w:p>
        </w:tc>
        <w:tc>
          <w:tcPr>
            <w:tcW w:w="0" w:type="auto"/>
            <w:shd w:val="clear" w:color="auto" w:fill="auto"/>
            <w:noWrap/>
            <w:vAlign w:val="center"/>
            <w:hideMark/>
          </w:tcPr>
          <w:p w14:paraId="5C293038" w14:textId="77777777" w:rsidR="002F0133" w:rsidRPr="000B4E2C" w:rsidRDefault="002F0133" w:rsidP="008A7464">
            <w:pPr>
              <w:rPr>
                <w:color w:val="000000"/>
                <w:sz w:val="22"/>
                <w:lang w:val="en-GB" w:eastAsia="en-GB"/>
              </w:rPr>
            </w:pPr>
            <w:r w:rsidRPr="000B4E2C">
              <w:rPr>
                <w:sz w:val="22"/>
                <w:lang w:val="en-GB" w:eastAsia="en-GB"/>
              </w:rPr>
              <w:t>Sensitivity</w:t>
            </w:r>
          </w:p>
        </w:tc>
        <w:tc>
          <w:tcPr>
            <w:tcW w:w="0" w:type="auto"/>
            <w:shd w:val="clear" w:color="auto" w:fill="auto"/>
            <w:vAlign w:val="center"/>
          </w:tcPr>
          <w:p w14:paraId="6339BF95" w14:textId="77777777" w:rsidR="000B4E2C" w:rsidRPr="000B4E2C" w:rsidRDefault="002F0133" w:rsidP="008A7464">
            <w:pPr>
              <w:jc w:val="right"/>
              <w:rPr>
                <w:sz w:val="22"/>
              </w:rPr>
            </w:pPr>
            <w:r w:rsidRPr="000B4E2C">
              <w:rPr>
                <w:sz w:val="22"/>
              </w:rPr>
              <w:t>0.62</w:t>
            </w:r>
          </w:p>
          <w:p w14:paraId="2EB4A803" w14:textId="7721B56B" w:rsidR="002F0133" w:rsidRPr="000B4E2C" w:rsidRDefault="002F0133" w:rsidP="008A7464">
            <w:pPr>
              <w:jc w:val="right"/>
              <w:rPr>
                <w:sz w:val="22"/>
                <w:lang w:val="en-GB" w:eastAsia="en-GB"/>
              </w:rPr>
            </w:pPr>
            <w:r w:rsidRPr="000B4E2C">
              <w:rPr>
                <w:sz w:val="22"/>
              </w:rPr>
              <w:t>(0.49 to 0.74)</w:t>
            </w:r>
          </w:p>
        </w:tc>
        <w:tc>
          <w:tcPr>
            <w:tcW w:w="0" w:type="auto"/>
            <w:shd w:val="clear" w:color="auto" w:fill="auto"/>
            <w:noWrap/>
            <w:vAlign w:val="center"/>
            <w:hideMark/>
          </w:tcPr>
          <w:p w14:paraId="639E57B3" w14:textId="77777777" w:rsidR="002F0133" w:rsidRPr="000B4E2C" w:rsidRDefault="002F0133" w:rsidP="008A7464">
            <w:pPr>
              <w:jc w:val="right"/>
              <w:rPr>
                <w:sz w:val="22"/>
                <w:lang w:val="en-GB" w:eastAsia="en-GB"/>
              </w:rPr>
            </w:pPr>
            <w:r w:rsidRPr="000B4E2C">
              <w:rPr>
                <w:sz w:val="22"/>
              </w:rPr>
              <w:t>0.490</w:t>
            </w:r>
          </w:p>
        </w:tc>
        <w:tc>
          <w:tcPr>
            <w:tcW w:w="0" w:type="auto"/>
            <w:shd w:val="clear" w:color="auto" w:fill="auto"/>
            <w:noWrap/>
            <w:vAlign w:val="center"/>
            <w:hideMark/>
          </w:tcPr>
          <w:p w14:paraId="4C975B59" w14:textId="77777777" w:rsidR="002F0133" w:rsidRPr="000B4E2C" w:rsidRDefault="002F0133" w:rsidP="008A7464">
            <w:pPr>
              <w:jc w:val="right"/>
              <w:rPr>
                <w:color w:val="000000"/>
                <w:sz w:val="22"/>
                <w:lang w:val="en-GB" w:eastAsia="en-GB"/>
              </w:rPr>
            </w:pPr>
            <w:r w:rsidRPr="000B4E2C">
              <w:rPr>
                <w:sz w:val="22"/>
              </w:rPr>
              <w:t>0.277</w:t>
            </w:r>
          </w:p>
        </w:tc>
        <w:tc>
          <w:tcPr>
            <w:tcW w:w="0" w:type="auto"/>
            <w:vMerge w:val="restart"/>
            <w:shd w:val="clear" w:color="auto" w:fill="auto"/>
            <w:noWrap/>
            <w:vAlign w:val="center"/>
            <w:hideMark/>
          </w:tcPr>
          <w:p w14:paraId="65983FB2" w14:textId="6DF974B1" w:rsidR="002F0133" w:rsidRPr="000B4E2C" w:rsidRDefault="000B4E2C" w:rsidP="008A7464">
            <w:pPr>
              <w:jc w:val="right"/>
              <w:rPr>
                <w:color w:val="000000"/>
                <w:sz w:val="22"/>
                <w:lang w:val="en-GB" w:eastAsia="en-GB"/>
              </w:rPr>
            </w:pPr>
            <w:r w:rsidRPr="000B4E2C">
              <w:rPr>
                <w:color w:val="00B0F0"/>
                <w:sz w:val="22"/>
                <w:lang w:val="en-GB" w:eastAsia="en-GB"/>
              </w:rPr>
              <w:t>–</w:t>
            </w:r>
            <w:r w:rsidRPr="000B4E2C">
              <w:rPr>
                <w:color w:val="00B0F0"/>
                <w:sz w:val="22"/>
                <w:lang w:val="en-GB" w:eastAsia="en-GB"/>
              </w:rPr>
              <w:t>1</w:t>
            </w:r>
            <w:r w:rsidR="002F0133" w:rsidRPr="000B4E2C">
              <w:rPr>
                <w:sz w:val="22"/>
                <w:lang w:val="en-GB" w:eastAsia="en-GB"/>
              </w:rPr>
              <w:t>.000</w:t>
            </w:r>
          </w:p>
        </w:tc>
        <w:tc>
          <w:tcPr>
            <w:tcW w:w="0" w:type="auto"/>
            <w:vMerge w:val="restart"/>
            <w:shd w:val="clear" w:color="auto" w:fill="auto"/>
            <w:vAlign w:val="center"/>
          </w:tcPr>
          <w:p w14:paraId="3D1233F8" w14:textId="77777777" w:rsidR="000B4E2C" w:rsidRPr="000B4E2C" w:rsidRDefault="002F0133" w:rsidP="008A7464">
            <w:pPr>
              <w:jc w:val="right"/>
              <w:rPr>
                <w:sz w:val="22"/>
                <w:lang w:val="en-GB" w:eastAsia="en-GB"/>
              </w:rPr>
            </w:pPr>
            <w:r w:rsidRPr="000B4E2C">
              <w:rPr>
                <w:sz w:val="22"/>
                <w:lang w:val="en-GB" w:eastAsia="en-GB"/>
              </w:rPr>
              <w:t>Hall,</w:t>
            </w:r>
          </w:p>
          <w:p w14:paraId="02C287A9" w14:textId="39779EC1" w:rsidR="002F0133" w:rsidRPr="000B4E2C" w:rsidRDefault="002F0133" w:rsidP="008A7464">
            <w:pPr>
              <w:jc w:val="right"/>
              <w:rPr>
                <w:sz w:val="22"/>
                <w:lang w:val="en-GB" w:eastAsia="en-GB"/>
              </w:rPr>
            </w:pPr>
            <w:r w:rsidRPr="000B4E2C">
              <w:rPr>
                <w:sz w:val="22"/>
                <w:lang w:val="en-GB" w:eastAsia="en-GB"/>
              </w:rPr>
              <w:t>2018</w:t>
            </w:r>
            <w:r w:rsidR="005B5026" w:rsidRPr="000B4E2C">
              <w:rPr>
                <w:noProof/>
                <w:sz w:val="22"/>
                <w:vertAlign w:val="superscript"/>
                <w:lang w:val="en-GB" w:eastAsia="en-GB"/>
              </w:rPr>
              <w:t>99</w:t>
            </w:r>
          </w:p>
        </w:tc>
      </w:tr>
      <w:tr w:rsidR="000B4E2C" w:rsidRPr="000B4E2C" w14:paraId="0D5BA9D5" w14:textId="77777777" w:rsidTr="000B4E2C">
        <w:trPr>
          <w:cantSplit/>
        </w:trPr>
        <w:tc>
          <w:tcPr>
            <w:tcW w:w="0" w:type="auto"/>
            <w:vMerge/>
            <w:shd w:val="clear" w:color="auto" w:fill="auto"/>
            <w:noWrap/>
            <w:vAlign w:val="center"/>
            <w:hideMark/>
          </w:tcPr>
          <w:p w14:paraId="1CF07935" w14:textId="77777777" w:rsidR="002F0133" w:rsidRPr="000B4E2C" w:rsidRDefault="002F0133" w:rsidP="008A7464">
            <w:pPr>
              <w:rPr>
                <w:color w:val="000000"/>
                <w:sz w:val="22"/>
                <w:lang w:val="en-GB" w:eastAsia="en-GB"/>
              </w:rPr>
            </w:pPr>
          </w:p>
        </w:tc>
        <w:tc>
          <w:tcPr>
            <w:tcW w:w="0" w:type="auto"/>
            <w:shd w:val="clear" w:color="auto" w:fill="auto"/>
            <w:noWrap/>
            <w:vAlign w:val="center"/>
            <w:hideMark/>
          </w:tcPr>
          <w:p w14:paraId="5066AC29" w14:textId="77777777" w:rsidR="002F0133" w:rsidRPr="000B4E2C" w:rsidRDefault="002F0133" w:rsidP="008A7464">
            <w:pPr>
              <w:rPr>
                <w:color w:val="000000"/>
                <w:sz w:val="22"/>
                <w:lang w:val="en-GB" w:eastAsia="en-GB"/>
              </w:rPr>
            </w:pPr>
            <w:r w:rsidRPr="000B4E2C">
              <w:rPr>
                <w:sz w:val="22"/>
                <w:lang w:val="en-GB" w:eastAsia="en-GB"/>
              </w:rPr>
              <w:t>Specificity</w:t>
            </w:r>
          </w:p>
        </w:tc>
        <w:tc>
          <w:tcPr>
            <w:tcW w:w="0" w:type="auto"/>
            <w:shd w:val="clear" w:color="auto" w:fill="auto"/>
            <w:vAlign w:val="center"/>
          </w:tcPr>
          <w:p w14:paraId="5A0675C0" w14:textId="77777777" w:rsidR="000B4E2C" w:rsidRPr="000B4E2C" w:rsidRDefault="002F0133" w:rsidP="008A7464">
            <w:pPr>
              <w:jc w:val="right"/>
              <w:rPr>
                <w:sz w:val="22"/>
              </w:rPr>
            </w:pPr>
            <w:r w:rsidRPr="000B4E2C">
              <w:rPr>
                <w:sz w:val="22"/>
              </w:rPr>
              <w:t>0.78</w:t>
            </w:r>
          </w:p>
          <w:p w14:paraId="071110CE" w14:textId="7E609379" w:rsidR="002F0133" w:rsidRPr="000B4E2C" w:rsidRDefault="002F0133" w:rsidP="008A7464">
            <w:pPr>
              <w:jc w:val="right"/>
              <w:rPr>
                <w:sz w:val="22"/>
                <w:lang w:val="en-GB" w:eastAsia="en-GB"/>
              </w:rPr>
            </w:pPr>
            <w:r w:rsidRPr="000B4E2C">
              <w:rPr>
                <w:sz w:val="22"/>
              </w:rPr>
              <w:t>(0.75 to 0.81)</w:t>
            </w:r>
          </w:p>
        </w:tc>
        <w:tc>
          <w:tcPr>
            <w:tcW w:w="0" w:type="auto"/>
            <w:shd w:val="clear" w:color="auto" w:fill="auto"/>
            <w:noWrap/>
            <w:vAlign w:val="center"/>
            <w:hideMark/>
          </w:tcPr>
          <w:p w14:paraId="34BE6622" w14:textId="77777777" w:rsidR="002F0133" w:rsidRPr="000B4E2C" w:rsidRDefault="002F0133" w:rsidP="008A7464">
            <w:pPr>
              <w:jc w:val="right"/>
              <w:rPr>
                <w:sz w:val="22"/>
                <w:lang w:val="en-GB" w:eastAsia="en-GB"/>
              </w:rPr>
            </w:pPr>
            <w:r w:rsidRPr="000B4E2C">
              <w:rPr>
                <w:sz w:val="22"/>
              </w:rPr>
              <w:t>1.266</w:t>
            </w:r>
          </w:p>
        </w:tc>
        <w:tc>
          <w:tcPr>
            <w:tcW w:w="0" w:type="auto"/>
            <w:shd w:val="clear" w:color="auto" w:fill="auto"/>
            <w:noWrap/>
            <w:vAlign w:val="center"/>
            <w:hideMark/>
          </w:tcPr>
          <w:p w14:paraId="07610224" w14:textId="77777777" w:rsidR="002F0133" w:rsidRPr="000B4E2C" w:rsidRDefault="002F0133" w:rsidP="008A7464">
            <w:pPr>
              <w:jc w:val="right"/>
              <w:rPr>
                <w:color w:val="000000"/>
                <w:sz w:val="22"/>
                <w:lang w:val="en-GB" w:eastAsia="en-GB"/>
              </w:rPr>
            </w:pPr>
            <w:r w:rsidRPr="000B4E2C">
              <w:rPr>
                <w:sz w:val="22"/>
              </w:rPr>
              <w:t>0.090</w:t>
            </w:r>
          </w:p>
        </w:tc>
        <w:tc>
          <w:tcPr>
            <w:tcW w:w="0" w:type="auto"/>
            <w:vMerge/>
            <w:shd w:val="clear" w:color="auto" w:fill="auto"/>
            <w:noWrap/>
            <w:vAlign w:val="center"/>
            <w:hideMark/>
          </w:tcPr>
          <w:p w14:paraId="2F9BE61D" w14:textId="77777777" w:rsidR="002F0133" w:rsidRPr="000B4E2C" w:rsidRDefault="002F0133" w:rsidP="008A7464">
            <w:pPr>
              <w:jc w:val="right"/>
              <w:rPr>
                <w:color w:val="000000"/>
                <w:sz w:val="22"/>
                <w:lang w:val="en-GB" w:eastAsia="en-GB"/>
              </w:rPr>
            </w:pPr>
          </w:p>
        </w:tc>
        <w:tc>
          <w:tcPr>
            <w:tcW w:w="0" w:type="auto"/>
            <w:vMerge/>
            <w:shd w:val="clear" w:color="auto" w:fill="auto"/>
          </w:tcPr>
          <w:p w14:paraId="0AD7A182" w14:textId="77777777" w:rsidR="002F0133" w:rsidRPr="000B4E2C" w:rsidRDefault="002F0133" w:rsidP="008A7464">
            <w:pPr>
              <w:rPr>
                <w:sz w:val="22"/>
                <w:lang w:val="en-GB" w:eastAsia="en-GB"/>
              </w:rPr>
            </w:pPr>
          </w:p>
        </w:tc>
      </w:tr>
    </w:tbl>
    <w:p w14:paraId="2378E4B2" w14:textId="77777777" w:rsidR="000B4E2C" w:rsidRPr="000B4E2C" w:rsidRDefault="002F0133" w:rsidP="001544BB">
      <w:pPr>
        <w:rPr>
          <w:lang w:val="en-GB" w:eastAsia="en-GB"/>
        </w:rPr>
      </w:pPr>
      <w:r w:rsidRPr="000B4E2C">
        <w:rPr>
          <w:vertAlign w:val="superscript"/>
          <w:lang w:val="en-GB" w:eastAsia="en-GB"/>
        </w:rPr>
        <w:t>A</w:t>
      </w:r>
      <w:r w:rsidRPr="000B4E2C">
        <w:rPr>
          <w:lang w:val="en-GB" w:eastAsia="en-GB"/>
        </w:rPr>
        <w:t xml:space="preserve"> Note that in the absence of meta-analysed studies for this subgroup, all correlations are assumed equal to the all-comers, base case analysis.</w:t>
      </w:r>
    </w:p>
    <w:p w14:paraId="0743B63A" w14:textId="64BE506F" w:rsidR="000B4E2C" w:rsidRPr="000B4E2C" w:rsidRDefault="002F0133" w:rsidP="008A7464">
      <w:pPr>
        <w:rPr>
          <w:color w:val="000000" w:themeColor="text1"/>
        </w:rPr>
      </w:pPr>
      <w:r w:rsidRPr="000B4E2C">
        <w:rPr>
          <w:color w:val="000000" w:themeColor="text1"/>
        </w:rPr>
        <w:t xml:space="preserve">The results of the post cardiac surgery subgroup analysis are provided in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25</w:t>
      </w:r>
    </w:p>
    <w:p w14:paraId="14C6490A" w14:textId="7642CBAF" w:rsidR="002F0133" w:rsidRPr="000B4E2C" w:rsidRDefault="000B4E2C" w:rsidP="008A7464">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25</w:t>
      </w:r>
      <w:r w:rsidRPr="000B4E2C">
        <w:t xml:space="preserve"> </w:t>
      </w:r>
      <w:r w:rsidR="002F0133" w:rsidRPr="000B4E2C">
        <w:t>Results of the post cardiac surgery subgroup analysis</w:t>
      </w:r>
    </w:p>
    <w:tbl>
      <w:tblPr>
        <w:tblW w:w="0" w:type="auto"/>
        <w:tblCellMar>
          <w:top w:w="40" w:type="dxa"/>
          <w:left w:w="60" w:type="dxa"/>
          <w:bottom w:w="40" w:type="dxa"/>
          <w:right w:w="60" w:type="dxa"/>
        </w:tblCellMar>
        <w:tblLook w:val="04A0" w:firstRow="1" w:lastRow="0" w:firstColumn="1" w:lastColumn="0" w:noHBand="0" w:noVBand="1"/>
      </w:tblPr>
      <w:tblGrid>
        <w:gridCol w:w="2792"/>
        <w:gridCol w:w="695"/>
        <w:gridCol w:w="908"/>
        <w:gridCol w:w="696"/>
        <w:gridCol w:w="908"/>
        <w:gridCol w:w="908"/>
        <w:gridCol w:w="785"/>
        <w:gridCol w:w="667"/>
        <w:gridCol w:w="667"/>
      </w:tblGrid>
      <w:tr w:rsidR="000B4E2C" w:rsidRPr="000B4E2C" w14:paraId="1C351FB1" w14:textId="77777777" w:rsidTr="000B4E2C">
        <w:trPr>
          <w:cantSplit/>
        </w:trPr>
        <w:tc>
          <w:tcPr>
            <w:tcW w:w="0" w:type="auto"/>
            <w:shd w:val="clear" w:color="auto" w:fill="auto"/>
            <w:noWrap/>
            <w:vAlign w:val="bottom"/>
          </w:tcPr>
          <w:p w14:paraId="15ECCBF8" w14:textId="77777777" w:rsidR="002F0133" w:rsidRPr="000B4E2C" w:rsidRDefault="002F0133" w:rsidP="008A7464">
            <w:pPr>
              <w:rPr>
                <w:color w:val="000000"/>
                <w:sz w:val="22"/>
                <w:lang w:val="en-GB" w:eastAsia="en-GB"/>
              </w:rPr>
            </w:pPr>
            <w:r w:rsidRPr="000B4E2C">
              <w:rPr>
                <w:b/>
                <w:bCs/>
                <w:sz w:val="22"/>
                <w:lang w:val="en-GB" w:eastAsia="en-GB"/>
              </w:rPr>
              <w:t>Scenario</w:t>
            </w:r>
          </w:p>
        </w:tc>
        <w:tc>
          <w:tcPr>
            <w:tcW w:w="0" w:type="auto"/>
            <w:shd w:val="clear" w:color="auto" w:fill="auto"/>
            <w:noWrap/>
            <w:vAlign w:val="bottom"/>
          </w:tcPr>
          <w:p w14:paraId="38599993" w14:textId="77777777" w:rsidR="002F0133" w:rsidRPr="000B4E2C" w:rsidRDefault="002F0133" w:rsidP="008A7464">
            <w:pPr>
              <w:jc w:val="right"/>
              <w:rPr>
                <w:color w:val="000000"/>
                <w:sz w:val="22"/>
                <w:lang w:val="en-GB" w:eastAsia="en-GB"/>
              </w:rPr>
            </w:pPr>
            <w:r w:rsidRPr="000B4E2C">
              <w:rPr>
                <w:b/>
                <w:bCs/>
                <w:sz w:val="22"/>
                <w:lang w:val="en-GB" w:eastAsia="en-GB"/>
              </w:rPr>
              <w:t>Cost</w:t>
            </w:r>
          </w:p>
        </w:tc>
        <w:tc>
          <w:tcPr>
            <w:tcW w:w="0" w:type="auto"/>
            <w:shd w:val="clear" w:color="auto" w:fill="auto"/>
            <w:noWrap/>
            <w:vAlign w:val="bottom"/>
          </w:tcPr>
          <w:p w14:paraId="69936162" w14:textId="77777777" w:rsidR="000B4E2C" w:rsidRPr="000B4E2C" w:rsidRDefault="002F0133" w:rsidP="008A7464">
            <w:pPr>
              <w:jc w:val="right"/>
              <w:rPr>
                <w:b/>
                <w:bCs/>
                <w:sz w:val="22"/>
                <w:lang w:val="en-GB" w:eastAsia="en-GB"/>
              </w:rPr>
            </w:pPr>
            <w:r w:rsidRPr="000B4E2C">
              <w:rPr>
                <w:b/>
                <w:bCs/>
                <w:sz w:val="22"/>
                <w:lang w:val="en-GB" w:eastAsia="en-GB"/>
              </w:rPr>
              <w:t>Inc.</w:t>
            </w:r>
          </w:p>
          <w:p w14:paraId="2CB5B9E2" w14:textId="44E03D10" w:rsidR="002F0133" w:rsidRPr="000B4E2C" w:rsidRDefault="002F0133" w:rsidP="008A7464">
            <w:pPr>
              <w:jc w:val="right"/>
              <w:rPr>
                <w:color w:val="000000"/>
                <w:sz w:val="22"/>
                <w:lang w:val="en-GB" w:eastAsia="en-GB"/>
              </w:rPr>
            </w:pPr>
            <w:r w:rsidRPr="000B4E2C">
              <w:rPr>
                <w:b/>
                <w:bCs/>
                <w:sz w:val="22"/>
                <w:lang w:val="en-GB" w:eastAsia="en-GB"/>
              </w:rPr>
              <w:t>Cost</w:t>
            </w:r>
          </w:p>
        </w:tc>
        <w:tc>
          <w:tcPr>
            <w:tcW w:w="0" w:type="auto"/>
            <w:shd w:val="clear" w:color="auto" w:fill="auto"/>
            <w:noWrap/>
            <w:vAlign w:val="bottom"/>
          </w:tcPr>
          <w:p w14:paraId="52A8D257" w14:textId="77777777" w:rsidR="002F0133" w:rsidRPr="000B4E2C" w:rsidRDefault="002F0133" w:rsidP="008A7464">
            <w:pPr>
              <w:jc w:val="right"/>
              <w:rPr>
                <w:color w:val="000000"/>
                <w:sz w:val="22"/>
                <w:lang w:val="en-GB" w:eastAsia="en-GB"/>
              </w:rPr>
            </w:pPr>
            <w:r w:rsidRPr="000B4E2C">
              <w:rPr>
                <w:b/>
                <w:bCs/>
                <w:sz w:val="22"/>
                <w:lang w:val="en-GB" w:eastAsia="en-GB"/>
              </w:rPr>
              <w:t>QALY</w:t>
            </w:r>
          </w:p>
        </w:tc>
        <w:tc>
          <w:tcPr>
            <w:tcW w:w="0" w:type="auto"/>
            <w:shd w:val="clear" w:color="auto" w:fill="auto"/>
            <w:noWrap/>
            <w:vAlign w:val="bottom"/>
          </w:tcPr>
          <w:p w14:paraId="1DBFE39A" w14:textId="77777777" w:rsidR="000B4E2C" w:rsidRPr="000B4E2C" w:rsidRDefault="002F0133" w:rsidP="008A7464">
            <w:pPr>
              <w:jc w:val="right"/>
              <w:rPr>
                <w:b/>
                <w:bCs/>
                <w:sz w:val="22"/>
                <w:lang w:val="en-GB" w:eastAsia="en-GB"/>
              </w:rPr>
            </w:pPr>
            <w:r w:rsidRPr="000B4E2C">
              <w:rPr>
                <w:b/>
                <w:bCs/>
                <w:sz w:val="22"/>
                <w:lang w:val="en-GB" w:eastAsia="en-GB"/>
              </w:rPr>
              <w:t>Inc.</w:t>
            </w:r>
          </w:p>
          <w:p w14:paraId="048EABEA" w14:textId="560BCCE2" w:rsidR="002F0133" w:rsidRPr="000B4E2C" w:rsidRDefault="002F0133" w:rsidP="008A7464">
            <w:pPr>
              <w:jc w:val="right"/>
              <w:rPr>
                <w:color w:val="000000"/>
                <w:sz w:val="22"/>
                <w:lang w:val="en-GB" w:eastAsia="en-GB"/>
              </w:rPr>
            </w:pPr>
            <w:r w:rsidRPr="000B4E2C">
              <w:rPr>
                <w:b/>
                <w:bCs/>
                <w:sz w:val="22"/>
                <w:lang w:val="en-GB" w:eastAsia="en-GB"/>
              </w:rPr>
              <w:t>QALY</w:t>
            </w:r>
          </w:p>
        </w:tc>
        <w:tc>
          <w:tcPr>
            <w:tcW w:w="0" w:type="auto"/>
            <w:shd w:val="clear" w:color="auto" w:fill="auto"/>
            <w:noWrap/>
            <w:vAlign w:val="bottom"/>
          </w:tcPr>
          <w:p w14:paraId="2E36553F" w14:textId="77777777" w:rsidR="000B4E2C" w:rsidRPr="000B4E2C" w:rsidRDefault="002F0133" w:rsidP="008A7464">
            <w:pPr>
              <w:jc w:val="right"/>
              <w:rPr>
                <w:b/>
                <w:bCs/>
                <w:sz w:val="22"/>
                <w:lang w:val="en-GB" w:eastAsia="en-GB"/>
              </w:rPr>
            </w:pPr>
            <w:r w:rsidRPr="000B4E2C">
              <w:rPr>
                <w:b/>
                <w:bCs/>
                <w:sz w:val="22"/>
                <w:lang w:val="en-GB" w:eastAsia="en-GB"/>
              </w:rPr>
              <w:t>ICER</w:t>
            </w:r>
          </w:p>
          <w:p w14:paraId="11280E76" w14:textId="658B5B31" w:rsidR="002F0133" w:rsidRPr="000B4E2C" w:rsidRDefault="002F0133" w:rsidP="008A7464">
            <w:pPr>
              <w:jc w:val="right"/>
              <w:rPr>
                <w:color w:val="000000"/>
                <w:sz w:val="22"/>
                <w:lang w:val="en-GB" w:eastAsia="en-GB"/>
              </w:rPr>
            </w:pPr>
            <w:r w:rsidRPr="000B4E2C">
              <w:rPr>
                <w:b/>
                <w:bCs/>
                <w:sz w:val="22"/>
                <w:lang w:val="en-GB" w:eastAsia="en-GB"/>
              </w:rPr>
              <w:t>(inc)</w:t>
            </w:r>
          </w:p>
        </w:tc>
        <w:tc>
          <w:tcPr>
            <w:tcW w:w="0" w:type="auto"/>
            <w:shd w:val="clear" w:color="auto" w:fill="auto"/>
            <w:noWrap/>
            <w:vAlign w:val="bottom"/>
          </w:tcPr>
          <w:p w14:paraId="10262193" w14:textId="77777777" w:rsidR="000B4E2C" w:rsidRPr="000B4E2C" w:rsidRDefault="002F0133" w:rsidP="008A7464">
            <w:pPr>
              <w:jc w:val="right"/>
              <w:rPr>
                <w:b/>
                <w:bCs/>
                <w:sz w:val="22"/>
                <w:lang w:val="en-GB" w:eastAsia="en-GB"/>
              </w:rPr>
            </w:pPr>
            <w:r w:rsidRPr="000B4E2C">
              <w:rPr>
                <w:b/>
                <w:bCs/>
                <w:sz w:val="22"/>
                <w:lang w:val="en-GB" w:eastAsia="en-GB"/>
              </w:rPr>
              <w:t>ICER</w:t>
            </w:r>
          </w:p>
          <w:p w14:paraId="764484F2" w14:textId="757121AF" w:rsidR="002F0133" w:rsidRPr="000B4E2C" w:rsidRDefault="002F0133" w:rsidP="008A7464">
            <w:pPr>
              <w:jc w:val="right"/>
              <w:rPr>
                <w:color w:val="000000"/>
                <w:sz w:val="22"/>
                <w:lang w:val="en-GB" w:eastAsia="en-GB"/>
              </w:rPr>
            </w:pPr>
            <w:r w:rsidRPr="000B4E2C">
              <w:rPr>
                <w:b/>
                <w:bCs/>
                <w:sz w:val="22"/>
                <w:lang w:val="en-GB" w:eastAsia="en-GB"/>
              </w:rPr>
              <w:t>vs. SC</w:t>
            </w:r>
          </w:p>
        </w:tc>
        <w:tc>
          <w:tcPr>
            <w:tcW w:w="0" w:type="auto"/>
            <w:shd w:val="clear" w:color="auto" w:fill="auto"/>
            <w:noWrap/>
            <w:vAlign w:val="bottom"/>
          </w:tcPr>
          <w:p w14:paraId="13E86B11" w14:textId="77777777" w:rsidR="000B4E2C" w:rsidRPr="000B4E2C" w:rsidRDefault="002F0133" w:rsidP="008A7464">
            <w:pPr>
              <w:jc w:val="right"/>
              <w:rPr>
                <w:b/>
                <w:bCs/>
                <w:sz w:val="22"/>
                <w:lang w:val="en-GB" w:eastAsia="en-GB"/>
              </w:rPr>
            </w:pPr>
            <w:r w:rsidRPr="000B4E2C">
              <w:rPr>
                <w:b/>
                <w:bCs/>
                <w:i/>
                <w:color w:val="00B0F0"/>
                <w:sz w:val="22"/>
                <w:lang w:val="en-GB" w:eastAsia="en-GB"/>
              </w:rPr>
              <w:t>p</w:t>
            </w:r>
            <w:r w:rsidRPr="000B4E2C">
              <w:rPr>
                <w:b/>
                <w:bCs/>
                <w:sz w:val="22"/>
                <w:lang w:val="en-GB" w:eastAsia="en-GB"/>
              </w:rPr>
              <w:t xml:space="preserve"> (C/E)</w:t>
            </w:r>
          </w:p>
          <w:p w14:paraId="382975D6" w14:textId="21E2C691" w:rsidR="002F0133" w:rsidRPr="000B4E2C" w:rsidRDefault="002F0133" w:rsidP="008A7464">
            <w:pPr>
              <w:jc w:val="right"/>
              <w:rPr>
                <w:color w:val="000000"/>
                <w:sz w:val="22"/>
                <w:lang w:val="en-GB" w:eastAsia="en-GB"/>
              </w:rPr>
            </w:pPr>
            <w:r w:rsidRPr="000B4E2C">
              <w:rPr>
                <w:b/>
                <w:bCs/>
                <w:sz w:val="22"/>
                <w:lang w:val="en-GB" w:eastAsia="en-GB"/>
              </w:rPr>
              <w:t>@ 20k</w:t>
            </w:r>
          </w:p>
        </w:tc>
        <w:tc>
          <w:tcPr>
            <w:tcW w:w="0" w:type="auto"/>
            <w:shd w:val="clear" w:color="auto" w:fill="auto"/>
            <w:noWrap/>
            <w:vAlign w:val="bottom"/>
          </w:tcPr>
          <w:p w14:paraId="402302BD" w14:textId="77777777" w:rsidR="000B4E2C" w:rsidRPr="000B4E2C" w:rsidRDefault="002F0133" w:rsidP="008A7464">
            <w:pPr>
              <w:jc w:val="right"/>
              <w:rPr>
                <w:b/>
                <w:bCs/>
                <w:sz w:val="22"/>
                <w:lang w:val="en-GB" w:eastAsia="en-GB"/>
              </w:rPr>
            </w:pPr>
            <w:r w:rsidRPr="000B4E2C">
              <w:rPr>
                <w:b/>
                <w:bCs/>
                <w:i/>
                <w:color w:val="00B0F0"/>
                <w:sz w:val="22"/>
                <w:lang w:val="en-GB" w:eastAsia="en-GB"/>
              </w:rPr>
              <w:t>p</w:t>
            </w:r>
            <w:r w:rsidRPr="000B4E2C">
              <w:rPr>
                <w:b/>
                <w:bCs/>
                <w:sz w:val="22"/>
                <w:lang w:val="en-GB" w:eastAsia="en-GB"/>
              </w:rPr>
              <w:t xml:space="preserve"> (C/E)</w:t>
            </w:r>
          </w:p>
          <w:p w14:paraId="4582A5F8" w14:textId="77777777" w:rsidR="000B4E2C" w:rsidRPr="000B4E2C" w:rsidRDefault="002F0133" w:rsidP="008A7464">
            <w:pPr>
              <w:jc w:val="right"/>
              <w:rPr>
                <w:b/>
                <w:bCs/>
                <w:sz w:val="22"/>
                <w:lang w:val="en-GB" w:eastAsia="en-GB"/>
              </w:rPr>
            </w:pPr>
            <w:r w:rsidRPr="000B4E2C">
              <w:rPr>
                <w:b/>
                <w:bCs/>
                <w:sz w:val="22"/>
                <w:lang w:val="en-GB" w:eastAsia="en-GB"/>
              </w:rPr>
              <w:t>@ 20k</w:t>
            </w:r>
          </w:p>
          <w:p w14:paraId="6E49B1C1" w14:textId="1A2CD8B7" w:rsidR="002F0133" w:rsidRPr="000B4E2C" w:rsidRDefault="002F0133" w:rsidP="008A7464">
            <w:pPr>
              <w:jc w:val="right"/>
              <w:rPr>
                <w:sz w:val="22"/>
                <w:lang w:val="en-GB" w:eastAsia="en-GB"/>
              </w:rPr>
            </w:pPr>
            <w:r w:rsidRPr="000B4E2C">
              <w:rPr>
                <w:b/>
                <w:bCs/>
                <w:sz w:val="22"/>
                <w:lang w:val="en-GB" w:eastAsia="en-GB"/>
              </w:rPr>
              <w:t>vs. SC</w:t>
            </w:r>
          </w:p>
        </w:tc>
      </w:tr>
      <w:tr w:rsidR="002F0133" w:rsidRPr="000B4E2C" w14:paraId="4D4FC3BC" w14:textId="77777777" w:rsidTr="000B4E2C">
        <w:trPr>
          <w:cantSplit/>
        </w:trPr>
        <w:tc>
          <w:tcPr>
            <w:tcW w:w="0" w:type="auto"/>
            <w:gridSpan w:val="9"/>
            <w:shd w:val="clear" w:color="auto" w:fill="auto"/>
            <w:noWrap/>
            <w:vAlign w:val="bottom"/>
          </w:tcPr>
          <w:p w14:paraId="3D0D9667" w14:textId="77777777" w:rsidR="002F0133" w:rsidRPr="000B4E2C" w:rsidRDefault="002F0133" w:rsidP="008A7464">
            <w:pPr>
              <w:rPr>
                <w:b/>
                <w:bCs/>
                <w:sz w:val="22"/>
                <w:lang w:val="en-GB" w:eastAsia="en-GB"/>
              </w:rPr>
            </w:pPr>
            <w:r w:rsidRPr="000B4E2C">
              <w:rPr>
                <w:b/>
                <w:bCs/>
                <w:sz w:val="22"/>
                <w:lang w:val="en-GB" w:eastAsia="en-GB"/>
              </w:rPr>
              <w:t>Post cardiac surgery subgroup (applied to scenario 1)</w:t>
            </w:r>
          </w:p>
        </w:tc>
      </w:tr>
      <w:tr w:rsidR="000B4E2C" w:rsidRPr="000B4E2C" w14:paraId="1DDAF407" w14:textId="77777777" w:rsidTr="000B4E2C">
        <w:trPr>
          <w:cantSplit/>
        </w:trPr>
        <w:tc>
          <w:tcPr>
            <w:tcW w:w="0" w:type="auto"/>
            <w:shd w:val="clear" w:color="auto" w:fill="auto"/>
            <w:noWrap/>
            <w:vAlign w:val="bottom"/>
            <w:hideMark/>
          </w:tcPr>
          <w:p w14:paraId="0814E6BB" w14:textId="77777777" w:rsidR="002F0133" w:rsidRPr="000B4E2C" w:rsidRDefault="002F0133" w:rsidP="008A7464">
            <w:pPr>
              <w:rPr>
                <w:color w:val="000000"/>
                <w:sz w:val="22"/>
                <w:lang w:val="en-GB" w:eastAsia="en-GB"/>
              </w:rPr>
            </w:pPr>
            <w:r w:rsidRPr="000B4E2C">
              <w:rPr>
                <w:sz w:val="22"/>
                <w:lang w:val="en-GB" w:eastAsia="en-GB"/>
              </w:rPr>
              <w:lastRenderedPageBreak/>
              <w:t>Standard care (Scr)</w:t>
            </w:r>
          </w:p>
        </w:tc>
        <w:tc>
          <w:tcPr>
            <w:tcW w:w="0" w:type="auto"/>
            <w:shd w:val="clear" w:color="auto" w:fill="auto"/>
            <w:noWrap/>
            <w:vAlign w:val="bottom"/>
            <w:hideMark/>
          </w:tcPr>
          <w:p w14:paraId="24E448D6" w14:textId="77777777" w:rsidR="002F0133" w:rsidRPr="000B4E2C" w:rsidRDefault="002F0133" w:rsidP="008A7464">
            <w:pPr>
              <w:jc w:val="right"/>
              <w:rPr>
                <w:color w:val="000000"/>
                <w:sz w:val="22"/>
                <w:lang w:val="en-GB" w:eastAsia="en-GB"/>
              </w:rPr>
            </w:pPr>
            <w:r w:rsidRPr="000B4E2C">
              <w:rPr>
                <w:sz w:val="22"/>
                <w:lang w:val="en-GB" w:eastAsia="en-GB"/>
              </w:rPr>
              <w:t>£22,912</w:t>
            </w:r>
          </w:p>
        </w:tc>
        <w:tc>
          <w:tcPr>
            <w:tcW w:w="0" w:type="auto"/>
            <w:shd w:val="clear" w:color="auto" w:fill="auto"/>
            <w:noWrap/>
            <w:vAlign w:val="bottom"/>
            <w:hideMark/>
          </w:tcPr>
          <w:p w14:paraId="64CAF65B" w14:textId="5235CEE0" w:rsidR="002F0133" w:rsidRPr="000B4E2C" w:rsidRDefault="000B4E2C" w:rsidP="008A7464">
            <w:pPr>
              <w:jc w:val="right"/>
              <w:rPr>
                <w:color w:val="000000"/>
                <w:sz w:val="22"/>
                <w:lang w:val="en-GB" w:eastAsia="en-GB"/>
              </w:rPr>
            </w:pPr>
            <w:r w:rsidRPr="000B4E2C">
              <w:rPr>
                <w:sz w:val="22"/>
                <w:lang w:val="en-GB" w:eastAsia="en-GB"/>
              </w:rPr>
              <w:t xml:space="preserve"> </w:t>
            </w:r>
          </w:p>
        </w:tc>
        <w:tc>
          <w:tcPr>
            <w:tcW w:w="0" w:type="auto"/>
            <w:shd w:val="clear" w:color="auto" w:fill="auto"/>
            <w:noWrap/>
            <w:vAlign w:val="bottom"/>
            <w:hideMark/>
          </w:tcPr>
          <w:p w14:paraId="5959FF3D" w14:textId="77777777" w:rsidR="002F0133" w:rsidRPr="000B4E2C" w:rsidRDefault="002F0133" w:rsidP="008A7464">
            <w:pPr>
              <w:jc w:val="right"/>
              <w:rPr>
                <w:color w:val="000000"/>
                <w:sz w:val="22"/>
                <w:lang w:val="en-GB" w:eastAsia="en-GB"/>
              </w:rPr>
            </w:pPr>
            <w:r w:rsidRPr="000B4E2C">
              <w:rPr>
                <w:sz w:val="22"/>
                <w:lang w:val="en-GB" w:eastAsia="en-GB"/>
              </w:rPr>
              <w:t>6.07358</w:t>
            </w:r>
          </w:p>
        </w:tc>
        <w:tc>
          <w:tcPr>
            <w:tcW w:w="0" w:type="auto"/>
            <w:shd w:val="clear" w:color="auto" w:fill="auto"/>
            <w:noWrap/>
            <w:vAlign w:val="bottom"/>
            <w:hideMark/>
          </w:tcPr>
          <w:p w14:paraId="6CA19C80" w14:textId="58FFEBEF" w:rsidR="002F0133" w:rsidRPr="000B4E2C" w:rsidRDefault="000B4E2C" w:rsidP="008A7464">
            <w:pPr>
              <w:jc w:val="right"/>
              <w:rPr>
                <w:color w:val="000000"/>
                <w:sz w:val="22"/>
                <w:lang w:val="en-GB" w:eastAsia="en-GB"/>
              </w:rPr>
            </w:pPr>
            <w:r w:rsidRPr="000B4E2C">
              <w:rPr>
                <w:sz w:val="22"/>
                <w:lang w:val="en-GB" w:eastAsia="en-GB"/>
              </w:rPr>
              <w:t xml:space="preserve"> </w:t>
            </w:r>
          </w:p>
        </w:tc>
        <w:tc>
          <w:tcPr>
            <w:tcW w:w="0" w:type="auto"/>
            <w:shd w:val="clear" w:color="auto" w:fill="auto"/>
            <w:noWrap/>
            <w:vAlign w:val="bottom"/>
            <w:hideMark/>
          </w:tcPr>
          <w:p w14:paraId="0EFDD66F" w14:textId="5A6A9CD8" w:rsidR="002F0133" w:rsidRPr="000B4E2C" w:rsidRDefault="000B4E2C" w:rsidP="008A7464">
            <w:pPr>
              <w:jc w:val="right"/>
              <w:rPr>
                <w:color w:val="000000"/>
                <w:sz w:val="22"/>
                <w:lang w:val="en-GB" w:eastAsia="en-GB"/>
              </w:rPr>
            </w:pPr>
            <w:r w:rsidRPr="000B4E2C">
              <w:rPr>
                <w:sz w:val="22"/>
                <w:lang w:val="en-GB" w:eastAsia="en-GB"/>
              </w:rPr>
              <w:t xml:space="preserve"> </w:t>
            </w:r>
          </w:p>
        </w:tc>
        <w:tc>
          <w:tcPr>
            <w:tcW w:w="0" w:type="auto"/>
            <w:shd w:val="clear" w:color="auto" w:fill="auto"/>
            <w:noWrap/>
            <w:vAlign w:val="bottom"/>
            <w:hideMark/>
          </w:tcPr>
          <w:p w14:paraId="3B182496" w14:textId="4976E832" w:rsidR="002F0133" w:rsidRPr="000B4E2C" w:rsidRDefault="000B4E2C" w:rsidP="008A7464">
            <w:pPr>
              <w:jc w:val="right"/>
              <w:rPr>
                <w:color w:val="000000"/>
                <w:sz w:val="22"/>
                <w:lang w:val="en-GB" w:eastAsia="en-GB"/>
              </w:rPr>
            </w:pPr>
            <w:r w:rsidRPr="000B4E2C">
              <w:rPr>
                <w:sz w:val="22"/>
                <w:lang w:val="en-GB" w:eastAsia="en-GB"/>
              </w:rPr>
              <w:t xml:space="preserve"> </w:t>
            </w:r>
          </w:p>
        </w:tc>
        <w:tc>
          <w:tcPr>
            <w:tcW w:w="0" w:type="auto"/>
            <w:shd w:val="clear" w:color="auto" w:fill="auto"/>
            <w:noWrap/>
            <w:vAlign w:val="bottom"/>
            <w:hideMark/>
          </w:tcPr>
          <w:p w14:paraId="2840542D" w14:textId="77777777" w:rsidR="002F0133" w:rsidRPr="000B4E2C" w:rsidRDefault="002F0133" w:rsidP="008A7464">
            <w:pPr>
              <w:jc w:val="right"/>
              <w:rPr>
                <w:color w:val="000000"/>
                <w:sz w:val="22"/>
                <w:lang w:val="en-GB" w:eastAsia="en-GB"/>
              </w:rPr>
            </w:pPr>
            <w:r w:rsidRPr="000B4E2C">
              <w:rPr>
                <w:sz w:val="22"/>
                <w:lang w:val="en-GB" w:eastAsia="en-GB"/>
              </w:rPr>
              <w:t>54.2%</w:t>
            </w:r>
          </w:p>
        </w:tc>
        <w:tc>
          <w:tcPr>
            <w:tcW w:w="0" w:type="auto"/>
            <w:shd w:val="clear" w:color="auto" w:fill="auto"/>
            <w:noWrap/>
            <w:vAlign w:val="bottom"/>
            <w:hideMark/>
          </w:tcPr>
          <w:p w14:paraId="46EA1957" w14:textId="077848C7" w:rsidR="002F0133" w:rsidRPr="000B4E2C" w:rsidRDefault="000B4E2C" w:rsidP="008A7464">
            <w:pPr>
              <w:jc w:val="right"/>
              <w:rPr>
                <w:sz w:val="22"/>
                <w:lang w:val="en-GB" w:eastAsia="en-GB"/>
              </w:rPr>
            </w:pPr>
            <w:r w:rsidRPr="000B4E2C">
              <w:rPr>
                <w:sz w:val="22"/>
                <w:lang w:val="en-GB" w:eastAsia="en-GB"/>
              </w:rPr>
              <w:t xml:space="preserve"> </w:t>
            </w:r>
          </w:p>
        </w:tc>
      </w:tr>
      <w:tr w:rsidR="000B4E2C" w:rsidRPr="000B4E2C" w14:paraId="04413E15" w14:textId="77777777" w:rsidTr="000B4E2C">
        <w:trPr>
          <w:cantSplit/>
        </w:trPr>
        <w:tc>
          <w:tcPr>
            <w:tcW w:w="0" w:type="auto"/>
            <w:shd w:val="clear" w:color="auto" w:fill="auto"/>
            <w:noWrap/>
            <w:vAlign w:val="bottom"/>
            <w:hideMark/>
          </w:tcPr>
          <w:p w14:paraId="73D066B7" w14:textId="520E0702" w:rsidR="002F0133" w:rsidRPr="000B4E2C" w:rsidRDefault="002F0133" w:rsidP="008A7464">
            <w:pPr>
              <w:rPr>
                <w:color w:val="000000"/>
                <w:sz w:val="22"/>
                <w:lang w:val="en-GB" w:eastAsia="en-GB"/>
              </w:rPr>
            </w:pPr>
            <w:r w:rsidRPr="000B4E2C">
              <w:rPr>
                <w:sz w:val="22"/>
                <w:lang w:val="en-GB" w:eastAsia="en-GB"/>
              </w:rPr>
              <w:t>Test 2 (NGAL plasma</w:t>
            </w:r>
            <w:r w:rsidR="000B4E2C" w:rsidRPr="000B4E2C">
              <w:rPr>
                <w:color w:val="00B0F0"/>
                <w:sz w:val="22"/>
                <w:lang w:val="en-GB" w:eastAsia="en-GB"/>
              </w:rPr>
              <w:t xml:space="preserve"> – </w:t>
            </w:r>
            <w:r w:rsidR="009D7F5A" w:rsidRPr="000B4E2C">
              <w:rPr>
                <w:sz w:val="22"/>
                <w:lang w:val="en-GB" w:eastAsia="en-GB"/>
              </w:rPr>
              <w:t>BioPorto</w:t>
            </w:r>
            <w:r w:rsidRPr="000B4E2C">
              <w:rPr>
                <w:sz w:val="22"/>
                <w:lang w:val="en-GB" w:eastAsia="en-GB"/>
              </w:rPr>
              <w:t>)</w:t>
            </w:r>
          </w:p>
        </w:tc>
        <w:tc>
          <w:tcPr>
            <w:tcW w:w="0" w:type="auto"/>
            <w:shd w:val="clear" w:color="auto" w:fill="auto"/>
            <w:noWrap/>
            <w:vAlign w:val="bottom"/>
            <w:hideMark/>
          </w:tcPr>
          <w:p w14:paraId="1D0160D6" w14:textId="77777777" w:rsidR="002F0133" w:rsidRPr="000B4E2C" w:rsidRDefault="002F0133" w:rsidP="008A7464">
            <w:pPr>
              <w:jc w:val="right"/>
              <w:rPr>
                <w:color w:val="000000"/>
                <w:sz w:val="22"/>
                <w:lang w:val="en-GB" w:eastAsia="en-GB"/>
              </w:rPr>
            </w:pPr>
            <w:r w:rsidRPr="000B4E2C">
              <w:rPr>
                <w:sz w:val="22"/>
                <w:lang w:val="en-GB" w:eastAsia="en-GB"/>
              </w:rPr>
              <w:t>£22,914</w:t>
            </w:r>
          </w:p>
        </w:tc>
        <w:tc>
          <w:tcPr>
            <w:tcW w:w="0" w:type="auto"/>
            <w:shd w:val="clear" w:color="auto" w:fill="auto"/>
            <w:noWrap/>
            <w:vAlign w:val="bottom"/>
            <w:hideMark/>
          </w:tcPr>
          <w:p w14:paraId="58ECAA03" w14:textId="77777777" w:rsidR="002F0133" w:rsidRPr="000B4E2C" w:rsidRDefault="002F0133" w:rsidP="008A7464">
            <w:pPr>
              <w:jc w:val="right"/>
              <w:rPr>
                <w:color w:val="000000"/>
                <w:sz w:val="22"/>
                <w:lang w:val="en-GB" w:eastAsia="en-GB"/>
              </w:rPr>
            </w:pPr>
            <w:r w:rsidRPr="000B4E2C">
              <w:rPr>
                <w:sz w:val="22"/>
                <w:lang w:val="en-GB" w:eastAsia="en-GB"/>
              </w:rPr>
              <w:t>£2</w:t>
            </w:r>
          </w:p>
        </w:tc>
        <w:tc>
          <w:tcPr>
            <w:tcW w:w="0" w:type="auto"/>
            <w:shd w:val="clear" w:color="auto" w:fill="auto"/>
            <w:noWrap/>
            <w:vAlign w:val="bottom"/>
            <w:hideMark/>
          </w:tcPr>
          <w:p w14:paraId="0A431EBE" w14:textId="77777777" w:rsidR="002F0133" w:rsidRPr="000B4E2C" w:rsidRDefault="002F0133" w:rsidP="008A7464">
            <w:pPr>
              <w:jc w:val="right"/>
              <w:rPr>
                <w:color w:val="000000"/>
                <w:sz w:val="22"/>
                <w:lang w:val="en-GB" w:eastAsia="en-GB"/>
              </w:rPr>
            </w:pPr>
            <w:r w:rsidRPr="000B4E2C">
              <w:rPr>
                <w:sz w:val="22"/>
                <w:lang w:val="en-GB" w:eastAsia="en-GB"/>
              </w:rPr>
              <w:t>6.07387</w:t>
            </w:r>
          </w:p>
        </w:tc>
        <w:tc>
          <w:tcPr>
            <w:tcW w:w="0" w:type="auto"/>
            <w:shd w:val="clear" w:color="auto" w:fill="auto"/>
            <w:noWrap/>
            <w:vAlign w:val="bottom"/>
            <w:hideMark/>
          </w:tcPr>
          <w:p w14:paraId="4BFF16D8" w14:textId="77777777" w:rsidR="002F0133" w:rsidRPr="000B4E2C" w:rsidRDefault="002F0133" w:rsidP="008A7464">
            <w:pPr>
              <w:jc w:val="right"/>
              <w:rPr>
                <w:color w:val="000000"/>
                <w:sz w:val="22"/>
                <w:lang w:val="en-GB" w:eastAsia="en-GB"/>
              </w:rPr>
            </w:pPr>
            <w:r w:rsidRPr="000B4E2C">
              <w:rPr>
                <w:sz w:val="22"/>
                <w:lang w:val="en-GB" w:eastAsia="en-GB"/>
              </w:rPr>
              <w:t>0.00029</w:t>
            </w:r>
          </w:p>
        </w:tc>
        <w:tc>
          <w:tcPr>
            <w:tcW w:w="0" w:type="auto"/>
            <w:shd w:val="clear" w:color="auto" w:fill="auto"/>
            <w:noWrap/>
            <w:vAlign w:val="bottom"/>
            <w:hideMark/>
          </w:tcPr>
          <w:p w14:paraId="141C42AD" w14:textId="77777777" w:rsidR="002F0133" w:rsidRPr="000B4E2C" w:rsidRDefault="002F0133" w:rsidP="008A7464">
            <w:pPr>
              <w:jc w:val="right"/>
              <w:rPr>
                <w:color w:val="000000"/>
                <w:sz w:val="22"/>
                <w:lang w:val="en-GB" w:eastAsia="en-GB"/>
              </w:rPr>
            </w:pPr>
            <w:r w:rsidRPr="000B4E2C">
              <w:rPr>
                <w:sz w:val="22"/>
                <w:lang w:val="en-GB" w:eastAsia="en-GB"/>
              </w:rPr>
              <w:t>£7,822</w:t>
            </w:r>
          </w:p>
        </w:tc>
        <w:tc>
          <w:tcPr>
            <w:tcW w:w="0" w:type="auto"/>
            <w:shd w:val="clear" w:color="auto" w:fill="auto"/>
            <w:noWrap/>
            <w:vAlign w:val="bottom"/>
            <w:hideMark/>
          </w:tcPr>
          <w:p w14:paraId="1B369109" w14:textId="77777777" w:rsidR="002F0133" w:rsidRPr="000B4E2C" w:rsidRDefault="002F0133" w:rsidP="008A7464">
            <w:pPr>
              <w:jc w:val="right"/>
              <w:rPr>
                <w:color w:val="000000"/>
                <w:sz w:val="22"/>
                <w:lang w:val="en-GB" w:eastAsia="en-GB"/>
              </w:rPr>
            </w:pPr>
            <w:r w:rsidRPr="000B4E2C">
              <w:rPr>
                <w:sz w:val="22"/>
                <w:lang w:val="en-GB" w:eastAsia="en-GB"/>
              </w:rPr>
              <w:t>£7,822</w:t>
            </w:r>
          </w:p>
        </w:tc>
        <w:tc>
          <w:tcPr>
            <w:tcW w:w="0" w:type="auto"/>
            <w:shd w:val="clear" w:color="auto" w:fill="auto"/>
            <w:noWrap/>
            <w:vAlign w:val="bottom"/>
            <w:hideMark/>
          </w:tcPr>
          <w:p w14:paraId="1766C3DD" w14:textId="77777777" w:rsidR="002F0133" w:rsidRPr="000B4E2C" w:rsidRDefault="002F0133" w:rsidP="008A7464">
            <w:pPr>
              <w:jc w:val="right"/>
              <w:rPr>
                <w:color w:val="000000"/>
                <w:sz w:val="22"/>
                <w:lang w:val="en-GB" w:eastAsia="en-GB"/>
              </w:rPr>
            </w:pPr>
            <w:r w:rsidRPr="000B4E2C">
              <w:rPr>
                <w:sz w:val="22"/>
                <w:lang w:val="en-GB" w:eastAsia="en-GB"/>
              </w:rPr>
              <w:t>17.8%</w:t>
            </w:r>
          </w:p>
        </w:tc>
        <w:tc>
          <w:tcPr>
            <w:tcW w:w="0" w:type="auto"/>
            <w:shd w:val="clear" w:color="auto" w:fill="auto"/>
            <w:noWrap/>
            <w:vAlign w:val="bottom"/>
            <w:hideMark/>
          </w:tcPr>
          <w:p w14:paraId="5C74B499" w14:textId="77777777" w:rsidR="002F0133" w:rsidRPr="000B4E2C" w:rsidRDefault="002F0133" w:rsidP="008A7464">
            <w:pPr>
              <w:jc w:val="right"/>
              <w:rPr>
                <w:sz w:val="22"/>
                <w:lang w:val="en-GB" w:eastAsia="en-GB"/>
              </w:rPr>
            </w:pPr>
            <w:r w:rsidRPr="000B4E2C">
              <w:rPr>
                <w:sz w:val="22"/>
                <w:lang w:val="en-GB" w:eastAsia="en-GB"/>
              </w:rPr>
              <w:t>45.5%</w:t>
            </w:r>
          </w:p>
        </w:tc>
      </w:tr>
      <w:tr w:rsidR="000B4E2C" w:rsidRPr="000B4E2C" w14:paraId="14A730BE" w14:textId="77777777" w:rsidTr="000B4E2C">
        <w:trPr>
          <w:cantSplit/>
        </w:trPr>
        <w:tc>
          <w:tcPr>
            <w:tcW w:w="0" w:type="auto"/>
            <w:shd w:val="clear" w:color="auto" w:fill="auto"/>
            <w:noWrap/>
            <w:vAlign w:val="bottom"/>
            <w:hideMark/>
          </w:tcPr>
          <w:p w14:paraId="55F75FB4" w14:textId="66CC960A" w:rsidR="002F0133" w:rsidRPr="000B4E2C" w:rsidRDefault="002F0133" w:rsidP="008A7464">
            <w:pPr>
              <w:rPr>
                <w:color w:val="000000"/>
                <w:sz w:val="22"/>
                <w:lang w:val="en-GB" w:eastAsia="en-GB"/>
              </w:rPr>
            </w:pPr>
            <w:r w:rsidRPr="000B4E2C">
              <w:rPr>
                <w:sz w:val="22"/>
                <w:lang w:val="en-GB" w:eastAsia="en-GB"/>
              </w:rPr>
              <w:t>Test 3 (NGAL urine</w:t>
            </w:r>
            <w:r w:rsidR="000B4E2C" w:rsidRPr="000B4E2C">
              <w:rPr>
                <w:color w:val="00B0F0"/>
                <w:sz w:val="22"/>
                <w:lang w:val="en-GB" w:eastAsia="en-GB"/>
              </w:rPr>
              <w:t xml:space="preserve"> – </w:t>
            </w:r>
            <w:r w:rsidR="009D7F5A" w:rsidRPr="000B4E2C">
              <w:rPr>
                <w:sz w:val="22"/>
                <w:lang w:val="en-GB" w:eastAsia="en-GB"/>
              </w:rPr>
              <w:t>BioPorto</w:t>
            </w:r>
            <w:r w:rsidRPr="000B4E2C">
              <w:rPr>
                <w:sz w:val="22"/>
                <w:lang w:val="en-GB" w:eastAsia="en-GB"/>
              </w:rPr>
              <w:t>)</w:t>
            </w:r>
          </w:p>
        </w:tc>
        <w:tc>
          <w:tcPr>
            <w:tcW w:w="0" w:type="auto"/>
            <w:shd w:val="clear" w:color="auto" w:fill="auto"/>
            <w:noWrap/>
            <w:vAlign w:val="bottom"/>
            <w:hideMark/>
          </w:tcPr>
          <w:p w14:paraId="0E1F5F73" w14:textId="77777777" w:rsidR="002F0133" w:rsidRPr="000B4E2C" w:rsidRDefault="002F0133" w:rsidP="008A7464">
            <w:pPr>
              <w:jc w:val="right"/>
              <w:rPr>
                <w:color w:val="000000"/>
                <w:sz w:val="22"/>
                <w:lang w:val="en-GB" w:eastAsia="en-GB"/>
              </w:rPr>
            </w:pPr>
            <w:r w:rsidRPr="000B4E2C">
              <w:rPr>
                <w:sz w:val="22"/>
                <w:lang w:val="en-GB" w:eastAsia="en-GB"/>
              </w:rPr>
              <w:t>£22,922</w:t>
            </w:r>
          </w:p>
        </w:tc>
        <w:tc>
          <w:tcPr>
            <w:tcW w:w="0" w:type="auto"/>
            <w:shd w:val="clear" w:color="auto" w:fill="auto"/>
            <w:noWrap/>
            <w:vAlign w:val="bottom"/>
            <w:hideMark/>
          </w:tcPr>
          <w:p w14:paraId="649D7732" w14:textId="77777777" w:rsidR="002F0133" w:rsidRPr="000B4E2C" w:rsidRDefault="002F0133" w:rsidP="008A7464">
            <w:pPr>
              <w:jc w:val="right"/>
              <w:rPr>
                <w:color w:val="000000"/>
                <w:sz w:val="22"/>
                <w:lang w:val="en-GB" w:eastAsia="en-GB"/>
              </w:rPr>
            </w:pPr>
            <w:r w:rsidRPr="000B4E2C">
              <w:rPr>
                <w:sz w:val="22"/>
                <w:lang w:val="en-GB" w:eastAsia="en-GB"/>
              </w:rPr>
              <w:t>£8</w:t>
            </w:r>
          </w:p>
        </w:tc>
        <w:tc>
          <w:tcPr>
            <w:tcW w:w="0" w:type="auto"/>
            <w:shd w:val="clear" w:color="auto" w:fill="auto"/>
            <w:noWrap/>
            <w:vAlign w:val="bottom"/>
            <w:hideMark/>
          </w:tcPr>
          <w:p w14:paraId="07F2B0C1" w14:textId="77777777" w:rsidR="002F0133" w:rsidRPr="000B4E2C" w:rsidRDefault="002F0133" w:rsidP="008A7464">
            <w:pPr>
              <w:jc w:val="right"/>
              <w:rPr>
                <w:color w:val="000000"/>
                <w:sz w:val="22"/>
                <w:lang w:val="en-GB" w:eastAsia="en-GB"/>
              </w:rPr>
            </w:pPr>
            <w:r w:rsidRPr="000B4E2C">
              <w:rPr>
                <w:sz w:val="22"/>
                <w:lang w:val="en-GB" w:eastAsia="en-GB"/>
              </w:rPr>
              <w:t>6.07394</w:t>
            </w:r>
          </w:p>
        </w:tc>
        <w:tc>
          <w:tcPr>
            <w:tcW w:w="0" w:type="auto"/>
            <w:shd w:val="clear" w:color="auto" w:fill="auto"/>
            <w:noWrap/>
            <w:vAlign w:val="bottom"/>
            <w:hideMark/>
          </w:tcPr>
          <w:p w14:paraId="04738BB2" w14:textId="77777777" w:rsidR="002F0133" w:rsidRPr="000B4E2C" w:rsidRDefault="002F0133" w:rsidP="008A7464">
            <w:pPr>
              <w:jc w:val="right"/>
              <w:rPr>
                <w:color w:val="000000"/>
                <w:sz w:val="22"/>
                <w:lang w:val="en-GB" w:eastAsia="en-GB"/>
              </w:rPr>
            </w:pPr>
            <w:r w:rsidRPr="000B4E2C">
              <w:rPr>
                <w:sz w:val="22"/>
                <w:lang w:val="en-GB" w:eastAsia="en-GB"/>
              </w:rPr>
              <w:t>0.00007</w:t>
            </w:r>
          </w:p>
        </w:tc>
        <w:tc>
          <w:tcPr>
            <w:tcW w:w="0" w:type="auto"/>
            <w:shd w:val="clear" w:color="auto" w:fill="auto"/>
            <w:noWrap/>
            <w:vAlign w:val="bottom"/>
            <w:hideMark/>
          </w:tcPr>
          <w:p w14:paraId="5FC2EC40" w14:textId="77777777" w:rsidR="002F0133" w:rsidRPr="000B4E2C" w:rsidRDefault="002F0133" w:rsidP="008A7464">
            <w:pPr>
              <w:jc w:val="right"/>
              <w:rPr>
                <w:color w:val="000000"/>
                <w:sz w:val="22"/>
                <w:lang w:val="en-GB" w:eastAsia="en-GB"/>
              </w:rPr>
            </w:pPr>
            <w:r w:rsidRPr="000B4E2C">
              <w:rPr>
                <w:sz w:val="22"/>
                <w:lang w:val="en-GB" w:eastAsia="en-GB"/>
              </w:rPr>
              <w:t>£112,645</w:t>
            </w:r>
          </w:p>
        </w:tc>
        <w:tc>
          <w:tcPr>
            <w:tcW w:w="0" w:type="auto"/>
            <w:shd w:val="clear" w:color="auto" w:fill="auto"/>
            <w:noWrap/>
            <w:vAlign w:val="bottom"/>
            <w:hideMark/>
          </w:tcPr>
          <w:p w14:paraId="53EE431E" w14:textId="77777777" w:rsidR="002F0133" w:rsidRPr="000B4E2C" w:rsidRDefault="002F0133" w:rsidP="008A7464">
            <w:pPr>
              <w:jc w:val="right"/>
              <w:rPr>
                <w:color w:val="000000"/>
                <w:sz w:val="22"/>
                <w:lang w:val="en-GB" w:eastAsia="en-GB"/>
              </w:rPr>
            </w:pPr>
            <w:r w:rsidRPr="000B4E2C">
              <w:rPr>
                <w:sz w:val="22"/>
                <w:lang w:val="en-GB" w:eastAsia="en-GB"/>
              </w:rPr>
              <w:t>£29,127</w:t>
            </w:r>
          </w:p>
        </w:tc>
        <w:tc>
          <w:tcPr>
            <w:tcW w:w="0" w:type="auto"/>
            <w:shd w:val="clear" w:color="auto" w:fill="auto"/>
            <w:noWrap/>
            <w:vAlign w:val="bottom"/>
            <w:hideMark/>
          </w:tcPr>
          <w:p w14:paraId="7691B701" w14:textId="77777777" w:rsidR="002F0133" w:rsidRPr="000B4E2C" w:rsidRDefault="002F0133" w:rsidP="008A7464">
            <w:pPr>
              <w:jc w:val="right"/>
              <w:rPr>
                <w:color w:val="000000"/>
                <w:sz w:val="22"/>
                <w:lang w:val="en-GB" w:eastAsia="en-GB"/>
              </w:rPr>
            </w:pPr>
            <w:r w:rsidRPr="000B4E2C">
              <w:rPr>
                <w:sz w:val="22"/>
                <w:lang w:val="en-GB" w:eastAsia="en-GB"/>
              </w:rPr>
              <w:t>28.0%</w:t>
            </w:r>
          </w:p>
        </w:tc>
        <w:tc>
          <w:tcPr>
            <w:tcW w:w="0" w:type="auto"/>
            <w:shd w:val="clear" w:color="auto" w:fill="auto"/>
            <w:noWrap/>
            <w:vAlign w:val="bottom"/>
            <w:hideMark/>
          </w:tcPr>
          <w:p w14:paraId="4F268AC9" w14:textId="77777777" w:rsidR="002F0133" w:rsidRPr="000B4E2C" w:rsidRDefault="002F0133" w:rsidP="008A7464">
            <w:pPr>
              <w:jc w:val="right"/>
              <w:rPr>
                <w:sz w:val="22"/>
                <w:lang w:val="en-GB" w:eastAsia="en-GB"/>
              </w:rPr>
            </w:pPr>
            <w:r w:rsidRPr="000B4E2C">
              <w:rPr>
                <w:sz w:val="22"/>
                <w:lang w:val="en-GB" w:eastAsia="en-GB"/>
              </w:rPr>
              <w:t>41.9%</w:t>
            </w:r>
          </w:p>
        </w:tc>
      </w:tr>
      <w:tr w:rsidR="000B4E2C" w:rsidRPr="000B4E2C" w14:paraId="63BB30B2" w14:textId="77777777" w:rsidTr="000B4E2C">
        <w:trPr>
          <w:cantSplit/>
        </w:trPr>
        <w:tc>
          <w:tcPr>
            <w:tcW w:w="0" w:type="auto"/>
            <w:shd w:val="clear" w:color="auto" w:fill="auto"/>
            <w:noWrap/>
            <w:vAlign w:val="bottom"/>
            <w:hideMark/>
          </w:tcPr>
          <w:p w14:paraId="6D0595D4" w14:textId="3FBC62A9" w:rsidR="002F0133" w:rsidRPr="000B4E2C" w:rsidRDefault="002F0133" w:rsidP="008A7464">
            <w:pPr>
              <w:rPr>
                <w:color w:val="000000"/>
                <w:sz w:val="22"/>
                <w:lang w:val="en-GB" w:eastAsia="en-GB"/>
              </w:rPr>
            </w:pPr>
            <w:r w:rsidRPr="000B4E2C">
              <w:rPr>
                <w:sz w:val="22"/>
                <w:lang w:val="en-GB" w:eastAsia="en-GB"/>
              </w:rPr>
              <w:t>Test 4 (NGAL urine</w:t>
            </w:r>
            <w:r w:rsidR="000B4E2C" w:rsidRPr="000B4E2C">
              <w:rPr>
                <w:color w:val="00B0F0"/>
                <w:sz w:val="22"/>
                <w:lang w:val="en-GB" w:eastAsia="en-GB"/>
              </w:rPr>
              <w:t xml:space="preserve"> – </w:t>
            </w:r>
            <w:r w:rsidRPr="000B4E2C">
              <w:rPr>
                <w:sz w:val="22"/>
                <w:lang w:val="en-GB" w:eastAsia="en-GB"/>
              </w:rPr>
              <w:t>ARCHITECT)</w:t>
            </w:r>
          </w:p>
        </w:tc>
        <w:tc>
          <w:tcPr>
            <w:tcW w:w="0" w:type="auto"/>
            <w:shd w:val="clear" w:color="auto" w:fill="auto"/>
            <w:noWrap/>
            <w:vAlign w:val="bottom"/>
            <w:hideMark/>
          </w:tcPr>
          <w:p w14:paraId="0A51D7AF" w14:textId="77777777" w:rsidR="002F0133" w:rsidRPr="000B4E2C" w:rsidRDefault="002F0133" w:rsidP="008A7464">
            <w:pPr>
              <w:jc w:val="right"/>
              <w:rPr>
                <w:color w:val="000000"/>
                <w:sz w:val="22"/>
                <w:lang w:val="en-GB" w:eastAsia="en-GB"/>
              </w:rPr>
            </w:pPr>
            <w:r w:rsidRPr="000B4E2C">
              <w:rPr>
                <w:sz w:val="22"/>
                <w:lang w:val="en-GB" w:eastAsia="en-GB"/>
              </w:rPr>
              <w:t>£22,938</w:t>
            </w:r>
          </w:p>
        </w:tc>
        <w:tc>
          <w:tcPr>
            <w:tcW w:w="0" w:type="auto"/>
            <w:shd w:val="clear" w:color="auto" w:fill="auto"/>
            <w:noWrap/>
            <w:vAlign w:val="bottom"/>
            <w:hideMark/>
          </w:tcPr>
          <w:p w14:paraId="00CC1D2F"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318847ED" w14:textId="77777777" w:rsidR="002F0133" w:rsidRPr="000B4E2C" w:rsidRDefault="002F0133" w:rsidP="008A7464">
            <w:pPr>
              <w:jc w:val="right"/>
              <w:rPr>
                <w:color w:val="000000"/>
                <w:sz w:val="22"/>
                <w:lang w:val="en-GB" w:eastAsia="en-GB"/>
              </w:rPr>
            </w:pPr>
            <w:r w:rsidRPr="000B4E2C">
              <w:rPr>
                <w:sz w:val="22"/>
                <w:lang w:val="en-GB" w:eastAsia="en-GB"/>
              </w:rPr>
              <w:t>6.07380</w:t>
            </w:r>
          </w:p>
        </w:tc>
        <w:tc>
          <w:tcPr>
            <w:tcW w:w="0" w:type="auto"/>
            <w:shd w:val="clear" w:color="auto" w:fill="auto"/>
            <w:noWrap/>
            <w:vAlign w:val="bottom"/>
            <w:hideMark/>
          </w:tcPr>
          <w:p w14:paraId="543C1D40"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213AF08A"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6D2A967A" w14:textId="77777777" w:rsidR="002F0133" w:rsidRPr="000B4E2C" w:rsidRDefault="002F0133" w:rsidP="008A7464">
            <w:pPr>
              <w:jc w:val="right"/>
              <w:rPr>
                <w:color w:val="000000"/>
                <w:sz w:val="22"/>
                <w:lang w:val="en-GB" w:eastAsia="en-GB"/>
              </w:rPr>
            </w:pPr>
            <w:r w:rsidRPr="000B4E2C">
              <w:rPr>
                <w:sz w:val="22"/>
                <w:lang w:val="en-GB" w:eastAsia="en-GB"/>
              </w:rPr>
              <w:t>£120,552</w:t>
            </w:r>
          </w:p>
        </w:tc>
        <w:tc>
          <w:tcPr>
            <w:tcW w:w="0" w:type="auto"/>
            <w:shd w:val="clear" w:color="auto" w:fill="auto"/>
            <w:noWrap/>
            <w:vAlign w:val="bottom"/>
            <w:hideMark/>
          </w:tcPr>
          <w:p w14:paraId="15DBB6F1" w14:textId="77777777" w:rsidR="002F0133" w:rsidRPr="000B4E2C" w:rsidRDefault="002F0133" w:rsidP="008A7464">
            <w:pPr>
              <w:jc w:val="right"/>
              <w:rPr>
                <w:color w:val="000000"/>
                <w:sz w:val="22"/>
                <w:lang w:val="en-GB" w:eastAsia="en-GB"/>
              </w:rPr>
            </w:pPr>
            <w:r w:rsidRPr="000B4E2C">
              <w:rPr>
                <w:sz w:val="22"/>
                <w:lang w:val="en-GB" w:eastAsia="en-GB"/>
              </w:rPr>
              <w:t>0.0%</w:t>
            </w:r>
          </w:p>
        </w:tc>
        <w:tc>
          <w:tcPr>
            <w:tcW w:w="0" w:type="auto"/>
            <w:shd w:val="clear" w:color="auto" w:fill="auto"/>
            <w:noWrap/>
            <w:vAlign w:val="bottom"/>
            <w:hideMark/>
          </w:tcPr>
          <w:p w14:paraId="2905EF54" w14:textId="77777777" w:rsidR="002F0133" w:rsidRPr="000B4E2C" w:rsidRDefault="002F0133" w:rsidP="008A7464">
            <w:pPr>
              <w:jc w:val="right"/>
              <w:rPr>
                <w:sz w:val="22"/>
                <w:lang w:val="en-GB" w:eastAsia="en-GB"/>
              </w:rPr>
            </w:pPr>
            <w:r w:rsidRPr="000B4E2C">
              <w:rPr>
                <w:sz w:val="22"/>
                <w:lang w:val="en-GB" w:eastAsia="en-GB"/>
              </w:rPr>
              <w:t>30.1%</w:t>
            </w:r>
          </w:p>
        </w:tc>
      </w:tr>
      <w:tr w:rsidR="000B4E2C" w:rsidRPr="000B4E2C" w14:paraId="6F77B9A1" w14:textId="77777777" w:rsidTr="000B4E2C">
        <w:trPr>
          <w:cantSplit/>
        </w:trPr>
        <w:tc>
          <w:tcPr>
            <w:tcW w:w="0" w:type="auto"/>
            <w:shd w:val="clear" w:color="auto" w:fill="auto"/>
            <w:noWrap/>
            <w:vAlign w:val="bottom"/>
            <w:hideMark/>
          </w:tcPr>
          <w:p w14:paraId="1F480BEF" w14:textId="77777777" w:rsidR="002F0133" w:rsidRPr="000B4E2C" w:rsidRDefault="002F0133" w:rsidP="008A7464">
            <w:pPr>
              <w:rPr>
                <w:color w:val="000000"/>
                <w:sz w:val="22"/>
                <w:lang w:val="en-GB" w:eastAsia="en-GB"/>
              </w:rPr>
            </w:pPr>
            <w:r w:rsidRPr="000B4E2C">
              <w:rPr>
                <w:sz w:val="22"/>
                <w:lang w:val="en-GB" w:eastAsia="en-GB"/>
              </w:rPr>
              <w:t>Test 1 (Nephrocheck)</w:t>
            </w:r>
          </w:p>
        </w:tc>
        <w:tc>
          <w:tcPr>
            <w:tcW w:w="0" w:type="auto"/>
            <w:shd w:val="clear" w:color="auto" w:fill="auto"/>
            <w:noWrap/>
            <w:vAlign w:val="bottom"/>
            <w:hideMark/>
          </w:tcPr>
          <w:p w14:paraId="29FE9F8D" w14:textId="77777777" w:rsidR="002F0133" w:rsidRPr="000B4E2C" w:rsidRDefault="002F0133" w:rsidP="008A7464">
            <w:pPr>
              <w:jc w:val="right"/>
              <w:rPr>
                <w:color w:val="000000"/>
                <w:sz w:val="22"/>
                <w:lang w:val="en-GB" w:eastAsia="en-GB"/>
              </w:rPr>
            </w:pPr>
            <w:r w:rsidRPr="000B4E2C">
              <w:rPr>
                <w:sz w:val="22"/>
                <w:lang w:val="en-GB" w:eastAsia="en-GB"/>
              </w:rPr>
              <w:t>£22,984</w:t>
            </w:r>
          </w:p>
        </w:tc>
        <w:tc>
          <w:tcPr>
            <w:tcW w:w="0" w:type="auto"/>
            <w:shd w:val="clear" w:color="auto" w:fill="auto"/>
            <w:noWrap/>
            <w:vAlign w:val="bottom"/>
            <w:hideMark/>
          </w:tcPr>
          <w:p w14:paraId="283BA1E4"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12BE6E1D" w14:textId="77777777" w:rsidR="002F0133" w:rsidRPr="000B4E2C" w:rsidRDefault="002F0133" w:rsidP="008A7464">
            <w:pPr>
              <w:jc w:val="right"/>
              <w:rPr>
                <w:color w:val="000000"/>
                <w:sz w:val="22"/>
                <w:lang w:val="en-GB" w:eastAsia="en-GB"/>
              </w:rPr>
            </w:pPr>
            <w:r w:rsidRPr="000B4E2C">
              <w:rPr>
                <w:sz w:val="22"/>
                <w:lang w:val="en-GB" w:eastAsia="en-GB"/>
              </w:rPr>
              <w:t>6.07373</w:t>
            </w:r>
          </w:p>
        </w:tc>
        <w:tc>
          <w:tcPr>
            <w:tcW w:w="0" w:type="auto"/>
            <w:shd w:val="clear" w:color="auto" w:fill="auto"/>
            <w:noWrap/>
            <w:vAlign w:val="bottom"/>
            <w:hideMark/>
          </w:tcPr>
          <w:p w14:paraId="2E93108C"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5AEEA5AC"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10569705" w14:textId="77777777" w:rsidR="002F0133" w:rsidRPr="000B4E2C" w:rsidRDefault="002F0133" w:rsidP="008A7464">
            <w:pPr>
              <w:jc w:val="right"/>
              <w:rPr>
                <w:color w:val="000000"/>
                <w:sz w:val="22"/>
                <w:lang w:val="en-GB" w:eastAsia="en-GB"/>
              </w:rPr>
            </w:pPr>
            <w:r w:rsidRPr="000B4E2C">
              <w:rPr>
                <w:sz w:val="22"/>
                <w:lang w:val="en-GB" w:eastAsia="en-GB"/>
              </w:rPr>
              <w:t>£484,944</w:t>
            </w:r>
          </w:p>
        </w:tc>
        <w:tc>
          <w:tcPr>
            <w:tcW w:w="0" w:type="auto"/>
            <w:shd w:val="clear" w:color="auto" w:fill="auto"/>
            <w:noWrap/>
            <w:vAlign w:val="bottom"/>
            <w:hideMark/>
          </w:tcPr>
          <w:p w14:paraId="64EC64FE" w14:textId="77777777" w:rsidR="002F0133" w:rsidRPr="000B4E2C" w:rsidRDefault="002F0133" w:rsidP="008A7464">
            <w:pPr>
              <w:jc w:val="right"/>
              <w:rPr>
                <w:color w:val="000000"/>
                <w:sz w:val="22"/>
                <w:lang w:val="en-GB" w:eastAsia="en-GB"/>
              </w:rPr>
            </w:pPr>
            <w:r w:rsidRPr="000B4E2C">
              <w:rPr>
                <w:sz w:val="22"/>
                <w:lang w:val="en-GB" w:eastAsia="en-GB"/>
              </w:rPr>
              <w:t>0.0%</w:t>
            </w:r>
          </w:p>
        </w:tc>
        <w:tc>
          <w:tcPr>
            <w:tcW w:w="0" w:type="auto"/>
            <w:shd w:val="clear" w:color="auto" w:fill="auto"/>
            <w:noWrap/>
            <w:vAlign w:val="bottom"/>
            <w:hideMark/>
          </w:tcPr>
          <w:p w14:paraId="5BEB5DBB" w14:textId="77777777" w:rsidR="002F0133" w:rsidRPr="000B4E2C" w:rsidRDefault="002F0133" w:rsidP="008A7464">
            <w:pPr>
              <w:jc w:val="right"/>
              <w:rPr>
                <w:sz w:val="22"/>
                <w:lang w:val="en-GB" w:eastAsia="en-GB"/>
              </w:rPr>
            </w:pPr>
            <w:r w:rsidRPr="000B4E2C">
              <w:rPr>
                <w:sz w:val="22"/>
                <w:lang w:val="en-GB" w:eastAsia="en-GB"/>
              </w:rPr>
              <w:t>9.6%</w:t>
            </w:r>
          </w:p>
        </w:tc>
      </w:tr>
      <w:tr w:rsidR="002F0133" w:rsidRPr="000B4E2C" w14:paraId="67FF4FCF" w14:textId="77777777" w:rsidTr="000B4E2C">
        <w:trPr>
          <w:cantSplit/>
        </w:trPr>
        <w:tc>
          <w:tcPr>
            <w:tcW w:w="0" w:type="auto"/>
            <w:gridSpan w:val="9"/>
            <w:shd w:val="clear" w:color="auto" w:fill="auto"/>
            <w:noWrap/>
            <w:vAlign w:val="bottom"/>
            <w:hideMark/>
          </w:tcPr>
          <w:p w14:paraId="5F194880" w14:textId="77777777" w:rsidR="002F0133" w:rsidRPr="000B4E2C" w:rsidRDefault="002F0133" w:rsidP="008A7464">
            <w:pPr>
              <w:rPr>
                <w:b/>
                <w:bCs/>
                <w:sz w:val="22"/>
                <w:lang w:val="en-GB" w:eastAsia="en-GB"/>
              </w:rPr>
            </w:pPr>
            <w:r w:rsidRPr="000B4E2C">
              <w:rPr>
                <w:b/>
                <w:bCs/>
                <w:sz w:val="22"/>
                <w:lang w:val="en-GB" w:eastAsia="en-GB"/>
              </w:rPr>
              <w:t>Post cardiac surgery subgroup (applied to scenario 6)</w:t>
            </w:r>
          </w:p>
        </w:tc>
      </w:tr>
      <w:tr w:rsidR="000B4E2C" w:rsidRPr="000B4E2C" w14:paraId="015868D7" w14:textId="77777777" w:rsidTr="000B4E2C">
        <w:trPr>
          <w:cantSplit/>
        </w:trPr>
        <w:tc>
          <w:tcPr>
            <w:tcW w:w="0" w:type="auto"/>
            <w:shd w:val="clear" w:color="auto" w:fill="auto"/>
            <w:noWrap/>
            <w:vAlign w:val="bottom"/>
            <w:hideMark/>
          </w:tcPr>
          <w:p w14:paraId="48A594F6" w14:textId="77777777" w:rsidR="002F0133" w:rsidRPr="000B4E2C" w:rsidRDefault="002F0133" w:rsidP="008A7464">
            <w:pPr>
              <w:rPr>
                <w:color w:val="000000"/>
                <w:sz w:val="22"/>
                <w:lang w:val="en-GB" w:eastAsia="en-GB"/>
              </w:rPr>
            </w:pPr>
            <w:r w:rsidRPr="000B4E2C">
              <w:rPr>
                <w:sz w:val="22"/>
                <w:lang w:val="en-GB" w:eastAsia="en-GB"/>
              </w:rPr>
              <w:t>Standard care (Scr)</w:t>
            </w:r>
          </w:p>
        </w:tc>
        <w:tc>
          <w:tcPr>
            <w:tcW w:w="0" w:type="auto"/>
            <w:shd w:val="clear" w:color="auto" w:fill="auto"/>
            <w:noWrap/>
            <w:vAlign w:val="bottom"/>
            <w:hideMark/>
          </w:tcPr>
          <w:p w14:paraId="13507644" w14:textId="77777777" w:rsidR="002F0133" w:rsidRPr="000B4E2C" w:rsidRDefault="002F0133" w:rsidP="008A7464">
            <w:pPr>
              <w:jc w:val="right"/>
              <w:rPr>
                <w:color w:val="000000"/>
                <w:sz w:val="22"/>
                <w:lang w:val="en-GB" w:eastAsia="en-GB"/>
              </w:rPr>
            </w:pPr>
            <w:r w:rsidRPr="000B4E2C">
              <w:rPr>
                <w:sz w:val="22"/>
                <w:lang w:val="en-GB" w:eastAsia="en-GB"/>
              </w:rPr>
              <w:t>£22,983</w:t>
            </w:r>
          </w:p>
        </w:tc>
        <w:tc>
          <w:tcPr>
            <w:tcW w:w="0" w:type="auto"/>
            <w:shd w:val="clear" w:color="auto" w:fill="auto"/>
            <w:noWrap/>
            <w:vAlign w:val="bottom"/>
            <w:hideMark/>
          </w:tcPr>
          <w:p w14:paraId="10D5BA77" w14:textId="2DBF1B8C" w:rsidR="002F0133" w:rsidRPr="000B4E2C" w:rsidRDefault="000B4E2C" w:rsidP="008A7464">
            <w:pPr>
              <w:jc w:val="right"/>
              <w:rPr>
                <w:color w:val="000000"/>
                <w:sz w:val="22"/>
                <w:lang w:val="en-GB" w:eastAsia="en-GB"/>
              </w:rPr>
            </w:pPr>
            <w:r w:rsidRPr="000B4E2C">
              <w:rPr>
                <w:sz w:val="22"/>
                <w:lang w:val="en-GB" w:eastAsia="en-GB"/>
              </w:rPr>
              <w:t xml:space="preserve"> </w:t>
            </w:r>
          </w:p>
        </w:tc>
        <w:tc>
          <w:tcPr>
            <w:tcW w:w="0" w:type="auto"/>
            <w:shd w:val="clear" w:color="auto" w:fill="auto"/>
            <w:noWrap/>
            <w:vAlign w:val="bottom"/>
            <w:hideMark/>
          </w:tcPr>
          <w:p w14:paraId="725F1DB3" w14:textId="77777777" w:rsidR="002F0133" w:rsidRPr="000B4E2C" w:rsidRDefault="002F0133" w:rsidP="008A7464">
            <w:pPr>
              <w:jc w:val="right"/>
              <w:rPr>
                <w:color w:val="000000"/>
                <w:sz w:val="22"/>
                <w:lang w:val="en-GB" w:eastAsia="en-GB"/>
              </w:rPr>
            </w:pPr>
            <w:r w:rsidRPr="000B4E2C">
              <w:rPr>
                <w:sz w:val="22"/>
                <w:lang w:val="en-GB" w:eastAsia="en-GB"/>
              </w:rPr>
              <w:t>6.07043</w:t>
            </w:r>
          </w:p>
        </w:tc>
        <w:tc>
          <w:tcPr>
            <w:tcW w:w="0" w:type="auto"/>
            <w:shd w:val="clear" w:color="auto" w:fill="auto"/>
            <w:noWrap/>
            <w:vAlign w:val="bottom"/>
            <w:hideMark/>
          </w:tcPr>
          <w:p w14:paraId="46035E41" w14:textId="21BFA8E5" w:rsidR="002F0133" w:rsidRPr="000B4E2C" w:rsidRDefault="000B4E2C" w:rsidP="008A7464">
            <w:pPr>
              <w:jc w:val="right"/>
              <w:rPr>
                <w:color w:val="000000"/>
                <w:sz w:val="22"/>
                <w:lang w:val="en-GB" w:eastAsia="en-GB"/>
              </w:rPr>
            </w:pPr>
            <w:r w:rsidRPr="000B4E2C">
              <w:rPr>
                <w:sz w:val="22"/>
                <w:lang w:val="en-GB" w:eastAsia="en-GB"/>
              </w:rPr>
              <w:t xml:space="preserve"> </w:t>
            </w:r>
          </w:p>
        </w:tc>
        <w:tc>
          <w:tcPr>
            <w:tcW w:w="0" w:type="auto"/>
            <w:shd w:val="clear" w:color="auto" w:fill="auto"/>
            <w:noWrap/>
            <w:vAlign w:val="bottom"/>
            <w:hideMark/>
          </w:tcPr>
          <w:p w14:paraId="0A43B1C4" w14:textId="4C05516A" w:rsidR="002F0133" w:rsidRPr="000B4E2C" w:rsidRDefault="000B4E2C" w:rsidP="008A7464">
            <w:pPr>
              <w:jc w:val="right"/>
              <w:rPr>
                <w:color w:val="000000"/>
                <w:sz w:val="22"/>
                <w:lang w:val="en-GB" w:eastAsia="en-GB"/>
              </w:rPr>
            </w:pPr>
            <w:r w:rsidRPr="000B4E2C">
              <w:rPr>
                <w:sz w:val="22"/>
                <w:lang w:val="en-GB" w:eastAsia="en-GB"/>
              </w:rPr>
              <w:t xml:space="preserve"> </w:t>
            </w:r>
          </w:p>
        </w:tc>
        <w:tc>
          <w:tcPr>
            <w:tcW w:w="0" w:type="auto"/>
            <w:shd w:val="clear" w:color="auto" w:fill="auto"/>
            <w:noWrap/>
            <w:vAlign w:val="bottom"/>
            <w:hideMark/>
          </w:tcPr>
          <w:p w14:paraId="620770FC" w14:textId="44664D43" w:rsidR="002F0133" w:rsidRPr="000B4E2C" w:rsidRDefault="000B4E2C" w:rsidP="008A7464">
            <w:pPr>
              <w:jc w:val="right"/>
              <w:rPr>
                <w:color w:val="000000"/>
                <w:sz w:val="22"/>
                <w:lang w:val="en-GB" w:eastAsia="en-GB"/>
              </w:rPr>
            </w:pPr>
            <w:r w:rsidRPr="000B4E2C">
              <w:rPr>
                <w:sz w:val="22"/>
                <w:lang w:val="en-GB" w:eastAsia="en-GB"/>
              </w:rPr>
              <w:t xml:space="preserve"> </w:t>
            </w:r>
          </w:p>
        </w:tc>
        <w:tc>
          <w:tcPr>
            <w:tcW w:w="0" w:type="auto"/>
            <w:shd w:val="clear" w:color="auto" w:fill="auto"/>
            <w:noWrap/>
            <w:vAlign w:val="bottom"/>
            <w:hideMark/>
          </w:tcPr>
          <w:p w14:paraId="52866A02" w14:textId="77777777" w:rsidR="002F0133" w:rsidRPr="000B4E2C" w:rsidRDefault="002F0133" w:rsidP="008A7464">
            <w:pPr>
              <w:jc w:val="right"/>
              <w:rPr>
                <w:color w:val="000000"/>
                <w:sz w:val="22"/>
                <w:lang w:val="en-GB" w:eastAsia="en-GB"/>
              </w:rPr>
            </w:pPr>
            <w:r w:rsidRPr="000B4E2C">
              <w:rPr>
                <w:sz w:val="22"/>
                <w:lang w:val="en-GB" w:eastAsia="en-GB"/>
              </w:rPr>
              <w:t>85.6%</w:t>
            </w:r>
          </w:p>
        </w:tc>
        <w:tc>
          <w:tcPr>
            <w:tcW w:w="0" w:type="auto"/>
            <w:shd w:val="clear" w:color="auto" w:fill="auto"/>
            <w:noWrap/>
            <w:vAlign w:val="bottom"/>
            <w:hideMark/>
          </w:tcPr>
          <w:p w14:paraId="099DAF3D" w14:textId="079308F1" w:rsidR="002F0133" w:rsidRPr="000B4E2C" w:rsidRDefault="000B4E2C" w:rsidP="008A7464">
            <w:pPr>
              <w:jc w:val="right"/>
              <w:rPr>
                <w:sz w:val="22"/>
                <w:lang w:val="en-GB" w:eastAsia="en-GB"/>
              </w:rPr>
            </w:pPr>
            <w:r w:rsidRPr="000B4E2C">
              <w:rPr>
                <w:sz w:val="22"/>
                <w:lang w:val="en-GB" w:eastAsia="en-GB"/>
              </w:rPr>
              <w:t xml:space="preserve"> </w:t>
            </w:r>
          </w:p>
        </w:tc>
      </w:tr>
      <w:tr w:rsidR="000B4E2C" w:rsidRPr="000B4E2C" w14:paraId="5C75C1C7" w14:textId="77777777" w:rsidTr="000B4E2C">
        <w:trPr>
          <w:cantSplit/>
        </w:trPr>
        <w:tc>
          <w:tcPr>
            <w:tcW w:w="0" w:type="auto"/>
            <w:shd w:val="clear" w:color="auto" w:fill="auto"/>
            <w:noWrap/>
            <w:vAlign w:val="bottom"/>
            <w:hideMark/>
          </w:tcPr>
          <w:p w14:paraId="37BAC3FE" w14:textId="5CD17DE7" w:rsidR="002F0133" w:rsidRPr="000B4E2C" w:rsidRDefault="002F0133" w:rsidP="008A7464">
            <w:pPr>
              <w:rPr>
                <w:color w:val="000000"/>
                <w:sz w:val="22"/>
                <w:lang w:val="en-GB" w:eastAsia="en-GB"/>
              </w:rPr>
            </w:pPr>
            <w:r w:rsidRPr="000B4E2C">
              <w:rPr>
                <w:sz w:val="22"/>
                <w:lang w:val="en-GB" w:eastAsia="en-GB"/>
              </w:rPr>
              <w:t>Test 2 (NGAL plasma</w:t>
            </w:r>
            <w:r w:rsidR="000B4E2C" w:rsidRPr="000B4E2C">
              <w:rPr>
                <w:color w:val="00B0F0"/>
                <w:sz w:val="22"/>
                <w:lang w:val="en-GB" w:eastAsia="en-GB"/>
              </w:rPr>
              <w:t xml:space="preserve"> – </w:t>
            </w:r>
            <w:r w:rsidR="009D7F5A" w:rsidRPr="000B4E2C">
              <w:rPr>
                <w:sz w:val="22"/>
                <w:lang w:val="en-GB" w:eastAsia="en-GB"/>
              </w:rPr>
              <w:t>BioPorto</w:t>
            </w:r>
            <w:r w:rsidRPr="000B4E2C">
              <w:rPr>
                <w:sz w:val="22"/>
                <w:lang w:val="en-GB" w:eastAsia="en-GB"/>
              </w:rPr>
              <w:t>)</w:t>
            </w:r>
          </w:p>
        </w:tc>
        <w:tc>
          <w:tcPr>
            <w:tcW w:w="0" w:type="auto"/>
            <w:shd w:val="clear" w:color="auto" w:fill="auto"/>
            <w:noWrap/>
            <w:vAlign w:val="bottom"/>
            <w:hideMark/>
          </w:tcPr>
          <w:p w14:paraId="12FDB07C" w14:textId="77777777" w:rsidR="002F0133" w:rsidRPr="000B4E2C" w:rsidRDefault="002F0133" w:rsidP="008A7464">
            <w:pPr>
              <w:jc w:val="right"/>
              <w:rPr>
                <w:color w:val="000000"/>
                <w:sz w:val="22"/>
                <w:lang w:val="en-GB" w:eastAsia="en-GB"/>
              </w:rPr>
            </w:pPr>
            <w:r w:rsidRPr="000B4E2C">
              <w:rPr>
                <w:sz w:val="22"/>
                <w:lang w:val="en-GB" w:eastAsia="en-GB"/>
              </w:rPr>
              <w:t>£23,055</w:t>
            </w:r>
          </w:p>
        </w:tc>
        <w:tc>
          <w:tcPr>
            <w:tcW w:w="0" w:type="auto"/>
            <w:shd w:val="clear" w:color="auto" w:fill="auto"/>
            <w:noWrap/>
            <w:vAlign w:val="bottom"/>
            <w:hideMark/>
          </w:tcPr>
          <w:p w14:paraId="29682F62" w14:textId="77777777" w:rsidR="002F0133" w:rsidRPr="000B4E2C" w:rsidRDefault="002F0133" w:rsidP="008A7464">
            <w:pPr>
              <w:rPr>
                <w:color w:val="000000"/>
                <w:sz w:val="22"/>
                <w:lang w:val="en-GB" w:eastAsia="en-GB"/>
              </w:rPr>
            </w:pPr>
            <w:r w:rsidRPr="000B4E2C">
              <w:rPr>
                <w:sz w:val="22"/>
                <w:lang w:val="en-GB" w:eastAsia="en-GB"/>
              </w:rPr>
              <w:t>Ext Dom</w:t>
            </w:r>
          </w:p>
        </w:tc>
        <w:tc>
          <w:tcPr>
            <w:tcW w:w="0" w:type="auto"/>
            <w:shd w:val="clear" w:color="auto" w:fill="auto"/>
            <w:noWrap/>
            <w:vAlign w:val="bottom"/>
            <w:hideMark/>
          </w:tcPr>
          <w:p w14:paraId="1CEE8E22" w14:textId="77777777" w:rsidR="002F0133" w:rsidRPr="000B4E2C" w:rsidRDefault="002F0133" w:rsidP="008A7464">
            <w:pPr>
              <w:jc w:val="right"/>
              <w:rPr>
                <w:color w:val="000000"/>
                <w:sz w:val="22"/>
                <w:lang w:val="en-GB" w:eastAsia="en-GB"/>
              </w:rPr>
            </w:pPr>
            <w:r w:rsidRPr="000B4E2C">
              <w:rPr>
                <w:sz w:val="22"/>
                <w:lang w:val="en-GB" w:eastAsia="en-GB"/>
              </w:rPr>
              <w:t>6.07054</w:t>
            </w:r>
          </w:p>
        </w:tc>
        <w:tc>
          <w:tcPr>
            <w:tcW w:w="0" w:type="auto"/>
            <w:shd w:val="clear" w:color="auto" w:fill="auto"/>
            <w:noWrap/>
            <w:vAlign w:val="bottom"/>
            <w:hideMark/>
          </w:tcPr>
          <w:p w14:paraId="06CF656D" w14:textId="77777777" w:rsidR="002F0133" w:rsidRPr="000B4E2C" w:rsidRDefault="002F0133" w:rsidP="008A7464">
            <w:pPr>
              <w:rPr>
                <w:color w:val="000000"/>
                <w:sz w:val="22"/>
                <w:lang w:val="en-GB" w:eastAsia="en-GB"/>
              </w:rPr>
            </w:pPr>
            <w:r w:rsidRPr="000B4E2C">
              <w:rPr>
                <w:sz w:val="22"/>
                <w:lang w:val="en-GB" w:eastAsia="en-GB"/>
              </w:rPr>
              <w:t>Ext Dom</w:t>
            </w:r>
          </w:p>
        </w:tc>
        <w:tc>
          <w:tcPr>
            <w:tcW w:w="0" w:type="auto"/>
            <w:shd w:val="clear" w:color="auto" w:fill="auto"/>
            <w:noWrap/>
            <w:vAlign w:val="bottom"/>
            <w:hideMark/>
          </w:tcPr>
          <w:p w14:paraId="5D72CD7A" w14:textId="77777777" w:rsidR="002F0133" w:rsidRPr="000B4E2C" w:rsidRDefault="002F0133" w:rsidP="008A7464">
            <w:pPr>
              <w:rPr>
                <w:color w:val="000000"/>
                <w:sz w:val="22"/>
                <w:lang w:val="en-GB" w:eastAsia="en-GB"/>
              </w:rPr>
            </w:pPr>
            <w:r w:rsidRPr="000B4E2C">
              <w:rPr>
                <w:sz w:val="22"/>
                <w:lang w:val="en-GB" w:eastAsia="en-GB"/>
              </w:rPr>
              <w:t>Ext Dom</w:t>
            </w:r>
          </w:p>
        </w:tc>
        <w:tc>
          <w:tcPr>
            <w:tcW w:w="0" w:type="auto"/>
            <w:shd w:val="clear" w:color="auto" w:fill="auto"/>
            <w:noWrap/>
            <w:vAlign w:val="bottom"/>
            <w:hideMark/>
          </w:tcPr>
          <w:p w14:paraId="1841BB15" w14:textId="77777777" w:rsidR="002F0133" w:rsidRPr="000B4E2C" w:rsidRDefault="002F0133" w:rsidP="008A7464">
            <w:pPr>
              <w:jc w:val="right"/>
              <w:rPr>
                <w:color w:val="000000"/>
                <w:sz w:val="22"/>
                <w:lang w:val="en-GB" w:eastAsia="en-GB"/>
              </w:rPr>
            </w:pPr>
            <w:r w:rsidRPr="000B4E2C">
              <w:rPr>
                <w:sz w:val="22"/>
                <w:lang w:val="en-GB" w:eastAsia="en-GB"/>
              </w:rPr>
              <w:t>£679,042</w:t>
            </w:r>
          </w:p>
        </w:tc>
        <w:tc>
          <w:tcPr>
            <w:tcW w:w="0" w:type="auto"/>
            <w:shd w:val="clear" w:color="auto" w:fill="auto"/>
            <w:noWrap/>
            <w:vAlign w:val="bottom"/>
            <w:hideMark/>
          </w:tcPr>
          <w:p w14:paraId="2CB2CE7A" w14:textId="77777777" w:rsidR="002F0133" w:rsidRPr="000B4E2C" w:rsidRDefault="002F0133" w:rsidP="008A7464">
            <w:pPr>
              <w:jc w:val="right"/>
              <w:rPr>
                <w:color w:val="000000"/>
                <w:sz w:val="22"/>
                <w:lang w:val="en-GB" w:eastAsia="en-GB"/>
              </w:rPr>
            </w:pPr>
            <w:r w:rsidRPr="000B4E2C">
              <w:rPr>
                <w:sz w:val="22"/>
                <w:lang w:val="en-GB" w:eastAsia="en-GB"/>
              </w:rPr>
              <w:t>3.8%</w:t>
            </w:r>
          </w:p>
        </w:tc>
        <w:tc>
          <w:tcPr>
            <w:tcW w:w="0" w:type="auto"/>
            <w:shd w:val="clear" w:color="auto" w:fill="auto"/>
            <w:noWrap/>
            <w:vAlign w:val="bottom"/>
            <w:hideMark/>
          </w:tcPr>
          <w:p w14:paraId="62A7DA7C" w14:textId="77777777" w:rsidR="002F0133" w:rsidRPr="000B4E2C" w:rsidRDefault="002F0133" w:rsidP="008A7464">
            <w:pPr>
              <w:jc w:val="right"/>
              <w:rPr>
                <w:sz w:val="22"/>
                <w:lang w:val="en-GB" w:eastAsia="en-GB"/>
              </w:rPr>
            </w:pPr>
            <w:r w:rsidRPr="000B4E2C">
              <w:rPr>
                <w:sz w:val="22"/>
                <w:lang w:val="en-GB" w:eastAsia="en-GB"/>
              </w:rPr>
              <w:t>8.4%</w:t>
            </w:r>
          </w:p>
        </w:tc>
      </w:tr>
      <w:tr w:rsidR="000B4E2C" w:rsidRPr="000B4E2C" w14:paraId="0CD488DC" w14:textId="77777777" w:rsidTr="000B4E2C">
        <w:trPr>
          <w:cantSplit/>
        </w:trPr>
        <w:tc>
          <w:tcPr>
            <w:tcW w:w="0" w:type="auto"/>
            <w:shd w:val="clear" w:color="auto" w:fill="auto"/>
            <w:noWrap/>
            <w:vAlign w:val="bottom"/>
            <w:hideMark/>
          </w:tcPr>
          <w:p w14:paraId="2C97DD5D" w14:textId="77777777" w:rsidR="002F0133" w:rsidRPr="000B4E2C" w:rsidRDefault="002F0133" w:rsidP="008A7464">
            <w:pPr>
              <w:rPr>
                <w:color w:val="000000"/>
                <w:sz w:val="22"/>
                <w:lang w:val="en-GB" w:eastAsia="en-GB"/>
              </w:rPr>
            </w:pPr>
            <w:r w:rsidRPr="000B4E2C">
              <w:rPr>
                <w:sz w:val="22"/>
                <w:lang w:val="en-GB" w:eastAsia="en-GB"/>
              </w:rPr>
              <w:t>Test 1 (Nephrocheck)</w:t>
            </w:r>
          </w:p>
        </w:tc>
        <w:tc>
          <w:tcPr>
            <w:tcW w:w="0" w:type="auto"/>
            <w:shd w:val="clear" w:color="auto" w:fill="auto"/>
            <w:noWrap/>
            <w:vAlign w:val="bottom"/>
            <w:hideMark/>
          </w:tcPr>
          <w:p w14:paraId="59140C1B" w14:textId="77777777" w:rsidR="002F0133" w:rsidRPr="000B4E2C" w:rsidRDefault="002F0133" w:rsidP="008A7464">
            <w:pPr>
              <w:jc w:val="right"/>
              <w:rPr>
                <w:color w:val="000000"/>
                <w:sz w:val="22"/>
                <w:lang w:val="en-GB" w:eastAsia="en-GB"/>
              </w:rPr>
            </w:pPr>
            <w:r w:rsidRPr="000B4E2C">
              <w:rPr>
                <w:sz w:val="22"/>
                <w:lang w:val="en-GB" w:eastAsia="en-GB"/>
              </w:rPr>
              <w:t>£23,057</w:t>
            </w:r>
          </w:p>
        </w:tc>
        <w:tc>
          <w:tcPr>
            <w:tcW w:w="0" w:type="auto"/>
            <w:shd w:val="clear" w:color="auto" w:fill="auto"/>
            <w:noWrap/>
            <w:vAlign w:val="bottom"/>
            <w:hideMark/>
          </w:tcPr>
          <w:p w14:paraId="7121410C" w14:textId="77777777" w:rsidR="002F0133" w:rsidRPr="000B4E2C" w:rsidRDefault="002F0133" w:rsidP="008A7464">
            <w:pPr>
              <w:jc w:val="right"/>
              <w:rPr>
                <w:color w:val="000000"/>
                <w:sz w:val="22"/>
                <w:lang w:val="en-GB" w:eastAsia="en-GB"/>
              </w:rPr>
            </w:pPr>
            <w:r w:rsidRPr="000B4E2C">
              <w:rPr>
                <w:sz w:val="22"/>
                <w:lang w:val="en-GB" w:eastAsia="en-GB"/>
              </w:rPr>
              <w:t>£74</w:t>
            </w:r>
          </w:p>
        </w:tc>
        <w:tc>
          <w:tcPr>
            <w:tcW w:w="0" w:type="auto"/>
            <w:shd w:val="clear" w:color="auto" w:fill="auto"/>
            <w:noWrap/>
            <w:vAlign w:val="bottom"/>
            <w:hideMark/>
          </w:tcPr>
          <w:p w14:paraId="23C95003" w14:textId="77777777" w:rsidR="002F0133" w:rsidRPr="000B4E2C" w:rsidRDefault="002F0133" w:rsidP="008A7464">
            <w:pPr>
              <w:jc w:val="right"/>
              <w:rPr>
                <w:color w:val="000000"/>
                <w:sz w:val="22"/>
                <w:lang w:val="en-GB" w:eastAsia="en-GB"/>
              </w:rPr>
            </w:pPr>
            <w:r w:rsidRPr="000B4E2C">
              <w:rPr>
                <w:sz w:val="22"/>
                <w:lang w:val="en-GB" w:eastAsia="en-GB"/>
              </w:rPr>
              <w:t>6.07059</w:t>
            </w:r>
          </w:p>
        </w:tc>
        <w:tc>
          <w:tcPr>
            <w:tcW w:w="0" w:type="auto"/>
            <w:shd w:val="clear" w:color="auto" w:fill="auto"/>
            <w:noWrap/>
            <w:vAlign w:val="bottom"/>
            <w:hideMark/>
          </w:tcPr>
          <w:p w14:paraId="7D0F573B" w14:textId="77777777" w:rsidR="002F0133" w:rsidRPr="000B4E2C" w:rsidRDefault="002F0133" w:rsidP="008A7464">
            <w:pPr>
              <w:jc w:val="right"/>
              <w:rPr>
                <w:color w:val="000000"/>
                <w:sz w:val="22"/>
                <w:lang w:val="en-GB" w:eastAsia="en-GB"/>
              </w:rPr>
            </w:pPr>
            <w:r w:rsidRPr="000B4E2C">
              <w:rPr>
                <w:sz w:val="22"/>
                <w:lang w:val="en-GB" w:eastAsia="en-GB"/>
              </w:rPr>
              <w:t>0.00016</w:t>
            </w:r>
          </w:p>
        </w:tc>
        <w:tc>
          <w:tcPr>
            <w:tcW w:w="0" w:type="auto"/>
            <w:shd w:val="clear" w:color="auto" w:fill="auto"/>
            <w:noWrap/>
            <w:vAlign w:val="bottom"/>
            <w:hideMark/>
          </w:tcPr>
          <w:p w14:paraId="509271F6" w14:textId="77777777" w:rsidR="002F0133" w:rsidRPr="000B4E2C" w:rsidRDefault="002F0133" w:rsidP="008A7464">
            <w:pPr>
              <w:jc w:val="right"/>
              <w:rPr>
                <w:color w:val="000000"/>
                <w:sz w:val="22"/>
                <w:lang w:val="en-GB" w:eastAsia="en-GB"/>
              </w:rPr>
            </w:pPr>
            <w:r w:rsidRPr="000B4E2C">
              <w:rPr>
                <w:sz w:val="22"/>
                <w:lang w:val="en-GB" w:eastAsia="en-GB"/>
              </w:rPr>
              <w:t>£465,544</w:t>
            </w:r>
          </w:p>
        </w:tc>
        <w:tc>
          <w:tcPr>
            <w:tcW w:w="0" w:type="auto"/>
            <w:shd w:val="clear" w:color="auto" w:fill="auto"/>
            <w:noWrap/>
            <w:vAlign w:val="bottom"/>
            <w:hideMark/>
          </w:tcPr>
          <w:p w14:paraId="1D2ACA34" w14:textId="77777777" w:rsidR="002F0133" w:rsidRPr="000B4E2C" w:rsidRDefault="002F0133" w:rsidP="008A7464">
            <w:pPr>
              <w:jc w:val="right"/>
              <w:rPr>
                <w:color w:val="000000"/>
                <w:sz w:val="22"/>
                <w:lang w:val="en-GB" w:eastAsia="en-GB"/>
              </w:rPr>
            </w:pPr>
            <w:r w:rsidRPr="000B4E2C">
              <w:rPr>
                <w:sz w:val="22"/>
                <w:lang w:val="en-GB" w:eastAsia="en-GB"/>
              </w:rPr>
              <w:t>£465,544</w:t>
            </w:r>
          </w:p>
        </w:tc>
        <w:tc>
          <w:tcPr>
            <w:tcW w:w="0" w:type="auto"/>
            <w:shd w:val="clear" w:color="auto" w:fill="auto"/>
            <w:noWrap/>
            <w:vAlign w:val="bottom"/>
            <w:hideMark/>
          </w:tcPr>
          <w:p w14:paraId="0D9BEC95" w14:textId="77777777" w:rsidR="002F0133" w:rsidRPr="000B4E2C" w:rsidRDefault="002F0133" w:rsidP="008A7464">
            <w:pPr>
              <w:jc w:val="right"/>
              <w:rPr>
                <w:color w:val="000000"/>
                <w:sz w:val="22"/>
                <w:lang w:val="en-GB" w:eastAsia="en-GB"/>
              </w:rPr>
            </w:pPr>
            <w:r w:rsidRPr="000B4E2C">
              <w:rPr>
                <w:sz w:val="22"/>
                <w:lang w:val="en-GB" w:eastAsia="en-GB"/>
              </w:rPr>
              <w:t>6.5%</w:t>
            </w:r>
          </w:p>
        </w:tc>
        <w:tc>
          <w:tcPr>
            <w:tcW w:w="0" w:type="auto"/>
            <w:shd w:val="clear" w:color="auto" w:fill="auto"/>
            <w:noWrap/>
            <w:vAlign w:val="bottom"/>
            <w:hideMark/>
          </w:tcPr>
          <w:p w14:paraId="31CFD2BE" w14:textId="77777777" w:rsidR="002F0133" w:rsidRPr="000B4E2C" w:rsidRDefault="002F0133" w:rsidP="008A7464">
            <w:pPr>
              <w:jc w:val="right"/>
              <w:rPr>
                <w:sz w:val="22"/>
                <w:lang w:val="en-GB" w:eastAsia="en-GB"/>
              </w:rPr>
            </w:pPr>
            <w:r w:rsidRPr="000B4E2C">
              <w:rPr>
                <w:sz w:val="22"/>
                <w:lang w:val="en-GB" w:eastAsia="en-GB"/>
              </w:rPr>
              <w:t>8.1%</w:t>
            </w:r>
          </w:p>
        </w:tc>
      </w:tr>
      <w:tr w:rsidR="000B4E2C" w:rsidRPr="000B4E2C" w14:paraId="33086B36" w14:textId="77777777" w:rsidTr="000B4E2C">
        <w:trPr>
          <w:cantSplit/>
        </w:trPr>
        <w:tc>
          <w:tcPr>
            <w:tcW w:w="0" w:type="auto"/>
            <w:shd w:val="clear" w:color="auto" w:fill="auto"/>
            <w:noWrap/>
            <w:vAlign w:val="bottom"/>
            <w:hideMark/>
          </w:tcPr>
          <w:p w14:paraId="50931E7C" w14:textId="56432837" w:rsidR="002F0133" w:rsidRPr="000B4E2C" w:rsidRDefault="002F0133" w:rsidP="008A7464">
            <w:pPr>
              <w:rPr>
                <w:color w:val="000000"/>
                <w:sz w:val="22"/>
                <w:lang w:val="en-GB" w:eastAsia="en-GB"/>
              </w:rPr>
            </w:pPr>
            <w:r w:rsidRPr="000B4E2C">
              <w:rPr>
                <w:sz w:val="22"/>
                <w:lang w:val="en-GB" w:eastAsia="en-GB"/>
              </w:rPr>
              <w:t>Test 4 (NGAL urine</w:t>
            </w:r>
            <w:r w:rsidR="000B4E2C" w:rsidRPr="000B4E2C">
              <w:rPr>
                <w:color w:val="00B0F0"/>
                <w:sz w:val="22"/>
                <w:lang w:val="en-GB" w:eastAsia="en-GB"/>
              </w:rPr>
              <w:t xml:space="preserve"> – </w:t>
            </w:r>
            <w:r w:rsidRPr="000B4E2C">
              <w:rPr>
                <w:sz w:val="22"/>
                <w:lang w:val="en-GB" w:eastAsia="en-GB"/>
              </w:rPr>
              <w:t>ARCHITECT)</w:t>
            </w:r>
          </w:p>
        </w:tc>
        <w:tc>
          <w:tcPr>
            <w:tcW w:w="0" w:type="auto"/>
            <w:shd w:val="clear" w:color="auto" w:fill="auto"/>
            <w:noWrap/>
            <w:vAlign w:val="bottom"/>
            <w:hideMark/>
          </w:tcPr>
          <w:p w14:paraId="37056E96" w14:textId="77777777" w:rsidR="002F0133" w:rsidRPr="000B4E2C" w:rsidRDefault="002F0133" w:rsidP="008A7464">
            <w:pPr>
              <w:jc w:val="right"/>
              <w:rPr>
                <w:color w:val="000000"/>
                <w:sz w:val="22"/>
                <w:lang w:val="en-GB" w:eastAsia="en-GB"/>
              </w:rPr>
            </w:pPr>
            <w:r w:rsidRPr="000B4E2C">
              <w:rPr>
                <w:sz w:val="22"/>
                <w:lang w:val="en-GB" w:eastAsia="en-GB"/>
              </w:rPr>
              <w:t>£23,062</w:t>
            </w:r>
          </w:p>
        </w:tc>
        <w:tc>
          <w:tcPr>
            <w:tcW w:w="0" w:type="auto"/>
            <w:shd w:val="clear" w:color="auto" w:fill="auto"/>
            <w:noWrap/>
            <w:vAlign w:val="bottom"/>
            <w:hideMark/>
          </w:tcPr>
          <w:p w14:paraId="66704DC7"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7D64AA99" w14:textId="77777777" w:rsidR="002F0133" w:rsidRPr="000B4E2C" w:rsidRDefault="002F0133" w:rsidP="008A7464">
            <w:pPr>
              <w:jc w:val="right"/>
              <w:rPr>
                <w:color w:val="000000"/>
                <w:sz w:val="22"/>
                <w:lang w:val="en-GB" w:eastAsia="en-GB"/>
              </w:rPr>
            </w:pPr>
            <w:r w:rsidRPr="000B4E2C">
              <w:rPr>
                <w:sz w:val="22"/>
                <w:lang w:val="en-GB" w:eastAsia="en-GB"/>
              </w:rPr>
              <w:t>6.07051</w:t>
            </w:r>
          </w:p>
        </w:tc>
        <w:tc>
          <w:tcPr>
            <w:tcW w:w="0" w:type="auto"/>
            <w:shd w:val="clear" w:color="auto" w:fill="auto"/>
            <w:noWrap/>
            <w:vAlign w:val="bottom"/>
            <w:hideMark/>
          </w:tcPr>
          <w:p w14:paraId="19F1B196"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683680A9"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0DF2C3F1" w14:textId="77777777" w:rsidR="002F0133" w:rsidRPr="000B4E2C" w:rsidRDefault="002F0133" w:rsidP="008A7464">
            <w:pPr>
              <w:jc w:val="right"/>
              <w:rPr>
                <w:color w:val="000000"/>
                <w:sz w:val="22"/>
                <w:lang w:val="en-GB" w:eastAsia="en-GB"/>
              </w:rPr>
            </w:pPr>
            <w:r w:rsidRPr="000B4E2C">
              <w:rPr>
                <w:sz w:val="22"/>
                <w:lang w:val="en-GB" w:eastAsia="en-GB"/>
              </w:rPr>
              <w:t>£996,121</w:t>
            </w:r>
          </w:p>
        </w:tc>
        <w:tc>
          <w:tcPr>
            <w:tcW w:w="0" w:type="auto"/>
            <w:shd w:val="clear" w:color="auto" w:fill="auto"/>
            <w:noWrap/>
            <w:vAlign w:val="bottom"/>
            <w:hideMark/>
          </w:tcPr>
          <w:p w14:paraId="3553A149" w14:textId="77777777" w:rsidR="002F0133" w:rsidRPr="000B4E2C" w:rsidRDefault="002F0133" w:rsidP="008A7464">
            <w:pPr>
              <w:jc w:val="right"/>
              <w:rPr>
                <w:color w:val="000000"/>
                <w:sz w:val="22"/>
                <w:lang w:val="en-GB" w:eastAsia="en-GB"/>
              </w:rPr>
            </w:pPr>
            <w:r w:rsidRPr="000B4E2C">
              <w:rPr>
                <w:sz w:val="22"/>
                <w:lang w:val="en-GB" w:eastAsia="en-GB"/>
              </w:rPr>
              <w:t>0.1%</w:t>
            </w:r>
          </w:p>
        </w:tc>
        <w:tc>
          <w:tcPr>
            <w:tcW w:w="0" w:type="auto"/>
            <w:shd w:val="clear" w:color="auto" w:fill="auto"/>
            <w:noWrap/>
            <w:vAlign w:val="bottom"/>
            <w:hideMark/>
          </w:tcPr>
          <w:p w14:paraId="645F31DA" w14:textId="77777777" w:rsidR="002F0133" w:rsidRPr="000B4E2C" w:rsidRDefault="002F0133" w:rsidP="008A7464">
            <w:pPr>
              <w:jc w:val="right"/>
              <w:rPr>
                <w:sz w:val="22"/>
                <w:lang w:val="en-GB" w:eastAsia="en-GB"/>
              </w:rPr>
            </w:pPr>
            <w:r w:rsidRPr="000B4E2C">
              <w:rPr>
                <w:sz w:val="22"/>
                <w:lang w:val="en-GB" w:eastAsia="en-GB"/>
              </w:rPr>
              <w:t>4.0%</w:t>
            </w:r>
          </w:p>
        </w:tc>
      </w:tr>
      <w:tr w:rsidR="000B4E2C" w:rsidRPr="000B4E2C" w14:paraId="55E9FC54" w14:textId="77777777" w:rsidTr="000B4E2C">
        <w:trPr>
          <w:cantSplit/>
        </w:trPr>
        <w:tc>
          <w:tcPr>
            <w:tcW w:w="0" w:type="auto"/>
            <w:shd w:val="clear" w:color="auto" w:fill="auto"/>
            <w:noWrap/>
            <w:vAlign w:val="bottom"/>
            <w:hideMark/>
          </w:tcPr>
          <w:p w14:paraId="6505C97C" w14:textId="394B9AEE" w:rsidR="002F0133" w:rsidRPr="000B4E2C" w:rsidRDefault="002F0133" w:rsidP="008A7464">
            <w:pPr>
              <w:rPr>
                <w:color w:val="000000"/>
                <w:sz w:val="22"/>
                <w:lang w:val="en-GB" w:eastAsia="en-GB"/>
              </w:rPr>
            </w:pPr>
            <w:r w:rsidRPr="000B4E2C">
              <w:rPr>
                <w:sz w:val="22"/>
                <w:lang w:val="en-GB" w:eastAsia="en-GB"/>
              </w:rPr>
              <w:t>Test 3 (NGAL urine</w:t>
            </w:r>
            <w:r w:rsidR="000B4E2C" w:rsidRPr="000B4E2C">
              <w:rPr>
                <w:color w:val="00B0F0"/>
                <w:sz w:val="22"/>
                <w:lang w:val="en-GB" w:eastAsia="en-GB"/>
              </w:rPr>
              <w:t xml:space="preserve"> – </w:t>
            </w:r>
            <w:r w:rsidR="009D7F5A" w:rsidRPr="000B4E2C">
              <w:rPr>
                <w:sz w:val="22"/>
                <w:lang w:val="en-GB" w:eastAsia="en-GB"/>
              </w:rPr>
              <w:t>BioPorto</w:t>
            </w:r>
            <w:r w:rsidRPr="000B4E2C">
              <w:rPr>
                <w:sz w:val="22"/>
                <w:lang w:val="en-GB" w:eastAsia="en-GB"/>
              </w:rPr>
              <w:t>)</w:t>
            </w:r>
          </w:p>
        </w:tc>
        <w:tc>
          <w:tcPr>
            <w:tcW w:w="0" w:type="auto"/>
            <w:shd w:val="clear" w:color="auto" w:fill="auto"/>
            <w:noWrap/>
            <w:vAlign w:val="bottom"/>
            <w:hideMark/>
          </w:tcPr>
          <w:p w14:paraId="2A0F9634" w14:textId="77777777" w:rsidR="002F0133" w:rsidRPr="000B4E2C" w:rsidRDefault="002F0133" w:rsidP="008A7464">
            <w:pPr>
              <w:jc w:val="right"/>
              <w:rPr>
                <w:color w:val="000000"/>
                <w:sz w:val="22"/>
                <w:lang w:val="en-GB" w:eastAsia="en-GB"/>
              </w:rPr>
            </w:pPr>
            <w:r w:rsidRPr="000B4E2C">
              <w:rPr>
                <w:sz w:val="22"/>
                <w:lang w:val="en-GB" w:eastAsia="en-GB"/>
              </w:rPr>
              <w:t>£23,082</w:t>
            </w:r>
          </w:p>
        </w:tc>
        <w:tc>
          <w:tcPr>
            <w:tcW w:w="0" w:type="auto"/>
            <w:shd w:val="clear" w:color="auto" w:fill="auto"/>
            <w:noWrap/>
            <w:vAlign w:val="bottom"/>
            <w:hideMark/>
          </w:tcPr>
          <w:p w14:paraId="330221E8"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73DB9306" w14:textId="77777777" w:rsidR="002F0133" w:rsidRPr="000B4E2C" w:rsidRDefault="002F0133" w:rsidP="008A7464">
            <w:pPr>
              <w:jc w:val="right"/>
              <w:rPr>
                <w:color w:val="000000"/>
                <w:sz w:val="22"/>
                <w:lang w:val="en-GB" w:eastAsia="en-GB"/>
              </w:rPr>
            </w:pPr>
            <w:r w:rsidRPr="000B4E2C">
              <w:rPr>
                <w:sz w:val="22"/>
                <w:lang w:val="en-GB" w:eastAsia="en-GB"/>
              </w:rPr>
              <w:t>6.07056</w:t>
            </w:r>
          </w:p>
        </w:tc>
        <w:tc>
          <w:tcPr>
            <w:tcW w:w="0" w:type="auto"/>
            <w:shd w:val="clear" w:color="auto" w:fill="auto"/>
            <w:noWrap/>
            <w:vAlign w:val="bottom"/>
            <w:hideMark/>
          </w:tcPr>
          <w:p w14:paraId="49A453E7"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40338F2C" w14:textId="77777777" w:rsidR="002F0133" w:rsidRPr="000B4E2C" w:rsidRDefault="002F0133" w:rsidP="008A7464">
            <w:pPr>
              <w:jc w:val="right"/>
              <w:rPr>
                <w:color w:val="000000"/>
                <w:sz w:val="22"/>
                <w:lang w:val="en-GB" w:eastAsia="en-GB"/>
              </w:rPr>
            </w:pPr>
            <w:r w:rsidRPr="000B4E2C">
              <w:rPr>
                <w:sz w:val="22"/>
                <w:lang w:val="en-GB" w:eastAsia="en-GB"/>
              </w:rPr>
              <w:t>Dominated</w:t>
            </w:r>
          </w:p>
        </w:tc>
        <w:tc>
          <w:tcPr>
            <w:tcW w:w="0" w:type="auto"/>
            <w:shd w:val="clear" w:color="auto" w:fill="auto"/>
            <w:noWrap/>
            <w:vAlign w:val="bottom"/>
            <w:hideMark/>
          </w:tcPr>
          <w:p w14:paraId="1508650D" w14:textId="77777777" w:rsidR="002F0133" w:rsidRPr="000B4E2C" w:rsidRDefault="002F0133" w:rsidP="008A7464">
            <w:pPr>
              <w:jc w:val="right"/>
              <w:rPr>
                <w:color w:val="000000"/>
                <w:sz w:val="22"/>
                <w:lang w:val="en-GB" w:eastAsia="en-GB"/>
              </w:rPr>
            </w:pPr>
            <w:r w:rsidRPr="000B4E2C">
              <w:rPr>
                <w:sz w:val="22"/>
                <w:lang w:val="en-GB" w:eastAsia="en-GB"/>
              </w:rPr>
              <w:t>£737,663</w:t>
            </w:r>
          </w:p>
        </w:tc>
        <w:tc>
          <w:tcPr>
            <w:tcW w:w="0" w:type="auto"/>
            <w:shd w:val="clear" w:color="auto" w:fill="auto"/>
            <w:noWrap/>
            <w:vAlign w:val="bottom"/>
            <w:hideMark/>
          </w:tcPr>
          <w:p w14:paraId="7E1963EF" w14:textId="77777777" w:rsidR="002F0133" w:rsidRPr="000B4E2C" w:rsidRDefault="002F0133" w:rsidP="008A7464">
            <w:pPr>
              <w:jc w:val="right"/>
              <w:rPr>
                <w:color w:val="000000"/>
                <w:sz w:val="22"/>
                <w:lang w:val="en-GB" w:eastAsia="en-GB"/>
              </w:rPr>
            </w:pPr>
            <w:r w:rsidRPr="000B4E2C">
              <w:rPr>
                <w:sz w:val="22"/>
                <w:lang w:val="en-GB" w:eastAsia="en-GB"/>
              </w:rPr>
              <w:t>4.0%</w:t>
            </w:r>
          </w:p>
        </w:tc>
        <w:tc>
          <w:tcPr>
            <w:tcW w:w="0" w:type="auto"/>
            <w:shd w:val="clear" w:color="auto" w:fill="auto"/>
            <w:noWrap/>
            <w:vAlign w:val="bottom"/>
            <w:hideMark/>
          </w:tcPr>
          <w:p w14:paraId="2F1BBB37" w14:textId="77777777" w:rsidR="002F0133" w:rsidRPr="000B4E2C" w:rsidRDefault="002F0133" w:rsidP="008A7464">
            <w:pPr>
              <w:jc w:val="right"/>
              <w:rPr>
                <w:sz w:val="22"/>
                <w:lang w:val="en-GB" w:eastAsia="en-GB"/>
              </w:rPr>
            </w:pPr>
            <w:r w:rsidRPr="000B4E2C">
              <w:rPr>
                <w:sz w:val="22"/>
                <w:lang w:val="en-GB" w:eastAsia="en-GB"/>
              </w:rPr>
              <w:t>7.5%</w:t>
            </w:r>
          </w:p>
        </w:tc>
      </w:tr>
    </w:tbl>
    <w:p w14:paraId="73C90910" w14:textId="491866D4" w:rsidR="002F0133" w:rsidRPr="000B4E2C" w:rsidRDefault="000B4E2C" w:rsidP="00A444C8">
      <w:pPr>
        <w:pStyle w:val="Heading2"/>
      </w:pPr>
      <w:r w:rsidRPr="000B4E2C">
        <w:rPr>
          <w:u w:val="single"/>
        </w:rPr>
        <w:t xml:space="preserve"> </w:t>
      </w:r>
      <w:r w:rsidR="002F0133" w:rsidRPr="000B4E2C">
        <w:t>Interpretation of the results</w:t>
      </w:r>
    </w:p>
    <w:p w14:paraId="1B9A3746" w14:textId="77777777" w:rsidR="000B4E2C" w:rsidRPr="000B4E2C" w:rsidRDefault="002F0133" w:rsidP="008A7464">
      <w:r w:rsidRPr="000B4E2C">
        <w:t>Publi</w:t>
      </w:r>
      <w:r w:rsidR="00D16441" w:rsidRPr="000B4E2C">
        <w:t xml:space="preserve">shed </w:t>
      </w:r>
      <w:r w:rsidR="00D16441" w:rsidRPr="000B4E2C">
        <w:rPr>
          <w:highlight w:val="magenta"/>
        </w:rPr>
        <w:t>data</w:t>
      </w:r>
      <w:r w:rsidR="00D16441" w:rsidRPr="000B4E2C">
        <w:t xml:space="preserve"> show that NephroCheck-</w:t>
      </w:r>
      <w:r w:rsidRPr="000B4E2C">
        <w:t>guided implementation of a KDIGO care bund</w:t>
      </w:r>
      <w:r w:rsidR="00D16441" w:rsidRPr="000B4E2C">
        <w:t xml:space="preserve">le has potential to avert AKI. </w:t>
      </w:r>
      <w:r w:rsidRPr="000B4E2C">
        <w:t xml:space="preserve">However, no such </w:t>
      </w:r>
      <w:r w:rsidR="00D16441" w:rsidRPr="000B4E2C">
        <w:rPr>
          <w:highlight w:val="magenta"/>
        </w:rPr>
        <w:t>data</w:t>
      </w:r>
      <w:r w:rsidR="00D16441" w:rsidRPr="000B4E2C">
        <w:t xml:space="preserve"> exist for the NGAL tests. </w:t>
      </w:r>
      <w:r w:rsidRPr="000B4E2C">
        <w:t>Therefore, two base</w:t>
      </w:r>
      <w:r w:rsidR="00D16441" w:rsidRPr="000B4E2C">
        <w:t xml:space="preserve"> case analyses are considered. </w:t>
      </w:r>
      <w:r w:rsidRPr="000B4E2C">
        <w:t xml:space="preserve">Base case 1 can be considered an optimistic scenario for the NGAL assays and assumes that all NGAL tests are equally effective as NephroCheck in terms </w:t>
      </w:r>
      <w:r w:rsidR="00D16441" w:rsidRPr="000B4E2C">
        <w:t xml:space="preserve">of the potential to avert AKI. </w:t>
      </w:r>
      <w:r w:rsidRPr="000B4E2C">
        <w:t>Base case 2 can be considered a more conservative approach, in the absence of evidence and assumes that only NephroCheck can avert AKI, but that all tests have the potential to reduce AKI severity if it occurs.</w:t>
      </w:r>
    </w:p>
    <w:p w14:paraId="75382042" w14:textId="77777777" w:rsidR="000B4E2C" w:rsidRPr="000B4E2C" w:rsidRDefault="007024D7" w:rsidP="008A7464">
      <w:r w:rsidRPr="000B4E2C">
        <w:t>Fifteen</w:t>
      </w:r>
      <w:r w:rsidR="002F0133" w:rsidRPr="000B4E2C">
        <w:t xml:space="preserve"> scenario analyses are provided for each potential base case, ranging from </w:t>
      </w:r>
      <w:r w:rsidR="002F0133" w:rsidRPr="000B4E2C">
        <w:rPr>
          <w:lang w:eastAsia="en-GB"/>
        </w:rPr>
        <w:t xml:space="preserve">a set of optimistic assumptions where biomarker-guided care bundles may </w:t>
      </w:r>
      <w:r w:rsidR="002F0133" w:rsidRPr="000B4E2C">
        <w:rPr>
          <w:highlight w:val="magenta"/>
          <w:lang w:eastAsia="en-GB"/>
        </w:rPr>
        <w:t>lead</w:t>
      </w:r>
      <w:r w:rsidR="002F0133" w:rsidRPr="000B4E2C">
        <w:rPr>
          <w:lang w:eastAsia="en-GB"/>
        </w:rPr>
        <w:t xml:space="preserve"> to substantial improvements in health outcomes (need for ICU, hospital length of stay, CKD, mortality) to a set of more conservative assumptions where changing of AKI status has no effects on health outcomes.</w:t>
      </w:r>
    </w:p>
    <w:p w14:paraId="2FC877A6" w14:textId="0658073E" w:rsidR="000B4E2C" w:rsidRPr="000B4E2C" w:rsidRDefault="002F0133" w:rsidP="008A7464">
      <w:pPr>
        <w:rPr>
          <w:szCs w:val="24"/>
        </w:rPr>
      </w:pPr>
      <w:r w:rsidRPr="000B4E2C">
        <w:t>ICERs are highly uncertain, and subject to wide variation depending o</w:t>
      </w:r>
      <w:r w:rsidR="00D16441" w:rsidRPr="000B4E2C">
        <w:t xml:space="preserve">n the set of scenarios chosen. </w:t>
      </w:r>
      <w:r w:rsidRPr="000B4E2C">
        <w:rPr>
          <w:szCs w:val="24"/>
        </w:rPr>
        <w:t xml:space="preserve">The probability of cost-effectiveness at an ICER </w:t>
      </w:r>
      <w:r w:rsidR="000B4E2C" w:rsidRPr="000B4E2C">
        <w:rPr>
          <w:color w:val="00B0F0"/>
          <w:szCs w:val="24"/>
        </w:rPr>
        <w:t>&lt;</w:t>
      </w:r>
      <w:r w:rsidR="000B4E2C" w:rsidRPr="000B4E2C">
        <w:rPr>
          <w:color w:val="00B0F0"/>
          <w:szCs w:val="24"/>
        </w:rPr>
        <w:t> </w:t>
      </w:r>
      <w:r w:rsidRPr="000B4E2C">
        <w:rPr>
          <w:szCs w:val="24"/>
        </w:rPr>
        <w:t>£20,000 per QALY gained for scenarios where NGAL is assumed equally effective as NephroCheck in preventing AKI ranged from 0% to 15% (NephroCheck); 0</w:t>
      </w:r>
      <w:r w:rsidR="000B4E2C" w:rsidRPr="000B4E2C">
        <w:rPr>
          <w:color w:val="00B0F0"/>
          <w:szCs w:val="24"/>
        </w:rPr>
        <w:t>–</w:t>
      </w:r>
      <w:r w:rsidR="000B4E2C" w:rsidRPr="000B4E2C">
        <w:rPr>
          <w:color w:val="00B0F0"/>
          <w:szCs w:val="24"/>
        </w:rPr>
        <w:t>5</w:t>
      </w:r>
      <w:r w:rsidRPr="000B4E2C">
        <w:rPr>
          <w:szCs w:val="24"/>
        </w:rPr>
        <w:t xml:space="preserve">5% (NGAL Urine </w:t>
      </w:r>
      <w:r w:rsidR="009D7F5A" w:rsidRPr="000B4E2C">
        <w:rPr>
          <w:szCs w:val="24"/>
        </w:rPr>
        <w:t>BioPorto</w:t>
      </w:r>
      <w:r w:rsidRPr="000B4E2C">
        <w:rPr>
          <w:szCs w:val="24"/>
        </w:rPr>
        <w:t>); 0</w:t>
      </w:r>
      <w:r w:rsidR="000B4E2C" w:rsidRPr="000B4E2C">
        <w:rPr>
          <w:color w:val="00B0F0"/>
          <w:szCs w:val="24"/>
        </w:rPr>
        <w:t>–</w:t>
      </w:r>
      <w:r w:rsidR="000B4E2C" w:rsidRPr="000B4E2C">
        <w:rPr>
          <w:color w:val="00B0F0"/>
          <w:szCs w:val="24"/>
        </w:rPr>
        <w:t>2</w:t>
      </w:r>
      <w:r w:rsidRPr="000B4E2C">
        <w:rPr>
          <w:szCs w:val="24"/>
        </w:rPr>
        <w:t>% (NGAL ARCHITECT Abbott) and</w:t>
      </w:r>
      <w:r w:rsidR="00D16441" w:rsidRPr="000B4E2C">
        <w:rPr>
          <w:szCs w:val="24"/>
        </w:rPr>
        <w:t xml:space="preserve"> 0</w:t>
      </w:r>
      <w:r w:rsidR="000B4E2C" w:rsidRPr="000B4E2C">
        <w:rPr>
          <w:color w:val="00B0F0"/>
          <w:szCs w:val="24"/>
        </w:rPr>
        <w:t>–</w:t>
      </w:r>
      <w:r w:rsidR="000B4E2C" w:rsidRPr="000B4E2C">
        <w:rPr>
          <w:color w:val="00B0F0"/>
          <w:szCs w:val="24"/>
        </w:rPr>
        <w:t>4</w:t>
      </w:r>
      <w:r w:rsidR="00D16441" w:rsidRPr="000B4E2C">
        <w:rPr>
          <w:szCs w:val="24"/>
        </w:rPr>
        <w:t xml:space="preserve">8% (NGAL </w:t>
      </w:r>
      <w:r w:rsidR="009D7F5A" w:rsidRPr="000B4E2C">
        <w:rPr>
          <w:szCs w:val="24"/>
        </w:rPr>
        <w:t>BioPorto</w:t>
      </w:r>
      <w:r w:rsidR="00D16441" w:rsidRPr="000B4E2C">
        <w:rPr>
          <w:szCs w:val="24"/>
        </w:rPr>
        <w:t xml:space="preserve"> Plasma). </w:t>
      </w:r>
      <w:r w:rsidRPr="000B4E2C">
        <w:rPr>
          <w:szCs w:val="24"/>
        </w:rPr>
        <w:t>NGAL urine (</w:t>
      </w:r>
      <w:r w:rsidR="009D7F5A" w:rsidRPr="000B4E2C">
        <w:rPr>
          <w:szCs w:val="24"/>
        </w:rPr>
        <w:t>BioPorto</w:t>
      </w:r>
      <w:r w:rsidRPr="000B4E2C">
        <w:rPr>
          <w:szCs w:val="24"/>
        </w:rPr>
        <w:t xml:space="preserve">) was generally the test associated with the greatest probability of cost-effectiveness, albeit highly uncertain, when </w:t>
      </w:r>
      <w:r w:rsidRPr="000B4E2C">
        <w:rPr>
          <w:szCs w:val="24"/>
          <w:highlight w:val="magenta"/>
        </w:rPr>
        <w:t>compared to</w:t>
      </w:r>
      <w:r w:rsidRPr="000B4E2C">
        <w:rPr>
          <w:szCs w:val="24"/>
        </w:rPr>
        <w:t xml:space="preserve"> standard care only.</w:t>
      </w:r>
      <w:r w:rsidR="00D16441" w:rsidRPr="000B4E2C">
        <w:rPr>
          <w:szCs w:val="24"/>
        </w:rPr>
        <w:t xml:space="preserve"> </w:t>
      </w:r>
      <w:r w:rsidRPr="000B4E2C">
        <w:rPr>
          <w:szCs w:val="24"/>
        </w:rPr>
        <w:t>This is because NGAL urine (</w:t>
      </w:r>
      <w:r w:rsidR="009D7F5A" w:rsidRPr="000B4E2C">
        <w:rPr>
          <w:szCs w:val="24"/>
        </w:rPr>
        <w:t>BioPorto</w:t>
      </w:r>
      <w:r w:rsidRPr="000B4E2C">
        <w:rPr>
          <w:szCs w:val="24"/>
        </w:rPr>
        <w:t xml:space="preserve">) had slightly better diagnostic test accuracy </w:t>
      </w:r>
      <w:r w:rsidRPr="000B4E2C">
        <w:rPr>
          <w:szCs w:val="24"/>
          <w:highlight w:val="magenta"/>
        </w:rPr>
        <w:t>data</w:t>
      </w:r>
      <w:r w:rsidRPr="000B4E2C">
        <w:rPr>
          <w:szCs w:val="24"/>
        </w:rPr>
        <w:t xml:space="preserve"> and slightly lower test costs </w:t>
      </w:r>
      <w:r w:rsidRPr="000B4E2C">
        <w:rPr>
          <w:szCs w:val="24"/>
          <w:highlight w:val="magenta"/>
        </w:rPr>
        <w:t>co</w:t>
      </w:r>
      <w:r w:rsidR="00D16441" w:rsidRPr="000B4E2C">
        <w:rPr>
          <w:szCs w:val="24"/>
          <w:highlight w:val="magenta"/>
        </w:rPr>
        <w:t>mpared to</w:t>
      </w:r>
      <w:r w:rsidR="00D16441" w:rsidRPr="000B4E2C">
        <w:rPr>
          <w:szCs w:val="24"/>
        </w:rPr>
        <w:t xml:space="preserve"> the comparator tests.</w:t>
      </w:r>
      <w:r w:rsidRPr="000B4E2C">
        <w:rPr>
          <w:szCs w:val="24"/>
        </w:rPr>
        <w:t xml:space="preserve"> However, there is substantial uncertainty in the diagnostic test accuracy, driven by study heterogeneity, therefore results should be interpreted cautiously.</w:t>
      </w:r>
    </w:p>
    <w:p w14:paraId="5F5E35B5" w14:textId="77777777" w:rsidR="000B4E2C" w:rsidRPr="000B4E2C" w:rsidRDefault="002F0133" w:rsidP="008A7464">
      <w:pPr>
        <w:rPr>
          <w:szCs w:val="24"/>
        </w:rPr>
      </w:pPr>
      <w:r w:rsidRPr="000B4E2C">
        <w:rPr>
          <w:szCs w:val="24"/>
        </w:rPr>
        <w:t>When it is assumed NGAL cannot avert AKI, but can only reduce its severity, the cost-effectiveness case for NephroCheck improves substantially, but remains highly uncertain with a probability of cost-effectiveness ranging from 0% to 99% across the explored scenarios.</w:t>
      </w:r>
    </w:p>
    <w:p w14:paraId="60C04A80" w14:textId="77777777" w:rsidR="000B4E2C" w:rsidRPr="000B4E2C" w:rsidRDefault="002F0133" w:rsidP="008A7464">
      <w:pPr>
        <w:rPr>
          <w:szCs w:val="24"/>
        </w:rPr>
      </w:pPr>
      <w:r w:rsidRPr="000B4E2C">
        <w:rPr>
          <w:szCs w:val="24"/>
        </w:rPr>
        <w:t xml:space="preserve">Given the significant uncertainties across the range of scenario analyses undertaken, it is not possible to draw robust conclusions on the cost-effectiveness of the </w:t>
      </w:r>
      <w:r w:rsidRPr="000B4E2C">
        <w:rPr>
          <w:szCs w:val="24"/>
          <w:highlight w:val="magenta"/>
        </w:rPr>
        <w:t>respective</w:t>
      </w:r>
      <w:r w:rsidRPr="000B4E2C">
        <w:rPr>
          <w:szCs w:val="24"/>
        </w:rPr>
        <w:t xml:space="preserve"> biomarkers.</w:t>
      </w:r>
    </w:p>
    <w:p w14:paraId="5DE67631" w14:textId="77777777" w:rsidR="000B4E2C" w:rsidRPr="000B4E2C" w:rsidRDefault="002F0133" w:rsidP="008A7464">
      <w:pPr>
        <w:pStyle w:val="Heading1"/>
      </w:pPr>
      <w:bookmarkStart w:id="19" w:name="_Toc386102070"/>
      <w:bookmarkStart w:id="20" w:name="_Toc386459570"/>
      <w:r w:rsidRPr="000B4E2C">
        <w:t>5</w:t>
      </w:r>
      <w:r w:rsidRPr="000B4E2C">
        <w:tab/>
        <w:t>Discussion</w:t>
      </w:r>
      <w:bookmarkEnd w:id="19"/>
      <w:bookmarkEnd w:id="20"/>
    </w:p>
    <w:p w14:paraId="4C5EAE79" w14:textId="3B2D8F7D" w:rsidR="002F0133" w:rsidRPr="000B4E2C" w:rsidRDefault="002F0133" w:rsidP="008A7464">
      <w:pPr>
        <w:pStyle w:val="Heading2"/>
      </w:pPr>
      <w:r w:rsidRPr="000B4E2C">
        <w:t xml:space="preserve">Statement of </w:t>
      </w:r>
      <w:r w:rsidRPr="000B4E2C">
        <w:rPr>
          <w:highlight w:val="magenta"/>
        </w:rPr>
        <w:t>principal</w:t>
      </w:r>
      <w:r w:rsidRPr="000B4E2C">
        <w:t xml:space="preserve"> findings</w:t>
      </w:r>
    </w:p>
    <w:p w14:paraId="59E31779" w14:textId="77777777" w:rsidR="000B4E2C" w:rsidRPr="000B4E2C" w:rsidRDefault="002F0133" w:rsidP="008A7464">
      <w:pPr>
        <w:rPr>
          <w:lang w:val="en-GB" w:eastAsia="en-GB"/>
        </w:rPr>
      </w:pPr>
      <w:r w:rsidRPr="000B4E2C">
        <w:rPr>
          <w:lang w:val="en-GB" w:eastAsia="en-GB"/>
        </w:rPr>
        <w:t xml:space="preserve">In current clinical </w:t>
      </w:r>
      <w:r w:rsidRPr="000B4E2C">
        <w:rPr>
          <w:highlight w:val="magenta"/>
          <w:lang w:val="en-GB" w:eastAsia="en-GB"/>
        </w:rPr>
        <w:t>practice</w:t>
      </w:r>
      <w:r w:rsidRPr="000B4E2C">
        <w:rPr>
          <w:lang w:val="en-GB" w:eastAsia="en-GB"/>
        </w:rPr>
        <w:t xml:space="preserve">, identification of patients at risk of developing AKI poses a significant challenge to clinicians. Markers of kidney stress and/or injury are hoped to be a useful adjunct to current clinical care as they may facilitate patient management and informed decisions about treatment. Nevertheless, pathways of </w:t>
      </w:r>
      <w:r w:rsidRPr="000B4E2C">
        <w:rPr>
          <w:lang w:val="en-GB" w:eastAsia="en-GB"/>
        </w:rPr>
        <w:lastRenderedPageBreak/>
        <w:t xml:space="preserve">presentation and care in AKI are complex and the potential for modifiability and clinical benefit is uncertain. This assessment looked at the performance of NephroCheck, ARCHITECT and Alinity urine NGAL and </w:t>
      </w:r>
      <w:r w:rsidR="009D7F5A" w:rsidRPr="000B4E2C">
        <w:rPr>
          <w:lang w:val="en-GB" w:eastAsia="en-GB"/>
        </w:rPr>
        <w:t>BioPorto</w:t>
      </w:r>
      <w:r w:rsidRPr="000B4E2C">
        <w:rPr>
          <w:lang w:val="en-GB" w:eastAsia="en-GB"/>
        </w:rPr>
        <w:t xml:space="preserve"> urine and plasma NGAL to assess the risk of AKI in critically ill patients considered for admission to critical care. We included 56 studies with a total of </w:t>
      </w:r>
      <w:r w:rsidRPr="000B4E2C">
        <w:rPr>
          <w:szCs w:val="24"/>
        </w:rPr>
        <w:t xml:space="preserve">17,967 </w:t>
      </w:r>
      <w:r w:rsidRPr="000B4E2C">
        <w:rPr>
          <w:lang w:val="en-GB" w:eastAsia="en-GB"/>
        </w:rPr>
        <w:t>patients.</w:t>
      </w:r>
    </w:p>
    <w:p w14:paraId="12CA4DB4" w14:textId="6D511016" w:rsidR="002F0133" w:rsidRPr="000B4E2C" w:rsidRDefault="002F0133" w:rsidP="008A7464">
      <w:pPr>
        <w:pStyle w:val="Heading3"/>
      </w:pPr>
      <w:r w:rsidRPr="000B4E2C">
        <w:t>Clinical effectiveness</w:t>
      </w:r>
    </w:p>
    <w:p w14:paraId="74F08B04" w14:textId="77777777" w:rsidR="000B4E2C" w:rsidRPr="000B4E2C" w:rsidRDefault="002F0133" w:rsidP="008A7464">
      <w:pPr>
        <w:rPr>
          <w:lang w:val="en-GB" w:eastAsia="en-GB"/>
        </w:rPr>
      </w:pPr>
      <w:r w:rsidRPr="000B4E2C">
        <w:rPr>
          <w:lang w:val="en-GB" w:eastAsia="en-GB"/>
        </w:rPr>
        <w:t>The main clinical effectiveness findings suggest that these biomarkers may have a potential role in the AKI risk assessment in patients admitted to critical care. Evidence for other clinical settings (cardiac surgery, major non-cardiac surgery) was limited.</w:t>
      </w:r>
    </w:p>
    <w:p w14:paraId="10C73117" w14:textId="77777777" w:rsidR="000B4E2C" w:rsidRPr="000B4E2C" w:rsidRDefault="004C298F" w:rsidP="008A7464">
      <w:pPr>
        <w:rPr>
          <w:rFonts w:eastAsiaTheme="minorHAnsi"/>
          <w:szCs w:val="24"/>
          <w:lang w:val="en-GB"/>
        </w:rPr>
      </w:pPr>
      <w:r w:rsidRPr="000B4E2C">
        <w:rPr>
          <w:lang w:val="en-GB" w:eastAsia="en-GB"/>
        </w:rPr>
        <w:t>Meta-analy</w:t>
      </w:r>
      <w:r w:rsidR="00FB0351" w:rsidRPr="000B4E2C">
        <w:rPr>
          <w:lang w:val="en-GB" w:eastAsia="en-GB"/>
        </w:rPr>
        <w:t>s</w:t>
      </w:r>
      <w:r w:rsidRPr="000B4E2C">
        <w:rPr>
          <w:lang w:val="en-GB" w:eastAsia="en-GB"/>
        </w:rPr>
        <w:t xml:space="preserve">es results </w:t>
      </w:r>
      <w:r w:rsidR="002F0133" w:rsidRPr="000B4E2C">
        <w:rPr>
          <w:lang w:val="en-GB" w:eastAsia="en-GB"/>
        </w:rPr>
        <w:t xml:space="preserve">indicate that the use of biomarkers may be useful for identifying AKI. </w:t>
      </w:r>
      <w:r w:rsidR="002F0133" w:rsidRPr="000B4E2C">
        <w:rPr>
          <w:rFonts w:eastAsiaTheme="minorHAnsi"/>
          <w:szCs w:val="24"/>
          <w:lang w:val="en-GB"/>
        </w:rPr>
        <w:t xml:space="preserve">However, because of substantial clinical and statistical heterogeneity between studies and large 95% confidence and prediction regions there is considerable uncertainty surrounding the validity and reliability of these findings. </w:t>
      </w:r>
      <w:r w:rsidRPr="000B4E2C">
        <w:rPr>
          <w:lang w:val="en-GB" w:eastAsia="en-GB"/>
        </w:rPr>
        <w:t xml:space="preserve">Moreover, the </w:t>
      </w:r>
      <w:r w:rsidR="002F0133" w:rsidRPr="000B4E2C">
        <w:rPr>
          <w:lang w:val="en-GB" w:eastAsia="en-GB"/>
        </w:rPr>
        <w:t>overall performance</w:t>
      </w:r>
      <w:r w:rsidRPr="000B4E2C">
        <w:rPr>
          <w:lang w:val="en-GB" w:eastAsia="en-GB"/>
        </w:rPr>
        <w:t xml:space="preserve"> of the biomarkers</w:t>
      </w:r>
      <w:r w:rsidR="002F0133" w:rsidRPr="000B4E2C">
        <w:rPr>
          <w:lang w:val="en-GB" w:eastAsia="en-GB"/>
        </w:rPr>
        <w:t xml:space="preserve"> </w:t>
      </w:r>
      <w:r w:rsidR="00FB0351" w:rsidRPr="000B4E2C">
        <w:rPr>
          <w:lang w:val="en-GB" w:eastAsia="en-GB"/>
        </w:rPr>
        <w:t xml:space="preserve">for detection of AKI </w:t>
      </w:r>
      <w:r w:rsidR="002F0133" w:rsidRPr="000B4E2C">
        <w:rPr>
          <w:lang w:val="en-GB" w:eastAsia="en-GB"/>
        </w:rPr>
        <w:t>as seen by the meta-analyses of AUC estimates appear to b</w:t>
      </w:r>
      <w:r w:rsidRPr="000B4E2C">
        <w:rPr>
          <w:lang w:val="en-GB" w:eastAsia="en-GB"/>
        </w:rPr>
        <w:t xml:space="preserve">e modest </w:t>
      </w:r>
      <w:r w:rsidR="002F0133" w:rsidRPr="000B4E2C">
        <w:rPr>
          <w:lang w:val="en-GB" w:eastAsia="en-GB"/>
        </w:rPr>
        <w:t xml:space="preserve">with large boundaries of uncertainty rather than excellent. </w:t>
      </w:r>
      <w:r w:rsidRPr="000B4E2C">
        <w:rPr>
          <w:lang w:val="en-GB" w:eastAsia="en-GB"/>
        </w:rPr>
        <w:t>For example, for the adult population the highest AUC value for detection of AKI was 0.76 but prediction intervals ranged from 0.33 up to 0.99.</w:t>
      </w:r>
    </w:p>
    <w:p w14:paraId="22A729B2" w14:textId="77777777" w:rsidR="000B4E2C" w:rsidRPr="000B4E2C" w:rsidRDefault="00C062AF" w:rsidP="00C062AF">
      <w:pPr>
        <w:rPr>
          <w:lang w:val="en-GB" w:eastAsia="en-GB"/>
        </w:rPr>
      </w:pPr>
      <w:r w:rsidRPr="000B4E2C">
        <w:rPr>
          <w:lang w:val="en-GB" w:eastAsia="en-GB"/>
        </w:rPr>
        <w:t>For prediction of relevant clinical outcomes,</w:t>
      </w:r>
      <w:r w:rsidR="00321FB1" w:rsidRPr="000B4E2C">
        <w:rPr>
          <w:lang w:val="en-GB" w:eastAsia="en-GB"/>
        </w:rPr>
        <w:t xml:space="preserve"> only a small </w:t>
      </w:r>
      <w:r w:rsidRPr="000B4E2C">
        <w:rPr>
          <w:lang w:val="en-GB" w:eastAsia="en-GB"/>
        </w:rPr>
        <w:t>number of studies were available for each biomarker in each clinical setting and th</w:t>
      </w:r>
      <w:r w:rsidR="00321FB1" w:rsidRPr="000B4E2C">
        <w:rPr>
          <w:lang w:val="en-GB" w:eastAsia="en-GB"/>
        </w:rPr>
        <w:t>is limited</w:t>
      </w:r>
      <w:r w:rsidRPr="000B4E2C">
        <w:rPr>
          <w:lang w:val="en-GB" w:eastAsia="en-GB"/>
        </w:rPr>
        <w:t xml:space="preserve"> the possibility to perform pooled analyses.</w:t>
      </w:r>
    </w:p>
    <w:p w14:paraId="099C7FCB" w14:textId="77777777" w:rsidR="000B4E2C" w:rsidRPr="000B4E2C" w:rsidRDefault="00D16441" w:rsidP="00C062AF">
      <w:pPr>
        <w:rPr>
          <w:lang w:val="en-GB" w:eastAsia="en-GB"/>
        </w:rPr>
      </w:pPr>
      <w:r w:rsidRPr="000B4E2C">
        <w:rPr>
          <w:lang w:val="en-GB" w:eastAsia="en-GB"/>
        </w:rPr>
        <w:t>Similarly, while there was</w:t>
      </w:r>
      <w:r w:rsidR="00C062AF" w:rsidRPr="000B4E2C">
        <w:rPr>
          <w:lang w:val="en-GB" w:eastAsia="en-GB"/>
        </w:rPr>
        <w:t xml:space="preserve"> an indication that addition of </w:t>
      </w:r>
      <w:r w:rsidR="003D4032" w:rsidRPr="000B4E2C">
        <w:rPr>
          <w:lang w:val="en-GB" w:eastAsia="en-GB"/>
        </w:rPr>
        <w:t xml:space="preserve">biomarkers to existing clinical </w:t>
      </w:r>
      <w:r w:rsidR="00C062AF" w:rsidRPr="000B4E2C">
        <w:rPr>
          <w:lang w:val="en-GB" w:eastAsia="en-GB"/>
        </w:rPr>
        <w:t xml:space="preserve">models might improve the prediction of relevant clinical outcomes, studies varied </w:t>
      </w:r>
      <w:r w:rsidR="00321FB1" w:rsidRPr="000B4E2C">
        <w:rPr>
          <w:lang w:val="en-GB" w:eastAsia="en-GB"/>
        </w:rPr>
        <w:t>considerably</w:t>
      </w:r>
      <w:r w:rsidR="00C062AF" w:rsidRPr="000B4E2C">
        <w:rPr>
          <w:lang w:val="en-GB" w:eastAsia="en-GB"/>
        </w:rPr>
        <w:t xml:space="preserve"> i</w:t>
      </w:r>
      <w:r w:rsidR="00FB0351" w:rsidRPr="000B4E2C">
        <w:rPr>
          <w:lang w:val="en-GB" w:eastAsia="en-GB"/>
        </w:rPr>
        <w:t>n terms of study characteristics</w:t>
      </w:r>
      <w:r w:rsidR="00C062AF" w:rsidRPr="000B4E2C">
        <w:rPr>
          <w:lang w:val="en-GB" w:eastAsia="en-GB"/>
        </w:rPr>
        <w:t xml:space="preserve"> and statistical methods used to assess prediction limiting any reliable conclusion.</w:t>
      </w:r>
    </w:p>
    <w:p w14:paraId="35CE9AF4" w14:textId="6FBE8960" w:rsidR="000B4E2C" w:rsidRPr="000B4E2C" w:rsidRDefault="00D16441" w:rsidP="008A7464">
      <w:pPr>
        <w:rPr>
          <w:lang w:val="en-GB" w:eastAsia="en-GB"/>
        </w:rPr>
      </w:pPr>
      <w:r w:rsidRPr="000B4E2C">
        <w:rPr>
          <w:lang w:val="en-GB" w:eastAsia="en-GB"/>
        </w:rPr>
        <w:t>Overall, as</w:t>
      </w:r>
      <w:r w:rsidR="002F0133" w:rsidRPr="000B4E2C">
        <w:rPr>
          <w:lang w:val="en-GB" w:eastAsia="en-GB"/>
        </w:rPr>
        <w:t xml:space="preserve"> studies varied considerably in terms of clinical setting, timing of sample collection, optimal threshold level, assay platforms, definition of AKI, number of AKI events, </w:t>
      </w:r>
      <w:r w:rsidR="004C298F" w:rsidRPr="000B4E2C">
        <w:rPr>
          <w:lang w:val="en-GB" w:eastAsia="en-GB"/>
        </w:rPr>
        <w:t xml:space="preserve">time of AKI diagnosis, </w:t>
      </w:r>
      <w:r w:rsidR="002F0133" w:rsidRPr="000B4E2C">
        <w:rPr>
          <w:lang w:val="en-GB" w:eastAsia="en-GB"/>
        </w:rPr>
        <w:t>inclusion</w:t>
      </w:r>
      <w:r w:rsidR="000B4E2C" w:rsidRPr="000B4E2C">
        <w:rPr>
          <w:color w:val="00B0F0"/>
          <w:lang w:val="en-GB" w:eastAsia="en-GB"/>
        </w:rPr>
        <w:t>/</w:t>
      </w:r>
      <w:r w:rsidR="002F0133" w:rsidRPr="000B4E2C">
        <w:rPr>
          <w:lang w:val="en-GB" w:eastAsia="en-GB"/>
        </w:rPr>
        <w:t xml:space="preserve">exclusion criteria the reliability and </w:t>
      </w:r>
      <w:r w:rsidR="000B4E2C" w:rsidRPr="000B4E2C">
        <w:rPr>
          <w:color w:val="00B0F0"/>
          <w:lang w:val="en-GB" w:eastAsia="en-GB"/>
        </w:rPr>
        <w:t>generalisability</w:t>
      </w:r>
      <w:r w:rsidR="002F0133" w:rsidRPr="000B4E2C">
        <w:rPr>
          <w:lang w:val="en-GB" w:eastAsia="en-GB"/>
        </w:rPr>
        <w:t xml:space="preserve"> of the observed findings is highly uncertain.</w:t>
      </w:r>
    </w:p>
    <w:p w14:paraId="7C9B44AA" w14:textId="77777777" w:rsidR="000B4E2C" w:rsidRPr="000B4E2C" w:rsidRDefault="00FB0351" w:rsidP="00FB0351">
      <w:pPr>
        <w:rPr>
          <w:lang w:val="en-GB" w:eastAsia="en-GB"/>
        </w:rPr>
      </w:pPr>
      <w:r w:rsidRPr="000B4E2C">
        <w:rPr>
          <w:lang w:val="en-GB" w:eastAsia="en-GB"/>
        </w:rPr>
        <w:t>We did not find any study that used the Alinity test (Abbott) or assessed the performance of the biomarkers for prediction of CKD. Similarly, we did not identify any study that assessed the impact of the routine use of the biomarkers on specific clinical outcomes in critically ill patients over current standard care.</w:t>
      </w:r>
    </w:p>
    <w:p w14:paraId="3E8CB0B0" w14:textId="521B4E64" w:rsidR="002F0133" w:rsidRPr="000B4E2C" w:rsidRDefault="002F0133" w:rsidP="008A7464">
      <w:pPr>
        <w:pStyle w:val="Heading3"/>
      </w:pPr>
      <w:r w:rsidRPr="000B4E2C">
        <w:t>Cost-effectiveness</w:t>
      </w:r>
    </w:p>
    <w:p w14:paraId="624C3BF5" w14:textId="52AB6F27" w:rsidR="000B4E2C" w:rsidRPr="000B4E2C" w:rsidRDefault="002F0133" w:rsidP="008A7464">
      <w:pPr>
        <w:rPr>
          <w:lang w:val="en-GB" w:eastAsia="en-GB"/>
        </w:rPr>
      </w:pPr>
      <w:r w:rsidRPr="000B4E2C">
        <w:rPr>
          <w:lang w:val="en-GB" w:eastAsia="en-GB"/>
        </w:rPr>
        <w:t>A probabilistic decision tree and Markov model were developed (adapted from the model used by Hall</w:t>
      </w:r>
      <w:r w:rsidRPr="000B4E2C">
        <w:rPr>
          <w:i/>
          <w:color w:val="00B0F0"/>
          <w:lang w:val="en-GB" w:eastAsia="en-GB"/>
        </w:rPr>
        <w:t xml:space="preserve"> et al</w:t>
      </w:r>
      <w:r w:rsidR="00FB0351" w:rsidRPr="000B4E2C">
        <w:rPr>
          <w:lang w:val="en-GB" w:eastAsia="en-GB"/>
        </w:rPr>
        <w:t>.)</w:t>
      </w:r>
      <w:r w:rsidR="005B5026" w:rsidRPr="000B4E2C">
        <w:rPr>
          <w:noProof/>
          <w:vertAlign w:val="superscript"/>
          <w:lang w:val="en-GB" w:eastAsia="en-GB"/>
        </w:rPr>
        <w:t>99</w:t>
      </w:r>
      <w:r w:rsidRPr="000B4E2C">
        <w:rPr>
          <w:lang w:val="en-GB" w:eastAsia="en-GB"/>
        </w:rPr>
        <w:t xml:space="preserve"> to describe the care pathway for a mixed prevalence cohort of CKD</w:t>
      </w:r>
      <w:r w:rsidR="000B4E2C" w:rsidRPr="000B4E2C">
        <w:rPr>
          <w:color w:val="00B0F0"/>
          <w:lang w:val="en-GB" w:eastAsia="en-GB"/>
        </w:rPr>
        <w:t>/</w:t>
      </w:r>
      <w:r w:rsidRPr="000B4E2C">
        <w:rPr>
          <w:lang w:val="en-GB" w:eastAsia="en-GB"/>
        </w:rPr>
        <w:t>no CKD patients in a hospital setting for patients at risk of developing AKI. The decision tree part of the model captured the acute phase, up to the first 90 days and modelled the risk of AKI, the potential for the use of biomarkers to prevent AKI or reduce its severity. We used a linked evidence approach to derive hypothesised links between the presence</w:t>
      </w:r>
      <w:r w:rsidR="000B4E2C" w:rsidRPr="000B4E2C">
        <w:rPr>
          <w:color w:val="00B0F0"/>
          <w:lang w:val="en-GB" w:eastAsia="en-GB"/>
        </w:rPr>
        <w:t>/</w:t>
      </w:r>
      <w:r w:rsidRPr="000B4E2C">
        <w:rPr>
          <w:lang w:val="en-GB" w:eastAsia="en-GB"/>
        </w:rPr>
        <w:t xml:space="preserve">absence of AKI and AKI severity on changes in health outcomes (need for ICU care, length of stay in hospital, need for acute RRT, 90-day mortality and development of CKD). In the absence of robust trial </w:t>
      </w:r>
      <w:r w:rsidRPr="000B4E2C">
        <w:rPr>
          <w:highlight w:val="magenta"/>
          <w:lang w:val="en-GB" w:eastAsia="en-GB"/>
        </w:rPr>
        <w:t>data</w:t>
      </w:r>
      <w:r w:rsidRPr="000B4E2C">
        <w:rPr>
          <w:lang w:val="en-GB" w:eastAsia="en-GB"/>
        </w:rPr>
        <w:t xml:space="preserve">, we derived these associations from an existing large observational </w:t>
      </w:r>
      <w:r w:rsidR="000B4E2C" w:rsidRPr="000B4E2C">
        <w:rPr>
          <w:color w:val="00B0F0"/>
          <w:highlight w:val="magenta"/>
          <w:lang w:val="en-GB" w:eastAsia="en-GB"/>
        </w:rPr>
        <w:t>data</w:t>
      </w:r>
      <w:r w:rsidR="000B4E2C" w:rsidRPr="000B4E2C">
        <w:rPr>
          <w:color w:val="00B0F0"/>
          <w:lang w:val="en-GB" w:eastAsia="en-GB"/>
        </w:rPr>
        <w:t xml:space="preserve"> set</w:t>
      </w:r>
      <w:r w:rsidR="00FB0351" w:rsidRPr="000B4E2C">
        <w:rPr>
          <w:lang w:val="en-GB" w:eastAsia="en-GB"/>
        </w:rPr>
        <w:t>.</w:t>
      </w:r>
      <w:r w:rsidR="005B5026" w:rsidRPr="000B4E2C">
        <w:rPr>
          <w:noProof/>
          <w:vertAlign w:val="superscript"/>
          <w:lang w:val="en-GB" w:eastAsia="en-GB"/>
        </w:rPr>
        <w:t>105</w:t>
      </w:r>
      <w:r w:rsidR="00484AA7" w:rsidRPr="000B4E2C">
        <w:rPr>
          <w:lang w:val="en-GB" w:eastAsia="en-GB"/>
        </w:rPr>
        <w:t xml:space="preserve"> </w:t>
      </w:r>
      <w:r w:rsidRPr="000B4E2C">
        <w:rPr>
          <w:lang w:val="en-GB" w:eastAsia="en-GB"/>
        </w:rPr>
        <w:t>The Markov model describes the progression of 4 cohorts (no AKI, AKI1, AKI2 and AKI3) through a set of mutually exclusive health states capturing CKD, ESRD, long term dialysis, kidney transplant and mortality. Progression through these states depends on an individual</w:t>
      </w:r>
      <w:r w:rsidR="0072128A" w:rsidRPr="000B4E2C">
        <w:rPr>
          <w:color w:val="00B0F0"/>
          <w:lang w:val="en-GB" w:eastAsia="en-GB"/>
        </w:rPr>
        <w:t>$$SingleQuoteE$$</w:t>
      </w:r>
      <w:r w:rsidRPr="000B4E2C">
        <w:rPr>
          <w:lang w:val="en-GB" w:eastAsia="en-GB"/>
        </w:rPr>
        <w:t>s AKI status in hospital, which influences the starting proportions in the Markov model CKD state.</w:t>
      </w:r>
    </w:p>
    <w:p w14:paraId="52650E3A" w14:textId="77777777" w:rsidR="000B4E2C" w:rsidRPr="000B4E2C" w:rsidRDefault="002F0133" w:rsidP="008A7464">
      <w:pPr>
        <w:rPr>
          <w:lang w:val="en-GB" w:eastAsia="en-GB"/>
        </w:rPr>
      </w:pPr>
      <w:r w:rsidRPr="000B4E2C">
        <w:rPr>
          <w:lang w:val="en-GB" w:eastAsia="en-GB"/>
        </w:rPr>
        <w:t xml:space="preserve">The model includes health service perspective costs of biomarkers, early application of a KDIGO care bundle, hospitalisation (including ICU and ward costs), acute and long-term dialysis costs, long-term outpatient </w:t>
      </w:r>
      <w:r w:rsidRPr="000B4E2C">
        <w:rPr>
          <w:highlight w:val="magenta"/>
          <w:lang w:val="en-GB" w:eastAsia="en-GB"/>
        </w:rPr>
        <w:t>follow up</w:t>
      </w:r>
      <w:r w:rsidRPr="000B4E2C">
        <w:rPr>
          <w:lang w:val="en-GB" w:eastAsia="en-GB"/>
        </w:rPr>
        <w:t xml:space="preserve"> costs, and transplant and immunosuppressant costs. Health state utility values and modelled mortality risk were combined to generate estimates of QALYs gained for each test. The model included the functionality to apply additional </w:t>
      </w:r>
      <w:r w:rsidRPr="000B4E2C">
        <w:rPr>
          <w:highlight w:val="magenta"/>
          <w:lang w:val="en-GB" w:eastAsia="en-GB"/>
        </w:rPr>
        <w:t>follow up</w:t>
      </w:r>
      <w:r w:rsidRPr="000B4E2C">
        <w:rPr>
          <w:lang w:val="en-GB" w:eastAsia="en-GB"/>
        </w:rPr>
        <w:t xml:space="preserve"> costs and mortality risk over the longer term for patients admitted into ICU in their index admission.</w:t>
      </w:r>
    </w:p>
    <w:p w14:paraId="62A2E286" w14:textId="77777777" w:rsidR="000B4E2C" w:rsidRPr="000B4E2C" w:rsidRDefault="002F0133" w:rsidP="008A7464">
      <w:pPr>
        <w:rPr>
          <w:lang w:val="en-GB" w:eastAsia="en-GB"/>
        </w:rPr>
      </w:pPr>
      <w:r w:rsidRPr="000B4E2C">
        <w:rPr>
          <w:lang w:val="en-GB" w:eastAsia="en-GB"/>
        </w:rPr>
        <w:t xml:space="preserve">The cumulative expected value of costs and QALYs were simulated over a lifetime horizon for each cohort under the standard care and each of the biomarker strategies and all results were reported as probabilistic ICERs. We found no trial </w:t>
      </w:r>
      <w:r w:rsidRPr="000B4E2C">
        <w:rPr>
          <w:highlight w:val="magenta"/>
          <w:lang w:val="en-GB" w:eastAsia="en-GB"/>
        </w:rPr>
        <w:t>data</w:t>
      </w:r>
      <w:r w:rsidRPr="000B4E2C">
        <w:rPr>
          <w:lang w:val="en-GB" w:eastAsia="en-GB"/>
        </w:rPr>
        <w:t xml:space="preserve"> that could provide effect estimates for the extent to which biomarkers could both </w:t>
      </w:r>
      <w:r w:rsidRPr="000B4E2C">
        <w:rPr>
          <w:highlight w:val="magenta"/>
          <w:lang w:val="en-GB" w:eastAsia="en-GB"/>
        </w:rPr>
        <w:t>mitigate</w:t>
      </w:r>
      <w:r w:rsidRPr="000B4E2C">
        <w:rPr>
          <w:lang w:val="en-GB" w:eastAsia="en-GB"/>
        </w:rPr>
        <w:t xml:space="preserve"> AKI and improve outcomes. Therefore, the model was built around a series of plausible proportional effects of averting</w:t>
      </w:r>
      <w:r w:rsidR="000B4E2C" w:rsidRPr="000B4E2C">
        <w:rPr>
          <w:color w:val="00B0F0"/>
          <w:lang w:val="en-GB" w:eastAsia="en-GB"/>
        </w:rPr>
        <w:t>/</w:t>
      </w:r>
      <w:r w:rsidRPr="000B4E2C">
        <w:rPr>
          <w:lang w:val="en-GB" w:eastAsia="en-GB"/>
        </w:rPr>
        <w:t>reducing the severity of AKI on changes in health outcomes. These ranged from optimistic scenarios where patients who had AKI averted as result of a biomarker-guided early implementation of a care bundle, experienced the same risk of ICU, mortality and CKD as if they were in the no AKI cohort; to more pessimistic scenarios where the prevention of AKI or reduction of its severity had no impact on health outcomes.</w:t>
      </w:r>
    </w:p>
    <w:p w14:paraId="2AFD5E6B" w14:textId="77777777" w:rsidR="000B4E2C" w:rsidRPr="000B4E2C" w:rsidRDefault="002F0133" w:rsidP="008A7464">
      <w:pPr>
        <w:rPr>
          <w:lang w:val="en-GB" w:eastAsia="en-GB"/>
        </w:rPr>
      </w:pPr>
      <w:r w:rsidRPr="000B4E2C">
        <w:rPr>
          <w:lang w:val="en-GB" w:eastAsia="en-GB"/>
        </w:rPr>
        <w:t xml:space="preserve">The costs and QALYs for standard care and each biomarker test strategy were ranked in ascending order of costs, where strategies that were more costly and less effective than an alternative were dominated and excluded from the calculation of the ICERs. In this scenario, the highest ICER value under the threshold represents the </w:t>
      </w:r>
      <w:r w:rsidRPr="000B4E2C">
        <w:rPr>
          <w:lang w:val="en-GB" w:eastAsia="en-GB"/>
        </w:rPr>
        <w:lastRenderedPageBreak/>
        <w:t>best value for money strategy. All scenarios were also compared directly with standard care. In all cases, the probability of cost-effectiveness from the probabilistic simulation was reported.</w:t>
      </w:r>
    </w:p>
    <w:p w14:paraId="2FC07D34" w14:textId="69903971" w:rsidR="000B4E2C" w:rsidRPr="000B4E2C" w:rsidRDefault="002F0133" w:rsidP="008A7464">
      <w:pPr>
        <w:rPr>
          <w:szCs w:val="24"/>
        </w:rPr>
      </w:pPr>
      <w:r w:rsidRPr="000B4E2C">
        <w:t xml:space="preserve">Cost-effectiveness results were highly uncertain, and ICERs were subject to wide variation depending on the set of scenarios chosen. </w:t>
      </w:r>
      <w:r w:rsidRPr="000B4E2C">
        <w:rPr>
          <w:szCs w:val="24"/>
        </w:rPr>
        <w:t xml:space="preserve">The probability of cost-effectiveness at an ICER </w:t>
      </w:r>
      <w:r w:rsidR="000B4E2C" w:rsidRPr="000B4E2C">
        <w:rPr>
          <w:color w:val="00B0F0"/>
          <w:szCs w:val="24"/>
        </w:rPr>
        <w:t>&lt;</w:t>
      </w:r>
      <w:r w:rsidR="000B4E2C" w:rsidRPr="000B4E2C">
        <w:rPr>
          <w:color w:val="00B0F0"/>
          <w:szCs w:val="24"/>
        </w:rPr>
        <w:t> </w:t>
      </w:r>
      <w:r w:rsidRPr="000B4E2C">
        <w:rPr>
          <w:szCs w:val="24"/>
        </w:rPr>
        <w:t>£20,000 per QALY gained for scenarios where NGAL is assumed equally effective as NephroCheck in preventing AKI ranged from 0% to 15% (NephroCheck); 0</w:t>
      </w:r>
      <w:r w:rsidR="000B4E2C" w:rsidRPr="000B4E2C">
        <w:rPr>
          <w:color w:val="00B0F0"/>
          <w:szCs w:val="24"/>
        </w:rPr>
        <w:t>–</w:t>
      </w:r>
      <w:r w:rsidR="000B4E2C" w:rsidRPr="000B4E2C">
        <w:rPr>
          <w:color w:val="00B0F0"/>
          <w:szCs w:val="24"/>
        </w:rPr>
        <w:t>5</w:t>
      </w:r>
      <w:r w:rsidRPr="000B4E2C">
        <w:rPr>
          <w:szCs w:val="24"/>
        </w:rPr>
        <w:t xml:space="preserve">5% (NGAL Urine </w:t>
      </w:r>
      <w:r w:rsidR="009D7F5A" w:rsidRPr="000B4E2C">
        <w:rPr>
          <w:szCs w:val="24"/>
        </w:rPr>
        <w:t>BioPorto</w:t>
      </w:r>
      <w:r w:rsidRPr="000B4E2C">
        <w:rPr>
          <w:szCs w:val="24"/>
        </w:rPr>
        <w:t>); 0</w:t>
      </w:r>
      <w:r w:rsidR="000B4E2C" w:rsidRPr="000B4E2C">
        <w:rPr>
          <w:color w:val="00B0F0"/>
          <w:szCs w:val="24"/>
        </w:rPr>
        <w:t>–</w:t>
      </w:r>
      <w:r w:rsidR="000B4E2C" w:rsidRPr="000B4E2C">
        <w:rPr>
          <w:color w:val="00B0F0"/>
          <w:szCs w:val="24"/>
        </w:rPr>
        <w:t>2</w:t>
      </w:r>
      <w:r w:rsidRPr="000B4E2C">
        <w:rPr>
          <w:szCs w:val="24"/>
        </w:rPr>
        <w:t>% (NGAL ARCHITECT Abbott) and 0</w:t>
      </w:r>
      <w:r w:rsidR="000B4E2C" w:rsidRPr="000B4E2C">
        <w:rPr>
          <w:color w:val="00B0F0"/>
          <w:szCs w:val="24"/>
        </w:rPr>
        <w:t>–</w:t>
      </w:r>
      <w:r w:rsidR="000B4E2C" w:rsidRPr="000B4E2C">
        <w:rPr>
          <w:color w:val="00B0F0"/>
          <w:szCs w:val="24"/>
        </w:rPr>
        <w:t>4</w:t>
      </w:r>
      <w:r w:rsidRPr="000B4E2C">
        <w:rPr>
          <w:szCs w:val="24"/>
        </w:rPr>
        <w:t xml:space="preserve">8% (NGAL </w:t>
      </w:r>
      <w:r w:rsidR="009D7F5A" w:rsidRPr="000B4E2C">
        <w:rPr>
          <w:szCs w:val="24"/>
        </w:rPr>
        <w:t>BioPorto</w:t>
      </w:r>
      <w:r w:rsidRPr="000B4E2C">
        <w:rPr>
          <w:szCs w:val="24"/>
        </w:rPr>
        <w:t xml:space="preserve"> Plasma). NGAL urine (</w:t>
      </w:r>
      <w:r w:rsidR="009D7F5A" w:rsidRPr="000B4E2C">
        <w:rPr>
          <w:szCs w:val="24"/>
        </w:rPr>
        <w:t>BioPorto</w:t>
      </w:r>
      <w:r w:rsidRPr="000B4E2C">
        <w:rPr>
          <w:szCs w:val="24"/>
        </w:rPr>
        <w:t xml:space="preserve">) was generally the test associated with the greatest probability of cost-effectiveness, albeit highly uncertain, when </w:t>
      </w:r>
      <w:r w:rsidRPr="000B4E2C">
        <w:rPr>
          <w:szCs w:val="24"/>
          <w:highlight w:val="magenta"/>
        </w:rPr>
        <w:t>c</w:t>
      </w:r>
      <w:r w:rsidR="004A38D7" w:rsidRPr="000B4E2C">
        <w:rPr>
          <w:szCs w:val="24"/>
          <w:highlight w:val="magenta"/>
        </w:rPr>
        <w:t>ompared to</w:t>
      </w:r>
      <w:r w:rsidR="004A38D7" w:rsidRPr="000B4E2C">
        <w:rPr>
          <w:szCs w:val="24"/>
        </w:rPr>
        <w:t xml:space="preserve"> standard care only. </w:t>
      </w:r>
      <w:r w:rsidRPr="000B4E2C">
        <w:rPr>
          <w:szCs w:val="24"/>
        </w:rPr>
        <w:t>This is because NGAL urine (</w:t>
      </w:r>
      <w:r w:rsidR="009D7F5A" w:rsidRPr="000B4E2C">
        <w:rPr>
          <w:szCs w:val="24"/>
        </w:rPr>
        <w:t>BioPorto</w:t>
      </w:r>
      <w:r w:rsidRPr="000B4E2C">
        <w:rPr>
          <w:szCs w:val="24"/>
        </w:rPr>
        <w:t xml:space="preserve">) had slightly better diagnostic test accuracy </w:t>
      </w:r>
      <w:r w:rsidRPr="000B4E2C">
        <w:rPr>
          <w:szCs w:val="24"/>
          <w:highlight w:val="magenta"/>
        </w:rPr>
        <w:t>data</w:t>
      </w:r>
      <w:r w:rsidRPr="000B4E2C">
        <w:rPr>
          <w:szCs w:val="24"/>
        </w:rPr>
        <w:t xml:space="preserve"> and slightly lower test costs </w:t>
      </w:r>
      <w:r w:rsidRPr="000B4E2C">
        <w:rPr>
          <w:szCs w:val="24"/>
          <w:highlight w:val="magenta"/>
        </w:rPr>
        <w:t>compared t</w:t>
      </w:r>
      <w:r w:rsidR="004A38D7" w:rsidRPr="000B4E2C">
        <w:rPr>
          <w:szCs w:val="24"/>
          <w:highlight w:val="magenta"/>
        </w:rPr>
        <w:t>o</w:t>
      </w:r>
      <w:r w:rsidR="004A38D7" w:rsidRPr="000B4E2C">
        <w:rPr>
          <w:szCs w:val="24"/>
        </w:rPr>
        <w:t xml:space="preserve"> the comparator tests. </w:t>
      </w:r>
      <w:r w:rsidRPr="000B4E2C">
        <w:rPr>
          <w:szCs w:val="24"/>
        </w:rPr>
        <w:t>However, there is substantial uncertainty in the diagnostic test accuracy, driven by study heterogeneity, therefore results should be interpreted cautiously.</w:t>
      </w:r>
    </w:p>
    <w:p w14:paraId="5E7FDB35" w14:textId="77777777" w:rsidR="000B4E2C" w:rsidRPr="000B4E2C" w:rsidRDefault="002F0133" w:rsidP="008A7464">
      <w:pPr>
        <w:rPr>
          <w:szCs w:val="24"/>
        </w:rPr>
      </w:pPr>
      <w:r w:rsidRPr="000B4E2C">
        <w:rPr>
          <w:szCs w:val="24"/>
        </w:rPr>
        <w:t>When it is assumed NGAL cannot avert AKI, but can only reduce its severity, the cost-effectiveness case for NephroCheck improves substantially, but remains highly uncertain with a probability of cost-effectiveness ranging from 0% to 99% across the explored scenarios.</w:t>
      </w:r>
    </w:p>
    <w:p w14:paraId="0866E7A1" w14:textId="77777777" w:rsidR="000B4E2C" w:rsidRPr="000B4E2C" w:rsidRDefault="002F0133" w:rsidP="008A7464">
      <w:pPr>
        <w:rPr>
          <w:color w:val="000000" w:themeColor="text1"/>
          <w:lang w:val="en-GB" w:eastAsia="en-GB"/>
        </w:rPr>
      </w:pPr>
      <w:r w:rsidRPr="000B4E2C">
        <w:rPr>
          <w:color w:val="000000" w:themeColor="text1"/>
          <w:lang w:val="en-GB" w:eastAsia="en-GB"/>
        </w:rPr>
        <w:t xml:space="preserve">In general, our model results generate a less favourable assessment of cost-effectiveness for the biomarker tests </w:t>
      </w:r>
      <w:r w:rsidRPr="000B4E2C">
        <w:rPr>
          <w:color w:val="000000" w:themeColor="text1"/>
          <w:highlight w:val="magenta"/>
          <w:lang w:val="en-GB" w:eastAsia="en-GB"/>
        </w:rPr>
        <w:t>compared to</w:t>
      </w:r>
      <w:r w:rsidRPr="000B4E2C">
        <w:rPr>
          <w:color w:val="000000" w:themeColor="text1"/>
          <w:lang w:val="en-GB" w:eastAsia="en-GB"/>
        </w:rPr>
        <w:t xml:space="preserve"> that of Hall</w:t>
      </w:r>
      <w:r w:rsidRPr="000B4E2C">
        <w:rPr>
          <w:i/>
          <w:color w:val="00B0F0"/>
          <w:lang w:val="en-GB" w:eastAsia="en-GB"/>
        </w:rPr>
        <w:t xml:space="preserve"> et al</w:t>
      </w:r>
      <w:r w:rsidR="005B5026" w:rsidRPr="000B4E2C">
        <w:rPr>
          <w:noProof/>
          <w:color w:val="000000" w:themeColor="text1"/>
          <w:vertAlign w:val="superscript"/>
          <w:lang w:val="en-GB" w:eastAsia="en-GB"/>
        </w:rPr>
        <w:t>99</w:t>
      </w:r>
      <w:r w:rsidRPr="000B4E2C">
        <w:rPr>
          <w:color w:val="000000" w:themeColor="text1"/>
          <w:lang w:val="en-GB" w:eastAsia="en-GB"/>
        </w:rPr>
        <w:t xml:space="preserve">. There are </w:t>
      </w:r>
      <w:r w:rsidR="001465A3" w:rsidRPr="000B4E2C">
        <w:rPr>
          <w:color w:val="000000" w:themeColor="text1"/>
          <w:lang w:val="en-GB" w:eastAsia="en-GB"/>
        </w:rPr>
        <w:t>five</w:t>
      </w:r>
      <w:r w:rsidR="004A38D7" w:rsidRPr="000B4E2C">
        <w:rPr>
          <w:color w:val="000000" w:themeColor="text1"/>
          <w:lang w:val="en-GB" w:eastAsia="en-GB"/>
        </w:rPr>
        <w:t xml:space="preserve"> reasons why this is the case. </w:t>
      </w:r>
      <w:r w:rsidRPr="000B4E2C">
        <w:rPr>
          <w:color w:val="000000" w:themeColor="text1"/>
          <w:lang w:val="en-GB" w:eastAsia="en-GB"/>
        </w:rPr>
        <w:t>First, the prevalence of AKI in the Hall</w:t>
      </w:r>
      <w:r w:rsidRPr="000B4E2C">
        <w:rPr>
          <w:i/>
          <w:color w:val="00B0F0"/>
          <w:lang w:val="en-GB" w:eastAsia="en-GB"/>
        </w:rPr>
        <w:t xml:space="preserve"> et al</w:t>
      </w:r>
      <w:r w:rsidRPr="000B4E2C">
        <w:rPr>
          <w:color w:val="000000" w:themeColor="text1"/>
          <w:lang w:val="en-GB" w:eastAsia="en-GB"/>
        </w:rPr>
        <w:t xml:space="preserve">. study was much higher (31.7%) </w:t>
      </w:r>
      <w:r w:rsidRPr="000B4E2C">
        <w:rPr>
          <w:color w:val="000000" w:themeColor="text1"/>
          <w:highlight w:val="magenta"/>
          <w:lang w:val="en-GB" w:eastAsia="en-GB"/>
        </w:rPr>
        <w:t>compared to</w:t>
      </w:r>
      <w:r w:rsidRPr="000B4E2C">
        <w:rPr>
          <w:color w:val="000000" w:themeColor="text1"/>
          <w:lang w:val="en-GB" w:eastAsia="en-GB"/>
        </w:rPr>
        <w:t xml:space="preserve"> our prevalent AKI population (9.2%). The higher prevalence might be explained by AKI being more common in the ICU setting (starting cohort in Hall</w:t>
      </w:r>
      <w:r w:rsidRPr="000B4E2C">
        <w:rPr>
          <w:i/>
          <w:color w:val="00B0F0"/>
          <w:lang w:val="en-GB" w:eastAsia="en-GB"/>
        </w:rPr>
        <w:t xml:space="preserve"> et al</w:t>
      </w:r>
      <w:r w:rsidRPr="000B4E2C">
        <w:rPr>
          <w:color w:val="000000" w:themeColor="text1"/>
          <w:lang w:val="en-GB" w:eastAsia="en-GB"/>
        </w:rPr>
        <w:t>.) than in a hospital ward (the starting cohort in our economic model).</w:t>
      </w:r>
    </w:p>
    <w:p w14:paraId="5A2690CC" w14:textId="0177D369" w:rsidR="000B4E2C" w:rsidRPr="000B4E2C" w:rsidRDefault="002F0133" w:rsidP="008A7464">
      <w:pPr>
        <w:rPr>
          <w:color w:val="000000" w:themeColor="text1"/>
          <w:lang w:val="en-GB" w:eastAsia="en-GB"/>
        </w:rPr>
      </w:pPr>
      <w:r w:rsidRPr="000B4E2C">
        <w:rPr>
          <w:color w:val="000000" w:themeColor="text1"/>
          <w:lang w:val="en-GB" w:eastAsia="en-GB"/>
        </w:rPr>
        <w:t>Secondly, the settings are different. Hall</w:t>
      </w:r>
      <w:r w:rsidRPr="000B4E2C">
        <w:rPr>
          <w:i/>
          <w:color w:val="00B0F0"/>
          <w:lang w:val="en-GB" w:eastAsia="en-GB"/>
        </w:rPr>
        <w:t xml:space="preserve"> et al</w:t>
      </w:r>
      <w:r w:rsidRPr="000B4E2C">
        <w:rPr>
          <w:color w:val="000000" w:themeColor="text1"/>
          <w:lang w:val="en-GB" w:eastAsia="en-GB"/>
        </w:rPr>
        <w:t>. evaluated the cost-effectiveness of biomarkers for detecting AKI in a critical care setting while our assessment evaluated the cost-effectiveness of AKI</w:t>
      </w:r>
      <w:r w:rsidR="00FB0351" w:rsidRPr="000B4E2C">
        <w:rPr>
          <w:color w:val="000000" w:themeColor="text1"/>
          <w:lang w:val="en-GB" w:eastAsia="en-GB"/>
        </w:rPr>
        <w:t xml:space="preserve"> biomarkers in a critically ill, </w:t>
      </w:r>
      <w:r w:rsidRPr="000B4E2C">
        <w:rPr>
          <w:color w:val="000000" w:themeColor="text1"/>
          <w:lang w:val="en-GB" w:eastAsia="en-GB"/>
        </w:rPr>
        <w:t>hospitalised</w:t>
      </w:r>
      <w:r w:rsidR="00FB0351" w:rsidRPr="000B4E2C">
        <w:rPr>
          <w:color w:val="000000" w:themeColor="text1"/>
          <w:lang w:val="en-GB" w:eastAsia="en-GB"/>
        </w:rPr>
        <w:t>,</w:t>
      </w:r>
      <w:r w:rsidRPr="000B4E2C">
        <w:rPr>
          <w:color w:val="000000" w:themeColor="text1"/>
          <w:lang w:val="en-GB" w:eastAsia="en-GB"/>
        </w:rPr>
        <w:t xml:space="preserve"> cohort considered f</w:t>
      </w:r>
      <w:r w:rsidR="00FB0351" w:rsidRPr="000B4E2C">
        <w:rPr>
          <w:color w:val="000000" w:themeColor="text1"/>
          <w:lang w:val="en-GB" w:eastAsia="en-GB"/>
        </w:rPr>
        <w:t xml:space="preserve">or admission to critical care. </w:t>
      </w:r>
      <w:r w:rsidRPr="000B4E2C">
        <w:rPr>
          <w:color w:val="000000" w:themeColor="text1"/>
          <w:lang w:val="en-GB" w:eastAsia="en-GB"/>
        </w:rPr>
        <w:t xml:space="preserve">The </w:t>
      </w:r>
      <w:r w:rsidRPr="000B4E2C">
        <w:rPr>
          <w:color w:val="000000" w:themeColor="text1"/>
          <w:highlight w:val="magenta"/>
          <w:lang w:val="en-GB" w:eastAsia="en-GB"/>
        </w:rPr>
        <w:t>data</w:t>
      </w:r>
      <w:r w:rsidRPr="000B4E2C">
        <w:rPr>
          <w:color w:val="000000" w:themeColor="text1"/>
          <w:lang w:val="en-GB" w:eastAsia="en-GB"/>
        </w:rPr>
        <w:t xml:space="preserve"> sources used to populate the acute pha</w:t>
      </w:r>
      <w:r w:rsidR="00FB0351" w:rsidRPr="000B4E2C">
        <w:rPr>
          <w:color w:val="000000" w:themeColor="text1"/>
          <w:lang w:val="en-GB" w:eastAsia="en-GB"/>
        </w:rPr>
        <w:t xml:space="preserve">se of the model are different. </w:t>
      </w:r>
      <w:r w:rsidRPr="000B4E2C">
        <w:rPr>
          <w:color w:val="000000" w:themeColor="text1"/>
          <w:lang w:val="en-GB" w:eastAsia="en-GB"/>
        </w:rPr>
        <w:t>Hall</w:t>
      </w:r>
      <w:r w:rsidRPr="000B4E2C">
        <w:rPr>
          <w:i/>
          <w:color w:val="00B0F0"/>
          <w:lang w:val="en-GB" w:eastAsia="en-GB"/>
        </w:rPr>
        <w:t xml:space="preserve"> et al</w:t>
      </w:r>
      <w:r w:rsidRPr="000B4E2C">
        <w:rPr>
          <w:color w:val="000000" w:themeColor="text1"/>
          <w:lang w:val="en-GB" w:eastAsia="en-GB"/>
        </w:rPr>
        <w:t xml:space="preserve">. relied on daily transitions between ICU, hospital and discharge up to 90 days, whereas we have relied on a large observational </w:t>
      </w:r>
      <w:r w:rsidR="000B4E2C" w:rsidRPr="000B4E2C">
        <w:rPr>
          <w:color w:val="00B0F0"/>
          <w:highlight w:val="magenta"/>
          <w:lang w:val="en-GB" w:eastAsia="en-GB"/>
        </w:rPr>
        <w:t>data</w:t>
      </w:r>
      <w:r w:rsidR="000B4E2C" w:rsidRPr="000B4E2C">
        <w:rPr>
          <w:color w:val="00B0F0"/>
          <w:lang w:val="en-GB" w:eastAsia="en-GB"/>
        </w:rPr>
        <w:t xml:space="preserve"> set</w:t>
      </w:r>
      <w:r w:rsidRPr="000B4E2C">
        <w:rPr>
          <w:color w:val="000000" w:themeColor="text1"/>
          <w:lang w:val="en-GB" w:eastAsia="en-GB"/>
        </w:rPr>
        <w:t xml:space="preserve"> to populate the potential link between changes in </w:t>
      </w:r>
      <w:r w:rsidR="00FB0351" w:rsidRPr="000B4E2C">
        <w:rPr>
          <w:color w:val="000000" w:themeColor="text1"/>
          <w:lang w:val="en-GB" w:eastAsia="en-GB"/>
        </w:rPr>
        <w:t>AKI status and health outcomes.</w:t>
      </w:r>
      <w:r w:rsidRPr="000B4E2C">
        <w:rPr>
          <w:color w:val="000000" w:themeColor="text1"/>
          <w:lang w:val="en-GB" w:eastAsia="en-GB"/>
        </w:rPr>
        <w:t xml:space="preserve"> Therefore, the costs and utilities applied in the acute phase of the base case models differ between the two analyses.</w:t>
      </w:r>
    </w:p>
    <w:p w14:paraId="72C33423" w14:textId="6ED0C51B" w:rsidR="002F0133" w:rsidRPr="000B4E2C" w:rsidRDefault="002F0133" w:rsidP="008A7464">
      <w:pPr>
        <w:rPr>
          <w:color w:val="000000" w:themeColor="text1"/>
          <w:lang w:val="en-GB" w:eastAsia="en-GB"/>
        </w:rPr>
      </w:pPr>
      <w:r w:rsidRPr="000B4E2C">
        <w:rPr>
          <w:color w:val="000000" w:themeColor="text1"/>
          <w:lang w:val="en-GB" w:eastAsia="en-GB"/>
        </w:rPr>
        <w:t xml:space="preserve">Thirdly, both models produce estimates of cost-effectiveness that are sensitive to the </w:t>
      </w:r>
      <w:r w:rsidRPr="000B4E2C">
        <w:rPr>
          <w:color w:val="000000" w:themeColor="text1"/>
          <w:highlight w:val="magenta"/>
          <w:lang w:val="en-GB" w:eastAsia="en-GB"/>
        </w:rPr>
        <w:t>data</w:t>
      </w:r>
      <w:r w:rsidRPr="000B4E2C">
        <w:rPr>
          <w:color w:val="000000" w:themeColor="text1"/>
          <w:lang w:val="en-GB" w:eastAsia="en-GB"/>
        </w:rPr>
        <w:t xml:space="preserve"> used for the dia</w:t>
      </w:r>
      <w:r w:rsidR="00FB0351" w:rsidRPr="000B4E2C">
        <w:rPr>
          <w:color w:val="000000" w:themeColor="text1"/>
          <w:lang w:val="en-GB" w:eastAsia="en-GB"/>
        </w:rPr>
        <w:t xml:space="preserve">gnostic accuracy of the tests. </w:t>
      </w:r>
      <w:r w:rsidRPr="000B4E2C">
        <w:rPr>
          <w:color w:val="000000" w:themeColor="text1"/>
          <w:lang w:val="en-GB" w:eastAsia="en-GB"/>
        </w:rPr>
        <w:t>The diagnostic accur</w:t>
      </w:r>
      <w:r w:rsidR="00FB0351" w:rsidRPr="000B4E2C">
        <w:rPr>
          <w:color w:val="000000" w:themeColor="text1"/>
          <w:lang w:val="en-GB" w:eastAsia="en-GB"/>
        </w:rPr>
        <w:t xml:space="preserve">acy </w:t>
      </w:r>
      <w:r w:rsidR="00FB0351" w:rsidRPr="000B4E2C">
        <w:rPr>
          <w:color w:val="000000" w:themeColor="text1"/>
          <w:highlight w:val="magenta"/>
          <w:lang w:val="en-GB" w:eastAsia="en-GB"/>
        </w:rPr>
        <w:t>data</w:t>
      </w:r>
      <w:r w:rsidR="00FB0351" w:rsidRPr="000B4E2C">
        <w:rPr>
          <w:color w:val="000000" w:themeColor="text1"/>
          <w:lang w:val="en-GB" w:eastAsia="en-GB"/>
        </w:rPr>
        <w:t xml:space="preserve"> applied in Hall</w:t>
      </w:r>
      <w:r w:rsidR="00FB0351" w:rsidRPr="000B4E2C">
        <w:rPr>
          <w:i/>
          <w:color w:val="00B0F0"/>
          <w:lang w:val="en-GB" w:eastAsia="en-GB"/>
        </w:rPr>
        <w:t xml:space="preserve"> et al</w:t>
      </w:r>
      <w:r w:rsidR="00FB0351" w:rsidRPr="000B4E2C">
        <w:rPr>
          <w:color w:val="000000" w:themeColor="text1"/>
          <w:lang w:val="en-GB" w:eastAsia="en-GB"/>
        </w:rPr>
        <w:t>.</w:t>
      </w:r>
      <w:r w:rsidR="004A38D7" w:rsidRPr="000B4E2C">
        <w:rPr>
          <w:color w:val="000000" w:themeColor="text1"/>
          <w:lang w:val="en-GB" w:eastAsia="en-GB"/>
        </w:rPr>
        <w:t xml:space="preserve"> are different from</w:t>
      </w:r>
      <w:r w:rsidRPr="000B4E2C">
        <w:rPr>
          <w:color w:val="000000" w:themeColor="text1"/>
          <w:lang w:val="en-GB" w:eastAsia="en-GB"/>
        </w:rPr>
        <w:t xml:space="preserve"> those obtained from our meta-analyses, likely </w:t>
      </w:r>
      <w:r w:rsidRPr="000B4E2C">
        <w:rPr>
          <w:color w:val="000000" w:themeColor="text1"/>
          <w:highlight w:val="magenta"/>
          <w:lang w:val="en-GB" w:eastAsia="en-GB"/>
        </w:rPr>
        <w:t>due to</w:t>
      </w:r>
      <w:r w:rsidRPr="000B4E2C">
        <w:rPr>
          <w:color w:val="000000" w:themeColor="text1"/>
          <w:lang w:val="en-GB" w:eastAsia="en-GB"/>
        </w:rPr>
        <w:t xml:space="preserve"> new studies becoming available </w:t>
      </w:r>
      <w:r w:rsidR="00FB0351" w:rsidRPr="000B4E2C">
        <w:rPr>
          <w:color w:val="000000" w:themeColor="text1"/>
          <w:lang w:val="en-GB" w:eastAsia="en-GB"/>
        </w:rPr>
        <w:t>since the Hall</w:t>
      </w:r>
      <w:r w:rsidR="00FB0351" w:rsidRPr="000B4E2C">
        <w:rPr>
          <w:i/>
          <w:color w:val="00B0F0"/>
          <w:lang w:val="en-GB" w:eastAsia="en-GB"/>
        </w:rPr>
        <w:t xml:space="preserve"> et al</w:t>
      </w:r>
      <w:r w:rsidR="00FB0351" w:rsidRPr="000B4E2C">
        <w:rPr>
          <w:color w:val="000000" w:themeColor="text1"/>
          <w:lang w:val="en-GB" w:eastAsia="en-GB"/>
        </w:rPr>
        <w:t>. publication</w:t>
      </w:r>
      <w:r w:rsidRPr="000B4E2C">
        <w:rPr>
          <w:color w:val="000000" w:themeColor="text1"/>
          <w:lang w:val="en-GB" w:eastAsia="en-GB"/>
        </w:rPr>
        <w:t xml:space="preserve"> and the wider setting for our mo</w:t>
      </w:r>
      <w:r w:rsidR="00FB0351" w:rsidRPr="000B4E2C">
        <w:rPr>
          <w:color w:val="000000" w:themeColor="text1"/>
          <w:lang w:val="en-GB" w:eastAsia="en-GB"/>
        </w:rPr>
        <w:t xml:space="preserve">del. </w:t>
      </w:r>
      <w:r w:rsidRPr="000B4E2C">
        <w:rPr>
          <w:color w:val="000000" w:themeColor="text1"/>
          <w:lang w:val="en-GB" w:eastAsia="en-GB"/>
        </w:rPr>
        <w:t>For example, the sensitivity of NephroCheck was 0.9</w:t>
      </w:r>
      <w:r w:rsidR="00FB0351" w:rsidRPr="000B4E2C">
        <w:rPr>
          <w:color w:val="000000" w:themeColor="text1"/>
          <w:lang w:val="en-GB" w:eastAsia="en-GB"/>
        </w:rPr>
        <w:t>0</w:t>
      </w:r>
      <w:r w:rsidRPr="000B4E2C">
        <w:rPr>
          <w:color w:val="000000" w:themeColor="text1"/>
          <w:lang w:val="en-GB" w:eastAsia="en-GB"/>
        </w:rPr>
        <w:t xml:space="preserve"> in Hall</w:t>
      </w:r>
      <w:r w:rsidRPr="000B4E2C">
        <w:rPr>
          <w:i/>
          <w:color w:val="00B0F0"/>
          <w:lang w:val="en-GB" w:eastAsia="en-GB"/>
        </w:rPr>
        <w:t xml:space="preserve"> et al</w:t>
      </w:r>
      <w:r w:rsidRPr="000B4E2C">
        <w:rPr>
          <w:color w:val="000000" w:themeColor="text1"/>
          <w:lang w:val="en-GB" w:eastAsia="en-GB"/>
        </w:rPr>
        <w:t xml:space="preserve">. and 0.75 in our meta-analysis. </w:t>
      </w:r>
      <w:r w:rsidR="00FB0351" w:rsidRPr="000B4E2C">
        <w:rPr>
          <w:color w:val="000000" w:themeColor="text1"/>
          <w:lang w:val="en-GB" w:eastAsia="en-GB"/>
        </w:rPr>
        <w:t xml:space="preserve">Consequently, </w:t>
      </w:r>
      <w:r w:rsidRPr="000B4E2C">
        <w:rPr>
          <w:color w:val="000000" w:themeColor="text1"/>
          <w:lang w:val="en-GB" w:eastAsia="en-GB"/>
        </w:rPr>
        <w:t>NephroCheck ident</w:t>
      </w:r>
      <w:r w:rsidR="00FB0351" w:rsidRPr="000B4E2C">
        <w:rPr>
          <w:color w:val="000000" w:themeColor="text1"/>
          <w:lang w:val="en-GB" w:eastAsia="en-GB"/>
        </w:rPr>
        <w:t>ified more true positive cases, which</w:t>
      </w:r>
      <w:r w:rsidRPr="000B4E2C">
        <w:rPr>
          <w:color w:val="000000" w:themeColor="text1"/>
          <w:lang w:val="en-GB" w:eastAsia="en-GB"/>
        </w:rPr>
        <w:t xml:space="preserve"> generated greater QALY gains in Hall</w:t>
      </w:r>
      <w:r w:rsidRPr="000B4E2C">
        <w:rPr>
          <w:i/>
          <w:color w:val="00B0F0"/>
          <w:lang w:val="en-GB" w:eastAsia="en-GB"/>
        </w:rPr>
        <w:t xml:space="preserve"> et al</w:t>
      </w:r>
      <w:r w:rsidRPr="000B4E2C">
        <w:rPr>
          <w:color w:val="000000" w:themeColor="text1"/>
          <w:lang w:val="en-GB" w:eastAsia="en-GB"/>
        </w:rPr>
        <w:t xml:space="preserve">, </w:t>
      </w:r>
      <w:r w:rsidRPr="000B4E2C">
        <w:rPr>
          <w:color w:val="000000" w:themeColor="text1"/>
          <w:highlight w:val="magenta"/>
          <w:lang w:val="en-GB" w:eastAsia="en-GB"/>
        </w:rPr>
        <w:t>compared to</w:t>
      </w:r>
      <w:r w:rsidRPr="000B4E2C">
        <w:rPr>
          <w:color w:val="000000" w:themeColor="text1"/>
          <w:lang w:val="en-GB" w:eastAsia="en-GB"/>
        </w:rPr>
        <w:t xml:space="preserve"> our model.</w:t>
      </w:r>
    </w:p>
    <w:p w14:paraId="1D789F0E" w14:textId="77777777" w:rsidR="000B4E2C" w:rsidRPr="000B4E2C" w:rsidRDefault="002F0133" w:rsidP="008A7464">
      <w:pPr>
        <w:rPr>
          <w:color w:val="000000" w:themeColor="text1"/>
          <w:lang w:val="en-GB" w:eastAsia="en-GB"/>
        </w:rPr>
      </w:pPr>
      <w:r w:rsidRPr="000B4E2C">
        <w:rPr>
          <w:color w:val="000000" w:themeColor="text1"/>
          <w:lang w:val="en-GB" w:eastAsia="en-GB"/>
        </w:rPr>
        <w:t xml:space="preserve">Fourthly, we take a more conservative approach to the estimation of long term </w:t>
      </w:r>
      <w:r w:rsidRPr="000B4E2C">
        <w:rPr>
          <w:color w:val="000000" w:themeColor="text1"/>
          <w:highlight w:val="magenta"/>
          <w:lang w:val="en-GB" w:eastAsia="en-GB"/>
        </w:rPr>
        <w:t>follow up</w:t>
      </w:r>
      <w:r w:rsidRPr="000B4E2C">
        <w:rPr>
          <w:color w:val="000000" w:themeColor="text1"/>
          <w:lang w:val="en-GB" w:eastAsia="en-GB"/>
        </w:rPr>
        <w:t xml:space="preserve"> costs for the base case analysis and have not applied excess lifetime costs beyond the 5-year </w:t>
      </w:r>
      <w:r w:rsidRPr="000B4E2C">
        <w:rPr>
          <w:color w:val="000000" w:themeColor="text1"/>
          <w:highlight w:val="magenta"/>
          <w:lang w:val="en-GB" w:eastAsia="en-GB"/>
        </w:rPr>
        <w:t>data</w:t>
      </w:r>
      <w:r w:rsidRPr="000B4E2C">
        <w:rPr>
          <w:color w:val="000000" w:themeColor="text1"/>
          <w:lang w:val="en-GB" w:eastAsia="en-GB"/>
        </w:rPr>
        <w:t xml:space="preserve"> reported in Lone</w:t>
      </w:r>
      <w:r w:rsidRPr="000B4E2C">
        <w:rPr>
          <w:i/>
          <w:color w:val="00B0F0"/>
          <w:lang w:val="en-GB" w:eastAsia="en-GB"/>
        </w:rPr>
        <w:t xml:space="preserve"> et al</w:t>
      </w:r>
      <w:r w:rsidR="00280A97" w:rsidRPr="000B4E2C">
        <w:rPr>
          <w:noProof/>
          <w:color w:val="000000" w:themeColor="text1"/>
          <w:vertAlign w:val="superscript"/>
          <w:lang w:val="en-GB" w:eastAsia="en-GB"/>
        </w:rPr>
        <w:t>116</w:t>
      </w:r>
      <w:r w:rsidRPr="000B4E2C">
        <w:rPr>
          <w:color w:val="000000" w:themeColor="text1"/>
          <w:lang w:val="en-GB" w:eastAsia="en-GB"/>
        </w:rPr>
        <w:t>.</w:t>
      </w:r>
    </w:p>
    <w:p w14:paraId="06A0A620" w14:textId="148DC2D8" w:rsidR="000B4E2C" w:rsidRPr="000B4E2C" w:rsidRDefault="002F0133" w:rsidP="008A7464">
      <w:pPr>
        <w:rPr>
          <w:color w:val="000000" w:themeColor="text1"/>
          <w:lang w:val="en-GB" w:eastAsia="en-GB"/>
        </w:rPr>
      </w:pPr>
      <w:r w:rsidRPr="000B4E2C">
        <w:rPr>
          <w:color w:val="000000" w:themeColor="text1"/>
          <w:lang w:val="en-GB" w:eastAsia="en-GB"/>
        </w:rPr>
        <w:t xml:space="preserve">Fifthly, we further assume that there is no impact of AKI on </w:t>
      </w:r>
      <w:r w:rsidRPr="000B4E2C">
        <w:rPr>
          <w:color w:val="000000" w:themeColor="text1"/>
          <w:highlight w:val="magenta"/>
          <w:lang w:val="en-GB" w:eastAsia="en-GB"/>
        </w:rPr>
        <w:t>follow up</w:t>
      </w:r>
      <w:r w:rsidRPr="000B4E2C">
        <w:rPr>
          <w:color w:val="000000" w:themeColor="text1"/>
          <w:lang w:val="en-GB" w:eastAsia="en-GB"/>
        </w:rPr>
        <w:t xml:space="preserve"> costs beyond the 90 days, while Hall</w:t>
      </w:r>
      <w:r w:rsidRPr="000B4E2C">
        <w:rPr>
          <w:i/>
          <w:color w:val="00B0F0"/>
          <w:lang w:val="en-GB" w:eastAsia="en-GB"/>
        </w:rPr>
        <w:t xml:space="preserve"> et al</w:t>
      </w:r>
      <w:r w:rsidRPr="000B4E2C">
        <w:rPr>
          <w:color w:val="000000" w:themeColor="text1"/>
          <w:lang w:val="en-GB" w:eastAsia="en-GB"/>
        </w:rPr>
        <w:t>. assume excess costs applied f</w:t>
      </w:r>
      <w:r w:rsidR="00FB0351" w:rsidRPr="000B4E2C">
        <w:rPr>
          <w:color w:val="000000" w:themeColor="text1"/>
          <w:lang w:val="en-GB" w:eastAsia="en-GB"/>
        </w:rPr>
        <w:t xml:space="preserve">or the full life-time horizon. </w:t>
      </w:r>
      <w:r w:rsidRPr="000B4E2C">
        <w:rPr>
          <w:color w:val="000000" w:themeColor="text1"/>
          <w:lang w:val="en-GB" w:eastAsia="en-GB"/>
        </w:rPr>
        <w:t>We also assume that the causal impact of AKI on CKD development ceases beyond the first cycle of the Markov model (i.e.</w:t>
      </w:r>
      <w:r w:rsidR="00881500" w:rsidRPr="000B4E2C">
        <w:rPr>
          <w:color w:val="000000" w:themeColor="text1"/>
          <w:lang w:val="en-GB" w:eastAsia="en-GB"/>
        </w:rPr>
        <w:t>,</w:t>
      </w:r>
      <w:r w:rsidRPr="000B4E2C">
        <w:rPr>
          <w:color w:val="000000" w:themeColor="text1"/>
          <w:lang w:val="en-GB" w:eastAsia="en-GB"/>
        </w:rPr>
        <w:t xml:space="preserve"> 1.25 years after the AKI event), whereas Hall</w:t>
      </w:r>
      <w:r w:rsidRPr="000B4E2C">
        <w:rPr>
          <w:i/>
          <w:color w:val="00B0F0"/>
          <w:lang w:val="en-GB" w:eastAsia="en-GB"/>
        </w:rPr>
        <w:t xml:space="preserve"> et al</w:t>
      </w:r>
      <w:r w:rsidRPr="000B4E2C">
        <w:rPr>
          <w:color w:val="000000" w:themeColor="text1"/>
          <w:lang w:val="en-GB" w:eastAsia="en-GB"/>
        </w:rPr>
        <w:t>. assume additional risk of CKD for the full lifetime horizon of the model.</w:t>
      </w:r>
    </w:p>
    <w:p w14:paraId="1D5D9746" w14:textId="4D5D12A2" w:rsidR="002F0133" w:rsidRPr="000B4E2C" w:rsidRDefault="002F0133" w:rsidP="008A7464">
      <w:pPr>
        <w:rPr>
          <w:color w:val="FF0000"/>
          <w:lang w:val="en-GB" w:eastAsia="en-GB"/>
        </w:rPr>
      </w:pPr>
    </w:p>
    <w:p w14:paraId="747D91FF" w14:textId="77777777" w:rsidR="000B4E2C" w:rsidRPr="000B4E2C" w:rsidRDefault="002F0133" w:rsidP="008A7464">
      <w:pPr>
        <w:rPr>
          <w:color w:val="000000" w:themeColor="text1"/>
          <w:lang w:val="en-GB" w:eastAsia="en-GB"/>
        </w:rPr>
      </w:pPr>
      <w:r w:rsidRPr="000B4E2C">
        <w:rPr>
          <w:color w:val="000000" w:themeColor="text1"/>
          <w:lang w:val="en-GB" w:eastAsia="en-GB"/>
        </w:rPr>
        <w:t>Overall, both models conclude that there is substantial uncertainty in the results, albeit predicting different base case ICERs. The results are highly sensitive to key parameters in the model, and any combination of the presented scenarios may be plausible.</w:t>
      </w:r>
    </w:p>
    <w:p w14:paraId="52F24099" w14:textId="377A939C" w:rsidR="002F0133" w:rsidRPr="000B4E2C" w:rsidRDefault="002F0133" w:rsidP="008A7464">
      <w:pPr>
        <w:pStyle w:val="Heading2"/>
      </w:pPr>
      <w:r w:rsidRPr="000B4E2C">
        <w:t>Strength and limitations of the assessment</w:t>
      </w:r>
    </w:p>
    <w:p w14:paraId="7183746F" w14:textId="77777777" w:rsidR="000B4E2C" w:rsidRPr="000B4E2C" w:rsidRDefault="002F0133" w:rsidP="008A7464">
      <w:pPr>
        <w:rPr>
          <w:lang w:val="en-GB" w:eastAsia="en-GB"/>
        </w:rPr>
      </w:pPr>
      <w:r w:rsidRPr="000B4E2C">
        <w:rPr>
          <w:lang w:val="en-GB" w:eastAsia="en-GB"/>
        </w:rPr>
        <w:t>The methods used to conduct this assessment were detailed and thorough. We conducted comprehensive literature searches of major electronic databases and relevant websites and assessed more than 1000 full text studies for eligibility. The large number of screened and extracted articles was necessary because key information (e.g., information on biomarker assays) was not available from the abstract. This resulted in a need for significant literature screening resources and for considering strict inclusion criteria in order to ensure the assessment remained feasible and timely. We restricted inclusion to studies that enrolled at least 100 participants and excluded studies on low-weight and pre-term babies. It is possible that inclusion of all existing studies, irrespective of the sample size, might produce relevant findings. However, we reached a consensus that small and niche studies would not provide clinically generalisable evidence for pooling and would be underpowered to provide reliable evidence in isolation. Low-weight and pre-term babies were considered a category of patients with specific care needs, not generalisable to the population included in this assessment.</w:t>
      </w:r>
    </w:p>
    <w:p w14:paraId="4236BA1C" w14:textId="1056EB09" w:rsidR="000B4E2C" w:rsidRPr="000B4E2C" w:rsidRDefault="002F0133" w:rsidP="00C062AF">
      <w:pPr>
        <w:rPr>
          <w:lang w:val="en-GB" w:eastAsia="en-GB"/>
        </w:rPr>
      </w:pPr>
      <w:r w:rsidRPr="000B4E2C">
        <w:rPr>
          <w:rFonts w:eastAsiaTheme="minorHAnsi"/>
          <w:szCs w:val="24"/>
          <w:lang w:val="en-GB"/>
        </w:rPr>
        <w:t xml:space="preserve">The primary weakness of the systematic review of clinical effectiveness evidence was the substantial clinical heterogeneity observed between studies. There was considerable heterogeneity </w:t>
      </w:r>
      <w:r w:rsidRPr="000B4E2C">
        <w:rPr>
          <w:lang w:val="en-GB" w:eastAsia="en-GB"/>
        </w:rPr>
        <w:t xml:space="preserve">especially with regard to NGAL threshold levels, time of sample collection, definition of AKI and prevalence of AKI, time of AKI diagnosis, </w:t>
      </w:r>
      <w:r w:rsidRPr="000B4E2C">
        <w:rPr>
          <w:lang w:val="en-GB" w:eastAsia="en-GB"/>
        </w:rPr>
        <w:lastRenderedPageBreak/>
        <w:t xml:space="preserve">assays platforms. Consequently, the diagnostic accuracy of individual tests varied considerably and the confidence and prediction regions in the pooled analyses were notably large. </w:t>
      </w:r>
      <w:r w:rsidR="00C062AF" w:rsidRPr="000B4E2C">
        <w:rPr>
          <w:lang w:val="en-GB" w:eastAsia="en-GB"/>
        </w:rPr>
        <w:t xml:space="preserve">Moreover, when the studies had lower number of AKI events (low prevalence) the relationship observed between sensitivity and specificity estimates became quite different </w:t>
      </w:r>
      <w:r w:rsidR="00C062AF" w:rsidRPr="000B4E2C">
        <w:rPr>
          <w:highlight w:val="magenta"/>
          <w:lang w:val="en-GB" w:eastAsia="en-GB"/>
        </w:rPr>
        <w:t>compared to</w:t>
      </w:r>
      <w:r w:rsidR="00C062AF" w:rsidRPr="000B4E2C">
        <w:rPr>
          <w:lang w:val="en-GB" w:eastAsia="en-GB"/>
        </w:rPr>
        <w:t xml:space="preserve"> that of studies for which prevalence was higher.</w:t>
      </w:r>
    </w:p>
    <w:p w14:paraId="12F9244F" w14:textId="77777777" w:rsidR="000B4E2C" w:rsidRPr="000B4E2C" w:rsidRDefault="000742A1" w:rsidP="008A7464">
      <w:pPr>
        <w:autoSpaceDE w:val="0"/>
        <w:autoSpaceDN w:val="0"/>
        <w:adjustRightInd w:val="0"/>
        <w:rPr>
          <w:lang w:val="en-GB" w:eastAsia="en-GB"/>
        </w:rPr>
      </w:pPr>
      <w:r w:rsidRPr="000B4E2C">
        <w:rPr>
          <w:lang w:val="en-GB" w:eastAsia="en-GB"/>
        </w:rPr>
        <w:t>Indeed</w:t>
      </w:r>
      <w:r w:rsidR="00AB2CB0" w:rsidRPr="000B4E2C">
        <w:rPr>
          <w:lang w:val="en-GB" w:eastAsia="en-GB"/>
        </w:rPr>
        <w:t>, t</w:t>
      </w:r>
      <w:r w:rsidR="00C062AF" w:rsidRPr="000B4E2C">
        <w:rPr>
          <w:lang w:val="en-GB" w:eastAsia="en-GB"/>
        </w:rPr>
        <w:t xml:space="preserve">he shape and size of the prediction regions in the HSROC plots </w:t>
      </w:r>
      <w:r w:rsidR="00AB2CB0" w:rsidRPr="000B4E2C">
        <w:rPr>
          <w:lang w:val="en-GB" w:eastAsia="en-GB"/>
        </w:rPr>
        <w:t>was influenced by studies that showed a different relationship between sensitivity and specificity compared with other studies. Hence</w:t>
      </w:r>
      <w:r w:rsidR="002F0133" w:rsidRPr="000B4E2C">
        <w:rPr>
          <w:lang w:val="en-GB" w:eastAsia="en-GB"/>
        </w:rPr>
        <w:t>, we do not have much confidence in the pooled estimates.</w:t>
      </w:r>
    </w:p>
    <w:p w14:paraId="49C78937" w14:textId="77777777" w:rsidR="000B4E2C" w:rsidRPr="000B4E2C" w:rsidRDefault="002F0133" w:rsidP="008A7464">
      <w:pPr>
        <w:rPr>
          <w:lang w:val="en-GB" w:eastAsia="en-GB"/>
        </w:rPr>
      </w:pPr>
      <w:r w:rsidRPr="000B4E2C">
        <w:rPr>
          <w:lang w:val="en-GB" w:eastAsia="en-GB"/>
        </w:rPr>
        <w:t>In particular, the intrinsic complexity of this assessment (multiple research questions, multiple biomarkers and sample media, multiple clinical settings, broad patient population, differences in assay platforms, definition of AKI) means that the findings reported here are also complex, particularly given the absence of robust trial evidence to support economic model development. While the original scope of this assessment was the assessment of hospitalised patients considered to be at risk of admission to critical care, no studies focused on this specific group of patients (pre-admission to critical care). Most studies were conducted outside the UK and assessed patients already admitted to intensive or critical care after different surgical procedures or with different (or multiple) clinical conditions. Furthermore, the provision of Intensive Care resource</w:t>
      </w:r>
      <w:r w:rsidR="00FB0351" w:rsidRPr="000B4E2C">
        <w:rPr>
          <w:lang w:val="en-GB" w:eastAsia="en-GB"/>
        </w:rPr>
        <w:t>s</w:t>
      </w:r>
      <w:r w:rsidRPr="000B4E2C">
        <w:rPr>
          <w:lang w:val="en-GB" w:eastAsia="en-GB"/>
        </w:rPr>
        <w:t xml:space="preserve"> across the world </w:t>
      </w:r>
      <w:r w:rsidR="00BE2CD3" w:rsidRPr="000B4E2C">
        <w:rPr>
          <w:lang w:val="en-GB" w:eastAsia="en-GB"/>
        </w:rPr>
        <w:t>are</w:t>
      </w:r>
      <w:r w:rsidRPr="000B4E2C">
        <w:rPr>
          <w:lang w:val="en-GB" w:eastAsia="en-GB"/>
        </w:rPr>
        <w:t xml:space="preserve"> heterogeneous, so many studies will not be representative of how intensive care is utilised in the UK. This means that it is unclear how well findings of studies that are predominantly based in intensive care, non-UK and heterogenous, can be applied to a UK clinical scenario of people not currently receiving critical care but at risk of it.</w:t>
      </w:r>
    </w:p>
    <w:p w14:paraId="0A1A5E6D" w14:textId="51EF0238" w:rsidR="000B4E2C" w:rsidRPr="000B4E2C" w:rsidRDefault="002F0133" w:rsidP="008A7464">
      <w:r w:rsidRPr="000B4E2C">
        <w:rPr>
          <w:lang w:val="en-GB" w:eastAsia="en-GB"/>
        </w:rPr>
        <w:t>Criteria used for the definition of AKI were consistent with current KDIGO recommendations but differ slightly across studies with respect to operationalisation. This means that the extent of bidirectional misclassification of AKI and CKD may vary between studies and setting, which may affect biomarker performance</w:t>
      </w:r>
      <w:r w:rsidR="00280A97" w:rsidRPr="000B4E2C">
        <w:rPr>
          <w:noProof/>
          <w:vertAlign w:val="superscript"/>
          <w:lang w:val="en-GB" w:eastAsia="en-GB"/>
        </w:rPr>
        <w:t>142</w:t>
      </w:r>
      <w:r w:rsidRPr="000B4E2C">
        <w:rPr>
          <w:lang w:val="en-GB" w:eastAsia="en-GB"/>
        </w:rPr>
        <w:t xml:space="preserve">. In some studies, it was unclear whether the reported associations between biomarkers and AKI were indeed attributed to kidney injury. The current definition of </w:t>
      </w:r>
      <w:r w:rsidRPr="000B4E2C">
        <w:t>AKI is based on elevations in serum creatinine concentration, which poses the conundrum of using an imperfect standard to assess the biomarkers</w:t>
      </w:r>
      <w:r w:rsidR="0072128A" w:rsidRPr="000B4E2C">
        <w:rPr>
          <w:color w:val="00B0F0"/>
        </w:rPr>
        <w:t>$$SingleQuoteE$</w:t>
      </w:r>
      <w:r w:rsidR="000B4E2C" w:rsidRPr="000B4E2C">
        <w:rPr>
          <w:color w:val="00B0F0"/>
        </w:rPr>
        <w:t>$</w:t>
      </w:r>
      <w:r w:rsidRPr="000B4E2C">
        <w:t xml:space="preserve">performance. Serum creatinine is not always measured at the same frequency as the biomarkers and to ascertain the exact time of creatinine rise it is problematic. As a result, the </w:t>
      </w:r>
      <w:r w:rsidR="000B4E2C" w:rsidRPr="000B4E2C">
        <w:rPr>
          <w:color w:val="00B0F0"/>
        </w:rPr>
        <w:t>“</w:t>
      </w:r>
      <w:r w:rsidR="0072128A" w:rsidRPr="000B4E2C">
        <w:t>ground truth</w:t>
      </w:r>
      <w:r w:rsidR="000B4E2C" w:rsidRPr="000B4E2C">
        <w:rPr>
          <w:color w:val="00B0F0"/>
        </w:rPr>
        <w:t>”</w:t>
      </w:r>
      <w:r w:rsidRPr="000B4E2C">
        <w:t xml:space="preserve"> of AKI existence could not be established with a gold standard reference in any of the studies. In addition, no studies considered alternative methods for early or incipient AKI detection, such as the use of machine learning algorithms</w:t>
      </w:r>
      <w:r w:rsidR="00280A97" w:rsidRPr="000B4E2C">
        <w:rPr>
          <w:noProof/>
          <w:vertAlign w:val="superscript"/>
        </w:rPr>
        <w:t>143</w:t>
      </w:r>
      <w:r w:rsidRPr="000B4E2C">
        <w:t>.</w:t>
      </w:r>
    </w:p>
    <w:p w14:paraId="4E8FA09B" w14:textId="77777777" w:rsidR="000B4E2C" w:rsidRPr="000B4E2C" w:rsidRDefault="00F97C5D" w:rsidP="00BE2CD3">
      <w:pPr>
        <w:pStyle w:val="CommentText"/>
        <w:spacing w:line="360" w:lineRule="auto"/>
        <w:rPr>
          <w:sz w:val="24"/>
          <w:szCs w:val="24"/>
        </w:rPr>
      </w:pPr>
      <w:r w:rsidRPr="000B4E2C">
        <w:rPr>
          <w:sz w:val="24"/>
          <w:szCs w:val="24"/>
        </w:rPr>
        <w:t>In some studies, we observed a very small number of AKI events compared with other included studies. Interestingly, two studies both conducted in the cardiac surgery setting [a medium size single centre study (Cummings</w:t>
      </w:r>
      <w:r w:rsidRPr="000B4E2C">
        <w:rPr>
          <w:i/>
          <w:color w:val="00B0F0"/>
          <w:sz w:val="24"/>
          <w:szCs w:val="24"/>
        </w:rPr>
        <w:t xml:space="preserve"> et al</w:t>
      </w:r>
      <w:r w:rsidR="00841D0F" w:rsidRPr="000B4E2C">
        <w:rPr>
          <w:sz w:val="24"/>
          <w:szCs w:val="24"/>
        </w:rPr>
        <w:t>.</w:t>
      </w:r>
      <w:r w:rsidR="005B5026" w:rsidRPr="000B4E2C">
        <w:rPr>
          <w:noProof/>
          <w:sz w:val="24"/>
          <w:szCs w:val="24"/>
          <w:vertAlign w:val="superscript"/>
        </w:rPr>
        <w:t>28</w:t>
      </w:r>
      <w:r w:rsidR="00841D0F" w:rsidRPr="000B4E2C">
        <w:rPr>
          <w:sz w:val="24"/>
          <w:szCs w:val="24"/>
        </w:rPr>
        <w:t xml:space="preserve"> </w:t>
      </w:r>
      <w:r w:rsidRPr="000B4E2C">
        <w:rPr>
          <w:sz w:val="24"/>
          <w:szCs w:val="24"/>
        </w:rPr>
        <w:t>400 participants) and a large multicenter study (Parikh</w:t>
      </w:r>
      <w:r w:rsidRPr="000B4E2C">
        <w:rPr>
          <w:i/>
          <w:color w:val="00B0F0"/>
          <w:sz w:val="24"/>
          <w:szCs w:val="24"/>
        </w:rPr>
        <w:t xml:space="preserve"> et</w:t>
      </w:r>
      <w:r w:rsidR="00897A66" w:rsidRPr="000B4E2C">
        <w:rPr>
          <w:i/>
          <w:color w:val="00B0F0"/>
          <w:sz w:val="24"/>
          <w:szCs w:val="24"/>
        </w:rPr>
        <w:t xml:space="preserve"> </w:t>
      </w:r>
      <w:r w:rsidRPr="000B4E2C">
        <w:rPr>
          <w:i/>
          <w:color w:val="00B0F0"/>
          <w:sz w:val="24"/>
          <w:szCs w:val="24"/>
        </w:rPr>
        <w:t>al</w:t>
      </w:r>
      <w:r w:rsidR="00841D0F" w:rsidRPr="000B4E2C">
        <w:rPr>
          <w:color w:val="00B0F0"/>
          <w:sz w:val="24"/>
          <w:szCs w:val="24"/>
        </w:rPr>
        <w:t>.,</w:t>
      </w:r>
      <w:r w:rsidR="00881500" w:rsidRPr="000B4E2C">
        <w:rPr>
          <w:noProof/>
          <w:sz w:val="24"/>
          <w:szCs w:val="24"/>
          <w:vertAlign w:val="superscript"/>
        </w:rPr>
        <w:t>40</w:t>
      </w:r>
      <w:r w:rsidRPr="000B4E2C">
        <w:rPr>
          <w:sz w:val="24"/>
          <w:szCs w:val="24"/>
        </w:rPr>
        <w:t xml:space="preserve"> the TRIBE trial,</w:t>
      </w:r>
      <w:r w:rsidR="00881500" w:rsidRPr="000B4E2C">
        <w:rPr>
          <w:sz w:val="24"/>
          <w:szCs w:val="24"/>
        </w:rPr>
        <w:t xml:space="preserve"> </w:t>
      </w:r>
      <w:r w:rsidRPr="000B4E2C">
        <w:rPr>
          <w:sz w:val="24"/>
          <w:szCs w:val="24"/>
        </w:rPr>
        <w:t>1219 participants)] showed similar prevalence rates (4% and 5%, respectively)</w:t>
      </w:r>
      <w:r w:rsidR="00EA3523" w:rsidRPr="000B4E2C">
        <w:rPr>
          <w:sz w:val="24"/>
          <w:szCs w:val="24"/>
        </w:rPr>
        <w:t xml:space="preserve"> and a similar pattern of accuracy</w:t>
      </w:r>
      <w:r w:rsidR="000B4E2C" w:rsidRPr="000B4E2C">
        <w:rPr>
          <w:sz w:val="24"/>
          <w:szCs w:val="24"/>
        </w:rPr>
        <w:t xml:space="preserve"> </w:t>
      </w:r>
      <w:r w:rsidR="00EA3523" w:rsidRPr="000B4E2C">
        <w:rPr>
          <w:sz w:val="24"/>
          <w:szCs w:val="24"/>
        </w:rPr>
        <w:t>(</w:t>
      </w:r>
      <w:r w:rsidRPr="000B4E2C">
        <w:rPr>
          <w:sz w:val="24"/>
          <w:szCs w:val="24"/>
        </w:rPr>
        <w:t>poor sensitivity estimates and good specificity estimates</w:t>
      </w:r>
      <w:r w:rsidR="00EA3523" w:rsidRPr="000B4E2C">
        <w:rPr>
          <w:sz w:val="24"/>
          <w:szCs w:val="24"/>
        </w:rPr>
        <w:t>)</w:t>
      </w:r>
      <w:r w:rsidRPr="000B4E2C">
        <w:rPr>
          <w:sz w:val="24"/>
          <w:szCs w:val="24"/>
        </w:rPr>
        <w:t xml:space="preserve">. </w:t>
      </w:r>
      <w:r w:rsidR="00BE2CD3" w:rsidRPr="000B4E2C">
        <w:rPr>
          <w:sz w:val="24"/>
          <w:szCs w:val="24"/>
        </w:rPr>
        <w:t>The number of AKI events are known to vary depending on both AKI definition and clinical setting, which underlies the heterogeneity of existing studies.</w:t>
      </w:r>
    </w:p>
    <w:p w14:paraId="699D2C64" w14:textId="77777777" w:rsidR="000B4E2C" w:rsidRPr="000B4E2C" w:rsidRDefault="002F0133" w:rsidP="008A7464">
      <w:pPr>
        <w:rPr>
          <w:lang w:val="en-GB" w:eastAsia="en-GB"/>
        </w:rPr>
      </w:pPr>
      <w:r w:rsidRPr="000B4E2C">
        <w:rPr>
          <w:lang w:val="en-GB" w:eastAsia="en-GB"/>
        </w:rPr>
        <w:t>An unavoidable limitation of this evaluation is the variation in use of NGAL tests. Threshold cut points to classify patients with and without AKI in each clinical setting were not consistent across studies. This means that differences between studies could relate to chosen threshold rather than NGAL performance. We selected one threshold per study according to our inclusion criteria and estimated the underlying summary ROC curve using a hierarchical model, which takes into account the within and between studies variability. NGAL studies also varied with respect to analytic methods of measurement</w:t>
      </w:r>
      <w:r w:rsidR="00A62C0A" w:rsidRPr="000B4E2C">
        <w:rPr>
          <w:lang w:val="en-GB" w:eastAsia="en-GB"/>
        </w:rPr>
        <w:t>.</w:t>
      </w:r>
      <w:r w:rsidRPr="000B4E2C">
        <w:rPr>
          <w:lang w:val="en-GB" w:eastAsia="en-GB"/>
        </w:rPr>
        <w:t xml:space="preserve"> Some studies used absolute urine concentrations, while others used NGAL concentrations normalised for urine creatinine concentrations. There was insufficient </w:t>
      </w:r>
      <w:r w:rsidRPr="000B4E2C">
        <w:rPr>
          <w:highlight w:val="magenta"/>
          <w:lang w:val="en-GB" w:eastAsia="en-GB"/>
        </w:rPr>
        <w:t>data</w:t>
      </w:r>
      <w:r w:rsidRPr="000B4E2C">
        <w:rPr>
          <w:lang w:val="en-GB" w:eastAsia="en-GB"/>
        </w:rPr>
        <w:t xml:space="preserve"> available per type of biomarker and clinical setting to further investigate this source of variability and determine the extent to which analytic methods influence estimates of diagnostic accuracy and whether it was sensible to pool results across studies. Nevertheless, we note that in the multicentre TRIBE (Translational Research Involving Biomarkers and Endpoints) prospective study assessing 1219 adults undergoing cardiac surgery, the authors repeated the analyses using NGAL urine-creatinine corrected values and did not observe improvements in the AUCs compared with uncorrected results</w:t>
      </w:r>
      <w:r w:rsidR="00BE2CD3" w:rsidRPr="000B4E2C">
        <w:rPr>
          <w:lang w:val="en-GB" w:eastAsia="en-GB"/>
        </w:rPr>
        <w:t>.</w:t>
      </w:r>
      <w:r w:rsidR="005B5026" w:rsidRPr="000B4E2C">
        <w:rPr>
          <w:noProof/>
          <w:vertAlign w:val="superscript"/>
          <w:lang w:val="en-GB" w:eastAsia="en-GB"/>
        </w:rPr>
        <w:t>40</w:t>
      </w:r>
    </w:p>
    <w:p w14:paraId="603F08A3" w14:textId="77777777" w:rsidR="000B4E2C" w:rsidRPr="000B4E2C" w:rsidRDefault="002F0133" w:rsidP="008A7464">
      <w:pPr>
        <w:rPr>
          <w:lang w:val="en-GB" w:eastAsia="en-GB"/>
        </w:rPr>
      </w:pPr>
      <w:r w:rsidRPr="000B4E2C">
        <w:rPr>
          <w:lang w:val="en-GB" w:eastAsia="en-GB"/>
        </w:rPr>
        <w:t xml:space="preserve">Several studies did not provide sensitivity, specificity and AUC for the biomarkers for the diagnostic or prognostic accuracy of AKI. In future studies, accuracy measures such as sensitivity and specificity must be </w:t>
      </w:r>
      <w:r w:rsidRPr="000B4E2C">
        <w:rPr>
          <w:lang w:val="en-GB" w:eastAsia="en-GB"/>
        </w:rPr>
        <w:lastRenderedPageBreak/>
        <w:t>considered and defined rigorously at transparent cut points for predictive biomarkers as they may need to vary</w:t>
      </w:r>
      <w:r w:rsidR="00BE2CD3" w:rsidRPr="000B4E2C">
        <w:rPr>
          <w:lang w:val="en-GB" w:eastAsia="en-GB"/>
        </w:rPr>
        <w:t xml:space="preserve"> according to clinical setting.</w:t>
      </w:r>
      <w:r w:rsidR="00280A97" w:rsidRPr="000B4E2C">
        <w:rPr>
          <w:noProof/>
          <w:vertAlign w:val="superscript"/>
          <w:lang w:val="en-GB" w:eastAsia="en-GB"/>
        </w:rPr>
        <w:t>144</w:t>
      </w:r>
    </w:p>
    <w:p w14:paraId="133B35BE" w14:textId="77777777" w:rsidR="000B4E2C" w:rsidRPr="000B4E2C" w:rsidRDefault="002F0133" w:rsidP="00BD483B">
      <w:pPr>
        <w:rPr>
          <w:lang w:val="en-GB" w:eastAsia="en-GB"/>
        </w:rPr>
      </w:pPr>
      <w:r w:rsidRPr="000B4E2C">
        <w:rPr>
          <w:lang w:val="en-GB" w:eastAsia="en-GB"/>
        </w:rPr>
        <w:t xml:space="preserve">Notwithstanding analytic and threshold heterogeneity, the </w:t>
      </w:r>
      <w:r w:rsidR="000742A1" w:rsidRPr="000B4E2C">
        <w:rPr>
          <w:lang w:val="en-GB" w:eastAsia="en-GB"/>
        </w:rPr>
        <w:t>number of available studies for each type of assay in each clinical setting</w:t>
      </w:r>
      <w:r w:rsidRPr="000B4E2C">
        <w:rPr>
          <w:lang w:val="en-GB" w:eastAsia="en-GB"/>
        </w:rPr>
        <w:t xml:space="preserve"> limited our ability to assess the role</w:t>
      </w:r>
      <w:r w:rsidR="000742A1" w:rsidRPr="000B4E2C">
        <w:rPr>
          <w:lang w:val="en-GB" w:eastAsia="en-GB"/>
        </w:rPr>
        <w:t xml:space="preserve"> of the biomarkers for the prediction of </w:t>
      </w:r>
      <w:r w:rsidRPr="000B4E2C">
        <w:rPr>
          <w:lang w:val="en-GB" w:eastAsia="en-GB"/>
        </w:rPr>
        <w:t xml:space="preserve">relevant </w:t>
      </w:r>
      <w:r w:rsidR="000742A1" w:rsidRPr="000B4E2C">
        <w:rPr>
          <w:lang w:val="en-GB" w:eastAsia="en-GB"/>
        </w:rPr>
        <w:t xml:space="preserve">clinical </w:t>
      </w:r>
      <w:r w:rsidRPr="000B4E2C">
        <w:rPr>
          <w:lang w:val="en-GB" w:eastAsia="en-GB"/>
        </w:rPr>
        <w:t xml:space="preserve">outcomes. Furthermore, the number of events was small in many studies and the duration of </w:t>
      </w:r>
      <w:r w:rsidRPr="000B4E2C">
        <w:rPr>
          <w:highlight w:val="magenta"/>
          <w:lang w:val="en-GB" w:eastAsia="en-GB"/>
        </w:rPr>
        <w:t>follow up</w:t>
      </w:r>
      <w:r w:rsidRPr="000B4E2C">
        <w:rPr>
          <w:lang w:val="en-GB" w:eastAsia="en-GB"/>
        </w:rPr>
        <w:t xml:space="preserve"> was not consistent across studies so mortality and RRT could not be assessed, reliably, at the same time points. </w:t>
      </w:r>
      <w:r w:rsidR="00BD483B" w:rsidRPr="000B4E2C">
        <w:rPr>
          <w:szCs w:val="24"/>
        </w:rPr>
        <w:t xml:space="preserve">Furthermore, details of the methods used for prediction analyses were insufficient in many studies. </w:t>
      </w:r>
      <w:r w:rsidR="00BD483B" w:rsidRPr="000B4E2C">
        <w:rPr>
          <w:lang w:val="en-GB" w:eastAsia="en-GB"/>
        </w:rPr>
        <w:t xml:space="preserve">While information on adjustment strategies and on the process of variables selection were usually provided, the original </w:t>
      </w:r>
      <w:r w:rsidR="00BE2CD3" w:rsidRPr="000B4E2C">
        <w:rPr>
          <w:lang w:val="en-GB" w:eastAsia="en-GB"/>
        </w:rPr>
        <w:t xml:space="preserve">cohort of potential predictors, </w:t>
      </w:r>
      <w:r w:rsidR="00BD483B" w:rsidRPr="000B4E2C">
        <w:rPr>
          <w:lang w:val="en-GB" w:eastAsia="en-GB"/>
        </w:rPr>
        <w:t>prior to the multivariable analysis, was never clearly specified leading to potential risk of bias.</w:t>
      </w:r>
    </w:p>
    <w:p w14:paraId="721D8371" w14:textId="77777777" w:rsidR="000B4E2C" w:rsidRPr="000B4E2C" w:rsidRDefault="002F0133" w:rsidP="008A7464">
      <w:pPr>
        <w:rPr>
          <w:lang w:val="en-GB" w:eastAsia="en-GB"/>
        </w:rPr>
      </w:pPr>
      <w:r w:rsidRPr="000B4E2C">
        <w:rPr>
          <w:lang w:val="en-GB" w:eastAsia="en-GB"/>
        </w:rPr>
        <w:t>Finally, introduction of a biomarker would require evidence not just that it performs well as a predictor of modifiable and intervenable AKI, but also that there is incremental improvement of existing or alternative approaches to clinical care. There was insufficient information to determine with certainty whether the biomarkers had an incremental advantage over the traditional marker of serum creatinine and urine output or available information for clinical assessment. Only a limited number of studies compared the AUC of the biomarkers under investigation with that of serum creatinine for the detection of AKI and fewer studies compared the performance of the biomarkers with that of clinical models for prediction of AKI or</w:t>
      </w:r>
      <w:r w:rsidR="008D3C41" w:rsidRPr="000B4E2C">
        <w:rPr>
          <w:lang w:val="en-GB" w:eastAsia="en-GB"/>
        </w:rPr>
        <w:t xml:space="preserve"> of relevant patient outcomes.</w:t>
      </w:r>
    </w:p>
    <w:p w14:paraId="5284ADFB" w14:textId="61897A16" w:rsidR="002F0133" w:rsidRPr="000B4E2C" w:rsidRDefault="002F0133" w:rsidP="008A7464">
      <w:pPr>
        <w:pStyle w:val="Heading2"/>
      </w:pPr>
      <w:bookmarkStart w:id="21" w:name="_Hlk23414949"/>
      <w:r w:rsidRPr="000B4E2C">
        <w:t>Uncertainties</w:t>
      </w:r>
    </w:p>
    <w:p w14:paraId="47135305" w14:textId="77777777" w:rsidR="002F0133" w:rsidRPr="000B4E2C" w:rsidRDefault="002F0133" w:rsidP="008A7464">
      <w:pPr>
        <w:pStyle w:val="Heading3"/>
      </w:pPr>
      <w:r w:rsidRPr="000B4E2C">
        <w:t>Clinical effectiveness evidence</w:t>
      </w:r>
    </w:p>
    <w:bookmarkEnd w:id="21"/>
    <w:p w14:paraId="175D6A2F" w14:textId="77777777" w:rsidR="000B4E2C" w:rsidRPr="000B4E2C" w:rsidRDefault="002F0133" w:rsidP="008A7464">
      <w:pPr>
        <w:rPr>
          <w:szCs w:val="24"/>
        </w:rPr>
      </w:pPr>
      <w:r w:rsidRPr="000B4E2C">
        <w:rPr>
          <w:rFonts w:eastAsiaTheme="minorHAnsi"/>
          <w:szCs w:val="24"/>
          <w:lang w:val="en-GB"/>
        </w:rPr>
        <w:t xml:space="preserve">There is considerable uncertainty surrounding the generalisability of the studies to the UK population. Most of the studies were conducted outside the UK and assessed patients already admitted to critical care. Because no studies were identified for inclusion, we were not able to assess </w:t>
      </w:r>
      <w:r w:rsidRPr="000B4E2C">
        <w:rPr>
          <w:szCs w:val="24"/>
        </w:rPr>
        <w:t>the impact that the routine use of these biomarkers may have on clinical outcomes of critically ill people considered for</w:t>
      </w:r>
      <w:r w:rsidRPr="000B4E2C">
        <w:rPr>
          <w:lang w:val="en-GB"/>
        </w:rPr>
        <w:t xml:space="preserve"> admission to critical care </w:t>
      </w:r>
      <w:r w:rsidRPr="000B4E2C">
        <w:rPr>
          <w:highlight w:val="magenta"/>
          <w:lang w:val="en-GB"/>
        </w:rPr>
        <w:t>compared to</w:t>
      </w:r>
      <w:r w:rsidRPr="000B4E2C">
        <w:rPr>
          <w:lang w:val="en-GB"/>
        </w:rPr>
        <w:t xml:space="preserve"> standard clinical assessment</w:t>
      </w:r>
      <w:r w:rsidRPr="000B4E2C">
        <w:rPr>
          <w:szCs w:val="24"/>
        </w:rPr>
        <w:t>.</w:t>
      </w:r>
    </w:p>
    <w:p w14:paraId="465B448A" w14:textId="0E7D4C91" w:rsidR="000B4E2C" w:rsidRPr="000B4E2C" w:rsidRDefault="002F0133" w:rsidP="008A7464">
      <w:pPr>
        <w:rPr>
          <w:rFonts w:eastAsiaTheme="minorHAnsi"/>
          <w:szCs w:val="24"/>
          <w:lang w:val="en-GB"/>
        </w:rPr>
      </w:pPr>
      <w:r w:rsidRPr="000B4E2C">
        <w:rPr>
          <w:lang w:val="en-GB" w:eastAsia="en-GB"/>
        </w:rPr>
        <w:t>At present, in the literature there is limited information on the benefits of incorporating biomarkers results with that of current clinical criteria (serum creatinine and urine output) to improve the clinical management of patients with AKI. Recently, Zarboc</w:t>
      </w:r>
      <w:r w:rsidR="00897A66" w:rsidRPr="000B4E2C">
        <w:rPr>
          <w:lang w:val="en-GB" w:eastAsia="en-GB"/>
        </w:rPr>
        <w:t>k</w:t>
      </w:r>
      <w:r w:rsidRPr="000B4E2C">
        <w:rPr>
          <w:i/>
          <w:color w:val="00B0F0"/>
          <w:lang w:val="en-GB" w:eastAsia="en-GB"/>
        </w:rPr>
        <w:t xml:space="preserve"> et al</w:t>
      </w:r>
      <w:r w:rsidR="00BE2CD3" w:rsidRPr="000B4E2C">
        <w:rPr>
          <w:color w:val="00B0F0"/>
          <w:lang w:val="en-GB" w:eastAsia="en-GB"/>
        </w:rPr>
        <w:t>.,</w:t>
      </w:r>
      <w:r w:rsidR="00280A97" w:rsidRPr="000B4E2C">
        <w:rPr>
          <w:noProof/>
          <w:vertAlign w:val="superscript"/>
          <w:lang w:val="en-GB" w:eastAsia="en-GB"/>
        </w:rPr>
        <w:t>145</w:t>
      </w:r>
      <w:r w:rsidRPr="000B4E2C">
        <w:rPr>
          <w:lang w:val="en-GB" w:eastAsia="en-GB"/>
        </w:rPr>
        <w:t xml:space="preserve"> in the ELAIN RCT of critically ill surgical patients with AKI assessed the use of early versus delayed RRT. Plasma NGAL </w:t>
      </w:r>
      <w:r w:rsidR="000B4E2C" w:rsidRPr="000B4E2C">
        <w:rPr>
          <w:color w:val="00B0F0"/>
          <w:lang w:val="en-GB" w:eastAsia="en-GB"/>
        </w:rPr>
        <w:t>&gt;</w:t>
      </w:r>
      <w:r w:rsidR="000B4E2C" w:rsidRPr="000B4E2C">
        <w:rPr>
          <w:color w:val="00B0F0"/>
          <w:lang w:val="en-GB" w:eastAsia="en-GB"/>
        </w:rPr>
        <w:t> </w:t>
      </w:r>
      <w:r w:rsidR="000B4E2C" w:rsidRPr="000B4E2C">
        <w:rPr>
          <w:color w:val="00B0F0"/>
          <w:lang w:val="en-GB" w:eastAsia="en-GB"/>
        </w:rPr>
        <w:t>1</w:t>
      </w:r>
      <w:r w:rsidRPr="000B4E2C">
        <w:rPr>
          <w:lang w:val="en-GB" w:eastAsia="en-GB"/>
        </w:rPr>
        <w:t>50 ng/mL was one of the inclusion criteria together with the KDIGO criteria. The trial results showed that early RRT compared with delayed RRT reduced mortality, duration of RRT and hospital stay and that the combination of the KDIGO classification system in combination with plasma NGAL was effective in identifying patients with deteriorating AKI. Subsequent negative results from the AKIKI RCT for critically medical patients suggests that these findings may only apply to targeted circumstances (and if reproduced in other studies</w:t>
      </w:r>
      <w:r w:rsidR="00BE2CD3" w:rsidRPr="000B4E2C">
        <w:rPr>
          <w:lang w:val="en-GB" w:eastAsia="en-GB"/>
        </w:rPr>
        <w:t>).</w:t>
      </w:r>
      <w:r w:rsidR="00280A97" w:rsidRPr="000B4E2C">
        <w:rPr>
          <w:noProof/>
          <w:vertAlign w:val="superscript"/>
          <w:lang w:val="en-GB" w:eastAsia="en-GB"/>
        </w:rPr>
        <w:t>146</w:t>
      </w:r>
      <w:r w:rsidR="00BE2CD3" w:rsidRPr="000B4E2C">
        <w:rPr>
          <w:lang w:val="en-GB" w:eastAsia="en-GB"/>
        </w:rPr>
        <w:t xml:space="preserve"> </w:t>
      </w:r>
      <w:r w:rsidRPr="000B4E2C">
        <w:rPr>
          <w:lang w:val="en-GB" w:eastAsia="en-GB"/>
        </w:rPr>
        <w:t>More recently, the Zarboc</w:t>
      </w:r>
      <w:r w:rsidR="00897A66" w:rsidRPr="000B4E2C">
        <w:rPr>
          <w:lang w:val="en-GB" w:eastAsia="en-GB"/>
        </w:rPr>
        <w:t>k</w:t>
      </w:r>
      <w:r w:rsidRPr="000B4E2C">
        <w:rPr>
          <w:lang w:val="en-GB" w:eastAsia="en-GB"/>
        </w:rPr>
        <w:t xml:space="preserve"> group conducted a biomarker guided RCT of patients who underwent cardiac surgery</w:t>
      </w:r>
      <w:r w:rsidR="00BE2CD3" w:rsidRPr="000B4E2C">
        <w:rPr>
          <w:lang w:val="en-GB" w:eastAsia="en-GB"/>
        </w:rPr>
        <w:t>.</w:t>
      </w:r>
      <w:r w:rsidR="00280A97" w:rsidRPr="000B4E2C">
        <w:rPr>
          <w:noProof/>
          <w:vertAlign w:val="superscript"/>
          <w:lang w:val="en-GB" w:eastAsia="en-GB"/>
        </w:rPr>
        <w:t>112</w:t>
      </w:r>
      <w:r w:rsidR="00185B5A" w:rsidRPr="000B4E2C">
        <w:rPr>
          <w:lang w:val="en-GB" w:eastAsia="en-GB"/>
        </w:rPr>
        <w:t xml:space="preserve"> </w:t>
      </w:r>
      <w:r w:rsidRPr="000B4E2C">
        <w:rPr>
          <w:lang w:val="en-GB" w:eastAsia="en-GB"/>
        </w:rPr>
        <w:t xml:space="preserve">They used a biomarker-based approach (NephroCheck test) to identify high-risk patients and implement a bundle of supportive measures recommended by the KDIGO guidelines to reduce the occurrence of AKI as well as that of mortality and RRT. Their results showed that implementation of the KDIGO guidelines </w:t>
      </w:r>
      <w:r w:rsidRPr="000B4E2C">
        <w:rPr>
          <w:highlight w:val="magenta"/>
          <w:lang w:val="en-GB" w:eastAsia="en-GB"/>
        </w:rPr>
        <w:t>compared to</w:t>
      </w:r>
      <w:r w:rsidRPr="000B4E2C">
        <w:rPr>
          <w:lang w:val="en-GB" w:eastAsia="en-GB"/>
        </w:rPr>
        <w:t xml:space="preserve"> standard care reduced the frequency of AKI within 72 hours after cardiac surgery. However, the trial did not show a reduction in the need of RRT nor an improvement in mortality, or a positive effect measure on any hard clinical outcome. The authors concluded that future, adequately powered, multicentre trials are required. Similarly, Gocze</w:t>
      </w:r>
      <w:r w:rsidRPr="000B4E2C">
        <w:rPr>
          <w:i/>
          <w:color w:val="00B0F0"/>
          <w:lang w:val="en-GB" w:eastAsia="en-GB"/>
        </w:rPr>
        <w:t xml:space="preserve"> et al</w:t>
      </w:r>
      <w:r w:rsidR="00BE2CD3" w:rsidRPr="000B4E2C">
        <w:rPr>
          <w:lang w:val="en-GB" w:eastAsia="en-GB"/>
        </w:rPr>
        <w:t>.</w:t>
      </w:r>
      <w:r w:rsidR="00280A97" w:rsidRPr="000B4E2C">
        <w:rPr>
          <w:noProof/>
          <w:vertAlign w:val="superscript"/>
          <w:lang w:val="en-GB" w:eastAsia="en-GB"/>
        </w:rPr>
        <w:t>118</w:t>
      </w:r>
      <w:r w:rsidR="00BE2CD3" w:rsidRPr="000B4E2C">
        <w:rPr>
          <w:lang w:val="en-GB" w:eastAsia="en-GB"/>
        </w:rPr>
        <w:t xml:space="preserve"> </w:t>
      </w:r>
      <w:r w:rsidRPr="000B4E2C">
        <w:rPr>
          <w:lang w:val="en-GB" w:eastAsia="en-GB"/>
        </w:rPr>
        <w:t>in a study of major non-cardiac surgery patients showed that the early adoption of a bundle of supportive measures according to the KDIGO guidelines in patients with NephroCheck concentrations higher than 0.3 (ng/mL)</w:t>
      </w:r>
      <w:r w:rsidRPr="000B4E2C">
        <w:rPr>
          <w:rFonts w:ascii="Calibri" w:hAnsi="Calibri" w:cs="Calibri"/>
          <w:vertAlign w:val="superscript"/>
          <w:lang w:val="en-GB" w:eastAsia="en-GB"/>
        </w:rPr>
        <w:t>²</w:t>
      </w:r>
      <w:r w:rsidRPr="000B4E2C">
        <w:rPr>
          <w:lang w:val="en-GB" w:eastAsia="en-GB"/>
        </w:rPr>
        <w:t>/1000 resulted in a reduced occurrence of AKI, decreased hospital and ICU stay, and reduced costs, but again there was no evidence of improvement of hard outcomes (RRT, mortality, or major kidney events).</w:t>
      </w:r>
    </w:p>
    <w:p w14:paraId="4BA84CBB" w14:textId="77777777" w:rsidR="000B4E2C" w:rsidRPr="000B4E2C" w:rsidRDefault="002F0133" w:rsidP="00185B5A">
      <w:pPr>
        <w:pStyle w:val="CommentText"/>
        <w:spacing w:line="360" w:lineRule="auto"/>
        <w:rPr>
          <w:lang w:val="en-GB" w:eastAsia="en-GB"/>
        </w:rPr>
      </w:pPr>
      <w:r w:rsidRPr="000B4E2C">
        <w:rPr>
          <w:sz w:val="24"/>
          <w:szCs w:val="24"/>
          <w:lang w:val="en-GB" w:eastAsia="en-GB"/>
        </w:rPr>
        <w:t xml:space="preserve">Overall, despite some evidence suggesting possible improvement of care processes and health care utilisation when biomarker guided care bundles are used alongside KDIGO criteria, there is still considerable uncertainty </w:t>
      </w:r>
      <w:r w:rsidR="00F46B31" w:rsidRPr="000B4E2C">
        <w:rPr>
          <w:sz w:val="24"/>
          <w:szCs w:val="24"/>
          <w:lang w:val="en-GB" w:eastAsia="en-GB"/>
        </w:rPr>
        <w:t>regarding effects on</w:t>
      </w:r>
      <w:r w:rsidRPr="000B4E2C">
        <w:rPr>
          <w:sz w:val="24"/>
          <w:szCs w:val="24"/>
          <w:lang w:val="en-GB" w:eastAsia="en-GB"/>
        </w:rPr>
        <w:t xml:space="preserve"> </w:t>
      </w:r>
      <w:r w:rsidR="00F46B31" w:rsidRPr="000B4E2C">
        <w:rPr>
          <w:sz w:val="24"/>
          <w:szCs w:val="24"/>
          <w:lang w:val="en-GB" w:eastAsia="en-GB"/>
        </w:rPr>
        <w:t xml:space="preserve">health </w:t>
      </w:r>
      <w:r w:rsidRPr="000B4E2C">
        <w:rPr>
          <w:sz w:val="24"/>
          <w:szCs w:val="24"/>
          <w:lang w:val="en-GB" w:eastAsia="en-GB"/>
        </w:rPr>
        <w:t>outcomes</w:t>
      </w:r>
      <w:r w:rsidR="00F46B31" w:rsidRPr="000B4E2C">
        <w:rPr>
          <w:sz w:val="24"/>
          <w:szCs w:val="24"/>
          <w:lang w:val="en-GB" w:eastAsia="en-GB"/>
        </w:rPr>
        <w:t>, particularly when used in the pre critical care setting</w:t>
      </w:r>
      <w:r w:rsidRPr="000B4E2C">
        <w:rPr>
          <w:sz w:val="24"/>
          <w:szCs w:val="24"/>
          <w:lang w:val="en-GB" w:eastAsia="en-GB"/>
        </w:rPr>
        <w:t xml:space="preserve">. In addition, the optimal threshold for NGAL, and how this changes according to different clinical settings, has yet to be established. </w:t>
      </w:r>
      <w:r w:rsidR="00185B5A" w:rsidRPr="000B4E2C">
        <w:rPr>
          <w:sz w:val="24"/>
          <w:szCs w:val="24"/>
        </w:rPr>
        <w:t xml:space="preserve">Future studies should evaluate the targeted use of the biomarkers within specific clinical populations and circumstances were there is potential for benefit with a plausible and feasible intervention. In </w:t>
      </w:r>
      <w:r w:rsidR="00185B5A" w:rsidRPr="000B4E2C">
        <w:rPr>
          <w:sz w:val="24"/>
          <w:szCs w:val="24"/>
        </w:rPr>
        <w:lastRenderedPageBreak/>
        <w:t>particular, they should focus on the assessment of the impact of routine biomarker use on a reduction in mortality, major clinical adverse events, modification of clinical care, and resource utili</w:t>
      </w:r>
      <w:r w:rsidR="00BC240F" w:rsidRPr="000B4E2C">
        <w:rPr>
          <w:sz w:val="24"/>
          <w:szCs w:val="24"/>
        </w:rPr>
        <w:t>s</w:t>
      </w:r>
      <w:r w:rsidR="00185B5A" w:rsidRPr="000B4E2C">
        <w:rPr>
          <w:sz w:val="24"/>
          <w:szCs w:val="24"/>
        </w:rPr>
        <w:t>ation</w:t>
      </w:r>
      <w:r w:rsidRPr="000B4E2C">
        <w:rPr>
          <w:sz w:val="24"/>
          <w:szCs w:val="24"/>
          <w:lang w:val="en-GB" w:eastAsia="en-GB"/>
        </w:rPr>
        <w:t>. In other words, future research should evaluate the use of these biomarkers to improve patients</w:t>
      </w:r>
      <w:r w:rsidR="0072128A" w:rsidRPr="000B4E2C">
        <w:rPr>
          <w:color w:val="00B0F0"/>
          <w:sz w:val="24"/>
          <w:szCs w:val="24"/>
          <w:lang w:val="en-GB" w:eastAsia="en-GB"/>
        </w:rPr>
        <w:t>$$SingleQuoteE$</w:t>
      </w:r>
      <w:r w:rsidR="000B4E2C" w:rsidRPr="000B4E2C">
        <w:rPr>
          <w:color w:val="00B0F0"/>
          <w:sz w:val="24"/>
          <w:szCs w:val="24"/>
          <w:lang w:val="en-GB" w:eastAsia="en-GB"/>
        </w:rPr>
        <w:t>$</w:t>
      </w:r>
      <w:r w:rsidRPr="000B4E2C">
        <w:rPr>
          <w:sz w:val="24"/>
          <w:szCs w:val="24"/>
          <w:lang w:val="en-GB" w:eastAsia="en-GB"/>
        </w:rPr>
        <w:t>clinical outcomes and management.</w:t>
      </w:r>
    </w:p>
    <w:p w14:paraId="674B965B" w14:textId="6A2398B6" w:rsidR="000B4E2C" w:rsidRPr="000B4E2C" w:rsidRDefault="002F0133" w:rsidP="008A7464">
      <w:pPr>
        <w:rPr>
          <w:lang w:val="en-GB" w:eastAsia="en-GB"/>
        </w:rPr>
      </w:pPr>
      <w:r w:rsidRPr="000B4E2C">
        <w:rPr>
          <w:lang w:val="en-GB" w:eastAsia="en-GB"/>
        </w:rPr>
        <w:t>Discrete urine and plasma NGAL cut offs for differentiating between AKI and non-AKI patients in each clinical setting need to be identified and the timing of collection of biomarker concentrations should be set out more clearly according to each setting. In line with the recommendations from the 1</w:t>
      </w:r>
      <w:r w:rsidR="000B4E2C" w:rsidRPr="000B4E2C">
        <w:rPr>
          <w:color w:val="00B0F0"/>
          <w:lang w:val="en-GB" w:eastAsia="en-GB"/>
        </w:rPr>
        <w:t>0th</w:t>
      </w:r>
      <w:r w:rsidRPr="000B4E2C">
        <w:rPr>
          <w:lang w:val="en-GB" w:eastAsia="en-GB"/>
        </w:rPr>
        <w:t xml:space="preserve"> Acute Dialysis Quality Initiative Consensus Conference</w:t>
      </w:r>
      <w:r w:rsidR="00185B5A" w:rsidRPr="000B4E2C">
        <w:rPr>
          <w:lang w:val="en-GB" w:eastAsia="en-GB"/>
        </w:rPr>
        <w:t>,</w:t>
      </w:r>
      <w:r w:rsidR="00280A97" w:rsidRPr="000B4E2C">
        <w:rPr>
          <w:noProof/>
          <w:vertAlign w:val="superscript"/>
          <w:lang w:val="en-GB" w:eastAsia="en-GB"/>
        </w:rPr>
        <w:t>147</w:t>
      </w:r>
      <w:r w:rsidRPr="000B4E2C">
        <w:rPr>
          <w:lang w:val="en-GB" w:eastAsia="en-GB"/>
        </w:rPr>
        <w:t xml:space="preserve"> there is also a need to harmonise the methods and platforms for collection, handling and storage of urine and plasma samples. Furthermore, it would be useful to harmonise the reporting of biomarkers concentrations (e.g., absolute concentrations, ratio to urine creatinine) and corroborate techniques for normalising urine biomarker concentrations to urine creatinine concentrations.</w:t>
      </w:r>
    </w:p>
    <w:p w14:paraId="373E3958" w14:textId="77777777" w:rsidR="000B4E2C" w:rsidRPr="000B4E2C" w:rsidRDefault="002F0133" w:rsidP="008A7464">
      <w:pPr>
        <w:rPr>
          <w:lang w:val="en-GB" w:eastAsia="en-GB"/>
        </w:rPr>
      </w:pPr>
      <w:r w:rsidRPr="000B4E2C">
        <w:rPr>
          <w:lang w:val="en-GB" w:eastAsia="en-GB"/>
        </w:rPr>
        <w:t>Finally, it is well recognised that AKI encompasses a range of clinical aetiologies, phenotypes and patterns of renal recovery. In addition, current measures of AKI may be insufficient to disentangle AKI that is predominantly functional without kidney damage, from people with incipient subclinical damage, to people with both AKI and kidney damage. Within this context, it remains unclear how phenotypic information on people with AKI should most usefully be combined to help target those most likely to benefit from earlier recognition and timely intervention, nor how such intervention may differ between clinical phenotypes</w:t>
      </w:r>
      <w:r w:rsidR="00185B5A" w:rsidRPr="000B4E2C">
        <w:rPr>
          <w:lang w:val="en-GB" w:eastAsia="en-GB"/>
        </w:rPr>
        <w:t>.</w:t>
      </w:r>
      <w:r w:rsidR="00280A97" w:rsidRPr="000B4E2C">
        <w:rPr>
          <w:noProof/>
          <w:vertAlign w:val="superscript"/>
          <w:lang w:val="en-GB" w:eastAsia="en-GB"/>
        </w:rPr>
        <w:t>147</w:t>
      </w:r>
    </w:p>
    <w:p w14:paraId="0A002AEA" w14:textId="59D40E87" w:rsidR="002F0133" w:rsidRPr="000B4E2C" w:rsidRDefault="002F0133" w:rsidP="008A7464">
      <w:pPr>
        <w:pStyle w:val="Heading3"/>
      </w:pPr>
      <w:r w:rsidRPr="000B4E2C">
        <w:t>Cost-effectiveness evidence</w:t>
      </w:r>
    </w:p>
    <w:p w14:paraId="437AF733" w14:textId="77777777" w:rsidR="002F0133" w:rsidRPr="000B4E2C" w:rsidRDefault="002F0133" w:rsidP="008A7464">
      <w:pPr>
        <w:rPr>
          <w:color w:val="000000" w:themeColor="text1"/>
          <w:lang w:val="en-GB" w:eastAsia="en-GB"/>
        </w:rPr>
      </w:pPr>
      <w:r w:rsidRPr="000B4E2C">
        <w:rPr>
          <w:color w:val="000000" w:themeColor="text1"/>
          <w:lang w:val="en-GB" w:eastAsia="en-GB"/>
        </w:rPr>
        <w:t xml:space="preserve">There are three key areas of uncertainty in the economic evaluation modelling that limit the robustness of the cost-effectiveness results: i) the lack of evidence on the impact of the biomarkers on health outcomes; ii) the heterogeneity in the diagnostic accuracy </w:t>
      </w:r>
      <w:r w:rsidRPr="000B4E2C">
        <w:rPr>
          <w:color w:val="000000" w:themeColor="text1"/>
          <w:highlight w:val="magenta"/>
          <w:lang w:val="en-GB" w:eastAsia="en-GB"/>
        </w:rPr>
        <w:t>data</w:t>
      </w:r>
      <w:r w:rsidRPr="000B4E2C">
        <w:rPr>
          <w:color w:val="000000" w:themeColor="text1"/>
          <w:lang w:val="en-GB" w:eastAsia="en-GB"/>
        </w:rPr>
        <w:t xml:space="preserve"> (including uncertainty in the prevalence of AKI in a broad, poorly defined population); iii) the uncertainty around the impact of a NGAL-guided implementation of a KDIGO care bundle on the frequency and severity of AKI. Given these uncertainties, the choice of a preferred base case scenario is challenging, and the observed results should be considered cautiously. These are speculative analyses ranging from a set of pessimistic to a set of optimistic scenarios for the use of the biomarkers under assessment.</w:t>
      </w:r>
    </w:p>
    <w:p w14:paraId="5F6A2F19" w14:textId="77777777" w:rsidR="002F0133" w:rsidRPr="000B4E2C" w:rsidRDefault="002F0133" w:rsidP="008A7464">
      <w:pPr>
        <w:rPr>
          <w:color w:val="FF0000"/>
          <w:lang w:val="en-GB" w:eastAsia="en-GB"/>
        </w:rPr>
      </w:pPr>
    </w:p>
    <w:p w14:paraId="2700E738" w14:textId="77777777" w:rsidR="000B4E2C" w:rsidRPr="000B4E2C" w:rsidRDefault="002F0133" w:rsidP="008A7464">
      <w:pPr>
        <w:rPr>
          <w:lang w:val="en-GB" w:eastAsia="en-GB"/>
        </w:rPr>
      </w:pPr>
      <w:r w:rsidRPr="000B4E2C">
        <w:rPr>
          <w:lang w:val="en-GB" w:eastAsia="en-GB"/>
        </w:rPr>
        <w:t>Specifically, there is no evidence to describe the impact of the use of the AKI biomarkers on important health outcomes (such as need for ICU care, length of hospital stay, risk of 90-day mortality or development of new</w:t>
      </w:r>
      <w:r w:rsidR="000B4E2C" w:rsidRPr="000B4E2C">
        <w:rPr>
          <w:color w:val="00B0F0"/>
          <w:lang w:val="en-GB" w:eastAsia="en-GB"/>
        </w:rPr>
        <w:t>/</w:t>
      </w:r>
      <w:r w:rsidRPr="000B4E2C">
        <w:rPr>
          <w:lang w:val="en-GB" w:eastAsia="en-GB"/>
        </w:rPr>
        <w:t xml:space="preserve">progression of existing chronic kidney disease). Accordingly, the cost-effectiveness results are based on a linked-evidence approach where we have relied on observational associations to </w:t>
      </w:r>
      <w:r w:rsidRPr="000B4E2C">
        <w:rPr>
          <w:highlight w:val="magenta"/>
          <w:lang w:val="en-GB" w:eastAsia="en-GB"/>
        </w:rPr>
        <w:t>infer</w:t>
      </w:r>
      <w:r w:rsidRPr="000B4E2C">
        <w:rPr>
          <w:lang w:val="en-GB" w:eastAsia="en-GB"/>
        </w:rPr>
        <w:t xml:space="preserve"> how prevention or mitigation of AKI may affect changes in health outcomes. These associations necessitate causal assumptions, but while a causal link between AKI and poor outcomes is plausible, the extent of this causal relationship is uncertain and controversial</w:t>
      </w:r>
      <w:r w:rsidR="00185B5A" w:rsidRPr="000B4E2C">
        <w:rPr>
          <w:lang w:val="en-GB" w:eastAsia="en-GB"/>
        </w:rPr>
        <w:t>.</w:t>
      </w:r>
      <w:r w:rsidR="00280A97" w:rsidRPr="000B4E2C">
        <w:rPr>
          <w:noProof/>
          <w:vertAlign w:val="superscript"/>
          <w:lang w:val="en-GB" w:eastAsia="en-GB"/>
        </w:rPr>
        <w:t>148, 149</w:t>
      </w:r>
      <w:r w:rsidRPr="000B4E2C">
        <w:rPr>
          <w:lang w:val="en-GB" w:eastAsia="en-GB"/>
        </w:rPr>
        <w:t xml:space="preserve"> The cost-effectiveness results are therefore presented for a range of alternative, but potentially plausible, scenario analyses ranging from a set of optimistic assumptions where biomarker-guided care bundles may </w:t>
      </w:r>
      <w:r w:rsidRPr="000B4E2C">
        <w:rPr>
          <w:highlight w:val="magenta"/>
          <w:lang w:val="en-GB" w:eastAsia="en-GB"/>
        </w:rPr>
        <w:t>lead</w:t>
      </w:r>
      <w:r w:rsidRPr="000B4E2C">
        <w:rPr>
          <w:lang w:val="en-GB" w:eastAsia="en-GB"/>
        </w:rPr>
        <w:t xml:space="preserve"> to substantial improvements in health outcomes (need for ICU, CKD, mortality) to a set of more conservative assumptions where changing of AKI status has no effects on health outcomes. It is likely that the true estimate of cost-effectiveness lies somewhere between these two extremes.</w:t>
      </w:r>
    </w:p>
    <w:p w14:paraId="39D89D6C" w14:textId="77777777" w:rsidR="000B4E2C" w:rsidRPr="000B4E2C" w:rsidRDefault="002F0133" w:rsidP="008A7464">
      <w:pPr>
        <w:rPr>
          <w:lang w:val="en-GB" w:eastAsia="en-GB"/>
        </w:rPr>
      </w:pPr>
      <w:r w:rsidRPr="000B4E2C">
        <w:rPr>
          <w:lang w:val="en-GB" w:eastAsia="en-GB"/>
        </w:rPr>
        <w:t xml:space="preserve">Furthermore, the diagnostic accuracy </w:t>
      </w:r>
      <w:r w:rsidRPr="000B4E2C">
        <w:rPr>
          <w:highlight w:val="magenta"/>
          <w:lang w:val="en-GB" w:eastAsia="en-GB"/>
        </w:rPr>
        <w:t>data</w:t>
      </w:r>
      <w:r w:rsidRPr="000B4E2C">
        <w:rPr>
          <w:lang w:val="en-GB" w:eastAsia="en-GB"/>
        </w:rPr>
        <w:t xml:space="preserve"> used in the economic model are obtained from studies that are considerably heterogeneous in terms of baseline AKI prevalence, timing of sample collection, threshold values, and definition of AKI. Given the difficulty in defining the population that fits within the scope of this assessment, it is unclear how generalisable the diagnostic accuracy </w:t>
      </w:r>
      <w:r w:rsidRPr="000B4E2C">
        <w:rPr>
          <w:highlight w:val="magenta"/>
          <w:lang w:val="en-GB" w:eastAsia="en-GB"/>
        </w:rPr>
        <w:t>data</w:t>
      </w:r>
      <w:r w:rsidRPr="000B4E2C">
        <w:rPr>
          <w:lang w:val="en-GB" w:eastAsia="en-GB"/>
        </w:rPr>
        <w:t xml:space="preserve"> are to the UK population in which the biomarkers could be used.</w:t>
      </w:r>
    </w:p>
    <w:p w14:paraId="3DCBB620" w14:textId="78E1CB53" w:rsidR="000B4E2C" w:rsidRPr="000B4E2C" w:rsidRDefault="002F0133" w:rsidP="008A7464">
      <w:pPr>
        <w:rPr>
          <w:lang w:val="en-GB" w:eastAsia="en-GB"/>
        </w:rPr>
      </w:pPr>
      <w:r w:rsidRPr="000B4E2C">
        <w:rPr>
          <w:lang w:val="en-GB" w:eastAsia="en-GB"/>
        </w:rPr>
        <w:t xml:space="preserve">Also of note are additional uncertainties in the model that make conclusions about the relative cost-effectiveness of each biomarkers difficult. For example, </w:t>
      </w:r>
      <w:r w:rsidR="000B4E2C" w:rsidRPr="000B4E2C">
        <w:rPr>
          <w:color w:val="00B0F0"/>
          <w:lang w:val="en-GB" w:eastAsia="en-GB"/>
        </w:rPr>
        <w:t>while</w:t>
      </w:r>
      <w:r w:rsidRPr="000B4E2C">
        <w:rPr>
          <w:lang w:val="en-GB" w:eastAsia="en-GB"/>
        </w:rPr>
        <w:t xml:space="preserve"> there is some evidence in the literature from Meersch</w:t>
      </w:r>
      <w:r w:rsidRPr="000B4E2C">
        <w:rPr>
          <w:i/>
          <w:color w:val="00B0F0"/>
          <w:lang w:val="en-GB" w:eastAsia="en-GB"/>
        </w:rPr>
        <w:t xml:space="preserve"> et al</w:t>
      </w:r>
      <w:r w:rsidRPr="000B4E2C">
        <w:rPr>
          <w:lang w:val="en-GB" w:eastAsia="en-GB"/>
        </w:rPr>
        <w:t>. that early NephroCheck guided implementation of a KDIGO care bundle may improve AKI status at 72 hours</w:t>
      </w:r>
      <w:r w:rsidR="00BE2CD3" w:rsidRPr="000B4E2C">
        <w:rPr>
          <w:lang w:val="en-GB" w:eastAsia="en-GB"/>
        </w:rPr>
        <w:t>,</w:t>
      </w:r>
      <w:r w:rsidR="00280A97" w:rsidRPr="000B4E2C">
        <w:rPr>
          <w:noProof/>
          <w:vertAlign w:val="superscript"/>
          <w:lang w:val="en-GB" w:eastAsia="en-GB"/>
        </w:rPr>
        <w:t>112</w:t>
      </w:r>
      <w:r w:rsidRPr="000B4E2C">
        <w:rPr>
          <w:lang w:val="en-GB" w:eastAsia="en-GB"/>
        </w:rPr>
        <w:t xml:space="preserve"> the potential for similar improvements using NGAL is unknown. Therefore, we have considered two scenarios for the cost-effectiveness analyses. The first assumes, optimistically, that all NGAL tests are equally as effective at preventing AKI or reducing its severity as NephroCheck; the second based on the available </w:t>
      </w:r>
      <w:r w:rsidRPr="000B4E2C">
        <w:rPr>
          <w:highlight w:val="magenta"/>
          <w:lang w:val="en-GB" w:eastAsia="en-GB"/>
        </w:rPr>
        <w:t>data</w:t>
      </w:r>
      <w:r w:rsidRPr="000B4E2C">
        <w:rPr>
          <w:lang w:val="en-GB" w:eastAsia="en-GB"/>
        </w:rPr>
        <w:t xml:space="preserve"> from Meersch</w:t>
      </w:r>
      <w:r w:rsidRPr="000B4E2C">
        <w:rPr>
          <w:i/>
          <w:color w:val="00B0F0"/>
          <w:lang w:val="en-GB" w:eastAsia="en-GB"/>
        </w:rPr>
        <w:t xml:space="preserve"> et al</w:t>
      </w:r>
      <w:r w:rsidRPr="000B4E2C">
        <w:rPr>
          <w:lang w:val="en-GB" w:eastAsia="en-GB"/>
        </w:rPr>
        <w:t xml:space="preserve"> assumes that NGAL can only reduce the severity of AKI once occurs but cannot prevent its occurrence.</w:t>
      </w:r>
    </w:p>
    <w:p w14:paraId="2E627EAC" w14:textId="472E9520" w:rsidR="000B4E2C" w:rsidRPr="000B4E2C" w:rsidRDefault="002F0133" w:rsidP="008A7464">
      <w:pPr>
        <w:rPr>
          <w:lang w:val="en-GB" w:eastAsia="en-GB"/>
        </w:rPr>
      </w:pPr>
      <w:r w:rsidRPr="000B4E2C">
        <w:rPr>
          <w:lang w:val="en-GB" w:eastAsia="en-GB"/>
        </w:rPr>
        <w:t xml:space="preserve">Because of these uncertainties, the results of the cost-effectiveness modelling are largely speculative and should be interpreted with caution. </w:t>
      </w:r>
      <w:r w:rsidR="000B4E2C" w:rsidRPr="000B4E2C">
        <w:rPr>
          <w:color w:val="00B0F0"/>
          <w:lang w:val="en-GB" w:eastAsia="en-GB"/>
        </w:rPr>
        <w:t>While</w:t>
      </w:r>
      <w:r w:rsidRPr="000B4E2C">
        <w:rPr>
          <w:lang w:val="en-GB" w:eastAsia="en-GB"/>
        </w:rPr>
        <w:t xml:space="preserve"> extensive probabilistic analyses are carried out for scenario analyses, these may still not fully capture the uncertainty faced in the implementation of these biomarkers in clinical </w:t>
      </w:r>
      <w:r w:rsidRPr="000B4E2C">
        <w:rPr>
          <w:highlight w:val="magenta"/>
          <w:lang w:val="en-GB" w:eastAsia="en-GB"/>
        </w:rPr>
        <w:t>practice</w:t>
      </w:r>
      <w:r w:rsidRPr="000B4E2C">
        <w:rPr>
          <w:lang w:val="en-GB" w:eastAsia="en-GB"/>
        </w:rPr>
        <w:t>.</w:t>
      </w:r>
    </w:p>
    <w:p w14:paraId="5A372E3D" w14:textId="71FDBDAD" w:rsidR="002F0133" w:rsidRPr="000B4E2C" w:rsidRDefault="002F0133" w:rsidP="008A7464">
      <w:pPr>
        <w:rPr>
          <w:color w:val="FF0000"/>
          <w:lang w:val="en-GB" w:eastAsia="en-GB"/>
        </w:rPr>
      </w:pPr>
    </w:p>
    <w:p w14:paraId="4AF38A9D" w14:textId="51FB6DC5" w:rsidR="00614DA2" w:rsidRPr="000B4E2C" w:rsidRDefault="00614DA2" w:rsidP="00614DA2">
      <w:pPr>
        <w:rPr>
          <w:lang w:val="en-GB" w:eastAsia="en-GB"/>
        </w:rPr>
      </w:pPr>
      <w:r w:rsidRPr="000B4E2C">
        <w:rPr>
          <w:lang w:val="en-GB" w:eastAsia="en-GB"/>
        </w:rPr>
        <w:lastRenderedPageBreak/>
        <w:t xml:space="preserve">In summary, the current evidence base is insufficient to make a full appraisal of the economic value of the biomarkers under investigation to provide </w:t>
      </w:r>
      <w:r w:rsidR="000B4E2C" w:rsidRPr="000B4E2C">
        <w:rPr>
          <w:color w:val="00B0F0"/>
          <w:lang w:val="en-GB" w:eastAsia="en-GB"/>
        </w:rPr>
        <w:t>cost-effective</w:t>
      </w:r>
      <w:r w:rsidRPr="000B4E2C">
        <w:rPr>
          <w:lang w:val="en-GB" w:eastAsia="en-GB"/>
        </w:rPr>
        <w:t xml:space="preserve"> improvements in clinical outcomes of AKI. As such, we have provided a range of scenarios that cannot answer the full remit of this evaluation. We believe the scenarios illustrate what might be required for the biomarkers to be </w:t>
      </w:r>
      <w:r w:rsidR="000B4E2C" w:rsidRPr="000B4E2C">
        <w:rPr>
          <w:color w:val="00B0F0"/>
          <w:lang w:val="en-GB" w:eastAsia="en-GB"/>
        </w:rPr>
        <w:t>cost-effective</w:t>
      </w:r>
      <w:r w:rsidRPr="000B4E2C">
        <w:rPr>
          <w:lang w:val="en-GB" w:eastAsia="en-GB"/>
        </w:rPr>
        <w:t>, highlighting through the assumptions involved the current gaps where further research is required.</w:t>
      </w:r>
    </w:p>
    <w:p w14:paraId="0259FB93" w14:textId="77777777" w:rsidR="00614DA2" w:rsidRPr="000B4E2C" w:rsidRDefault="00614DA2" w:rsidP="008A7464">
      <w:pPr>
        <w:rPr>
          <w:color w:val="FF0000"/>
          <w:lang w:val="en-GB" w:eastAsia="en-GB"/>
        </w:rPr>
      </w:pPr>
    </w:p>
    <w:p w14:paraId="52A5EB23" w14:textId="77777777" w:rsidR="000B4E2C" w:rsidRPr="000B4E2C" w:rsidRDefault="000B4E2C" w:rsidP="008A7464">
      <w:pPr>
        <w:rPr>
          <w:b/>
          <w:lang w:val="en-GB" w:eastAsia="en-GB"/>
        </w:rPr>
      </w:pPr>
    </w:p>
    <w:p w14:paraId="44EDAB8A" w14:textId="77777777" w:rsidR="000B4E2C" w:rsidRPr="000B4E2C" w:rsidRDefault="002F0133" w:rsidP="008A7464">
      <w:pPr>
        <w:pStyle w:val="Heading1"/>
      </w:pPr>
      <w:bookmarkStart w:id="22" w:name="_Toc386102075"/>
      <w:bookmarkStart w:id="23" w:name="_Toc386459575"/>
      <w:r w:rsidRPr="000B4E2C">
        <w:t>6</w:t>
      </w:r>
      <w:r w:rsidRPr="000B4E2C">
        <w:tab/>
        <w:t>Conclusions</w:t>
      </w:r>
      <w:bookmarkEnd w:id="22"/>
      <w:bookmarkEnd w:id="23"/>
    </w:p>
    <w:p w14:paraId="58E8C810" w14:textId="4B16CE1A" w:rsidR="000B4E2C" w:rsidRPr="000B4E2C" w:rsidRDefault="00614DA2" w:rsidP="008A7464">
      <w:pPr>
        <w:pStyle w:val="Heading2"/>
      </w:pPr>
      <w:r w:rsidRPr="000B4E2C">
        <w:t>Impli</w:t>
      </w:r>
      <w:r w:rsidR="00806C16" w:rsidRPr="000B4E2C">
        <w:t>c</w:t>
      </w:r>
      <w:r w:rsidRPr="000B4E2C">
        <w:t xml:space="preserve">ations for clinical </w:t>
      </w:r>
      <w:r w:rsidRPr="000B4E2C">
        <w:rPr>
          <w:highlight w:val="magenta"/>
        </w:rPr>
        <w:t>practice</w:t>
      </w:r>
      <w:r w:rsidR="002F0133" w:rsidRPr="000B4E2C">
        <w:t xml:space="preserve"> and future research</w:t>
      </w:r>
    </w:p>
    <w:p w14:paraId="19BD81B8" w14:textId="77777777" w:rsidR="000B4E2C" w:rsidRPr="000B4E2C" w:rsidRDefault="00BE2CD3" w:rsidP="00BE2CD3">
      <w:pPr>
        <w:rPr>
          <w:lang w:val="en-GB" w:eastAsia="en-GB"/>
        </w:rPr>
      </w:pPr>
      <w:r w:rsidRPr="000B4E2C">
        <w:rPr>
          <w:lang w:val="en-GB" w:eastAsia="en-GB"/>
        </w:rPr>
        <w:t xml:space="preserve">We found that novel biomarkers </w:t>
      </w:r>
      <w:r w:rsidR="004A38D7" w:rsidRPr="000B4E2C">
        <w:rPr>
          <w:lang w:val="en-GB" w:eastAsia="en-GB"/>
        </w:rPr>
        <w:t>have the ability</w:t>
      </w:r>
      <w:r w:rsidRPr="000B4E2C">
        <w:rPr>
          <w:lang w:val="en-GB" w:eastAsia="en-GB"/>
        </w:rPr>
        <w:t xml:space="preserve"> to predict the pre</w:t>
      </w:r>
      <w:r w:rsidR="004A38D7" w:rsidRPr="000B4E2C">
        <w:rPr>
          <w:lang w:val="en-GB" w:eastAsia="en-GB"/>
        </w:rPr>
        <w:t>sence or onset of AKI</w:t>
      </w:r>
      <w:r w:rsidRPr="000B4E2C">
        <w:rPr>
          <w:lang w:val="en-GB" w:eastAsia="en-GB"/>
        </w:rPr>
        <w:t>, but additional research is required to understand whether such biomarkers can do so incrementally above existing standard care. In addition, research that considers the utility of biomarkers on top of other novel approaches such as machine learning approaches to recognise incipient AKI in different clinical environments would be valuable.</w:t>
      </w:r>
    </w:p>
    <w:p w14:paraId="539B2AA1" w14:textId="77777777" w:rsidR="000B4E2C" w:rsidRPr="000B4E2C" w:rsidRDefault="00BE2CD3" w:rsidP="00BE2CD3">
      <w:pPr>
        <w:rPr>
          <w:lang w:val="en-GB" w:eastAsia="en-GB"/>
        </w:rPr>
      </w:pPr>
      <w:r w:rsidRPr="000B4E2C">
        <w:rPr>
          <w:lang w:val="en-GB" w:eastAsia="en-GB"/>
        </w:rPr>
        <w:t xml:space="preserve">There was limited trial evidence that the course of AKI in critical care circumstances may be potentially modifiable, or avoidable with early biomarker-guided care bundle approaches. Future research is needed to understand whether this is </w:t>
      </w:r>
      <w:r w:rsidRPr="000B4E2C">
        <w:rPr>
          <w:highlight w:val="magenta"/>
          <w:lang w:val="en-GB" w:eastAsia="en-GB"/>
        </w:rPr>
        <w:t>dependent</w:t>
      </w:r>
      <w:r w:rsidRPr="000B4E2C">
        <w:rPr>
          <w:lang w:val="en-GB" w:eastAsia="en-GB"/>
        </w:rPr>
        <w:t xml:space="preserve"> on a well-performing timely biomarker, a care bundle appropriate for clinical context, or both. Research is also </w:t>
      </w:r>
      <w:r w:rsidR="00861231" w:rsidRPr="000B4E2C">
        <w:rPr>
          <w:lang w:val="en-GB" w:eastAsia="en-GB"/>
        </w:rPr>
        <w:t>required</w:t>
      </w:r>
      <w:r w:rsidRPr="000B4E2C">
        <w:rPr>
          <w:lang w:val="en-GB" w:eastAsia="en-GB"/>
        </w:rPr>
        <w:t xml:space="preserve"> to further evaluate such approaches outside of a critical care setting.</w:t>
      </w:r>
    </w:p>
    <w:p w14:paraId="7CEA7AA6" w14:textId="77777777" w:rsidR="000B4E2C" w:rsidRPr="000B4E2C" w:rsidRDefault="00BE2CD3" w:rsidP="00BE2CD3">
      <w:pPr>
        <w:rPr>
          <w:lang w:val="en-GB" w:eastAsia="en-GB"/>
        </w:rPr>
      </w:pPr>
      <w:r w:rsidRPr="000B4E2C">
        <w:rPr>
          <w:lang w:val="en-GB" w:eastAsia="en-GB"/>
        </w:rPr>
        <w:t>Current literature is inadequate</w:t>
      </w:r>
      <w:r w:rsidR="00861231" w:rsidRPr="000B4E2C">
        <w:rPr>
          <w:lang w:val="en-GB" w:eastAsia="en-GB"/>
        </w:rPr>
        <w:t xml:space="preserve"> to determine whether biomarker-</w:t>
      </w:r>
      <w:r w:rsidRPr="000B4E2C">
        <w:rPr>
          <w:lang w:val="en-GB" w:eastAsia="en-GB"/>
        </w:rPr>
        <w:t xml:space="preserve">guided intervention can </w:t>
      </w:r>
      <w:r w:rsidRPr="000B4E2C">
        <w:rPr>
          <w:highlight w:val="magenta"/>
          <w:lang w:val="en-GB" w:eastAsia="en-GB"/>
        </w:rPr>
        <w:t>lead</w:t>
      </w:r>
      <w:r w:rsidRPr="000B4E2C">
        <w:rPr>
          <w:lang w:val="en-GB" w:eastAsia="en-GB"/>
        </w:rPr>
        <w:t xml:space="preserve"> to hard clinical and economic outcomes in addition to amelioration of AKI severity. The specific clinical circumstances where benefit exists, and whether such benefit is </w:t>
      </w:r>
      <w:r w:rsidRPr="000B4E2C">
        <w:rPr>
          <w:highlight w:val="magenta"/>
          <w:lang w:val="en-GB" w:eastAsia="en-GB"/>
        </w:rPr>
        <w:t>dependent</w:t>
      </w:r>
      <w:r w:rsidRPr="000B4E2C">
        <w:rPr>
          <w:lang w:val="en-GB" w:eastAsia="en-GB"/>
        </w:rPr>
        <w:t xml:space="preserve"> on reduction of AKI severity or is mediated through other means would also be informative for future evaluations.</w:t>
      </w:r>
    </w:p>
    <w:p w14:paraId="4F5F761B" w14:textId="12E171F3" w:rsidR="000B4E2C" w:rsidRPr="000B4E2C" w:rsidRDefault="00BE2CD3" w:rsidP="00BE2CD3">
      <w:pPr>
        <w:rPr>
          <w:lang w:val="en-GB" w:eastAsia="en-GB"/>
        </w:rPr>
      </w:pPr>
      <w:r w:rsidRPr="000B4E2C">
        <w:rPr>
          <w:lang w:val="en-GB" w:eastAsia="en-GB"/>
        </w:rPr>
        <w:t xml:space="preserve">Uncertainty remains around the process of renal recovery and non-recovery after AKI. Mechanistic work exploring the nature, timing and extent of the recovery process could inform the nature and circumstance where a biomarker-guided intervention might be effective. Similarly, clinical research on the timing and extent of renal recovery with different AKI phenotypes would enhance the ability to model </w:t>
      </w:r>
      <w:r w:rsidR="000B4E2C" w:rsidRPr="000B4E2C">
        <w:rPr>
          <w:color w:val="00B0F0"/>
          <w:lang w:val="en-GB" w:eastAsia="en-GB"/>
        </w:rPr>
        <w:t>cost-effective</w:t>
      </w:r>
      <w:r w:rsidRPr="000B4E2C">
        <w:rPr>
          <w:lang w:val="en-GB" w:eastAsia="en-GB"/>
        </w:rPr>
        <w:t>ness of biomarker-guided therapies within different subsets of AKI.</w:t>
      </w:r>
    </w:p>
    <w:p w14:paraId="484469E2" w14:textId="77777777" w:rsidR="000B4E2C" w:rsidRPr="000B4E2C" w:rsidRDefault="00614DA2" w:rsidP="00BE2CD3">
      <w:pPr>
        <w:rPr>
          <w:lang w:val="en-GB" w:eastAsia="en-GB"/>
        </w:rPr>
      </w:pPr>
      <w:r w:rsidRPr="000B4E2C">
        <w:rPr>
          <w:lang w:val="en-GB" w:eastAsia="en-GB"/>
        </w:rPr>
        <w:t xml:space="preserve">In brief, </w:t>
      </w:r>
      <w:r w:rsidR="00806C16" w:rsidRPr="000B4E2C">
        <w:rPr>
          <w:lang w:val="en-GB" w:eastAsia="en-GB"/>
        </w:rPr>
        <w:t>we have identified the following research priorities:</w:t>
      </w:r>
    </w:p>
    <w:p w14:paraId="7F108C6B" w14:textId="77777777" w:rsidR="000B4E2C" w:rsidRPr="000B4E2C" w:rsidRDefault="00614DA2" w:rsidP="00A417B8">
      <w:pPr>
        <w:pStyle w:val="CommentText"/>
        <w:numPr>
          <w:ilvl w:val="0"/>
          <w:numId w:val="53"/>
        </w:numPr>
        <w:spacing w:line="360" w:lineRule="auto"/>
        <w:rPr>
          <w:b/>
          <w:sz w:val="24"/>
          <w:szCs w:val="24"/>
        </w:rPr>
      </w:pPr>
      <w:r w:rsidRPr="000B4E2C">
        <w:rPr>
          <w:sz w:val="24"/>
          <w:szCs w:val="24"/>
        </w:rPr>
        <w:t xml:space="preserve">Further research in the form of adequately powered, well designed RCTs to determine the incremental value of </w:t>
      </w:r>
      <w:r w:rsidR="00806C16" w:rsidRPr="000B4E2C">
        <w:rPr>
          <w:sz w:val="24"/>
          <w:szCs w:val="24"/>
        </w:rPr>
        <w:t xml:space="preserve">biomarkers </w:t>
      </w:r>
      <w:r w:rsidRPr="000B4E2C">
        <w:rPr>
          <w:sz w:val="24"/>
          <w:szCs w:val="24"/>
        </w:rPr>
        <w:t>on clini</w:t>
      </w:r>
      <w:r w:rsidR="00806C16" w:rsidRPr="000B4E2C">
        <w:rPr>
          <w:sz w:val="24"/>
          <w:szCs w:val="24"/>
        </w:rPr>
        <w:t>cal outcomes (such as mortality and</w:t>
      </w:r>
      <w:r w:rsidRPr="000B4E2C">
        <w:rPr>
          <w:sz w:val="24"/>
          <w:szCs w:val="24"/>
        </w:rPr>
        <w:t xml:space="preserve"> development of CKD), quality of life, resource use, costs and cost-effectiveness</w:t>
      </w:r>
    </w:p>
    <w:p w14:paraId="34E12957" w14:textId="77777777" w:rsidR="000B4E2C" w:rsidRPr="000B4E2C" w:rsidRDefault="00614DA2" w:rsidP="00A417B8">
      <w:pPr>
        <w:pStyle w:val="CommentText"/>
        <w:numPr>
          <w:ilvl w:val="0"/>
          <w:numId w:val="53"/>
        </w:numPr>
        <w:spacing w:line="360" w:lineRule="auto"/>
        <w:rPr>
          <w:sz w:val="24"/>
          <w:szCs w:val="24"/>
        </w:rPr>
      </w:pPr>
      <w:r w:rsidRPr="000B4E2C">
        <w:rPr>
          <w:sz w:val="24"/>
          <w:szCs w:val="24"/>
        </w:rPr>
        <w:t>Further research to determine the clinical and cost-effectiveness of adopting an early care bundle for the preventio</w:t>
      </w:r>
      <w:r w:rsidR="00806C16" w:rsidRPr="000B4E2C">
        <w:rPr>
          <w:sz w:val="24"/>
          <w:szCs w:val="24"/>
        </w:rPr>
        <w:t>n</w:t>
      </w:r>
      <w:r w:rsidR="000B4E2C" w:rsidRPr="000B4E2C">
        <w:rPr>
          <w:color w:val="00B0F0"/>
          <w:sz w:val="24"/>
          <w:szCs w:val="24"/>
        </w:rPr>
        <w:t>/</w:t>
      </w:r>
      <w:r w:rsidR="00806C16" w:rsidRPr="000B4E2C">
        <w:rPr>
          <w:sz w:val="24"/>
          <w:szCs w:val="24"/>
        </w:rPr>
        <w:t>treatment of AKI compared with</w:t>
      </w:r>
      <w:r w:rsidRPr="000B4E2C">
        <w:rPr>
          <w:sz w:val="24"/>
          <w:szCs w:val="24"/>
        </w:rPr>
        <w:t xml:space="preserve"> standard care.</w:t>
      </w:r>
    </w:p>
    <w:p w14:paraId="215CB990" w14:textId="77777777" w:rsidR="000B4E2C" w:rsidRPr="000B4E2C" w:rsidRDefault="00806C16" w:rsidP="00A417B8">
      <w:pPr>
        <w:pStyle w:val="CommentText"/>
        <w:numPr>
          <w:ilvl w:val="0"/>
          <w:numId w:val="53"/>
        </w:numPr>
        <w:spacing w:line="360" w:lineRule="auto"/>
        <w:rPr>
          <w:sz w:val="24"/>
          <w:szCs w:val="24"/>
        </w:rPr>
      </w:pPr>
      <w:r w:rsidRPr="000B4E2C">
        <w:rPr>
          <w:sz w:val="24"/>
          <w:szCs w:val="24"/>
        </w:rPr>
        <w:t>Further research</w:t>
      </w:r>
      <w:r w:rsidR="00614DA2" w:rsidRPr="000B4E2C">
        <w:rPr>
          <w:sz w:val="24"/>
          <w:szCs w:val="24"/>
        </w:rPr>
        <w:t xml:space="preserve"> to help understand the quality of life (utility) implications for patients admitted to ICU care.</w:t>
      </w:r>
    </w:p>
    <w:p w14:paraId="3E81D567" w14:textId="77777777" w:rsidR="000B4E2C" w:rsidRPr="000B4E2C" w:rsidRDefault="00A417B8" w:rsidP="00A417B8">
      <w:pPr>
        <w:pStyle w:val="CommentText"/>
        <w:numPr>
          <w:ilvl w:val="0"/>
          <w:numId w:val="53"/>
        </w:numPr>
        <w:spacing w:line="360" w:lineRule="auto"/>
        <w:rPr>
          <w:sz w:val="24"/>
          <w:szCs w:val="24"/>
        </w:rPr>
      </w:pPr>
      <w:r w:rsidRPr="000B4E2C">
        <w:rPr>
          <w:bCs/>
          <w:sz w:val="24"/>
          <w:szCs w:val="24"/>
        </w:rPr>
        <w:t xml:space="preserve">Future research </w:t>
      </w:r>
      <w:r w:rsidR="00915A47" w:rsidRPr="000B4E2C">
        <w:rPr>
          <w:bCs/>
          <w:sz w:val="24"/>
          <w:szCs w:val="24"/>
        </w:rPr>
        <w:t xml:space="preserve">to </w:t>
      </w:r>
      <w:r w:rsidRPr="000B4E2C">
        <w:rPr>
          <w:bCs/>
          <w:sz w:val="24"/>
          <w:szCs w:val="24"/>
        </w:rPr>
        <w:t xml:space="preserve">consider </w:t>
      </w:r>
      <w:r w:rsidR="00915A47" w:rsidRPr="000B4E2C">
        <w:rPr>
          <w:bCs/>
          <w:sz w:val="24"/>
          <w:szCs w:val="24"/>
        </w:rPr>
        <w:t>the</w:t>
      </w:r>
      <w:r w:rsidRPr="000B4E2C">
        <w:rPr>
          <w:bCs/>
          <w:sz w:val="24"/>
          <w:szCs w:val="24"/>
        </w:rPr>
        <w:t xml:space="preserve"> </w:t>
      </w:r>
      <w:r w:rsidR="00915A47" w:rsidRPr="000B4E2C">
        <w:rPr>
          <w:bCs/>
          <w:sz w:val="24"/>
          <w:szCs w:val="24"/>
        </w:rPr>
        <w:t xml:space="preserve">potential </w:t>
      </w:r>
      <w:r w:rsidRPr="000B4E2C">
        <w:rPr>
          <w:bCs/>
          <w:sz w:val="24"/>
          <w:szCs w:val="24"/>
        </w:rPr>
        <w:t xml:space="preserve">roles for biomarker use in niche </w:t>
      </w:r>
      <w:r w:rsidR="00915A47" w:rsidRPr="000B4E2C">
        <w:rPr>
          <w:bCs/>
          <w:sz w:val="24"/>
          <w:szCs w:val="24"/>
        </w:rPr>
        <w:t xml:space="preserve">clinical </w:t>
      </w:r>
      <w:r w:rsidRPr="000B4E2C">
        <w:rPr>
          <w:bCs/>
          <w:sz w:val="24"/>
          <w:szCs w:val="24"/>
        </w:rPr>
        <w:t>areas, such as assist the discrimination of high and low risk people who are already receiving critical care immediately after major surgery.</w:t>
      </w:r>
    </w:p>
    <w:p w14:paraId="00CBF2FF" w14:textId="77777777" w:rsidR="000B4E2C" w:rsidRPr="000B4E2C" w:rsidRDefault="00915A47" w:rsidP="00915A47">
      <w:pPr>
        <w:rPr>
          <w:rFonts w:eastAsiaTheme="minorHAnsi"/>
          <w:bCs/>
          <w:sz w:val="22"/>
          <w:u w:val="single"/>
          <w:lang w:val="en-GB"/>
        </w:rPr>
      </w:pPr>
      <w:r w:rsidRPr="000B4E2C">
        <w:rPr>
          <w:bCs/>
          <w:u w:val="single"/>
        </w:rPr>
        <w:t>In addition, in the nephrology clinical research community, there is a need for efforts to standardise definitions and methods for studying AKI, kidney disease, progression, operationalisation of biomarkers and their interpretation.</w:t>
      </w:r>
    </w:p>
    <w:p w14:paraId="4FBCF1D7" w14:textId="77777777" w:rsidR="000B4E2C" w:rsidRPr="000B4E2C" w:rsidRDefault="00F223BF" w:rsidP="001F2138">
      <w:pPr>
        <w:pStyle w:val="Heading1"/>
      </w:pPr>
      <w:bookmarkStart w:id="24" w:name="_Toc501096569"/>
      <w:r w:rsidRPr="000B4E2C">
        <w:t>7</w:t>
      </w:r>
      <w:r w:rsidR="001F2138" w:rsidRPr="000B4E2C">
        <w:tab/>
        <w:t>Acknowledgement</w:t>
      </w:r>
      <w:bookmarkEnd w:id="24"/>
      <w:r w:rsidR="001F2138" w:rsidRPr="000B4E2C">
        <w:t>s</w:t>
      </w:r>
    </w:p>
    <w:p w14:paraId="1408F3D4" w14:textId="77777777" w:rsidR="000B4E2C" w:rsidRPr="000B4E2C" w:rsidRDefault="001F2138" w:rsidP="001F2138">
      <w:pPr>
        <w:rPr>
          <w:szCs w:val="24"/>
          <w:lang w:val="en-GB" w:eastAsia="en-GB"/>
        </w:rPr>
      </w:pPr>
      <w:r w:rsidRPr="000B4E2C">
        <w:rPr>
          <w:szCs w:val="24"/>
        </w:rPr>
        <w:t xml:space="preserve">The authors are grateful </w:t>
      </w:r>
      <w:r w:rsidRPr="000B4E2C">
        <w:rPr>
          <w:szCs w:val="24"/>
          <w:lang w:val="en-GB" w:eastAsia="en-GB"/>
        </w:rPr>
        <w:t xml:space="preserve">to </w:t>
      </w:r>
      <w:r w:rsidRPr="000B4E2C">
        <w:t>Shona Methven</w:t>
      </w:r>
      <w:r w:rsidRPr="000B4E2C">
        <w:rPr>
          <w:vertAlign w:val="superscript"/>
        </w:rPr>
        <w:t xml:space="preserve"> </w:t>
      </w:r>
      <w:r w:rsidRPr="000B4E2C">
        <w:rPr>
          <w:szCs w:val="24"/>
        </w:rPr>
        <w:t xml:space="preserve">for her help in developing the research protocol for this assessment and to </w:t>
      </w:r>
      <w:r w:rsidRPr="000B4E2C">
        <w:rPr>
          <w:szCs w:val="24"/>
          <w:lang w:val="en-GB" w:eastAsia="en-GB"/>
        </w:rPr>
        <w:t>Lara Kemp for her secretarial support.</w:t>
      </w:r>
    </w:p>
    <w:p w14:paraId="1895DF64" w14:textId="1E96A371" w:rsidR="000B4E2C" w:rsidRPr="000B4E2C" w:rsidRDefault="001F2138" w:rsidP="001F2138">
      <w:r w:rsidRPr="000B4E2C">
        <w:rPr>
          <w:b/>
        </w:rPr>
        <w:t>Contribution of authors</w:t>
      </w:r>
    </w:p>
    <w:p w14:paraId="3AA4327E" w14:textId="77777777" w:rsidR="000B4E2C" w:rsidRPr="000B4E2C" w:rsidRDefault="001F2138" w:rsidP="001F2138">
      <w:pPr>
        <w:autoSpaceDE w:val="0"/>
        <w:autoSpaceDN w:val="0"/>
        <w:adjustRightInd w:val="0"/>
      </w:pPr>
      <w:r w:rsidRPr="000B4E2C">
        <w:rPr>
          <w:bCs/>
        </w:rPr>
        <w:t xml:space="preserve">Miriam Brazzelli (Reader on Research) planned the systematic review of the clinical evidence contributed to the statistical analyses and interpreted the results; Magaly Aceves Martins, Mari Imamura, Clare Robertson (Research Fellows) selected relevant papers from the literature, performed </w:t>
      </w:r>
      <w:r w:rsidRPr="000B4E2C">
        <w:rPr>
          <w:bCs/>
          <w:highlight w:val="magenta"/>
        </w:rPr>
        <w:t>data</w:t>
      </w:r>
      <w:r w:rsidRPr="000B4E2C">
        <w:rPr>
          <w:bCs/>
        </w:rPr>
        <w:t xml:space="preserve"> extraction and risk of bias </w:t>
      </w:r>
      <w:r w:rsidRPr="000B4E2C">
        <w:rPr>
          <w:bCs/>
        </w:rPr>
        <w:lastRenderedPageBreak/>
        <w:t xml:space="preserve">assessment of all included studies; Amudha Poobalan contributed to the </w:t>
      </w:r>
      <w:r w:rsidRPr="000B4E2C">
        <w:rPr>
          <w:bCs/>
          <w:highlight w:val="magenta"/>
        </w:rPr>
        <w:t>data</w:t>
      </w:r>
      <w:r w:rsidRPr="000B4E2C">
        <w:rPr>
          <w:bCs/>
        </w:rPr>
        <w:t xml:space="preserve"> extraction and risk of bias assessment of included studies; Lorna Aucott (senior statistician) conducted the statistical analyses; Elisabet Jacobsen (Research Assistant) reviewed the evidence on the cost-effectiveness of the biomarkers under investigation, contributed to the acquisition of input </w:t>
      </w:r>
      <w:r w:rsidRPr="000B4E2C">
        <w:rPr>
          <w:bCs/>
          <w:highlight w:val="magenta"/>
        </w:rPr>
        <w:t>data</w:t>
      </w:r>
      <w:r w:rsidRPr="000B4E2C">
        <w:rPr>
          <w:bCs/>
        </w:rPr>
        <w:t xml:space="preserve"> and to the economic evaluation under the supervision of Dwayne Boyers (Health Economist); Dwayne Boyers developed the economic model, conducted cost-effectiveness analyses and interpreted the results, Graham Scotland (Reader on Research) provided senior advice and guidance on the development of the economic model. </w:t>
      </w:r>
      <w:r w:rsidRPr="000B4E2C">
        <w:rPr>
          <w:bCs/>
          <w:szCs w:val="24"/>
        </w:rPr>
        <w:t xml:space="preserve">Paul Manson (Information Specialist) developed and ran the literature searches, retrieved full-text copies of the selected papers and provided information support throughout the project; </w:t>
      </w:r>
      <w:r w:rsidRPr="000B4E2C">
        <w:rPr>
          <w:szCs w:val="24"/>
        </w:rPr>
        <w:t>Callum Kaye (</w:t>
      </w:r>
      <w:r w:rsidRPr="000B4E2C">
        <w:rPr>
          <w:rFonts w:eastAsiaTheme="minorHAnsi"/>
          <w:szCs w:val="24"/>
          <w:lang w:val="en-GB"/>
        </w:rPr>
        <w:t xml:space="preserve">Consultant in Anaesthetics and Intensive Care Medicine) </w:t>
      </w:r>
      <w:r w:rsidRPr="000B4E2C">
        <w:rPr>
          <w:szCs w:val="24"/>
        </w:rPr>
        <w:t>and Simon S</w:t>
      </w:r>
      <w:r w:rsidRPr="000B4E2C">
        <w:t>awhney</w:t>
      </w:r>
      <w:r w:rsidRPr="000B4E2C">
        <w:rPr>
          <w:bCs/>
          <w:szCs w:val="24"/>
        </w:rPr>
        <w:t xml:space="preserve"> (</w:t>
      </w:r>
      <w:r w:rsidRPr="000B4E2C">
        <w:rPr>
          <w:rFonts w:eastAsiaTheme="minorHAnsi"/>
          <w:szCs w:val="24"/>
          <w:lang w:val="en-GB"/>
        </w:rPr>
        <w:t>Clinical Lecturer in Nephrology</w:t>
      </w:r>
      <w:r w:rsidRPr="000B4E2C">
        <w:rPr>
          <w:bCs/>
          <w:szCs w:val="24"/>
        </w:rPr>
        <w:t xml:space="preserve">) provided expert advice and guidance on the clinical aspects of this assessment. </w:t>
      </w:r>
      <w:r w:rsidRPr="000B4E2C">
        <w:rPr>
          <w:szCs w:val="24"/>
        </w:rPr>
        <w:t>Miriam Brazzelli oversaw and co-ordinated all aspects of this assessment. All authors contributed to the writing of this draft report.</w:t>
      </w:r>
    </w:p>
    <w:p w14:paraId="66B229E8" w14:textId="367ED453" w:rsidR="001F2138" w:rsidRPr="000B4E2C" w:rsidRDefault="001F2138" w:rsidP="001F2138">
      <w:pPr>
        <w:rPr>
          <w:b/>
        </w:rPr>
      </w:pPr>
      <w:r w:rsidRPr="000B4E2C">
        <w:rPr>
          <w:b/>
        </w:rPr>
        <w:t>Rider on responsibility for report</w:t>
      </w:r>
    </w:p>
    <w:p w14:paraId="3DFA816E" w14:textId="77777777" w:rsidR="000B4E2C" w:rsidRPr="000B4E2C" w:rsidRDefault="001F2138" w:rsidP="001F2138">
      <w:r w:rsidRPr="000B4E2C">
        <w:t>The views expressed in this report are those of the authors and not necessarily those of the Chief Scientist Office of the Scottish Government Health Directorates or of the NIHR HTA Programme. Any errors are the responsibility of the authors.</w:t>
      </w:r>
    </w:p>
    <w:p w14:paraId="1DCC0B78" w14:textId="4831EA68" w:rsidR="001F2138" w:rsidRPr="000B4E2C" w:rsidRDefault="001F2138" w:rsidP="001F2138">
      <w:pPr>
        <w:rPr>
          <w:b/>
          <w:szCs w:val="24"/>
        </w:rPr>
      </w:pPr>
      <w:r w:rsidRPr="000B4E2C">
        <w:rPr>
          <w:b/>
          <w:szCs w:val="24"/>
          <w:highlight w:val="magenta"/>
        </w:rPr>
        <w:t>Data</w:t>
      </w:r>
      <w:r w:rsidRPr="000B4E2C">
        <w:rPr>
          <w:b/>
          <w:szCs w:val="24"/>
        </w:rPr>
        <w:t xml:space="preserve"> sharing statement</w:t>
      </w:r>
    </w:p>
    <w:p w14:paraId="2002B69A" w14:textId="77777777" w:rsidR="000B4E2C" w:rsidRPr="000B4E2C" w:rsidRDefault="001F2138" w:rsidP="001F2138">
      <w:pPr>
        <w:spacing w:after="200"/>
        <w:rPr>
          <w:lang w:eastAsia="en-GB"/>
        </w:rPr>
      </w:pPr>
      <w:r w:rsidRPr="000B4E2C">
        <w:rPr>
          <w:lang w:eastAsia="en-GB"/>
        </w:rPr>
        <w:t xml:space="preserve">All technical </w:t>
      </w:r>
      <w:r w:rsidRPr="000B4E2C">
        <w:rPr>
          <w:highlight w:val="magenta"/>
          <w:lang w:eastAsia="en-GB"/>
        </w:rPr>
        <w:t>data</w:t>
      </w:r>
      <w:r w:rsidRPr="000B4E2C">
        <w:rPr>
          <w:lang w:eastAsia="en-GB"/>
        </w:rPr>
        <w:t xml:space="preserve"> are included within the main text or as Appendices to this report. All queries should be submitted to the corresponding author for consideration.</w:t>
      </w:r>
    </w:p>
    <w:p w14:paraId="2A046CA5" w14:textId="77777777" w:rsidR="000B4E2C" w:rsidRPr="000B4E2C" w:rsidRDefault="00F223BF" w:rsidP="008A7464">
      <w:pPr>
        <w:pStyle w:val="Heading1"/>
      </w:pPr>
      <w:r w:rsidRPr="000B4E2C">
        <w:t>8</w:t>
      </w:r>
      <w:r w:rsidR="002F0133" w:rsidRPr="000B4E2C">
        <w:tab/>
        <w:t>References</w:t>
      </w:r>
    </w:p>
    <w:p w14:paraId="5F738D5D" w14:textId="77777777" w:rsidR="000B4E2C" w:rsidRPr="000B4E2C" w:rsidRDefault="002F0133" w:rsidP="008A7464">
      <w:pPr>
        <w:pStyle w:val="Heading2"/>
      </w:pPr>
      <w:r w:rsidRPr="000B4E2C">
        <w:t>Appendix 1</w:t>
      </w:r>
      <w:r w:rsidRPr="000B4E2C">
        <w:tab/>
        <w:t>Literature search strategies</w:t>
      </w:r>
    </w:p>
    <w:p w14:paraId="724A6594" w14:textId="06C8C67E" w:rsidR="002F0133" w:rsidRPr="000B4E2C" w:rsidRDefault="002F0133" w:rsidP="008A7464">
      <w:pPr>
        <w:rPr>
          <w:sz w:val="22"/>
          <w:highlight w:val="green"/>
        </w:rPr>
      </w:pPr>
      <w:r w:rsidRPr="000B4E2C">
        <w:rPr>
          <w:sz w:val="22"/>
          <w:highlight w:val="green"/>
        </w:rPr>
        <w:t>NephroCheck/NGAL clinical effectiveness search strategies</w:t>
      </w:r>
    </w:p>
    <w:p w14:paraId="2B27DAC6" w14:textId="77777777" w:rsidR="002F0133" w:rsidRPr="000B4E2C" w:rsidRDefault="002F0133" w:rsidP="008A7464">
      <w:pPr>
        <w:pStyle w:val="NoSpacing"/>
        <w:rPr>
          <w:rFonts w:cs="Times New Roman"/>
          <w:highlight w:val="green"/>
        </w:rPr>
      </w:pPr>
    </w:p>
    <w:p w14:paraId="3300A915" w14:textId="77777777" w:rsidR="002F0133" w:rsidRPr="000B4E2C" w:rsidRDefault="002F0133" w:rsidP="008A7464">
      <w:pPr>
        <w:pStyle w:val="NoSpacing"/>
        <w:rPr>
          <w:rFonts w:cs="Times New Roman"/>
          <w:highlight w:val="green"/>
        </w:rPr>
      </w:pPr>
      <w:r w:rsidRPr="000B4E2C">
        <w:rPr>
          <w:rFonts w:cs="Times New Roman"/>
          <w:highlight w:val="green"/>
        </w:rPr>
        <w:t xml:space="preserve">Ovid </w:t>
      </w:r>
      <w:r w:rsidRPr="000B4E2C">
        <w:rPr>
          <w:rFonts w:cs="Times New Roman"/>
          <w:b/>
          <w:highlight w:val="green"/>
        </w:rPr>
        <w:t>Embase</w:t>
      </w:r>
      <w:r w:rsidRPr="000B4E2C">
        <w:rPr>
          <w:rFonts w:cs="Times New Roman"/>
          <w:highlight w:val="green"/>
        </w:rPr>
        <w:t xml:space="preserve"> &lt;1974 to 2019 May 14&gt;, Ovid </w:t>
      </w:r>
      <w:r w:rsidRPr="000B4E2C">
        <w:rPr>
          <w:rFonts w:cs="Times New Roman"/>
          <w:b/>
          <w:highlight w:val="green"/>
        </w:rPr>
        <w:t>MEDLINE</w:t>
      </w:r>
      <w:r w:rsidRPr="000B4E2C">
        <w:rPr>
          <w:rFonts w:cs="Times New Roman"/>
          <w:highlight w:val="green"/>
        </w:rPr>
        <w:t>(R) and Epub Ahead of Print, In-Process &amp; Other Non-Indexed Citations, Daily and Versions(R) &lt;1946 to May 14, 2019&gt;</w:t>
      </w:r>
    </w:p>
    <w:p w14:paraId="3B636B96" w14:textId="77777777" w:rsidR="002F0133" w:rsidRPr="000B4E2C" w:rsidRDefault="002F0133" w:rsidP="008A7464">
      <w:pPr>
        <w:pStyle w:val="NoSpacing"/>
        <w:rPr>
          <w:rFonts w:cs="Times New Roman"/>
          <w:highlight w:val="green"/>
        </w:rPr>
      </w:pPr>
      <w:r w:rsidRPr="000B4E2C">
        <w:rPr>
          <w:rFonts w:cs="Times New Roman"/>
          <w:highlight w:val="green"/>
        </w:rPr>
        <w:t>Date of search: 27 May 2019</w:t>
      </w:r>
    </w:p>
    <w:p w14:paraId="702334FA" w14:textId="77777777" w:rsidR="002F0133" w:rsidRPr="000B4E2C" w:rsidRDefault="002F0133" w:rsidP="008A7464">
      <w:pPr>
        <w:pStyle w:val="NoSpacing"/>
        <w:rPr>
          <w:rFonts w:cs="Times New Roman"/>
          <w:highlight w:val="green"/>
        </w:rPr>
      </w:pPr>
      <w:r w:rsidRPr="000B4E2C">
        <w:rPr>
          <w:rFonts w:cs="Times New Roman"/>
          <w:highlight w:val="green"/>
        </w:rPr>
        <w:t>--------------------------------------------------------------------------------</w:t>
      </w:r>
    </w:p>
    <w:p w14:paraId="11B452B5" w14:textId="77777777" w:rsidR="002F0133" w:rsidRPr="000B4E2C" w:rsidRDefault="002F0133" w:rsidP="008A7464">
      <w:pPr>
        <w:pStyle w:val="NoSpacing"/>
        <w:rPr>
          <w:rFonts w:cs="Times New Roman"/>
          <w:highlight w:val="green"/>
        </w:rPr>
      </w:pPr>
      <w:r w:rsidRPr="000B4E2C">
        <w:rPr>
          <w:rFonts w:cs="Times New Roman"/>
          <w:highlight w:val="green"/>
        </w:rPr>
        <w:t>1     Acute Disease/ and exp Kidney Diseases/ use ppezv (8605)</w:t>
      </w:r>
    </w:p>
    <w:p w14:paraId="4DD5B535" w14:textId="77777777" w:rsidR="002F0133" w:rsidRPr="000B4E2C" w:rsidRDefault="002F0133" w:rsidP="008A7464">
      <w:pPr>
        <w:pStyle w:val="NoSpacing"/>
        <w:rPr>
          <w:rFonts w:cs="Times New Roman"/>
          <w:highlight w:val="green"/>
        </w:rPr>
      </w:pPr>
      <w:r w:rsidRPr="000B4E2C">
        <w:rPr>
          <w:rFonts w:cs="Times New Roman"/>
          <w:highlight w:val="green"/>
        </w:rPr>
        <w:t>2     exp acute disease/ and exp *kidney disease/ use oemezd (2443)</w:t>
      </w:r>
    </w:p>
    <w:p w14:paraId="1A9588B9" w14:textId="77777777" w:rsidR="002F0133" w:rsidRPr="000B4E2C" w:rsidRDefault="002F0133" w:rsidP="008A7464">
      <w:pPr>
        <w:pStyle w:val="NoSpacing"/>
        <w:rPr>
          <w:rFonts w:cs="Times New Roman"/>
          <w:highlight w:val="green"/>
        </w:rPr>
      </w:pPr>
      <w:r w:rsidRPr="000B4E2C">
        <w:rPr>
          <w:rFonts w:cs="Times New Roman"/>
          <w:highlight w:val="green"/>
        </w:rPr>
        <w:t>3     exp *acute kidney failure/ use oemezd (31083)</w:t>
      </w:r>
    </w:p>
    <w:p w14:paraId="75AAEC35" w14:textId="77777777" w:rsidR="002F0133" w:rsidRPr="000B4E2C" w:rsidRDefault="002F0133" w:rsidP="008A7464">
      <w:pPr>
        <w:pStyle w:val="NoSpacing"/>
        <w:rPr>
          <w:rFonts w:cs="Times New Roman"/>
          <w:highlight w:val="green"/>
        </w:rPr>
      </w:pPr>
      <w:r w:rsidRPr="000B4E2C">
        <w:rPr>
          <w:rFonts w:cs="Times New Roman"/>
          <w:highlight w:val="green"/>
        </w:rPr>
        <w:t>4     acute kidney injury/ use ppezv (41584)</w:t>
      </w:r>
    </w:p>
    <w:p w14:paraId="3934A6A3" w14:textId="77777777" w:rsidR="002F0133" w:rsidRPr="000B4E2C" w:rsidRDefault="002F0133" w:rsidP="008A7464">
      <w:pPr>
        <w:pStyle w:val="NoSpacing"/>
        <w:rPr>
          <w:rFonts w:cs="Times New Roman"/>
          <w:highlight w:val="green"/>
        </w:rPr>
      </w:pPr>
      <w:r w:rsidRPr="000B4E2C">
        <w:rPr>
          <w:rFonts w:cs="Times New Roman"/>
          <w:highlight w:val="green"/>
        </w:rPr>
        <w:t>5     exp *kidney injury/ use oemezd (12360)</w:t>
      </w:r>
    </w:p>
    <w:p w14:paraId="33E99EF2" w14:textId="77777777" w:rsidR="002F0133" w:rsidRPr="000B4E2C" w:rsidRDefault="002F0133" w:rsidP="008A7464">
      <w:pPr>
        <w:pStyle w:val="NoSpacing"/>
        <w:rPr>
          <w:rFonts w:cs="Times New Roman"/>
          <w:highlight w:val="green"/>
        </w:rPr>
      </w:pPr>
      <w:r w:rsidRPr="000B4E2C">
        <w:rPr>
          <w:rFonts w:cs="Times New Roman"/>
          <w:highlight w:val="green"/>
        </w:rPr>
        <w:t>6     kidney tubular necrosis, acute/ use ppezv (2352)</w:t>
      </w:r>
    </w:p>
    <w:p w14:paraId="24837AB0" w14:textId="77777777" w:rsidR="002F0133" w:rsidRPr="000B4E2C" w:rsidRDefault="002F0133" w:rsidP="008A7464">
      <w:pPr>
        <w:pStyle w:val="NoSpacing"/>
        <w:rPr>
          <w:rFonts w:cs="Times New Roman"/>
          <w:highlight w:val="green"/>
        </w:rPr>
      </w:pPr>
      <w:r w:rsidRPr="000B4E2C">
        <w:rPr>
          <w:rFonts w:cs="Times New Roman"/>
          <w:highlight w:val="green"/>
        </w:rPr>
        <w:t>7     exp *kidney tubule necrosis/ use oemezd (1519)</w:t>
      </w:r>
    </w:p>
    <w:p w14:paraId="6306846F" w14:textId="77777777" w:rsidR="002F0133" w:rsidRPr="000B4E2C" w:rsidRDefault="002F0133" w:rsidP="008A7464">
      <w:pPr>
        <w:pStyle w:val="NoSpacing"/>
        <w:rPr>
          <w:rFonts w:cs="Times New Roman"/>
          <w:highlight w:val="green"/>
        </w:rPr>
      </w:pPr>
      <w:r w:rsidRPr="000B4E2C">
        <w:rPr>
          <w:rFonts w:cs="Times New Roman"/>
          <w:highlight w:val="green"/>
        </w:rPr>
        <w:t>8     (Acute adj3 (kidney disease* or kidney injury or kidney failure or kidney dysfunction)).tw. (50969)</w:t>
      </w:r>
    </w:p>
    <w:p w14:paraId="0C136FA4" w14:textId="77777777" w:rsidR="002F0133" w:rsidRPr="000B4E2C" w:rsidRDefault="002F0133" w:rsidP="008A7464">
      <w:pPr>
        <w:pStyle w:val="NoSpacing"/>
        <w:rPr>
          <w:rFonts w:cs="Times New Roman"/>
          <w:highlight w:val="green"/>
        </w:rPr>
      </w:pPr>
      <w:r w:rsidRPr="000B4E2C">
        <w:rPr>
          <w:rFonts w:cs="Times New Roman"/>
          <w:highlight w:val="green"/>
        </w:rPr>
        <w:t>9     (Acute adj3 (renal disease* or renal injury or renal failure or renal dysfunction)).tw. (58624)</w:t>
      </w:r>
    </w:p>
    <w:p w14:paraId="60AEADD5" w14:textId="7651BFB5" w:rsidR="002F0133" w:rsidRPr="000B4E2C" w:rsidRDefault="002F0133" w:rsidP="008A7464">
      <w:pPr>
        <w:pStyle w:val="NoSpacing"/>
        <w:rPr>
          <w:rFonts w:cs="Times New Roman"/>
          <w:highlight w:val="green"/>
        </w:rPr>
      </w:pPr>
      <w:r w:rsidRPr="000B4E2C">
        <w:rPr>
          <w:rFonts w:cs="Times New Roman"/>
          <w:highlight w:val="green"/>
        </w:rPr>
        <w:t xml:space="preserve">10     ((Acute adj3 (Tubular Necrosis or nephrotoxic*)) or </w:t>
      </w:r>
      <w:r w:rsidR="0072128A" w:rsidRPr="000B4E2C">
        <w:rPr>
          <w:rFonts w:cs="Times New Roman"/>
          <w:color w:val="00B0F0"/>
          <w:highlight w:val="green"/>
        </w:rPr>
        <w:t>“</w:t>
      </w:r>
      <w:r w:rsidR="0072128A" w:rsidRPr="000B4E2C">
        <w:rPr>
          <w:rFonts w:cs="Times New Roman"/>
          <w:highlight w:val="green"/>
        </w:rPr>
        <w:t>nephrotoxic injur*</w:t>
      </w:r>
      <w:r w:rsidR="0072128A" w:rsidRPr="000B4E2C">
        <w:rPr>
          <w:rFonts w:cs="Times New Roman"/>
          <w:color w:val="00B0F0"/>
          <w:highlight w:val="green"/>
        </w:rPr>
        <w:t>”</w:t>
      </w:r>
      <w:r w:rsidRPr="000B4E2C">
        <w:rPr>
          <w:rFonts w:cs="Times New Roman"/>
          <w:highlight w:val="green"/>
        </w:rPr>
        <w:t>).tw. (9425)</w:t>
      </w:r>
    </w:p>
    <w:p w14:paraId="284FBA9E" w14:textId="77777777" w:rsidR="002F0133" w:rsidRPr="000B4E2C" w:rsidRDefault="002F0133" w:rsidP="008A7464">
      <w:pPr>
        <w:pStyle w:val="NoSpacing"/>
        <w:rPr>
          <w:rFonts w:cs="Times New Roman"/>
          <w:highlight w:val="green"/>
        </w:rPr>
      </w:pPr>
      <w:r w:rsidRPr="000B4E2C">
        <w:rPr>
          <w:rFonts w:cs="Times New Roman"/>
          <w:highlight w:val="green"/>
        </w:rPr>
        <w:t>11     aki.tw. (27925)</w:t>
      </w:r>
    </w:p>
    <w:p w14:paraId="15B70B01" w14:textId="77777777" w:rsidR="002F0133" w:rsidRPr="000B4E2C" w:rsidRDefault="002F0133" w:rsidP="008A7464">
      <w:pPr>
        <w:pStyle w:val="NoSpacing"/>
        <w:rPr>
          <w:rFonts w:cs="Times New Roman"/>
          <w:highlight w:val="green"/>
        </w:rPr>
      </w:pPr>
      <w:r w:rsidRPr="000B4E2C">
        <w:rPr>
          <w:rFonts w:cs="Times New Roman"/>
          <w:highlight w:val="green"/>
        </w:rPr>
        <w:t>12     exp *contrast induced nephropathy/ use oemezd (2540)</w:t>
      </w:r>
    </w:p>
    <w:p w14:paraId="2A2DE368" w14:textId="392AB16B" w:rsidR="002F0133" w:rsidRPr="000B4E2C" w:rsidRDefault="002F0133" w:rsidP="008A7464">
      <w:pPr>
        <w:pStyle w:val="NoSpacing"/>
        <w:rPr>
          <w:rFonts w:cs="Times New Roman"/>
          <w:highlight w:val="green"/>
        </w:rPr>
      </w:pPr>
      <w:r w:rsidRPr="000B4E2C">
        <w:rPr>
          <w:rFonts w:cs="Times New Roman"/>
          <w:highlight w:val="green"/>
        </w:rPr>
        <w:t xml:space="preserve">13     </w:t>
      </w:r>
      <w:r w:rsidR="0072128A" w:rsidRPr="000B4E2C">
        <w:rPr>
          <w:rFonts w:cs="Times New Roman"/>
          <w:color w:val="00B0F0"/>
          <w:highlight w:val="green"/>
        </w:rPr>
        <w:t>“</w:t>
      </w:r>
      <w:r w:rsidR="0072128A" w:rsidRPr="000B4E2C">
        <w:rPr>
          <w:rFonts w:cs="Times New Roman"/>
          <w:highlight w:val="green"/>
        </w:rPr>
        <w:t>contrast induced nephropathy</w:t>
      </w:r>
      <w:r w:rsidR="0072128A" w:rsidRPr="000B4E2C">
        <w:rPr>
          <w:rFonts w:cs="Times New Roman"/>
          <w:color w:val="00B0F0"/>
          <w:highlight w:val="green"/>
        </w:rPr>
        <w:t>”</w:t>
      </w:r>
      <w:r w:rsidRPr="000B4E2C">
        <w:rPr>
          <w:rFonts w:cs="Times New Roman"/>
          <w:highlight w:val="green"/>
        </w:rPr>
        <w:t>.tw. (5028)</w:t>
      </w:r>
    </w:p>
    <w:p w14:paraId="3D79CF8B" w14:textId="77777777" w:rsidR="002F0133" w:rsidRPr="000B4E2C" w:rsidRDefault="002F0133" w:rsidP="008A7464">
      <w:pPr>
        <w:pStyle w:val="NoSpacing"/>
        <w:rPr>
          <w:rFonts w:cs="Times New Roman"/>
          <w:highlight w:val="green"/>
        </w:rPr>
      </w:pPr>
      <w:r w:rsidRPr="000B4E2C">
        <w:rPr>
          <w:rFonts w:cs="Times New Roman"/>
          <w:highlight w:val="green"/>
        </w:rPr>
        <w:t>14     or/1-13 (159431)</w:t>
      </w:r>
    </w:p>
    <w:p w14:paraId="051BDB45" w14:textId="77777777" w:rsidR="002F0133" w:rsidRPr="000B4E2C" w:rsidRDefault="002F0133" w:rsidP="008A7464">
      <w:pPr>
        <w:pStyle w:val="NoSpacing"/>
        <w:rPr>
          <w:rFonts w:cs="Times New Roman"/>
          <w:highlight w:val="green"/>
        </w:rPr>
      </w:pPr>
      <w:r w:rsidRPr="000B4E2C">
        <w:rPr>
          <w:rFonts w:cs="Times New Roman"/>
          <w:highlight w:val="green"/>
        </w:rPr>
        <w:t>15     *reperfusion injury/ (47279)</w:t>
      </w:r>
    </w:p>
    <w:p w14:paraId="18B79C64" w14:textId="77777777" w:rsidR="002F0133" w:rsidRPr="000B4E2C" w:rsidRDefault="002F0133" w:rsidP="008A7464">
      <w:pPr>
        <w:pStyle w:val="NoSpacing"/>
        <w:rPr>
          <w:rFonts w:cs="Times New Roman"/>
          <w:highlight w:val="green"/>
        </w:rPr>
      </w:pPr>
      <w:r w:rsidRPr="000B4E2C">
        <w:rPr>
          <w:rFonts w:cs="Times New Roman"/>
          <w:highlight w:val="green"/>
        </w:rPr>
        <w:t>16     reperfusion/ use ppezv (4705)</w:t>
      </w:r>
    </w:p>
    <w:p w14:paraId="56F77641" w14:textId="77777777" w:rsidR="002F0133" w:rsidRPr="000B4E2C" w:rsidRDefault="002F0133" w:rsidP="008A7464">
      <w:pPr>
        <w:pStyle w:val="NoSpacing"/>
        <w:rPr>
          <w:rFonts w:cs="Times New Roman"/>
          <w:highlight w:val="green"/>
        </w:rPr>
      </w:pPr>
      <w:r w:rsidRPr="000B4E2C">
        <w:rPr>
          <w:rFonts w:cs="Times New Roman"/>
          <w:highlight w:val="green"/>
        </w:rPr>
        <w:t>17     (reperfusion adj5 (injur* or isch?emi*)).tw. (129126)</w:t>
      </w:r>
    </w:p>
    <w:p w14:paraId="6E8071DA" w14:textId="77777777" w:rsidR="002F0133" w:rsidRPr="000B4E2C" w:rsidRDefault="002F0133" w:rsidP="008A7464">
      <w:pPr>
        <w:pStyle w:val="NoSpacing"/>
        <w:rPr>
          <w:rFonts w:cs="Times New Roman"/>
          <w:highlight w:val="green"/>
        </w:rPr>
      </w:pPr>
      <w:r w:rsidRPr="000B4E2C">
        <w:rPr>
          <w:rFonts w:cs="Times New Roman"/>
          <w:highlight w:val="green"/>
        </w:rPr>
        <w:t>18     exp *Delayed Graft Function/ (1612)</w:t>
      </w:r>
    </w:p>
    <w:p w14:paraId="509CBB05" w14:textId="14BD780D" w:rsidR="002F0133" w:rsidRPr="000B4E2C" w:rsidRDefault="002F0133" w:rsidP="008A7464">
      <w:pPr>
        <w:pStyle w:val="NoSpacing"/>
        <w:rPr>
          <w:rFonts w:cs="Times New Roman"/>
          <w:highlight w:val="green"/>
        </w:rPr>
      </w:pPr>
      <w:r w:rsidRPr="000B4E2C">
        <w:rPr>
          <w:rFonts w:cs="Times New Roman"/>
          <w:highlight w:val="green"/>
        </w:rPr>
        <w:t xml:space="preserve">19     </w:t>
      </w:r>
      <w:r w:rsidR="0072128A" w:rsidRPr="000B4E2C">
        <w:rPr>
          <w:rFonts w:cs="Times New Roman"/>
          <w:color w:val="00B0F0"/>
          <w:highlight w:val="green"/>
        </w:rPr>
        <w:t>“</w:t>
      </w:r>
      <w:r w:rsidR="0072128A" w:rsidRPr="000B4E2C">
        <w:rPr>
          <w:rFonts w:cs="Times New Roman"/>
          <w:highlight w:val="green"/>
        </w:rPr>
        <w:t>delayed graft function*</w:t>
      </w:r>
      <w:r w:rsidR="0072128A" w:rsidRPr="000B4E2C">
        <w:rPr>
          <w:rFonts w:cs="Times New Roman"/>
          <w:color w:val="00B0F0"/>
          <w:highlight w:val="green"/>
        </w:rPr>
        <w:t>”</w:t>
      </w:r>
      <w:r w:rsidRPr="000B4E2C">
        <w:rPr>
          <w:rFonts w:cs="Times New Roman"/>
          <w:highlight w:val="green"/>
        </w:rPr>
        <w:t>.tw. (9243)</w:t>
      </w:r>
    </w:p>
    <w:p w14:paraId="27BF8E5A" w14:textId="77777777" w:rsidR="002F0133" w:rsidRPr="000B4E2C" w:rsidRDefault="002F0133" w:rsidP="008A7464">
      <w:pPr>
        <w:pStyle w:val="NoSpacing"/>
        <w:rPr>
          <w:rFonts w:cs="Times New Roman"/>
          <w:highlight w:val="green"/>
        </w:rPr>
      </w:pPr>
      <w:r w:rsidRPr="000B4E2C">
        <w:rPr>
          <w:rFonts w:cs="Times New Roman"/>
          <w:highlight w:val="green"/>
        </w:rPr>
        <w:t>20     or/15-19 (144655)</w:t>
      </w:r>
    </w:p>
    <w:p w14:paraId="7AC4DCDF" w14:textId="75492648" w:rsidR="002F0133" w:rsidRPr="000B4E2C" w:rsidRDefault="002F0133" w:rsidP="008A7464">
      <w:pPr>
        <w:pStyle w:val="NoSpacing"/>
        <w:rPr>
          <w:rFonts w:cs="Times New Roman"/>
          <w:highlight w:val="green"/>
        </w:rPr>
      </w:pPr>
      <w:r w:rsidRPr="000B4E2C">
        <w:rPr>
          <w:rFonts w:cs="Times New Roman"/>
          <w:highlight w:val="green"/>
        </w:rPr>
        <w:t xml:space="preserve">21     (renal or kidney* or nephr* or </w:t>
      </w:r>
      <w:r w:rsidR="0072128A" w:rsidRPr="000B4E2C">
        <w:rPr>
          <w:rFonts w:cs="Times New Roman"/>
          <w:color w:val="00B0F0"/>
          <w:highlight w:val="green"/>
        </w:rPr>
        <w:t>“</w:t>
      </w:r>
      <w:r w:rsidR="0072128A" w:rsidRPr="000B4E2C">
        <w:rPr>
          <w:rFonts w:cs="Times New Roman"/>
          <w:highlight w:val="green"/>
        </w:rPr>
        <w:t>tubular necrosis</w:t>
      </w:r>
      <w:r w:rsidR="0072128A" w:rsidRPr="000B4E2C">
        <w:rPr>
          <w:rFonts w:cs="Times New Roman"/>
          <w:color w:val="00B0F0"/>
          <w:highlight w:val="green"/>
        </w:rPr>
        <w:t>”</w:t>
      </w:r>
      <w:r w:rsidRPr="000B4E2C">
        <w:rPr>
          <w:rFonts w:cs="Times New Roman"/>
          <w:highlight w:val="green"/>
        </w:rPr>
        <w:t xml:space="preserve"> or aki).tw. (2045747)</w:t>
      </w:r>
    </w:p>
    <w:p w14:paraId="6D5A5078" w14:textId="77777777" w:rsidR="002F0133" w:rsidRPr="000B4E2C" w:rsidRDefault="002F0133" w:rsidP="008A7464">
      <w:pPr>
        <w:pStyle w:val="NoSpacing"/>
        <w:rPr>
          <w:rFonts w:cs="Times New Roman"/>
          <w:highlight w:val="green"/>
        </w:rPr>
      </w:pPr>
      <w:r w:rsidRPr="000B4E2C">
        <w:rPr>
          <w:rFonts w:cs="Times New Roman"/>
          <w:highlight w:val="green"/>
        </w:rPr>
        <w:lastRenderedPageBreak/>
        <w:t>22     (or/1-7) or 21 (2056977)</w:t>
      </w:r>
    </w:p>
    <w:p w14:paraId="3CCDF65E" w14:textId="77777777" w:rsidR="002F0133" w:rsidRPr="000B4E2C" w:rsidRDefault="002F0133" w:rsidP="008A7464">
      <w:pPr>
        <w:pStyle w:val="NoSpacing"/>
        <w:rPr>
          <w:rFonts w:cs="Times New Roman"/>
          <w:highlight w:val="green"/>
        </w:rPr>
      </w:pPr>
      <w:r w:rsidRPr="000B4E2C">
        <w:rPr>
          <w:rFonts w:cs="Times New Roman"/>
          <w:highlight w:val="green"/>
        </w:rPr>
        <w:t>23     20 and 22 (25897)</w:t>
      </w:r>
    </w:p>
    <w:p w14:paraId="447147D8" w14:textId="77777777" w:rsidR="002F0133" w:rsidRPr="000B4E2C" w:rsidRDefault="002F0133" w:rsidP="008A7464">
      <w:pPr>
        <w:pStyle w:val="NoSpacing"/>
        <w:rPr>
          <w:rFonts w:cs="Times New Roman"/>
          <w:highlight w:val="green"/>
        </w:rPr>
      </w:pPr>
      <w:r w:rsidRPr="000B4E2C">
        <w:rPr>
          <w:rFonts w:cs="Times New Roman"/>
          <w:highlight w:val="green"/>
        </w:rPr>
        <w:t>24     14 or 23 [All AKI] (177838)</w:t>
      </w:r>
    </w:p>
    <w:p w14:paraId="48DDFF30" w14:textId="77777777" w:rsidR="002F0133" w:rsidRPr="000B4E2C" w:rsidRDefault="002F0133" w:rsidP="008A7464">
      <w:pPr>
        <w:pStyle w:val="NoSpacing"/>
        <w:rPr>
          <w:rFonts w:cs="Times New Roman"/>
          <w:highlight w:val="green"/>
        </w:rPr>
      </w:pPr>
      <w:r w:rsidRPr="000B4E2C">
        <w:rPr>
          <w:rFonts w:cs="Times New Roman"/>
          <w:highlight w:val="green"/>
        </w:rPr>
        <w:t>25     lipocalins/ or lipocalin-2/ use ppezv (6282)</w:t>
      </w:r>
    </w:p>
    <w:p w14:paraId="0793A67D" w14:textId="77777777" w:rsidR="002F0133" w:rsidRPr="000B4E2C" w:rsidRDefault="002F0133" w:rsidP="008A7464">
      <w:pPr>
        <w:pStyle w:val="NoSpacing"/>
        <w:rPr>
          <w:rFonts w:cs="Times New Roman"/>
          <w:highlight w:val="green"/>
        </w:rPr>
      </w:pPr>
      <w:r w:rsidRPr="000B4E2C">
        <w:rPr>
          <w:rFonts w:cs="Times New Roman"/>
          <w:highlight w:val="green"/>
        </w:rPr>
        <w:t>26     neutrophil gelatinase associated lipocalin/ or lipocalin/ use oemezd (12442)</w:t>
      </w:r>
    </w:p>
    <w:p w14:paraId="4666B8EA" w14:textId="77777777" w:rsidR="002F0133" w:rsidRPr="000B4E2C" w:rsidRDefault="002F0133" w:rsidP="008A7464">
      <w:pPr>
        <w:pStyle w:val="NoSpacing"/>
        <w:rPr>
          <w:rFonts w:cs="Times New Roman"/>
          <w:highlight w:val="green"/>
        </w:rPr>
      </w:pPr>
      <w:r w:rsidRPr="000B4E2C">
        <w:rPr>
          <w:rFonts w:cs="Times New Roman"/>
          <w:highlight w:val="green"/>
        </w:rPr>
        <w:t>27     (NGAL or uNGAL or sNGAL).tw,kw. (7409)</w:t>
      </w:r>
    </w:p>
    <w:p w14:paraId="6DD0C8FD" w14:textId="1598EC6C" w:rsidR="002F0133" w:rsidRPr="000B4E2C" w:rsidRDefault="002F0133" w:rsidP="008A7464">
      <w:pPr>
        <w:pStyle w:val="NoSpacing"/>
        <w:rPr>
          <w:rFonts w:cs="Times New Roman"/>
          <w:highlight w:val="green"/>
        </w:rPr>
      </w:pPr>
      <w:r w:rsidRPr="000B4E2C">
        <w:rPr>
          <w:rFonts w:cs="Times New Roman"/>
          <w:highlight w:val="green"/>
        </w:rPr>
        <w:t>28     (</w:t>
      </w:r>
      <w:r w:rsidR="0072128A" w:rsidRPr="000B4E2C">
        <w:rPr>
          <w:rFonts w:cs="Times New Roman"/>
          <w:color w:val="00B0F0"/>
          <w:highlight w:val="green"/>
        </w:rPr>
        <w:t>“</w:t>
      </w:r>
      <w:r w:rsidR="0072128A" w:rsidRPr="000B4E2C">
        <w:rPr>
          <w:rFonts w:cs="Times New Roman"/>
          <w:highlight w:val="green"/>
        </w:rPr>
        <w:t>Neutrophil gelatinase-associated lipocalin</w:t>
      </w:r>
      <w:r w:rsidR="0072128A" w:rsidRPr="000B4E2C">
        <w:rPr>
          <w:rFonts w:cs="Times New Roman"/>
          <w:color w:val="00B0F0"/>
          <w:highlight w:val="green"/>
        </w:rPr>
        <w:t>”</w:t>
      </w:r>
      <w:r w:rsidRPr="000B4E2C">
        <w:rPr>
          <w:rFonts w:cs="Times New Roman"/>
          <w:highlight w:val="green"/>
        </w:rPr>
        <w:t xml:space="preserve"> or </w:t>
      </w:r>
      <w:r w:rsidR="0072128A" w:rsidRPr="000B4E2C">
        <w:rPr>
          <w:rFonts w:cs="Times New Roman"/>
          <w:color w:val="00B0F0"/>
          <w:highlight w:val="green"/>
        </w:rPr>
        <w:t>“</w:t>
      </w:r>
      <w:r w:rsidR="0072128A" w:rsidRPr="000B4E2C">
        <w:rPr>
          <w:rFonts w:cs="Times New Roman"/>
          <w:highlight w:val="green"/>
        </w:rPr>
        <w:t>neutrophil gelatinase lipocalin</w:t>
      </w:r>
      <w:r w:rsidR="0072128A" w:rsidRPr="000B4E2C">
        <w:rPr>
          <w:rFonts w:cs="Times New Roman"/>
          <w:color w:val="00B0F0"/>
          <w:highlight w:val="green"/>
        </w:rPr>
        <w:t>”</w:t>
      </w:r>
      <w:r w:rsidRPr="000B4E2C">
        <w:rPr>
          <w:rFonts w:cs="Times New Roman"/>
          <w:highlight w:val="green"/>
        </w:rPr>
        <w:t xml:space="preserve"> or </w:t>
      </w:r>
      <w:r w:rsidR="0072128A" w:rsidRPr="000B4E2C">
        <w:rPr>
          <w:rFonts w:cs="Times New Roman"/>
          <w:color w:val="00B0F0"/>
          <w:highlight w:val="green"/>
        </w:rPr>
        <w:t>“</w:t>
      </w:r>
      <w:r w:rsidR="0072128A" w:rsidRPr="000B4E2C">
        <w:rPr>
          <w:rFonts w:cs="Times New Roman"/>
          <w:highlight w:val="green"/>
        </w:rPr>
        <w:t>lipocalin 2</w:t>
      </w:r>
      <w:r w:rsidR="0072128A" w:rsidRPr="000B4E2C">
        <w:rPr>
          <w:rFonts w:cs="Times New Roman"/>
          <w:color w:val="00B0F0"/>
          <w:highlight w:val="green"/>
        </w:rPr>
        <w:t>”</w:t>
      </w:r>
      <w:r w:rsidRPr="000B4E2C">
        <w:rPr>
          <w:rFonts w:cs="Times New Roman"/>
          <w:highlight w:val="green"/>
        </w:rPr>
        <w:t xml:space="preserve"> or lcn2 or Oncogene 24p3 or siderocalin).tw,kw,nm. use ppezv (4262)</w:t>
      </w:r>
    </w:p>
    <w:p w14:paraId="7DBB85E5" w14:textId="41757A7D" w:rsidR="002F0133" w:rsidRPr="000B4E2C" w:rsidRDefault="002F0133" w:rsidP="008A7464">
      <w:pPr>
        <w:pStyle w:val="NoSpacing"/>
        <w:rPr>
          <w:rFonts w:cs="Times New Roman"/>
          <w:highlight w:val="green"/>
        </w:rPr>
      </w:pPr>
      <w:r w:rsidRPr="000B4E2C">
        <w:rPr>
          <w:rFonts w:cs="Times New Roman"/>
          <w:highlight w:val="green"/>
        </w:rPr>
        <w:t>29     (</w:t>
      </w:r>
      <w:r w:rsidR="0072128A" w:rsidRPr="000B4E2C">
        <w:rPr>
          <w:rFonts w:cs="Times New Roman"/>
          <w:color w:val="00B0F0"/>
          <w:highlight w:val="green"/>
        </w:rPr>
        <w:t>“</w:t>
      </w:r>
      <w:r w:rsidR="0072128A" w:rsidRPr="000B4E2C">
        <w:rPr>
          <w:rFonts w:cs="Times New Roman"/>
          <w:highlight w:val="green"/>
        </w:rPr>
        <w:t>Neutrophil gelatinase-associated lipocalin</w:t>
      </w:r>
      <w:r w:rsidR="0072128A" w:rsidRPr="000B4E2C">
        <w:rPr>
          <w:rFonts w:cs="Times New Roman"/>
          <w:color w:val="00B0F0"/>
          <w:highlight w:val="green"/>
        </w:rPr>
        <w:t>”</w:t>
      </w:r>
      <w:r w:rsidRPr="000B4E2C">
        <w:rPr>
          <w:rFonts w:cs="Times New Roman"/>
          <w:highlight w:val="green"/>
        </w:rPr>
        <w:t xml:space="preserve"> or </w:t>
      </w:r>
      <w:r w:rsidR="0072128A" w:rsidRPr="000B4E2C">
        <w:rPr>
          <w:rFonts w:cs="Times New Roman"/>
          <w:color w:val="00B0F0"/>
          <w:highlight w:val="green"/>
        </w:rPr>
        <w:t>“</w:t>
      </w:r>
      <w:r w:rsidR="0072128A" w:rsidRPr="000B4E2C">
        <w:rPr>
          <w:rFonts w:cs="Times New Roman"/>
          <w:highlight w:val="green"/>
        </w:rPr>
        <w:t>neutrophil gelatinase lipocalin</w:t>
      </w:r>
      <w:r w:rsidR="0072128A" w:rsidRPr="000B4E2C">
        <w:rPr>
          <w:rFonts w:cs="Times New Roman"/>
          <w:color w:val="00B0F0"/>
          <w:highlight w:val="green"/>
        </w:rPr>
        <w:t>”</w:t>
      </w:r>
      <w:r w:rsidRPr="000B4E2C">
        <w:rPr>
          <w:rFonts w:cs="Times New Roman"/>
          <w:highlight w:val="green"/>
        </w:rPr>
        <w:t xml:space="preserve"> or </w:t>
      </w:r>
      <w:r w:rsidR="0072128A" w:rsidRPr="000B4E2C">
        <w:rPr>
          <w:rFonts w:cs="Times New Roman"/>
          <w:color w:val="00B0F0"/>
          <w:highlight w:val="green"/>
        </w:rPr>
        <w:t>“</w:t>
      </w:r>
      <w:r w:rsidR="0072128A" w:rsidRPr="000B4E2C">
        <w:rPr>
          <w:rFonts w:cs="Times New Roman"/>
          <w:highlight w:val="green"/>
        </w:rPr>
        <w:t>lipocalin 2</w:t>
      </w:r>
      <w:r w:rsidR="0072128A" w:rsidRPr="000B4E2C">
        <w:rPr>
          <w:rFonts w:cs="Times New Roman"/>
          <w:color w:val="00B0F0"/>
          <w:highlight w:val="green"/>
        </w:rPr>
        <w:t>”</w:t>
      </w:r>
      <w:r w:rsidRPr="000B4E2C">
        <w:rPr>
          <w:rFonts w:cs="Times New Roman"/>
          <w:highlight w:val="green"/>
        </w:rPr>
        <w:t xml:space="preserve"> or lcn2 or Oncogene 24p3 or siderocalin).tw,kw,tn. use oemezd (5997)</w:t>
      </w:r>
    </w:p>
    <w:p w14:paraId="1E0CA94A" w14:textId="77777777" w:rsidR="002F0133" w:rsidRPr="000B4E2C" w:rsidRDefault="002F0133" w:rsidP="008A7464">
      <w:pPr>
        <w:pStyle w:val="NoSpacing"/>
        <w:rPr>
          <w:rFonts w:cs="Times New Roman"/>
          <w:highlight w:val="green"/>
        </w:rPr>
      </w:pPr>
      <w:r w:rsidRPr="000B4E2C">
        <w:rPr>
          <w:rFonts w:cs="Times New Roman"/>
          <w:highlight w:val="green"/>
        </w:rPr>
        <w:t>30     or/25-29 [NGAL] (16697)</w:t>
      </w:r>
    </w:p>
    <w:p w14:paraId="66C7428A" w14:textId="641F9525" w:rsidR="002F0133" w:rsidRPr="000B4E2C" w:rsidRDefault="002F0133" w:rsidP="008A7464">
      <w:pPr>
        <w:pStyle w:val="NoSpacing"/>
        <w:rPr>
          <w:rFonts w:cs="Times New Roman"/>
          <w:highlight w:val="green"/>
        </w:rPr>
      </w:pPr>
      <w:r w:rsidRPr="000B4E2C">
        <w:rPr>
          <w:rFonts w:cs="Times New Roman"/>
          <w:highlight w:val="green"/>
        </w:rPr>
        <w:t xml:space="preserve">31     </w:t>
      </w:r>
      <w:r w:rsidR="0072128A" w:rsidRPr="000B4E2C">
        <w:rPr>
          <w:rFonts w:cs="Times New Roman"/>
          <w:color w:val="00B0F0"/>
          <w:highlight w:val="green"/>
        </w:rPr>
        <w:t>“</w:t>
      </w:r>
      <w:r w:rsidR="0072128A" w:rsidRPr="000B4E2C">
        <w:rPr>
          <w:rFonts w:cs="Times New Roman"/>
          <w:highlight w:val="green"/>
        </w:rPr>
        <w:t>Tissue Inhibitor of Metalloproteinase-2</w:t>
      </w:r>
      <w:r w:rsidR="0072128A" w:rsidRPr="000B4E2C">
        <w:rPr>
          <w:rFonts w:cs="Times New Roman"/>
          <w:color w:val="00B0F0"/>
          <w:highlight w:val="green"/>
        </w:rPr>
        <w:t>”</w:t>
      </w:r>
      <w:r w:rsidRPr="000B4E2C">
        <w:rPr>
          <w:rFonts w:cs="Times New Roman"/>
          <w:highlight w:val="green"/>
        </w:rPr>
        <w:t>/ use ppezv (3445)</w:t>
      </w:r>
    </w:p>
    <w:p w14:paraId="05508CFD" w14:textId="121CA36C" w:rsidR="002F0133" w:rsidRPr="000B4E2C" w:rsidRDefault="002F0133" w:rsidP="008A7464">
      <w:pPr>
        <w:pStyle w:val="NoSpacing"/>
        <w:rPr>
          <w:rFonts w:cs="Times New Roman"/>
          <w:highlight w:val="green"/>
        </w:rPr>
      </w:pPr>
      <w:r w:rsidRPr="000B4E2C">
        <w:rPr>
          <w:rFonts w:cs="Times New Roman"/>
          <w:highlight w:val="green"/>
        </w:rPr>
        <w:t xml:space="preserve">32     </w:t>
      </w:r>
      <w:r w:rsidR="0072128A" w:rsidRPr="000B4E2C">
        <w:rPr>
          <w:rFonts w:cs="Times New Roman"/>
          <w:color w:val="00B0F0"/>
          <w:highlight w:val="green"/>
        </w:rPr>
        <w:t>“</w:t>
      </w:r>
      <w:r w:rsidR="0072128A" w:rsidRPr="000B4E2C">
        <w:rPr>
          <w:rFonts w:cs="Times New Roman"/>
          <w:highlight w:val="green"/>
        </w:rPr>
        <w:t>tissue inhibitor of metalloproteinase 2</w:t>
      </w:r>
      <w:r w:rsidR="0072128A" w:rsidRPr="000B4E2C">
        <w:rPr>
          <w:rFonts w:cs="Times New Roman"/>
          <w:color w:val="00B0F0"/>
          <w:highlight w:val="green"/>
        </w:rPr>
        <w:t>”</w:t>
      </w:r>
      <w:r w:rsidRPr="000B4E2C">
        <w:rPr>
          <w:rFonts w:cs="Times New Roman"/>
          <w:highlight w:val="green"/>
        </w:rPr>
        <w:t>/ use oemezd (6871)</w:t>
      </w:r>
    </w:p>
    <w:p w14:paraId="7E3D8C1D" w14:textId="77777777" w:rsidR="002F0133" w:rsidRPr="000B4E2C" w:rsidRDefault="002F0133" w:rsidP="008A7464">
      <w:pPr>
        <w:pStyle w:val="NoSpacing"/>
        <w:rPr>
          <w:rFonts w:cs="Times New Roman"/>
          <w:highlight w:val="green"/>
        </w:rPr>
      </w:pPr>
      <w:r w:rsidRPr="000B4E2C">
        <w:rPr>
          <w:rFonts w:cs="Times New Roman"/>
          <w:highlight w:val="green"/>
        </w:rPr>
        <w:t>33     Metalloproteinase inhibitor 2.tw,nm,kw. use ppezv (15)</w:t>
      </w:r>
    </w:p>
    <w:p w14:paraId="1A353C4F" w14:textId="77777777" w:rsidR="002F0133" w:rsidRPr="000B4E2C" w:rsidRDefault="002F0133" w:rsidP="008A7464">
      <w:pPr>
        <w:pStyle w:val="NoSpacing"/>
        <w:rPr>
          <w:rFonts w:cs="Times New Roman"/>
          <w:highlight w:val="green"/>
        </w:rPr>
      </w:pPr>
      <w:r w:rsidRPr="000B4E2C">
        <w:rPr>
          <w:rFonts w:cs="Times New Roman"/>
          <w:highlight w:val="green"/>
        </w:rPr>
        <w:t>34     Metalloproteinase inhibitor 2.tw,kw. use oemezd (28)</w:t>
      </w:r>
    </w:p>
    <w:p w14:paraId="07575B46" w14:textId="77777777" w:rsidR="002F0133" w:rsidRPr="000B4E2C" w:rsidRDefault="002F0133" w:rsidP="008A7464">
      <w:pPr>
        <w:pStyle w:val="NoSpacing"/>
        <w:rPr>
          <w:rFonts w:cs="Times New Roman"/>
          <w:highlight w:val="green"/>
        </w:rPr>
      </w:pPr>
      <w:r w:rsidRPr="000B4E2C">
        <w:rPr>
          <w:rFonts w:cs="Times New Roman"/>
          <w:highlight w:val="green"/>
        </w:rPr>
        <w:t>35     tissue inhibitor of metalloproteinase-2.tw,nm,kw. use ppezv (3699)</w:t>
      </w:r>
    </w:p>
    <w:p w14:paraId="3D55453A" w14:textId="77777777" w:rsidR="002F0133" w:rsidRPr="000B4E2C" w:rsidRDefault="002F0133" w:rsidP="008A7464">
      <w:pPr>
        <w:pStyle w:val="NoSpacing"/>
        <w:rPr>
          <w:rFonts w:cs="Times New Roman"/>
          <w:highlight w:val="green"/>
        </w:rPr>
      </w:pPr>
      <w:r w:rsidRPr="000B4E2C">
        <w:rPr>
          <w:rFonts w:cs="Times New Roman"/>
          <w:highlight w:val="green"/>
        </w:rPr>
        <w:t>36     tissue inhibitor of metalloproteinase-2.tw,kw. use oemezd (883)</w:t>
      </w:r>
    </w:p>
    <w:p w14:paraId="0B4D8FC6" w14:textId="77777777" w:rsidR="002F0133" w:rsidRPr="000B4E2C" w:rsidRDefault="002F0133" w:rsidP="008A7464">
      <w:pPr>
        <w:pStyle w:val="NoSpacing"/>
        <w:rPr>
          <w:rFonts w:cs="Times New Roman"/>
          <w:highlight w:val="green"/>
        </w:rPr>
      </w:pPr>
      <w:r w:rsidRPr="000B4E2C">
        <w:rPr>
          <w:rFonts w:cs="Times New Roman"/>
          <w:highlight w:val="green"/>
        </w:rPr>
        <w:t>37     TIMP metallopeptidase inhibitor 2.tw,nm,kw. use ppezv (10)</w:t>
      </w:r>
    </w:p>
    <w:p w14:paraId="39916045" w14:textId="77777777" w:rsidR="002F0133" w:rsidRPr="000B4E2C" w:rsidRDefault="002F0133" w:rsidP="008A7464">
      <w:pPr>
        <w:pStyle w:val="NoSpacing"/>
        <w:rPr>
          <w:rFonts w:cs="Times New Roman"/>
          <w:highlight w:val="green"/>
        </w:rPr>
      </w:pPr>
      <w:r w:rsidRPr="000B4E2C">
        <w:rPr>
          <w:rFonts w:cs="Times New Roman"/>
          <w:highlight w:val="green"/>
        </w:rPr>
        <w:t>38     TIMP metallopeptidase inhibitor 2.tw,kw. use oemezd (11)</w:t>
      </w:r>
    </w:p>
    <w:p w14:paraId="1926F988" w14:textId="77777777" w:rsidR="002F0133" w:rsidRPr="000B4E2C" w:rsidRDefault="002F0133" w:rsidP="008A7464">
      <w:pPr>
        <w:pStyle w:val="NoSpacing"/>
        <w:rPr>
          <w:rFonts w:cs="Times New Roman"/>
          <w:highlight w:val="green"/>
        </w:rPr>
      </w:pPr>
      <w:r w:rsidRPr="000B4E2C">
        <w:rPr>
          <w:rFonts w:cs="Times New Roman"/>
          <w:highlight w:val="green"/>
        </w:rPr>
        <w:t>39     (TIMP 2 or TIMP2 or DDC8 or CSC-21K).tw,nm,kw. use ppezv (4818)</w:t>
      </w:r>
    </w:p>
    <w:p w14:paraId="073F8E4E" w14:textId="77777777" w:rsidR="002F0133" w:rsidRPr="000B4E2C" w:rsidRDefault="002F0133" w:rsidP="008A7464">
      <w:pPr>
        <w:pStyle w:val="NoSpacing"/>
        <w:rPr>
          <w:rFonts w:cs="Times New Roman"/>
          <w:highlight w:val="green"/>
        </w:rPr>
      </w:pPr>
      <w:r w:rsidRPr="000B4E2C">
        <w:rPr>
          <w:rFonts w:cs="Times New Roman"/>
          <w:highlight w:val="green"/>
        </w:rPr>
        <w:t>40     (TIMP 2 or TIMP2 or DDC8 or CSC-21K).tw,kw. use oemezd (6114)</w:t>
      </w:r>
    </w:p>
    <w:p w14:paraId="2C430D25" w14:textId="77777777" w:rsidR="002F0133" w:rsidRPr="000B4E2C" w:rsidRDefault="002F0133" w:rsidP="008A7464">
      <w:pPr>
        <w:pStyle w:val="NoSpacing"/>
        <w:rPr>
          <w:rFonts w:cs="Times New Roman"/>
          <w:highlight w:val="green"/>
        </w:rPr>
      </w:pPr>
      <w:r w:rsidRPr="000B4E2C">
        <w:rPr>
          <w:rFonts w:cs="Times New Roman"/>
          <w:highlight w:val="green"/>
        </w:rPr>
        <w:t>41     or/31-40 [TIMP2] (14536)</w:t>
      </w:r>
    </w:p>
    <w:p w14:paraId="235C10DF" w14:textId="77777777" w:rsidR="002F0133" w:rsidRPr="000B4E2C" w:rsidRDefault="002F0133" w:rsidP="008A7464">
      <w:pPr>
        <w:pStyle w:val="NoSpacing"/>
        <w:rPr>
          <w:rFonts w:cs="Times New Roman"/>
          <w:highlight w:val="green"/>
        </w:rPr>
      </w:pPr>
      <w:r w:rsidRPr="000B4E2C">
        <w:rPr>
          <w:rFonts w:cs="Times New Roman"/>
          <w:highlight w:val="green"/>
        </w:rPr>
        <w:t>42     (IGFBP7 or IBP-7 or IGFBP-rP1).tw,nm,kw. use ppezv (410)</w:t>
      </w:r>
    </w:p>
    <w:p w14:paraId="1DFFF8FB" w14:textId="77777777" w:rsidR="002F0133" w:rsidRPr="000B4E2C" w:rsidRDefault="002F0133" w:rsidP="008A7464">
      <w:pPr>
        <w:pStyle w:val="NoSpacing"/>
        <w:rPr>
          <w:rFonts w:cs="Times New Roman"/>
          <w:highlight w:val="green"/>
        </w:rPr>
      </w:pPr>
      <w:r w:rsidRPr="000B4E2C">
        <w:rPr>
          <w:rFonts w:cs="Times New Roman"/>
          <w:highlight w:val="green"/>
        </w:rPr>
        <w:t>43     (IGFBP7 or IBP-7 or IGFBP-rP1).tw,kw. use oemezd (614)</w:t>
      </w:r>
    </w:p>
    <w:p w14:paraId="7FFF70F9" w14:textId="77777777" w:rsidR="002F0133" w:rsidRPr="000B4E2C" w:rsidRDefault="002F0133" w:rsidP="008A7464">
      <w:pPr>
        <w:pStyle w:val="NoSpacing"/>
        <w:rPr>
          <w:rFonts w:cs="Times New Roman"/>
          <w:highlight w:val="green"/>
        </w:rPr>
      </w:pPr>
      <w:r w:rsidRPr="000B4E2C">
        <w:rPr>
          <w:rFonts w:cs="Times New Roman"/>
          <w:highlight w:val="green"/>
        </w:rPr>
        <w:t>44     IGF-binding protein 7.tw,nm,kw. use ppezv (16)</w:t>
      </w:r>
    </w:p>
    <w:p w14:paraId="059DFEB7" w14:textId="77777777" w:rsidR="002F0133" w:rsidRPr="000B4E2C" w:rsidRDefault="002F0133" w:rsidP="008A7464">
      <w:pPr>
        <w:pStyle w:val="NoSpacing"/>
        <w:rPr>
          <w:rFonts w:cs="Times New Roman"/>
          <w:highlight w:val="green"/>
        </w:rPr>
      </w:pPr>
      <w:r w:rsidRPr="000B4E2C">
        <w:rPr>
          <w:rFonts w:cs="Times New Roman"/>
          <w:highlight w:val="green"/>
        </w:rPr>
        <w:t>45     IGF-binding protein 7.tw,kw. use oemezd (23)</w:t>
      </w:r>
    </w:p>
    <w:p w14:paraId="19416882" w14:textId="77777777" w:rsidR="002F0133" w:rsidRPr="000B4E2C" w:rsidRDefault="002F0133" w:rsidP="008A7464">
      <w:pPr>
        <w:pStyle w:val="NoSpacing"/>
        <w:rPr>
          <w:rFonts w:cs="Times New Roman"/>
          <w:highlight w:val="green"/>
        </w:rPr>
      </w:pPr>
      <w:r w:rsidRPr="000B4E2C">
        <w:rPr>
          <w:rFonts w:cs="Times New Roman"/>
          <w:highlight w:val="green"/>
        </w:rPr>
        <w:t>46     Insulin-like growth factor-binding protein 7.tw,nm,kw. use ppezv (220)</w:t>
      </w:r>
    </w:p>
    <w:p w14:paraId="7D52F546" w14:textId="77777777" w:rsidR="002F0133" w:rsidRPr="000B4E2C" w:rsidRDefault="002F0133" w:rsidP="008A7464">
      <w:pPr>
        <w:pStyle w:val="NoSpacing"/>
        <w:rPr>
          <w:rFonts w:cs="Times New Roman"/>
          <w:highlight w:val="green"/>
        </w:rPr>
      </w:pPr>
      <w:r w:rsidRPr="000B4E2C">
        <w:rPr>
          <w:rFonts w:cs="Times New Roman"/>
          <w:highlight w:val="green"/>
        </w:rPr>
        <w:t>47     Insulin-like growth factor-binding protein 7.tw,kw. use oemezd (326)</w:t>
      </w:r>
    </w:p>
    <w:p w14:paraId="72988B84" w14:textId="77777777" w:rsidR="002F0133" w:rsidRPr="000B4E2C" w:rsidRDefault="002F0133" w:rsidP="008A7464">
      <w:pPr>
        <w:pStyle w:val="NoSpacing"/>
        <w:rPr>
          <w:rFonts w:cs="Times New Roman"/>
          <w:highlight w:val="green"/>
        </w:rPr>
      </w:pPr>
      <w:r w:rsidRPr="000B4E2C">
        <w:rPr>
          <w:rFonts w:cs="Times New Roman"/>
          <w:highlight w:val="green"/>
        </w:rPr>
        <w:t>48     MAC25 protein.tw,nm,kw. use ppezv (5)</w:t>
      </w:r>
    </w:p>
    <w:p w14:paraId="612D485A" w14:textId="77777777" w:rsidR="002F0133" w:rsidRPr="000B4E2C" w:rsidRDefault="002F0133" w:rsidP="008A7464">
      <w:pPr>
        <w:pStyle w:val="NoSpacing"/>
        <w:rPr>
          <w:rFonts w:cs="Times New Roman"/>
          <w:highlight w:val="green"/>
        </w:rPr>
      </w:pPr>
      <w:r w:rsidRPr="000B4E2C">
        <w:rPr>
          <w:rFonts w:cs="Times New Roman"/>
          <w:highlight w:val="green"/>
        </w:rPr>
        <w:t>49     MAC25 protein.tw,kw. use oemezd (5)</w:t>
      </w:r>
    </w:p>
    <w:p w14:paraId="213D9936" w14:textId="77777777" w:rsidR="002F0133" w:rsidRPr="000B4E2C" w:rsidRDefault="002F0133" w:rsidP="008A7464">
      <w:pPr>
        <w:pStyle w:val="NoSpacing"/>
        <w:rPr>
          <w:rFonts w:cs="Times New Roman"/>
          <w:highlight w:val="green"/>
        </w:rPr>
      </w:pPr>
      <w:r w:rsidRPr="000B4E2C">
        <w:rPr>
          <w:rFonts w:cs="Times New Roman"/>
          <w:highlight w:val="green"/>
        </w:rPr>
        <w:t>50     PGI2-stimulating factor.tw,nm,kw. use ppezv (6)</w:t>
      </w:r>
    </w:p>
    <w:p w14:paraId="532B7167" w14:textId="77777777" w:rsidR="002F0133" w:rsidRPr="000B4E2C" w:rsidRDefault="002F0133" w:rsidP="008A7464">
      <w:pPr>
        <w:pStyle w:val="NoSpacing"/>
        <w:rPr>
          <w:rFonts w:cs="Times New Roman"/>
          <w:highlight w:val="green"/>
        </w:rPr>
      </w:pPr>
      <w:r w:rsidRPr="000B4E2C">
        <w:rPr>
          <w:rFonts w:cs="Times New Roman"/>
          <w:highlight w:val="green"/>
        </w:rPr>
        <w:t>51     PGI2-stimulating factor.tw,kw. use oemezd (9)</w:t>
      </w:r>
    </w:p>
    <w:p w14:paraId="44AA4C84" w14:textId="7BCDD72B" w:rsidR="002F0133" w:rsidRPr="000B4E2C" w:rsidRDefault="002F0133" w:rsidP="008A7464">
      <w:pPr>
        <w:pStyle w:val="NoSpacing"/>
        <w:rPr>
          <w:rFonts w:cs="Times New Roman"/>
          <w:highlight w:val="green"/>
        </w:rPr>
      </w:pPr>
      <w:r w:rsidRPr="000B4E2C">
        <w:rPr>
          <w:rFonts w:cs="Times New Roman"/>
          <w:highlight w:val="green"/>
        </w:rPr>
        <w:t xml:space="preserve">52     </w:t>
      </w:r>
      <w:r w:rsidR="0072128A" w:rsidRPr="000B4E2C">
        <w:rPr>
          <w:rFonts w:cs="Times New Roman"/>
          <w:color w:val="00B0F0"/>
          <w:highlight w:val="green"/>
        </w:rPr>
        <w:t>“</w:t>
      </w:r>
      <w:r w:rsidR="0072128A" w:rsidRPr="000B4E2C">
        <w:rPr>
          <w:rFonts w:cs="Times New Roman"/>
          <w:highlight w:val="green"/>
        </w:rPr>
        <w:t>Prostacyclin-stimulating factor</w:t>
      </w:r>
      <w:r w:rsidR="0072128A" w:rsidRPr="000B4E2C">
        <w:rPr>
          <w:rFonts w:cs="Times New Roman"/>
          <w:color w:val="00B0F0"/>
          <w:highlight w:val="green"/>
        </w:rPr>
        <w:t>”</w:t>
      </w:r>
      <w:r w:rsidRPr="000B4E2C">
        <w:rPr>
          <w:rFonts w:cs="Times New Roman"/>
          <w:highlight w:val="green"/>
        </w:rPr>
        <w:t>.tw,nm,kw. use ppezv (29)</w:t>
      </w:r>
    </w:p>
    <w:p w14:paraId="54464476" w14:textId="77777777" w:rsidR="002F0133" w:rsidRPr="000B4E2C" w:rsidRDefault="002F0133" w:rsidP="008A7464">
      <w:pPr>
        <w:pStyle w:val="NoSpacing"/>
        <w:rPr>
          <w:rFonts w:cs="Times New Roman"/>
          <w:highlight w:val="green"/>
        </w:rPr>
      </w:pPr>
      <w:r w:rsidRPr="000B4E2C">
        <w:rPr>
          <w:rFonts w:cs="Times New Roman"/>
          <w:highlight w:val="green"/>
        </w:rPr>
        <w:t>53     Prostacyclin-stimulating factor.tw,kw. use oemezd (31)</w:t>
      </w:r>
    </w:p>
    <w:p w14:paraId="26BD3AE9" w14:textId="77777777" w:rsidR="002F0133" w:rsidRPr="000B4E2C" w:rsidRDefault="002F0133" w:rsidP="008A7464">
      <w:pPr>
        <w:pStyle w:val="NoSpacing"/>
        <w:rPr>
          <w:rFonts w:cs="Times New Roman"/>
          <w:highlight w:val="green"/>
        </w:rPr>
      </w:pPr>
      <w:r w:rsidRPr="000B4E2C">
        <w:rPr>
          <w:rFonts w:cs="Times New Roman"/>
          <w:highlight w:val="green"/>
        </w:rPr>
        <w:t>54     #32 or #33 or #34 or #35 or #36 or #37.tw,nm,kw. use ppezv (15)</w:t>
      </w:r>
    </w:p>
    <w:p w14:paraId="4489C088" w14:textId="77777777" w:rsidR="002F0133" w:rsidRPr="000B4E2C" w:rsidRDefault="002F0133" w:rsidP="008A7464">
      <w:pPr>
        <w:pStyle w:val="NoSpacing"/>
        <w:rPr>
          <w:rFonts w:cs="Times New Roman"/>
          <w:highlight w:val="green"/>
        </w:rPr>
      </w:pPr>
      <w:r w:rsidRPr="000B4E2C">
        <w:rPr>
          <w:rFonts w:cs="Times New Roman"/>
          <w:highlight w:val="green"/>
        </w:rPr>
        <w:t>55     Tumor-derived adhesion factor.tw,kw. use oemezd (7)</w:t>
      </w:r>
    </w:p>
    <w:p w14:paraId="73ABEA9C" w14:textId="77777777" w:rsidR="002F0133" w:rsidRPr="000B4E2C" w:rsidRDefault="002F0133" w:rsidP="008A7464">
      <w:pPr>
        <w:pStyle w:val="NoSpacing"/>
        <w:rPr>
          <w:rFonts w:cs="Times New Roman"/>
          <w:highlight w:val="green"/>
        </w:rPr>
      </w:pPr>
      <w:r w:rsidRPr="000B4E2C">
        <w:rPr>
          <w:rFonts w:cs="Times New Roman"/>
          <w:highlight w:val="green"/>
        </w:rPr>
        <w:t>56     or/42-55 [IGFBP7] (1273)</w:t>
      </w:r>
    </w:p>
    <w:p w14:paraId="25544E45" w14:textId="77777777" w:rsidR="002F0133" w:rsidRPr="000B4E2C" w:rsidRDefault="002F0133" w:rsidP="008A7464">
      <w:pPr>
        <w:pStyle w:val="NoSpacing"/>
        <w:rPr>
          <w:rFonts w:cs="Times New Roman"/>
          <w:highlight w:val="green"/>
        </w:rPr>
      </w:pPr>
      <w:r w:rsidRPr="000B4E2C">
        <w:rPr>
          <w:rFonts w:cs="Times New Roman"/>
          <w:highlight w:val="green"/>
        </w:rPr>
        <w:t>57     41 and 56 [TIMP2 AND IGFBP7] (278)</w:t>
      </w:r>
    </w:p>
    <w:p w14:paraId="2E4B809D" w14:textId="77777777" w:rsidR="002F0133" w:rsidRPr="000B4E2C" w:rsidRDefault="002F0133" w:rsidP="008A7464">
      <w:pPr>
        <w:pStyle w:val="NoSpacing"/>
        <w:rPr>
          <w:rFonts w:cs="Times New Roman"/>
          <w:highlight w:val="green"/>
        </w:rPr>
      </w:pPr>
      <w:r w:rsidRPr="000B4E2C">
        <w:rPr>
          <w:rFonts w:cs="Times New Roman"/>
          <w:highlight w:val="green"/>
        </w:rPr>
        <w:t>58     nephrocheck.tw,kw. use ppezv (24)</w:t>
      </w:r>
    </w:p>
    <w:p w14:paraId="2191CED2" w14:textId="77777777" w:rsidR="002F0133" w:rsidRPr="000B4E2C" w:rsidRDefault="002F0133" w:rsidP="008A7464">
      <w:pPr>
        <w:pStyle w:val="NoSpacing"/>
        <w:rPr>
          <w:rFonts w:cs="Times New Roman"/>
          <w:highlight w:val="green"/>
        </w:rPr>
      </w:pPr>
      <w:r w:rsidRPr="000B4E2C">
        <w:rPr>
          <w:rFonts w:cs="Times New Roman"/>
          <w:highlight w:val="green"/>
        </w:rPr>
        <w:t>59     nephrocheck.tw,dv,kw. use oemezd (55)</w:t>
      </w:r>
    </w:p>
    <w:p w14:paraId="71B80236" w14:textId="77777777" w:rsidR="002F0133" w:rsidRPr="000B4E2C" w:rsidRDefault="002F0133" w:rsidP="008A7464">
      <w:pPr>
        <w:pStyle w:val="NoSpacing"/>
        <w:rPr>
          <w:rFonts w:cs="Times New Roman"/>
          <w:highlight w:val="green"/>
        </w:rPr>
      </w:pPr>
      <w:r w:rsidRPr="000B4E2C">
        <w:rPr>
          <w:rFonts w:cs="Times New Roman"/>
          <w:highlight w:val="green"/>
        </w:rPr>
        <w:t>60     58 or 59 (79)</w:t>
      </w:r>
    </w:p>
    <w:p w14:paraId="3B39CD1A" w14:textId="77777777" w:rsidR="002F0133" w:rsidRPr="000B4E2C" w:rsidRDefault="002F0133" w:rsidP="008A7464">
      <w:pPr>
        <w:pStyle w:val="NoSpacing"/>
        <w:rPr>
          <w:rFonts w:cs="Times New Roman"/>
          <w:highlight w:val="green"/>
        </w:rPr>
      </w:pPr>
      <w:r w:rsidRPr="000B4E2C">
        <w:rPr>
          <w:rFonts w:cs="Times New Roman"/>
          <w:highlight w:val="green"/>
        </w:rPr>
        <w:t>61     30 or 57 or 60 (16915)</w:t>
      </w:r>
    </w:p>
    <w:p w14:paraId="337E1F1C" w14:textId="77777777" w:rsidR="002F0133" w:rsidRPr="000B4E2C" w:rsidRDefault="002F0133" w:rsidP="008A7464">
      <w:pPr>
        <w:pStyle w:val="NoSpacing"/>
        <w:rPr>
          <w:rFonts w:cs="Times New Roman"/>
          <w:highlight w:val="green"/>
        </w:rPr>
      </w:pPr>
      <w:r w:rsidRPr="000B4E2C">
        <w:rPr>
          <w:rFonts w:cs="Times New Roman"/>
          <w:highlight w:val="green"/>
        </w:rPr>
        <w:t>62     24 and 61 (5763)</w:t>
      </w:r>
    </w:p>
    <w:p w14:paraId="087C45A6" w14:textId="77777777" w:rsidR="002F0133" w:rsidRPr="000B4E2C" w:rsidRDefault="002F0133" w:rsidP="008A7464">
      <w:pPr>
        <w:pStyle w:val="NoSpacing"/>
        <w:rPr>
          <w:rFonts w:cs="Times New Roman"/>
          <w:highlight w:val="green"/>
        </w:rPr>
      </w:pPr>
      <w:r w:rsidRPr="000B4E2C">
        <w:rPr>
          <w:rFonts w:cs="Times New Roman"/>
          <w:highlight w:val="green"/>
        </w:rPr>
        <w:t>63     remove duplicates from 62 (4053)</w:t>
      </w:r>
    </w:p>
    <w:p w14:paraId="2288A7EE" w14:textId="77777777" w:rsidR="002F0133" w:rsidRPr="000B4E2C" w:rsidRDefault="002F0133" w:rsidP="008A7464">
      <w:pPr>
        <w:pStyle w:val="NoSpacing"/>
        <w:rPr>
          <w:rFonts w:cs="Times New Roman"/>
          <w:highlight w:val="green"/>
        </w:rPr>
      </w:pPr>
    </w:p>
    <w:p w14:paraId="6F9F18E5" w14:textId="77777777" w:rsidR="002F0133" w:rsidRPr="000B4E2C" w:rsidRDefault="002F0133" w:rsidP="008A7464">
      <w:pPr>
        <w:pStyle w:val="NoSpacing"/>
        <w:rPr>
          <w:rFonts w:cs="Times New Roman"/>
          <w:highlight w:val="green"/>
        </w:rPr>
      </w:pPr>
      <w:r w:rsidRPr="000B4E2C">
        <w:rPr>
          <w:rFonts w:cs="Times New Roman"/>
          <w:b/>
          <w:highlight w:val="green"/>
        </w:rPr>
        <w:t>CINAHL</w:t>
      </w:r>
      <w:r w:rsidRPr="000B4E2C">
        <w:rPr>
          <w:rFonts w:cs="Times New Roman"/>
          <w:highlight w:val="green"/>
        </w:rPr>
        <w:t xml:space="preserve"> (via EBSCOHost)</w:t>
      </w:r>
    </w:p>
    <w:p w14:paraId="458AF550" w14:textId="77777777" w:rsidR="002F0133" w:rsidRPr="000B4E2C" w:rsidRDefault="002F0133" w:rsidP="008A7464">
      <w:pPr>
        <w:pStyle w:val="NoSpacing"/>
        <w:rPr>
          <w:rFonts w:cs="Times New Roman"/>
          <w:highlight w:val="green"/>
        </w:rPr>
      </w:pPr>
      <w:r w:rsidRPr="000B4E2C">
        <w:rPr>
          <w:rFonts w:cs="Times New Roman"/>
          <w:highlight w:val="green"/>
        </w:rPr>
        <w:t>Date of search: 17 May 2019</w:t>
      </w:r>
    </w:p>
    <w:p w14:paraId="7EF1DC18" w14:textId="77777777" w:rsidR="002F0133" w:rsidRPr="000B4E2C" w:rsidRDefault="002F0133" w:rsidP="008A7464">
      <w:pPr>
        <w:pStyle w:val="NoSpacing"/>
        <w:rPr>
          <w:rFonts w:cs="Times New Roman"/>
          <w:highlight w:val="green"/>
        </w:rPr>
      </w:pPr>
    </w:p>
    <w:p w14:paraId="1F95835A" w14:textId="35533DF4" w:rsidR="002F0133" w:rsidRPr="000B4E2C" w:rsidRDefault="002F0133" w:rsidP="008A7464">
      <w:pPr>
        <w:pStyle w:val="NoSpacing"/>
        <w:rPr>
          <w:rFonts w:cs="Times New Roman"/>
          <w:highlight w:val="green"/>
        </w:rPr>
      </w:pPr>
      <w:r w:rsidRPr="000B4E2C">
        <w:rPr>
          <w:rFonts w:cs="Times New Roman"/>
          <w:highlight w:val="green"/>
        </w:rPr>
        <w:t>S1</w:t>
      </w:r>
      <w:r w:rsidRPr="000B4E2C">
        <w:rPr>
          <w:rFonts w:cs="Times New Roman"/>
          <w:highlight w:val="green"/>
        </w:rPr>
        <w:tab/>
        <w:t xml:space="preserve">(MH </w:t>
      </w:r>
      <w:r w:rsidR="0072128A" w:rsidRPr="000B4E2C">
        <w:rPr>
          <w:rFonts w:cs="Times New Roman"/>
          <w:color w:val="00B0F0"/>
          <w:highlight w:val="green"/>
        </w:rPr>
        <w:t>“</w:t>
      </w:r>
      <w:r w:rsidR="0072128A" w:rsidRPr="000B4E2C">
        <w:rPr>
          <w:rFonts w:cs="Times New Roman"/>
          <w:highlight w:val="green"/>
        </w:rPr>
        <w:t>Kidney Diseases</w:t>
      </w:r>
      <w:r w:rsidR="0072128A" w:rsidRPr="000B4E2C">
        <w:rPr>
          <w:rFonts w:cs="Times New Roman"/>
          <w:color w:val="00B0F0"/>
          <w:highlight w:val="green"/>
        </w:rPr>
        <w:t>”</w:t>
      </w:r>
      <w:r w:rsidRPr="000B4E2C">
        <w:rPr>
          <w:rFonts w:cs="Times New Roman"/>
          <w:highlight w:val="green"/>
        </w:rPr>
        <w:t xml:space="preserve">) AND (MH </w:t>
      </w:r>
      <w:r w:rsidR="0072128A" w:rsidRPr="000B4E2C">
        <w:rPr>
          <w:rFonts w:cs="Times New Roman"/>
          <w:color w:val="00B0F0"/>
          <w:highlight w:val="green"/>
        </w:rPr>
        <w:t>“</w:t>
      </w:r>
      <w:r w:rsidR="0072128A" w:rsidRPr="000B4E2C">
        <w:rPr>
          <w:rFonts w:cs="Times New Roman"/>
          <w:highlight w:val="green"/>
        </w:rPr>
        <w:t>Acute Disease</w:t>
      </w:r>
      <w:r w:rsidR="0072128A" w:rsidRPr="000B4E2C">
        <w:rPr>
          <w:rFonts w:cs="Times New Roman"/>
          <w:color w:val="00B0F0"/>
          <w:highlight w:val="green"/>
        </w:rPr>
        <w:t>”</w:t>
      </w:r>
      <w:r w:rsidRPr="000B4E2C">
        <w:rPr>
          <w:rFonts w:cs="Times New Roman"/>
          <w:highlight w:val="green"/>
        </w:rPr>
        <w:t>)</w:t>
      </w:r>
      <w:r w:rsidRPr="000B4E2C">
        <w:rPr>
          <w:rFonts w:cs="Times New Roman"/>
          <w:highlight w:val="green"/>
        </w:rPr>
        <w:tab/>
        <w:t>257</w:t>
      </w:r>
    </w:p>
    <w:p w14:paraId="45DCC646" w14:textId="0D777FB1" w:rsidR="002F0133" w:rsidRPr="000B4E2C" w:rsidRDefault="002F0133" w:rsidP="008A7464">
      <w:pPr>
        <w:pStyle w:val="NoSpacing"/>
        <w:rPr>
          <w:rFonts w:cs="Times New Roman"/>
          <w:highlight w:val="green"/>
        </w:rPr>
      </w:pPr>
      <w:r w:rsidRPr="000B4E2C">
        <w:rPr>
          <w:rFonts w:cs="Times New Roman"/>
          <w:highlight w:val="green"/>
        </w:rPr>
        <w:t>S2</w:t>
      </w:r>
      <w:r w:rsidRPr="000B4E2C">
        <w:rPr>
          <w:rFonts w:cs="Times New Roman"/>
          <w:highlight w:val="green"/>
        </w:rPr>
        <w:tab/>
        <w:t xml:space="preserve">(MM </w:t>
      </w:r>
      <w:r w:rsidR="0072128A" w:rsidRPr="000B4E2C">
        <w:rPr>
          <w:rFonts w:cs="Times New Roman"/>
          <w:color w:val="00B0F0"/>
          <w:highlight w:val="green"/>
        </w:rPr>
        <w:t>“</w:t>
      </w:r>
      <w:r w:rsidR="0072128A" w:rsidRPr="000B4E2C">
        <w:rPr>
          <w:rFonts w:cs="Times New Roman"/>
          <w:highlight w:val="green"/>
        </w:rPr>
        <w:t>Kidney Failure, Acute</w:t>
      </w:r>
      <w:r w:rsidR="0072128A" w:rsidRPr="000B4E2C">
        <w:rPr>
          <w:rFonts w:cs="Times New Roman"/>
          <w:color w:val="00B0F0"/>
          <w:highlight w:val="green"/>
        </w:rPr>
        <w:t>”</w:t>
      </w:r>
      <w:r w:rsidRPr="000B4E2C">
        <w:rPr>
          <w:rFonts w:cs="Times New Roman"/>
          <w:highlight w:val="green"/>
        </w:rPr>
        <w:t>)</w:t>
      </w:r>
      <w:r w:rsidRPr="000B4E2C">
        <w:rPr>
          <w:rFonts w:cs="Times New Roman"/>
          <w:highlight w:val="green"/>
        </w:rPr>
        <w:tab/>
        <w:t>5,995</w:t>
      </w:r>
    </w:p>
    <w:p w14:paraId="41AF3635" w14:textId="46BB8819" w:rsidR="002F0133" w:rsidRPr="000B4E2C" w:rsidRDefault="002F0133" w:rsidP="008A7464">
      <w:pPr>
        <w:pStyle w:val="NoSpacing"/>
        <w:rPr>
          <w:rFonts w:cs="Times New Roman"/>
          <w:highlight w:val="green"/>
        </w:rPr>
      </w:pPr>
      <w:r w:rsidRPr="000B4E2C">
        <w:rPr>
          <w:rFonts w:cs="Times New Roman"/>
          <w:highlight w:val="green"/>
        </w:rPr>
        <w:t>S3</w:t>
      </w:r>
      <w:r w:rsidRPr="000B4E2C">
        <w:rPr>
          <w:rFonts w:cs="Times New Roman"/>
          <w:highlight w:val="green"/>
        </w:rPr>
        <w:tab/>
        <w:t xml:space="preserve">(MH </w:t>
      </w:r>
      <w:r w:rsidR="0072128A" w:rsidRPr="000B4E2C">
        <w:rPr>
          <w:rFonts w:cs="Times New Roman"/>
          <w:color w:val="00B0F0"/>
          <w:highlight w:val="green"/>
        </w:rPr>
        <w:t>“</w:t>
      </w:r>
      <w:r w:rsidR="0072128A" w:rsidRPr="000B4E2C">
        <w:rPr>
          <w:rFonts w:cs="Times New Roman"/>
          <w:highlight w:val="green"/>
        </w:rPr>
        <w:t>Kidney Tubular Necrosis, Acute</w:t>
      </w:r>
      <w:r w:rsidR="0072128A" w:rsidRPr="000B4E2C">
        <w:rPr>
          <w:rFonts w:cs="Times New Roman"/>
          <w:color w:val="00B0F0"/>
          <w:highlight w:val="green"/>
        </w:rPr>
        <w:t>”</w:t>
      </w:r>
      <w:r w:rsidRPr="000B4E2C">
        <w:rPr>
          <w:rFonts w:cs="Times New Roman"/>
          <w:highlight w:val="green"/>
        </w:rPr>
        <w:t>)</w:t>
      </w:r>
      <w:r w:rsidRPr="000B4E2C">
        <w:rPr>
          <w:rFonts w:cs="Times New Roman"/>
          <w:highlight w:val="green"/>
        </w:rPr>
        <w:tab/>
        <w:t>190</w:t>
      </w:r>
    </w:p>
    <w:p w14:paraId="79BF73BB" w14:textId="77777777" w:rsidR="002F0133" w:rsidRPr="000B4E2C" w:rsidRDefault="002F0133" w:rsidP="008A7464">
      <w:pPr>
        <w:pStyle w:val="NoSpacing"/>
        <w:rPr>
          <w:rFonts w:cs="Times New Roman"/>
          <w:highlight w:val="green"/>
        </w:rPr>
      </w:pPr>
      <w:r w:rsidRPr="000B4E2C">
        <w:rPr>
          <w:rFonts w:cs="Times New Roman"/>
          <w:highlight w:val="green"/>
        </w:rPr>
        <w:t>S4</w:t>
      </w:r>
      <w:r w:rsidRPr="000B4E2C">
        <w:rPr>
          <w:rFonts w:cs="Times New Roman"/>
          <w:highlight w:val="green"/>
        </w:rPr>
        <w:tab/>
        <w:t>TX Acute N3 (kidney disease* or kidney injury or kidney failure or kidney dysfunction)</w:t>
      </w:r>
      <w:r w:rsidRPr="000B4E2C">
        <w:rPr>
          <w:rFonts w:cs="Times New Roman"/>
          <w:highlight w:val="green"/>
        </w:rPr>
        <w:tab/>
        <w:t>10,442</w:t>
      </w:r>
    </w:p>
    <w:p w14:paraId="40C7BD07" w14:textId="77777777" w:rsidR="002F0133" w:rsidRPr="000B4E2C" w:rsidRDefault="002F0133" w:rsidP="008A7464">
      <w:pPr>
        <w:pStyle w:val="NoSpacing"/>
        <w:rPr>
          <w:rFonts w:cs="Times New Roman"/>
          <w:highlight w:val="green"/>
        </w:rPr>
      </w:pPr>
      <w:r w:rsidRPr="000B4E2C">
        <w:rPr>
          <w:rFonts w:cs="Times New Roman"/>
          <w:highlight w:val="green"/>
        </w:rPr>
        <w:t>S5</w:t>
      </w:r>
      <w:r w:rsidRPr="000B4E2C">
        <w:rPr>
          <w:rFonts w:cs="Times New Roman"/>
          <w:highlight w:val="green"/>
        </w:rPr>
        <w:tab/>
        <w:t>TX Acute N3 (renal disease* or renal injury or renal failure or renal dysfunction)</w:t>
      </w:r>
      <w:r w:rsidRPr="000B4E2C">
        <w:rPr>
          <w:rFonts w:cs="Times New Roman"/>
          <w:highlight w:val="green"/>
        </w:rPr>
        <w:tab/>
        <w:t>3,651</w:t>
      </w:r>
    </w:p>
    <w:p w14:paraId="49AB8531" w14:textId="6F9E188C" w:rsidR="002F0133" w:rsidRPr="000B4E2C" w:rsidRDefault="002F0133" w:rsidP="008A7464">
      <w:pPr>
        <w:pStyle w:val="NoSpacing"/>
        <w:rPr>
          <w:rFonts w:cs="Times New Roman"/>
          <w:highlight w:val="green"/>
        </w:rPr>
      </w:pPr>
      <w:r w:rsidRPr="000B4E2C">
        <w:rPr>
          <w:rFonts w:cs="Times New Roman"/>
          <w:highlight w:val="green"/>
        </w:rPr>
        <w:t>S6</w:t>
      </w:r>
      <w:r w:rsidRPr="000B4E2C">
        <w:rPr>
          <w:rFonts w:cs="Times New Roman"/>
          <w:highlight w:val="green"/>
        </w:rPr>
        <w:tab/>
        <w:t xml:space="preserve">TX (Acute N3 (Tubular Necrosis or nephrotoxic*)) OR TX </w:t>
      </w:r>
      <w:r w:rsidR="0072128A" w:rsidRPr="000B4E2C">
        <w:rPr>
          <w:rFonts w:cs="Times New Roman"/>
          <w:color w:val="00B0F0"/>
          <w:highlight w:val="green"/>
        </w:rPr>
        <w:t>“</w:t>
      </w:r>
      <w:r w:rsidR="0072128A" w:rsidRPr="000B4E2C">
        <w:rPr>
          <w:rFonts w:cs="Times New Roman"/>
          <w:highlight w:val="green"/>
        </w:rPr>
        <w:t>nephrotoxic injur*</w:t>
      </w:r>
      <w:r w:rsidR="0072128A" w:rsidRPr="000B4E2C">
        <w:rPr>
          <w:rFonts w:cs="Times New Roman"/>
          <w:color w:val="00B0F0"/>
          <w:highlight w:val="green"/>
        </w:rPr>
        <w:t>”</w:t>
      </w:r>
      <w:r w:rsidRPr="000B4E2C">
        <w:rPr>
          <w:rFonts w:cs="Times New Roman"/>
          <w:highlight w:val="green"/>
        </w:rPr>
        <w:tab/>
        <w:t>447</w:t>
      </w:r>
    </w:p>
    <w:p w14:paraId="542185DC" w14:textId="77777777" w:rsidR="002F0133" w:rsidRPr="000B4E2C" w:rsidRDefault="002F0133" w:rsidP="008A7464">
      <w:pPr>
        <w:pStyle w:val="NoSpacing"/>
        <w:rPr>
          <w:rFonts w:cs="Times New Roman"/>
          <w:highlight w:val="green"/>
        </w:rPr>
      </w:pPr>
      <w:r w:rsidRPr="000B4E2C">
        <w:rPr>
          <w:rFonts w:cs="Times New Roman"/>
          <w:highlight w:val="green"/>
        </w:rPr>
        <w:t>S7</w:t>
      </w:r>
      <w:r w:rsidRPr="000B4E2C">
        <w:rPr>
          <w:rFonts w:cs="Times New Roman"/>
          <w:highlight w:val="green"/>
        </w:rPr>
        <w:tab/>
        <w:t>TX aki</w:t>
      </w:r>
      <w:r w:rsidRPr="000B4E2C">
        <w:rPr>
          <w:rFonts w:cs="Times New Roman"/>
          <w:highlight w:val="green"/>
        </w:rPr>
        <w:tab/>
        <w:t>3,496</w:t>
      </w:r>
    </w:p>
    <w:p w14:paraId="251939B1" w14:textId="2EFCC813" w:rsidR="002F0133" w:rsidRPr="000B4E2C" w:rsidRDefault="002F0133" w:rsidP="008A7464">
      <w:pPr>
        <w:pStyle w:val="NoSpacing"/>
        <w:rPr>
          <w:rFonts w:cs="Times New Roman"/>
          <w:highlight w:val="green"/>
        </w:rPr>
      </w:pPr>
      <w:r w:rsidRPr="000B4E2C">
        <w:rPr>
          <w:rFonts w:cs="Times New Roman"/>
          <w:highlight w:val="green"/>
        </w:rPr>
        <w:t>S8</w:t>
      </w:r>
      <w:r w:rsidRPr="000B4E2C">
        <w:rPr>
          <w:rFonts w:cs="Times New Roman"/>
          <w:highlight w:val="green"/>
        </w:rPr>
        <w:tab/>
        <w:t xml:space="preserve">TX </w:t>
      </w:r>
      <w:r w:rsidR="0072128A" w:rsidRPr="000B4E2C">
        <w:rPr>
          <w:rFonts w:cs="Times New Roman"/>
          <w:color w:val="00B0F0"/>
          <w:highlight w:val="green"/>
        </w:rPr>
        <w:t>“</w:t>
      </w:r>
      <w:r w:rsidR="0072128A" w:rsidRPr="000B4E2C">
        <w:rPr>
          <w:rFonts w:cs="Times New Roman"/>
          <w:highlight w:val="green"/>
        </w:rPr>
        <w:t>contrast induced nephropathy</w:t>
      </w:r>
      <w:r w:rsidR="0072128A" w:rsidRPr="000B4E2C">
        <w:rPr>
          <w:rFonts w:cs="Times New Roman"/>
          <w:color w:val="00B0F0"/>
          <w:highlight w:val="green"/>
        </w:rPr>
        <w:t>”</w:t>
      </w:r>
      <w:r w:rsidRPr="000B4E2C">
        <w:rPr>
          <w:rFonts w:cs="Times New Roman"/>
          <w:highlight w:val="green"/>
        </w:rPr>
        <w:t>.</w:t>
      </w:r>
      <w:r w:rsidRPr="000B4E2C">
        <w:rPr>
          <w:rFonts w:cs="Times New Roman"/>
          <w:highlight w:val="green"/>
        </w:rPr>
        <w:tab/>
        <w:t>677</w:t>
      </w:r>
    </w:p>
    <w:p w14:paraId="53C6FCF0" w14:textId="77777777" w:rsidR="002F0133" w:rsidRPr="000B4E2C" w:rsidRDefault="002F0133" w:rsidP="008A7464">
      <w:pPr>
        <w:pStyle w:val="NoSpacing"/>
        <w:rPr>
          <w:rFonts w:cs="Times New Roman"/>
          <w:highlight w:val="green"/>
        </w:rPr>
      </w:pPr>
      <w:r w:rsidRPr="000B4E2C">
        <w:rPr>
          <w:rFonts w:cs="Times New Roman"/>
          <w:highlight w:val="green"/>
        </w:rPr>
        <w:t>S9</w:t>
      </w:r>
      <w:r w:rsidRPr="000B4E2C">
        <w:rPr>
          <w:rFonts w:cs="Times New Roman"/>
          <w:highlight w:val="green"/>
        </w:rPr>
        <w:tab/>
        <w:t>S1 OR S2 OR S3 OR S4 OR S5 OR S6 OR S7 OR S8</w:t>
      </w:r>
      <w:r w:rsidRPr="000B4E2C">
        <w:rPr>
          <w:rFonts w:cs="Times New Roman"/>
          <w:highlight w:val="green"/>
        </w:rPr>
        <w:tab/>
        <w:t>13,805</w:t>
      </w:r>
    </w:p>
    <w:p w14:paraId="13E26186" w14:textId="15462DE5" w:rsidR="002F0133" w:rsidRPr="000B4E2C" w:rsidRDefault="002F0133" w:rsidP="008A7464">
      <w:pPr>
        <w:pStyle w:val="NoSpacing"/>
        <w:rPr>
          <w:rFonts w:cs="Times New Roman"/>
          <w:highlight w:val="green"/>
        </w:rPr>
      </w:pPr>
      <w:r w:rsidRPr="000B4E2C">
        <w:rPr>
          <w:rFonts w:cs="Times New Roman"/>
          <w:highlight w:val="green"/>
        </w:rPr>
        <w:t>S10</w:t>
      </w:r>
      <w:r w:rsidRPr="000B4E2C">
        <w:rPr>
          <w:rFonts w:cs="Times New Roman"/>
          <w:highlight w:val="green"/>
        </w:rPr>
        <w:tab/>
        <w:t xml:space="preserve">(MM </w:t>
      </w:r>
      <w:r w:rsidR="0072128A" w:rsidRPr="000B4E2C">
        <w:rPr>
          <w:rFonts w:cs="Times New Roman"/>
          <w:color w:val="00B0F0"/>
          <w:highlight w:val="green"/>
        </w:rPr>
        <w:t>“</w:t>
      </w:r>
      <w:r w:rsidR="0072128A" w:rsidRPr="000B4E2C">
        <w:rPr>
          <w:rFonts w:cs="Times New Roman"/>
          <w:highlight w:val="green"/>
        </w:rPr>
        <w:t>Reperfusion Injury</w:t>
      </w:r>
      <w:r w:rsidR="0072128A" w:rsidRPr="000B4E2C">
        <w:rPr>
          <w:rFonts w:cs="Times New Roman"/>
          <w:color w:val="00B0F0"/>
          <w:highlight w:val="green"/>
        </w:rPr>
        <w:t>”</w:t>
      </w:r>
      <w:r w:rsidRPr="000B4E2C">
        <w:rPr>
          <w:rFonts w:cs="Times New Roman"/>
          <w:highlight w:val="green"/>
        </w:rPr>
        <w:t>)</w:t>
      </w:r>
      <w:r w:rsidRPr="000B4E2C">
        <w:rPr>
          <w:rFonts w:cs="Times New Roman"/>
          <w:highlight w:val="green"/>
        </w:rPr>
        <w:tab/>
        <w:t>1,816</w:t>
      </w:r>
    </w:p>
    <w:p w14:paraId="6EC41F74" w14:textId="04DDF68A" w:rsidR="002F0133" w:rsidRPr="000B4E2C" w:rsidRDefault="002F0133" w:rsidP="008A7464">
      <w:pPr>
        <w:pStyle w:val="NoSpacing"/>
        <w:rPr>
          <w:rFonts w:cs="Times New Roman"/>
          <w:highlight w:val="green"/>
        </w:rPr>
      </w:pPr>
      <w:r w:rsidRPr="000B4E2C">
        <w:rPr>
          <w:rFonts w:cs="Times New Roman"/>
          <w:highlight w:val="green"/>
        </w:rPr>
        <w:t>S11</w:t>
      </w:r>
      <w:r w:rsidRPr="000B4E2C">
        <w:rPr>
          <w:rFonts w:cs="Times New Roman"/>
          <w:highlight w:val="green"/>
        </w:rPr>
        <w:tab/>
        <w:t xml:space="preserve">(MH </w:t>
      </w:r>
      <w:r w:rsidR="0072128A" w:rsidRPr="000B4E2C">
        <w:rPr>
          <w:rFonts w:cs="Times New Roman"/>
          <w:color w:val="00B0F0"/>
          <w:highlight w:val="green"/>
        </w:rPr>
        <w:t>“</w:t>
      </w:r>
      <w:r w:rsidR="0072128A" w:rsidRPr="000B4E2C">
        <w:rPr>
          <w:rFonts w:cs="Times New Roman"/>
          <w:highlight w:val="green"/>
        </w:rPr>
        <w:t>Reperfusion</w:t>
      </w:r>
      <w:r w:rsidR="0072128A" w:rsidRPr="000B4E2C">
        <w:rPr>
          <w:rFonts w:cs="Times New Roman"/>
          <w:color w:val="00B0F0"/>
          <w:highlight w:val="green"/>
        </w:rPr>
        <w:t>”</w:t>
      </w:r>
      <w:r w:rsidRPr="000B4E2C">
        <w:rPr>
          <w:rFonts w:cs="Times New Roman"/>
          <w:highlight w:val="green"/>
        </w:rPr>
        <w:t>)</w:t>
      </w:r>
      <w:r w:rsidRPr="000B4E2C">
        <w:rPr>
          <w:rFonts w:cs="Times New Roman"/>
          <w:highlight w:val="green"/>
        </w:rPr>
        <w:tab/>
        <w:t>947</w:t>
      </w:r>
    </w:p>
    <w:p w14:paraId="74F793CF" w14:textId="675CF9D2" w:rsidR="002F0133" w:rsidRPr="000B4E2C" w:rsidRDefault="002F0133" w:rsidP="008A7464">
      <w:pPr>
        <w:pStyle w:val="NoSpacing"/>
        <w:rPr>
          <w:rFonts w:cs="Times New Roman"/>
          <w:highlight w:val="green"/>
        </w:rPr>
      </w:pPr>
      <w:r w:rsidRPr="000B4E2C">
        <w:rPr>
          <w:rFonts w:cs="Times New Roman"/>
          <w:highlight w:val="green"/>
        </w:rPr>
        <w:t>S12</w:t>
      </w:r>
      <w:r w:rsidRPr="000B4E2C">
        <w:rPr>
          <w:rFonts w:cs="Times New Roman"/>
          <w:highlight w:val="green"/>
        </w:rPr>
        <w:tab/>
        <w:t xml:space="preserve">TX </w:t>
      </w:r>
      <w:r w:rsidR="0072128A" w:rsidRPr="000B4E2C">
        <w:rPr>
          <w:rFonts w:cs="Times New Roman"/>
          <w:color w:val="00B0F0"/>
          <w:highlight w:val="green"/>
        </w:rPr>
        <w:t>“</w:t>
      </w:r>
      <w:r w:rsidR="0072128A" w:rsidRPr="000B4E2C">
        <w:rPr>
          <w:rFonts w:cs="Times New Roman"/>
          <w:highlight w:val="green"/>
        </w:rPr>
        <w:t>delayed graft function*</w:t>
      </w:r>
      <w:r w:rsidR="0072128A" w:rsidRPr="000B4E2C">
        <w:rPr>
          <w:rFonts w:cs="Times New Roman"/>
          <w:color w:val="00B0F0"/>
          <w:highlight w:val="green"/>
        </w:rPr>
        <w:t>”</w:t>
      </w:r>
      <w:r w:rsidRPr="000B4E2C">
        <w:rPr>
          <w:rFonts w:cs="Times New Roman"/>
          <w:highlight w:val="green"/>
        </w:rPr>
        <w:t>.</w:t>
      </w:r>
      <w:r w:rsidRPr="000B4E2C">
        <w:rPr>
          <w:rFonts w:cs="Times New Roman"/>
          <w:highlight w:val="green"/>
        </w:rPr>
        <w:tab/>
        <w:t>213</w:t>
      </w:r>
    </w:p>
    <w:p w14:paraId="58EE50FA" w14:textId="77777777" w:rsidR="002F0133" w:rsidRPr="000B4E2C" w:rsidRDefault="002F0133" w:rsidP="008A7464">
      <w:pPr>
        <w:pStyle w:val="NoSpacing"/>
        <w:rPr>
          <w:rFonts w:cs="Times New Roman"/>
          <w:highlight w:val="green"/>
        </w:rPr>
      </w:pPr>
      <w:r w:rsidRPr="000B4E2C">
        <w:rPr>
          <w:rFonts w:cs="Times New Roman"/>
          <w:highlight w:val="green"/>
        </w:rPr>
        <w:t>S13</w:t>
      </w:r>
      <w:r w:rsidRPr="000B4E2C">
        <w:rPr>
          <w:rFonts w:cs="Times New Roman"/>
          <w:highlight w:val="green"/>
        </w:rPr>
        <w:tab/>
        <w:t>TX reperfusion N5 (injur* or isch?emi*)</w:t>
      </w:r>
      <w:r w:rsidRPr="000B4E2C">
        <w:rPr>
          <w:rFonts w:cs="Times New Roman"/>
          <w:highlight w:val="green"/>
        </w:rPr>
        <w:tab/>
        <w:t>4,919</w:t>
      </w:r>
    </w:p>
    <w:p w14:paraId="49A56C7F" w14:textId="77777777" w:rsidR="002F0133" w:rsidRPr="000B4E2C" w:rsidRDefault="002F0133" w:rsidP="008A7464">
      <w:pPr>
        <w:pStyle w:val="NoSpacing"/>
        <w:rPr>
          <w:rFonts w:cs="Times New Roman"/>
          <w:highlight w:val="green"/>
        </w:rPr>
      </w:pPr>
      <w:r w:rsidRPr="000B4E2C">
        <w:rPr>
          <w:rFonts w:cs="Times New Roman"/>
          <w:highlight w:val="green"/>
        </w:rPr>
        <w:t>S14</w:t>
      </w:r>
      <w:r w:rsidRPr="000B4E2C">
        <w:rPr>
          <w:rFonts w:cs="Times New Roman"/>
          <w:highlight w:val="green"/>
        </w:rPr>
        <w:tab/>
        <w:t>S10 OR S11 OR S12 OR S13</w:t>
      </w:r>
      <w:r w:rsidRPr="000B4E2C">
        <w:rPr>
          <w:rFonts w:cs="Times New Roman"/>
          <w:highlight w:val="green"/>
        </w:rPr>
        <w:tab/>
        <w:t>5,890</w:t>
      </w:r>
    </w:p>
    <w:p w14:paraId="6A4030A1" w14:textId="42E7F317" w:rsidR="002F0133" w:rsidRPr="000B4E2C" w:rsidRDefault="002F0133" w:rsidP="008A7464">
      <w:pPr>
        <w:pStyle w:val="NoSpacing"/>
        <w:rPr>
          <w:rFonts w:cs="Times New Roman"/>
          <w:highlight w:val="green"/>
        </w:rPr>
      </w:pPr>
      <w:r w:rsidRPr="000B4E2C">
        <w:rPr>
          <w:rFonts w:cs="Times New Roman"/>
          <w:highlight w:val="green"/>
        </w:rPr>
        <w:t>S15</w:t>
      </w:r>
      <w:r w:rsidRPr="000B4E2C">
        <w:rPr>
          <w:rFonts w:cs="Times New Roman"/>
          <w:highlight w:val="green"/>
        </w:rPr>
        <w:tab/>
        <w:t xml:space="preserve">TX renal or kidney* or nephr* or </w:t>
      </w:r>
      <w:r w:rsidR="0072128A" w:rsidRPr="000B4E2C">
        <w:rPr>
          <w:rFonts w:cs="Times New Roman"/>
          <w:color w:val="00B0F0"/>
          <w:highlight w:val="green"/>
        </w:rPr>
        <w:t>“</w:t>
      </w:r>
      <w:r w:rsidR="0072128A" w:rsidRPr="000B4E2C">
        <w:rPr>
          <w:rFonts w:cs="Times New Roman"/>
          <w:highlight w:val="green"/>
        </w:rPr>
        <w:t>tubular necrosis</w:t>
      </w:r>
      <w:r w:rsidR="0072128A" w:rsidRPr="000B4E2C">
        <w:rPr>
          <w:rFonts w:cs="Times New Roman"/>
          <w:color w:val="00B0F0"/>
          <w:highlight w:val="green"/>
        </w:rPr>
        <w:t>”</w:t>
      </w:r>
      <w:r w:rsidRPr="000B4E2C">
        <w:rPr>
          <w:rFonts w:cs="Times New Roman"/>
          <w:highlight w:val="green"/>
        </w:rPr>
        <w:t xml:space="preserve"> or aki</w:t>
      </w:r>
      <w:r w:rsidRPr="000B4E2C">
        <w:rPr>
          <w:rFonts w:cs="Times New Roman"/>
          <w:highlight w:val="green"/>
        </w:rPr>
        <w:tab/>
        <w:t>157,197</w:t>
      </w:r>
    </w:p>
    <w:p w14:paraId="3B96914A" w14:textId="77777777" w:rsidR="002F0133" w:rsidRPr="000B4E2C" w:rsidRDefault="002F0133" w:rsidP="008A7464">
      <w:pPr>
        <w:pStyle w:val="NoSpacing"/>
        <w:rPr>
          <w:rFonts w:cs="Times New Roman"/>
          <w:highlight w:val="green"/>
        </w:rPr>
      </w:pPr>
      <w:r w:rsidRPr="000B4E2C">
        <w:rPr>
          <w:rFonts w:cs="Times New Roman"/>
          <w:highlight w:val="green"/>
        </w:rPr>
        <w:t>S16</w:t>
      </w:r>
      <w:r w:rsidRPr="000B4E2C">
        <w:rPr>
          <w:rFonts w:cs="Times New Roman"/>
          <w:highlight w:val="green"/>
        </w:rPr>
        <w:tab/>
        <w:t>S1 OR S2 OR S3 OR S15</w:t>
      </w:r>
      <w:r w:rsidRPr="000B4E2C">
        <w:rPr>
          <w:rFonts w:cs="Times New Roman"/>
          <w:highlight w:val="green"/>
        </w:rPr>
        <w:tab/>
        <w:t>157,197</w:t>
      </w:r>
    </w:p>
    <w:p w14:paraId="1A50A6F1" w14:textId="77777777" w:rsidR="002F0133" w:rsidRPr="000B4E2C" w:rsidRDefault="002F0133" w:rsidP="008A7464">
      <w:pPr>
        <w:pStyle w:val="NoSpacing"/>
        <w:rPr>
          <w:rFonts w:cs="Times New Roman"/>
          <w:highlight w:val="green"/>
        </w:rPr>
      </w:pPr>
      <w:r w:rsidRPr="000B4E2C">
        <w:rPr>
          <w:rFonts w:cs="Times New Roman"/>
          <w:highlight w:val="green"/>
        </w:rPr>
        <w:t>S17</w:t>
      </w:r>
      <w:r w:rsidRPr="000B4E2C">
        <w:rPr>
          <w:rFonts w:cs="Times New Roman"/>
          <w:highlight w:val="green"/>
        </w:rPr>
        <w:tab/>
        <w:t>S14 AND S16</w:t>
      </w:r>
      <w:r w:rsidRPr="000B4E2C">
        <w:rPr>
          <w:rFonts w:cs="Times New Roman"/>
          <w:highlight w:val="green"/>
        </w:rPr>
        <w:tab/>
        <w:t>1,057</w:t>
      </w:r>
    </w:p>
    <w:p w14:paraId="232123F9" w14:textId="77777777" w:rsidR="002F0133" w:rsidRPr="000B4E2C" w:rsidRDefault="002F0133" w:rsidP="008A7464">
      <w:pPr>
        <w:pStyle w:val="NoSpacing"/>
        <w:rPr>
          <w:rFonts w:cs="Times New Roman"/>
          <w:highlight w:val="green"/>
        </w:rPr>
      </w:pPr>
      <w:r w:rsidRPr="000B4E2C">
        <w:rPr>
          <w:rFonts w:cs="Times New Roman"/>
          <w:highlight w:val="green"/>
        </w:rPr>
        <w:t>S18</w:t>
      </w:r>
      <w:r w:rsidRPr="000B4E2C">
        <w:rPr>
          <w:rFonts w:cs="Times New Roman"/>
          <w:highlight w:val="green"/>
        </w:rPr>
        <w:tab/>
        <w:t>S9 OR S17</w:t>
      </w:r>
      <w:r w:rsidRPr="000B4E2C">
        <w:rPr>
          <w:rFonts w:cs="Times New Roman"/>
          <w:highlight w:val="green"/>
        </w:rPr>
        <w:tab/>
        <w:t>14,436</w:t>
      </w:r>
    </w:p>
    <w:p w14:paraId="496DD8AE" w14:textId="77777777" w:rsidR="002F0133" w:rsidRPr="000B4E2C" w:rsidRDefault="002F0133" w:rsidP="008A7464">
      <w:pPr>
        <w:pStyle w:val="NoSpacing"/>
        <w:rPr>
          <w:rFonts w:cs="Times New Roman"/>
          <w:highlight w:val="green"/>
        </w:rPr>
      </w:pPr>
      <w:r w:rsidRPr="000B4E2C">
        <w:rPr>
          <w:rFonts w:cs="Times New Roman"/>
          <w:highlight w:val="green"/>
        </w:rPr>
        <w:t>S19</w:t>
      </w:r>
      <w:r w:rsidRPr="000B4E2C">
        <w:rPr>
          <w:rFonts w:cs="Times New Roman"/>
          <w:highlight w:val="green"/>
        </w:rPr>
        <w:tab/>
        <w:t>TX (NGAL or uNGAL or sNGAL).</w:t>
      </w:r>
      <w:r w:rsidRPr="000B4E2C">
        <w:rPr>
          <w:rFonts w:cs="Times New Roman"/>
          <w:highlight w:val="green"/>
        </w:rPr>
        <w:tab/>
        <w:t>558</w:t>
      </w:r>
    </w:p>
    <w:p w14:paraId="161E6128" w14:textId="571F5FFA" w:rsidR="002F0133" w:rsidRPr="000B4E2C" w:rsidRDefault="002F0133" w:rsidP="008A7464">
      <w:pPr>
        <w:pStyle w:val="NoSpacing"/>
        <w:rPr>
          <w:rFonts w:cs="Times New Roman"/>
          <w:highlight w:val="green"/>
        </w:rPr>
      </w:pPr>
      <w:r w:rsidRPr="000B4E2C">
        <w:rPr>
          <w:rFonts w:cs="Times New Roman"/>
          <w:highlight w:val="green"/>
        </w:rPr>
        <w:t>S20</w:t>
      </w:r>
      <w:r w:rsidRPr="000B4E2C">
        <w:rPr>
          <w:rFonts w:cs="Times New Roman"/>
          <w:highlight w:val="green"/>
        </w:rPr>
        <w:tab/>
        <w:t xml:space="preserve">TX </w:t>
      </w:r>
      <w:r w:rsidR="0072128A" w:rsidRPr="000B4E2C">
        <w:rPr>
          <w:rFonts w:cs="Times New Roman"/>
          <w:color w:val="00B0F0"/>
          <w:highlight w:val="green"/>
        </w:rPr>
        <w:t>“</w:t>
      </w:r>
      <w:r w:rsidR="0072128A" w:rsidRPr="000B4E2C">
        <w:rPr>
          <w:rFonts w:cs="Times New Roman"/>
          <w:highlight w:val="green"/>
        </w:rPr>
        <w:t>Neutrophil gelatinase-associated lipocalin</w:t>
      </w:r>
      <w:r w:rsidR="0072128A" w:rsidRPr="000B4E2C">
        <w:rPr>
          <w:rFonts w:cs="Times New Roman"/>
          <w:color w:val="00B0F0"/>
          <w:highlight w:val="green"/>
        </w:rPr>
        <w:t>”</w:t>
      </w:r>
      <w:r w:rsidRPr="000B4E2C">
        <w:rPr>
          <w:rFonts w:cs="Times New Roman"/>
          <w:highlight w:val="green"/>
        </w:rPr>
        <w:t xml:space="preserve"> or </w:t>
      </w:r>
      <w:r w:rsidR="0072128A" w:rsidRPr="000B4E2C">
        <w:rPr>
          <w:rFonts w:cs="Times New Roman"/>
          <w:color w:val="00B0F0"/>
          <w:highlight w:val="green"/>
        </w:rPr>
        <w:t>“</w:t>
      </w:r>
      <w:r w:rsidR="0072128A" w:rsidRPr="000B4E2C">
        <w:rPr>
          <w:rFonts w:cs="Times New Roman"/>
          <w:highlight w:val="green"/>
        </w:rPr>
        <w:t>neutrophil gelatinase lipocalin</w:t>
      </w:r>
      <w:r w:rsidR="0072128A" w:rsidRPr="000B4E2C">
        <w:rPr>
          <w:rFonts w:cs="Times New Roman"/>
          <w:color w:val="00B0F0"/>
          <w:highlight w:val="green"/>
        </w:rPr>
        <w:t>”</w:t>
      </w:r>
      <w:r w:rsidRPr="000B4E2C">
        <w:rPr>
          <w:rFonts w:cs="Times New Roman"/>
          <w:highlight w:val="green"/>
        </w:rPr>
        <w:t xml:space="preserve"> or </w:t>
      </w:r>
      <w:r w:rsidR="0072128A" w:rsidRPr="000B4E2C">
        <w:rPr>
          <w:rFonts w:cs="Times New Roman"/>
          <w:color w:val="00B0F0"/>
          <w:highlight w:val="green"/>
        </w:rPr>
        <w:t>“</w:t>
      </w:r>
      <w:r w:rsidR="0072128A" w:rsidRPr="000B4E2C">
        <w:rPr>
          <w:rFonts w:cs="Times New Roman"/>
          <w:highlight w:val="green"/>
        </w:rPr>
        <w:t>lipocalin 2</w:t>
      </w:r>
      <w:r w:rsidR="0072128A" w:rsidRPr="000B4E2C">
        <w:rPr>
          <w:rFonts w:cs="Times New Roman"/>
          <w:color w:val="00B0F0"/>
          <w:highlight w:val="green"/>
        </w:rPr>
        <w:t>”</w:t>
      </w:r>
      <w:r w:rsidRPr="000B4E2C">
        <w:rPr>
          <w:rFonts w:cs="Times New Roman"/>
          <w:highlight w:val="green"/>
        </w:rPr>
        <w:t xml:space="preserve"> or lcn2 or Oncogene 24p3 or siderocalin</w:t>
      </w:r>
      <w:r w:rsidRPr="000B4E2C">
        <w:rPr>
          <w:rFonts w:cs="Times New Roman"/>
          <w:highlight w:val="green"/>
        </w:rPr>
        <w:tab/>
        <w:t>762</w:t>
      </w:r>
    </w:p>
    <w:p w14:paraId="2681FC1F" w14:textId="59AD213E" w:rsidR="002F0133" w:rsidRPr="000B4E2C" w:rsidRDefault="002F0133" w:rsidP="008A7464">
      <w:pPr>
        <w:pStyle w:val="NoSpacing"/>
        <w:rPr>
          <w:rFonts w:cs="Times New Roman"/>
          <w:highlight w:val="green"/>
        </w:rPr>
      </w:pPr>
      <w:r w:rsidRPr="000B4E2C">
        <w:rPr>
          <w:rFonts w:cs="Times New Roman"/>
          <w:highlight w:val="green"/>
        </w:rPr>
        <w:t>S21</w:t>
      </w:r>
      <w:r w:rsidRPr="000B4E2C">
        <w:rPr>
          <w:rFonts w:cs="Times New Roman"/>
          <w:highlight w:val="green"/>
        </w:rPr>
        <w:tab/>
        <w:t xml:space="preserve">TX </w:t>
      </w:r>
      <w:r w:rsidR="0072128A" w:rsidRPr="000B4E2C">
        <w:rPr>
          <w:rFonts w:cs="Times New Roman"/>
          <w:color w:val="00B0F0"/>
          <w:highlight w:val="green"/>
        </w:rPr>
        <w:t>“</w:t>
      </w:r>
      <w:r w:rsidR="0072128A" w:rsidRPr="000B4E2C">
        <w:rPr>
          <w:rFonts w:cs="Times New Roman"/>
          <w:highlight w:val="green"/>
        </w:rPr>
        <w:t>Metalloproteinase inhibitor 2</w:t>
      </w:r>
      <w:r w:rsidR="0072128A" w:rsidRPr="000B4E2C">
        <w:rPr>
          <w:rFonts w:cs="Times New Roman"/>
          <w:color w:val="00B0F0"/>
          <w:highlight w:val="green"/>
        </w:rPr>
        <w:t>”</w:t>
      </w:r>
      <w:r w:rsidRPr="000B4E2C">
        <w:rPr>
          <w:rFonts w:cs="Times New Roman"/>
          <w:highlight w:val="green"/>
        </w:rPr>
        <w:t xml:space="preserve"> OR TX </w:t>
      </w:r>
      <w:r w:rsidR="0072128A" w:rsidRPr="000B4E2C">
        <w:rPr>
          <w:rFonts w:cs="Times New Roman"/>
          <w:color w:val="00B0F0"/>
          <w:highlight w:val="green"/>
        </w:rPr>
        <w:t>“</w:t>
      </w:r>
      <w:r w:rsidR="0072128A" w:rsidRPr="000B4E2C">
        <w:rPr>
          <w:rFonts w:cs="Times New Roman"/>
          <w:highlight w:val="green"/>
        </w:rPr>
        <w:t>tissue inhibitor of metalloproteinase-2</w:t>
      </w:r>
      <w:r w:rsidR="0072128A" w:rsidRPr="000B4E2C">
        <w:rPr>
          <w:rFonts w:cs="Times New Roman"/>
          <w:color w:val="00B0F0"/>
          <w:highlight w:val="green"/>
        </w:rPr>
        <w:t>”</w:t>
      </w:r>
      <w:r w:rsidRPr="000B4E2C">
        <w:rPr>
          <w:rFonts w:cs="Times New Roman"/>
          <w:highlight w:val="green"/>
        </w:rPr>
        <w:t xml:space="preserve"> OR TX </w:t>
      </w:r>
      <w:r w:rsidR="0072128A" w:rsidRPr="000B4E2C">
        <w:rPr>
          <w:rFonts w:cs="Times New Roman"/>
          <w:color w:val="00B0F0"/>
          <w:highlight w:val="green"/>
        </w:rPr>
        <w:t>“</w:t>
      </w:r>
      <w:r w:rsidR="0072128A" w:rsidRPr="000B4E2C">
        <w:rPr>
          <w:rFonts w:cs="Times New Roman"/>
          <w:highlight w:val="green"/>
        </w:rPr>
        <w:t>TIMP metallopeptidase inhibitor 2</w:t>
      </w:r>
      <w:r w:rsidR="0072128A" w:rsidRPr="000B4E2C">
        <w:rPr>
          <w:rFonts w:cs="Times New Roman"/>
          <w:color w:val="00B0F0"/>
          <w:highlight w:val="green"/>
        </w:rPr>
        <w:t>”</w:t>
      </w:r>
      <w:r w:rsidRPr="000B4E2C">
        <w:rPr>
          <w:rFonts w:cs="Times New Roman"/>
          <w:highlight w:val="green"/>
        </w:rPr>
        <w:t xml:space="preserve"> OR TX (</w:t>
      </w:r>
      <w:r w:rsidR="0072128A" w:rsidRPr="000B4E2C">
        <w:rPr>
          <w:rFonts w:cs="Times New Roman"/>
          <w:color w:val="00B0F0"/>
          <w:highlight w:val="green"/>
        </w:rPr>
        <w:t>“</w:t>
      </w:r>
      <w:r w:rsidR="0072128A" w:rsidRPr="000B4E2C">
        <w:rPr>
          <w:rFonts w:cs="Times New Roman"/>
          <w:highlight w:val="green"/>
        </w:rPr>
        <w:t>TIMP 2 or TIMP2 or DDC8 or CSC-21K</w:t>
      </w:r>
      <w:r w:rsidR="0072128A" w:rsidRPr="000B4E2C">
        <w:rPr>
          <w:rFonts w:cs="Times New Roman"/>
          <w:color w:val="00B0F0"/>
          <w:highlight w:val="green"/>
        </w:rPr>
        <w:t>”</w:t>
      </w:r>
      <w:r w:rsidRPr="000B4E2C">
        <w:rPr>
          <w:rFonts w:cs="Times New Roman"/>
          <w:highlight w:val="green"/>
        </w:rPr>
        <w:t>)</w:t>
      </w:r>
    </w:p>
    <w:p w14:paraId="63B1FAC4" w14:textId="48EBBB96" w:rsidR="002F0133" w:rsidRPr="000B4E2C" w:rsidRDefault="002F0133" w:rsidP="008A7464">
      <w:pPr>
        <w:pStyle w:val="NoSpacing"/>
        <w:rPr>
          <w:rFonts w:cs="Times New Roman"/>
          <w:highlight w:val="green"/>
        </w:rPr>
      </w:pPr>
      <w:r w:rsidRPr="000B4E2C">
        <w:rPr>
          <w:rFonts w:cs="Times New Roman"/>
          <w:highlight w:val="green"/>
        </w:rPr>
        <w:t>S22</w:t>
      </w:r>
      <w:r w:rsidRPr="000B4E2C">
        <w:rPr>
          <w:rFonts w:cs="Times New Roman"/>
          <w:highlight w:val="green"/>
        </w:rPr>
        <w:tab/>
        <w:t xml:space="preserve">TX ((IGFBP7 or IBP-7 or IGFBP-rP1)) OR TX </w:t>
      </w:r>
      <w:r w:rsidR="0072128A" w:rsidRPr="000B4E2C">
        <w:rPr>
          <w:rFonts w:cs="Times New Roman"/>
          <w:color w:val="00B0F0"/>
          <w:highlight w:val="green"/>
        </w:rPr>
        <w:t>“</w:t>
      </w:r>
      <w:r w:rsidR="0072128A" w:rsidRPr="000B4E2C">
        <w:rPr>
          <w:rFonts w:cs="Times New Roman"/>
          <w:highlight w:val="green"/>
        </w:rPr>
        <w:t>IGF-binding protein 7</w:t>
      </w:r>
      <w:r w:rsidR="0072128A" w:rsidRPr="000B4E2C">
        <w:rPr>
          <w:rFonts w:cs="Times New Roman"/>
          <w:color w:val="00B0F0"/>
          <w:highlight w:val="green"/>
        </w:rPr>
        <w:t>”</w:t>
      </w:r>
      <w:r w:rsidRPr="000B4E2C">
        <w:rPr>
          <w:rFonts w:cs="Times New Roman"/>
          <w:highlight w:val="green"/>
        </w:rPr>
        <w:t xml:space="preserve"> OR TX </w:t>
      </w:r>
      <w:r w:rsidR="0072128A" w:rsidRPr="000B4E2C">
        <w:rPr>
          <w:rFonts w:cs="Times New Roman"/>
          <w:color w:val="00B0F0"/>
          <w:highlight w:val="green"/>
        </w:rPr>
        <w:t>“</w:t>
      </w:r>
      <w:r w:rsidR="0072128A" w:rsidRPr="000B4E2C">
        <w:rPr>
          <w:rFonts w:cs="Times New Roman"/>
          <w:highlight w:val="green"/>
        </w:rPr>
        <w:t>Insulin-like growth factor-binding protein 7</w:t>
      </w:r>
      <w:r w:rsidR="0072128A" w:rsidRPr="000B4E2C">
        <w:rPr>
          <w:rFonts w:cs="Times New Roman"/>
          <w:color w:val="00B0F0"/>
          <w:highlight w:val="green"/>
        </w:rPr>
        <w:t>”</w:t>
      </w:r>
      <w:r w:rsidRPr="000B4E2C">
        <w:rPr>
          <w:rFonts w:cs="Times New Roman"/>
          <w:highlight w:val="green"/>
        </w:rPr>
        <w:tab/>
        <w:t>63</w:t>
      </w:r>
    </w:p>
    <w:p w14:paraId="3DEE1250" w14:textId="2586AF31" w:rsidR="002F0133" w:rsidRPr="000B4E2C" w:rsidRDefault="002F0133" w:rsidP="008A7464">
      <w:pPr>
        <w:pStyle w:val="NoSpacing"/>
        <w:rPr>
          <w:rFonts w:cs="Times New Roman"/>
          <w:highlight w:val="green"/>
        </w:rPr>
      </w:pPr>
      <w:r w:rsidRPr="000B4E2C">
        <w:rPr>
          <w:rFonts w:cs="Times New Roman"/>
          <w:highlight w:val="green"/>
        </w:rPr>
        <w:t>S23</w:t>
      </w:r>
      <w:r w:rsidRPr="000B4E2C">
        <w:rPr>
          <w:rFonts w:cs="Times New Roman"/>
          <w:highlight w:val="green"/>
        </w:rPr>
        <w:tab/>
        <w:t xml:space="preserve">TX </w:t>
      </w:r>
      <w:r w:rsidR="0072128A" w:rsidRPr="000B4E2C">
        <w:rPr>
          <w:rFonts w:cs="Times New Roman"/>
          <w:color w:val="00B0F0"/>
          <w:highlight w:val="green"/>
        </w:rPr>
        <w:t>“</w:t>
      </w:r>
      <w:r w:rsidR="0072128A" w:rsidRPr="000B4E2C">
        <w:rPr>
          <w:rFonts w:cs="Times New Roman"/>
          <w:highlight w:val="green"/>
        </w:rPr>
        <w:t>MAC25 protein</w:t>
      </w:r>
      <w:r w:rsidR="0072128A" w:rsidRPr="000B4E2C">
        <w:rPr>
          <w:rFonts w:cs="Times New Roman"/>
          <w:color w:val="00B0F0"/>
          <w:highlight w:val="green"/>
        </w:rPr>
        <w:t>”</w:t>
      </w:r>
      <w:r w:rsidRPr="000B4E2C">
        <w:rPr>
          <w:rFonts w:cs="Times New Roman"/>
          <w:highlight w:val="green"/>
        </w:rPr>
        <w:t xml:space="preserve"> OR TX </w:t>
      </w:r>
      <w:r w:rsidR="0072128A" w:rsidRPr="000B4E2C">
        <w:rPr>
          <w:rFonts w:cs="Times New Roman"/>
          <w:color w:val="00B0F0"/>
          <w:highlight w:val="green"/>
        </w:rPr>
        <w:t>“</w:t>
      </w:r>
      <w:r w:rsidR="0072128A" w:rsidRPr="000B4E2C">
        <w:rPr>
          <w:rFonts w:cs="Times New Roman"/>
          <w:highlight w:val="green"/>
        </w:rPr>
        <w:t>PGI2-stimulating factor</w:t>
      </w:r>
      <w:r w:rsidR="0072128A" w:rsidRPr="000B4E2C">
        <w:rPr>
          <w:rFonts w:cs="Times New Roman"/>
          <w:color w:val="00B0F0"/>
          <w:highlight w:val="green"/>
        </w:rPr>
        <w:t>”</w:t>
      </w:r>
      <w:r w:rsidRPr="000B4E2C">
        <w:rPr>
          <w:rFonts w:cs="Times New Roman"/>
          <w:highlight w:val="green"/>
        </w:rPr>
        <w:t xml:space="preserve"> OR TX </w:t>
      </w:r>
      <w:r w:rsidR="0072128A" w:rsidRPr="000B4E2C">
        <w:rPr>
          <w:rFonts w:cs="Times New Roman"/>
          <w:color w:val="00B0F0"/>
          <w:highlight w:val="green"/>
        </w:rPr>
        <w:t>“</w:t>
      </w:r>
      <w:r w:rsidR="0072128A" w:rsidRPr="000B4E2C">
        <w:rPr>
          <w:rFonts w:cs="Times New Roman"/>
          <w:highlight w:val="green"/>
        </w:rPr>
        <w:t>Prostacyclin-stimulating factor</w:t>
      </w:r>
      <w:r w:rsidR="0072128A" w:rsidRPr="000B4E2C">
        <w:rPr>
          <w:rFonts w:cs="Times New Roman"/>
          <w:color w:val="00B0F0"/>
          <w:highlight w:val="green"/>
        </w:rPr>
        <w:t>”</w:t>
      </w:r>
      <w:r w:rsidRPr="000B4E2C">
        <w:rPr>
          <w:rFonts w:cs="Times New Roman"/>
          <w:highlight w:val="green"/>
        </w:rPr>
        <w:tab/>
        <w:t>0</w:t>
      </w:r>
    </w:p>
    <w:p w14:paraId="71414A1F" w14:textId="77777777" w:rsidR="002F0133" w:rsidRPr="000B4E2C" w:rsidRDefault="002F0133" w:rsidP="008A7464">
      <w:pPr>
        <w:pStyle w:val="NoSpacing"/>
        <w:rPr>
          <w:rFonts w:cs="Times New Roman"/>
          <w:highlight w:val="green"/>
        </w:rPr>
      </w:pPr>
      <w:r w:rsidRPr="000B4E2C">
        <w:rPr>
          <w:rFonts w:cs="Times New Roman"/>
          <w:highlight w:val="green"/>
        </w:rPr>
        <w:t>S24</w:t>
      </w:r>
      <w:r w:rsidRPr="000B4E2C">
        <w:rPr>
          <w:rFonts w:cs="Times New Roman"/>
          <w:highlight w:val="green"/>
        </w:rPr>
        <w:tab/>
        <w:t>S22 OR S23</w:t>
      </w:r>
      <w:r w:rsidRPr="000B4E2C">
        <w:rPr>
          <w:rFonts w:cs="Times New Roman"/>
          <w:highlight w:val="green"/>
        </w:rPr>
        <w:tab/>
        <w:t>63</w:t>
      </w:r>
    </w:p>
    <w:p w14:paraId="70C576E7" w14:textId="77777777" w:rsidR="002F0133" w:rsidRPr="000B4E2C" w:rsidRDefault="002F0133" w:rsidP="008A7464">
      <w:pPr>
        <w:pStyle w:val="NoSpacing"/>
        <w:rPr>
          <w:rFonts w:cs="Times New Roman"/>
          <w:highlight w:val="green"/>
        </w:rPr>
      </w:pPr>
      <w:r w:rsidRPr="000B4E2C">
        <w:rPr>
          <w:rFonts w:cs="Times New Roman"/>
          <w:highlight w:val="green"/>
        </w:rPr>
        <w:t>S25</w:t>
      </w:r>
      <w:r w:rsidRPr="000B4E2C">
        <w:rPr>
          <w:rFonts w:cs="Times New Roman"/>
          <w:highlight w:val="green"/>
        </w:rPr>
        <w:tab/>
        <w:t>S21 AND S24</w:t>
      </w:r>
      <w:r w:rsidRPr="000B4E2C">
        <w:rPr>
          <w:rFonts w:cs="Times New Roman"/>
          <w:highlight w:val="green"/>
        </w:rPr>
        <w:tab/>
        <w:t>12</w:t>
      </w:r>
    </w:p>
    <w:p w14:paraId="626F6EA2" w14:textId="77777777" w:rsidR="002F0133" w:rsidRPr="000B4E2C" w:rsidRDefault="002F0133" w:rsidP="008A7464">
      <w:pPr>
        <w:pStyle w:val="NoSpacing"/>
        <w:rPr>
          <w:rFonts w:cs="Times New Roman"/>
          <w:highlight w:val="green"/>
        </w:rPr>
      </w:pPr>
      <w:r w:rsidRPr="000B4E2C">
        <w:rPr>
          <w:rFonts w:cs="Times New Roman"/>
          <w:highlight w:val="green"/>
        </w:rPr>
        <w:t>S26</w:t>
      </w:r>
      <w:r w:rsidRPr="000B4E2C">
        <w:rPr>
          <w:rFonts w:cs="Times New Roman"/>
          <w:highlight w:val="green"/>
        </w:rPr>
        <w:tab/>
        <w:t>S19 OR S20 OR S25</w:t>
      </w:r>
      <w:r w:rsidRPr="000B4E2C">
        <w:rPr>
          <w:rFonts w:cs="Times New Roman"/>
          <w:highlight w:val="green"/>
        </w:rPr>
        <w:tab/>
        <w:t>853</w:t>
      </w:r>
    </w:p>
    <w:p w14:paraId="67F41A49" w14:textId="77777777" w:rsidR="002F0133" w:rsidRPr="000B4E2C" w:rsidRDefault="002F0133" w:rsidP="008A7464">
      <w:pPr>
        <w:pStyle w:val="NoSpacing"/>
        <w:rPr>
          <w:rFonts w:cs="Times New Roman"/>
          <w:highlight w:val="green"/>
        </w:rPr>
      </w:pPr>
      <w:r w:rsidRPr="000B4E2C">
        <w:rPr>
          <w:rFonts w:cs="Times New Roman"/>
          <w:highlight w:val="green"/>
        </w:rPr>
        <w:t>S27</w:t>
      </w:r>
      <w:r w:rsidRPr="000B4E2C">
        <w:rPr>
          <w:rFonts w:cs="Times New Roman"/>
          <w:highlight w:val="green"/>
        </w:rPr>
        <w:tab/>
        <w:t>S18 AND S26 473</w:t>
      </w:r>
    </w:p>
    <w:p w14:paraId="1AA14FC5" w14:textId="77777777" w:rsidR="002F0133" w:rsidRPr="000B4E2C" w:rsidRDefault="002F0133" w:rsidP="008A7464">
      <w:pPr>
        <w:pStyle w:val="NoSpacing"/>
        <w:rPr>
          <w:rFonts w:cs="Times New Roman"/>
          <w:highlight w:val="green"/>
        </w:rPr>
      </w:pPr>
    </w:p>
    <w:p w14:paraId="397DE599" w14:textId="77777777" w:rsidR="002F0133" w:rsidRPr="000B4E2C" w:rsidRDefault="002F0133" w:rsidP="008A7464">
      <w:pPr>
        <w:pStyle w:val="NoSpacing"/>
        <w:rPr>
          <w:rFonts w:cs="Times New Roman"/>
          <w:highlight w:val="green"/>
        </w:rPr>
      </w:pPr>
      <w:r w:rsidRPr="000B4E2C">
        <w:rPr>
          <w:rFonts w:cs="Times New Roman"/>
          <w:b/>
          <w:highlight w:val="green"/>
        </w:rPr>
        <w:t>Cochrane Central Register of Controlled Trials</w:t>
      </w:r>
      <w:r w:rsidRPr="000B4E2C">
        <w:rPr>
          <w:rFonts w:cs="Times New Roman"/>
          <w:highlight w:val="green"/>
        </w:rPr>
        <w:t xml:space="preserve"> (via Wiley Online Library)</w:t>
      </w:r>
    </w:p>
    <w:p w14:paraId="2DDDFECB" w14:textId="77777777" w:rsidR="002F0133" w:rsidRPr="000B4E2C" w:rsidRDefault="002F0133" w:rsidP="008A7464">
      <w:pPr>
        <w:pStyle w:val="NoSpacing"/>
        <w:rPr>
          <w:rFonts w:cs="Times New Roman"/>
          <w:highlight w:val="green"/>
        </w:rPr>
      </w:pPr>
      <w:r w:rsidRPr="000B4E2C">
        <w:rPr>
          <w:rFonts w:cs="Times New Roman"/>
          <w:highlight w:val="green"/>
        </w:rPr>
        <w:t>Date of search: 17 May 2019</w:t>
      </w:r>
    </w:p>
    <w:p w14:paraId="38846DEA" w14:textId="77777777" w:rsidR="002F0133" w:rsidRPr="000B4E2C" w:rsidRDefault="002F0133" w:rsidP="008A7464">
      <w:pPr>
        <w:pStyle w:val="NoSpacing"/>
        <w:rPr>
          <w:rFonts w:cs="Times New Roman"/>
          <w:highlight w:val="green"/>
        </w:rPr>
      </w:pPr>
    </w:p>
    <w:p w14:paraId="4B797E60" w14:textId="77777777" w:rsidR="002F0133" w:rsidRPr="000B4E2C" w:rsidRDefault="002F0133" w:rsidP="008A7464">
      <w:pPr>
        <w:pStyle w:val="NoSpacing"/>
        <w:rPr>
          <w:rFonts w:cs="Times New Roman"/>
          <w:highlight w:val="green"/>
        </w:rPr>
      </w:pPr>
      <w:r w:rsidRPr="000B4E2C">
        <w:rPr>
          <w:rFonts w:cs="Times New Roman"/>
          <w:highlight w:val="green"/>
        </w:rPr>
        <w:t>#1  MeSH descriptor: [Acute Kidney Injury] explode all trees 1214</w:t>
      </w:r>
    </w:p>
    <w:p w14:paraId="0EF216F3" w14:textId="77777777" w:rsidR="002F0133" w:rsidRPr="000B4E2C" w:rsidRDefault="002F0133" w:rsidP="008A7464">
      <w:pPr>
        <w:pStyle w:val="NoSpacing"/>
        <w:rPr>
          <w:rFonts w:cs="Times New Roman"/>
          <w:highlight w:val="green"/>
        </w:rPr>
      </w:pPr>
      <w:r w:rsidRPr="000B4E2C">
        <w:rPr>
          <w:rFonts w:cs="Times New Roman"/>
          <w:highlight w:val="green"/>
        </w:rPr>
        <w:t>#2  MeSH descriptor: [Kidney Tubular Necrosis, Acute] explode all trees  37</w:t>
      </w:r>
    </w:p>
    <w:p w14:paraId="7867153B" w14:textId="77777777" w:rsidR="002F0133" w:rsidRPr="000B4E2C" w:rsidRDefault="002F0133" w:rsidP="008A7464">
      <w:pPr>
        <w:pStyle w:val="NoSpacing"/>
        <w:rPr>
          <w:rFonts w:cs="Times New Roman"/>
          <w:highlight w:val="green"/>
        </w:rPr>
      </w:pPr>
      <w:r w:rsidRPr="000B4E2C">
        <w:rPr>
          <w:rFonts w:cs="Times New Roman"/>
          <w:highlight w:val="green"/>
        </w:rPr>
        <w:t>#3  (Acute NEAR/3 (kidney disease* or kidney injury or kidney failure or kidney dysfunction)):ti,ab,kw  23064</w:t>
      </w:r>
    </w:p>
    <w:p w14:paraId="25A6780A" w14:textId="77777777" w:rsidR="002F0133" w:rsidRPr="000B4E2C" w:rsidRDefault="002F0133" w:rsidP="008A7464">
      <w:pPr>
        <w:pStyle w:val="NoSpacing"/>
        <w:rPr>
          <w:rFonts w:cs="Times New Roman"/>
          <w:highlight w:val="green"/>
        </w:rPr>
      </w:pPr>
      <w:r w:rsidRPr="000B4E2C">
        <w:rPr>
          <w:rFonts w:cs="Times New Roman"/>
          <w:highlight w:val="green"/>
        </w:rPr>
        <w:t>#4  (Acute NEAR/3 (renal disease* or renal injury or renal failure or renal dysfunction)):ti,ab,kw  23415</w:t>
      </w:r>
    </w:p>
    <w:p w14:paraId="7E57D7FE" w14:textId="77777777" w:rsidR="002F0133" w:rsidRPr="000B4E2C" w:rsidRDefault="002F0133" w:rsidP="008A7464">
      <w:pPr>
        <w:pStyle w:val="NoSpacing"/>
        <w:rPr>
          <w:rFonts w:cs="Times New Roman"/>
          <w:highlight w:val="green"/>
        </w:rPr>
      </w:pPr>
      <w:r w:rsidRPr="000B4E2C">
        <w:rPr>
          <w:rFonts w:cs="Times New Roman"/>
          <w:highlight w:val="green"/>
        </w:rPr>
        <w:t>#5  (Acute NEAR/3 (Tubular Necrosis or nephrotoxic*)):ti,ab,kw  312</w:t>
      </w:r>
    </w:p>
    <w:p w14:paraId="0B062C9A" w14:textId="3A880CEE" w:rsidR="002F0133" w:rsidRPr="000B4E2C" w:rsidRDefault="002F0133" w:rsidP="008A7464">
      <w:pPr>
        <w:pStyle w:val="NoSpacing"/>
        <w:rPr>
          <w:rFonts w:cs="Times New Roman"/>
          <w:highlight w:val="green"/>
          <w:lang w:val="da-DK"/>
        </w:rPr>
      </w:pPr>
      <w:r w:rsidRPr="000B4E2C">
        <w:rPr>
          <w:rFonts w:cs="Times New Roman"/>
          <w:highlight w:val="green"/>
          <w:lang w:val="da-DK"/>
        </w:rPr>
        <w:t>#6  (</w:t>
      </w:r>
      <w:r w:rsidR="0072128A" w:rsidRPr="000B4E2C">
        <w:rPr>
          <w:rFonts w:cs="Times New Roman"/>
          <w:color w:val="00B0F0"/>
          <w:highlight w:val="green"/>
          <w:lang w:val="da-DK"/>
        </w:rPr>
        <w:t>“</w:t>
      </w:r>
      <w:r w:rsidR="0072128A" w:rsidRPr="000B4E2C">
        <w:rPr>
          <w:rFonts w:cs="Times New Roman"/>
          <w:highlight w:val="green"/>
          <w:lang w:val="da-DK"/>
        </w:rPr>
        <w:t>nephrotoxic injur*</w:t>
      </w:r>
      <w:r w:rsidR="0072128A" w:rsidRPr="000B4E2C">
        <w:rPr>
          <w:rFonts w:cs="Times New Roman"/>
          <w:color w:val="00B0F0"/>
          <w:highlight w:val="green"/>
          <w:lang w:val="da-DK"/>
        </w:rPr>
        <w:t>”</w:t>
      </w:r>
      <w:r w:rsidRPr="000B4E2C">
        <w:rPr>
          <w:rFonts w:cs="Times New Roman"/>
          <w:highlight w:val="green"/>
          <w:lang w:val="da-DK"/>
        </w:rPr>
        <w:t>):ti,ab,kw  0</w:t>
      </w:r>
    </w:p>
    <w:p w14:paraId="06E9D735" w14:textId="77777777" w:rsidR="002F0133" w:rsidRPr="000B4E2C" w:rsidRDefault="002F0133" w:rsidP="008A7464">
      <w:pPr>
        <w:pStyle w:val="NoSpacing"/>
        <w:rPr>
          <w:rFonts w:cs="Times New Roman"/>
          <w:highlight w:val="green"/>
          <w:lang w:val="da-DK"/>
        </w:rPr>
      </w:pPr>
      <w:r w:rsidRPr="000B4E2C">
        <w:rPr>
          <w:rFonts w:cs="Times New Roman"/>
          <w:highlight w:val="green"/>
          <w:lang w:val="da-DK"/>
        </w:rPr>
        <w:lastRenderedPageBreak/>
        <w:t>#7  (aki):ti,ab,kw  1209</w:t>
      </w:r>
    </w:p>
    <w:p w14:paraId="53F1B5C3" w14:textId="4DA6E645" w:rsidR="002F0133" w:rsidRPr="000B4E2C" w:rsidRDefault="002F0133" w:rsidP="008A7464">
      <w:pPr>
        <w:pStyle w:val="NoSpacing"/>
        <w:rPr>
          <w:rFonts w:cs="Times New Roman"/>
          <w:highlight w:val="green"/>
        </w:rPr>
      </w:pPr>
      <w:r w:rsidRPr="000B4E2C">
        <w:rPr>
          <w:rFonts w:cs="Times New Roman"/>
          <w:highlight w:val="green"/>
        </w:rPr>
        <w:t>#8  (</w:t>
      </w:r>
      <w:r w:rsidR="0072128A" w:rsidRPr="000B4E2C">
        <w:rPr>
          <w:rFonts w:cs="Times New Roman"/>
          <w:color w:val="00B0F0"/>
          <w:highlight w:val="green"/>
        </w:rPr>
        <w:t>“</w:t>
      </w:r>
      <w:r w:rsidR="0072128A" w:rsidRPr="000B4E2C">
        <w:rPr>
          <w:rFonts w:cs="Times New Roman"/>
          <w:highlight w:val="green"/>
        </w:rPr>
        <w:t>contrast induced nephropathy</w:t>
      </w:r>
      <w:r w:rsidR="0072128A" w:rsidRPr="000B4E2C">
        <w:rPr>
          <w:rFonts w:cs="Times New Roman"/>
          <w:color w:val="00B0F0"/>
          <w:highlight w:val="green"/>
        </w:rPr>
        <w:t>”</w:t>
      </w:r>
      <w:r w:rsidRPr="000B4E2C">
        <w:rPr>
          <w:rFonts w:cs="Times New Roman"/>
          <w:highlight w:val="green"/>
        </w:rPr>
        <w:t>):ti,ab,kw  822</w:t>
      </w:r>
    </w:p>
    <w:p w14:paraId="7AD6EBCD" w14:textId="77777777" w:rsidR="002F0133" w:rsidRPr="000B4E2C" w:rsidRDefault="002F0133" w:rsidP="008A7464">
      <w:pPr>
        <w:pStyle w:val="NoSpacing"/>
        <w:rPr>
          <w:rFonts w:cs="Times New Roman"/>
          <w:highlight w:val="green"/>
        </w:rPr>
      </w:pPr>
      <w:r w:rsidRPr="000B4E2C">
        <w:rPr>
          <w:rFonts w:cs="Times New Roman"/>
          <w:highlight w:val="green"/>
        </w:rPr>
        <w:t>#9  MeSH descriptor: [Acute Disease] explode all trees 9276</w:t>
      </w:r>
    </w:p>
    <w:p w14:paraId="2221223E" w14:textId="77777777" w:rsidR="002F0133" w:rsidRPr="000B4E2C" w:rsidRDefault="002F0133" w:rsidP="008A7464">
      <w:pPr>
        <w:pStyle w:val="NoSpacing"/>
        <w:rPr>
          <w:rFonts w:cs="Times New Roman"/>
          <w:highlight w:val="green"/>
        </w:rPr>
      </w:pPr>
      <w:r w:rsidRPr="000B4E2C">
        <w:rPr>
          <w:rFonts w:cs="Times New Roman"/>
          <w:highlight w:val="green"/>
        </w:rPr>
        <w:t>#10 MeSH descriptor: [Kidney Diseases] explode all trees  14389</w:t>
      </w:r>
    </w:p>
    <w:p w14:paraId="6C2B6748" w14:textId="77777777" w:rsidR="002F0133" w:rsidRPr="000B4E2C" w:rsidRDefault="002F0133" w:rsidP="008A7464">
      <w:pPr>
        <w:pStyle w:val="NoSpacing"/>
        <w:rPr>
          <w:rFonts w:cs="Times New Roman"/>
          <w:highlight w:val="green"/>
        </w:rPr>
      </w:pPr>
      <w:r w:rsidRPr="000B4E2C">
        <w:rPr>
          <w:rFonts w:cs="Times New Roman"/>
          <w:highlight w:val="green"/>
        </w:rPr>
        <w:t>#11 #9 and #10  193</w:t>
      </w:r>
    </w:p>
    <w:p w14:paraId="58262F4A" w14:textId="77777777" w:rsidR="002F0133" w:rsidRPr="000B4E2C" w:rsidRDefault="002F0133" w:rsidP="008A7464">
      <w:pPr>
        <w:pStyle w:val="NoSpacing"/>
        <w:rPr>
          <w:rFonts w:cs="Times New Roman"/>
          <w:highlight w:val="green"/>
        </w:rPr>
      </w:pPr>
      <w:r w:rsidRPr="000B4E2C">
        <w:rPr>
          <w:rFonts w:cs="Times New Roman"/>
          <w:highlight w:val="green"/>
        </w:rPr>
        <w:t>#12 #1 or #2 or #3 or #4 or #5 or #6 or #7 or #8 or #11 24407</w:t>
      </w:r>
    </w:p>
    <w:p w14:paraId="4BF106B8" w14:textId="77777777" w:rsidR="002F0133" w:rsidRPr="000B4E2C" w:rsidRDefault="002F0133" w:rsidP="008A7464">
      <w:pPr>
        <w:pStyle w:val="NoSpacing"/>
        <w:rPr>
          <w:rFonts w:cs="Times New Roman"/>
          <w:highlight w:val="green"/>
        </w:rPr>
      </w:pPr>
      <w:r w:rsidRPr="000B4E2C">
        <w:rPr>
          <w:rFonts w:cs="Times New Roman"/>
          <w:highlight w:val="green"/>
        </w:rPr>
        <w:t>#13 MeSH descriptor: [Reperfusion Injury] explode all trees 1006</w:t>
      </w:r>
    </w:p>
    <w:p w14:paraId="789B9CB4" w14:textId="77777777" w:rsidR="002F0133" w:rsidRPr="000B4E2C" w:rsidRDefault="002F0133" w:rsidP="008A7464">
      <w:pPr>
        <w:pStyle w:val="NoSpacing"/>
        <w:rPr>
          <w:rFonts w:cs="Times New Roman"/>
          <w:highlight w:val="green"/>
        </w:rPr>
      </w:pPr>
      <w:r w:rsidRPr="000B4E2C">
        <w:rPr>
          <w:rFonts w:cs="Times New Roman"/>
          <w:highlight w:val="green"/>
        </w:rPr>
        <w:t>#14 (reperfusion NEAR/5 (injur* or ischemi* or ischaemi*)):ti,ab,kw  2932</w:t>
      </w:r>
    </w:p>
    <w:p w14:paraId="04D799C2" w14:textId="77777777" w:rsidR="002F0133" w:rsidRPr="000B4E2C" w:rsidRDefault="002F0133" w:rsidP="008A7464">
      <w:pPr>
        <w:pStyle w:val="NoSpacing"/>
        <w:rPr>
          <w:rFonts w:cs="Times New Roman"/>
          <w:highlight w:val="green"/>
        </w:rPr>
      </w:pPr>
      <w:r w:rsidRPr="000B4E2C">
        <w:rPr>
          <w:rFonts w:cs="Times New Roman"/>
          <w:highlight w:val="green"/>
        </w:rPr>
        <w:t>#15 MeSH descriptor: [Delayed Graft Function] explode all trees  89</w:t>
      </w:r>
    </w:p>
    <w:p w14:paraId="5E325E66" w14:textId="7707F0C4" w:rsidR="002F0133" w:rsidRPr="000B4E2C" w:rsidRDefault="002F0133" w:rsidP="008A7464">
      <w:pPr>
        <w:pStyle w:val="NoSpacing"/>
        <w:rPr>
          <w:rFonts w:cs="Times New Roman"/>
          <w:highlight w:val="green"/>
        </w:rPr>
      </w:pPr>
      <w:r w:rsidRPr="000B4E2C">
        <w:rPr>
          <w:rFonts w:cs="Times New Roman"/>
          <w:highlight w:val="green"/>
        </w:rPr>
        <w:t>#16 (</w:t>
      </w:r>
      <w:r w:rsidR="0072128A" w:rsidRPr="000B4E2C">
        <w:rPr>
          <w:rFonts w:cs="Times New Roman"/>
          <w:color w:val="00B0F0"/>
          <w:highlight w:val="green"/>
        </w:rPr>
        <w:t>“</w:t>
      </w:r>
      <w:r w:rsidR="0072128A" w:rsidRPr="000B4E2C">
        <w:rPr>
          <w:rFonts w:cs="Times New Roman"/>
          <w:highlight w:val="green"/>
        </w:rPr>
        <w:t>delayed graft function*</w:t>
      </w:r>
      <w:r w:rsidR="0072128A" w:rsidRPr="000B4E2C">
        <w:rPr>
          <w:rFonts w:cs="Times New Roman"/>
          <w:color w:val="00B0F0"/>
          <w:highlight w:val="green"/>
        </w:rPr>
        <w:t>”</w:t>
      </w:r>
      <w:r w:rsidRPr="000B4E2C">
        <w:rPr>
          <w:rFonts w:cs="Times New Roman"/>
          <w:highlight w:val="green"/>
        </w:rPr>
        <w:t>):ti,ab,kw  597</w:t>
      </w:r>
    </w:p>
    <w:p w14:paraId="4D5C4E5D" w14:textId="77777777" w:rsidR="002F0133" w:rsidRPr="000B4E2C" w:rsidRDefault="002F0133" w:rsidP="008A7464">
      <w:pPr>
        <w:pStyle w:val="NoSpacing"/>
        <w:rPr>
          <w:rFonts w:cs="Times New Roman"/>
          <w:highlight w:val="green"/>
        </w:rPr>
      </w:pPr>
      <w:r w:rsidRPr="000B4E2C">
        <w:rPr>
          <w:rFonts w:cs="Times New Roman"/>
          <w:highlight w:val="green"/>
        </w:rPr>
        <w:t>#17 #13 or #14 or #15 or #16 3470</w:t>
      </w:r>
    </w:p>
    <w:p w14:paraId="6937216C" w14:textId="663C3A1B" w:rsidR="002F0133" w:rsidRPr="000B4E2C" w:rsidRDefault="002F0133" w:rsidP="008A7464">
      <w:pPr>
        <w:pStyle w:val="NoSpacing"/>
        <w:rPr>
          <w:rFonts w:cs="Times New Roman"/>
          <w:highlight w:val="green"/>
        </w:rPr>
      </w:pPr>
      <w:r w:rsidRPr="000B4E2C">
        <w:rPr>
          <w:rFonts w:cs="Times New Roman"/>
          <w:highlight w:val="green"/>
        </w:rPr>
        <w:t xml:space="preserve">#18 (renal or kidney* or nephr* or </w:t>
      </w:r>
      <w:r w:rsidR="0072128A" w:rsidRPr="000B4E2C">
        <w:rPr>
          <w:rFonts w:cs="Times New Roman"/>
          <w:color w:val="00B0F0"/>
          <w:highlight w:val="green"/>
        </w:rPr>
        <w:t>“</w:t>
      </w:r>
      <w:r w:rsidR="0072128A" w:rsidRPr="000B4E2C">
        <w:rPr>
          <w:rFonts w:cs="Times New Roman"/>
          <w:highlight w:val="green"/>
        </w:rPr>
        <w:t>tubular necrosis</w:t>
      </w:r>
      <w:r w:rsidR="0072128A" w:rsidRPr="000B4E2C">
        <w:rPr>
          <w:rFonts w:cs="Times New Roman"/>
          <w:color w:val="00B0F0"/>
          <w:highlight w:val="green"/>
        </w:rPr>
        <w:t>”</w:t>
      </w:r>
      <w:r w:rsidRPr="000B4E2C">
        <w:rPr>
          <w:rFonts w:cs="Times New Roman"/>
          <w:highlight w:val="green"/>
        </w:rPr>
        <w:t xml:space="preserve"> or aki):ti,ab,kw  79148</w:t>
      </w:r>
    </w:p>
    <w:p w14:paraId="030A0BB2" w14:textId="77777777" w:rsidR="002F0133" w:rsidRPr="000B4E2C" w:rsidRDefault="002F0133" w:rsidP="008A7464">
      <w:pPr>
        <w:pStyle w:val="NoSpacing"/>
        <w:rPr>
          <w:rFonts w:cs="Times New Roman"/>
          <w:highlight w:val="green"/>
        </w:rPr>
      </w:pPr>
      <w:r w:rsidRPr="000B4E2C">
        <w:rPr>
          <w:rFonts w:cs="Times New Roman"/>
          <w:highlight w:val="green"/>
        </w:rPr>
        <w:t>#19 #1 or #2 or #11 or #18  79196</w:t>
      </w:r>
    </w:p>
    <w:p w14:paraId="336F6EE0" w14:textId="77777777" w:rsidR="002F0133" w:rsidRPr="000B4E2C" w:rsidRDefault="002F0133" w:rsidP="008A7464">
      <w:pPr>
        <w:pStyle w:val="NoSpacing"/>
        <w:rPr>
          <w:rFonts w:cs="Times New Roman"/>
          <w:highlight w:val="green"/>
        </w:rPr>
      </w:pPr>
      <w:r w:rsidRPr="000B4E2C">
        <w:rPr>
          <w:rFonts w:cs="Times New Roman"/>
          <w:highlight w:val="green"/>
        </w:rPr>
        <w:t>#20 #17 and #19 997</w:t>
      </w:r>
    </w:p>
    <w:p w14:paraId="54FD5E98" w14:textId="77777777" w:rsidR="002F0133" w:rsidRPr="000B4E2C" w:rsidRDefault="002F0133" w:rsidP="008A7464">
      <w:pPr>
        <w:pStyle w:val="NoSpacing"/>
        <w:rPr>
          <w:rFonts w:cs="Times New Roman"/>
          <w:highlight w:val="green"/>
        </w:rPr>
      </w:pPr>
      <w:r w:rsidRPr="000B4E2C">
        <w:rPr>
          <w:rFonts w:cs="Times New Roman"/>
          <w:highlight w:val="green"/>
        </w:rPr>
        <w:t>#21 MeSH descriptor: [Lipocalins] explode all trees  199</w:t>
      </w:r>
    </w:p>
    <w:p w14:paraId="1722C82F" w14:textId="77777777" w:rsidR="002F0133" w:rsidRPr="000B4E2C" w:rsidRDefault="002F0133" w:rsidP="008A7464">
      <w:pPr>
        <w:pStyle w:val="NoSpacing"/>
        <w:rPr>
          <w:rFonts w:cs="Times New Roman"/>
          <w:highlight w:val="green"/>
        </w:rPr>
      </w:pPr>
      <w:r w:rsidRPr="000B4E2C">
        <w:rPr>
          <w:rFonts w:cs="Times New Roman"/>
          <w:highlight w:val="green"/>
        </w:rPr>
        <w:t>#22 MeSH descriptor: [Lipocalin-2] explode all trees 93</w:t>
      </w:r>
    </w:p>
    <w:p w14:paraId="2C667A2F" w14:textId="77777777" w:rsidR="002F0133" w:rsidRPr="000B4E2C" w:rsidRDefault="002F0133" w:rsidP="008A7464">
      <w:pPr>
        <w:pStyle w:val="NoSpacing"/>
        <w:rPr>
          <w:rFonts w:cs="Times New Roman"/>
          <w:highlight w:val="green"/>
        </w:rPr>
      </w:pPr>
      <w:r w:rsidRPr="000B4E2C">
        <w:rPr>
          <w:rFonts w:cs="Times New Roman"/>
          <w:highlight w:val="green"/>
        </w:rPr>
        <w:t>#23 (NGAL or uNGAL or sNGAL):ti,ab,kw 550</w:t>
      </w:r>
    </w:p>
    <w:p w14:paraId="726A1F02" w14:textId="0A673FBB" w:rsidR="002F0133" w:rsidRPr="000B4E2C" w:rsidRDefault="002F0133" w:rsidP="008A7464">
      <w:pPr>
        <w:pStyle w:val="NoSpacing"/>
        <w:rPr>
          <w:rFonts w:cs="Times New Roman"/>
          <w:highlight w:val="green"/>
        </w:rPr>
      </w:pPr>
      <w:r w:rsidRPr="000B4E2C">
        <w:rPr>
          <w:rFonts w:cs="Times New Roman"/>
          <w:highlight w:val="green"/>
        </w:rPr>
        <w:t>#24 (</w:t>
      </w:r>
      <w:r w:rsidR="0072128A" w:rsidRPr="000B4E2C">
        <w:rPr>
          <w:rFonts w:cs="Times New Roman"/>
          <w:color w:val="00B0F0"/>
          <w:highlight w:val="green"/>
        </w:rPr>
        <w:t>“</w:t>
      </w:r>
      <w:r w:rsidR="0072128A" w:rsidRPr="000B4E2C">
        <w:rPr>
          <w:rFonts w:cs="Times New Roman"/>
          <w:highlight w:val="green"/>
        </w:rPr>
        <w:t>Neutrophil gelatinase-associated lipocalin</w:t>
      </w:r>
      <w:r w:rsidR="0072128A" w:rsidRPr="000B4E2C">
        <w:rPr>
          <w:rFonts w:cs="Times New Roman"/>
          <w:color w:val="00B0F0"/>
          <w:highlight w:val="green"/>
        </w:rPr>
        <w:t>”</w:t>
      </w:r>
      <w:r w:rsidRPr="000B4E2C">
        <w:rPr>
          <w:rFonts w:cs="Times New Roman"/>
          <w:highlight w:val="green"/>
        </w:rPr>
        <w:t xml:space="preserve"> or </w:t>
      </w:r>
      <w:r w:rsidR="0072128A" w:rsidRPr="000B4E2C">
        <w:rPr>
          <w:rFonts w:cs="Times New Roman"/>
          <w:color w:val="00B0F0"/>
          <w:highlight w:val="green"/>
        </w:rPr>
        <w:t>“</w:t>
      </w:r>
      <w:r w:rsidR="0072128A" w:rsidRPr="000B4E2C">
        <w:rPr>
          <w:rFonts w:cs="Times New Roman"/>
          <w:highlight w:val="green"/>
        </w:rPr>
        <w:t>neutrophil gelatinase lipocalin</w:t>
      </w:r>
      <w:r w:rsidR="0072128A" w:rsidRPr="000B4E2C">
        <w:rPr>
          <w:rFonts w:cs="Times New Roman"/>
          <w:color w:val="00B0F0"/>
          <w:highlight w:val="green"/>
        </w:rPr>
        <w:t>”</w:t>
      </w:r>
      <w:r w:rsidRPr="000B4E2C">
        <w:rPr>
          <w:rFonts w:cs="Times New Roman"/>
          <w:highlight w:val="green"/>
        </w:rPr>
        <w:t xml:space="preserve"> or </w:t>
      </w:r>
      <w:r w:rsidR="0072128A" w:rsidRPr="000B4E2C">
        <w:rPr>
          <w:rFonts w:cs="Times New Roman"/>
          <w:color w:val="00B0F0"/>
          <w:highlight w:val="green"/>
        </w:rPr>
        <w:t>“</w:t>
      </w:r>
      <w:r w:rsidR="0072128A" w:rsidRPr="000B4E2C">
        <w:rPr>
          <w:rFonts w:cs="Times New Roman"/>
          <w:highlight w:val="green"/>
        </w:rPr>
        <w:t>lipocalin 2</w:t>
      </w:r>
      <w:r w:rsidR="0072128A" w:rsidRPr="000B4E2C">
        <w:rPr>
          <w:rFonts w:cs="Times New Roman"/>
          <w:color w:val="00B0F0"/>
          <w:highlight w:val="green"/>
        </w:rPr>
        <w:t>”</w:t>
      </w:r>
      <w:r w:rsidRPr="000B4E2C">
        <w:rPr>
          <w:rFonts w:cs="Times New Roman"/>
          <w:highlight w:val="green"/>
        </w:rPr>
        <w:t xml:space="preserve"> or lcn2 or Oncogene 24p3 or siderocalin):ti,ab,kw  533</w:t>
      </w:r>
    </w:p>
    <w:p w14:paraId="6C3489EF" w14:textId="77777777" w:rsidR="002F0133" w:rsidRPr="000B4E2C" w:rsidRDefault="002F0133" w:rsidP="008A7464">
      <w:pPr>
        <w:pStyle w:val="NoSpacing"/>
        <w:rPr>
          <w:rFonts w:cs="Times New Roman"/>
          <w:highlight w:val="green"/>
        </w:rPr>
      </w:pPr>
      <w:r w:rsidRPr="000B4E2C">
        <w:rPr>
          <w:rFonts w:cs="Times New Roman"/>
          <w:highlight w:val="green"/>
        </w:rPr>
        <w:t>#25  #21 or #22 or #23 or #24 816</w:t>
      </w:r>
    </w:p>
    <w:p w14:paraId="369C798E" w14:textId="7F5EC508" w:rsidR="002F0133" w:rsidRPr="000B4E2C" w:rsidRDefault="002F0133" w:rsidP="008A7464">
      <w:pPr>
        <w:pStyle w:val="NoSpacing"/>
        <w:rPr>
          <w:rFonts w:cs="Times New Roman"/>
          <w:highlight w:val="green"/>
        </w:rPr>
      </w:pPr>
      <w:r w:rsidRPr="000B4E2C">
        <w:rPr>
          <w:rFonts w:cs="Times New Roman"/>
          <w:highlight w:val="green"/>
        </w:rPr>
        <w:t>#26  (</w:t>
      </w:r>
      <w:r w:rsidR="0072128A" w:rsidRPr="000B4E2C">
        <w:rPr>
          <w:rFonts w:cs="Times New Roman"/>
          <w:color w:val="00B0F0"/>
          <w:highlight w:val="green"/>
        </w:rPr>
        <w:t>“</w:t>
      </w:r>
      <w:r w:rsidR="0072128A" w:rsidRPr="000B4E2C">
        <w:rPr>
          <w:rFonts w:cs="Times New Roman"/>
          <w:highlight w:val="green"/>
        </w:rPr>
        <w:t>Metalloproteinase inhibitor 2</w:t>
      </w:r>
      <w:r w:rsidR="0072128A" w:rsidRPr="000B4E2C">
        <w:rPr>
          <w:rFonts w:cs="Times New Roman"/>
          <w:color w:val="00B0F0"/>
          <w:highlight w:val="green"/>
        </w:rPr>
        <w:t>”</w:t>
      </w:r>
      <w:r w:rsidRPr="000B4E2C">
        <w:rPr>
          <w:rFonts w:cs="Times New Roman"/>
          <w:highlight w:val="green"/>
        </w:rPr>
        <w:t>):ti,ab,kw 0</w:t>
      </w:r>
    </w:p>
    <w:p w14:paraId="2BF00D6F" w14:textId="6A7A676F" w:rsidR="002F0133" w:rsidRPr="000B4E2C" w:rsidRDefault="002F0133" w:rsidP="008A7464">
      <w:pPr>
        <w:pStyle w:val="NoSpacing"/>
        <w:rPr>
          <w:rFonts w:cs="Times New Roman"/>
          <w:highlight w:val="green"/>
        </w:rPr>
      </w:pPr>
      <w:r w:rsidRPr="000B4E2C">
        <w:rPr>
          <w:rFonts w:cs="Times New Roman"/>
          <w:highlight w:val="green"/>
        </w:rPr>
        <w:t>#27  (</w:t>
      </w:r>
      <w:r w:rsidR="0072128A" w:rsidRPr="000B4E2C">
        <w:rPr>
          <w:rFonts w:cs="Times New Roman"/>
          <w:color w:val="00B0F0"/>
          <w:highlight w:val="green"/>
        </w:rPr>
        <w:t>“</w:t>
      </w:r>
      <w:r w:rsidR="0072128A" w:rsidRPr="000B4E2C">
        <w:rPr>
          <w:rFonts w:cs="Times New Roman"/>
          <w:highlight w:val="green"/>
        </w:rPr>
        <w:t>tissue inhibitor of metalloproteinase-2</w:t>
      </w:r>
      <w:r w:rsidR="0072128A" w:rsidRPr="000B4E2C">
        <w:rPr>
          <w:rFonts w:cs="Times New Roman"/>
          <w:color w:val="00B0F0"/>
          <w:highlight w:val="green"/>
        </w:rPr>
        <w:t>”</w:t>
      </w:r>
      <w:r w:rsidRPr="000B4E2C">
        <w:rPr>
          <w:rFonts w:cs="Times New Roman"/>
          <w:highlight w:val="green"/>
        </w:rPr>
        <w:t>):ti,ab,kw  70</w:t>
      </w:r>
    </w:p>
    <w:p w14:paraId="334034CA" w14:textId="5477A0F6" w:rsidR="002F0133" w:rsidRPr="000B4E2C" w:rsidRDefault="002F0133" w:rsidP="008A7464">
      <w:pPr>
        <w:pStyle w:val="NoSpacing"/>
        <w:rPr>
          <w:rFonts w:cs="Times New Roman"/>
          <w:highlight w:val="green"/>
        </w:rPr>
      </w:pPr>
      <w:r w:rsidRPr="000B4E2C">
        <w:rPr>
          <w:rFonts w:cs="Times New Roman"/>
          <w:highlight w:val="green"/>
        </w:rPr>
        <w:t>#28  (</w:t>
      </w:r>
      <w:r w:rsidR="0072128A" w:rsidRPr="000B4E2C">
        <w:rPr>
          <w:rFonts w:cs="Times New Roman"/>
          <w:color w:val="00B0F0"/>
          <w:highlight w:val="green"/>
        </w:rPr>
        <w:t>“</w:t>
      </w:r>
      <w:r w:rsidR="0072128A" w:rsidRPr="000B4E2C">
        <w:rPr>
          <w:rFonts w:cs="Times New Roman"/>
          <w:highlight w:val="green"/>
        </w:rPr>
        <w:t>TIMP metallopeptidase inhibitor 2</w:t>
      </w:r>
      <w:r w:rsidR="0072128A" w:rsidRPr="000B4E2C">
        <w:rPr>
          <w:rFonts w:cs="Times New Roman"/>
          <w:color w:val="00B0F0"/>
          <w:highlight w:val="green"/>
        </w:rPr>
        <w:t>”</w:t>
      </w:r>
      <w:r w:rsidRPr="000B4E2C">
        <w:rPr>
          <w:rFonts w:cs="Times New Roman"/>
          <w:highlight w:val="green"/>
        </w:rPr>
        <w:t>):ti,ab,kw 0</w:t>
      </w:r>
    </w:p>
    <w:p w14:paraId="4135FE94" w14:textId="77777777" w:rsidR="002F0133" w:rsidRPr="000B4E2C" w:rsidRDefault="002F0133" w:rsidP="008A7464">
      <w:pPr>
        <w:pStyle w:val="NoSpacing"/>
        <w:rPr>
          <w:rFonts w:cs="Times New Roman"/>
          <w:highlight w:val="green"/>
        </w:rPr>
      </w:pPr>
      <w:r w:rsidRPr="000B4E2C">
        <w:rPr>
          <w:rFonts w:cs="Times New Roman"/>
          <w:highlight w:val="green"/>
        </w:rPr>
        <w:t>#29  (TIMP 2 or TIMP2 or DDC8 or CSC-21K):ti,ab,kw  303</w:t>
      </w:r>
    </w:p>
    <w:p w14:paraId="4F743B65" w14:textId="77777777" w:rsidR="002F0133" w:rsidRPr="000B4E2C" w:rsidRDefault="002F0133" w:rsidP="008A7464">
      <w:pPr>
        <w:pStyle w:val="NoSpacing"/>
        <w:rPr>
          <w:rFonts w:cs="Times New Roman"/>
          <w:highlight w:val="green"/>
        </w:rPr>
      </w:pPr>
      <w:r w:rsidRPr="000B4E2C">
        <w:rPr>
          <w:rFonts w:cs="Times New Roman"/>
          <w:highlight w:val="green"/>
        </w:rPr>
        <w:t>#30  MeSH descriptor: [Tissue Inhibitor of Metalloproteinase-2] explode all trees  42</w:t>
      </w:r>
    </w:p>
    <w:p w14:paraId="39178468" w14:textId="77777777" w:rsidR="002F0133" w:rsidRPr="000B4E2C" w:rsidRDefault="002F0133" w:rsidP="008A7464">
      <w:pPr>
        <w:pStyle w:val="NoSpacing"/>
        <w:rPr>
          <w:rFonts w:cs="Times New Roman"/>
          <w:highlight w:val="green"/>
        </w:rPr>
      </w:pPr>
      <w:r w:rsidRPr="000B4E2C">
        <w:rPr>
          <w:rFonts w:cs="Times New Roman"/>
          <w:highlight w:val="green"/>
        </w:rPr>
        <w:t>#31  #26 or #27 or #28 or #29 or #30  315</w:t>
      </w:r>
    </w:p>
    <w:p w14:paraId="563F6724" w14:textId="77777777" w:rsidR="002F0133" w:rsidRPr="000B4E2C" w:rsidRDefault="002F0133" w:rsidP="008A7464">
      <w:pPr>
        <w:pStyle w:val="NoSpacing"/>
        <w:rPr>
          <w:rFonts w:cs="Times New Roman"/>
          <w:highlight w:val="green"/>
        </w:rPr>
      </w:pPr>
      <w:r w:rsidRPr="000B4E2C">
        <w:rPr>
          <w:rFonts w:cs="Times New Roman"/>
          <w:highlight w:val="green"/>
        </w:rPr>
        <w:t>#32  (IGFBP7 or IBP-7 or IGFBP-rP1):ti,ab,kw  26</w:t>
      </w:r>
    </w:p>
    <w:p w14:paraId="5964B65B" w14:textId="3202E20E" w:rsidR="002F0133" w:rsidRPr="000B4E2C" w:rsidRDefault="002F0133" w:rsidP="008A7464">
      <w:pPr>
        <w:pStyle w:val="NoSpacing"/>
        <w:rPr>
          <w:rFonts w:cs="Times New Roman"/>
          <w:highlight w:val="green"/>
          <w:lang w:val="da-DK"/>
        </w:rPr>
      </w:pPr>
      <w:r w:rsidRPr="000B4E2C">
        <w:rPr>
          <w:rFonts w:cs="Times New Roman"/>
          <w:highlight w:val="green"/>
          <w:lang w:val="da-DK"/>
        </w:rPr>
        <w:t>#33  (</w:t>
      </w:r>
      <w:r w:rsidR="0072128A" w:rsidRPr="000B4E2C">
        <w:rPr>
          <w:rFonts w:cs="Times New Roman"/>
          <w:color w:val="00B0F0"/>
          <w:highlight w:val="green"/>
          <w:lang w:val="da-DK"/>
        </w:rPr>
        <w:t>“</w:t>
      </w:r>
      <w:r w:rsidR="0072128A" w:rsidRPr="000B4E2C">
        <w:rPr>
          <w:rFonts w:cs="Times New Roman"/>
          <w:highlight w:val="green"/>
          <w:lang w:val="da-DK"/>
        </w:rPr>
        <w:t>IGF-binding protein 7</w:t>
      </w:r>
      <w:r w:rsidR="0072128A" w:rsidRPr="000B4E2C">
        <w:rPr>
          <w:rFonts w:cs="Times New Roman"/>
          <w:color w:val="00B0F0"/>
          <w:highlight w:val="green"/>
          <w:lang w:val="da-DK"/>
        </w:rPr>
        <w:t>”</w:t>
      </w:r>
      <w:r w:rsidRPr="000B4E2C">
        <w:rPr>
          <w:rFonts w:cs="Times New Roman"/>
          <w:highlight w:val="green"/>
          <w:lang w:val="da-DK"/>
        </w:rPr>
        <w:t>):ti,ab,kw  1</w:t>
      </w:r>
    </w:p>
    <w:p w14:paraId="07B49894" w14:textId="5916ECEA" w:rsidR="002F0133" w:rsidRPr="000B4E2C" w:rsidRDefault="002F0133" w:rsidP="008A7464">
      <w:pPr>
        <w:pStyle w:val="NoSpacing"/>
        <w:rPr>
          <w:rFonts w:cs="Times New Roman"/>
          <w:highlight w:val="green"/>
        </w:rPr>
      </w:pPr>
      <w:r w:rsidRPr="000B4E2C">
        <w:rPr>
          <w:rFonts w:cs="Times New Roman"/>
          <w:highlight w:val="green"/>
        </w:rPr>
        <w:t>#34  (</w:t>
      </w:r>
      <w:r w:rsidR="0072128A" w:rsidRPr="000B4E2C">
        <w:rPr>
          <w:rFonts w:cs="Times New Roman"/>
          <w:color w:val="00B0F0"/>
          <w:highlight w:val="green"/>
        </w:rPr>
        <w:t>“</w:t>
      </w:r>
      <w:r w:rsidR="0072128A" w:rsidRPr="000B4E2C">
        <w:rPr>
          <w:rFonts w:cs="Times New Roman"/>
          <w:highlight w:val="green"/>
        </w:rPr>
        <w:t>Insulin-like growth factor-binding protein 7</w:t>
      </w:r>
      <w:r w:rsidR="0072128A" w:rsidRPr="000B4E2C">
        <w:rPr>
          <w:rFonts w:cs="Times New Roman"/>
          <w:color w:val="00B0F0"/>
          <w:highlight w:val="green"/>
        </w:rPr>
        <w:t>”</w:t>
      </w:r>
      <w:r w:rsidRPr="000B4E2C">
        <w:rPr>
          <w:rFonts w:cs="Times New Roman"/>
          <w:highlight w:val="green"/>
        </w:rPr>
        <w:t>):ti,ab,kw  22</w:t>
      </w:r>
    </w:p>
    <w:p w14:paraId="364E1F3D" w14:textId="77777777" w:rsidR="002F0133" w:rsidRPr="000B4E2C" w:rsidRDefault="002F0133" w:rsidP="008A7464">
      <w:pPr>
        <w:pStyle w:val="NoSpacing"/>
        <w:rPr>
          <w:rFonts w:cs="Times New Roman"/>
          <w:highlight w:val="green"/>
          <w:lang w:val="da-DK"/>
        </w:rPr>
      </w:pPr>
      <w:r w:rsidRPr="000B4E2C">
        <w:rPr>
          <w:rFonts w:cs="Times New Roman"/>
          <w:highlight w:val="green"/>
          <w:lang w:val="da-DK"/>
        </w:rPr>
        <w:t>#35  (MAC25 protein):ti,ab,kw  0</w:t>
      </w:r>
    </w:p>
    <w:p w14:paraId="6E1126D9" w14:textId="4405537B" w:rsidR="002F0133" w:rsidRPr="000B4E2C" w:rsidRDefault="002F0133" w:rsidP="008A7464">
      <w:pPr>
        <w:pStyle w:val="NoSpacing"/>
        <w:rPr>
          <w:rFonts w:cs="Times New Roman"/>
          <w:highlight w:val="green"/>
        </w:rPr>
      </w:pPr>
      <w:r w:rsidRPr="000B4E2C">
        <w:rPr>
          <w:rFonts w:cs="Times New Roman"/>
          <w:highlight w:val="green"/>
        </w:rPr>
        <w:t>#36  (</w:t>
      </w:r>
      <w:r w:rsidR="0072128A" w:rsidRPr="000B4E2C">
        <w:rPr>
          <w:rFonts w:cs="Times New Roman"/>
          <w:color w:val="00B0F0"/>
          <w:highlight w:val="green"/>
        </w:rPr>
        <w:t>“</w:t>
      </w:r>
      <w:r w:rsidR="0072128A" w:rsidRPr="000B4E2C">
        <w:rPr>
          <w:rFonts w:cs="Times New Roman"/>
          <w:highlight w:val="green"/>
        </w:rPr>
        <w:t>PGI2-stimulating factor</w:t>
      </w:r>
      <w:r w:rsidR="0072128A" w:rsidRPr="000B4E2C">
        <w:rPr>
          <w:rFonts w:cs="Times New Roman"/>
          <w:color w:val="00B0F0"/>
          <w:highlight w:val="green"/>
        </w:rPr>
        <w:t>”</w:t>
      </w:r>
      <w:r w:rsidRPr="000B4E2C">
        <w:rPr>
          <w:rFonts w:cs="Times New Roman"/>
          <w:highlight w:val="green"/>
        </w:rPr>
        <w:t>):ti,ab,kw  0</w:t>
      </w:r>
    </w:p>
    <w:p w14:paraId="230C3BCF" w14:textId="02892BDB" w:rsidR="002F0133" w:rsidRPr="000B4E2C" w:rsidRDefault="002F0133" w:rsidP="008A7464">
      <w:pPr>
        <w:pStyle w:val="NoSpacing"/>
        <w:rPr>
          <w:rFonts w:cs="Times New Roman"/>
          <w:highlight w:val="green"/>
        </w:rPr>
      </w:pPr>
      <w:r w:rsidRPr="000B4E2C">
        <w:rPr>
          <w:rFonts w:cs="Times New Roman"/>
          <w:highlight w:val="green"/>
        </w:rPr>
        <w:t>#37  (</w:t>
      </w:r>
      <w:r w:rsidR="0072128A" w:rsidRPr="000B4E2C">
        <w:rPr>
          <w:rFonts w:cs="Times New Roman"/>
          <w:color w:val="00B0F0"/>
          <w:highlight w:val="green"/>
        </w:rPr>
        <w:t>“</w:t>
      </w:r>
      <w:r w:rsidR="0072128A" w:rsidRPr="000B4E2C">
        <w:rPr>
          <w:rFonts w:cs="Times New Roman"/>
          <w:highlight w:val="green"/>
        </w:rPr>
        <w:t>Prostacyclin-stimulating factor</w:t>
      </w:r>
      <w:r w:rsidR="0072128A" w:rsidRPr="000B4E2C">
        <w:rPr>
          <w:rFonts w:cs="Times New Roman"/>
          <w:color w:val="00B0F0"/>
          <w:highlight w:val="green"/>
        </w:rPr>
        <w:t>”</w:t>
      </w:r>
      <w:r w:rsidRPr="000B4E2C">
        <w:rPr>
          <w:rFonts w:cs="Times New Roman"/>
          <w:highlight w:val="green"/>
        </w:rPr>
        <w:t>):ti,ab,kw  1</w:t>
      </w:r>
    </w:p>
    <w:p w14:paraId="275F3A1C" w14:textId="43D5082D" w:rsidR="002F0133" w:rsidRPr="000B4E2C" w:rsidRDefault="002F0133" w:rsidP="008A7464">
      <w:pPr>
        <w:pStyle w:val="NoSpacing"/>
        <w:rPr>
          <w:rFonts w:cs="Times New Roman"/>
          <w:highlight w:val="green"/>
        </w:rPr>
      </w:pPr>
      <w:r w:rsidRPr="000B4E2C">
        <w:rPr>
          <w:rFonts w:cs="Times New Roman"/>
          <w:highlight w:val="green"/>
        </w:rPr>
        <w:t>#38  (</w:t>
      </w:r>
      <w:r w:rsidR="0072128A" w:rsidRPr="000B4E2C">
        <w:rPr>
          <w:rFonts w:cs="Times New Roman"/>
          <w:color w:val="00B0F0"/>
          <w:highlight w:val="green"/>
        </w:rPr>
        <w:t>“</w:t>
      </w:r>
      <w:r w:rsidR="0072128A" w:rsidRPr="000B4E2C">
        <w:rPr>
          <w:rFonts w:cs="Times New Roman"/>
          <w:highlight w:val="green"/>
        </w:rPr>
        <w:t>Tumor-derived adhesion factor</w:t>
      </w:r>
      <w:r w:rsidR="0072128A" w:rsidRPr="000B4E2C">
        <w:rPr>
          <w:rFonts w:cs="Times New Roman"/>
          <w:color w:val="00B0F0"/>
          <w:highlight w:val="green"/>
        </w:rPr>
        <w:t>”</w:t>
      </w:r>
      <w:r w:rsidRPr="000B4E2C">
        <w:rPr>
          <w:rFonts w:cs="Times New Roman"/>
          <w:highlight w:val="green"/>
        </w:rPr>
        <w:t>):ti,ab,kw  0</w:t>
      </w:r>
    </w:p>
    <w:p w14:paraId="0B4509B5" w14:textId="77777777" w:rsidR="002F0133" w:rsidRPr="000B4E2C" w:rsidRDefault="002F0133" w:rsidP="008A7464">
      <w:pPr>
        <w:pStyle w:val="NoSpacing"/>
        <w:rPr>
          <w:rFonts w:cs="Times New Roman"/>
          <w:highlight w:val="green"/>
        </w:rPr>
      </w:pPr>
      <w:r w:rsidRPr="000B4E2C">
        <w:rPr>
          <w:rFonts w:cs="Times New Roman"/>
          <w:highlight w:val="green"/>
        </w:rPr>
        <w:t>#39  #32 or #33 or #34 or #35 or #36 or #37  33</w:t>
      </w:r>
    </w:p>
    <w:p w14:paraId="72922DCE" w14:textId="77777777" w:rsidR="002F0133" w:rsidRPr="000B4E2C" w:rsidRDefault="002F0133" w:rsidP="008A7464">
      <w:pPr>
        <w:pStyle w:val="NoSpacing"/>
        <w:rPr>
          <w:rFonts w:cs="Times New Roman"/>
          <w:highlight w:val="green"/>
        </w:rPr>
      </w:pPr>
      <w:r w:rsidRPr="000B4E2C">
        <w:rPr>
          <w:rFonts w:cs="Times New Roman"/>
          <w:highlight w:val="green"/>
        </w:rPr>
        <w:t>#40  #31 and #39  21</w:t>
      </w:r>
    </w:p>
    <w:p w14:paraId="6CF43BDB" w14:textId="77777777" w:rsidR="002F0133" w:rsidRPr="000B4E2C" w:rsidRDefault="002F0133" w:rsidP="008A7464">
      <w:pPr>
        <w:pStyle w:val="NoSpacing"/>
        <w:rPr>
          <w:rFonts w:cs="Times New Roman"/>
          <w:highlight w:val="green"/>
        </w:rPr>
      </w:pPr>
      <w:r w:rsidRPr="000B4E2C">
        <w:rPr>
          <w:rFonts w:cs="Times New Roman"/>
          <w:highlight w:val="green"/>
        </w:rPr>
        <w:t>#41  (nephrocheck):ti,ab,kw 4</w:t>
      </w:r>
    </w:p>
    <w:p w14:paraId="70A942DB" w14:textId="77777777" w:rsidR="002F0133" w:rsidRPr="000B4E2C" w:rsidRDefault="002F0133" w:rsidP="008A7464">
      <w:pPr>
        <w:pStyle w:val="NoSpacing"/>
        <w:rPr>
          <w:rFonts w:cs="Times New Roman"/>
          <w:highlight w:val="green"/>
        </w:rPr>
      </w:pPr>
      <w:r w:rsidRPr="000B4E2C">
        <w:rPr>
          <w:rFonts w:cs="Times New Roman"/>
          <w:highlight w:val="green"/>
        </w:rPr>
        <w:t>#42  #25 or #40 or #41  832</w:t>
      </w:r>
    </w:p>
    <w:p w14:paraId="2876C6F8" w14:textId="77777777" w:rsidR="002F0133" w:rsidRPr="000B4E2C" w:rsidRDefault="002F0133" w:rsidP="008A7464">
      <w:pPr>
        <w:pStyle w:val="NoSpacing"/>
        <w:rPr>
          <w:rFonts w:cs="Times New Roman"/>
          <w:highlight w:val="green"/>
        </w:rPr>
      </w:pPr>
      <w:r w:rsidRPr="000B4E2C">
        <w:rPr>
          <w:rFonts w:cs="Times New Roman"/>
          <w:highlight w:val="green"/>
        </w:rPr>
        <w:t>#43  #12 or #20  25125</w:t>
      </w:r>
    </w:p>
    <w:p w14:paraId="6FBBD1DC" w14:textId="77777777" w:rsidR="002F0133" w:rsidRPr="000B4E2C" w:rsidRDefault="002F0133" w:rsidP="008A7464">
      <w:pPr>
        <w:pStyle w:val="NoSpacing"/>
        <w:rPr>
          <w:rFonts w:cs="Times New Roman"/>
          <w:highlight w:val="green"/>
        </w:rPr>
      </w:pPr>
      <w:r w:rsidRPr="000B4E2C">
        <w:rPr>
          <w:rFonts w:cs="Times New Roman"/>
          <w:highlight w:val="green"/>
        </w:rPr>
        <w:t>#44  #42 and #43  292</w:t>
      </w:r>
    </w:p>
    <w:p w14:paraId="136EE6DA" w14:textId="77777777" w:rsidR="002F0133" w:rsidRPr="000B4E2C" w:rsidRDefault="002F0133" w:rsidP="008A7464">
      <w:pPr>
        <w:pStyle w:val="NoSpacing"/>
        <w:rPr>
          <w:rFonts w:cs="Times New Roman"/>
          <w:highlight w:val="green"/>
        </w:rPr>
      </w:pPr>
    </w:p>
    <w:p w14:paraId="209AEB79" w14:textId="77777777" w:rsidR="002F0133" w:rsidRPr="000B4E2C" w:rsidRDefault="002F0133" w:rsidP="008A7464">
      <w:pPr>
        <w:pStyle w:val="NoSpacing"/>
        <w:rPr>
          <w:rFonts w:cs="Times New Roman"/>
          <w:highlight w:val="green"/>
        </w:rPr>
      </w:pPr>
      <w:r w:rsidRPr="000B4E2C">
        <w:rPr>
          <w:rFonts w:cs="Times New Roman"/>
          <w:highlight w:val="green"/>
        </w:rPr>
        <w:t xml:space="preserve">Clarivate Analytics </w:t>
      </w:r>
      <w:r w:rsidRPr="000B4E2C">
        <w:rPr>
          <w:rFonts w:cs="Times New Roman"/>
          <w:b/>
          <w:highlight w:val="green"/>
        </w:rPr>
        <w:t>Web of Science</w:t>
      </w:r>
    </w:p>
    <w:p w14:paraId="72485639" w14:textId="77777777" w:rsidR="002F0133" w:rsidRPr="000B4E2C" w:rsidRDefault="002F0133" w:rsidP="008A7464">
      <w:pPr>
        <w:pStyle w:val="NoSpacing"/>
        <w:rPr>
          <w:rFonts w:cs="Times New Roman"/>
          <w:highlight w:val="green"/>
        </w:rPr>
      </w:pPr>
      <w:r w:rsidRPr="000B4E2C">
        <w:rPr>
          <w:rFonts w:cs="Times New Roman"/>
          <w:highlight w:val="green"/>
        </w:rPr>
        <w:t>Indexes=SCI-EXPANDED, CPCI-S, CPCI-SSH Timespan=All years</w:t>
      </w:r>
    </w:p>
    <w:p w14:paraId="5C20BDAB" w14:textId="77777777" w:rsidR="002F0133" w:rsidRPr="000B4E2C" w:rsidRDefault="002F0133" w:rsidP="008A7464">
      <w:pPr>
        <w:pStyle w:val="NoSpacing"/>
        <w:rPr>
          <w:rFonts w:cs="Times New Roman"/>
          <w:highlight w:val="green"/>
        </w:rPr>
      </w:pPr>
      <w:r w:rsidRPr="000B4E2C">
        <w:rPr>
          <w:rFonts w:cs="Times New Roman"/>
          <w:highlight w:val="green"/>
        </w:rPr>
        <w:t>Date of search: 22 May 2019</w:t>
      </w:r>
    </w:p>
    <w:p w14:paraId="6F1937CA" w14:textId="77777777" w:rsidR="002F0133" w:rsidRPr="000B4E2C" w:rsidRDefault="002F0133" w:rsidP="008A7464">
      <w:pPr>
        <w:pStyle w:val="NoSpacing"/>
        <w:rPr>
          <w:rFonts w:cs="Times New Roman"/>
          <w:highlight w:val="green"/>
        </w:rPr>
      </w:pPr>
    </w:p>
    <w:p w14:paraId="357E2516" w14:textId="78C0A893" w:rsidR="002F0133" w:rsidRPr="000B4E2C" w:rsidRDefault="002F0133" w:rsidP="008A7464">
      <w:pPr>
        <w:pStyle w:val="NoSpacing"/>
        <w:rPr>
          <w:rFonts w:cs="Times New Roman"/>
          <w:highlight w:val="green"/>
        </w:rPr>
      </w:pPr>
      <w:r w:rsidRPr="000B4E2C">
        <w:rPr>
          <w:rFonts w:cs="Times New Roman"/>
          <w:highlight w:val="green"/>
        </w:rPr>
        <w:t># 1  24,763  TOPIC: (</w:t>
      </w:r>
      <w:r w:rsidR="0072128A" w:rsidRPr="000B4E2C">
        <w:rPr>
          <w:rFonts w:cs="Times New Roman"/>
          <w:color w:val="00B0F0"/>
          <w:highlight w:val="green"/>
        </w:rPr>
        <w:t>“</w:t>
      </w:r>
      <w:r w:rsidR="0072128A" w:rsidRPr="000B4E2C">
        <w:rPr>
          <w:rFonts w:cs="Times New Roman"/>
          <w:highlight w:val="green"/>
        </w:rPr>
        <w:t>acute kidney injury</w:t>
      </w:r>
      <w:r w:rsidR="0072128A" w:rsidRPr="000B4E2C">
        <w:rPr>
          <w:rFonts w:cs="Times New Roman"/>
          <w:color w:val="00B0F0"/>
          <w:highlight w:val="green"/>
        </w:rPr>
        <w:t>”</w:t>
      </w:r>
      <w:r w:rsidRPr="000B4E2C">
        <w:rPr>
          <w:rFonts w:cs="Times New Roman"/>
          <w:highlight w:val="green"/>
        </w:rPr>
        <w:t xml:space="preserve"> OR </w:t>
      </w:r>
      <w:r w:rsidR="0072128A" w:rsidRPr="000B4E2C">
        <w:rPr>
          <w:rFonts w:cs="Times New Roman"/>
          <w:color w:val="00B0F0"/>
          <w:highlight w:val="green"/>
        </w:rPr>
        <w:t>“</w:t>
      </w:r>
      <w:r w:rsidR="0072128A" w:rsidRPr="000B4E2C">
        <w:rPr>
          <w:rFonts w:cs="Times New Roman"/>
          <w:highlight w:val="green"/>
        </w:rPr>
        <w:t>acute kidney failure</w:t>
      </w:r>
      <w:r w:rsidR="0072128A" w:rsidRPr="000B4E2C">
        <w:rPr>
          <w:rFonts w:cs="Times New Roman"/>
          <w:color w:val="00B0F0"/>
          <w:highlight w:val="green"/>
        </w:rPr>
        <w:t>”</w:t>
      </w:r>
      <w:r w:rsidRPr="000B4E2C">
        <w:rPr>
          <w:rFonts w:cs="Times New Roman"/>
          <w:highlight w:val="green"/>
        </w:rPr>
        <w:t>)</w:t>
      </w:r>
    </w:p>
    <w:p w14:paraId="43619BA0" w14:textId="77777777" w:rsidR="002F0133" w:rsidRPr="000B4E2C" w:rsidRDefault="002F0133" w:rsidP="008A7464">
      <w:pPr>
        <w:pStyle w:val="NoSpacing"/>
        <w:rPr>
          <w:rFonts w:cs="Times New Roman"/>
          <w:highlight w:val="green"/>
        </w:rPr>
      </w:pPr>
      <w:r w:rsidRPr="000B4E2C">
        <w:rPr>
          <w:rFonts w:cs="Times New Roman"/>
          <w:highlight w:val="green"/>
        </w:rPr>
        <w:t># 2  715  TOPIC: (kidney NEAR/2 necrosis)</w:t>
      </w:r>
    </w:p>
    <w:p w14:paraId="129C32C7" w14:textId="27B1D90A" w:rsidR="002F0133" w:rsidRPr="000B4E2C" w:rsidRDefault="002F0133" w:rsidP="008A7464">
      <w:pPr>
        <w:pStyle w:val="NoSpacing"/>
        <w:rPr>
          <w:rFonts w:cs="Times New Roman"/>
          <w:highlight w:val="green"/>
        </w:rPr>
      </w:pPr>
      <w:r w:rsidRPr="000B4E2C">
        <w:rPr>
          <w:rFonts w:cs="Times New Roman"/>
          <w:highlight w:val="green"/>
        </w:rPr>
        <w:lastRenderedPageBreak/>
        <w:t># 3  25,532  TOPIC: (Acute NEAR/3 (</w:t>
      </w:r>
      <w:r w:rsidR="0072128A" w:rsidRPr="000B4E2C">
        <w:rPr>
          <w:rFonts w:cs="Times New Roman"/>
          <w:color w:val="00B0F0"/>
          <w:highlight w:val="green"/>
        </w:rPr>
        <w:t>“</w:t>
      </w:r>
      <w:r w:rsidR="0072128A" w:rsidRPr="000B4E2C">
        <w:rPr>
          <w:rFonts w:cs="Times New Roman"/>
          <w:highlight w:val="green"/>
        </w:rPr>
        <w:t>kidney disease*</w:t>
      </w:r>
      <w:r w:rsidR="0072128A" w:rsidRPr="000B4E2C">
        <w:rPr>
          <w:rFonts w:cs="Times New Roman"/>
          <w:color w:val="00B0F0"/>
          <w:highlight w:val="green"/>
        </w:rPr>
        <w:t>”</w:t>
      </w:r>
      <w:r w:rsidRPr="000B4E2C">
        <w:rPr>
          <w:rFonts w:cs="Times New Roman"/>
          <w:highlight w:val="green"/>
        </w:rPr>
        <w:t xml:space="preserve"> or </w:t>
      </w:r>
      <w:r w:rsidR="0072128A" w:rsidRPr="000B4E2C">
        <w:rPr>
          <w:rFonts w:cs="Times New Roman"/>
          <w:color w:val="00B0F0"/>
          <w:highlight w:val="green"/>
        </w:rPr>
        <w:t>“</w:t>
      </w:r>
      <w:r w:rsidR="0072128A" w:rsidRPr="000B4E2C">
        <w:rPr>
          <w:rFonts w:cs="Times New Roman"/>
          <w:highlight w:val="green"/>
        </w:rPr>
        <w:t>kidney injury</w:t>
      </w:r>
      <w:r w:rsidR="0072128A" w:rsidRPr="000B4E2C">
        <w:rPr>
          <w:rFonts w:cs="Times New Roman"/>
          <w:color w:val="00B0F0"/>
          <w:highlight w:val="green"/>
        </w:rPr>
        <w:t>”</w:t>
      </w:r>
      <w:r w:rsidRPr="000B4E2C">
        <w:rPr>
          <w:rFonts w:cs="Times New Roman"/>
          <w:highlight w:val="green"/>
        </w:rPr>
        <w:t xml:space="preserve"> or </w:t>
      </w:r>
      <w:r w:rsidR="0072128A" w:rsidRPr="000B4E2C">
        <w:rPr>
          <w:rFonts w:cs="Times New Roman"/>
          <w:color w:val="00B0F0"/>
          <w:highlight w:val="green"/>
        </w:rPr>
        <w:t>“</w:t>
      </w:r>
      <w:r w:rsidR="0072128A" w:rsidRPr="000B4E2C">
        <w:rPr>
          <w:rFonts w:cs="Times New Roman"/>
          <w:highlight w:val="green"/>
        </w:rPr>
        <w:t>kidney failure</w:t>
      </w:r>
      <w:r w:rsidR="0072128A" w:rsidRPr="000B4E2C">
        <w:rPr>
          <w:rFonts w:cs="Times New Roman"/>
          <w:color w:val="00B0F0"/>
          <w:highlight w:val="green"/>
        </w:rPr>
        <w:t>”</w:t>
      </w:r>
      <w:r w:rsidRPr="000B4E2C">
        <w:rPr>
          <w:rFonts w:cs="Times New Roman"/>
          <w:highlight w:val="green"/>
        </w:rPr>
        <w:t xml:space="preserve"> or </w:t>
      </w:r>
      <w:r w:rsidR="0072128A" w:rsidRPr="000B4E2C">
        <w:rPr>
          <w:rFonts w:cs="Times New Roman"/>
          <w:color w:val="00B0F0"/>
          <w:highlight w:val="green"/>
        </w:rPr>
        <w:t>“</w:t>
      </w:r>
      <w:r w:rsidR="0072128A" w:rsidRPr="000B4E2C">
        <w:rPr>
          <w:rFonts w:cs="Times New Roman"/>
          <w:highlight w:val="green"/>
        </w:rPr>
        <w:t>kidney dysfunction</w:t>
      </w:r>
      <w:r w:rsidR="0072128A" w:rsidRPr="000B4E2C">
        <w:rPr>
          <w:rFonts w:cs="Times New Roman"/>
          <w:color w:val="00B0F0"/>
          <w:highlight w:val="green"/>
        </w:rPr>
        <w:t>”</w:t>
      </w:r>
      <w:r w:rsidRPr="000B4E2C">
        <w:rPr>
          <w:rFonts w:cs="Times New Roman"/>
          <w:highlight w:val="green"/>
        </w:rPr>
        <w:t>))</w:t>
      </w:r>
    </w:p>
    <w:p w14:paraId="0D54B41E" w14:textId="6FE8A125" w:rsidR="002F0133" w:rsidRPr="000B4E2C" w:rsidRDefault="002F0133" w:rsidP="008A7464">
      <w:pPr>
        <w:pStyle w:val="NoSpacing"/>
        <w:rPr>
          <w:rFonts w:cs="Times New Roman"/>
          <w:highlight w:val="green"/>
        </w:rPr>
      </w:pPr>
      <w:r w:rsidRPr="000B4E2C">
        <w:rPr>
          <w:rFonts w:cs="Times New Roman"/>
          <w:highlight w:val="green"/>
        </w:rPr>
        <w:t># 4  32,865  TOPIC: (Acute NEAR/3 (</w:t>
      </w:r>
      <w:r w:rsidR="0072128A" w:rsidRPr="000B4E2C">
        <w:rPr>
          <w:rFonts w:cs="Times New Roman"/>
          <w:color w:val="00B0F0"/>
          <w:highlight w:val="green"/>
        </w:rPr>
        <w:t>“</w:t>
      </w:r>
      <w:r w:rsidR="0072128A" w:rsidRPr="000B4E2C">
        <w:rPr>
          <w:rFonts w:cs="Times New Roman"/>
          <w:highlight w:val="green"/>
        </w:rPr>
        <w:t>renal disease*</w:t>
      </w:r>
      <w:r w:rsidR="0072128A" w:rsidRPr="000B4E2C">
        <w:rPr>
          <w:rFonts w:cs="Times New Roman"/>
          <w:color w:val="00B0F0"/>
          <w:highlight w:val="green"/>
        </w:rPr>
        <w:t>”</w:t>
      </w:r>
      <w:r w:rsidRPr="000B4E2C">
        <w:rPr>
          <w:rFonts w:cs="Times New Roman"/>
          <w:highlight w:val="green"/>
        </w:rPr>
        <w:t xml:space="preserve"> or </w:t>
      </w:r>
      <w:r w:rsidR="0072128A" w:rsidRPr="000B4E2C">
        <w:rPr>
          <w:rFonts w:cs="Times New Roman"/>
          <w:color w:val="00B0F0"/>
          <w:highlight w:val="green"/>
        </w:rPr>
        <w:t>“</w:t>
      </w:r>
      <w:r w:rsidR="0072128A" w:rsidRPr="000B4E2C">
        <w:rPr>
          <w:rFonts w:cs="Times New Roman"/>
          <w:highlight w:val="green"/>
        </w:rPr>
        <w:t>renal injury</w:t>
      </w:r>
      <w:r w:rsidR="0072128A" w:rsidRPr="000B4E2C">
        <w:rPr>
          <w:rFonts w:cs="Times New Roman"/>
          <w:color w:val="00B0F0"/>
          <w:highlight w:val="green"/>
        </w:rPr>
        <w:t>”</w:t>
      </w:r>
      <w:r w:rsidRPr="000B4E2C">
        <w:rPr>
          <w:rFonts w:cs="Times New Roman"/>
          <w:highlight w:val="green"/>
        </w:rPr>
        <w:t xml:space="preserve"> or </w:t>
      </w:r>
      <w:r w:rsidR="0072128A" w:rsidRPr="000B4E2C">
        <w:rPr>
          <w:rFonts w:cs="Times New Roman"/>
          <w:color w:val="00B0F0"/>
          <w:highlight w:val="green"/>
        </w:rPr>
        <w:t>“</w:t>
      </w:r>
      <w:r w:rsidR="0072128A" w:rsidRPr="000B4E2C">
        <w:rPr>
          <w:rFonts w:cs="Times New Roman"/>
          <w:highlight w:val="green"/>
        </w:rPr>
        <w:t>renal failure</w:t>
      </w:r>
      <w:r w:rsidR="0072128A" w:rsidRPr="000B4E2C">
        <w:rPr>
          <w:rFonts w:cs="Times New Roman"/>
          <w:color w:val="00B0F0"/>
          <w:highlight w:val="green"/>
        </w:rPr>
        <w:t>”</w:t>
      </w:r>
      <w:r w:rsidRPr="000B4E2C">
        <w:rPr>
          <w:rFonts w:cs="Times New Roman"/>
          <w:highlight w:val="green"/>
        </w:rPr>
        <w:t xml:space="preserve"> or </w:t>
      </w:r>
      <w:r w:rsidR="0072128A" w:rsidRPr="000B4E2C">
        <w:rPr>
          <w:rFonts w:cs="Times New Roman"/>
          <w:color w:val="00B0F0"/>
          <w:highlight w:val="green"/>
        </w:rPr>
        <w:t>“</w:t>
      </w:r>
      <w:r w:rsidR="0072128A" w:rsidRPr="000B4E2C">
        <w:rPr>
          <w:rFonts w:cs="Times New Roman"/>
          <w:highlight w:val="green"/>
        </w:rPr>
        <w:t>renal dysfunction</w:t>
      </w:r>
      <w:r w:rsidR="0072128A" w:rsidRPr="000B4E2C">
        <w:rPr>
          <w:rFonts w:cs="Times New Roman"/>
          <w:color w:val="00B0F0"/>
          <w:highlight w:val="green"/>
        </w:rPr>
        <w:t>”</w:t>
      </w:r>
      <w:r w:rsidRPr="000B4E2C">
        <w:rPr>
          <w:rFonts w:cs="Times New Roman"/>
          <w:highlight w:val="green"/>
        </w:rPr>
        <w:t>))</w:t>
      </w:r>
    </w:p>
    <w:p w14:paraId="058EA2BE" w14:textId="06430029" w:rsidR="002F0133" w:rsidRPr="000B4E2C" w:rsidRDefault="002F0133" w:rsidP="008A7464">
      <w:pPr>
        <w:pStyle w:val="NoSpacing"/>
        <w:rPr>
          <w:rFonts w:cs="Times New Roman"/>
          <w:highlight w:val="green"/>
        </w:rPr>
      </w:pPr>
      <w:r w:rsidRPr="000B4E2C">
        <w:rPr>
          <w:rFonts w:cs="Times New Roman"/>
          <w:highlight w:val="green"/>
        </w:rPr>
        <w:t># 5  3,029  TOPIC: (</w:t>
      </w:r>
      <w:r w:rsidR="0072128A" w:rsidRPr="000B4E2C">
        <w:rPr>
          <w:rFonts w:cs="Times New Roman"/>
          <w:color w:val="00B0F0"/>
          <w:highlight w:val="green"/>
        </w:rPr>
        <w:t>“</w:t>
      </w:r>
      <w:r w:rsidR="0072128A" w:rsidRPr="000B4E2C">
        <w:rPr>
          <w:rFonts w:cs="Times New Roman"/>
          <w:highlight w:val="green"/>
        </w:rPr>
        <w:t>contrast induced nephropathy</w:t>
      </w:r>
      <w:r w:rsidR="0072128A" w:rsidRPr="000B4E2C">
        <w:rPr>
          <w:rFonts w:cs="Times New Roman"/>
          <w:color w:val="00B0F0"/>
          <w:highlight w:val="green"/>
        </w:rPr>
        <w:t>”</w:t>
      </w:r>
      <w:r w:rsidRPr="000B4E2C">
        <w:rPr>
          <w:rFonts w:cs="Times New Roman"/>
          <w:highlight w:val="green"/>
        </w:rPr>
        <w:t>)</w:t>
      </w:r>
    </w:p>
    <w:p w14:paraId="4C05FD35" w14:textId="77777777" w:rsidR="002F0133" w:rsidRPr="000B4E2C" w:rsidRDefault="002F0133" w:rsidP="008A7464">
      <w:pPr>
        <w:pStyle w:val="NoSpacing"/>
        <w:rPr>
          <w:rFonts w:cs="Times New Roman"/>
          <w:highlight w:val="green"/>
        </w:rPr>
      </w:pPr>
      <w:r w:rsidRPr="000B4E2C">
        <w:rPr>
          <w:rFonts w:cs="Times New Roman"/>
          <w:highlight w:val="green"/>
        </w:rPr>
        <w:t># 6  54,254  #5 OR #4 OR #3 OR #2 OR #1</w:t>
      </w:r>
    </w:p>
    <w:p w14:paraId="1CCFBE36" w14:textId="77777777" w:rsidR="002F0133" w:rsidRPr="000B4E2C" w:rsidRDefault="002F0133" w:rsidP="008A7464">
      <w:pPr>
        <w:pStyle w:val="NoSpacing"/>
        <w:rPr>
          <w:rFonts w:cs="Times New Roman"/>
          <w:highlight w:val="green"/>
        </w:rPr>
      </w:pPr>
      <w:r w:rsidRPr="000B4E2C">
        <w:rPr>
          <w:rFonts w:cs="Times New Roman"/>
          <w:highlight w:val="green"/>
        </w:rPr>
        <w:t># 7  3,258  TOPIC: (NGAL or sNGAL or uNGAL)</w:t>
      </w:r>
    </w:p>
    <w:p w14:paraId="68C0DCEE" w14:textId="77777777" w:rsidR="002F0133" w:rsidRPr="000B4E2C" w:rsidRDefault="002F0133" w:rsidP="008A7464">
      <w:pPr>
        <w:pStyle w:val="NoSpacing"/>
        <w:rPr>
          <w:rFonts w:cs="Times New Roman"/>
          <w:highlight w:val="green"/>
        </w:rPr>
      </w:pPr>
      <w:r w:rsidRPr="000B4E2C">
        <w:rPr>
          <w:rFonts w:cs="Times New Roman"/>
          <w:highlight w:val="green"/>
        </w:rPr>
        <w:t># 8  3,078  TOPIC: (neutrophil NEAR/2 lipocalin)</w:t>
      </w:r>
    </w:p>
    <w:p w14:paraId="49E882F5" w14:textId="77777777" w:rsidR="002F0133" w:rsidRPr="000B4E2C" w:rsidRDefault="002F0133" w:rsidP="008A7464">
      <w:pPr>
        <w:pStyle w:val="NoSpacing"/>
        <w:rPr>
          <w:rFonts w:cs="Times New Roman"/>
          <w:highlight w:val="green"/>
        </w:rPr>
      </w:pPr>
      <w:r w:rsidRPr="000B4E2C">
        <w:rPr>
          <w:rFonts w:cs="Times New Roman"/>
          <w:highlight w:val="green"/>
        </w:rPr>
        <w:t># 9  4,099  #8 OR #7</w:t>
      </w:r>
    </w:p>
    <w:p w14:paraId="77F4CB70" w14:textId="77777777" w:rsidR="002F0133" w:rsidRPr="000B4E2C" w:rsidRDefault="002F0133" w:rsidP="008A7464">
      <w:pPr>
        <w:pStyle w:val="NoSpacing"/>
        <w:rPr>
          <w:rFonts w:cs="Times New Roman"/>
          <w:highlight w:val="green"/>
        </w:rPr>
      </w:pPr>
      <w:r w:rsidRPr="000B4E2C">
        <w:rPr>
          <w:rFonts w:cs="Times New Roman"/>
          <w:highlight w:val="green"/>
        </w:rPr>
        <w:t># 10  10,021  TOPIC: (Inhibitor NEAR/2 Metalloproteinase)</w:t>
      </w:r>
    </w:p>
    <w:p w14:paraId="052D911C" w14:textId="77777777" w:rsidR="002F0133" w:rsidRPr="000B4E2C" w:rsidRDefault="002F0133" w:rsidP="008A7464">
      <w:pPr>
        <w:pStyle w:val="NoSpacing"/>
        <w:rPr>
          <w:rFonts w:cs="Times New Roman"/>
          <w:highlight w:val="green"/>
        </w:rPr>
      </w:pPr>
      <w:r w:rsidRPr="000B4E2C">
        <w:rPr>
          <w:rFonts w:cs="Times New Roman"/>
          <w:highlight w:val="green"/>
        </w:rPr>
        <w:t># 11  12,633  TOPIC: (TIMP)</w:t>
      </w:r>
    </w:p>
    <w:p w14:paraId="402497BE" w14:textId="77777777" w:rsidR="002F0133" w:rsidRPr="000B4E2C" w:rsidRDefault="002F0133" w:rsidP="008A7464">
      <w:pPr>
        <w:pStyle w:val="NoSpacing"/>
        <w:rPr>
          <w:rFonts w:cs="Times New Roman"/>
          <w:highlight w:val="green"/>
        </w:rPr>
      </w:pPr>
      <w:r w:rsidRPr="000B4E2C">
        <w:rPr>
          <w:rFonts w:cs="Times New Roman"/>
          <w:highlight w:val="green"/>
        </w:rPr>
        <w:t># 12  18,219  #11 OR #10</w:t>
      </w:r>
    </w:p>
    <w:p w14:paraId="56DE332E" w14:textId="77777777" w:rsidR="002F0133" w:rsidRPr="000B4E2C" w:rsidRDefault="002F0133" w:rsidP="008A7464">
      <w:pPr>
        <w:pStyle w:val="NoSpacing"/>
        <w:rPr>
          <w:rFonts w:cs="Times New Roman"/>
          <w:highlight w:val="green"/>
        </w:rPr>
      </w:pPr>
      <w:r w:rsidRPr="000B4E2C">
        <w:rPr>
          <w:rFonts w:cs="Times New Roman"/>
          <w:highlight w:val="green"/>
        </w:rPr>
        <w:t># 13  470  TOPIC: (IGFBP7 or IBP-7 or IGFBP-rP1)</w:t>
      </w:r>
    </w:p>
    <w:p w14:paraId="255E5FC7" w14:textId="48997B6B" w:rsidR="002F0133" w:rsidRPr="000B4E2C" w:rsidRDefault="002F0133" w:rsidP="008A7464">
      <w:pPr>
        <w:pStyle w:val="NoSpacing"/>
        <w:rPr>
          <w:rFonts w:cs="Times New Roman"/>
          <w:highlight w:val="green"/>
        </w:rPr>
      </w:pPr>
      <w:r w:rsidRPr="000B4E2C">
        <w:rPr>
          <w:rFonts w:cs="Times New Roman"/>
          <w:highlight w:val="green"/>
        </w:rPr>
        <w:t># 14  242  TOPIC: (</w:t>
      </w:r>
      <w:r w:rsidR="0072128A" w:rsidRPr="000B4E2C">
        <w:rPr>
          <w:rFonts w:cs="Times New Roman"/>
          <w:color w:val="00B0F0"/>
          <w:highlight w:val="green"/>
        </w:rPr>
        <w:t>“</w:t>
      </w:r>
      <w:r w:rsidR="0072128A" w:rsidRPr="000B4E2C">
        <w:rPr>
          <w:rFonts w:cs="Times New Roman"/>
          <w:highlight w:val="green"/>
        </w:rPr>
        <w:t>Insulin-like growth factor-binding protein 7</w:t>
      </w:r>
      <w:r w:rsidR="0072128A" w:rsidRPr="000B4E2C">
        <w:rPr>
          <w:rFonts w:cs="Times New Roman"/>
          <w:color w:val="00B0F0"/>
          <w:highlight w:val="green"/>
        </w:rPr>
        <w:t>”</w:t>
      </w:r>
      <w:r w:rsidRPr="000B4E2C">
        <w:rPr>
          <w:rFonts w:cs="Times New Roman"/>
          <w:highlight w:val="green"/>
        </w:rPr>
        <w:t>)</w:t>
      </w:r>
    </w:p>
    <w:p w14:paraId="308D16A2" w14:textId="77777777" w:rsidR="002F0133" w:rsidRPr="000B4E2C" w:rsidRDefault="002F0133" w:rsidP="008A7464">
      <w:pPr>
        <w:pStyle w:val="NoSpacing"/>
        <w:rPr>
          <w:rFonts w:cs="Times New Roman"/>
          <w:highlight w:val="green"/>
        </w:rPr>
      </w:pPr>
      <w:r w:rsidRPr="000B4E2C">
        <w:rPr>
          <w:rFonts w:cs="Times New Roman"/>
          <w:highlight w:val="green"/>
        </w:rPr>
        <w:t># 15  539  #14 OR #13</w:t>
      </w:r>
    </w:p>
    <w:p w14:paraId="2FAA0750" w14:textId="77777777" w:rsidR="002F0133" w:rsidRPr="000B4E2C" w:rsidRDefault="002F0133" w:rsidP="008A7464">
      <w:pPr>
        <w:pStyle w:val="NoSpacing"/>
        <w:rPr>
          <w:rFonts w:cs="Times New Roman"/>
          <w:highlight w:val="green"/>
        </w:rPr>
      </w:pPr>
      <w:r w:rsidRPr="000B4E2C">
        <w:rPr>
          <w:rFonts w:cs="Times New Roman"/>
          <w:highlight w:val="green"/>
        </w:rPr>
        <w:t># 16  108  #15 AND #12</w:t>
      </w:r>
    </w:p>
    <w:p w14:paraId="28E76653" w14:textId="77777777" w:rsidR="002F0133" w:rsidRPr="000B4E2C" w:rsidRDefault="002F0133" w:rsidP="008A7464">
      <w:pPr>
        <w:pStyle w:val="NoSpacing"/>
        <w:rPr>
          <w:rFonts w:cs="Times New Roman"/>
          <w:highlight w:val="green"/>
        </w:rPr>
      </w:pPr>
      <w:r w:rsidRPr="000B4E2C">
        <w:rPr>
          <w:rFonts w:cs="Times New Roman"/>
          <w:highlight w:val="green"/>
        </w:rPr>
        <w:t># 17  29  TOPIC: (nephrocheck)</w:t>
      </w:r>
    </w:p>
    <w:p w14:paraId="504D44F5" w14:textId="77777777" w:rsidR="002F0133" w:rsidRPr="000B4E2C" w:rsidRDefault="002F0133" w:rsidP="008A7464">
      <w:pPr>
        <w:pStyle w:val="NoSpacing"/>
        <w:rPr>
          <w:rFonts w:cs="Times New Roman"/>
          <w:highlight w:val="green"/>
        </w:rPr>
      </w:pPr>
      <w:r w:rsidRPr="000B4E2C">
        <w:rPr>
          <w:rFonts w:cs="Times New Roman"/>
          <w:highlight w:val="green"/>
        </w:rPr>
        <w:t># 18  4,192  #17 OR #16 OR #9</w:t>
      </w:r>
    </w:p>
    <w:p w14:paraId="3F5B5DCB" w14:textId="77777777" w:rsidR="002F0133" w:rsidRPr="000B4E2C" w:rsidRDefault="002F0133" w:rsidP="008A7464">
      <w:pPr>
        <w:pStyle w:val="NoSpacing"/>
        <w:rPr>
          <w:rFonts w:cs="Times New Roman"/>
          <w:highlight w:val="green"/>
        </w:rPr>
      </w:pPr>
      <w:r w:rsidRPr="000B4E2C">
        <w:rPr>
          <w:rFonts w:cs="Times New Roman"/>
          <w:highlight w:val="green"/>
        </w:rPr>
        <w:t># 19  1,943  #18 AND #6</w:t>
      </w:r>
    </w:p>
    <w:p w14:paraId="2F2A1914" w14:textId="77777777" w:rsidR="002F0133" w:rsidRPr="000B4E2C" w:rsidRDefault="002F0133" w:rsidP="008A7464">
      <w:pPr>
        <w:pStyle w:val="NoSpacing"/>
        <w:rPr>
          <w:rFonts w:cs="Times New Roman"/>
          <w:highlight w:val="green"/>
        </w:rPr>
      </w:pPr>
      <w:r w:rsidRPr="000B4E2C">
        <w:rPr>
          <w:rFonts w:cs="Times New Roman"/>
          <w:highlight w:val="green"/>
        </w:rPr>
        <w:t># 20  3,841,039  TOPIC: (rat or rats or mouse or mice or murine or dog or dogs or canine or pig or pigs or porcine)</w:t>
      </w:r>
    </w:p>
    <w:p w14:paraId="7D10D00E" w14:textId="77777777" w:rsidR="002F0133" w:rsidRPr="000B4E2C" w:rsidRDefault="002F0133" w:rsidP="008A7464">
      <w:pPr>
        <w:pStyle w:val="NoSpacing"/>
        <w:rPr>
          <w:rFonts w:cs="Times New Roman"/>
          <w:highlight w:val="green"/>
        </w:rPr>
      </w:pPr>
      <w:r w:rsidRPr="000B4E2C">
        <w:rPr>
          <w:rFonts w:cs="Times New Roman"/>
          <w:highlight w:val="green"/>
        </w:rPr>
        <w:t># 21  428 #20 AND #19</w:t>
      </w:r>
    </w:p>
    <w:p w14:paraId="090AA758" w14:textId="77777777" w:rsidR="002F0133" w:rsidRPr="000B4E2C" w:rsidRDefault="002F0133" w:rsidP="008A7464">
      <w:pPr>
        <w:pStyle w:val="NoSpacing"/>
        <w:rPr>
          <w:rFonts w:cs="Times New Roman"/>
          <w:highlight w:val="green"/>
        </w:rPr>
      </w:pPr>
      <w:r w:rsidRPr="000B4E2C">
        <w:rPr>
          <w:rFonts w:cs="Times New Roman"/>
          <w:highlight w:val="green"/>
        </w:rPr>
        <w:t># 22  1,543 #19 not #21</w:t>
      </w:r>
    </w:p>
    <w:p w14:paraId="78C290FD" w14:textId="77777777" w:rsidR="002F0133" w:rsidRPr="000B4E2C" w:rsidRDefault="002F0133" w:rsidP="008A7464">
      <w:pPr>
        <w:pStyle w:val="NoSpacing"/>
        <w:rPr>
          <w:rFonts w:cs="Times New Roman"/>
          <w:highlight w:val="green"/>
        </w:rPr>
      </w:pPr>
    </w:p>
    <w:p w14:paraId="634EB15D" w14:textId="77777777" w:rsidR="000B4E2C" w:rsidRPr="000B4E2C" w:rsidRDefault="002F0133" w:rsidP="008A7464">
      <w:pPr>
        <w:pStyle w:val="NoSpacing"/>
        <w:rPr>
          <w:rFonts w:cs="Times New Roman"/>
        </w:rPr>
      </w:pPr>
      <w:r w:rsidRPr="000B4E2C">
        <w:rPr>
          <w:rFonts w:cs="Times New Roman"/>
          <w:highlight w:val="green"/>
        </w:rPr>
        <w:t>The following resources were searched using appropriate text terms, in combination where allowed by the search interface.</w:t>
      </w:r>
    </w:p>
    <w:p w14:paraId="0E42C8C4" w14:textId="77777777" w:rsidR="000B4E2C" w:rsidRPr="000B4E2C" w:rsidRDefault="002F0133" w:rsidP="008A7464">
      <w:pPr>
        <w:pStyle w:val="NoSpacing"/>
        <w:rPr>
          <w:rFonts w:cs="Times New Roman"/>
          <w:lang w:val="da-DK"/>
        </w:rPr>
      </w:pPr>
      <w:r w:rsidRPr="000B4E2C">
        <w:rPr>
          <w:rFonts w:cs="Times New Roman"/>
          <w:b/>
          <w:lang w:val="da-DK"/>
        </w:rPr>
        <w:t>HTA database</w:t>
      </w:r>
      <w:r w:rsidRPr="000B4E2C">
        <w:rPr>
          <w:rFonts w:cs="Times New Roman"/>
          <w:lang w:val="da-DK"/>
        </w:rPr>
        <w:t xml:space="preserve"> (</w:t>
      </w:r>
      <w:r w:rsidRPr="000B4E2C">
        <w:rPr>
          <w:lang w:val="da-DK"/>
        </w:rPr>
        <w:t>http://www.crd.york.ac.uk/PanHTA/</w:t>
      </w:r>
      <w:r w:rsidRPr="000B4E2C">
        <w:rPr>
          <w:rFonts w:cs="Times New Roman"/>
          <w:lang w:val="da-DK"/>
        </w:rPr>
        <w:t>)</w:t>
      </w:r>
    </w:p>
    <w:p w14:paraId="70F02E58" w14:textId="53CB68A5" w:rsidR="000B4E2C" w:rsidRPr="000B4E2C" w:rsidRDefault="002F0133" w:rsidP="008A7464">
      <w:pPr>
        <w:pStyle w:val="NoSpacing"/>
        <w:rPr>
          <w:rFonts w:cs="Times New Roman"/>
        </w:rPr>
      </w:pPr>
      <w:r w:rsidRPr="000B4E2C">
        <w:rPr>
          <w:rFonts w:cs="Times New Roman"/>
          <w:b/>
        </w:rPr>
        <w:t>WHO Global Index Medicus</w:t>
      </w:r>
      <w:r w:rsidRPr="000B4E2C">
        <w:rPr>
          <w:rFonts w:cs="Times New Roman"/>
        </w:rPr>
        <w:t xml:space="preserve"> (</w:t>
      </w:r>
      <w:r w:rsidRPr="000B4E2C">
        <w:t>http://www.globalhealthlibrary.net/php/index.php?lang</w:t>
      </w:r>
      <w:r w:rsidR="000B4E2C" w:rsidRPr="000B4E2C">
        <w:rPr>
          <w:color w:val="00B0F0"/>
        </w:rPr>
        <w:t> = </w:t>
      </w:r>
      <w:r w:rsidRPr="000B4E2C">
        <w:t>en</w:t>
      </w:r>
      <w:r w:rsidRPr="000B4E2C">
        <w:rPr>
          <w:rFonts w:cs="Times New Roman"/>
        </w:rPr>
        <w:t>)</w:t>
      </w:r>
    </w:p>
    <w:p w14:paraId="26AB7E75" w14:textId="77777777" w:rsidR="000B4E2C" w:rsidRPr="000B4E2C" w:rsidRDefault="002F0133" w:rsidP="008A7464">
      <w:pPr>
        <w:pStyle w:val="NoSpacing"/>
        <w:rPr>
          <w:rFonts w:cs="Times New Roman"/>
        </w:rPr>
      </w:pPr>
      <w:r w:rsidRPr="000B4E2C">
        <w:rPr>
          <w:rFonts w:cs="Times New Roman"/>
          <w:b/>
        </w:rPr>
        <w:t>EU Clinical Trials Register</w:t>
      </w:r>
      <w:r w:rsidRPr="000B4E2C">
        <w:rPr>
          <w:rFonts w:cs="Times New Roman"/>
        </w:rPr>
        <w:t xml:space="preserve"> (</w:t>
      </w:r>
      <w:r w:rsidRPr="000B4E2C">
        <w:t>https://www.clinicaltrialsregister.eu/</w:t>
      </w:r>
      <w:r w:rsidRPr="000B4E2C">
        <w:rPr>
          <w:rFonts w:cs="Times New Roman"/>
        </w:rPr>
        <w:t>)</w:t>
      </w:r>
    </w:p>
    <w:p w14:paraId="70F439CE" w14:textId="77777777" w:rsidR="000B4E2C" w:rsidRPr="000B4E2C" w:rsidRDefault="002F0133" w:rsidP="008A7464">
      <w:pPr>
        <w:pStyle w:val="NoSpacing"/>
        <w:rPr>
          <w:rFonts w:cs="Times New Roman"/>
        </w:rPr>
      </w:pPr>
      <w:r w:rsidRPr="000B4E2C">
        <w:rPr>
          <w:rFonts w:cs="Times New Roman"/>
          <w:b/>
        </w:rPr>
        <w:t>International Clinical Trials Registry Platform</w:t>
      </w:r>
      <w:r w:rsidRPr="000B4E2C">
        <w:rPr>
          <w:rFonts w:cs="Times New Roman"/>
        </w:rPr>
        <w:t xml:space="preserve"> (</w:t>
      </w:r>
      <w:r w:rsidRPr="000B4E2C">
        <w:t>http://www.isrctn.com/</w:t>
      </w:r>
      <w:r w:rsidRPr="000B4E2C">
        <w:rPr>
          <w:rFonts w:cs="Times New Roman"/>
        </w:rPr>
        <w:t>)</w:t>
      </w:r>
    </w:p>
    <w:p w14:paraId="7E929BF8" w14:textId="77777777" w:rsidR="000B4E2C" w:rsidRPr="000B4E2C" w:rsidRDefault="002F0133" w:rsidP="008A7464">
      <w:pPr>
        <w:pStyle w:val="NoSpacing"/>
        <w:rPr>
          <w:rFonts w:cs="Times New Roman"/>
        </w:rPr>
      </w:pPr>
      <w:r w:rsidRPr="000B4E2C">
        <w:rPr>
          <w:rFonts w:cs="Times New Roman"/>
          <w:b/>
        </w:rPr>
        <w:t>ClinicalTrials.gov</w:t>
      </w:r>
      <w:r w:rsidRPr="000B4E2C">
        <w:rPr>
          <w:rFonts w:cs="Times New Roman"/>
        </w:rPr>
        <w:t xml:space="preserve"> (via the US National Institutes of Health; Advanced Search Interface)</w:t>
      </w:r>
    </w:p>
    <w:p w14:paraId="7D1535C9" w14:textId="645A7DA2" w:rsidR="002F0133" w:rsidRPr="000B4E2C" w:rsidRDefault="002F0133" w:rsidP="008A7464">
      <w:pPr>
        <w:pStyle w:val="NoSpacing"/>
        <w:rPr>
          <w:rFonts w:cs="Times New Roman"/>
        </w:rPr>
      </w:pPr>
      <w:r w:rsidRPr="000B4E2C">
        <w:rPr>
          <w:rFonts w:cs="Times New Roman"/>
        </w:rPr>
        <w:t>Search terms used:</w:t>
      </w:r>
    </w:p>
    <w:p w14:paraId="51377B0A" w14:textId="77777777" w:rsidR="000B4E2C" w:rsidRPr="000B4E2C" w:rsidRDefault="002F0133" w:rsidP="008A7464">
      <w:pPr>
        <w:pStyle w:val="NoSpacing"/>
        <w:rPr>
          <w:rFonts w:cs="Times New Roman"/>
        </w:rPr>
      </w:pPr>
      <w:r w:rsidRPr="000B4E2C">
        <w:rPr>
          <w:rFonts w:cs="Times New Roman"/>
        </w:rPr>
        <w:t>Acute kidney/renal injury</w:t>
      </w:r>
    </w:p>
    <w:p w14:paraId="47555125" w14:textId="38CAA562" w:rsidR="002F0133" w:rsidRPr="000B4E2C" w:rsidRDefault="002F0133" w:rsidP="008A7464">
      <w:pPr>
        <w:pStyle w:val="NoSpacing"/>
        <w:rPr>
          <w:rFonts w:cs="Times New Roman"/>
        </w:rPr>
      </w:pPr>
      <w:r w:rsidRPr="000B4E2C">
        <w:rPr>
          <w:rFonts w:cs="Times New Roman"/>
        </w:rPr>
        <w:t>Acute kidney/renal failure</w:t>
      </w:r>
    </w:p>
    <w:p w14:paraId="114B6BBA" w14:textId="77777777" w:rsidR="000B4E2C" w:rsidRPr="000B4E2C" w:rsidRDefault="002F0133" w:rsidP="008A7464">
      <w:pPr>
        <w:pStyle w:val="NoSpacing"/>
        <w:rPr>
          <w:rFonts w:cs="Times New Roman"/>
        </w:rPr>
      </w:pPr>
      <w:r w:rsidRPr="000B4E2C">
        <w:rPr>
          <w:rFonts w:cs="Times New Roman"/>
        </w:rPr>
        <w:t>Kidney Tubular Necrosis</w:t>
      </w:r>
    </w:p>
    <w:p w14:paraId="1B9BEE2A" w14:textId="587811B0" w:rsidR="002F0133" w:rsidRPr="000B4E2C" w:rsidRDefault="002F0133" w:rsidP="008A7464">
      <w:pPr>
        <w:pStyle w:val="NoSpacing"/>
        <w:rPr>
          <w:rFonts w:cs="Times New Roman"/>
        </w:rPr>
      </w:pPr>
      <w:r w:rsidRPr="000B4E2C">
        <w:rPr>
          <w:rFonts w:cs="Times New Roman"/>
        </w:rPr>
        <w:t>contrast induced nephropathy</w:t>
      </w:r>
    </w:p>
    <w:p w14:paraId="148976E8" w14:textId="77777777" w:rsidR="000B4E2C" w:rsidRPr="000B4E2C" w:rsidRDefault="002F0133" w:rsidP="008A7464">
      <w:pPr>
        <w:pStyle w:val="NoSpacing"/>
        <w:rPr>
          <w:rFonts w:cs="Times New Roman"/>
        </w:rPr>
      </w:pPr>
      <w:r w:rsidRPr="000B4E2C">
        <w:rPr>
          <w:rFonts w:cs="Times New Roman"/>
        </w:rPr>
        <w:t>Nephrocheck</w:t>
      </w:r>
    </w:p>
    <w:p w14:paraId="2F14CE85" w14:textId="628A400C" w:rsidR="000B4E2C" w:rsidRPr="000B4E2C" w:rsidRDefault="002F0133" w:rsidP="008A7464">
      <w:pPr>
        <w:pStyle w:val="NoSpacing"/>
        <w:rPr>
          <w:rFonts w:cs="Times New Roman"/>
        </w:rPr>
      </w:pPr>
      <w:r w:rsidRPr="000B4E2C">
        <w:rPr>
          <w:rFonts w:cs="Times New Roman"/>
        </w:rPr>
        <w:t>TIM</w:t>
      </w:r>
      <w:r w:rsidR="000B4E2C" w:rsidRPr="000B4E2C">
        <w:rPr>
          <w:rFonts w:cs="Times New Roman"/>
          <w:color w:val="00B0F0"/>
        </w:rPr>
        <w:t>P</w:t>
      </w:r>
      <w:r w:rsidR="000B4E2C" w:rsidRPr="000B4E2C">
        <w:rPr>
          <w:rFonts w:cs="Times New Roman"/>
          <w:color w:val="00B0F0"/>
        </w:rPr>
        <w:t>-</w:t>
      </w:r>
      <w:r w:rsidR="000B4E2C" w:rsidRPr="000B4E2C">
        <w:rPr>
          <w:rFonts w:cs="Times New Roman"/>
          <w:color w:val="00B0F0"/>
        </w:rPr>
        <w:t>2</w:t>
      </w:r>
    </w:p>
    <w:p w14:paraId="54712BBE" w14:textId="77777777" w:rsidR="000B4E2C" w:rsidRPr="000B4E2C" w:rsidRDefault="002F0133" w:rsidP="008A7464">
      <w:pPr>
        <w:pStyle w:val="NoSpacing"/>
        <w:rPr>
          <w:rFonts w:cs="Times New Roman"/>
        </w:rPr>
      </w:pPr>
      <w:r w:rsidRPr="000B4E2C">
        <w:rPr>
          <w:rFonts w:cs="Times New Roman"/>
        </w:rPr>
        <w:t>Metalloproteinase</w:t>
      </w:r>
    </w:p>
    <w:p w14:paraId="0C9CDE71" w14:textId="77777777" w:rsidR="000B4E2C" w:rsidRPr="000B4E2C" w:rsidRDefault="002F0133" w:rsidP="008A7464">
      <w:pPr>
        <w:pStyle w:val="NoSpacing"/>
        <w:rPr>
          <w:rFonts w:cs="Times New Roman"/>
        </w:rPr>
      </w:pPr>
      <w:r w:rsidRPr="000B4E2C">
        <w:rPr>
          <w:rFonts w:cs="Times New Roman"/>
        </w:rPr>
        <w:t>IGFBP7</w:t>
      </w:r>
    </w:p>
    <w:p w14:paraId="31EA8CC5" w14:textId="77777777" w:rsidR="000B4E2C" w:rsidRPr="000B4E2C" w:rsidRDefault="002F0133" w:rsidP="008A7464">
      <w:pPr>
        <w:pStyle w:val="NoSpacing"/>
        <w:rPr>
          <w:rFonts w:cs="Times New Roman"/>
        </w:rPr>
      </w:pPr>
      <w:r w:rsidRPr="000B4E2C">
        <w:rPr>
          <w:rFonts w:cs="Times New Roman"/>
        </w:rPr>
        <w:t>Insulin-like growth factor-binding protein 7</w:t>
      </w:r>
    </w:p>
    <w:p w14:paraId="11F0D887" w14:textId="77777777" w:rsidR="000B4E2C" w:rsidRPr="000B4E2C" w:rsidRDefault="002F0133" w:rsidP="008A7464">
      <w:pPr>
        <w:pStyle w:val="NoSpacing"/>
        <w:rPr>
          <w:rFonts w:cs="Times New Roman"/>
        </w:rPr>
      </w:pPr>
      <w:r w:rsidRPr="000B4E2C">
        <w:rPr>
          <w:rFonts w:cs="Times New Roman"/>
        </w:rPr>
        <w:t>NGAL or uNGAL or sNGAL</w:t>
      </w:r>
    </w:p>
    <w:p w14:paraId="31B64352" w14:textId="77777777" w:rsidR="000B4E2C" w:rsidRPr="000B4E2C" w:rsidRDefault="002F0133" w:rsidP="008A7464">
      <w:pPr>
        <w:pStyle w:val="NoSpacing"/>
        <w:rPr>
          <w:rFonts w:cs="Times New Roman"/>
        </w:rPr>
      </w:pPr>
      <w:r w:rsidRPr="000B4E2C">
        <w:rPr>
          <w:rFonts w:cs="Times New Roman"/>
        </w:rPr>
        <w:t>Neutrophil gelatinase-associated lipocalin</w:t>
      </w:r>
    </w:p>
    <w:p w14:paraId="3FD70905" w14:textId="77777777" w:rsidR="000B4E2C" w:rsidRPr="000B4E2C" w:rsidRDefault="002F0133" w:rsidP="008A7464">
      <w:pPr>
        <w:pStyle w:val="NoSpacing"/>
        <w:rPr>
          <w:rFonts w:cs="Times New Roman"/>
        </w:rPr>
      </w:pPr>
      <w:r w:rsidRPr="000B4E2C">
        <w:rPr>
          <w:rFonts w:cs="Times New Roman"/>
        </w:rPr>
        <w:t>Results retrieved: 86</w:t>
      </w:r>
    </w:p>
    <w:p w14:paraId="0A001EF6" w14:textId="77777777" w:rsidR="000B4E2C" w:rsidRPr="000B4E2C" w:rsidRDefault="002F0133" w:rsidP="008A7464">
      <w:pPr>
        <w:pStyle w:val="Heading2"/>
      </w:pPr>
      <w:r w:rsidRPr="000B4E2C">
        <w:t>Appendix 2</w:t>
      </w:r>
      <w:r w:rsidRPr="000B4E2C">
        <w:tab/>
        <w:t xml:space="preserve">Screening </w:t>
      </w:r>
      <w:r w:rsidR="000469DB" w:rsidRPr="000B4E2C">
        <w:t>checklist</w:t>
      </w:r>
    </w:p>
    <w:p w14:paraId="289E3BB9" w14:textId="1023F1BC" w:rsidR="000B4E2C" w:rsidRPr="000B4E2C" w:rsidRDefault="000B4E2C" w:rsidP="00B14605">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25</w:t>
      </w:r>
      <w:r w:rsidRPr="000B4E2C">
        <w:t xml:space="preserve"> </w:t>
      </w:r>
      <w:r w:rsidR="00B14605" w:rsidRPr="000B4E2C">
        <w:t xml:space="preserve">Screening </w:t>
      </w:r>
      <w:r w:rsidR="000469DB" w:rsidRPr="000B4E2C">
        <w:t>checklist</w:t>
      </w:r>
    </w:p>
    <w:p w14:paraId="35336888" w14:textId="77777777" w:rsidR="000B4E2C" w:rsidRPr="000B4E2C" w:rsidRDefault="002F0133" w:rsidP="008A7464">
      <w:pPr>
        <w:pStyle w:val="Heading2"/>
      </w:pPr>
      <w:r w:rsidRPr="000B4E2C">
        <w:t>Appendix 3</w:t>
      </w:r>
      <w:r w:rsidRPr="000B4E2C">
        <w:tab/>
      </w:r>
      <w:r w:rsidRPr="000B4E2C">
        <w:rPr>
          <w:highlight w:val="magenta"/>
        </w:rPr>
        <w:t>Data</w:t>
      </w:r>
      <w:r w:rsidRPr="000B4E2C">
        <w:t xml:space="preserve"> extraction form</w:t>
      </w:r>
    </w:p>
    <w:p w14:paraId="72CAD26B" w14:textId="5965E5F2"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REF ID</w:t>
      </w:r>
      <w:r w:rsidRPr="000B4E2C">
        <w:rPr>
          <w:rFonts w:eastAsia="Calibri"/>
          <w:sz w:val="22"/>
          <w:highlight w:val="green"/>
          <w:lang w:val="en-GB"/>
        </w:rPr>
        <w:tab/>
      </w:r>
    </w:p>
    <w:p w14:paraId="69F734CD" w14:textId="77777777" w:rsidR="002F0133" w:rsidRPr="000B4E2C" w:rsidRDefault="002F0133" w:rsidP="002F0133">
      <w:pPr>
        <w:numPr>
          <w:ilvl w:val="1"/>
          <w:numId w:val="42"/>
        </w:numPr>
        <w:spacing w:after="160" w:line="259" w:lineRule="auto"/>
        <w:contextualSpacing/>
        <w:rPr>
          <w:rFonts w:eastAsia="Calibri"/>
          <w:sz w:val="22"/>
          <w:highlight w:val="green"/>
          <w:lang w:val="en-GB"/>
        </w:rPr>
      </w:pPr>
      <w:r w:rsidRPr="000B4E2C">
        <w:rPr>
          <w:rFonts w:eastAsia="Calibri"/>
          <w:sz w:val="22"/>
          <w:highlight w:val="green"/>
          <w:lang w:val="en-GB"/>
        </w:rPr>
        <w:lastRenderedPageBreak/>
        <w:t>Study 1st Author</w:t>
      </w:r>
    </w:p>
    <w:p w14:paraId="4BB185E5" w14:textId="77777777" w:rsidR="002F0133" w:rsidRPr="000B4E2C" w:rsidRDefault="002F0133" w:rsidP="002F0133">
      <w:pPr>
        <w:numPr>
          <w:ilvl w:val="1"/>
          <w:numId w:val="42"/>
        </w:numPr>
        <w:spacing w:after="160" w:line="259" w:lineRule="auto"/>
        <w:contextualSpacing/>
        <w:rPr>
          <w:rFonts w:eastAsia="Calibri"/>
          <w:sz w:val="22"/>
          <w:highlight w:val="green"/>
          <w:lang w:val="en-GB"/>
        </w:rPr>
      </w:pPr>
      <w:r w:rsidRPr="000B4E2C">
        <w:rPr>
          <w:rFonts w:eastAsia="Calibri"/>
          <w:sz w:val="22"/>
          <w:highlight w:val="green"/>
          <w:lang w:val="en-GB"/>
        </w:rPr>
        <w:t>Year</w:t>
      </w:r>
    </w:p>
    <w:p w14:paraId="746A91D5" w14:textId="77777777" w:rsidR="002F0133" w:rsidRPr="000B4E2C" w:rsidRDefault="002F0133" w:rsidP="002F0133">
      <w:pPr>
        <w:numPr>
          <w:ilvl w:val="1"/>
          <w:numId w:val="42"/>
        </w:numPr>
        <w:spacing w:after="160" w:line="259" w:lineRule="auto"/>
        <w:contextualSpacing/>
        <w:rPr>
          <w:rFonts w:eastAsia="Calibri"/>
          <w:sz w:val="22"/>
          <w:highlight w:val="green"/>
          <w:lang w:val="en-GB"/>
        </w:rPr>
      </w:pPr>
      <w:r w:rsidRPr="000B4E2C">
        <w:rPr>
          <w:rFonts w:eastAsia="Calibri"/>
          <w:sz w:val="22"/>
          <w:highlight w:val="green"/>
          <w:lang w:val="en-GB"/>
        </w:rPr>
        <w:t>Project study name</w:t>
      </w:r>
    </w:p>
    <w:p w14:paraId="37698AF2"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Reviewer</w:t>
      </w:r>
    </w:p>
    <w:p w14:paraId="67043569" w14:textId="77777777" w:rsidR="002F0133" w:rsidRPr="000B4E2C" w:rsidRDefault="002F0133" w:rsidP="008A7464">
      <w:pPr>
        <w:spacing w:after="160" w:line="259" w:lineRule="auto"/>
        <w:ind w:left="720"/>
        <w:contextualSpacing/>
        <w:rPr>
          <w:rFonts w:eastAsia="Calibri"/>
          <w:sz w:val="22"/>
          <w:highlight w:val="green"/>
          <w:lang w:val="en-GB"/>
        </w:rPr>
      </w:pPr>
    </w:p>
    <w:p w14:paraId="2781F2A2" w14:textId="77777777" w:rsidR="002F0133" w:rsidRPr="000B4E2C" w:rsidRDefault="002F0133" w:rsidP="008A7464">
      <w:pPr>
        <w:spacing w:after="160" w:line="259" w:lineRule="auto"/>
        <w:rPr>
          <w:rFonts w:eastAsia="Calibri"/>
          <w:sz w:val="22"/>
          <w:highlight w:val="green"/>
          <w:u w:val="single"/>
          <w:lang w:val="en-GB"/>
        </w:rPr>
      </w:pPr>
      <w:r w:rsidRPr="000B4E2C">
        <w:rPr>
          <w:rFonts w:eastAsia="Calibri"/>
          <w:sz w:val="22"/>
          <w:highlight w:val="green"/>
          <w:u w:val="single"/>
          <w:lang w:val="en-GB"/>
        </w:rPr>
        <w:t>BASELINE CHARACTERISTICS</w:t>
      </w:r>
    </w:p>
    <w:p w14:paraId="3F46037F"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Population (adults/child/both)</w:t>
      </w:r>
    </w:p>
    <w:p w14:paraId="7C010662"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Taret population (surgery – cardiac/surgery – other/ICU/ITU mixed pop/other mixed pop (A&amp;E, general hosp)/Sepsis/CKD/Liver disease/Organ transplant (except kidney)/Hip replacement/Trauma/Cardiac non-surgical)</w:t>
      </w:r>
    </w:p>
    <w:p w14:paraId="4E5EE958"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Recruitment period</w:t>
      </w:r>
    </w:p>
    <w:p w14:paraId="2A2AA5AB"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 xml:space="preserve">Study Centre( number of centres and names) </w:t>
      </w:r>
    </w:p>
    <w:p w14:paraId="41225CA6"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Country</w:t>
      </w:r>
      <w:r w:rsidRPr="000B4E2C">
        <w:rPr>
          <w:rFonts w:eastAsia="Calibri"/>
          <w:sz w:val="22"/>
          <w:highlight w:val="green"/>
          <w:lang w:val="en-GB"/>
        </w:rPr>
        <w:tab/>
      </w:r>
    </w:p>
    <w:p w14:paraId="5E4929BD"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 xml:space="preserve">Funding </w:t>
      </w:r>
    </w:p>
    <w:p w14:paraId="37D324E8" w14:textId="4A982E91"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 xml:space="preserve">Index Test1 (uNGAL, pNGAL or Nephrocheck) and Index Test kit 1 (e.g. ARCHITECT or ALINITY from ABBOTT, or ELISA </w:t>
      </w:r>
      <w:r w:rsidR="009D7F5A" w:rsidRPr="000B4E2C">
        <w:rPr>
          <w:rFonts w:eastAsia="Calibri"/>
          <w:sz w:val="22"/>
          <w:highlight w:val="green"/>
          <w:lang w:val="en-GB"/>
        </w:rPr>
        <w:t>BIOPORTO</w:t>
      </w:r>
      <w:r w:rsidRPr="000B4E2C">
        <w:rPr>
          <w:rFonts w:eastAsia="Calibri"/>
          <w:sz w:val="22"/>
          <w:highlight w:val="green"/>
          <w:lang w:val="en-GB"/>
        </w:rPr>
        <w:t>)</w:t>
      </w:r>
    </w:p>
    <w:p w14:paraId="3A3BABAD"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Age for all the sample</w:t>
      </w:r>
    </w:p>
    <w:p w14:paraId="1E35EC0F"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Sex</w:t>
      </w:r>
    </w:p>
    <w:p w14:paraId="15ADB79F"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sCr</w:t>
      </w:r>
    </w:p>
    <w:p w14:paraId="4469FCC5"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eGFR</w:t>
      </w:r>
    </w:p>
    <w:p w14:paraId="3112D946"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SOFA Score</w:t>
      </w:r>
    </w:p>
    <w:p w14:paraId="3B2625C0"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CKD</w:t>
      </w:r>
    </w:p>
    <w:p w14:paraId="41830FFD"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Time point of measurement (Non-surgical: Closest to admission, Surgical: Immediate after surgery, truly prognosis record different time points)</w:t>
      </w:r>
    </w:p>
    <w:p w14:paraId="5C09438F"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Threshold reported</w:t>
      </w:r>
    </w:p>
    <w:p w14:paraId="6A71BF4E"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Report cut-off for NephroCheck or NGAL</w:t>
      </w:r>
    </w:p>
    <w:p w14:paraId="28C504EE" w14:textId="77777777" w:rsidR="002F0133" w:rsidRPr="000B4E2C" w:rsidRDefault="002F0133" w:rsidP="002F0133">
      <w:pPr>
        <w:numPr>
          <w:ilvl w:val="0"/>
          <w:numId w:val="42"/>
        </w:numPr>
        <w:spacing w:after="160" w:line="259" w:lineRule="auto"/>
        <w:contextualSpacing/>
        <w:rPr>
          <w:rFonts w:eastAsia="Calibri"/>
          <w:sz w:val="22"/>
          <w:highlight w:val="green"/>
          <w:lang w:val="pt-BR"/>
        </w:rPr>
      </w:pPr>
      <w:r w:rsidRPr="000B4E2C">
        <w:rPr>
          <w:rFonts w:eastAsia="Calibri"/>
          <w:sz w:val="22"/>
          <w:highlight w:val="green"/>
          <w:lang w:val="pt-BR"/>
        </w:rPr>
        <w:t>TP, FN, FP, TN</w:t>
      </w:r>
    </w:p>
    <w:p w14:paraId="295AE006"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N with AKI present (TP + FN) confirmed by RefStd</w:t>
      </w:r>
    </w:p>
    <w:p w14:paraId="1E511D8C"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N with AKI absent (FP+ TN) confirmed by RefStd</w:t>
      </w:r>
    </w:p>
    <w:p w14:paraId="28E755C2"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N with AKI present (TP + FP) confirmed by TEST</w:t>
      </w:r>
    </w:p>
    <w:p w14:paraId="4DD1BB68"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N with AKI absent (FN +TP) confirmed by TEST</w:t>
      </w:r>
    </w:p>
    <w:p w14:paraId="020F6D03" w14:textId="77777777" w:rsidR="002F0133" w:rsidRPr="000B4E2C" w:rsidRDefault="002F0133" w:rsidP="008A7464">
      <w:pPr>
        <w:spacing w:after="160" w:line="259" w:lineRule="auto"/>
        <w:ind w:left="720"/>
        <w:contextualSpacing/>
        <w:rPr>
          <w:rFonts w:eastAsia="Calibri"/>
          <w:sz w:val="22"/>
          <w:lang w:val="en-GB"/>
        </w:rPr>
      </w:pPr>
    </w:p>
    <w:p w14:paraId="24D5B29B" w14:textId="77777777" w:rsidR="002F0133" w:rsidRPr="000B4E2C" w:rsidRDefault="002F0133" w:rsidP="008A7464">
      <w:pPr>
        <w:spacing w:after="160" w:line="259" w:lineRule="auto"/>
        <w:rPr>
          <w:rFonts w:eastAsia="Calibri"/>
          <w:sz w:val="22"/>
          <w:highlight w:val="green"/>
          <w:u w:val="single"/>
          <w:lang w:val="en-GB"/>
        </w:rPr>
      </w:pPr>
      <w:r w:rsidRPr="000B4E2C">
        <w:rPr>
          <w:rFonts w:eastAsia="Calibri"/>
          <w:sz w:val="22"/>
          <w:highlight w:val="green"/>
          <w:u w:val="single"/>
          <w:lang w:val="en-GB"/>
        </w:rPr>
        <w:t xml:space="preserve">FOR EACH OUTCOME (AKI DIAGNOSIS, MORTALITY PROGNOSIS, RRT PROGNOSIS and AKI PROGNOSIS) </w:t>
      </w:r>
    </w:p>
    <w:p w14:paraId="3531A5B9"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SENSITIVITY (Lower-Upper 95% CI)</w:t>
      </w:r>
    </w:p>
    <w:p w14:paraId="4CAF8AA4"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SPECIFICITY (Lower-Upper 95% CI)</w:t>
      </w:r>
    </w:p>
    <w:p w14:paraId="056686A8"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Area Under the Curve (Lower -Upper 95% CI)</w:t>
      </w:r>
    </w:p>
    <w:p w14:paraId="49487CAC"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PPV (Lower -Upper 95% CI)</w:t>
      </w:r>
    </w:p>
    <w:p w14:paraId="7CE3C1AD"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NPV (Lower -Upper 95% CI)</w:t>
      </w:r>
    </w:p>
    <w:p w14:paraId="4889F8F7"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PLR (Lower-Upper 95% CI)</w:t>
      </w:r>
    </w:p>
    <w:p w14:paraId="702103F4"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NLR (Lower-Upper 95% CI)</w:t>
      </w:r>
    </w:p>
    <w:p w14:paraId="3DA19AE1" w14:textId="77777777" w:rsidR="002F0133" w:rsidRPr="000B4E2C" w:rsidRDefault="002F0133" w:rsidP="002F0133">
      <w:pPr>
        <w:numPr>
          <w:ilvl w:val="0"/>
          <w:numId w:val="42"/>
        </w:numPr>
        <w:spacing w:after="160" w:line="259" w:lineRule="auto"/>
        <w:contextualSpacing/>
        <w:rPr>
          <w:rFonts w:eastAsia="Calibri"/>
          <w:sz w:val="22"/>
          <w:highlight w:val="green"/>
          <w:lang w:val="en-GB"/>
        </w:rPr>
      </w:pPr>
      <w:r w:rsidRPr="000B4E2C">
        <w:rPr>
          <w:rFonts w:eastAsia="Calibri"/>
          <w:sz w:val="22"/>
          <w:highlight w:val="green"/>
          <w:lang w:val="en-GB"/>
        </w:rPr>
        <w:t>Comment</w:t>
      </w:r>
    </w:p>
    <w:p w14:paraId="099A25C9" w14:textId="77777777" w:rsidR="000B4E2C" w:rsidRPr="000B4E2C" w:rsidRDefault="000B4E2C" w:rsidP="008A7464">
      <w:pPr>
        <w:spacing w:after="200" w:line="276" w:lineRule="auto"/>
        <w:rPr>
          <w:rFonts w:eastAsia="Calibri"/>
          <w:sz w:val="22"/>
          <w:lang w:val="en-GB"/>
        </w:rPr>
      </w:pPr>
    </w:p>
    <w:p w14:paraId="31DF29CC" w14:textId="77777777" w:rsidR="000B4E2C" w:rsidRPr="000B4E2C" w:rsidRDefault="002F0133" w:rsidP="008A7464">
      <w:pPr>
        <w:pStyle w:val="Heading2"/>
      </w:pPr>
      <w:r w:rsidRPr="000B4E2C">
        <w:lastRenderedPageBreak/>
        <w:t>Appendix 4</w:t>
      </w:r>
      <w:r w:rsidRPr="000B4E2C">
        <w:tab/>
        <w:t>QUADAS 2 form</w:t>
      </w:r>
    </w:p>
    <w:p w14:paraId="2EC3136E" w14:textId="103DE74D" w:rsidR="002F0133" w:rsidRPr="000B4E2C" w:rsidRDefault="002F0133" w:rsidP="002F0133">
      <w:pPr>
        <w:numPr>
          <w:ilvl w:val="0"/>
          <w:numId w:val="43"/>
        </w:numPr>
        <w:spacing w:after="160" w:line="259" w:lineRule="auto"/>
        <w:contextualSpacing/>
        <w:rPr>
          <w:rFonts w:eastAsia="Calibri"/>
          <w:sz w:val="22"/>
          <w:lang w:val="en-GB"/>
        </w:rPr>
      </w:pPr>
      <w:r w:rsidRPr="000B4E2C">
        <w:rPr>
          <w:rFonts w:eastAsia="Calibri"/>
          <w:sz w:val="22"/>
          <w:lang w:val="en-GB"/>
        </w:rPr>
        <w:t>Selection of participants (e.g. prospective, consecutive, recruited ALL patients, random sample)</w:t>
      </w:r>
    </w:p>
    <w:p w14:paraId="0CCD23A1" w14:textId="29993DC6" w:rsidR="002F0133" w:rsidRPr="000B4E2C" w:rsidRDefault="000B4E2C" w:rsidP="002F0133">
      <w:pPr>
        <w:numPr>
          <w:ilvl w:val="0"/>
          <w:numId w:val="43"/>
        </w:numPr>
        <w:spacing w:after="160" w:line="259" w:lineRule="auto"/>
        <w:contextualSpacing/>
        <w:rPr>
          <w:rFonts w:eastAsia="Calibri"/>
          <w:b/>
          <w:sz w:val="22"/>
          <w:lang w:val="en-GB"/>
        </w:rPr>
      </w:pPr>
      <w:r w:rsidRPr="000B4E2C">
        <w:rPr>
          <w:rFonts w:eastAsia="Calibri"/>
          <w:b/>
          <w:color w:val="00B0F0"/>
          <w:sz w:val="22"/>
          <w:lang w:val="en-GB"/>
        </w:rPr>
        <w:t>1</w:t>
      </w:r>
      <w:r w:rsidRPr="000B4E2C">
        <w:rPr>
          <w:rFonts w:eastAsia="Calibri"/>
          <w:b/>
          <w:color w:val="00B0F0"/>
          <w:sz w:val="22"/>
          <w:lang w:val="en-GB"/>
        </w:rPr>
        <w:t> </w:t>
      </w:r>
      <w:r w:rsidRPr="000B4E2C">
        <w:rPr>
          <w:rFonts w:eastAsia="Calibri"/>
          <w:b/>
          <w:color w:val="00B0F0"/>
          <w:sz w:val="22"/>
          <w:lang w:val="en-GB"/>
        </w:rPr>
        <w:t xml:space="preserve">A </w:t>
      </w:r>
      <w:r w:rsidR="002F0133" w:rsidRPr="000B4E2C">
        <w:rPr>
          <w:rFonts w:eastAsia="Calibri"/>
          <w:b/>
          <w:sz w:val="22"/>
          <w:lang w:val="en-GB"/>
        </w:rPr>
        <w:t>Could the selection of patients have introduced bias? (Low</w:t>
      </w:r>
      <w:r w:rsidRPr="000B4E2C">
        <w:rPr>
          <w:rFonts w:eastAsia="Calibri"/>
          <w:b/>
          <w:color w:val="00B0F0"/>
          <w:sz w:val="22"/>
          <w:lang w:val="en-GB"/>
        </w:rPr>
        <w:t>/</w:t>
      </w:r>
      <w:r w:rsidR="002F0133" w:rsidRPr="000B4E2C">
        <w:rPr>
          <w:rFonts w:eastAsia="Calibri"/>
          <w:b/>
          <w:sz w:val="22"/>
          <w:lang w:val="en-GB"/>
        </w:rPr>
        <w:t>Unclear/High)</w:t>
      </w:r>
    </w:p>
    <w:p w14:paraId="34DC8199" w14:textId="0D397D50" w:rsidR="002F0133" w:rsidRPr="000B4E2C" w:rsidRDefault="000B4E2C" w:rsidP="002F0133">
      <w:pPr>
        <w:numPr>
          <w:ilvl w:val="1"/>
          <w:numId w:val="43"/>
        </w:numPr>
        <w:spacing w:after="160" w:line="259" w:lineRule="auto"/>
        <w:contextualSpacing/>
        <w:rPr>
          <w:rFonts w:eastAsia="Calibri"/>
          <w:sz w:val="22"/>
          <w:lang w:val="en-GB"/>
        </w:rPr>
      </w:pPr>
      <w:r w:rsidRPr="000B4E2C">
        <w:rPr>
          <w:rFonts w:eastAsia="Calibri"/>
          <w:color w:val="00B0F0"/>
          <w:sz w:val="22"/>
          <w:lang w:val="en-GB"/>
        </w:rPr>
        <w:t>1</w:t>
      </w:r>
      <w:r w:rsidRPr="000B4E2C">
        <w:rPr>
          <w:rFonts w:eastAsia="Calibri"/>
          <w:color w:val="00B0F0"/>
          <w:sz w:val="22"/>
          <w:lang w:val="en-GB"/>
        </w:rPr>
        <w:t> </w:t>
      </w:r>
      <w:r w:rsidRPr="000B4E2C">
        <w:rPr>
          <w:rFonts w:eastAsia="Calibri"/>
          <w:color w:val="00B0F0"/>
          <w:sz w:val="22"/>
          <w:lang w:val="en-GB"/>
        </w:rPr>
        <w:t>A(</w:t>
      </w:r>
      <w:r w:rsidR="002F0133" w:rsidRPr="000B4E2C">
        <w:rPr>
          <w:rFonts w:eastAsia="Calibri"/>
          <w:sz w:val="22"/>
          <w:lang w:val="en-GB"/>
        </w:rPr>
        <w:t>a) Was a consecutive or random sample of patients enrolled? (Low</w:t>
      </w:r>
      <w:r w:rsidRPr="000B4E2C">
        <w:rPr>
          <w:rFonts w:eastAsia="Calibri"/>
          <w:color w:val="00B0F0"/>
          <w:sz w:val="22"/>
          <w:lang w:val="en-GB"/>
        </w:rPr>
        <w:t>/</w:t>
      </w:r>
      <w:r w:rsidR="002F0133" w:rsidRPr="000B4E2C">
        <w:rPr>
          <w:rFonts w:eastAsia="Calibri"/>
          <w:sz w:val="22"/>
          <w:lang w:val="en-GB"/>
        </w:rPr>
        <w:t>Unclear/High)</w:t>
      </w:r>
    </w:p>
    <w:p w14:paraId="0A64A792" w14:textId="20B7C871" w:rsidR="002F0133" w:rsidRPr="000B4E2C" w:rsidRDefault="000B4E2C" w:rsidP="002F0133">
      <w:pPr>
        <w:numPr>
          <w:ilvl w:val="1"/>
          <w:numId w:val="43"/>
        </w:numPr>
        <w:spacing w:after="160" w:line="259" w:lineRule="auto"/>
        <w:contextualSpacing/>
        <w:rPr>
          <w:rFonts w:eastAsia="Calibri"/>
          <w:sz w:val="22"/>
          <w:lang w:val="en-GB"/>
        </w:rPr>
      </w:pPr>
      <w:r w:rsidRPr="000B4E2C">
        <w:rPr>
          <w:rFonts w:eastAsia="Calibri"/>
          <w:color w:val="00B0F0"/>
          <w:sz w:val="22"/>
          <w:lang w:val="en-GB"/>
        </w:rPr>
        <w:t>1</w:t>
      </w:r>
      <w:r w:rsidRPr="000B4E2C">
        <w:rPr>
          <w:rFonts w:eastAsia="Calibri"/>
          <w:color w:val="00B0F0"/>
          <w:sz w:val="22"/>
          <w:lang w:val="en-GB"/>
        </w:rPr>
        <w:t> </w:t>
      </w:r>
      <w:r w:rsidRPr="000B4E2C">
        <w:rPr>
          <w:rFonts w:eastAsia="Calibri"/>
          <w:color w:val="00B0F0"/>
          <w:sz w:val="22"/>
          <w:lang w:val="en-GB"/>
        </w:rPr>
        <w:t>A(</w:t>
      </w:r>
      <w:r w:rsidR="002F0133" w:rsidRPr="000B4E2C">
        <w:rPr>
          <w:rFonts w:eastAsia="Calibri"/>
          <w:sz w:val="22"/>
          <w:lang w:val="en-GB"/>
        </w:rPr>
        <w:t xml:space="preserve">b) Was a </w:t>
      </w:r>
      <w:r w:rsidRPr="000B4E2C">
        <w:rPr>
          <w:rFonts w:eastAsia="Calibri"/>
          <w:color w:val="00B0F0"/>
          <w:sz w:val="22"/>
          <w:lang w:val="en-GB"/>
        </w:rPr>
        <w:t>case–control</w:t>
      </w:r>
      <w:r w:rsidR="002F0133" w:rsidRPr="000B4E2C">
        <w:rPr>
          <w:rFonts w:eastAsia="Calibri"/>
          <w:sz w:val="22"/>
          <w:lang w:val="en-GB"/>
        </w:rPr>
        <w:t xml:space="preserve"> design avoided? (Yes</w:t>
      </w:r>
      <w:r w:rsidRPr="000B4E2C">
        <w:rPr>
          <w:rFonts w:eastAsia="Calibri"/>
          <w:color w:val="00B0F0"/>
          <w:sz w:val="22"/>
          <w:lang w:val="en-GB"/>
        </w:rPr>
        <w:t>/</w:t>
      </w:r>
      <w:r w:rsidR="002F0133" w:rsidRPr="000B4E2C">
        <w:rPr>
          <w:rFonts w:eastAsia="Calibri"/>
          <w:sz w:val="22"/>
          <w:lang w:val="en-GB"/>
        </w:rPr>
        <w:t>Unclear/No)</w:t>
      </w:r>
    </w:p>
    <w:p w14:paraId="527D4F79" w14:textId="350C8D17" w:rsidR="002F0133" w:rsidRPr="000B4E2C" w:rsidRDefault="000B4E2C" w:rsidP="002F0133">
      <w:pPr>
        <w:numPr>
          <w:ilvl w:val="1"/>
          <w:numId w:val="43"/>
        </w:numPr>
        <w:spacing w:after="160" w:line="259" w:lineRule="auto"/>
        <w:contextualSpacing/>
        <w:rPr>
          <w:rFonts w:eastAsia="Calibri"/>
          <w:sz w:val="22"/>
          <w:lang w:val="en-GB"/>
        </w:rPr>
      </w:pPr>
      <w:r w:rsidRPr="000B4E2C">
        <w:rPr>
          <w:rFonts w:eastAsia="Calibri"/>
          <w:color w:val="00B0F0"/>
          <w:sz w:val="22"/>
          <w:lang w:val="en-GB"/>
        </w:rPr>
        <w:t>1</w:t>
      </w:r>
      <w:r w:rsidRPr="000B4E2C">
        <w:rPr>
          <w:rFonts w:eastAsia="Calibri"/>
          <w:color w:val="00B0F0"/>
          <w:sz w:val="22"/>
          <w:lang w:val="en-GB"/>
        </w:rPr>
        <w:t> </w:t>
      </w:r>
      <w:r w:rsidRPr="000B4E2C">
        <w:rPr>
          <w:rFonts w:eastAsia="Calibri"/>
          <w:color w:val="00B0F0"/>
          <w:sz w:val="22"/>
          <w:lang w:val="en-GB"/>
        </w:rPr>
        <w:t>A(</w:t>
      </w:r>
      <w:r w:rsidR="002F0133" w:rsidRPr="000B4E2C">
        <w:rPr>
          <w:rFonts w:eastAsia="Calibri"/>
          <w:sz w:val="22"/>
          <w:lang w:val="en-GB"/>
        </w:rPr>
        <w:t>c) Did the study avoid inappropriate exclusions? (Yes</w:t>
      </w:r>
      <w:r w:rsidRPr="000B4E2C">
        <w:rPr>
          <w:rFonts w:eastAsia="Calibri"/>
          <w:color w:val="00B0F0"/>
          <w:sz w:val="22"/>
          <w:lang w:val="en-GB"/>
        </w:rPr>
        <w:t>/</w:t>
      </w:r>
      <w:r w:rsidR="002F0133" w:rsidRPr="000B4E2C">
        <w:rPr>
          <w:rFonts w:eastAsia="Calibri"/>
          <w:sz w:val="22"/>
          <w:lang w:val="en-GB"/>
        </w:rPr>
        <w:t>Unclear/No)</w:t>
      </w:r>
    </w:p>
    <w:p w14:paraId="2C5EC115" w14:textId="77777777" w:rsidR="002F0133" w:rsidRPr="000B4E2C" w:rsidRDefault="002F0133" w:rsidP="002F0133">
      <w:pPr>
        <w:numPr>
          <w:ilvl w:val="0"/>
          <w:numId w:val="43"/>
        </w:numPr>
        <w:spacing w:after="160" w:line="259" w:lineRule="auto"/>
        <w:contextualSpacing/>
        <w:rPr>
          <w:rFonts w:eastAsia="Calibri"/>
          <w:sz w:val="22"/>
          <w:lang w:val="en-GB"/>
        </w:rPr>
      </w:pPr>
      <w:r w:rsidRPr="000B4E2C">
        <w:rPr>
          <w:rFonts w:eastAsia="Calibri"/>
          <w:sz w:val="22"/>
          <w:lang w:val="en-GB"/>
        </w:rPr>
        <w:t>Inclusion criteria</w:t>
      </w:r>
    </w:p>
    <w:p w14:paraId="4A21FA3A" w14:textId="77777777" w:rsidR="002F0133" w:rsidRPr="000B4E2C" w:rsidRDefault="002F0133" w:rsidP="002F0133">
      <w:pPr>
        <w:numPr>
          <w:ilvl w:val="0"/>
          <w:numId w:val="43"/>
        </w:numPr>
        <w:spacing w:after="160" w:line="259" w:lineRule="auto"/>
        <w:contextualSpacing/>
        <w:rPr>
          <w:rFonts w:eastAsia="Calibri"/>
          <w:sz w:val="22"/>
          <w:lang w:val="en-GB"/>
        </w:rPr>
      </w:pPr>
      <w:r w:rsidRPr="000B4E2C">
        <w:rPr>
          <w:rFonts w:eastAsia="Calibri"/>
          <w:sz w:val="22"/>
          <w:lang w:val="en-GB"/>
        </w:rPr>
        <w:t>Exclusion criteria</w:t>
      </w:r>
    </w:p>
    <w:p w14:paraId="1489545F" w14:textId="77777777" w:rsidR="002F0133" w:rsidRPr="000B4E2C" w:rsidRDefault="002F0133" w:rsidP="002F0133">
      <w:pPr>
        <w:numPr>
          <w:ilvl w:val="0"/>
          <w:numId w:val="43"/>
        </w:numPr>
        <w:spacing w:after="160" w:line="259" w:lineRule="auto"/>
        <w:contextualSpacing/>
        <w:rPr>
          <w:rFonts w:eastAsia="Calibri"/>
          <w:sz w:val="22"/>
          <w:lang w:val="en-GB"/>
        </w:rPr>
      </w:pPr>
      <w:r w:rsidRPr="000B4E2C">
        <w:rPr>
          <w:rFonts w:eastAsia="Calibri"/>
          <w:sz w:val="22"/>
          <w:lang w:val="en-GB"/>
        </w:rPr>
        <w:t>Included patients: Describe any concerns/specifics regarding included patients (prior testing, presentation, intended use of index test and setting)</w:t>
      </w:r>
    </w:p>
    <w:p w14:paraId="7376770F" w14:textId="19A4D3F3" w:rsidR="002F0133" w:rsidRPr="000B4E2C" w:rsidRDefault="002F0133" w:rsidP="002F0133">
      <w:pPr>
        <w:numPr>
          <w:ilvl w:val="0"/>
          <w:numId w:val="43"/>
        </w:numPr>
        <w:spacing w:after="160" w:line="259" w:lineRule="auto"/>
        <w:contextualSpacing/>
        <w:rPr>
          <w:rFonts w:eastAsia="Calibri"/>
          <w:b/>
          <w:sz w:val="22"/>
          <w:lang w:val="en-GB"/>
        </w:rPr>
      </w:pPr>
      <w:r w:rsidRPr="000B4E2C">
        <w:rPr>
          <w:rFonts w:eastAsia="Calibri"/>
          <w:b/>
          <w:sz w:val="22"/>
          <w:lang w:val="en-GB"/>
        </w:rPr>
        <w:t>1B Is there concern that the included patients do not match the review question? (Low</w:t>
      </w:r>
      <w:r w:rsidR="000B4E2C" w:rsidRPr="000B4E2C">
        <w:rPr>
          <w:rFonts w:eastAsia="Calibri"/>
          <w:b/>
          <w:color w:val="00B0F0"/>
          <w:sz w:val="22"/>
          <w:lang w:val="en-GB"/>
        </w:rPr>
        <w:t>/</w:t>
      </w:r>
      <w:r w:rsidRPr="000B4E2C">
        <w:rPr>
          <w:rFonts w:eastAsia="Calibri"/>
          <w:b/>
          <w:sz w:val="22"/>
          <w:lang w:val="en-GB"/>
        </w:rPr>
        <w:t>Unclear/High)</w:t>
      </w:r>
    </w:p>
    <w:p w14:paraId="22C25D48" w14:textId="77777777" w:rsidR="002F0133" w:rsidRPr="000B4E2C" w:rsidRDefault="002F0133" w:rsidP="002F0133">
      <w:pPr>
        <w:numPr>
          <w:ilvl w:val="0"/>
          <w:numId w:val="43"/>
        </w:numPr>
        <w:spacing w:after="160" w:line="259" w:lineRule="auto"/>
        <w:contextualSpacing/>
        <w:rPr>
          <w:rFonts w:eastAsia="Calibri"/>
          <w:sz w:val="22"/>
          <w:lang w:val="en-GB"/>
        </w:rPr>
      </w:pPr>
      <w:r w:rsidRPr="000B4E2C">
        <w:rPr>
          <w:rFonts w:eastAsia="Calibri"/>
          <w:sz w:val="22"/>
          <w:lang w:val="en-GB"/>
        </w:rPr>
        <w:t>Test method</w:t>
      </w:r>
    </w:p>
    <w:p w14:paraId="15815D1D" w14:textId="77777777" w:rsidR="002F0133" w:rsidRPr="000B4E2C" w:rsidRDefault="002F0133" w:rsidP="002F0133">
      <w:pPr>
        <w:numPr>
          <w:ilvl w:val="0"/>
          <w:numId w:val="43"/>
        </w:numPr>
        <w:spacing w:after="160" w:line="259" w:lineRule="auto"/>
        <w:contextualSpacing/>
        <w:rPr>
          <w:rFonts w:eastAsia="Calibri"/>
          <w:sz w:val="22"/>
          <w:lang w:val="en-GB"/>
        </w:rPr>
      </w:pPr>
      <w:r w:rsidRPr="000B4E2C">
        <w:rPr>
          <w:rFonts w:eastAsia="Calibri"/>
          <w:sz w:val="22"/>
          <w:lang w:val="en-GB"/>
        </w:rPr>
        <w:t>Test timing</w:t>
      </w:r>
    </w:p>
    <w:p w14:paraId="1EDDDFBA" w14:textId="77777777" w:rsidR="002F0133" w:rsidRPr="000B4E2C" w:rsidRDefault="002F0133" w:rsidP="002F0133">
      <w:pPr>
        <w:numPr>
          <w:ilvl w:val="0"/>
          <w:numId w:val="43"/>
        </w:numPr>
        <w:spacing w:after="160" w:line="259" w:lineRule="auto"/>
        <w:contextualSpacing/>
        <w:rPr>
          <w:rFonts w:eastAsia="Calibri"/>
          <w:sz w:val="22"/>
          <w:lang w:val="en-GB"/>
        </w:rPr>
      </w:pPr>
      <w:r w:rsidRPr="000B4E2C">
        <w:rPr>
          <w:rFonts w:eastAsia="Calibri"/>
          <w:sz w:val="22"/>
          <w:lang w:val="en-GB"/>
        </w:rPr>
        <w:t>Test How Work: Describe the index test and how it was conducted and interpreted</w:t>
      </w:r>
    </w:p>
    <w:p w14:paraId="40DCB345" w14:textId="4D3F09C7" w:rsidR="002F0133" w:rsidRPr="000B4E2C" w:rsidRDefault="000B4E2C" w:rsidP="002F0133">
      <w:pPr>
        <w:numPr>
          <w:ilvl w:val="0"/>
          <w:numId w:val="43"/>
        </w:numPr>
        <w:spacing w:after="160" w:line="259" w:lineRule="auto"/>
        <w:contextualSpacing/>
        <w:rPr>
          <w:rFonts w:eastAsia="Calibri"/>
          <w:b/>
          <w:sz w:val="22"/>
          <w:lang w:val="en-GB"/>
        </w:rPr>
      </w:pPr>
      <w:r w:rsidRPr="000B4E2C">
        <w:rPr>
          <w:rFonts w:eastAsia="Calibri"/>
          <w:b/>
          <w:color w:val="00B0F0"/>
          <w:sz w:val="22"/>
          <w:lang w:val="en-GB"/>
        </w:rPr>
        <w:t>2</w:t>
      </w:r>
      <w:r w:rsidRPr="000B4E2C">
        <w:rPr>
          <w:rFonts w:eastAsia="Calibri"/>
          <w:b/>
          <w:color w:val="00B0F0"/>
          <w:sz w:val="22"/>
          <w:lang w:val="en-GB"/>
        </w:rPr>
        <w:t> </w:t>
      </w:r>
      <w:r w:rsidRPr="000B4E2C">
        <w:rPr>
          <w:rFonts w:eastAsia="Calibri"/>
          <w:b/>
          <w:color w:val="00B0F0"/>
          <w:sz w:val="22"/>
          <w:lang w:val="en-GB"/>
        </w:rPr>
        <w:t xml:space="preserve">A </w:t>
      </w:r>
      <w:r w:rsidR="002F0133" w:rsidRPr="000B4E2C">
        <w:rPr>
          <w:rFonts w:eastAsia="Calibri"/>
          <w:b/>
          <w:sz w:val="22"/>
          <w:lang w:val="en-GB"/>
        </w:rPr>
        <w:t>Could the conduct or interpretation of the index test have introduced bias? (Low</w:t>
      </w:r>
      <w:r w:rsidRPr="000B4E2C">
        <w:rPr>
          <w:rFonts w:eastAsia="Calibri"/>
          <w:b/>
          <w:color w:val="00B0F0"/>
          <w:sz w:val="22"/>
          <w:lang w:val="en-GB"/>
        </w:rPr>
        <w:t>/</w:t>
      </w:r>
      <w:r w:rsidR="002F0133" w:rsidRPr="000B4E2C">
        <w:rPr>
          <w:rFonts w:eastAsia="Calibri"/>
          <w:b/>
          <w:sz w:val="22"/>
          <w:lang w:val="en-GB"/>
        </w:rPr>
        <w:t>Unclear/High)</w:t>
      </w:r>
    </w:p>
    <w:p w14:paraId="6DD62997" w14:textId="14D476AA" w:rsidR="002F0133" w:rsidRPr="000B4E2C" w:rsidRDefault="000B4E2C" w:rsidP="002F0133">
      <w:pPr>
        <w:numPr>
          <w:ilvl w:val="1"/>
          <w:numId w:val="43"/>
        </w:numPr>
        <w:spacing w:after="160" w:line="259" w:lineRule="auto"/>
        <w:contextualSpacing/>
        <w:rPr>
          <w:rFonts w:eastAsia="Calibri"/>
          <w:sz w:val="22"/>
          <w:lang w:val="en-GB"/>
        </w:rPr>
      </w:pPr>
      <w:r w:rsidRPr="000B4E2C">
        <w:rPr>
          <w:rFonts w:eastAsia="Calibri"/>
          <w:color w:val="00B0F0"/>
          <w:sz w:val="22"/>
          <w:lang w:val="en-GB"/>
        </w:rPr>
        <w:t>2</w:t>
      </w:r>
      <w:r w:rsidRPr="000B4E2C">
        <w:rPr>
          <w:rFonts w:eastAsia="Calibri"/>
          <w:color w:val="00B0F0"/>
          <w:sz w:val="22"/>
          <w:lang w:val="en-GB"/>
        </w:rPr>
        <w:t> </w:t>
      </w:r>
      <w:r w:rsidRPr="000B4E2C">
        <w:rPr>
          <w:rFonts w:eastAsia="Calibri"/>
          <w:color w:val="00B0F0"/>
          <w:sz w:val="22"/>
          <w:lang w:val="en-GB"/>
        </w:rPr>
        <w:t>A(</w:t>
      </w:r>
      <w:r w:rsidR="002F0133" w:rsidRPr="000B4E2C">
        <w:rPr>
          <w:rFonts w:eastAsia="Calibri"/>
          <w:sz w:val="22"/>
          <w:lang w:val="en-GB"/>
        </w:rPr>
        <w:t>a) Were the index test results interpreted without knowledge of the results of the reference standard? (Yes</w:t>
      </w:r>
      <w:r w:rsidRPr="000B4E2C">
        <w:rPr>
          <w:rFonts w:eastAsia="Calibri"/>
          <w:color w:val="00B0F0"/>
          <w:sz w:val="22"/>
          <w:lang w:val="en-GB"/>
        </w:rPr>
        <w:t>/</w:t>
      </w:r>
      <w:r w:rsidR="002F0133" w:rsidRPr="000B4E2C">
        <w:rPr>
          <w:rFonts w:eastAsia="Calibri"/>
          <w:sz w:val="22"/>
          <w:lang w:val="en-GB"/>
        </w:rPr>
        <w:t>Unclear/No)</w:t>
      </w:r>
    </w:p>
    <w:p w14:paraId="4C0689A7" w14:textId="5676031E" w:rsidR="002F0133" w:rsidRPr="000B4E2C" w:rsidRDefault="000B4E2C" w:rsidP="002F0133">
      <w:pPr>
        <w:numPr>
          <w:ilvl w:val="1"/>
          <w:numId w:val="43"/>
        </w:numPr>
        <w:spacing w:after="160" w:line="259" w:lineRule="auto"/>
        <w:contextualSpacing/>
        <w:rPr>
          <w:rFonts w:eastAsia="Calibri"/>
          <w:sz w:val="22"/>
          <w:lang w:val="en-GB"/>
        </w:rPr>
      </w:pPr>
      <w:r w:rsidRPr="000B4E2C">
        <w:rPr>
          <w:rFonts w:eastAsia="Calibri"/>
          <w:color w:val="00B0F0"/>
          <w:sz w:val="22"/>
          <w:lang w:val="en-GB"/>
        </w:rPr>
        <w:t>2</w:t>
      </w:r>
      <w:r w:rsidRPr="000B4E2C">
        <w:rPr>
          <w:rFonts w:eastAsia="Calibri"/>
          <w:color w:val="00B0F0"/>
          <w:sz w:val="22"/>
          <w:lang w:val="en-GB"/>
        </w:rPr>
        <w:t> </w:t>
      </w:r>
      <w:r w:rsidRPr="000B4E2C">
        <w:rPr>
          <w:rFonts w:eastAsia="Calibri"/>
          <w:color w:val="00B0F0"/>
          <w:sz w:val="22"/>
          <w:lang w:val="en-GB"/>
        </w:rPr>
        <w:t>A(</w:t>
      </w:r>
      <w:r w:rsidR="002F0133" w:rsidRPr="000B4E2C">
        <w:rPr>
          <w:rFonts w:eastAsia="Calibri"/>
          <w:sz w:val="22"/>
          <w:lang w:val="en-GB"/>
        </w:rPr>
        <w:t>b) If a threshold was used, was it pre-specified? (Yes</w:t>
      </w:r>
      <w:r w:rsidRPr="000B4E2C">
        <w:rPr>
          <w:rFonts w:eastAsia="Calibri"/>
          <w:color w:val="00B0F0"/>
          <w:sz w:val="22"/>
          <w:lang w:val="en-GB"/>
        </w:rPr>
        <w:t>/</w:t>
      </w:r>
      <w:r w:rsidR="002F0133" w:rsidRPr="000B4E2C">
        <w:rPr>
          <w:rFonts w:eastAsia="Calibri"/>
          <w:sz w:val="22"/>
          <w:lang w:val="en-GB"/>
        </w:rPr>
        <w:t>Unclear/No)</w:t>
      </w:r>
    </w:p>
    <w:p w14:paraId="31DBB8FD" w14:textId="30CDD93B" w:rsidR="002F0133" w:rsidRPr="000B4E2C" w:rsidRDefault="002F0133" w:rsidP="002F0133">
      <w:pPr>
        <w:numPr>
          <w:ilvl w:val="0"/>
          <w:numId w:val="43"/>
        </w:numPr>
        <w:spacing w:after="160" w:line="259" w:lineRule="auto"/>
        <w:contextualSpacing/>
        <w:rPr>
          <w:rFonts w:eastAsia="Calibri"/>
          <w:b/>
          <w:sz w:val="22"/>
          <w:lang w:val="en-GB"/>
        </w:rPr>
      </w:pPr>
      <w:r w:rsidRPr="000B4E2C">
        <w:rPr>
          <w:rFonts w:eastAsia="Calibri"/>
          <w:b/>
          <w:sz w:val="22"/>
          <w:lang w:val="en-GB"/>
        </w:rPr>
        <w:t>2B Is there concern that the index test, its conduct, or interpretation differ from the review question? (Low</w:t>
      </w:r>
      <w:r w:rsidR="000B4E2C" w:rsidRPr="000B4E2C">
        <w:rPr>
          <w:rFonts w:eastAsia="Calibri"/>
          <w:b/>
          <w:color w:val="00B0F0"/>
          <w:sz w:val="22"/>
          <w:lang w:val="en-GB"/>
        </w:rPr>
        <w:t>/</w:t>
      </w:r>
      <w:r w:rsidRPr="000B4E2C">
        <w:rPr>
          <w:rFonts w:eastAsia="Calibri"/>
          <w:b/>
          <w:sz w:val="22"/>
          <w:lang w:val="en-GB"/>
        </w:rPr>
        <w:t>Unclear/High)</w:t>
      </w:r>
    </w:p>
    <w:p w14:paraId="55549C46" w14:textId="77777777" w:rsidR="002F0133" w:rsidRPr="000B4E2C" w:rsidRDefault="002F0133" w:rsidP="002F0133">
      <w:pPr>
        <w:numPr>
          <w:ilvl w:val="0"/>
          <w:numId w:val="43"/>
        </w:numPr>
        <w:spacing w:after="160" w:line="259" w:lineRule="auto"/>
        <w:contextualSpacing/>
        <w:rPr>
          <w:rFonts w:eastAsia="Calibri"/>
          <w:sz w:val="22"/>
          <w:lang w:val="en-GB"/>
        </w:rPr>
      </w:pPr>
      <w:r w:rsidRPr="000B4E2C">
        <w:rPr>
          <w:rFonts w:eastAsia="Calibri"/>
          <w:sz w:val="22"/>
          <w:lang w:val="en-GB"/>
        </w:rPr>
        <w:t>Reference standard (e.g. AKIN, KDIGO, RIFLE, sCr)</w:t>
      </w:r>
    </w:p>
    <w:p w14:paraId="29FC0585" w14:textId="6201D7CA" w:rsidR="002F0133" w:rsidRPr="000B4E2C" w:rsidRDefault="000B4E2C" w:rsidP="002F0133">
      <w:pPr>
        <w:numPr>
          <w:ilvl w:val="0"/>
          <w:numId w:val="43"/>
        </w:numPr>
        <w:spacing w:after="160" w:line="259" w:lineRule="auto"/>
        <w:contextualSpacing/>
        <w:rPr>
          <w:rFonts w:eastAsia="Calibri"/>
          <w:b/>
          <w:sz w:val="22"/>
          <w:lang w:val="en-GB"/>
        </w:rPr>
      </w:pPr>
      <w:r w:rsidRPr="000B4E2C">
        <w:rPr>
          <w:rFonts w:eastAsia="Calibri"/>
          <w:b/>
          <w:color w:val="00B0F0"/>
          <w:sz w:val="22"/>
          <w:lang w:val="en-GB"/>
        </w:rPr>
        <w:t>3</w:t>
      </w:r>
      <w:r w:rsidRPr="000B4E2C">
        <w:rPr>
          <w:rFonts w:eastAsia="Calibri"/>
          <w:b/>
          <w:color w:val="00B0F0"/>
          <w:sz w:val="22"/>
          <w:lang w:val="en-GB"/>
        </w:rPr>
        <w:t> </w:t>
      </w:r>
      <w:r w:rsidRPr="000B4E2C">
        <w:rPr>
          <w:rFonts w:eastAsia="Calibri"/>
          <w:b/>
          <w:color w:val="00B0F0"/>
          <w:sz w:val="22"/>
          <w:lang w:val="en-GB"/>
        </w:rPr>
        <w:t xml:space="preserve">A </w:t>
      </w:r>
      <w:r w:rsidR="002F0133" w:rsidRPr="000B4E2C">
        <w:rPr>
          <w:rFonts w:eastAsia="Calibri"/>
          <w:b/>
          <w:sz w:val="22"/>
          <w:lang w:val="en-GB"/>
        </w:rPr>
        <w:t>Could the reference standard, its conduct, or its interpretation have introduced bias? (Low</w:t>
      </w:r>
      <w:r w:rsidRPr="000B4E2C">
        <w:rPr>
          <w:rFonts w:eastAsia="Calibri"/>
          <w:b/>
          <w:color w:val="00B0F0"/>
          <w:sz w:val="22"/>
          <w:lang w:val="en-GB"/>
        </w:rPr>
        <w:t>/</w:t>
      </w:r>
      <w:r w:rsidR="002F0133" w:rsidRPr="000B4E2C">
        <w:rPr>
          <w:rFonts w:eastAsia="Calibri"/>
          <w:b/>
          <w:sz w:val="22"/>
          <w:lang w:val="en-GB"/>
        </w:rPr>
        <w:t>Unclear/High)</w:t>
      </w:r>
    </w:p>
    <w:p w14:paraId="446C7BDC" w14:textId="4BB99C3F" w:rsidR="002F0133" w:rsidRPr="000B4E2C" w:rsidRDefault="000B4E2C" w:rsidP="002F0133">
      <w:pPr>
        <w:numPr>
          <w:ilvl w:val="1"/>
          <w:numId w:val="43"/>
        </w:numPr>
        <w:spacing w:after="160" w:line="259" w:lineRule="auto"/>
        <w:contextualSpacing/>
        <w:rPr>
          <w:rFonts w:eastAsia="Calibri"/>
          <w:sz w:val="22"/>
          <w:lang w:val="en-GB"/>
        </w:rPr>
      </w:pPr>
      <w:r w:rsidRPr="000B4E2C">
        <w:rPr>
          <w:rFonts w:eastAsia="Calibri"/>
          <w:color w:val="00B0F0"/>
          <w:sz w:val="22"/>
          <w:lang w:val="en-GB"/>
        </w:rPr>
        <w:t>3</w:t>
      </w:r>
      <w:r w:rsidRPr="000B4E2C">
        <w:rPr>
          <w:rFonts w:eastAsia="Calibri"/>
          <w:color w:val="00B0F0"/>
          <w:sz w:val="22"/>
          <w:lang w:val="en-GB"/>
        </w:rPr>
        <w:t> </w:t>
      </w:r>
      <w:r w:rsidRPr="000B4E2C">
        <w:rPr>
          <w:rFonts w:eastAsia="Calibri"/>
          <w:color w:val="00B0F0"/>
          <w:sz w:val="22"/>
          <w:lang w:val="en-GB"/>
        </w:rPr>
        <w:t xml:space="preserve">A </w:t>
      </w:r>
      <w:r w:rsidR="002F0133" w:rsidRPr="000B4E2C">
        <w:rPr>
          <w:rFonts w:eastAsia="Calibri"/>
          <w:sz w:val="22"/>
          <w:lang w:val="en-GB"/>
        </w:rPr>
        <w:t>(a) Is the reference standard likely to correctly classify the target condition? (Yes</w:t>
      </w:r>
      <w:r w:rsidRPr="000B4E2C">
        <w:rPr>
          <w:rFonts w:eastAsia="Calibri"/>
          <w:color w:val="00B0F0"/>
          <w:sz w:val="22"/>
          <w:lang w:val="en-GB"/>
        </w:rPr>
        <w:t>/</w:t>
      </w:r>
      <w:r w:rsidR="002F0133" w:rsidRPr="000B4E2C">
        <w:rPr>
          <w:rFonts w:eastAsia="Calibri"/>
          <w:sz w:val="22"/>
          <w:lang w:val="en-GB"/>
        </w:rPr>
        <w:t>Unclear/No)</w:t>
      </w:r>
    </w:p>
    <w:p w14:paraId="10D877C6" w14:textId="17015B01" w:rsidR="002F0133" w:rsidRPr="000B4E2C" w:rsidRDefault="002F0133" w:rsidP="002F0133">
      <w:pPr>
        <w:numPr>
          <w:ilvl w:val="1"/>
          <w:numId w:val="43"/>
        </w:numPr>
        <w:spacing w:after="160" w:line="259" w:lineRule="auto"/>
        <w:contextualSpacing/>
        <w:rPr>
          <w:rFonts w:eastAsia="Calibri"/>
          <w:sz w:val="22"/>
          <w:lang w:val="en-GB"/>
        </w:rPr>
      </w:pPr>
      <w:r w:rsidRPr="000B4E2C">
        <w:rPr>
          <w:rFonts w:eastAsia="Calibri"/>
          <w:sz w:val="22"/>
          <w:lang w:val="en-GB"/>
        </w:rPr>
        <w:t>3 (b) Were the reference standard results interpreted without knowledge of the results of the index test? (Yes</w:t>
      </w:r>
      <w:r w:rsidR="000B4E2C" w:rsidRPr="000B4E2C">
        <w:rPr>
          <w:rFonts w:eastAsia="Calibri"/>
          <w:color w:val="00B0F0"/>
          <w:sz w:val="22"/>
          <w:lang w:val="en-GB"/>
        </w:rPr>
        <w:t>/</w:t>
      </w:r>
      <w:r w:rsidRPr="000B4E2C">
        <w:rPr>
          <w:rFonts w:eastAsia="Calibri"/>
          <w:sz w:val="22"/>
          <w:lang w:val="en-GB"/>
        </w:rPr>
        <w:t>Unclear/No)</w:t>
      </w:r>
    </w:p>
    <w:p w14:paraId="5B779A08" w14:textId="3607568C" w:rsidR="002F0133" w:rsidRPr="000B4E2C" w:rsidRDefault="002F0133" w:rsidP="002F0133">
      <w:pPr>
        <w:numPr>
          <w:ilvl w:val="0"/>
          <w:numId w:val="43"/>
        </w:numPr>
        <w:spacing w:after="160" w:line="259" w:lineRule="auto"/>
        <w:contextualSpacing/>
        <w:rPr>
          <w:rFonts w:eastAsia="Calibri"/>
          <w:b/>
          <w:sz w:val="22"/>
          <w:lang w:val="en-GB"/>
        </w:rPr>
      </w:pPr>
      <w:r w:rsidRPr="000B4E2C">
        <w:rPr>
          <w:rFonts w:eastAsia="Calibri"/>
          <w:b/>
          <w:sz w:val="22"/>
          <w:lang w:val="en-GB"/>
        </w:rPr>
        <w:t>3B Is there concern that the target condition as defined by the reference standard does not match the review question? (Low</w:t>
      </w:r>
      <w:r w:rsidR="000B4E2C" w:rsidRPr="000B4E2C">
        <w:rPr>
          <w:rFonts w:eastAsia="Calibri"/>
          <w:b/>
          <w:color w:val="00B0F0"/>
          <w:sz w:val="22"/>
          <w:lang w:val="en-GB"/>
        </w:rPr>
        <w:t>/</w:t>
      </w:r>
      <w:r w:rsidRPr="000B4E2C">
        <w:rPr>
          <w:rFonts w:eastAsia="Calibri"/>
          <w:b/>
          <w:sz w:val="22"/>
          <w:lang w:val="en-GB"/>
        </w:rPr>
        <w:t>Unclear/High)</w:t>
      </w:r>
    </w:p>
    <w:p w14:paraId="165CFA1A" w14:textId="77777777" w:rsidR="002F0133" w:rsidRPr="000B4E2C" w:rsidRDefault="002F0133" w:rsidP="002F0133">
      <w:pPr>
        <w:numPr>
          <w:ilvl w:val="0"/>
          <w:numId w:val="43"/>
        </w:numPr>
        <w:spacing w:after="160" w:line="259" w:lineRule="auto"/>
        <w:contextualSpacing/>
        <w:rPr>
          <w:rFonts w:eastAsia="Calibri"/>
          <w:sz w:val="22"/>
          <w:lang w:val="en-GB"/>
        </w:rPr>
      </w:pPr>
      <w:r w:rsidRPr="000B4E2C">
        <w:rPr>
          <w:rFonts w:eastAsia="Calibri"/>
          <w:sz w:val="22"/>
          <w:lang w:val="en-GB"/>
        </w:rPr>
        <w:t>Number enrolled</w:t>
      </w:r>
    </w:p>
    <w:p w14:paraId="498815E9" w14:textId="77777777" w:rsidR="000B4E2C" w:rsidRPr="000B4E2C" w:rsidRDefault="002F0133" w:rsidP="002F0133">
      <w:pPr>
        <w:numPr>
          <w:ilvl w:val="0"/>
          <w:numId w:val="43"/>
        </w:numPr>
        <w:spacing w:after="160" w:line="259" w:lineRule="auto"/>
        <w:contextualSpacing/>
        <w:rPr>
          <w:rFonts w:eastAsia="Calibri"/>
          <w:sz w:val="22"/>
          <w:lang w:val="en-GB"/>
        </w:rPr>
      </w:pPr>
      <w:r w:rsidRPr="000B4E2C">
        <w:rPr>
          <w:rFonts w:eastAsia="Calibri"/>
          <w:sz w:val="22"/>
          <w:lang w:val="en-GB"/>
        </w:rPr>
        <w:t>Number analysed: Sample size</w:t>
      </w:r>
    </w:p>
    <w:p w14:paraId="235EEE9F" w14:textId="79A85314" w:rsidR="002F0133" w:rsidRPr="000B4E2C" w:rsidRDefault="002F0133" w:rsidP="002F0133">
      <w:pPr>
        <w:numPr>
          <w:ilvl w:val="0"/>
          <w:numId w:val="43"/>
        </w:numPr>
        <w:spacing w:after="160" w:line="259" w:lineRule="auto"/>
        <w:contextualSpacing/>
        <w:rPr>
          <w:rFonts w:eastAsia="Calibri"/>
          <w:sz w:val="22"/>
          <w:lang w:val="en-GB"/>
        </w:rPr>
      </w:pPr>
      <w:r w:rsidRPr="000B4E2C">
        <w:rPr>
          <w:rFonts w:eastAsia="Calibri"/>
          <w:sz w:val="22"/>
          <w:lang w:val="en-GB"/>
        </w:rPr>
        <w:t>Attrition: Number excluded with reason</w:t>
      </w:r>
    </w:p>
    <w:p w14:paraId="0BF500C3" w14:textId="4DE2015B" w:rsidR="002F0133" w:rsidRPr="000B4E2C" w:rsidRDefault="002F0133" w:rsidP="002F0133">
      <w:pPr>
        <w:numPr>
          <w:ilvl w:val="0"/>
          <w:numId w:val="43"/>
        </w:numPr>
        <w:spacing w:after="160" w:line="259" w:lineRule="auto"/>
        <w:contextualSpacing/>
        <w:rPr>
          <w:rFonts w:eastAsia="Calibri"/>
          <w:sz w:val="22"/>
          <w:lang w:val="en-GB"/>
        </w:rPr>
      </w:pPr>
      <w:r w:rsidRPr="000B4E2C">
        <w:rPr>
          <w:rFonts w:eastAsia="Calibri"/>
          <w:sz w:val="22"/>
          <w:lang w:val="en-GB"/>
        </w:rPr>
        <w:t>Time Interval: Describe the time interval and any interventions between index test(s) and reference standard (Low</w:t>
      </w:r>
      <w:r w:rsidR="000B4E2C" w:rsidRPr="000B4E2C">
        <w:rPr>
          <w:rFonts w:eastAsia="Calibri"/>
          <w:color w:val="00B0F0"/>
          <w:sz w:val="22"/>
          <w:lang w:val="en-GB"/>
        </w:rPr>
        <w:t>/</w:t>
      </w:r>
      <w:r w:rsidRPr="000B4E2C">
        <w:rPr>
          <w:rFonts w:eastAsia="Calibri"/>
          <w:sz w:val="22"/>
          <w:lang w:val="en-GB"/>
        </w:rPr>
        <w:t>Unclear/High)</w:t>
      </w:r>
    </w:p>
    <w:p w14:paraId="512AF8C1" w14:textId="3FC5C0FC" w:rsidR="002F0133" w:rsidRPr="000B4E2C" w:rsidRDefault="000B4E2C" w:rsidP="002F0133">
      <w:pPr>
        <w:numPr>
          <w:ilvl w:val="0"/>
          <w:numId w:val="43"/>
        </w:numPr>
        <w:spacing w:after="160" w:line="259" w:lineRule="auto"/>
        <w:contextualSpacing/>
        <w:rPr>
          <w:rFonts w:eastAsia="Calibri"/>
          <w:b/>
          <w:sz w:val="22"/>
          <w:lang w:val="en-GB"/>
        </w:rPr>
      </w:pPr>
      <w:r w:rsidRPr="000B4E2C">
        <w:rPr>
          <w:rFonts w:eastAsia="Calibri"/>
          <w:b/>
          <w:color w:val="00B0F0"/>
          <w:sz w:val="22"/>
          <w:lang w:val="en-GB"/>
        </w:rPr>
        <w:t>4</w:t>
      </w:r>
      <w:r w:rsidRPr="000B4E2C">
        <w:rPr>
          <w:rFonts w:eastAsia="Calibri"/>
          <w:b/>
          <w:color w:val="00B0F0"/>
          <w:sz w:val="22"/>
          <w:lang w:val="en-GB"/>
        </w:rPr>
        <w:t> </w:t>
      </w:r>
      <w:r w:rsidRPr="000B4E2C">
        <w:rPr>
          <w:rFonts w:eastAsia="Calibri"/>
          <w:b/>
          <w:color w:val="00B0F0"/>
          <w:sz w:val="22"/>
          <w:lang w:val="en-GB"/>
        </w:rPr>
        <w:t xml:space="preserve">A </w:t>
      </w:r>
      <w:r w:rsidR="002F0133" w:rsidRPr="000B4E2C">
        <w:rPr>
          <w:rFonts w:eastAsia="Calibri"/>
          <w:b/>
          <w:sz w:val="22"/>
          <w:lang w:val="en-GB"/>
        </w:rPr>
        <w:t>Could the patient flow have introduced bias? (Low</w:t>
      </w:r>
      <w:r w:rsidRPr="000B4E2C">
        <w:rPr>
          <w:rFonts w:eastAsia="Calibri"/>
          <w:b/>
          <w:color w:val="00B0F0"/>
          <w:sz w:val="22"/>
          <w:lang w:val="en-GB"/>
        </w:rPr>
        <w:t>/</w:t>
      </w:r>
      <w:r w:rsidR="002F0133" w:rsidRPr="000B4E2C">
        <w:rPr>
          <w:rFonts w:eastAsia="Calibri"/>
          <w:b/>
          <w:sz w:val="22"/>
          <w:lang w:val="en-GB"/>
        </w:rPr>
        <w:t>Unclear/High)</w:t>
      </w:r>
    </w:p>
    <w:p w14:paraId="7895DBA0" w14:textId="133A4527" w:rsidR="002F0133" w:rsidRPr="000B4E2C" w:rsidRDefault="000B4E2C" w:rsidP="002F0133">
      <w:pPr>
        <w:numPr>
          <w:ilvl w:val="1"/>
          <w:numId w:val="43"/>
        </w:numPr>
        <w:spacing w:after="160" w:line="259" w:lineRule="auto"/>
        <w:contextualSpacing/>
        <w:rPr>
          <w:rFonts w:eastAsia="Calibri"/>
          <w:sz w:val="22"/>
          <w:lang w:val="en-GB"/>
        </w:rPr>
      </w:pPr>
      <w:r w:rsidRPr="000B4E2C">
        <w:rPr>
          <w:rFonts w:eastAsia="Calibri"/>
          <w:color w:val="00B0F0"/>
          <w:sz w:val="22"/>
          <w:lang w:val="en-GB"/>
        </w:rPr>
        <w:t>4</w:t>
      </w:r>
      <w:r w:rsidRPr="000B4E2C">
        <w:rPr>
          <w:rFonts w:eastAsia="Calibri"/>
          <w:color w:val="00B0F0"/>
          <w:sz w:val="22"/>
          <w:lang w:val="en-GB"/>
        </w:rPr>
        <w:t> </w:t>
      </w:r>
      <w:r w:rsidRPr="000B4E2C">
        <w:rPr>
          <w:rFonts w:eastAsia="Calibri"/>
          <w:color w:val="00B0F0"/>
          <w:sz w:val="22"/>
          <w:lang w:val="en-GB"/>
        </w:rPr>
        <w:t xml:space="preserve">A </w:t>
      </w:r>
      <w:r w:rsidR="002F0133" w:rsidRPr="000B4E2C">
        <w:rPr>
          <w:rFonts w:eastAsia="Calibri"/>
          <w:sz w:val="22"/>
          <w:lang w:val="en-GB"/>
        </w:rPr>
        <w:t>(a) Was there an appropriate interval between index test(s) and reference standard? (Yes</w:t>
      </w:r>
      <w:r w:rsidRPr="000B4E2C">
        <w:rPr>
          <w:rFonts w:eastAsia="Calibri"/>
          <w:color w:val="00B0F0"/>
          <w:sz w:val="22"/>
          <w:lang w:val="en-GB"/>
        </w:rPr>
        <w:t>/</w:t>
      </w:r>
      <w:r w:rsidR="002F0133" w:rsidRPr="000B4E2C">
        <w:rPr>
          <w:rFonts w:eastAsia="Calibri"/>
          <w:sz w:val="22"/>
          <w:lang w:val="en-GB"/>
        </w:rPr>
        <w:t>Unclear/No)</w:t>
      </w:r>
    </w:p>
    <w:p w14:paraId="28178F53" w14:textId="18CD97A4" w:rsidR="002F0133" w:rsidRPr="000B4E2C" w:rsidRDefault="000B4E2C" w:rsidP="002F0133">
      <w:pPr>
        <w:numPr>
          <w:ilvl w:val="1"/>
          <w:numId w:val="43"/>
        </w:numPr>
        <w:spacing w:after="160" w:line="259" w:lineRule="auto"/>
        <w:contextualSpacing/>
        <w:rPr>
          <w:rFonts w:eastAsia="Calibri"/>
          <w:sz w:val="22"/>
          <w:lang w:val="en-GB"/>
        </w:rPr>
      </w:pPr>
      <w:r w:rsidRPr="000B4E2C">
        <w:rPr>
          <w:rFonts w:eastAsia="Calibri"/>
          <w:color w:val="00B0F0"/>
          <w:sz w:val="22"/>
          <w:lang w:val="en-GB"/>
        </w:rPr>
        <w:t>4</w:t>
      </w:r>
      <w:r w:rsidRPr="000B4E2C">
        <w:rPr>
          <w:rFonts w:eastAsia="Calibri"/>
          <w:color w:val="00B0F0"/>
          <w:sz w:val="22"/>
          <w:lang w:val="en-GB"/>
        </w:rPr>
        <w:t> </w:t>
      </w:r>
      <w:r w:rsidRPr="000B4E2C">
        <w:rPr>
          <w:rFonts w:eastAsia="Calibri"/>
          <w:color w:val="00B0F0"/>
          <w:sz w:val="22"/>
          <w:lang w:val="en-GB"/>
        </w:rPr>
        <w:t>A(</w:t>
      </w:r>
      <w:r w:rsidR="002F0133" w:rsidRPr="000B4E2C">
        <w:rPr>
          <w:rFonts w:eastAsia="Calibri"/>
          <w:sz w:val="22"/>
          <w:lang w:val="en-GB"/>
        </w:rPr>
        <w:t>b) Did all patients receive a reference standard? (Yes</w:t>
      </w:r>
      <w:r w:rsidRPr="000B4E2C">
        <w:rPr>
          <w:rFonts w:eastAsia="Calibri"/>
          <w:color w:val="00B0F0"/>
          <w:sz w:val="22"/>
          <w:lang w:val="en-GB"/>
        </w:rPr>
        <w:t>/</w:t>
      </w:r>
      <w:r w:rsidR="002F0133" w:rsidRPr="000B4E2C">
        <w:rPr>
          <w:rFonts w:eastAsia="Calibri"/>
          <w:sz w:val="22"/>
          <w:lang w:val="en-GB"/>
        </w:rPr>
        <w:t>Unclear/No)</w:t>
      </w:r>
    </w:p>
    <w:p w14:paraId="2AE222EB" w14:textId="7A6341EF" w:rsidR="002F0133" w:rsidRPr="000B4E2C" w:rsidRDefault="000B4E2C" w:rsidP="002F0133">
      <w:pPr>
        <w:numPr>
          <w:ilvl w:val="1"/>
          <w:numId w:val="43"/>
        </w:numPr>
        <w:spacing w:after="160" w:line="259" w:lineRule="auto"/>
        <w:contextualSpacing/>
        <w:rPr>
          <w:rFonts w:eastAsia="Calibri"/>
          <w:sz w:val="22"/>
          <w:lang w:val="en-GB"/>
        </w:rPr>
      </w:pPr>
      <w:r w:rsidRPr="000B4E2C">
        <w:rPr>
          <w:rFonts w:eastAsia="Calibri"/>
          <w:color w:val="00B0F0"/>
          <w:sz w:val="22"/>
          <w:lang w:val="en-GB"/>
        </w:rPr>
        <w:t>4</w:t>
      </w:r>
      <w:r w:rsidRPr="000B4E2C">
        <w:rPr>
          <w:rFonts w:eastAsia="Calibri"/>
          <w:color w:val="00B0F0"/>
          <w:sz w:val="22"/>
          <w:lang w:val="en-GB"/>
        </w:rPr>
        <w:t> </w:t>
      </w:r>
      <w:r w:rsidRPr="000B4E2C">
        <w:rPr>
          <w:rFonts w:eastAsia="Calibri"/>
          <w:color w:val="00B0F0"/>
          <w:sz w:val="22"/>
          <w:lang w:val="en-GB"/>
        </w:rPr>
        <w:t>A(</w:t>
      </w:r>
      <w:r w:rsidR="002F0133" w:rsidRPr="000B4E2C">
        <w:rPr>
          <w:rFonts w:eastAsia="Calibri"/>
          <w:sz w:val="22"/>
          <w:lang w:val="en-GB"/>
        </w:rPr>
        <w:t>c) Did patients receive the same reference standard? (Yes</w:t>
      </w:r>
      <w:r w:rsidRPr="000B4E2C">
        <w:rPr>
          <w:rFonts w:eastAsia="Calibri"/>
          <w:color w:val="00B0F0"/>
          <w:sz w:val="22"/>
          <w:lang w:val="en-GB"/>
        </w:rPr>
        <w:t>/</w:t>
      </w:r>
      <w:r w:rsidR="002F0133" w:rsidRPr="000B4E2C">
        <w:rPr>
          <w:rFonts w:eastAsia="Calibri"/>
          <w:sz w:val="22"/>
          <w:lang w:val="en-GB"/>
        </w:rPr>
        <w:t>Unclear/No)</w:t>
      </w:r>
    </w:p>
    <w:p w14:paraId="6CA8A832" w14:textId="27B40821" w:rsidR="000B4E2C" w:rsidRPr="000B4E2C" w:rsidRDefault="000B4E2C" w:rsidP="002F0133">
      <w:pPr>
        <w:numPr>
          <w:ilvl w:val="1"/>
          <w:numId w:val="43"/>
        </w:numPr>
        <w:spacing w:after="160" w:line="259" w:lineRule="auto"/>
        <w:contextualSpacing/>
        <w:rPr>
          <w:rFonts w:eastAsia="Calibri"/>
          <w:sz w:val="22"/>
          <w:lang w:val="en-GB"/>
        </w:rPr>
      </w:pPr>
      <w:r w:rsidRPr="000B4E2C">
        <w:rPr>
          <w:rFonts w:eastAsia="Calibri"/>
          <w:color w:val="00B0F0"/>
          <w:sz w:val="22"/>
          <w:lang w:val="en-GB"/>
        </w:rPr>
        <w:t>4</w:t>
      </w:r>
      <w:r w:rsidRPr="000B4E2C">
        <w:rPr>
          <w:rFonts w:eastAsia="Calibri"/>
          <w:color w:val="00B0F0"/>
          <w:sz w:val="22"/>
          <w:lang w:val="en-GB"/>
        </w:rPr>
        <w:t> </w:t>
      </w:r>
      <w:r w:rsidRPr="000B4E2C">
        <w:rPr>
          <w:rFonts w:eastAsia="Calibri"/>
          <w:color w:val="00B0F0"/>
          <w:sz w:val="22"/>
          <w:lang w:val="en-GB"/>
        </w:rPr>
        <w:t>A(</w:t>
      </w:r>
      <w:r w:rsidR="002F0133" w:rsidRPr="000B4E2C">
        <w:rPr>
          <w:rFonts w:eastAsia="Calibri"/>
          <w:sz w:val="22"/>
          <w:lang w:val="en-GB"/>
        </w:rPr>
        <w:t>d) Were all patients included in the analysis? (Yes</w:t>
      </w:r>
      <w:r w:rsidRPr="000B4E2C">
        <w:rPr>
          <w:rFonts w:eastAsia="Calibri"/>
          <w:color w:val="00B0F0"/>
          <w:sz w:val="22"/>
          <w:lang w:val="en-GB"/>
        </w:rPr>
        <w:t>/</w:t>
      </w:r>
      <w:r w:rsidR="002F0133" w:rsidRPr="000B4E2C">
        <w:rPr>
          <w:rFonts w:eastAsia="Calibri"/>
          <w:sz w:val="22"/>
          <w:lang w:val="en-GB"/>
        </w:rPr>
        <w:t>Unclear/No)</w:t>
      </w:r>
    </w:p>
    <w:p w14:paraId="27F9BE61" w14:textId="77777777" w:rsidR="000B4E2C" w:rsidRPr="000B4E2C" w:rsidRDefault="002F0133" w:rsidP="008A7464">
      <w:pPr>
        <w:pStyle w:val="Heading2"/>
      </w:pPr>
      <w:r w:rsidRPr="000B4E2C">
        <w:t>Appendix 5</w:t>
      </w:r>
      <w:r w:rsidRPr="000B4E2C">
        <w:tab/>
        <w:t>PROBAST form</w:t>
      </w:r>
    </w:p>
    <w:p w14:paraId="073CC20B" w14:textId="77777777" w:rsidR="000B4E2C" w:rsidRPr="000B4E2C" w:rsidRDefault="002F0133" w:rsidP="002F0133">
      <w:pPr>
        <w:numPr>
          <w:ilvl w:val="0"/>
          <w:numId w:val="44"/>
        </w:numPr>
        <w:spacing w:after="160" w:line="259" w:lineRule="auto"/>
        <w:contextualSpacing/>
        <w:rPr>
          <w:rFonts w:eastAsia="Calibri"/>
          <w:sz w:val="22"/>
          <w:lang w:val="en-GB"/>
        </w:rPr>
      </w:pPr>
      <w:r w:rsidRPr="000B4E2C">
        <w:rPr>
          <w:rFonts w:eastAsia="Calibri"/>
          <w:sz w:val="22"/>
          <w:lang w:val="en-GB"/>
        </w:rPr>
        <w:t>ID Study</w:t>
      </w:r>
    </w:p>
    <w:p w14:paraId="564913D9" w14:textId="77777777" w:rsidR="000B4E2C" w:rsidRPr="000B4E2C" w:rsidRDefault="002F0133" w:rsidP="002F0133">
      <w:pPr>
        <w:numPr>
          <w:ilvl w:val="0"/>
          <w:numId w:val="44"/>
        </w:numPr>
        <w:spacing w:after="160" w:line="259" w:lineRule="auto"/>
        <w:contextualSpacing/>
        <w:rPr>
          <w:rFonts w:eastAsia="Calibri"/>
          <w:sz w:val="22"/>
          <w:lang w:val="en-GB"/>
        </w:rPr>
      </w:pPr>
      <w:r w:rsidRPr="000B4E2C">
        <w:rPr>
          <w:rFonts w:eastAsia="Calibri"/>
          <w:sz w:val="22"/>
          <w:lang w:val="en-GB"/>
        </w:rPr>
        <w:t>Year</w:t>
      </w:r>
    </w:p>
    <w:p w14:paraId="1F6CF742" w14:textId="40ECC4DC" w:rsidR="002F0133" w:rsidRPr="000B4E2C" w:rsidRDefault="002F0133" w:rsidP="002F0133">
      <w:pPr>
        <w:numPr>
          <w:ilvl w:val="0"/>
          <w:numId w:val="44"/>
        </w:numPr>
        <w:spacing w:after="160" w:line="259" w:lineRule="auto"/>
        <w:contextualSpacing/>
        <w:rPr>
          <w:rFonts w:eastAsia="Calibri"/>
          <w:sz w:val="22"/>
          <w:lang w:val="en-GB"/>
        </w:rPr>
      </w:pPr>
      <w:r w:rsidRPr="000B4E2C">
        <w:rPr>
          <w:rFonts w:eastAsia="Calibri"/>
          <w:sz w:val="22"/>
          <w:lang w:val="en-GB"/>
        </w:rPr>
        <w:lastRenderedPageBreak/>
        <w:t>Participants</w:t>
      </w:r>
    </w:p>
    <w:p w14:paraId="17347E76"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 xml:space="preserve">1.1Were appropriate </w:t>
      </w:r>
      <w:r w:rsidRPr="000B4E2C">
        <w:rPr>
          <w:rFonts w:eastAsia="Calibri"/>
          <w:sz w:val="22"/>
          <w:highlight w:val="magenta"/>
          <w:lang w:val="en-GB"/>
        </w:rPr>
        <w:t>data</w:t>
      </w:r>
      <w:r w:rsidRPr="000B4E2C">
        <w:rPr>
          <w:rFonts w:eastAsia="Calibri"/>
          <w:sz w:val="22"/>
          <w:lang w:val="en-GB"/>
        </w:rPr>
        <w:t xml:space="preserve"> sources used, e.g., cohort, RCT, or nested case–control study dat</w:t>
      </w:r>
    </w:p>
    <w:p w14:paraId="384F13A7" w14:textId="08B4B29A" w:rsidR="002F0133"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1.2Were all inclusions and exclusions of participants appropriate?</w:t>
      </w:r>
    </w:p>
    <w:p w14:paraId="4CB1C64F" w14:textId="77777777" w:rsidR="002F0133"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Risk of bias introduced by selection of participants (low/high/unclear)</w:t>
      </w:r>
    </w:p>
    <w:p w14:paraId="159DCD6D"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Concern that the included participants do not match the review question (low/high/unclear)</w:t>
      </w:r>
    </w:p>
    <w:p w14:paraId="0CE4ADE6" w14:textId="4C8B4333" w:rsidR="002F0133" w:rsidRPr="000B4E2C" w:rsidRDefault="002F0133" w:rsidP="002F0133">
      <w:pPr>
        <w:numPr>
          <w:ilvl w:val="0"/>
          <w:numId w:val="44"/>
        </w:numPr>
        <w:spacing w:after="160" w:line="259" w:lineRule="auto"/>
        <w:contextualSpacing/>
        <w:rPr>
          <w:rFonts w:eastAsia="Calibri"/>
          <w:sz w:val="22"/>
          <w:lang w:val="en-GB"/>
        </w:rPr>
      </w:pPr>
      <w:r w:rsidRPr="000B4E2C">
        <w:rPr>
          <w:rFonts w:eastAsia="Calibri"/>
          <w:sz w:val="22"/>
          <w:lang w:val="en-GB"/>
        </w:rPr>
        <w:t>Predictors</w:t>
      </w:r>
    </w:p>
    <w:p w14:paraId="752E4FA5"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2.1. Were predictors defined and assessed in a similar way for all participants?</w:t>
      </w:r>
    </w:p>
    <w:p w14:paraId="3099BE3A"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 xml:space="preserve">2.2. Were predictor assessments made without knowledge of outcome </w:t>
      </w:r>
      <w:r w:rsidRPr="000B4E2C">
        <w:rPr>
          <w:rFonts w:eastAsia="Calibri"/>
          <w:sz w:val="22"/>
          <w:highlight w:val="magenta"/>
          <w:lang w:val="en-GB"/>
        </w:rPr>
        <w:t>data</w:t>
      </w:r>
      <w:r w:rsidRPr="000B4E2C">
        <w:rPr>
          <w:rFonts w:eastAsia="Calibri"/>
          <w:sz w:val="22"/>
          <w:lang w:val="en-GB"/>
        </w:rPr>
        <w:t>?</w:t>
      </w:r>
    </w:p>
    <w:p w14:paraId="0DDD4A74"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2.3. Are all predictors available at the time the model is intended to be used?</w:t>
      </w:r>
    </w:p>
    <w:p w14:paraId="64AB18E8"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Risk of bias introduced by predictors or their assessment (low/high/unclear)</w:t>
      </w:r>
    </w:p>
    <w:p w14:paraId="3341A145"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Concern that the definition, assessment or timing of predictors in the model do not match the review question (low/high/unclear)</w:t>
      </w:r>
    </w:p>
    <w:p w14:paraId="4059F17E" w14:textId="61DE9687" w:rsidR="002F0133" w:rsidRPr="000B4E2C" w:rsidRDefault="002F0133" w:rsidP="002F0133">
      <w:pPr>
        <w:numPr>
          <w:ilvl w:val="0"/>
          <w:numId w:val="44"/>
        </w:numPr>
        <w:spacing w:after="160" w:line="259" w:lineRule="auto"/>
        <w:contextualSpacing/>
        <w:rPr>
          <w:rFonts w:eastAsia="Calibri"/>
          <w:sz w:val="22"/>
          <w:lang w:val="en-GB"/>
        </w:rPr>
      </w:pPr>
      <w:r w:rsidRPr="000B4E2C">
        <w:rPr>
          <w:rFonts w:eastAsia="Calibri"/>
          <w:sz w:val="22"/>
          <w:lang w:val="en-GB"/>
        </w:rPr>
        <w:t>Outcomes</w:t>
      </w:r>
    </w:p>
    <w:p w14:paraId="50023362"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3.1. Was the outcome determined appropriately?</w:t>
      </w:r>
    </w:p>
    <w:p w14:paraId="071AE4A5"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3.2. Was a prespecified or standard outcome definition used?</w:t>
      </w:r>
    </w:p>
    <w:p w14:paraId="0DA29696"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3.3. Were predictors excluded from the outcome definition?</w:t>
      </w:r>
    </w:p>
    <w:p w14:paraId="55B9EA06"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3.4. Was the outcome defined and determined in a similar way for all participants?</w:t>
      </w:r>
    </w:p>
    <w:p w14:paraId="57956466" w14:textId="3177A321" w:rsidR="002F0133"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3.5. Was the outcome determined without knowledge of predictor information?</w:t>
      </w:r>
    </w:p>
    <w:p w14:paraId="19396ECE" w14:textId="77777777" w:rsidR="002F0133"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3.6. Was the time interval between predictor assessment and outcome determination appropriate</w:t>
      </w:r>
    </w:p>
    <w:p w14:paraId="4B5C8ED4" w14:textId="77777777" w:rsidR="002F0133"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Risk of bias introduced by the outcome or its determination</w:t>
      </w:r>
    </w:p>
    <w:p w14:paraId="332F2554"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Concern that the outcome, its definition, timing or determination do not match the review question (low/high/unclear)</w:t>
      </w:r>
    </w:p>
    <w:p w14:paraId="5259A6CD" w14:textId="77D4A0F1" w:rsidR="002F0133" w:rsidRPr="000B4E2C" w:rsidRDefault="002F0133" w:rsidP="002F0133">
      <w:pPr>
        <w:numPr>
          <w:ilvl w:val="0"/>
          <w:numId w:val="44"/>
        </w:numPr>
        <w:spacing w:after="160" w:line="259" w:lineRule="auto"/>
        <w:contextualSpacing/>
        <w:rPr>
          <w:rFonts w:eastAsia="Calibri"/>
          <w:sz w:val="22"/>
          <w:lang w:val="en-GB"/>
        </w:rPr>
      </w:pPr>
      <w:r w:rsidRPr="000B4E2C">
        <w:rPr>
          <w:rFonts w:eastAsia="Calibri"/>
          <w:sz w:val="22"/>
          <w:lang w:val="en-GB"/>
        </w:rPr>
        <w:t>Analysis</w:t>
      </w:r>
    </w:p>
    <w:p w14:paraId="24185F85"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4.1. Were there a reasonable number of participants with the outcome?</w:t>
      </w:r>
    </w:p>
    <w:p w14:paraId="2741A3EE" w14:textId="5853DB7E" w:rsidR="002F0133"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4.2. Were continuous and categorical predictors handled appropriately?</w:t>
      </w:r>
    </w:p>
    <w:p w14:paraId="06DD72A4"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4.3. Were all enrolled participants included in the analysis?</w:t>
      </w:r>
    </w:p>
    <w:p w14:paraId="71991BD2"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 xml:space="preserve">4.4. Were participants with missing </w:t>
      </w:r>
      <w:r w:rsidRPr="000B4E2C">
        <w:rPr>
          <w:rFonts w:eastAsia="Calibri"/>
          <w:sz w:val="22"/>
          <w:highlight w:val="magenta"/>
          <w:lang w:val="en-GB"/>
        </w:rPr>
        <w:t>data</w:t>
      </w:r>
      <w:r w:rsidRPr="000B4E2C">
        <w:rPr>
          <w:rFonts w:eastAsia="Calibri"/>
          <w:sz w:val="22"/>
          <w:lang w:val="en-GB"/>
        </w:rPr>
        <w:t xml:space="preserve"> handled appropriately?</w:t>
      </w:r>
    </w:p>
    <w:p w14:paraId="72060C7C"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4.5. Was selection of predictors based on univariable analysis avoided?†</w:t>
      </w:r>
    </w:p>
    <w:p w14:paraId="15F8A535"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 xml:space="preserve">4.6. Were complexities in the </w:t>
      </w:r>
      <w:r w:rsidRPr="000B4E2C">
        <w:rPr>
          <w:rFonts w:eastAsia="Calibri"/>
          <w:sz w:val="22"/>
          <w:highlight w:val="magenta"/>
          <w:lang w:val="en-GB"/>
        </w:rPr>
        <w:t>data</w:t>
      </w:r>
      <w:r w:rsidRPr="000B4E2C">
        <w:rPr>
          <w:rFonts w:eastAsia="Calibri"/>
          <w:sz w:val="22"/>
          <w:lang w:val="en-GB"/>
        </w:rPr>
        <w:t xml:space="preserve"> (e.g., censoring, competing risks, sampling of control participants) accounted for appropriately?</w:t>
      </w:r>
    </w:p>
    <w:p w14:paraId="0CEE6330" w14:textId="6D19E87B" w:rsidR="002F0133"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4.7. Were relevant model performance measures evaluated appropriately?</w:t>
      </w:r>
    </w:p>
    <w:p w14:paraId="6E97FDC7"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4.8. Were model overfitting, underfitting, and optimism in model performance accounted for?†</w:t>
      </w:r>
    </w:p>
    <w:p w14:paraId="50DA8DEC" w14:textId="77777777" w:rsidR="000B4E2C" w:rsidRPr="000B4E2C" w:rsidRDefault="002F0133" w:rsidP="002F0133">
      <w:pPr>
        <w:numPr>
          <w:ilvl w:val="1"/>
          <w:numId w:val="44"/>
        </w:numPr>
        <w:spacing w:after="160" w:line="259" w:lineRule="auto"/>
        <w:contextualSpacing/>
        <w:rPr>
          <w:rFonts w:eastAsia="Calibri"/>
          <w:sz w:val="22"/>
          <w:lang w:val="en-GB"/>
        </w:rPr>
      </w:pPr>
      <w:r w:rsidRPr="000B4E2C">
        <w:rPr>
          <w:rFonts w:eastAsia="Calibri"/>
          <w:sz w:val="22"/>
          <w:lang w:val="en-GB"/>
        </w:rPr>
        <w:t>4.9. Do predictors and their assigned weights in the final model correspond to the results from the reported multivariable analysis?†</w:t>
      </w:r>
    </w:p>
    <w:p w14:paraId="2ED86E2D" w14:textId="77777777" w:rsidR="000B4E2C" w:rsidRPr="000B4E2C" w:rsidRDefault="002F0133" w:rsidP="002F0133">
      <w:pPr>
        <w:numPr>
          <w:ilvl w:val="0"/>
          <w:numId w:val="44"/>
        </w:numPr>
        <w:spacing w:after="160" w:line="259" w:lineRule="auto"/>
        <w:contextualSpacing/>
        <w:rPr>
          <w:rFonts w:eastAsia="Calibri"/>
          <w:sz w:val="22"/>
          <w:lang w:val="en-GB"/>
        </w:rPr>
      </w:pPr>
      <w:r w:rsidRPr="000B4E2C">
        <w:rPr>
          <w:rFonts w:eastAsia="Calibri"/>
          <w:sz w:val="22"/>
          <w:lang w:val="en-GB"/>
        </w:rPr>
        <w:t>Risk of bias introduced by the analysis (low/high/unclear)</w:t>
      </w:r>
    </w:p>
    <w:p w14:paraId="7AE13062" w14:textId="77777777" w:rsidR="000B4E2C" w:rsidRPr="000B4E2C" w:rsidRDefault="002F0133" w:rsidP="002F0133">
      <w:pPr>
        <w:numPr>
          <w:ilvl w:val="0"/>
          <w:numId w:val="44"/>
        </w:numPr>
        <w:spacing w:after="160" w:line="259" w:lineRule="auto"/>
        <w:contextualSpacing/>
        <w:rPr>
          <w:lang w:val="en-GB" w:eastAsia="en-GB"/>
        </w:rPr>
      </w:pPr>
      <w:r w:rsidRPr="000B4E2C">
        <w:rPr>
          <w:rFonts w:eastAsia="Calibri"/>
          <w:sz w:val="22"/>
          <w:lang w:val="en-GB"/>
        </w:rPr>
        <w:t>Risk of bias (low/high/unclear)</w:t>
      </w:r>
    </w:p>
    <w:p w14:paraId="1D501E1E" w14:textId="77777777" w:rsidR="000B4E2C" w:rsidRPr="000B4E2C" w:rsidRDefault="002F0133" w:rsidP="002F0133">
      <w:pPr>
        <w:numPr>
          <w:ilvl w:val="0"/>
          <w:numId w:val="44"/>
        </w:numPr>
        <w:spacing w:after="160" w:line="259" w:lineRule="auto"/>
        <w:contextualSpacing/>
        <w:rPr>
          <w:lang w:val="en-GB" w:eastAsia="en-GB"/>
        </w:rPr>
      </w:pPr>
      <w:r w:rsidRPr="000B4E2C">
        <w:rPr>
          <w:rFonts w:eastAsia="Calibri"/>
          <w:sz w:val="22"/>
          <w:lang w:val="en-GB"/>
        </w:rPr>
        <w:t>Applicability (low/high/unclear</w:t>
      </w:r>
      <w:r w:rsidR="00A0284C" w:rsidRPr="000B4E2C">
        <w:rPr>
          <w:rFonts w:eastAsia="Calibri"/>
          <w:sz w:val="22"/>
          <w:lang w:val="en-GB"/>
        </w:rPr>
        <w:t>)</w:t>
      </w:r>
    </w:p>
    <w:p w14:paraId="0BC5362D" w14:textId="77777777" w:rsidR="000B4E2C" w:rsidRPr="000B4E2C" w:rsidRDefault="002F0133" w:rsidP="008A7464">
      <w:pPr>
        <w:pStyle w:val="Heading2"/>
      </w:pPr>
      <w:r w:rsidRPr="000B4E2C">
        <w:t>Appendix 6</w:t>
      </w:r>
      <w:r w:rsidRPr="000B4E2C">
        <w:tab/>
        <w:t>List of included studies</w:t>
      </w:r>
    </w:p>
    <w:p w14:paraId="0E5BF90D" w14:textId="25A02557" w:rsidR="002F0133" w:rsidRPr="000B4E2C" w:rsidRDefault="002F0133" w:rsidP="008A7464">
      <w:pPr>
        <w:rPr>
          <w:rFonts w:eastAsia="Calibri"/>
          <w:szCs w:val="24"/>
          <w:highlight w:val="green"/>
          <w:lang w:val="en-GB"/>
        </w:rPr>
      </w:pPr>
      <w:r w:rsidRPr="000B4E2C">
        <w:rPr>
          <w:rFonts w:eastAsia="Calibri"/>
          <w:szCs w:val="24"/>
          <w:highlight w:val="green"/>
          <w:lang w:val="en-GB"/>
        </w:rPr>
        <w:t>* denotes primary reference</w:t>
      </w:r>
    </w:p>
    <w:p w14:paraId="796E1161" w14:textId="77777777" w:rsidR="002F0133" w:rsidRPr="000B4E2C" w:rsidRDefault="002F0133" w:rsidP="008A7464">
      <w:pPr>
        <w:rPr>
          <w:rFonts w:eastAsia="Calibri"/>
          <w:szCs w:val="24"/>
          <w:highlight w:val="green"/>
          <w:lang w:val="en-GB"/>
        </w:rPr>
      </w:pPr>
    </w:p>
    <w:p w14:paraId="0E9DB625"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Albert 2018</w:t>
      </w:r>
    </w:p>
    <w:p w14:paraId="53615F50" w14:textId="77777777" w:rsidR="002F0133" w:rsidRPr="000B4E2C" w:rsidRDefault="002F0133" w:rsidP="008A7464">
      <w:pPr>
        <w:widowControl w:val="0"/>
        <w:autoSpaceDE w:val="0"/>
        <w:autoSpaceDN w:val="0"/>
        <w:adjustRightInd w:val="0"/>
        <w:rPr>
          <w:rFonts w:eastAsia="Calibri"/>
          <w:szCs w:val="24"/>
          <w:highlight w:val="green"/>
          <w:lang w:val="en-GB"/>
        </w:rPr>
      </w:pPr>
    </w:p>
    <w:p w14:paraId="599270E7"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Albert, C., Albert, A., Bellomo, R., Kropf, S., Devarajan, P., Westphal, S., Baraki, H., Kutschka, I., Butter, C., Haase, M. and Haase-Fielitz, A. Urinary neutrophil gelatinase-associated lipocalin-guided risk assessment for </w:t>
      </w:r>
      <w:r w:rsidRPr="000B4E2C">
        <w:rPr>
          <w:rFonts w:eastAsia="Calibri"/>
          <w:szCs w:val="24"/>
          <w:highlight w:val="green"/>
          <w:lang w:val="en-GB"/>
        </w:rPr>
        <w:lastRenderedPageBreak/>
        <w:t xml:space="preserve">major adverse kidney events after open-heart surgery. </w:t>
      </w:r>
      <w:r w:rsidRPr="000B4E2C">
        <w:rPr>
          <w:rFonts w:eastAsia="Calibri"/>
          <w:i/>
          <w:iCs/>
          <w:szCs w:val="24"/>
          <w:highlight w:val="green"/>
          <w:lang w:val="en-GB"/>
        </w:rPr>
        <w:t>Biomarkers in Medicine</w:t>
      </w:r>
      <w:r w:rsidRPr="000B4E2C">
        <w:rPr>
          <w:rFonts w:eastAsia="Calibri"/>
          <w:szCs w:val="24"/>
          <w:highlight w:val="green"/>
          <w:lang w:val="en-GB"/>
        </w:rPr>
        <w:t>, 12(9), 975-985, 2018. [14954]</w:t>
      </w:r>
    </w:p>
    <w:p w14:paraId="62023CE3" w14:textId="77777777" w:rsidR="002F0133" w:rsidRPr="000B4E2C" w:rsidRDefault="002F0133" w:rsidP="008A7464">
      <w:pPr>
        <w:rPr>
          <w:rFonts w:eastAsia="Calibri"/>
          <w:b/>
          <w:szCs w:val="24"/>
          <w:highlight w:val="green"/>
          <w:lang w:val="en-GB"/>
        </w:rPr>
      </w:pPr>
    </w:p>
    <w:p w14:paraId="0AE6AAAF"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Alcaraz 2014</w:t>
      </w:r>
    </w:p>
    <w:p w14:paraId="4E2EA35C" w14:textId="77777777" w:rsidR="002F0133" w:rsidRPr="000B4E2C" w:rsidRDefault="002F0133" w:rsidP="008A7464">
      <w:pPr>
        <w:widowControl w:val="0"/>
        <w:autoSpaceDE w:val="0"/>
        <w:autoSpaceDN w:val="0"/>
        <w:adjustRightInd w:val="0"/>
        <w:rPr>
          <w:rFonts w:eastAsia="Calibri"/>
          <w:szCs w:val="24"/>
          <w:highlight w:val="green"/>
          <w:lang w:val="en-GB"/>
        </w:rPr>
      </w:pPr>
    </w:p>
    <w:p w14:paraId="6E3DEB91"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Alcaraz, A. J., Gil-Ruiz, M. A., Castillo, A., Lopez, J., Romero, C., Fernandez, S. N. and Carrillo, A. Postoperative neutrophil gelatinase-associated lipocalin predicts acute kidney injury after pediatric cardiac surgery. </w:t>
      </w:r>
      <w:r w:rsidRPr="000B4E2C">
        <w:rPr>
          <w:rFonts w:eastAsia="Calibri"/>
          <w:i/>
          <w:iCs/>
          <w:szCs w:val="24"/>
          <w:highlight w:val="green"/>
          <w:lang w:val="en-GB"/>
        </w:rPr>
        <w:t>Pediatric Critical Care Medicine</w:t>
      </w:r>
      <w:r w:rsidRPr="000B4E2C">
        <w:rPr>
          <w:rFonts w:eastAsia="Calibri"/>
          <w:szCs w:val="24"/>
          <w:highlight w:val="green"/>
          <w:lang w:val="en-GB"/>
        </w:rPr>
        <w:t>, 15(2), 121-130, 2014. [14959]</w:t>
      </w:r>
    </w:p>
    <w:p w14:paraId="58831023" w14:textId="77777777" w:rsidR="002F0133" w:rsidRPr="000B4E2C" w:rsidRDefault="002F0133" w:rsidP="008A7464">
      <w:pPr>
        <w:rPr>
          <w:rFonts w:eastAsia="Calibri"/>
          <w:b/>
          <w:szCs w:val="24"/>
          <w:highlight w:val="green"/>
          <w:lang w:val="en-GB"/>
        </w:rPr>
      </w:pPr>
    </w:p>
    <w:p w14:paraId="370EEF4C"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Ariza 2016</w:t>
      </w:r>
    </w:p>
    <w:p w14:paraId="52FF159E" w14:textId="77777777" w:rsidR="002F0133" w:rsidRPr="000B4E2C" w:rsidRDefault="002F0133" w:rsidP="008A7464">
      <w:pPr>
        <w:widowControl w:val="0"/>
        <w:autoSpaceDE w:val="0"/>
        <w:autoSpaceDN w:val="0"/>
        <w:adjustRightInd w:val="0"/>
        <w:rPr>
          <w:rFonts w:eastAsia="Calibri"/>
          <w:szCs w:val="24"/>
          <w:highlight w:val="green"/>
          <w:lang w:val="en-GB"/>
        </w:rPr>
      </w:pPr>
    </w:p>
    <w:p w14:paraId="1EED3487"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 Ariza, X., Graupera, I., Coll, M., Sola, E., Barreto, R., Garcia, E., Moreira, R., Elia, C., Morales-Ruiz, M., Llopis, M., Huelin, P., Sole, C., Fabrellas, N., Weiss, E., Nevens, F., Gerbes, A., Trebicka, J., Saliba, F., Fondevila, C., Hernandez-Gea, V., Fernandez, J., Bernardi, M., Arroyo, V., Jimenez, W., Deulofeu, C., Pavesi, M., Angeli, P., Jalan, R., Moreau, R., Sancho-Bru, P., Gines, P. and Canonic Investigators, E. C. C. Neutrophil gelatinase-associated lipocalin is a biomarker of acute-on-chronic liver failure and prognosis in cirrhosis. </w:t>
      </w:r>
      <w:r w:rsidRPr="000B4E2C">
        <w:rPr>
          <w:rFonts w:eastAsia="Calibri"/>
          <w:i/>
          <w:iCs/>
          <w:szCs w:val="24"/>
          <w:highlight w:val="green"/>
          <w:lang w:val="en-GB"/>
        </w:rPr>
        <w:t>Journal of Hepatology</w:t>
      </w:r>
      <w:r w:rsidRPr="000B4E2C">
        <w:rPr>
          <w:rFonts w:eastAsia="Calibri"/>
          <w:szCs w:val="24"/>
          <w:highlight w:val="green"/>
          <w:lang w:val="en-GB"/>
        </w:rPr>
        <w:t>, 65(1), 57-65, 2016. [15012]</w:t>
      </w:r>
    </w:p>
    <w:p w14:paraId="0D04E8A0" w14:textId="77777777" w:rsidR="002F0133" w:rsidRPr="000B4E2C" w:rsidRDefault="002F0133" w:rsidP="008A7464">
      <w:pPr>
        <w:rPr>
          <w:rFonts w:eastAsia="Calibri"/>
          <w:szCs w:val="24"/>
          <w:highlight w:val="green"/>
          <w:lang w:val="en-GB"/>
        </w:rPr>
      </w:pPr>
    </w:p>
    <w:p w14:paraId="105D03D7" w14:textId="2FBF0F05"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Markwardt, D., Holdt, L., Steib, C., Benesic, A., Bendtsen, F., Bernardi, M., Moreau, R., Teupser, D., Wendon, J., Nevens, F., Trebicka, J., Garcia, E., Pavesi, M., Arroyo, V. and Gerbes, A. L. Plasma cystatin</w:t>
      </w:r>
      <w:r w:rsidR="000B4E2C" w:rsidRPr="000B4E2C">
        <w:rPr>
          <w:rFonts w:eastAsia="Calibri"/>
          <w:szCs w:val="24"/>
          <w:highlight w:val="green"/>
          <w:lang w:val="en-GB"/>
        </w:rPr>
        <w:t xml:space="preserve"> </w:t>
      </w:r>
      <w:r w:rsidRPr="000B4E2C">
        <w:rPr>
          <w:rFonts w:eastAsia="Calibri"/>
          <w:szCs w:val="24"/>
          <w:highlight w:val="green"/>
          <w:lang w:val="en-GB"/>
        </w:rPr>
        <w:t xml:space="preserve">C is a predictor of renal dysfunction, acute-on-chronic liver failure, and mortality in patients with acutely decompensated liver cirrhosis. </w:t>
      </w:r>
      <w:r w:rsidRPr="000B4E2C">
        <w:rPr>
          <w:rFonts w:eastAsia="Calibri"/>
          <w:i/>
          <w:iCs/>
          <w:szCs w:val="24"/>
          <w:highlight w:val="green"/>
          <w:lang w:val="en-GB"/>
        </w:rPr>
        <w:t>Hepatology</w:t>
      </w:r>
      <w:r w:rsidRPr="000B4E2C">
        <w:rPr>
          <w:rFonts w:eastAsia="Calibri"/>
          <w:szCs w:val="24"/>
          <w:highlight w:val="green"/>
          <w:lang w:val="en-GB"/>
        </w:rPr>
        <w:t>, 66(4), 1232-1241, 2017. [16084]</w:t>
      </w:r>
    </w:p>
    <w:p w14:paraId="5B690E0B" w14:textId="77777777" w:rsidR="002F0133" w:rsidRPr="000B4E2C" w:rsidRDefault="002F0133" w:rsidP="008A7464">
      <w:pPr>
        <w:rPr>
          <w:rFonts w:eastAsia="Calibri"/>
          <w:b/>
          <w:szCs w:val="24"/>
          <w:highlight w:val="green"/>
          <w:lang w:val="en-GB"/>
        </w:rPr>
      </w:pPr>
    </w:p>
    <w:p w14:paraId="684CAC03"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Asada 2016</w:t>
      </w:r>
    </w:p>
    <w:p w14:paraId="606FDE22" w14:textId="77777777" w:rsidR="002F0133" w:rsidRPr="000B4E2C" w:rsidRDefault="002F0133" w:rsidP="008A7464">
      <w:pPr>
        <w:widowControl w:val="0"/>
        <w:autoSpaceDE w:val="0"/>
        <w:autoSpaceDN w:val="0"/>
        <w:adjustRightInd w:val="0"/>
        <w:rPr>
          <w:rFonts w:eastAsia="Calibri"/>
          <w:szCs w:val="24"/>
          <w:highlight w:val="green"/>
          <w:lang w:val="en-GB"/>
        </w:rPr>
      </w:pPr>
    </w:p>
    <w:p w14:paraId="3EA99F89"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Asada, T., Isshiki, R., Hayase, N., Sumida, M., Inokuchi, R., Noiri, E., Nangaku, M., Yahagi, N. and Doi, K. Impact of clinical context on acute kidney injury biomarker performances: Differences between neutrophil gelatinase-associated lipocalin and l-type fatty acid-binding protein. </w:t>
      </w:r>
      <w:r w:rsidRPr="000B4E2C">
        <w:rPr>
          <w:rFonts w:eastAsia="Calibri"/>
          <w:i/>
          <w:iCs/>
          <w:szCs w:val="24"/>
          <w:highlight w:val="green"/>
          <w:lang w:val="en-GB"/>
        </w:rPr>
        <w:t>Scientific reports</w:t>
      </w:r>
      <w:r w:rsidRPr="000B4E2C">
        <w:rPr>
          <w:rFonts w:eastAsia="Calibri"/>
          <w:szCs w:val="24"/>
          <w:highlight w:val="green"/>
          <w:lang w:val="en-GB"/>
        </w:rPr>
        <w:t>, 6(33077, 2016. [15021]</w:t>
      </w:r>
    </w:p>
    <w:p w14:paraId="0C5A14CD" w14:textId="77777777" w:rsidR="002F0133" w:rsidRPr="000B4E2C" w:rsidRDefault="002F0133" w:rsidP="008A7464">
      <w:pPr>
        <w:rPr>
          <w:rFonts w:eastAsia="Calibri"/>
          <w:b/>
          <w:szCs w:val="24"/>
          <w:highlight w:val="green"/>
          <w:lang w:val="en-GB"/>
        </w:rPr>
      </w:pPr>
    </w:p>
    <w:p w14:paraId="76DCC1A1"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Barreto 2014</w:t>
      </w:r>
    </w:p>
    <w:p w14:paraId="0DFD306F" w14:textId="77777777" w:rsidR="002F0133" w:rsidRPr="000B4E2C" w:rsidRDefault="002F0133" w:rsidP="008A7464">
      <w:pPr>
        <w:widowControl w:val="0"/>
        <w:autoSpaceDE w:val="0"/>
        <w:autoSpaceDN w:val="0"/>
        <w:adjustRightInd w:val="0"/>
        <w:rPr>
          <w:rFonts w:eastAsia="Calibri"/>
          <w:szCs w:val="24"/>
          <w:highlight w:val="green"/>
          <w:lang w:val="en-GB"/>
        </w:rPr>
      </w:pPr>
    </w:p>
    <w:p w14:paraId="4537B803" w14:textId="070282C3" w:rsidR="002F0133" w:rsidRPr="000B4E2C" w:rsidRDefault="002F0133" w:rsidP="008A7464">
      <w:pPr>
        <w:widowControl w:val="0"/>
        <w:autoSpaceDE w:val="0"/>
        <w:autoSpaceDN w:val="0"/>
        <w:adjustRightInd w:val="0"/>
        <w:rPr>
          <w:rFonts w:eastAsia="Calibri"/>
          <w:highlight w:val="green"/>
          <w:lang w:val="en-GB"/>
        </w:rPr>
      </w:pPr>
      <w:r w:rsidRPr="000B4E2C">
        <w:rPr>
          <w:rFonts w:eastAsia="Calibri"/>
          <w:szCs w:val="24"/>
          <w:highlight w:val="green"/>
          <w:lang w:val="en-GB"/>
        </w:rPr>
        <w:t xml:space="preserve">Barreto, R., Elia, C., Sola, E., Moreira, R., Ariza, X., Rodriguez, E., Graupera, I., Alfaro, I., Morales-Ruiz, M., Poch, E., Guevara, M., Fernandez, J., Jimenez, W., Arroyo, V. and Gines, P. Urinary neutrophil gelatinase-associated lipocalin predicts kidney outcome and death in patients with cirrhosis and bacterial infections. </w:t>
      </w:r>
      <w:r w:rsidRPr="000B4E2C">
        <w:rPr>
          <w:rFonts w:eastAsia="Calibri"/>
          <w:i/>
          <w:iCs/>
          <w:szCs w:val="24"/>
          <w:highlight w:val="green"/>
          <w:lang w:val="en-GB"/>
        </w:rPr>
        <w:t>Journal of Hepatology</w:t>
      </w:r>
      <w:r w:rsidRPr="000B4E2C">
        <w:rPr>
          <w:rFonts w:eastAsia="Calibri"/>
          <w:szCs w:val="24"/>
          <w:highlight w:val="green"/>
          <w:lang w:val="en-GB"/>
        </w:rPr>
        <w:t>, 61(1), 35-42, 2014. [15075]</w:t>
      </w:r>
      <w:r w:rsidR="000B4E2C" w:rsidRPr="000B4E2C">
        <w:rPr>
          <w:rFonts w:eastAsia="Calibri"/>
          <w:highlight w:val="green"/>
          <w:lang w:val="en-GB"/>
        </w:rPr>
        <w:t xml:space="preserve">  </w:t>
      </w:r>
    </w:p>
    <w:p w14:paraId="059B32F2"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Beitland 2016</w:t>
      </w:r>
    </w:p>
    <w:p w14:paraId="2DFE17F3" w14:textId="77777777" w:rsidR="002F0133" w:rsidRPr="000B4E2C" w:rsidRDefault="002F0133" w:rsidP="008A7464">
      <w:pPr>
        <w:widowControl w:val="0"/>
        <w:autoSpaceDE w:val="0"/>
        <w:autoSpaceDN w:val="0"/>
        <w:adjustRightInd w:val="0"/>
        <w:rPr>
          <w:rFonts w:eastAsia="Calibri"/>
          <w:szCs w:val="24"/>
          <w:highlight w:val="green"/>
          <w:lang w:val="en-GB"/>
        </w:rPr>
      </w:pPr>
    </w:p>
    <w:p w14:paraId="07E99B4C"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Beitland, S., Waldum-Grevbo, B. E., Nakstad, E. R., Berg, J. P., Troseid, A. S., Brusletto, B. S., Brunborg, C., Andersen, G. O. and Sunde, K. Urine biomarkers give early prediction of acute kidney injury and outcome after out-of-hospital cardiac arrest. </w:t>
      </w:r>
      <w:r w:rsidRPr="000B4E2C">
        <w:rPr>
          <w:rFonts w:eastAsia="Calibri"/>
          <w:i/>
          <w:iCs/>
          <w:szCs w:val="24"/>
          <w:highlight w:val="green"/>
          <w:lang w:val="en-GB"/>
        </w:rPr>
        <w:t>Critical Care</w:t>
      </w:r>
      <w:r w:rsidRPr="000B4E2C">
        <w:rPr>
          <w:rFonts w:eastAsia="Calibri"/>
          <w:szCs w:val="24"/>
          <w:highlight w:val="green"/>
          <w:lang w:val="en-GB"/>
        </w:rPr>
        <w:t>, 20(1), 314, 2016. [15098]</w:t>
      </w:r>
    </w:p>
    <w:p w14:paraId="27F77A2B" w14:textId="77777777" w:rsidR="002F0133" w:rsidRPr="000B4E2C" w:rsidRDefault="002F0133" w:rsidP="008A7464">
      <w:pPr>
        <w:rPr>
          <w:rFonts w:eastAsia="Calibri"/>
          <w:b/>
          <w:szCs w:val="24"/>
          <w:highlight w:val="green"/>
          <w:lang w:val="en-GB"/>
        </w:rPr>
      </w:pPr>
    </w:p>
    <w:p w14:paraId="5C168901"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Bennett 2013</w:t>
      </w:r>
    </w:p>
    <w:p w14:paraId="6792CCD8" w14:textId="77777777" w:rsidR="002F0133" w:rsidRPr="000B4E2C" w:rsidRDefault="002F0133" w:rsidP="008A7464">
      <w:pPr>
        <w:widowControl w:val="0"/>
        <w:autoSpaceDE w:val="0"/>
        <w:autoSpaceDN w:val="0"/>
        <w:adjustRightInd w:val="0"/>
        <w:rPr>
          <w:rFonts w:eastAsia="Calibri"/>
          <w:szCs w:val="24"/>
          <w:highlight w:val="green"/>
          <w:lang w:val="en-GB"/>
        </w:rPr>
      </w:pPr>
    </w:p>
    <w:p w14:paraId="05C96060"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Bennett, M., Dent, C. L., Ma, Q., Dastrala, S., Grenier, F., Workman, R., Syed, H., Ali, S., Barasch, J. and Devarajan, P. Urine NGAL predicts severity of acute kidney injury after cardiac surgery: A prospective study. </w:t>
      </w:r>
      <w:r w:rsidRPr="000B4E2C">
        <w:rPr>
          <w:rFonts w:eastAsia="Calibri"/>
          <w:i/>
          <w:iCs/>
          <w:szCs w:val="24"/>
          <w:highlight w:val="green"/>
          <w:lang w:val="en-GB"/>
        </w:rPr>
        <w:t>Clinical Journal of The American Society of Nephrology: CJASN</w:t>
      </w:r>
      <w:r w:rsidRPr="000B4E2C">
        <w:rPr>
          <w:rFonts w:eastAsia="Calibri"/>
          <w:szCs w:val="24"/>
          <w:highlight w:val="green"/>
          <w:lang w:val="en-GB"/>
        </w:rPr>
        <w:t>, 3(3), 665-673, 2008. [3985]</w:t>
      </w:r>
    </w:p>
    <w:p w14:paraId="1982F78D" w14:textId="77777777" w:rsidR="002F0133" w:rsidRPr="000B4E2C" w:rsidRDefault="002F0133" w:rsidP="008A7464">
      <w:pPr>
        <w:rPr>
          <w:rFonts w:eastAsia="Calibri"/>
          <w:b/>
          <w:szCs w:val="24"/>
          <w:highlight w:val="green"/>
          <w:lang w:val="en-GB"/>
        </w:rPr>
      </w:pPr>
    </w:p>
    <w:p w14:paraId="505FAA4C"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Bihorac</w:t>
      </w:r>
      <w:r w:rsidRPr="000B4E2C">
        <w:rPr>
          <w:rFonts w:eastAsia="Calibri"/>
          <w:b/>
          <w:szCs w:val="24"/>
          <w:highlight w:val="green"/>
          <w:lang w:val="en-GB"/>
        </w:rPr>
        <w:tab/>
        <w:t>2014</w:t>
      </w:r>
    </w:p>
    <w:p w14:paraId="011509CB" w14:textId="77777777" w:rsidR="002F0133" w:rsidRPr="000B4E2C" w:rsidRDefault="002F0133" w:rsidP="008A7464">
      <w:pPr>
        <w:widowControl w:val="0"/>
        <w:autoSpaceDE w:val="0"/>
        <w:autoSpaceDN w:val="0"/>
        <w:adjustRightInd w:val="0"/>
        <w:rPr>
          <w:rFonts w:eastAsia="Calibri"/>
          <w:szCs w:val="24"/>
          <w:highlight w:val="green"/>
          <w:lang w:val="en-GB"/>
        </w:rPr>
      </w:pPr>
    </w:p>
    <w:p w14:paraId="1F255E9B"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Bihorac, A., Chawla, L. S., Shaw, A. D., Al-Khafaji, A., Davison, D. L., Demuth, G. E., Fitzgerald, R., Gong, M. N., Graham, D. D., Gunnerson, K., Heung, M., Jortani, S., Kleerup, E., Koyner, J. L., Krell, K., Letourneau, J., Lissauer, M., Miner, J., Nguyen, H. B., Ortega, L. M., Self, W. H., Sellman, R., Shi, J., Straseski, J., Szalados, J. E., Wilber, S. T., Walker, M. G., Wilson, J., Wunderink, R., Zimmerman, J. and Kellum, J. A. Validation of cell-cycle arrest biomarkers for acute kidney injury using clinical adjudication. </w:t>
      </w:r>
      <w:r w:rsidRPr="000B4E2C">
        <w:rPr>
          <w:rFonts w:eastAsia="Calibri"/>
          <w:i/>
          <w:iCs/>
          <w:szCs w:val="24"/>
          <w:highlight w:val="green"/>
          <w:lang w:val="en-GB"/>
        </w:rPr>
        <w:t>American Journal of Respiratory and Critical Care Medicine</w:t>
      </w:r>
      <w:r w:rsidRPr="000B4E2C">
        <w:rPr>
          <w:rFonts w:eastAsia="Calibri"/>
          <w:szCs w:val="24"/>
          <w:highlight w:val="green"/>
          <w:lang w:val="en-GB"/>
        </w:rPr>
        <w:t>, 189(8), 932-939, 2014. [15129]</w:t>
      </w:r>
    </w:p>
    <w:p w14:paraId="77AB1A14" w14:textId="77777777" w:rsidR="002F0133" w:rsidRPr="000B4E2C" w:rsidRDefault="002F0133" w:rsidP="008A7464">
      <w:pPr>
        <w:rPr>
          <w:rFonts w:eastAsia="Calibri"/>
          <w:b/>
          <w:szCs w:val="24"/>
          <w:highlight w:val="green"/>
          <w:lang w:val="en-GB"/>
        </w:rPr>
      </w:pPr>
    </w:p>
    <w:p w14:paraId="7A145854"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Bojan 2014</w:t>
      </w:r>
    </w:p>
    <w:p w14:paraId="798D75B0" w14:textId="77777777" w:rsidR="002F0133" w:rsidRPr="000B4E2C" w:rsidRDefault="002F0133" w:rsidP="008A7464">
      <w:pPr>
        <w:widowControl w:val="0"/>
        <w:autoSpaceDE w:val="0"/>
        <w:autoSpaceDN w:val="0"/>
        <w:adjustRightInd w:val="0"/>
        <w:rPr>
          <w:rFonts w:eastAsia="Calibri"/>
          <w:szCs w:val="24"/>
          <w:highlight w:val="green"/>
          <w:lang w:val="en-GB"/>
        </w:rPr>
      </w:pPr>
    </w:p>
    <w:p w14:paraId="42E8E5C9"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lastRenderedPageBreak/>
        <w:t xml:space="preserve">Bojan, M., Vicca, S., Lopez-Lopez, V., Mogenet, A., Pouard, P., Falissard, B. and Journois, D. Predictive performance of urine neutrophil gelatinase- associated lipocalin for dialysis requirement and death following cardiac surgery in neonates and infants. </w:t>
      </w:r>
      <w:r w:rsidRPr="000B4E2C">
        <w:rPr>
          <w:rFonts w:eastAsia="Calibri"/>
          <w:i/>
          <w:iCs/>
          <w:szCs w:val="24"/>
          <w:highlight w:val="green"/>
          <w:lang w:val="en-GB"/>
        </w:rPr>
        <w:t>Clinical Journal of the American Society of Nephrology</w:t>
      </w:r>
      <w:r w:rsidRPr="000B4E2C">
        <w:rPr>
          <w:rFonts w:eastAsia="Calibri"/>
          <w:szCs w:val="24"/>
          <w:highlight w:val="green"/>
          <w:lang w:val="en-GB"/>
        </w:rPr>
        <w:t>, 9(2), 285-294, 2014. [15136]</w:t>
      </w:r>
    </w:p>
    <w:p w14:paraId="7BC42BCE" w14:textId="77777777" w:rsidR="002F0133" w:rsidRPr="000B4E2C" w:rsidRDefault="002F0133" w:rsidP="008A7464">
      <w:pPr>
        <w:rPr>
          <w:rFonts w:eastAsia="Calibri"/>
          <w:b/>
          <w:szCs w:val="24"/>
          <w:highlight w:val="green"/>
          <w:lang w:val="en-GB"/>
        </w:rPr>
      </w:pPr>
    </w:p>
    <w:p w14:paraId="2FD16B3C"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Cantinotti 2012</w:t>
      </w:r>
    </w:p>
    <w:p w14:paraId="100B97C5" w14:textId="77777777" w:rsidR="002F0133" w:rsidRPr="000B4E2C" w:rsidRDefault="002F0133" w:rsidP="008A7464">
      <w:pPr>
        <w:widowControl w:val="0"/>
        <w:autoSpaceDE w:val="0"/>
        <w:autoSpaceDN w:val="0"/>
        <w:adjustRightInd w:val="0"/>
        <w:rPr>
          <w:rFonts w:eastAsia="Calibri"/>
          <w:szCs w:val="24"/>
          <w:highlight w:val="green"/>
          <w:lang w:val="en-GB"/>
        </w:rPr>
      </w:pPr>
    </w:p>
    <w:p w14:paraId="27CA122C"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Cantinotti, M., Storti, S., Lorenzoni, V., Arcieri, L., Moschetti, R., Murzi, B., Spadoni, I., Passino, C. and Clerico, A. The combined use of neutrophil gelatinase-associated lipocalin and brain natriuretic peptide improves risk stratification in pediatric cardiac surgery. </w:t>
      </w:r>
      <w:r w:rsidRPr="000B4E2C">
        <w:rPr>
          <w:rFonts w:eastAsia="Calibri"/>
          <w:i/>
          <w:iCs/>
          <w:szCs w:val="24"/>
          <w:highlight w:val="green"/>
          <w:lang w:val="en-GB"/>
        </w:rPr>
        <w:t>Clinical Chemistry and Laboratory Medicine</w:t>
      </w:r>
      <w:r w:rsidRPr="000B4E2C">
        <w:rPr>
          <w:rFonts w:eastAsia="Calibri"/>
          <w:szCs w:val="24"/>
          <w:highlight w:val="green"/>
          <w:lang w:val="en-GB"/>
        </w:rPr>
        <w:t>, 50(11), 2009-2017, 2012. [15203]</w:t>
      </w:r>
    </w:p>
    <w:p w14:paraId="0E27DEE8" w14:textId="77777777" w:rsidR="002F0133" w:rsidRPr="000B4E2C" w:rsidRDefault="002F0133" w:rsidP="008A7464">
      <w:pPr>
        <w:rPr>
          <w:rFonts w:eastAsia="Calibri"/>
          <w:b/>
          <w:szCs w:val="24"/>
          <w:highlight w:val="green"/>
          <w:lang w:val="en-GB"/>
        </w:rPr>
      </w:pPr>
    </w:p>
    <w:p w14:paraId="2A9F113F"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Cho 2013</w:t>
      </w:r>
    </w:p>
    <w:p w14:paraId="336562BF" w14:textId="77777777" w:rsidR="002F0133" w:rsidRPr="000B4E2C" w:rsidRDefault="002F0133" w:rsidP="008A7464">
      <w:pPr>
        <w:widowControl w:val="0"/>
        <w:autoSpaceDE w:val="0"/>
        <w:autoSpaceDN w:val="0"/>
        <w:adjustRightInd w:val="0"/>
        <w:rPr>
          <w:rFonts w:eastAsia="Calibri"/>
          <w:szCs w:val="24"/>
          <w:highlight w:val="green"/>
          <w:lang w:val="en-GB"/>
        </w:rPr>
      </w:pPr>
    </w:p>
    <w:p w14:paraId="538A1074"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Cho, E., Yang, H. N., Jo, S. K., Cho, W. Y. and Kim, H. K. The role of urinary liver-type fatty acid-binding protein in critically ill patients. </w:t>
      </w:r>
      <w:r w:rsidRPr="000B4E2C">
        <w:rPr>
          <w:rFonts w:eastAsia="Calibri"/>
          <w:i/>
          <w:iCs/>
          <w:szCs w:val="24"/>
          <w:highlight w:val="green"/>
          <w:lang w:val="en-GB"/>
        </w:rPr>
        <w:t>Journal of Korean Medical Science</w:t>
      </w:r>
      <w:r w:rsidRPr="000B4E2C">
        <w:rPr>
          <w:rFonts w:eastAsia="Calibri"/>
          <w:szCs w:val="24"/>
          <w:highlight w:val="green"/>
          <w:lang w:val="en-GB"/>
        </w:rPr>
        <w:t>, 28(1), 100-105, 2013. [15253]</w:t>
      </w:r>
    </w:p>
    <w:p w14:paraId="72A60E86" w14:textId="0928BBCD" w:rsidR="002F0133" w:rsidRPr="000B4E2C" w:rsidRDefault="000B4E2C" w:rsidP="008A7464">
      <w:pPr>
        <w:spacing w:after="200" w:line="276" w:lineRule="auto"/>
        <w:rPr>
          <w:rFonts w:eastAsia="Calibri"/>
          <w:b/>
          <w:szCs w:val="24"/>
          <w:highlight w:val="green"/>
          <w:lang w:val="en-GB"/>
        </w:rPr>
      </w:pPr>
      <w:r w:rsidRPr="000B4E2C">
        <w:rPr>
          <w:rFonts w:eastAsia="Calibri"/>
          <w:b/>
          <w:szCs w:val="24"/>
          <w:highlight w:val="green"/>
          <w:lang w:val="en-GB"/>
        </w:rPr>
        <w:t xml:space="preserve">  </w:t>
      </w:r>
    </w:p>
    <w:p w14:paraId="67882975"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Cho 2014</w:t>
      </w:r>
    </w:p>
    <w:p w14:paraId="6DAB543A" w14:textId="77777777" w:rsidR="002F0133" w:rsidRPr="000B4E2C" w:rsidRDefault="002F0133" w:rsidP="008A7464">
      <w:pPr>
        <w:widowControl w:val="0"/>
        <w:autoSpaceDE w:val="0"/>
        <w:autoSpaceDN w:val="0"/>
        <w:adjustRightInd w:val="0"/>
        <w:rPr>
          <w:rFonts w:eastAsia="Calibri"/>
          <w:szCs w:val="24"/>
          <w:highlight w:val="green"/>
          <w:lang w:val="en-GB"/>
        </w:rPr>
      </w:pPr>
    </w:p>
    <w:p w14:paraId="60CB3665"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Cho, E., Kim, S. C., Kim, M. G., Jo, S. K., Cho, W. Y. and Kim, H. K. The incidence and risk factors of acute kidney injury after hepatobiliary surgery: A prospective observational study. </w:t>
      </w:r>
      <w:r w:rsidRPr="000B4E2C">
        <w:rPr>
          <w:rFonts w:eastAsia="Calibri"/>
          <w:i/>
          <w:iCs/>
          <w:szCs w:val="24"/>
          <w:highlight w:val="green"/>
          <w:lang w:val="en-GB"/>
        </w:rPr>
        <w:t>BMC Nephrology</w:t>
      </w:r>
      <w:r w:rsidRPr="000B4E2C">
        <w:rPr>
          <w:rFonts w:eastAsia="Calibri"/>
          <w:szCs w:val="24"/>
          <w:highlight w:val="green"/>
          <w:lang w:val="en-GB"/>
        </w:rPr>
        <w:t>, 15(1), 169, 2014. [15251]</w:t>
      </w:r>
    </w:p>
    <w:p w14:paraId="6EF2AE4F" w14:textId="77777777" w:rsidR="002F0133" w:rsidRPr="000B4E2C" w:rsidRDefault="002F0133" w:rsidP="008A7464">
      <w:pPr>
        <w:rPr>
          <w:rFonts w:eastAsia="Calibri"/>
          <w:b/>
          <w:szCs w:val="24"/>
          <w:highlight w:val="green"/>
          <w:lang w:val="en-GB"/>
        </w:rPr>
      </w:pPr>
    </w:p>
    <w:p w14:paraId="6F1602EF"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Collins 2012</w:t>
      </w:r>
    </w:p>
    <w:p w14:paraId="3A7B7CF1" w14:textId="77777777" w:rsidR="002F0133" w:rsidRPr="000B4E2C" w:rsidRDefault="002F0133" w:rsidP="008A7464">
      <w:pPr>
        <w:widowControl w:val="0"/>
        <w:autoSpaceDE w:val="0"/>
        <w:autoSpaceDN w:val="0"/>
        <w:adjustRightInd w:val="0"/>
        <w:rPr>
          <w:rFonts w:eastAsia="Calibri"/>
          <w:szCs w:val="24"/>
          <w:highlight w:val="green"/>
          <w:lang w:val="en-GB"/>
        </w:rPr>
      </w:pPr>
    </w:p>
    <w:p w14:paraId="2E74F59B"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Collins, S. P., Hart, K. W., Lindsell, C. J., Fermann, G. J., Weintraub, N. L., Miller, K. F., Roll, S. N., Sperling, M. I., Sawyer, D. B. and Storrow, A. B. Elevated urinary neutrophil gelatinase-associated lipocalcin after acute heart failure treatment is associated with worsening renal function and adverse events. </w:t>
      </w:r>
      <w:r w:rsidRPr="000B4E2C">
        <w:rPr>
          <w:rFonts w:eastAsia="Calibri"/>
          <w:i/>
          <w:iCs/>
          <w:szCs w:val="24"/>
          <w:highlight w:val="green"/>
          <w:lang w:val="en-GB"/>
        </w:rPr>
        <w:t>European Journal of Heart Failure</w:t>
      </w:r>
      <w:r w:rsidRPr="000B4E2C">
        <w:rPr>
          <w:rFonts w:eastAsia="Calibri"/>
          <w:szCs w:val="24"/>
          <w:highlight w:val="green"/>
          <w:lang w:val="en-GB"/>
        </w:rPr>
        <w:t>, 14(9), 1020-1029, 2012. [15280]</w:t>
      </w:r>
    </w:p>
    <w:p w14:paraId="57FEFCCB" w14:textId="77777777" w:rsidR="002F0133" w:rsidRPr="000B4E2C" w:rsidRDefault="002F0133" w:rsidP="008A7464">
      <w:pPr>
        <w:rPr>
          <w:rFonts w:eastAsia="Calibri"/>
          <w:b/>
          <w:szCs w:val="24"/>
          <w:highlight w:val="green"/>
          <w:lang w:val="en-GB"/>
        </w:rPr>
      </w:pPr>
    </w:p>
    <w:p w14:paraId="6C34EE81"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Cullen 2014</w:t>
      </w:r>
    </w:p>
    <w:p w14:paraId="45AEC73F" w14:textId="77777777" w:rsidR="002F0133" w:rsidRPr="000B4E2C" w:rsidRDefault="002F0133" w:rsidP="008A7464">
      <w:pPr>
        <w:widowControl w:val="0"/>
        <w:autoSpaceDE w:val="0"/>
        <w:autoSpaceDN w:val="0"/>
        <w:adjustRightInd w:val="0"/>
        <w:rPr>
          <w:rFonts w:eastAsia="Calibri"/>
          <w:szCs w:val="24"/>
          <w:highlight w:val="green"/>
          <w:lang w:val="en-GB"/>
        </w:rPr>
      </w:pPr>
    </w:p>
    <w:p w14:paraId="5D1E8371"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Cullen, M. R., Jhanji, S., Pearse, R. M. and Fitzgibbon, M. C. Neutrophil gelatinase-associated lipocalin and albuminuria as predictors of acute kidney injury in patients treated with goal-directed haemodynamic therapy after major abdominal surgery. </w:t>
      </w:r>
      <w:r w:rsidRPr="000B4E2C">
        <w:rPr>
          <w:rFonts w:eastAsia="Calibri"/>
          <w:i/>
          <w:iCs/>
          <w:szCs w:val="24"/>
          <w:highlight w:val="green"/>
          <w:lang w:val="en-GB"/>
        </w:rPr>
        <w:t>Annals of Clinical Biochemistry</w:t>
      </w:r>
      <w:r w:rsidRPr="000B4E2C">
        <w:rPr>
          <w:rFonts w:eastAsia="Calibri"/>
          <w:szCs w:val="24"/>
          <w:highlight w:val="green"/>
          <w:lang w:val="en-GB"/>
        </w:rPr>
        <w:t>, 51(3), 392-399, 2014. [15309]</w:t>
      </w:r>
    </w:p>
    <w:p w14:paraId="76A571CB" w14:textId="77777777" w:rsidR="002F0133" w:rsidRPr="000B4E2C" w:rsidRDefault="002F0133" w:rsidP="008A7464">
      <w:pPr>
        <w:rPr>
          <w:rFonts w:eastAsia="Calibri"/>
          <w:b/>
          <w:szCs w:val="24"/>
          <w:highlight w:val="green"/>
          <w:lang w:val="en-GB"/>
        </w:rPr>
      </w:pPr>
    </w:p>
    <w:p w14:paraId="440B8097"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Cummings 2019</w:t>
      </w:r>
    </w:p>
    <w:p w14:paraId="085106D6" w14:textId="77777777" w:rsidR="002F0133" w:rsidRPr="000B4E2C" w:rsidRDefault="002F0133" w:rsidP="008A7464">
      <w:pPr>
        <w:widowControl w:val="0"/>
        <w:autoSpaceDE w:val="0"/>
        <w:autoSpaceDN w:val="0"/>
        <w:adjustRightInd w:val="0"/>
        <w:rPr>
          <w:rFonts w:eastAsia="Calibri"/>
          <w:szCs w:val="24"/>
          <w:highlight w:val="green"/>
          <w:lang w:val="en-GB"/>
        </w:rPr>
      </w:pPr>
    </w:p>
    <w:p w14:paraId="277FFB63" w14:textId="208F2341"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Cummings, J. J., Shaw, A. D., Shi, J., Lopez, M. G., O</w:t>
      </w:r>
      <w:r w:rsidR="0072128A" w:rsidRPr="000B4E2C">
        <w:rPr>
          <w:rFonts w:eastAsia="Calibri"/>
          <w:color w:val="00B0F0"/>
          <w:szCs w:val="24"/>
          <w:highlight w:val="green"/>
          <w:lang w:val="en-GB"/>
        </w:rPr>
        <w:t>’</w:t>
      </w:r>
      <w:r w:rsidRPr="000B4E2C">
        <w:rPr>
          <w:rFonts w:eastAsia="Calibri"/>
          <w:szCs w:val="24"/>
          <w:highlight w:val="green"/>
          <w:lang w:val="en-GB"/>
        </w:rPr>
        <w:t xml:space="preserve">neal, J. B. and Billings, F. T. Intraoperative prediction of cardiac surgery-associated acute kidney injury using urinary biomarkers of cell cycle arrest. </w:t>
      </w:r>
      <w:r w:rsidRPr="000B4E2C">
        <w:rPr>
          <w:rFonts w:eastAsia="Calibri"/>
          <w:i/>
          <w:iCs/>
          <w:szCs w:val="24"/>
          <w:highlight w:val="green"/>
          <w:lang w:val="en-GB"/>
        </w:rPr>
        <w:t>Journal of Thoracic and Cardiovascular Surgery</w:t>
      </w:r>
      <w:r w:rsidRPr="000B4E2C">
        <w:rPr>
          <w:rFonts w:eastAsia="Calibri"/>
          <w:szCs w:val="24"/>
          <w:highlight w:val="green"/>
          <w:lang w:val="en-GB"/>
        </w:rPr>
        <w:t>, 157(4), 1545, 2019. [15311]</w:t>
      </w:r>
    </w:p>
    <w:p w14:paraId="73DBCEEB" w14:textId="77777777" w:rsidR="002F0133" w:rsidRPr="000B4E2C" w:rsidRDefault="002F0133" w:rsidP="008A7464">
      <w:pPr>
        <w:rPr>
          <w:rFonts w:eastAsia="Calibri"/>
          <w:b/>
          <w:szCs w:val="24"/>
          <w:highlight w:val="green"/>
          <w:lang w:val="en-GB"/>
        </w:rPr>
      </w:pPr>
    </w:p>
    <w:p w14:paraId="529DF1ED"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De Loor 2017</w:t>
      </w:r>
    </w:p>
    <w:p w14:paraId="1056E1F3" w14:textId="77777777" w:rsidR="002F0133" w:rsidRPr="000B4E2C" w:rsidRDefault="002F0133" w:rsidP="008A7464">
      <w:pPr>
        <w:widowControl w:val="0"/>
        <w:autoSpaceDE w:val="0"/>
        <w:autoSpaceDN w:val="0"/>
        <w:adjustRightInd w:val="0"/>
        <w:rPr>
          <w:rFonts w:eastAsia="Calibri"/>
          <w:szCs w:val="24"/>
          <w:highlight w:val="green"/>
          <w:lang w:val="en-GB"/>
        </w:rPr>
      </w:pPr>
    </w:p>
    <w:p w14:paraId="7026DA60"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De Loor, J., Herck, I., Francois, K., Van Wesemael, A., Nuytinck, L., Meyer, E. and Hoste, E. a. J. Diagnosis of cardiac surgery-associated acute kidney injury: Differential roles of creatinine, chitinase 3-like protein 1 and neutrophil gelatinase-associated lipocalin: A prospective cohort study. </w:t>
      </w:r>
      <w:r w:rsidRPr="000B4E2C">
        <w:rPr>
          <w:rFonts w:eastAsia="Calibri"/>
          <w:i/>
          <w:iCs/>
          <w:szCs w:val="24"/>
          <w:highlight w:val="green"/>
          <w:lang w:val="en-GB"/>
        </w:rPr>
        <w:t>Annals of Intensive Care</w:t>
      </w:r>
      <w:r w:rsidRPr="000B4E2C">
        <w:rPr>
          <w:rFonts w:eastAsia="Calibri"/>
          <w:szCs w:val="24"/>
          <w:highlight w:val="green"/>
          <w:lang w:val="en-GB"/>
        </w:rPr>
        <w:t>, 7(1), 24, 2017. [15341]</w:t>
      </w:r>
    </w:p>
    <w:p w14:paraId="1D94906F" w14:textId="77777777" w:rsidR="002F0133" w:rsidRPr="000B4E2C" w:rsidRDefault="002F0133" w:rsidP="008A7464">
      <w:pPr>
        <w:rPr>
          <w:rFonts w:eastAsia="Calibri"/>
          <w:b/>
          <w:szCs w:val="24"/>
          <w:highlight w:val="green"/>
          <w:lang w:val="en-GB"/>
        </w:rPr>
      </w:pPr>
    </w:p>
    <w:p w14:paraId="6775BA07"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Di Leo 2018</w:t>
      </w:r>
    </w:p>
    <w:p w14:paraId="2A6E983A" w14:textId="77777777" w:rsidR="002F0133" w:rsidRPr="000B4E2C" w:rsidRDefault="002F0133" w:rsidP="008A7464">
      <w:pPr>
        <w:widowControl w:val="0"/>
        <w:autoSpaceDE w:val="0"/>
        <w:autoSpaceDN w:val="0"/>
        <w:adjustRightInd w:val="0"/>
        <w:rPr>
          <w:rFonts w:eastAsia="Calibri"/>
          <w:szCs w:val="24"/>
          <w:highlight w:val="green"/>
          <w:lang w:val="en-GB"/>
        </w:rPr>
      </w:pPr>
    </w:p>
    <w:p w14:paraId="6FD2C24F"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 Di Leo, L., Nalesso, F., Garzotto, F., Xie, Y., Yang, B., Virzi, G. M., Passannante, A., Bonato, R., Carta, M., Giavarina, D., Gregori, D., Brendolan, A., Ferrari, F. and Ronco, C. Predicting acute kidney injury in intensive care unit patients: The role of tissue inhibitor of metalloproteinases-2 and insulin-like growth factor-binding protein-7 biomarkers. </w:t>
      </w:r>
      <w:r w:rsidRPr="000B4E2C">
        <w:rPr>
          <w:rFonts w:eastAsia="Calibri"/>
          <w:i/>
          <w:iCs/>
          <w:szCs w:val="24"/>
          <w:highlight w:val="green"/>
          <w:lang w:val="en-GB"/>
        </w:rPr>
        <w:t>Blood Purification</w:t>
      </w:r>
      <w:r w:rsidRPr="000B4E2C">
        <w:rPr>
          <w:rFonts w:eastAsia="Calibri"/>
          <w:szCs w:val="24"/>
          <w:highlight w:val="green"/>
          <w:lang w:val="en-GB"/>
        </w:rPr>
        <w:t>, 45(1-3), 270-277, 2018. [15390]</w:t>
      </w:r>
    </w:p>
    <w:p w14:paraId="0375375B" w14:textId="77777777" w:rsidR="002F0133" w:rsidRPr="000B4E2C" w:rsidRDefault="002F0133" w:rsidP="008A7464">
      <w:pPr>
        <w:widowControl w:val="0"/>
        <w:autoSpaceDE w:val="0"/>
        <w:autoSpaceDN w:val="0"/>
        <w:adjustRightInd w:val="0"/>
        <w:rPr>
          <w:rFonts w:eastAsia="Calibri"/>
          <w:szCs w:val="24"/>
          <w:highlight w:val="green"/>
          <w:lang w:val="en-GB"/>
        </w:rPr>
      </w:pPr>
    </w:p>
    <w:p w14:paraId="42D94BD7"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lastRenderedPageBreak/>
        <w:t xml:space="preserve">Xie, Y., Ankawi, G., Yang, B., Garzotto, F., Passannante, A., Breglia, A., Digvijay, K., Ferrari, F., Brendolan, A., Raffaele, B., Giavarina, D., Gregori, D. and Ronco, C. Tissue inhibitor metalloproteinase-2 (TIMP-2)* igf-binding protein-7 (IGFBP7)levels are associated with adverse outcomes in patients in the intensive care unit with acute kidney injury. </w:t>
      </w:r>
      <w:r w:rsidRPr="000B4E2C">
        <w:rPr>
          <w:rFonts w:eastAsia="Calibri"/>
          <w:i/>
          <w:iCs/>
          <w:szCs w:val="24"/>
          <w:highlight w:val="green"/>
          <w:lang w:val="en-GB"/>
        </w:rPr>
        <w:t>Kidney International</w:t>
      </w:r>
      <w:r w:rsidRPr="000B4E2C">
        <w:rPr>
          <w:rFonts w:eastAsia="Calibri"/>
          <w:szCs w:val="24"/>
          <w:highlight w:val="green"/>
          <w:lang w:val="en-GB"/>
        </w:rPr>
        <w:t>, 95(6), 1486-1493, 2019. [16923]</w:t>
      </w:r>
    </w:p>
    <w:p w14:paraId="253F5046" w14:textId="36CB6C74" w:rsidR="002F0133" w:rsidRPr="000B4E2C" w:rsidRDefault="000B4E2C" w:rsidP="008A7464">
      <w:pPr>
        <w:spacing w:after="200" w:line="276" w:lineRule="auto"/>
        <w:rPr>
          <w:rFonts w:eastAsia="Calibri"/>
          <w:szCs w:val="24"/>
          <w:highlight w:val="green"/>
          <w:lang w:val="en-GB"/>
        </w:rPr>
      </w:pPr>
      <w:r w:rsidRPr="000B4E2C">
        <w:rPr>
          <w:rFonts w:eastAsia="Calibri"/>
          <w:szCs w:val="24"/>
          <w:highlight w:val="green"/>
          <w:lang w:val="en-GB"/>
        </w:rPr>
        <w:t xml:space="preserve">  </w:t>
      </w:r>
    </w:p>
    <w:p w14:paraId="08F746C1"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Doi 2014</w:t>
      </w:r>
    </w:p>
    <w:p w14:paraId="11620BDE" w14:textId="77777777" w:rsidR="002F0133" w:rsidRPr="000B4E2C" w:rsidRDefault="002F0133" w:rsidP="008A7464">
      <w:pPr>
        <w:widowControl w:val="0"/>
        <w:autoSpaceDE w:val="0"/>
        <w:autoSpaceDN w:val="0"/>
        <w:adjustRightInd w:val="0"/>
        <w:rPr>
          <w:rFonts w:eastAsia="Calibri"/>
          <w:szCs w:val="24"/>
          <w:highlight w:val="green"/>
          <w:lang w:val="en-GB"/>
        </w:rPr>
      </w:pPr>
    </w:p>
    <w:p w14:paraId="796E0E80"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 Doi, K., Noiri, E., Nangaku, M., Yahagi, N., Jayakumar, C. and Ramesh, G. Repulsive guidance cue semaphorin 3a in urine predicts the progression of acute kidney injury in adult patients from a mixed intensive care unit. </w:t>
      </w:r>
      <w:r w:rsidRPr="000B4E2C">
        <w:rPr>
          <w:rFonts w:eastAsia="Calibri"/>
          <w:i/>
          <w:iCs/>
          <w:szCs w:val="24"/>
          <w:highlight w:val="green"/>
          <w:lang w:val="en-GB"/>
        </w:rPr>
        <w:t>Nephrology Dialysis Transplantation</w:t>
      </w:r>
      <w:r w:rsidRPr="000B4E2C">
        <w:rPr>
          <w:rFonts w:eastAsia="Calibri"/>
          <w:szCs w:val="24"/>
          <w:highlight w:val="green"/>
          <w:lang w:val="en-GB"/>
        </w:rPr>
        <w:t>, 29(1), 73-80, 2014. [15407]</w:t>
      </w:r>
    </w:p>
    <w:p w14:paraId="0E2F2FF3" w14:textId="77777777" w:rsidR="002F0133" w:rsidRPr="000B4E2C" w:rsidRDefault="002F0133" w:rsidP="008A7464">
      <w:pPr>
        <w:rPr>
          <w:rFonts w:eastAsia="Calibri"/>
          <w:b/>
          <w:szCs w:val="24"/>
          <w:highlight w:val="green"/>
          <w:lang w:val="en-GB"/>
        </w:rPr>
      </w:pPr>
    </w:p>
    <w:p w14:paraId="434F4309"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Doi, K., Negishi, K., Ishizu, T., Katagiri, D., Fujita, T., Matsubara, T., Yahagi, N., Sugaya, T. and Noiri, E. Evaluation of new acute kidney injury biomarkers in a mixed intensive care unit. </w:t>
      </w:r>
      <w:r w:rsidRPr="000B4E2C">
        <w:rPr>
          <w:rFonts w:eastAsia="Calibri"/>
          <w:i/>
          <w:iCs/>
          <w:szCs w:val="24"/>
          <w:highlight w:val="green"/>
          <w:lang w:val="en-GB"/>
        </w:rPr>
        <w:t>Critical Care Medicine</w:t>
      </w:r>
      <w:r w:rsidRPr="000B4E2C">
        <w:rPr>
          <w:rFonts w:eastAsia="Calibri"/>
          <w:szCs w:val="24"/>
          <w:highlight w:val="green"/>
          <w:lang w:val="en-GB"/>
        </w:rPr>
        <w:t>, 39(11), 2464-2469, 2011. [15410]</w:t>
      </w:r>
    </w:p>
    <w:p w14:paraId="52CB8E3B" w14:textId="77777777" w:rsidR="002F0133" w:rsidRPr="000B4E2C" w:rsidRDefault="002F0133" w:rsidP="008A7464">
      <w:pPr>
        <w:rPr>
          <w:rFonts w:eastAsia="Calibri"/>
          <w:b/>
          <w:szCs w:val="24"/>
          <w:highlight w:val="green"/>
          <w:lang w:val="en-GB"/>
        </w:rPr>
      </w:pPr>
    </w:p>
    <w:p w14:paraId="661C3EBB"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Dong 2017</w:t>
      </w:r>
    </w:p>
    <w:p w14:paraId="649F68D8" w14:textId="77777777" w:rsidR="002F0133" w:rsidRPr="000B4E2C" w:rsidRDefault="002F0133" w:rsidP="008A7464">
      <w:pPr>
        <w:widowControl w:val="0"/>
        <w:autoSpaceDE w:val="0"/>
        <w:autoSpaceDN w:val="0"/>
        <w:adjustRightInd w:val="0"/>
        <w:rPr>
          <w:rFonts w:eastAsia="Calibri"/>
          <w:szCs w:val="24"/>
          <w:highlight w:val="green"/>
          <w:lang w:val="en-GB"/>
        </w:rPr>
      </w:pPr>
    </w:p>
    <w:p w14:paraId="5286094C"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Dong, L., Ma, Q., Bennett, M. and Devarajan, P. Urinary biomarkers of cell cycle arrest are delayed predictors of acute kidney injury after pediatric cardiopulmonary bypass. </w:t>
      </w:r>
      <w:r w:rsidRPr="000B4E2C">
        <w:rPr>
          <w:rFonts w:eastAsia="Calibri"/>
          <w:i/>
          <w:iCs/>
          <w:szCs w:val="24"/>
          <w:highlight w:val="green"/>
          <w:lang w:val="en-GB"/>
        </w:rPr>
        <w:t>Pediatric Nephrology</w:t>
      </w:r>
      <w:r w:rsidRPr="000B4E2C">
        <w:rPr>
          <w:rFonts w:eastAsia="Calibri"/>
          <w:szCs w:val="24"/>
          <w:highlight w:val="green"/>
          <w:lang w:val="en-GB"/>
        </w:rPr>
        <w:t>, 32(12), 2351-2360, 2017. [15416]</w:t>
      </w:r>
    </w:p>
    <w:p w14:paraId="7B1F98D9" w14:textId="77777777" w:rsidR="002F0133" w:rsidRPr="000B4E2C" w:rsidRDefault="002F0133" w:rsidP="008A7464">
      <w:pPr>
        <w:rPr>
          <w:rFonts w:eastAsia="Calibri"/>
          <w:b/>
          <w:szCs w:val="24"/>
          <w:highlight w:val="green"/>
          <w:lang w:val="en-GB"/>
        </w:rPr>
      </w:pPr>
    </w:p>
    <w:p w14:paraId="0637C0C9"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Dupont 2012</w:t>
      </w:r>
    </w:p>
    <w:p w14:paraId="23EB8D8D" w14:textId="77777777" w:rsidR="002F0133" w:rsidRPr="000B4E2C" w:rsidRDefault="002F0133" w:rsidP="008A7464">
      <w:pPr>
        <w:widowControl w:val="0"/>
        <w:autoSpaceDE w:val="0"/>
        <w:autoSpaceDN w:val="0"/>
        <w:adjustRightInd w:val="0"/>
        <w:rPr>
          <w:rFonts w:eastAsia="Calibri"/>
          <w:szCs w:val="24"/>
          <w:highlight w:val="green"/>
          <w:lang w:val="en-GB"/>
        </w:rPr>
      </w:pPr>
    </w:p>
    <w:p w14:paraId="1EA22C59"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Dupont, M., Shrestha, K., Singh, D., Awad, A., Kovach, C., Scarcipino, M., Maroo, A. P. and Wilson Tang, W. H. Lack of significant renal tubular injury despite acute kidney injury in acute decompensated heart failure. </w:t>
      </w:r>
      <w:r w:rsidRPr="000B4E2C">
        <w:rPr>
          <w:rFonts w:eastAsia="Calibri"/>
          <w:i/>
          <w:iCs/>
          <w:szCs w:val="24"/>
          <w:highlight w:val="green"/>
          <w:lang w:val="en-GB"/>
        </w:rPr>
        <w:t>European Journal of Heart Failure</w:t>
      </w:r>
      <w:r w:rsidRPr="000B4E2C">
        <w:rPr>
          <w:rFonts w:eastAsia="Calibri"/>
          <w:szCs w:val="24"/>
          <w:highlight w:val="green"/>
          <w:lang w:val="en-GB"/>
        </w:rPr>
        <w:t>, 14(6), 597-604, 2012. [15424]</w:t>
      </w:r>
    </w:p>
    <w:p w14:paraId="4E8C08CE" w14:textId="77777777" w:rsidR="002F0133" w:rsidRPr="000B4E2C" w:rsidRDefault="002F0133" w:rsidP="008A7464">
      <w:pPr>
        <w:rPr>
          <w:rFonts w:eastAsia="Calibri"/>
          <w:b/>
          <w:szCs w:val="24"/>
          <w:highlight w:val="green"/>
          <w:lang w:val="en-GB"/>
        </w:rPr>
      </w:pPr>
    </w:p>
    <w:p w14:paraId="6D3AA2B2"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Garcia-Alvarez 2015</w:t>
      </w:r>
    </w:p>
    <w:p w14:paraId="7D807B06" w14:textId="77777777" w:rsidR="002F0133" w:rsidRPr="000B4E2C" w:rsidRDefault="002F0133" w:rsidP="008A7464">
      <w:pPr>
        <w:widowControl w:val="0"/>
        <w:autoSpaceDE w:val="0"/>
        <w:autoSpaceDN w:val="0"/>
        <w:adjustRightInd w:val="0"/>
        <w:rPr>
          <w:rFonts w:eastAsia="Calibri"/>
          <w:szCs w:val="24"/>
          <w:highlight w:val="green"/>
          <w:lang w:val="en-GB"/>
        </w:rPr>
      </w:pPr>
    </w:p>
    <w:p w14:paraId="44FC98D4"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Garcia-Alvarez, M., Glassford, N. J., Betbese, A. J., Ordonez, J., Banos, V., Argilaga, M., Martinez, A., Suzuki, S., Schneider, A. G., Eastwood, G. M., Victoria Moral, M. and Bellomo, R. Urinary neutrophil gelatinase-associated lipocalin as predictor of short- or long-term outcomes in cardiac surgery patients. </w:t>
      </w:r>
      <w:r w:rsidRPr="000B4E2C">
        <w:rPr>
          <w:rFonts w:eastAsia="Calibri"/>
          <w:i/>
          <w:iCs/>
          <w:szCs w:val="24"/>
          <w:highlight w:val="green"/>
          <w:lang w:val="en-GB"/>
        </w:rPr>
        <w:t>Journal of Cardiothoracic and Vascular Anesthesia</w:t>
      </w:r>
      <w:r w:rsidRPr="000B4E2C">
        <w:rPr>
          <w:rFonts w:eastAsia="Calibri"/>
          <w:szCs w:val="24"/>
          <w:highlight w:val="green"/>
          <w:lang w:val="en-GB"/>
        </w:rPr>
        <w:t>, 29(6), 1480-1488, 2015. [15543]</w:t>
      </w:r>
    </w:p>
    <w:p w14:paraId="297FDC67" w14:textId="77777777" w:rsidR="002F0133" w:rsidRPr="000B4E2C" w:rsidRDefault="002F0133" w:rsidP="008A7464">
      <w:pPr>
        <w:rPr>
          <w:rFonts w:eastAsia="Calibri"/>
          <w:b/>
          <w:szCs w:val="24"/>
          <w:highlight w:val="green"/>
          <w:lang w:val="en-GB"/>
        </w:rPr>
      </w:pPr>
    </w:p>
    <w:p w14:paraId="293717A9"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Gayat 2018</w:t>
      </w:r>
    </w:p>
    <w:p w14:paraId="419389BB" w14:textId="77777777" w:rsidR="002F0133" w:rsidRPr="000B4E2C" w:rsidRDefault="002F0133" w:rsidP="008A7464">
      <w:pPr>
        <w:widowControl w:val="0"/>
        <w:autoSpaceDE w:val="0"/>
        <w:autoSpaceDN w:val="0"/>
        <w:adjustRightInd w:val="0"/>
        <w:rPr>
          <w:rFonts w:eastAsia="Calibri"/>
          <w:szCs w:val="24"/>
          <w:highlight w:val="green"/>
          <w:lang w:val="en-GB"/>
        </w:rPr>
      </w:pPr>
    </w:p>
    <w:p w14:paraId="5417B4E2"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Gayat, E., Touchard, C., Hollinger, A., Vieillard-Baron, A., Deye, N., Fauvaux, C., Mebazaa, A., Damoisel, C., Payen, D., Legrand, M., Azoulay, E., Moreau, A. S., Jacob, L., Marie, O., Wolf, M., Sonneville, R., Bronchard, R., Rennuit, I., Paugam, C., Mira, J. P., Cariou, A., Tesnieres, A., Dufour, N., Anguel, N., Guerin, L., Duranteau, J., Ract, C., Leone, M., Pastene, B., Sharshar, T., Fayssoyl, A., Baudel, J. L., Guidet, B., Lu, Q., Gu, W. J., Brechot, N., Combes, A., Jaber, S., Pradel, A., Coisel, Y., Conseil, M., Veillard-Baron, A., Bodson, L., Lefrant, J. Y., Elotmani, L., Ayral, A., Lloret, S., Pily-Flouri, S., Pretalli, J. B., Laterre, P. F., Montiel, V., Dujardin, M. F. and Berghe, C. Back-to-back comparison of penKID with NephroCheck to predict acute kidney injury at admission in intensive care unit: A brief report. </w:t>
      </w:r>
      <w:r w:rsidRPr="000B4E2C">
        <w:rPr>
          <w:rFonts w:eastAsia="Calibri"/>
          <w:i/>
          <w:iCs/>
          <w:szCs w:val="24"/>
          <w:highlight w:val="green"/>
          <w:lang w:val="en-GB"/>
        </w:rPr>
        <w:t>Critical Care</w:t>
      </w:r>
      <w:r w:rsidRPr="000B4E2C">
        <w:rPr>
          <w:rFonts w:eastAsia="Calibri"/>
          <w:szCs w:val="24"/>
          <w:highlight w:val="green"/>
          <w:lang w:val="en-GB"/>
        </w:rPr>
        <w:t>, 22(1), 24, 2018. [16778]</w:t>
      </w:r>
    </w:p>
    <w:p w14:paraId="2C8315CC" w14:textId="3B5ADEBC" w:rsidR="002F0133" w:rsidRPr="000B4E2C" w:rsidRDefault="000B4E2C" w:rsidP="008A7464">
      <w:pPr>
        <w:spacing w:after="200" w:line="276" w:lineRule="auto"/>
        <w:rPr>
          <w:rFonts w:eastAsia="Calibri"/>
          <w:b/>
          <w:szCs w:val="24"/>
          <w:highlight w:val="green"/>
          <w:lang w:val="en-GB"/>
        </w:rPr>
      </w:pPr>
      <w:r w:rsidRPr="000B4E2C">
        <w:rPr>
          <w:rFonts w:eastAsia="Calibri"/>
          <w:b/>
          <w:szCs w:val="24"/>
          <w:highlight w:val="green"/>
          <w:lang w:val="en-GB"/>
        </w:rPr>
        <w:t xml:space="preserve">  </w:t>
      </w:r>
    </w:p>
    <w:p w14:paraId="3BE808D4"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Haase 2014</w:t>
      </w:r>
    </w:p>
    <w:p w14:paraId="4FA77F10" w14:textId="77777777" w:rsidR="002F0133" w:rsidRPr="000B4E2C" w:rsidRDefault="002F0133" w:rsidP="008A7464">
      <w:pPr>
        <w:widowControl w:val="0"/>
        <w:autoSpaceDE w:val="0"/>
        <w:autoSpaceDN w:val="0"/>
        <w:adjustRightInd w:val="0"/>
        <w:rPr>
          <w:rFonts w:eastAsia="Calibri"/>
          <w:b/>
          <w:szCs w:val="24"/>
          <w:highlight w:val="green"/>
          <w:lang w:val="en-GB"/>
        </w:rPr>
      </w:pPr>
    </w:p>
    <w:p w14:paraId="67C25EAE"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b/>
          <w:szCs w:val="24"/>
          <w:highlight w:val="green"/>
          <w:lang w:val="en-GB"/>
        </w:rPr>
        <w:t xml:space="preserve">* </w:t>
      </w:r>
      <w:r w:rsidRPr="000B4E2C">
        <w:rPr>
          <w:rFonts w:eastAsia="Calibri"/>
          <w:szCs w:val="24"/>
          <w:highlight w:val="green"/>
          <w:lang w:val="en-GB"/>
        </w:rPr>
        <w:t xml:space="preserve">Haase, M., Bellomo, R., Albert, C., Vanpoucke, G., Thomas, G., Laroy, W., Verleysen, K., Kropf, S., Kuppe, H., Hetzer, R. and Haase-Fielitz, A. The identification of three novel biomarkers of major adverse kidney events. </w:t>
      </w:r>
      <w:r w:rsidRPr="000B4E2C">
        <w:rPr>
          <w:rFonts w:eastAsia="Calibri"/>
          <w:i/>
          <w:iCs/>
          <w:szCs w:val="24"/>
          <w:highlight w:val="green"/>
          <w:lang w:val="en-GB"/>
        </w:rPr>
        <w:t>Biomarkers in Medicine</w:t>
      </w:r>
      <w:r w:rsidRPr="000B4E2C">
        <w:rPr>
          <w:rFonts w:eastAsia="Calibri"/>
          <w:szCs w:val="24"/>
          <w:highlight w:val="green"/>
          <w:lang w:val="en-GB"/>
        </w:rPr>
        <w:t>, 8(10), 1207-1217, 2014. [15607]</w:t>
      </w:r>
    </w:p>
    <w:p w14:paraId="26B71932" w14:textId="77777777" w:rsidR="002F0133" w:rsidRPr="000B4E2C" w:rsidRDefault="002F0133" w:rsidP="008A7464">
      <w:pPr>
        <w:rPr>
          <w:rFonts w:eastAsia="Calibri"/>
          <w:b/>
          <w:szCs w:val="24"/>
          <w:highlight w:val="green"/>
          <w:lang w:val="en-GB"/>
        </w:rPr>
      </w:pPr>
    </w:p>
    <w:p w14:paraId="594E60CA"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Albert, C., Albert, A., Kube, J., Bellomo, R., Wettersten, N., Kuppe, H., Westphal, S., Haase, M. and Haase-Fielitz, A. Urinary biomarkers may provide prognostic information for subclinical acute kidney injury after cardiac surgery. </w:t>
      </w:r>
      <w:r w:rsidRPr="000B4E2C">
        <w:rPr>
          <w:rFonts w:eastAsia="Calibri"/>
          <w:i/>
          <w:iCs/>
          <w:szCs w:val="24"/>
          <w:highlight w:val="green"/>
          <w:lang w:val="en-GB"/>
        </w:rPr>
        <w:t>Journal of Thoracic and Cardiovascular Surgery</w:t>
      </w:r>
      <w:r w:rsidRPr="000B4E2C">
        <w:rPr>
          <w:rFonts w:eastAsia="Calibri"/>
          <w:szCs w:val="24"/>
          <w:highlight w:val="green"/>
          <w:lang w:val="en-GB"/>
        </w:rPr>
        <w:t>, 155(6), 2441, 2018. [14955]</w:t>
      </w:r>
    </w:p>
    <w:p w14:paraId="2EE4061E" w14:textId="77777777" w:rsidR="002F0133" w:rsidRPr="000B4E2C" w:rsidRDefault="002F0133" w:rsidP="008A7464">
      <w:pPr>
        <w:rPr>
          <w:rFonts w:eastAsia="Calibri"/>
          <w:b/>
          <w:szCs w:val="24"/>
          <w:highlight w:val="green"/>
          <w:lang w:val="en-GB"/>
        </w:rPr>
      </w:pPr>
    </w:p>
    <w:p w14:paraId="7CCB737A"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lastRenderedPageBreak/>
        <w:t>Hjortrup 2015</w:t>
      </w:r>
    </w:p>
    <w:p w14:paraId="241A1392" w14:textId="77777777" w:rsidR="002F0133" w:rsidRPr="000B4E2C" w:rsidRDefault="002F0133" w:rsidP="008A7464">
      <w:pPr>
        <w:widowControl w:val="0"/>
        <w:autoSpaceDE w:val="0"/>
        <w:autoSpaceDN w:val="0"/>
        <w:adjustRightInd w:val="0"/>
        <w:rPr>
          <w:rFonts w:eastAsia="Calibri"/>
          <w:szCs w:val="24"/>
          <w:highlight w:val="green"/>
          <w:lang w:val="en-GB"/>
        </w:rPr>
      </w:pPr>
    </w:p>
    <w:p w14:paraId="176D9272"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Hjortrup, P. B., Haase, N., Treschow, F., M.H, M. O. and Perner, A. Predictive value of NGAL for use of renal replacement therapy in patients with severe sepsis. </w:t>
      </w:r>
      <w:r w:rsidRPr="000B4E2C">
        <w:rPr>
          <w:rFonts w:eastAsia="Calibri"/>
          <w:i/>
          <w:iCs/>
          <w:szCs w:val="24"/>
          <w:highlight w:val="green"/>
          <w:lang w:val="en-GB"/>
        </w:rPr>
        <w:t>Acta Anaesthesiologica Scandinavica</w:t>
      </w:r>
      <w:r w:rsidRPr="000B4E2C">
        <w:rPr>
          <w:rFonts w:eastAsia="Calibri"/>
          <w:szCs w:val="24"/>
          <w:highlight w:val="green"/>
          <w:lang w:val="en-GB"/>
        </w:rPr>
        <w:t>, 59(1), 25-34, 2015. [15676]</w:t>
      </w:r>
    </w:p>
    <w:p w14:paraId="6197E10D" w14:textId="77777777" w:rsidR="002F0133" w:rsidRPr="000B4E2C" w:rsidRDefault="002F0133" w:rsidP="008A7464">
      <w:pPr>
        <w:rPr>
          <w:rFonts w:eastAsia="Calibri"/>
          <w:b/>
          <w:szCs w:val="24"/>
          <w:highlight w:val="green"/>
          <w:lang w:val="en-GB"/>
        </w:rPr>
      </w:pPr>
    </w:p>
    <w:p w14:paraId="1AA18E0F"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Hoste 2014</w:t>
      </w:r>
    </w:p>
    <w:p w14:paraId="42D3A33A" w14:textId="77777777" w:rsidR="002F0133" w:rsidRPr="000B4E2C" w:rsidRDefault="002F0133" w:rsidP="008A7464">
      <w:pPr>
        <w:widowControl w:val="0"/>
        <w:autoSpaceDE w:val="0"/>
        <w:autoSpaceDN w:val="0"/>
        <w:adjustRightInd w:val="0"/>
        <w:rPr>
          <w:rFonts w:eastAsia="Calibri"/>
          <w:szCs w:val="24"/>
          <w:highlight w:val="green"/>
          <w:lang w:val="en-GB"/>
        </w:rPr>
      </w:pPr>
    </w:p>
    <w:p w14:paraId="4C29B060"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Hoste, E. a. J., Mccullough, P. A., Kashani, K., Chawla, L. S., Joannidis, M., Shaw, A. D., Feldkamp, T., Uettwiller-Geiger, D. L., Mccarthy, P., Shi, J., Walker, M. G. and Kellum, J. A. Derivation and validation of cutoffs for clinical use of cell cycle arrest biomarkers. </w:t>
      </w:r>
      <w:r w:rsidRPr="000B4E2C">
        <w:rPr>
          <w:rFonts w:eastAsia="Calibri"/>
          <w:i/>
          <w:iCs/>
          <w:szCs w:val="24"/>
          <w:highlight w:val="green"/>
          <w:lang w:val="en-GB"/>
        </w:rPr>
        <w:t>Nephrology Dialysis Transplantation</w:t>
      </w:r>
      <w:r w:rsidRPr="000B4E2C">
        <w:rPr>
          <w:rFonts w:eastAsia="Calibri"/>
          <w:szCs w:val="24"/>
          <w:highlight w:val="green"/>
          <w:lang w:val="en-GB"/>
        </w:rPr>
        <w:t>, 29(11), 2054-2061, 2014. [15712]</w:t>
      </w:r>
    </w:p>
    <w:p w14:paraId="76603793" w14:textId="77777777" w:rsidR="002F0133" w:rsidRPr="000B4E2C" w:rsidRDefault="002F0133" w:rsidP="008A7464">
      <w:pPr>
        <w:rPr>
          <w:rFonts w:eastAsia="Calibri"/>
          <w:b/>
          <w:szCs w:val="24"/>
          <w:highlight w:val="green"/>
          <w:lang w:val="en-GB"/>
        </w:rPr>
      </w:pPr>
    </w:p>
    <w:p w14:paraId="64410766"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Isshiki 2018</w:t>
      </w:r>
    </w:p>
    <w:p w14:paraId="2DC5BDC8" w14:textId="77777777" w:rsidR="002F0133" w:rsidRPr="000B4E2C" w:rsidRDefault="002F0133" w:rsidP="008A7464">
      <w:pPr>
        <w:widowControl w:val="0"/>
        <w:autoSpaceDE w:val="0"/>
        <w:autoSpaceDN w:val="0"/>
        <w:adjustRightInd w:val="0"/>
        <w:rPr>
          <w:rFonts w:eastAsia="Calibri"/>
          <w:szCs w:val="24"/>
          <w:highlight w:val="green"/>
          <w:lang w:val="en-GB"/>
        </w:rPr>
      </w:pPr>
    </w:p>
    <w:p w14:paraId="160E6073"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Isshiki, R., Asada, T., Sumida, M., Hamasaki, Y., Nangaku, M., Noiri, E. and Doi, K. Modest impact of serial measurements of acute kidney injury biomarkers in an adult intensive care unit. </w:t>
      </w:r>
      <w:r w:rsidRPr="000B4E2C">
        <w:rPr>
          <w:rFonts w:eastAsia="Calibri"/>
          <w:i/>
          <w:iCs/>
          <w:szCs w:val="24"/>
          <w:highlight w:val="green"/>
          <w:lang w:val="en-GB"/>
        </w:rPr>
        <w:t>Nephron</w:t>
      </w:r>
      <w:r w:rsidRPr="000B4E2C">
        <w:rPr>
          <w:rFonts w:eastAsia="Calibri"/>
          <w:szCs w:val="24"/>
          <w:highlight w:val="green"/>
          <w:lang w:val="en-GB"/>
        </w:rPr>
        <w:t>, 139(3), 243-253, 2018. [15745]</w:t>
      </w:r>
    </w:p>
    <w:p w14:paraId="4096D77F" w14:textId="77777777" w:rsidR="002F0133" w:rsidRPr="000B4E2C" w:rsidRDefault="002F0133" w:rsidP="008A7464">
      <w:pPr>
        <w:rPr>
          <w:rFonts w:eastAsia="Calibri"/>
          <w:b/>
          <w:szCs w:val="24"/>
          <w:highlight w:val="green"/>
          <w:lang w:val="en-GB"/>
        </w:rPr>
      </w:pPr>
    </w:p>
    <w:p w14:paraId="75D5F40E"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Itenov 2017</w:t>
      </w:r>
    </w:p>
    <w:p w14:paraId="2C00C3E2" w14:textId="77777777" w:rsidR="002F0133" w:rsidRPr="000B4E2C" w:rsidRDefault="002F0133" w:rsidP="008A7464">
      <w:pPr>
        <w:widowControl w:val="0"/>
        <w:autoSpaceDE w:val="0"/>
        <w:autoSpaceDN w:val="0"/>
        <w:adjustRightInd w:val="0"/>
        <w:rPr>
          <w:rFonts w:eastAsia="Calibri"/>
          <w:szCs w:val="24"/>
          <w:highlight w:val="green"/>
          <w:lang w:val="en-GB"/>
        </w:rPr>
      </w:pPr>
    </w:p>
    <w:p w14:paraId="34678640"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Itenov, T. S., Jensen, J. U., Ostrowski, S. R., Johansson, P. I., Thormar, K. M., Lundgren, J. D. and Bestle, M. H. Endothelial damage signals refractory acute kidney injury in critically ill patients. </w:t>
      </w:r>
      <w:r w:rsidRPr="000B4E2C">
        <w:rPr>
          <w:rFonts w:eastAsia="Calibri"/>
          <w:i/>
          <w:iCs/>
          <w:szCs w:val="24"/>
          <w:highlight w:val="green"/>
          <w:lang w:val="en-GB"/>
        </w:rPr>
        <w:t>Shock</w:t>
      </w:r>
      <w:r w:rsidRPr="000B4E2C">
        <w:rPr>
          <w:rFonts w:eastAsia="Calibri"/>
          <w:szCs w:val="24"/>
          <w:highlight w:val="green"/>
          <w:lang w:val="en-GB"/>
        </w:rPr>
        <w:t>, 47(6), 696-701, 2017. [15747]</w:t>
      </w:r>
    </w:p>
    <w:p w14:paraId="0296143A" w14:textId="77777777" w:rsidR="002F0133" w:rsidRPr="000B4E2C" w:rsidRDefault="002F0133" w:rsidP="008A7464">
      <w:pPr>
        <w:rPr>
          <w:rFonts w:eastAsia="Calibri"/>
          <w:b/>
          <w:szCs w:val="24"/>
          <w:highlight w:val="green"/>
          <w:lang w:val="en-GB"/>
        </w:rPr>
      </w:pPr>
    </w:p>
    <w:p w14:paraId="5292B9C7"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Jaques 2019</w:t>
      </w:r>
    </w:p>
    <w:p w14:paraId="61EDF6C9" w14:textId="77777777" w:rsidR="002F0133" w:rsidRPr="000B4E2C" w:rsidRDefault="002F0133" w:rsidP="008A7464">
      <w:pPr>
        <w:widowControl w:val="0"/>
        <w:autoSpaceDE w:val="0"/>
        <w:autoSpaceDN w:val="0"/>
        <w:adjustRightInd w:val="0"/>
        <w:rPr>
          <w:rFonts w:eastAsia="Calibri"/>
          <w:szCs w:val="24"/>
          <w:highlight w:val="green"/>
          <w:lang w:val="en-GB"/>
        </w:rPr>
      </w:pPr>
    </w:p>
    <w:p w14:paraId="012178A8"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Jaques, D. A., Spahr, L., Berra, G., Poffet, V., Lescuyer, P., Gerstel, E., Garin, N., Martin, P. Y. and Ponte, B. Biomarkers for acute kidney injury in decompensated cirrhosis: A prospective study. </w:t>
      </w:r>
      <w:r w:rsidRPr="000B4E2C">
        <w:rPr>
          <w:rFonts w:eastAsia="Calibri"/>
          <w:i/>
          <w:iCs/>
          <w:szCs w:val="24"/>
          <w:highlight w:val="green"/>
          <w:lang w:val="en-GB"/>
        </w:rPr>
        <w:t>Nephrology</w:t>
      </w:r>
      <w:r w:rsidRPr="000B4E2C">
        <w:rPr>
          <w:rFonts w:eastAsia="Calibri"/>
          <w:szCs w:val="24"/>
          <w:highlight w:val="green"/>
          <w:lang w:val="en-GB"/>
        </w:rPr>
        <w:t>, 24(2), 170-180, 2019. [15759]</w:t>
      </w:r>
    </w:p>
    <w:p w14:paraId="7C1E6D44" w14:textId="60AB9CF0" w:rsidR="002F0133" w:rsidRPr="000B4E2C" w:rsidRDefault="000B4E2C" w:rsidP="008A7464">
      <w:pPr>
        <w:spacing w:after="200" w:line="276" w:lineRule="auto"/>
        <w:rPr>
          <w:rFonts w:eastAsia="Calibri"/>
          <w:b/>
          <w:szCs w:val="24"/>
          <w:highlight w:val="green"/>
          <w:lang w:val="en-GB"/>
        </w:rPr>
      </w:pPr>
      <w:r w:rsidRPr="000B4E2C">
        <w:rPr>
          <w:rFonts w:eastAsia="Calibri"/>
          <w:b/>
          <w:szCs w:val="24"/>
          <w:highlight w:val="green"/>
          <w:lang w:val="en-GB"/>
        </w:rPr>
        <w:t xml:space="preserve">  </w:t>
      </w:r>
    </w:p>
    <w:p w14:paraId="3652B84D"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Kashani 2013</w:t>
      </w:r>
    </w:p>
    <w:p w14:paraId="1E7524E3" w14:textId="77777777" w:rsidR="002F0133" w:rsidRPr="000B4E2C" w:rsidRDefault="002F0133" w:rsidP="008A7464">
      <w:pPr>
        <w:widowControl w:val="0"/>
        <w:autoSpaceDE w:val="0"/>
        <w:autoSpaceDN w:val="0"/>
        <w:adjustRightInd w:val="0"/>
        <w:rPr>
          <w:rFonts w:eastAsia="Calibri"/>
          <w:szCs w:val="24"/>
          <w:highlight w:val="green"/>
          <w:lang w:val="en-GB"/>
        </w:rPr>
      </w:pPr>
    </w:p>
    <w:p w14:paraId="0F14D3D0"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Kashani, K., Al-Khafaji, A., Ardiles, T., Artigas, A., Bagshaw, S. M., Bell, M., Bihorac, A., Birkhahn, R., Cely, C. M., Chawla, L. S., Davison, D. L., Feldkamp, T., Forni, L. G., Gong, M. N., Gunnerson, K. J., Haase, M., Hackett, J., Honore, P. M., Hoste, E. a. J., Joannes-Boyau, O., Joannidis, M., Kim, P., Koyner, J. L., Laskowitz, D. T., Lissauer, M. E., Marx, G., Mccullough, P. A., Mullaney, S., Ostermann, M., Rimmele, T., Shapiro, N. I., Shaw, A. D., Shi, J., Sprague, A. M., Vincent, J. L., Vinsonneau, C., Wagner, L., Walker, M. G., Wilkerson, R. G., Zacharowski, K. and Kellum, J. A. Discovery and validation of cell cycle arrest biomarkers in human acute kidney injury. </w:t>
      </w:r>
      <w:r w:rsidRPr="000B4E2C">
        <w:rPr>
          <w:rFonts w:eastAsia="Calibri"/>
          <w:i/>
          <w:iCs/>
          <w:szCs w:val="24"/>
          <w:highlight w:val="green"/>
          <w:lang w:val="en-GB"/>
        </w:rPr>
        <w:t>Critical Care</w:t>
      </w:r>
      <w:r w:rsidRPr="000B4E2C">
        <w:rPr>
          <w:rFonts w:eastAsia="Calibri"/>
          <w:szCs w:val="24"/>
          <w:highlight w:val="green"/>
          <w:lang w:val="en-GB"/>
        </w:rPr>
        <w:t>, 17(1), R25, 2013. [15822]</w:t>
      </w:r>
    </w:p>
    <w:p w14:paraId="2D0E80A5" w14:textId="77777777" w:rsidR="002F0133" w:rsidRPr="000B4E2C" w:rsidRDefault="002F0133" w:rsidP="008A7464">
      <w:pPr>
        <w:rPr>
          <w:rFonts w:eastAsia="Calibri"/>
          <w:b/>
          <w:szCs w:val="24"/>
          <w:highlight w:val="green"/>
          <w:lang w:val="en-GB"/>
        </w:rPr>
      </w:pPr>
    </w:p>
    <w:p w14:paraId="206A089E"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Kimmel 2016</w:t>
      </w:r>
    </w:p>
    <w:p w14:paraId="1ED9649A" w14:textId="77777777" w:rsidR="002F0133" w:rsidRPr="000B4E2C" w:rsidRDefault="002F0133" w:rsidP="008A7464">
      <w:pPr>
        <w:widowControl w:val="0"/>
        <w:autoSpaceDE w:val="0"/>
        <w:autoSpaceDN w:val="0"/>
        <w:adjustRightInd w:val="0"/>
        <w:rPr>
          <w:rFonts w:eastAsia="Calibri"/>
          <w:szCs w:val="24"/>
          <w:highlight w:val="green"/>
          <w:lang w:val="en-GB"/>
        </w:rPr>
      </w:pPr>
    </w:p>
    <w:p w14:paraId="14F51B33"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Kimmel, M., Shi, J., Latus, J., Wasser, C., Kitterer, D., Braun, N. and Alscher, M. D. Association of renal stress/damage and filtration biomarkers with subsequent AKI during hospitalization among patients presenting to the emergency department. </w:t>
      </w:r>
      <w:r w:rsidRPr="000B4E2C">
        <w:rPr>
          <w:rFonts w:eastAsia="Calibri"/>
          <w:i/>
          <w:iCs/>
          <w:szCs w:val="24"/>
          <w:highlight w:val="green"/>
          <w:lang w:val="en-GB"/>
        </w:rPr>
        <w:t>Clinical Journal of the American Society of Nephrology</w:t>
      </w:r>
      <w:r w:rsidRPr="000B4E2C">
        <w:rPr>
          <w:rFonts w:eastAsia="Calibri"/>
          <w:szCs w:val="24"/>
          <w:highlight w:val="green"/>
          <w:lang w:val="en-GB"/>
        </w:rPr>
        <w:t>, 11(6), 938-946, 2016. [15864]</w:t>
      </w:r>
    </w:p>
    <w:p w14:paraId="1A21304C" w14:textId="77777777" w:rsidR="002F0133" w:rsidRPr="000B4E2C" w:rsidRDefault="002F0133" w:rsidP="008A7464">
      <w:pPr>
        <w:rPr>
          <w:rFonts w:eastAsia="Calibri"/>
          <w:b/>
          <w:szCs w:val="24"/>
          <w:highlight w:val="green"/>
          <w:lang w:val="en-GB"/>
        </w:rPr>
      </w:pPr>
    </w:p>
    <w:p w14:paraId="06469301"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Kimmel, M., Shi, J., Wasser, C., Biegger, D., Alscher, M. D. and Schanz, M. B. Urinary [TIMP-2].[IGFBP7]-novel biomarkers to predict acute kidney injury. </w:t>
      </w:r>
      <w:r w:rsidRPr="000B4E2C">
        <w:rPr>
          <w:rFonts w:eastAsia="Calibri"/>
          <w:i/>
          <w:iCs/>
          <w:szCs w:val="24"/>
          <w:highlight w:val="green"/>
          <w:lang w:val="en-GB"/>
        </w:rPr>
        <w:t>American Journal of Nephrology</w:t>
      </w:r>
      <w:r w:rsidRPr="000B4E2C">
        <w:rPr>
          <w:rFonts w:eastAsia="Calibri"/>
          <w:szCs w:val="24"/>
          <w:highlight w:val="green"/>
          <w:lang w:val="en-GB"/>
        </w:rPr>
        <w:t>, 43(5), 375-382, 2016. [15863]</w:t>
      </w:r>
    </w:p>
    <w:p w14:paraId="5C82341A" w14:textId="77777777" w:rsidR="002F0133" w:rsidRPr="000B4E2C" w:rsidRDefault="002F0133" w:rsidP="008A7464">
      <w:pPr>
        <w:rPr>
          <w:rFonts w:eastAsia="Calibri"/>
          <w:b/>
          <w:szCs w:val="24"/>
          <w:highlight w:val="green"/>
          <w:lang w:val="en-GB"/>
        </w:rPr>
      </w:pPr>
    </w:p>
    <w:p w14:paraId="0A159FC4"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Kokkoris 2012</w:t>
      </w:r>
    </w:p>
    <w:p w14:paraId="7A9EDF44" w14:textId="77777777" w:rsidR="002F0133" w:rsidRPr="000B4E2C" w:rsidRDefault="002F0133" w:rsidP="008A7464">
      <w:pPr>
        <w:widowControl w:val="0"/>
        <w:autoSpaceDE w:val="0"/>
        <w:autoSpaceDN w:val="0"/>
        <w:adjustRightInd w:val="0"/>
        <w:rPr>
          <w:rFonts w:eastAsia="Calibri"/>
          <w:szCs w:val="24"/>
          <w:highlight w:val="green"/>
          <w:lang w:val="en-GB"/>
        </w:rPr>
      </w:pPr>
    </w:p>
    <w:p w14:paraId="3BE83554"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Kokkoris, S., Parisi, M., Ioannidou, S., Douka, E., Pipili, C., Kyprianou, T., Kotanidou, A. and Nanas, S. Combination of renal biomarkers predicts acute kidney injury in critically ill adults. </w:t>
      </w:r>
      <w:r w:rsidRPr="000B4E2C">
        <w:rPr>
          <w:rFonts w:eastAsia="Calibri"/>
          <w:i/>
          <w:iCs/>
          <w:szCs w:val="24"/>
          <w:highlight w:val="green"/>
          <w:lang w:val="en-GB"/>
        </w:rPr>
        <w:t>Renal Failure</w:t>
      </w:r>
      <w:r w:rsidRPr="000B4E2C">
        <w:rPr>
          <w:rFonts w:eastAsia="Calibri"/>
          <w:szCs w:val="24"/>
          <w:highlight w:val="green"/>
          <w:lang w:val="en-GB"/>
        </w:rPr>
        <w:t>, 34(9), 1100-</w:t>
      </w:r>
      <w:r w:rsidRPr="000B4E2C">
        <w:rPr>
          <w:rFonts w:eastAsia="Calibri"/>
          <w:szCs w:val="24"/>
          <w:highlight w:val="green"/>
          <w:lang w:val="en-GB"/>
        </w:rPr>
        <w:lastRenderedPageBreak/>
        <w:t>1108, 2012. [15876]</w:t>
      </w:r>
    </w:p>
    <w:p w14:paraId="5652BAA5" w14:textId="77777777" w:rsidR="002F0133" w:rsidRPr="000B4E2C" w:rsidRDefault="002F0133" w:rsidP="008A7464">
      <w:pPr>
        <w:rPr>
          <w:rFonts w:eastAsia="Calibri"/>
          <w:b/>
          <w:szCs w:val="24"/>
          <w:highlight w:val="green"/>
          <w:lang w:val="en-GB"/>
        </w:rPr>
      </w:pPr>
    </w:p>
    <w:p w14:paraId="3ECF31B2"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Lagos-Arevalo 2015</w:t>
      </w:r>
    </w:p>
    <w:p w14:paraId="2DB246C4" w14:textId="77777777" w:rsidR="002F0133" w:rsidRPr="000B4E2C" w:rsidRDefault="002F0133" w:rsidP="008A7464">
      <w:pPr>
        <w:widowControl w:val="0"/>
        <w:autoSpaceDE w:val="0"/>
        <w:autoSpaceDN w:val="0"/>
        <w:adjustRightInd w:val="0"/>
        <w:rPr>
          <w:rFonts w:eastAsia="Calibri"/>
          <w:szCs w:val="24"/>
          <w:highlight w:val="green"/>
          <w:lang w:val="en-GB"/>
        </w:rPr>
      </w:pPr>
    </w:p>
    <w:p w14:paraId="2B51A386" w14:textId="305DF525"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Lagos-Arevalo, P., Palijan, A., Vertullo, L., Devarajan, P., Bennett, M. R., Sabbisetti, V., Bonventre, J. V., Ma, Q., Gottesman, R. D. and Zappitelli, M. Cystatin</w:t>
      </w:r>
      <w:r w:rsidR="000B4E2C" w:rsidRPr="000B4E2C">
        <w:rPr>
          <w:rFonts w:eastAsia="Calibri"/>
          <w:szCs w:val="24"/>
          <w:highlight w:val="green"/>
          <w:lang w:val="en-GB"/>
        </w:rPr>
        <w:t xml:space="preserve"> </w:t>
      </w:r>
      <w:r w:rsidRPr="000B4E2C">
        <w:rPr>
          <w:rFonts w:eastAsia="Calibri"/>
          <w:szCs w:val="24"/>
          <w:highlight w:val="green"/>
          <w:lang w:val="en-GB"/>
        </w:rPr>
        <w:t xml:space="preserve">C in acute kidney injury diagnosis: Early biomarker or alternative to serum creatinine? </w:t>
      </w:r>
      <w:r w:rsidRPr="000B4E2C">
        <w:rPr>
          <w:rFonts w:eastAsia="Calibri"/>
          <w:i/>
          <w:iCs/>
          <w:szCs w:val="24"/>
          <w:highlight w:val="green"/>
          <w:lang w:val="en-GB"/>
        </w:rPr>
        <w:t>Pediatric Nephrology</w:t>
      </w:r>
      <w:r w:rsidRPr="000B4E2C">
        <w:rPr>
          <w:rFonts w:eastAsia="Calibri"/>
          <w:szCs w:val="24"/>
          <w:highlight w:val="green"/>
          <w:lang w:val="en-GB"/>
        </w:rPr>
        <w:t>, 30(4), 665-676, 2015. [15928]</w:t>
      </w:r>
    </w:p>
    <w:p w14:paraId="75FB08BE" w14:textId="77777777" w:rsidR="002F0133" w:rsidRPr="000B4E2C" w:rsidRDefault="002F0133" w:rsidP="008A7464">
      <w:pPr>
        <w:rPr>
          <w:rFonts w:eastAsia="Calibri"/>
          <w:b/>
          <w:szCs w:val="24"/>
          <w:highlight w:val="green"/>
          <w:lang w:val="en-GB"/>
        </w:rPr>
      </w:pPr>
    </w:p>
    <w:p w14:paraId="3A8B62A6"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Lee 2018</w:t>
      </w:r>
    </w:p>
    <w:p w14:paraId="10545D70" w14:textId="77777777" w:rsidR="002F0133" w:rsidRPr="000B4E2C" w:rsidRDefault="002F0133" w:rsidP="008A7464">
      <w:pPr>
        <w:widowControl w:val="0"/>
        <w:autoSpaceDE w:val="0"/>
        <w:autoSpaceDN w:val="0"/>
        <w:adjustRightInd w:val="0"/>
        <w:rPr>
          <w:rFonts w:eastAsia="Calibri"/>
          <w:b/>
          <w:szCs w:val="24"/>
          <w:highlight w:val="green"/>
          <w:lang w:val="en-GB"/>
        </w:rPr>
      </w:pPr>
    </w:p>
    <w:p w14:paraId="0F915115"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b/>
          <w:szCs w:val="24"/>
          <w:highlight w:val="green"/>
          <w:lang w:val="en-GB"/>
        </w:rPr>
        <w:t xml:space="preserve">* </w:t>
      </w:r>
      <w:r w:rsidRPr="000B4E2C">
        <w:rPr>
          <w:rFonts w:eastAsia="Calibri"/>
          <w:szCs w:val="24"/>
          <w:highlight w:val="green"/>
          <w:lang w:val="en-GB"/>
        </w:rPr>
        <w:t xml:space="preserve">Lee, D. H., Lee, B. K., Cho, Y. S., Jung, Y. H., Lee, S. M., Park, J. S. and Jeung, K. W. Plasma neutrophil gelatinase-associated lipocalin measured immediately after restoration of spontaneous circulation predicts acute kidney injury in cardiac arrest survivors who underwent therapeutic hypothermia. </w:t>
      </w:r>
      <w:r w:rsidRPr="000B4E2C">
        <w:rPr>
          <w:rFonts w:eastAsia="Calibri"/>
          <w:i/>
          <w:iCs/>
          <w:szCs w:val="24"/>
          <w:highlight w:val="green"/>
          <w:lang w:val="en-GB"/>
        </w:rPr>
        <w:t>Therapeutic Hypothermia and Temperature Management</w:t>
      </w:r>
      <w:r w:rsidRPr="000B4E2C">
        <w:rPr>
          <w:rFonts w:eastAsia="Calibri"/>
          <w:szCs w:val="24"/>
          <w:highlight w:val="green"/>
          <w:lang w:val="en-GB"/>
        </w:rPr>
        <w:t>, 8(2), 99-107, 2018. [15949]</w:t>
      </w:r>
    </w:p>
    <w:p w14:paraId="54E0395E" w14:textId="77777777" w:rsidR="002F0133" w:rsidRPr="000B4E2C" w:rsidRDefault="002F0133" w:rsidP="008A7464">
      <w:pPr>
        <w:rPr>
          <w:rFonts w:eastAsia="Calibri"/>
          <w:b/>
          <w:szCs w:val="24"/>
          <w:highlight w:val="green"/>
          <w:lang w:val="en-GB"/>
        </w:rPr>
      </w:pPr>
    </w:p>
    <w:p w14:paraId="3905A177"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Cho, Y. S., Lee, B. K., Lee, D. H., Jung, Y. H., Lee, S. M., Park, J. S. and Jeung, K. W. Association of plasma neutrophil gelatinase-associated lipocalin with acute kidney injury and clinical outcome in cardiac arrest survivors depends on the time of measurement. </w:t>
      </w:r>
      <w:r w:rsidRPr="000B4E2C">
        <w:rPr>
          <w:rFonts w:eastAsia="Calibri"/>
          <w:i/>
          <w:iCs/>
          <w:szCs w:val="24"/>
          <w:highlight w:val="green"/>
          <w:lang w:val="en-GB"/>
        </w:rPr>
        <w:t>Biomarkers</w:t>
      </w:r>
      <w:r w:rsidRPr="000B4E2C">
        <w:rPr>
          <w:rFonts w:eastAsia="Calibri"/>
          <w:szCs w:val="24"/>
          <w:highlight w:val="green"/>
          <w:lang w:val="en-GB"/>
        </w:rPr>
        <w:t>, 23(5), 487-494, 2018. [15255]</w:t>
      </w:r>
    </w:p>
    <w:p w14:paraId="281035A9" w14:textId="3BF7D655" w:rsidR="002F0133" w:rsidRPr="000B4E2C" w:rsidRDefault="000B4E2C" w:rsidP="008A7464">
      <w:pPr>
        <w:spacing w:after="200" w:line="276" w:lineRule="auto"/>
        <w:rPr>
          <w:rFonts w:eastAsia="Calibri"/>
          <w:b/>
          <w:szCs w:val="24"/>
          <w:highlight w:val="green"/>
          <w:lang w:val="en-GB"/>
        </w:rPr>
      </w:pPr>
      <w:r w:rsidRPr="000B4E2C">
        <w:rPr>
          <w:rFonts w:eastAsia="Calibri"/>
          <w:b/>
          <w:szCs w:val="24"/>
          <w:highlight w:val="green"/>
          <w:lang w:val="en-GB"/>
        </w:rPr>
        <w:t xml:space="preserve">  </w:t>
      </w:r>
    </w:p>
    <w:p w14:paraId="10E76FA9"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Liebetrau 2013</w:t>
      </w:r>
    </w:p>
    <w:p w14:paraId="19B36304" w14:textId="77777777" w:rsidR="002F0133" w:rsidRPr="000B4E2C" w:rsidRDefault="002F0133" w:rsidP="008A7464">
      <w:pPr>
        <w:widowControl w:val="0"/>
        <w:autoSpaceDE w:val="0"/>
        <w:autoSpaceDN w:val="0"/>
        <w:adjustRightInd w:val="0"/>
        <w:rPr>
          <w:rFonts w:eastAsia="Calibri"/>
          <w:szCs w:val="24"/>
          <w:highlight w:val="green"/>
          <w:lang w:val="en-GB"/>
        </w:rPr>
      </w:pPr>
    </w:p>
    <w:p w14:paraId="11EA41E9"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Liebetrau, C., Dorr, O., Baumgarten, H., Gaede, L., Szardien, S., Blumenstein, J., Rolf, A., Mollmann, H., Hamm, C., Walther, T., Nef, H. and Weber, M. Neutrophil gelatinase-associated lipocalin (NGAL) for the early detection of cardiac surgery associated acute kidney injury. </w:t>
      </w:r>
      <w:r w:rsidRPr="000B4E2C">
        <w:rPr>
          <w:rFonts w:eastAsia="Calibri"/>
          <w:i/>
          <w:iCs/>
          <w:szCs w:val="24"/>
          <w:highlight w:val="green"/>
          <w:lang w:val="en-GB"/>
        </w:rPr>
        <w:t>Scandinavian Journal of Clinical and Laboratory Investigation</w:t>
      </w:r>
      <w:r w:rsidRPr="000B4E2C">
        <w:rPr>
          <w:rFonts w:eastAsia="Calibri"/>
          <w:szCs w:val="24"/>
          <w:highlight w:val="green"/>
          <w:lang w:val="en-GB"/>
        </w:rPr>
        <w:t>, 73(5), 392-399, 2013. [15994]</w:t>
      </w:r>
    </w:p>
    <w:p w14:paraId="62EF369F" w14:textId="77777777" w:rsidR="002F0133" w:rsidRPr="000B4E2C" w:rsidRDefault="002F0133" w:rsidP="008A7464">
      <w:pPr>
        <w:rPr>
          <w:rFonts w:eastAsia="Calibri"/>
          <w:b/>
          <w:szCs w:val="24"/>
          <w:highlight w:val="green"/>
          <w:lang w:val="en-GB"/>
        </w:rPr>
      </w:pPr>
    </w:p>
    <w:p w14:paraId="0E0F6DB2"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Marino 2015</w:t>
      </w:r>
    </w:p>
    <w:p w14:paraId="00F009C7" w14:textId="77777777" w:rsidR="002F0133" w:rsidRPr="000B4E2C" w:rsidRDefault="002F0133" w:rsidP="008A7464">
      <w:pPr>
        <w:widowControl w:val="0"/>
        <w:autoSpaceDE w:val="0"/>
        <w:autoSpaceDN w:val="0"/>
        <w:adjustRightInd w:val="0"/>
        <w:rPr>
          <w:rFonts w:eastAsia="Calibri"/>
          <w:szCs w:val="24"/>
          <w:highlight w:val="green"/>
          <w:lang w:val="en-GB"/>
        </w:rPr>
      </w:pPr>
    </w:p>
    <w:p w14:paraId="13B3CF0B"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Marino, R., Struck, J., Hartmann, O., Maisel, A. S., Rehfeldt, M., Magrini, L., Melander, O., Bergmann, A. and Di Somma, S. Diagnostic and short-term prognostic utility of plasma pro-enkephalin (pro-enk) for acute kidney injury in patients admitted with sepsis in the emergency department. </w:t>
      </w:r>
      <w:r w:rsidRPr="000B4E2C">
        <w:rPr>
          <w:rFonts w:eastAsia="Calibri"/>
          <w:i/>
          <w:iCs/>
          <w:szCs w:val="24"/>
          <w:highlight w:val="green"/>
          <w:lang w:val="en-GB"/>
        </w:rPr>
        <w:t>Journal of Nephrology</w:t>
      </w:r>
      <w:r w:rsidRPr="000B4E2C">
        <w:rPr>
          <w:rFonts w:eastAsia="Calibri"/>
          <w:szCs w:val="24"/>
          <w:highlight w:val="green"/>
          <w:lang w:val="en-GB"/>
        </w:rPr>
        <w:t>, 28(6), 717-724, 2015. [16082]</w:t>
      </w:r>
    </w:p>
    <w:p w14:paraId="741A91DD" w14:textId="77777777" w:rsidR="002F0133" w:rsidRPr="000B4E2C" w:rsidRDefault="002F0133" w:rsidP="008A7464">
      <w:pPr>
        <w:rPr>
          <w:rFonts w:eastAsia="Calibri"/>
          <w:b/>
          <w:szCs w:val="24"/>
          <w:highlight w:val="green"/>
          <w:lang w:val="en-GB"/>
        </w:rPr>
      </w:pPr>
    </w:p>
    <w:p w14:paraId="3A5AD1D2"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Martensson 2015</w:t>
      </w:r>
    </w:p>
    <w:p w14:paraId="49303131" w14:textId="77777777" w:rsidR="002F0133" w:rsidRPr="000B4E2C" w:rsidRDefault="002F0133" w:rsidP="008A7464">
      <w:pPr>
        <w:widowControl w:val="0"/>
        <w:autoSpaceDE w:val="0"/>
        <w:autoSpaceDN w:val="0"/>
        <w:adjustRightInd w:val="0"/>
        <w:rPr>
          <w:rFonts w:eastAsia="Calibri"/>
          <w:szCs w:val="24"/>
          <w:highlight w:val="green"/>
          <w:lang w:val="en-GB"/>
        </w:rPr>
      </w:pPr>
    </w:p>
    <w:p w14:paraId="58DBFEB7"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Martensson, J., Glassford, N. J., Jones, S., Eastwood, G. M., Young, H., Peck, L., Ostland, V., Westerman, M., Venge, P. and Bellomo, R. Urinary neutrophil gelatinase-associated lipocalin to hepcidin ratio as a biomarker of acute kidney injury in intensive care unit patients. </w:t>
      </w:r>
      <w:r w:rsidRPr="000B4E2C">
        <w:rPr>
          <w:rFonts w:eastAsia="Calibri"/>
          <w:i/>
          <w:iCs/>
          <w:szCs w:val="24"/>
          <w:highlight w:val="green"/>
          <w:lang w:val="en-GB"/>
        </w:rPr>
        <w:t>Minerva Anestesiologica</w:t>
      </w:r>
      <w:r w:rsidRPr="000B4E2C">
        <w:rPr>
          <w:rFonts w:eastAsia="Calibri"/>
          <w:szCs w:val="24"/>
          <w:highlight w:val="green"/>
          <w:lang w:val="en-GB"/>
        </w:rPr>
        <w:t>, 81(11), 1192-1200, 2015. [16087]</w:t>
      </w:r>
    </w:p>
    <w:p w14:paraId="0AC78B20" w14:textId="77777777" w:rsidR="002F0133" w:rsidRPr="000B4E2C" w:rsidRDefault="002F0133" w:rsidP="008A7464">
      <w:pPr>
        <w:rPr>
          <w:rFonts w:eastAsia="Calibri"/>
          <w:b/>
          <w:szCs w:val="24"/>
          <w:highlight w:val="green"/>
          <w:lang w:val="en-GB"/>
        </w:rPr>
      </w:pPr>
    </w:p>
    <w:p w14:paraId="2430F988"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Matsa 2014</w:t>
      </w:r>
    </w:p>
    <w:p w14:paraId="05E1A503" w14:textId="77777777" w:rsidR="002F0133" w:rsidRPr="000B4E2C" w:rsidRDefault="002F0133" w:rsidP="008A7464">
      <w:pPr>
        <w:widowControl w:val="0"/>
        <w:autoSpaceDE w:val="0"/>
        <w:autoSpaceDN w:val="0"/>
        <w:adjustRightInd w:val="0"/>
        <w:rPr>
          <w:rFonts w:eastAsia="Calibri"/>
          <w:szCs w:val="24"/>
          <w:highlight w:val="green"/>
          <w:lang w:val="en-GB"/>
        </w:rPr>
      </w:pPr>
    </w:p>
    <w:p w14:paraId="3C8405F5"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Matsa, R., Ashley, E., Sharma, V., Walden, A. P. and Keating, L. Plasma and urine neutrophil gelatinase-associated lipocalin in the diagnosis of new onset acute kidney injury in critically ill patients. </w:t>
      </w:r>
      <w:r w:rsidRPr="000B4E2C">
        <w:rPr>
          <w:rFonts w:eastAsia="Calibri"/>
          <w:i/>
          <w:iCs/>
          <w:szCs w:val="24"/>
          <w:highlight w:val="green"/>
          <w:lang w:val="en-GB"/>
        </w:rPr>
        <w:t>Critical Care</w:t>
      </w:r>
      <w:r w:rsidRPr="000B4E2C">
        <w:rPr>
          <w:rFonts w:eastAsia="Calibri"/>
          <w:szCs w:val="24"/>
          <w:highlight w:val="green"/>
          <w:lang w:val="en-GB"/>
        </w:rPr>
        <w:t>, 18(4), R137, 2014. [16102]</w:t>
      </w:r>
    </w:p>
    <w:p w14:paraId="2FE565BE" w14:textId="77777777" w:rsidR="002F0133" w:rsidRPr="000B4E2C" w:rsidRDefault="002F0133" w:rsidP="008A7464">
      <w:pPr>
        <w:rPr>
          <w:rFonts w:eastAsia="Calibri"/>
          <w:b/>
          <w:szCs w:val="24"/>
          <w:highlight w:val="green"/>
          <w:lang w:val="en-GB"/>
        </w:rPr>
      </w:pPr>
    </w:p>
    <w:p w14:paraId="0E7CE66B"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Nickolas 2008</w:t>
      </w:r>
    </w:p>
    <w:p w14:paraId="68A059C8" w14:textId="77777777" w:rsidR="002F0133" w:rsidRPr="000B4E2C" w:rsidRDefault="002F0133" w:rsidP="008A7464">
      <w:pPr>
        <w:widowControl w:val="0"/>
        <w:autoSpaceDE w:val="0"/>
        <w:autoSpaceDN w:val="0"/>
        <w:adjustRightInd w:val="0"/>
        <w:rPr>
          <w:rFonts w:eastAsia="Calibri"/>
          <w:szCs w:val="24"/>
          <w:highlight w:val="green"/>
          <w:lang w:val="en-GB"/>
        </w:rPr>
      </w:pPr>
    </w:p>
    <w:p w14:paraId="6AA12F5C" w14:textId="232535C9"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Nickolas, T. L., O</w:t>
      </w:r>
      <w:r w:rsidR="0072128A" w:rsidRPr="000B4E2C">
        <w:rPr>
          <w:rFonts w:eastAsia="Calibri"/>
          <w:color w:val="00B0F0"/>
          <w:szCs w:val="24"/>
          <w:highlight w:val="green"/>
          <w:lang w:val="en-GB"/>
        </w:rPr>
        <w:t>’</w:t>
      </w:r>
      <w:r w:rsidRPr="000B4E2C">
        <w:rPr>
          <w:rFonts w:eastAsia="Calibri"/>
          <w:szCs w:val="24"/>
          <w:highlight w:val="green"/>
          <w:lang w:val="en-GB"/>
        </w:rPr>
        <w:t xml:space="preserve">rourke, M. J., Yang, J., Sise, M. E., Canetta, P. A., Barasch, N., Buchen, C., Khan, F., Mori, K., Giglio, J., Devarajan, P. and Barasch, J. Sensitivity and specificity of a single emergency department measurement of urinary neutrophil gelatinase-associated lipocalin for diagnosing acute kidney injury. </w:t>
      </w:r>
      <w:r w:rsidRPr="000B4E2C">
        <w:rPr>
          <w:rFonts w:eastAsia="Calibri"/>
          <w:i/>
          <w:iCs/>
          <w:szCs w:val="24"/>
          <w:highlight w:val="green"/>
          <w:lang w:val="en-GB"/>
        </w:rPr>
        <w:t>Annals of Internal Medicine</w:t>
      </w:r>
      <w:r w:rsidRPr="000B4E2C">
        <w:rPr>
          <w:rFonts w:eastAsia="Calibri"/>
          <w:szCs w:val="24"/>
          <w:highlight w:val="green"/>
          <w:lang w:val="en-GB"/>
        </w:rPr>
        <w:t>, 148(11), 810-819, 2008. [3978]</w:t>
      </w:r>
    </w:p>
    <w:p w14:paraId="44A2D73B" w14:textId="77777777" w:rsidR="002F0133" w:rsidRPr="000B4E2C" w:rsidRDefault="002F0133" w:rsidP="008A7464">
      <w:pPr>
        <w:rPr>
          <w:rFonts w:eastAsia="Calibri"/>
          <w:b/>
          <w:szCs w:val="24"/>
          <w:highlight w:val="green"/>
          <w:lang w:val="en-GB"/>
        </w:rPr>
      </w:pPr>
    </w:p>
    <w:p w14:paraId="3627C11C"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Nickolas 2012</w:t>
      </w:r>
    </w:p>
    <w:p w14:paraId="2E281E5F" w14:textId="77777777" w:rsidR="002F0133" w:rsidRPr="000B4E2C" w:rsidRDefault="002F0133" w:rsidP="008A7464">
      <w:pPr>
        <w:widowControl w:val="0"/>
        <w:autoSpaceDE w:val="0"/>
        <w:autoSpaceDN w:val="0"/>
        <w:adjustRightInd w:val="0"/>
        <w:rPr>
          <w:rFonts w:eastAsia="Calibri"/>
          <w:szCs w:val="24"/>
          <w:highlight w:val="green"/>
          <w:lang w:val="en-GB"/>
        </w:rPr>
      </w:pPr>
    </w:p>
    <w:p w14:paraId="5421FC20" w14:textId="7322DEEC"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Nickolas, T. L., Schmidt-Ott, K. M., Canetta, P., Forster, C., Singer, E., Sise, M., Elger, A., Maarouf, O., Sola-Del Valle, D. A., O</w:t>
      </w:r>
      <w:r w:rsidR="0072128A" w:rsidRPr="000B4E2C">
        <w:rPr>
          <w:rFonts w:eastAsia="Calibri"/>
          <w:color w:val="00B0F0"/>
          <w:szCs w:val="24"/>
          <w:highlight w:val="green"/>
          <w:lang w:val="en-GB"/>
        </w:rPr>
        <w:t>’</w:t>
      </w:r>
      <w:r w:rsidRPr="000B4E2C">
        <w:rPr>
          <w:rFonts w:eastAsia="Calibri"/>
          <w:szCs w:val="24"/>
          <w:highlight w:val="green"/>
          <w:lang w:val="en-GB"/>
        </w:rPr>
        <w:t xml:space="preserve">rourke, M., Sherman, E., Lee, P., Geara, A., Imus, P., Guddati, A., Polland, A., Rahman, </w:t>
      </w:r>
      <w:r w:rsidRPr="000B4E2C">
        <w:rPr>
          <w:rFonts w:eastAsia="Calibri"/>
          <w:szCs w:val="24"/>
          <w:highlight w:val="green"/>
          <w:lang w:val="en-GB"/>
        </w:rPr>
        <w:lastRenderedPageBreak/>
        <w:t xml:space="preserve">W., Elitok, S., Malik, N., Giglio, J., El-Sayegh, S., Devarajan, P., Hebbar, S., Saggi, S. J., Hahn, B., Kettritz, R., Luft, F. C. and Barasch, J. Diagnostic and prognostic stratification in the emergency department using urinary biomarkers of nephron damage: A multicenter prospective cohort study. </w:t>
      </w:r>
      <w:r w:rsidRPr="000B4E2C">
        <w:rPr>
          <w:rFonts w:eastAsia="Calibri"/>
          <w:i/>
          <w:iCs/>
          <w:szCs w:val="24"/>
          <w:highlight w:val="green"/>
          <w:lang w:val="en-GB"/>
        </w:rPr>
        <w:t>Journal of the American College of Cardiology</w:t>
      </w:r>
      <w:r w:rsidRPr="000B4E2C">
        <w:rPr>
          <w:rFonts w:eastAsia="Calibri"/>
          <w:szCs w:val="24"/>
          <w:highlight w:val="green"/>
          <w:lang w:val="en-GB"/>
        </w:rPr>
        <w:t>, 59(3), 246-255, 2012. [16240]</w:t>
      </w:r>
    </w:p>
    <w:p w14:paraId="36D23AC2" w14:textId="74C09161" w:rsidR="002F0133" w:rsidRPr="000B4E2C" w:rsidRDefault="000B4E2C" w:rsidP="008A7464">
      <w:pPr>
        <w:spacing w:after="200" w:line="276" w:lineRule="auto"/>
        <w:rPr>
          <w:rFonts w:eastAsia="Calibri"/>
          <w:b/>
          <w:szCs w:val="24"/>
          <w:highlight w:val="green"/>
          <w:lang w:val="en-GB"/>
        </w:rPr>
      </w:pPr>
      <w:r w:rsidRPr="000B4E2C">
        <w:rPr>
          <w:rFonts w:eastAsia="Calibri"/>
          <w:b/>
          <w:szCs w:val="24"/>
          <w:highlight w:val="green"/>
          <w:lang w:val="en-GB"/>
        </w:rPr>
        <w:t xml:space="preserve">  </w:t>
      </w:r>
    </w:p>
    <w:p w14:paraId="3A24E3DE"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Nisula 2015</w:t>
      </w:r>
    </w:p>
    <w:p w14:paraId="344688C0" w14:textId="77777777" w:rsidR="002F0133" w:rsidRPr="000B4E2C" w:rsidRDefault="002F0133" w:rsidP="008A7464">
      <w:pPr>
        <w:widowControl w:val="0"/>
        <w:autoSpaceDE w:val="0"/>
        <w:autoSpaceDN w:val="0"/>
        <w:adjustRightInd w:val="0"/>
        <w:rPr>
          <w:rFonts w:eastAsia="Calibri"/>
          <w:szCs w:val="24"/>
          <w:highlight w:val="green"/>
          <w:lang w:val="en-GB"/>
        </w:rPr>
      </w:pPr>
    </w:p>
    <w:p w14:paraId="10F90412"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 Nisula, S., Yang, R., Vaara, S. T., Kaukonen, K. M., Tallgren, M., Korhonen, A. M., Laru-Sompa, R., Pulkkinen, A., Saarelainen, M., Reilama, M., Tolmunen, S., Rantalainen, U., Miettinen, M., Suvela, M., Pesola, K., Saastamoinen, P., Kauppinen, S., Pettila, V., Kaukonen, K. M., Korhonen, A. M., Vaara, S., Suojaranta-Ylinen, R., Mildh, L., Haapio, M., Nurminen, L., Sutinen, S., Pettila, L., Laitinen, H., Syrja, H., Henttonen, K., Lappi, E., Boman, H., Varpula, T., Porkka, P., Rahkonen, M. S. M., Tsurkka, A., Nieminen, T., Prittinen, N., Alaspaa, A., Salanto, V., Juntunen, H., Sanisalo, T., Parviainen, I., Uusaro, A., Ruokonen, E., Bendel, S., Rissanen, N., Lang, M., Rahikainen, S., Rissanen, S., Ahonen, M., Halonen, E., Vaskelainen, E., Poukkanen, M., Lintula, E., Suominen, S., Heikkinen, J., Lavander, T., Heinonen, K., Juopperi, A. M., Kaminski, T., Gaddnas, F., Kuusela, T., Roiko, J., Karlsson, S., Reinikainen, M., Surakka, T., Jyrkonen, H., Eiserbeck, T., Kallinen, J., Lund, V., Tuominen, P., Perkola, P., Tuominen, R., Hietaranta, M., Johansson, S., Hovilehto, S., Kirsi, A., Tiainen, P., Myllarinen, T., Leino, P., Toropainen, A., Kuitunen, A., Leppanen, I., Levoranta, M., Hoppu, S., Sauranen, J., Tenhunen, J., Kukkurainen, A., Kortelainen, S., Varila, S., Inkinen, O., Koivuviita, N., Kotamaki, J., Laine, A., Ala-Kokko, T., Laurila, J., Salkio, S., Koivisto, S. P., Hautamaki, R. and Skinnar, M. Predictive value of urine interleukin-18 in the evolution and outcome of acute kidney injury in critically ill adult patients. </w:t>
      </w:r>
      <w:r w:rsidRPr="000B4E2C">
        <w:rPr>
          <w:rFonts w:eastAsia="Calibri"/>
          <w:i/>
          <w:iCs/>
          <w:szCs w:val="24"/>
          <w:highlight w:val="green"/>
          <w:lang w:val="en-GB"/>
        </w:rPr>
        <w:t>British Journal of Anaesthesia</w:t>
      </w:r>
      <w:r w:rsidRPr="000B4E2C">
        <w:rPr>
          <w:rFonts w:eastAsia="Calibri"/>
          <w:szCs w:val="24"/>
          <w:highlight w:val="green"/>
          <w:lang w:val="en-GB"/>
        </w:rPr>
        <w:t>, 114(3), 460-468, 2015. [16941]</w:t>
      </w:r>
    </w:p>
    <w:p w14:paraId="3C1DE39B" w14:textId="77777777" w:rsidR="002F0133" w:rsidRPr="000B4E2C" w:rsidRDefault="002F0133" w:rsidP="008A7464">
      <w:pPr>
        <w:rPr>
          <w:rFonts w:eastAsia="Calibri"/>
          <w:b/>
          <w:szCs w:val="24"/>
          <w:highlight w:val="green"/>
          <w:lang w:val="en-GB"/>
        </w:rPr>
      </w:pPr>
    </w:p>
    <w:p w14:paraId="61B18C92"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Nisula, S., Yang, R., Kaukonen, K. M., Vaara, S. T., Kuitunen, A., Tenhunen, J., Pettila, V. and Korhonen, A. M. The urine protein NGAL predicts renal replacement therapy, but not acute kidney injury or 90-day mortality in critically ill adult patients. </w:t>
      </w:r>
      <w:r w:rsidRPr="000B4E2C">
        <w:rPr>
          <w:rFonts w:eastAsia="Calibri"/>
          <w:i/>
          <w:iCs/>
          <w:szCs w:val="24"/>
          <w:highlight w:val="green"/>
          <w:lang w:val="en-GB"/>
        </w:rPr>
        <w:t>Anesthesia and Analgesia</w:t>
      </w:r>
      <w:r w:rsidRPr="000B4E2C">
        <w:rPr>
          <w:rFonts w:eastAsia="Calibri"/>
          <w:szCs w:val="24"/>
          <w:highlight w:val="green"/>
          <w:lang w:val="en-GB"/>
        </w:rPr>
        <w:t>, 119(1), 95-102, 2014. [16252]</w:t>
      </w:r>
    </w:p>
    <w:p w14:paraId="736AA004" w14:textId="77777777" w:rsidR="002F0133" w:rsidRPr="000B4E2C" w:rsidRDefault="002F0133" w:rsidP="008A7464">
      <w:pPr>
        <w:rPr>
          <w:rFonts w:eastAsia="Calibri"/>
          <w:b/>
          <w:szCs w:val="24"/>
          <w:highlight w:val="green"/>
          <w:lang w:val="en-GB"/>
        </w:rPr>
      </w:pPr>
    </w:p>
    <w:p w14:paraId="5C89B7A2"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Oezkur 2017</w:t>
      </w:r>
    </w:p>
    <w:p w14:paraId="2A569732" w14:textId="77777777" w:rsidR="002F0133" w:rsidRPr="000B4E2C" w:rsidRDefault="002F0133" w:rsidP="008A7464">
      <w:pPr>
        <w:widowControl w:val="0"/>
        <w:autoSpaceDE w:val="0"/>
        <w:autoSpaceDN w:val="0"/>
        <w:adjustRightInd w:val="0"/>
        <w:rPr>
          <w:rFonts w:eastAsia="Calibri"/>
          <w:szCs w:val="24"/>
          <w:highlight w:val="green"/>
          <w:lang w:val="en-GB"/>
        </w:rPr>
      </w:pPr>
    </w:p>
    <w:p w14:paraId="56F32EBB"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Oezkur, M., Magyar, A., Thomas, P., Stork, T., Schneider, R., Bening, C., Stork, S., Heuschmann, P. U., Leyh, R. G. and Wagner, M. TIMP-2 IGFBP7 (NephroCheck) measurements at intensive care unit admission after cardiac surgery are predictive for acute kidney injury within 48 hours. </w:t>
      </w:r>
      <w:r w:rsidRPr="000B4E2C">
        <w:rPr>
          <w:rFonts w:eastAsia="Calibri"/>
          <w:i/>
          <w:iCs/>
          <w:szCs w:val="24"/>
          <w:highlight w:val="green"/>
          <w:lang w:val="en-GB"/>
        </w:rPr>
        <w:t>Kidney &amp; Blood Pressure Research</w:t>
      </w:r>
      <w:r w:rsidRPr="000B4E2C">
        <w:rPr>
          <w:rFonts w:eastAsia="Calibri"/>
          <w:szCs w:val="24"/>
          <w:highlight w:val="green"/>
          <w:lang w:val="en-GB"/>
        </w:rPr>
        <w:t>, 42(3), 456-467, 2017. [2174]</w:t>
      </w:r>
    </w:p>
    <w:p w14:paraId="4A54A668" w14:textId="77777777" w:rsidR="002F0133" w:rsidRPr="000B4E2C" w:rsidRDefault="002F0133" w:rsidP="008A7464">
      <w:pPr>
        <w:rPr>
          <w:rFonts w:eastAsia="Calibri"/>
          <w:b/>
          <w:szCs w:val="24"/>
          <w:highlight w:val="green"/>
          <w:lang w:val="en-GB"/>
        </w:rPr>
      </w:pPr>
    </w:p>
    <w:p w14:paraId="2C80C1E5"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Parikh 2011 [TRIBE-Adult]</w:t>
      </w:r>
    </w:p>
    <w:p w14:paraId="629B270F" w14:textId="77777777" w:rsidR="002F0133" w:rsidRPr="000B4E2C" w:rsidRDefault="002F0133" w:rsidP="008A7464">
      <w:pPr>
        <w:widowControl w:val="0"/>
        <w:autoSpaceDE w:val="0"/>
        <w:autoSpaceDN w:val="0"/>
        <w:adjustRightInd w:val="0"/>
        <w:rPr>
          <w:rFonts w:eastAsia="Calibri"/>
          <w:szCs w:val="24"/>
          <w:highlight w:val="green"/>
          <w:lang w:val="en-GB"/>
        </w:rPr>
      </w:pPr>
    </w:p>
    <w:p w14:paraId="7536657B"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 Parikh, C. R., Coca, S. G., Thiessen-Philbrook, H., Shlipak, M. G., Koyner, J. L., Wang, Z., Edelstein, C. L., Devarajan, P., Patel, U. D., Zappitelli, M., Krawczeski, C. D., Passik, C. S., Swaminathan, M. and Garg, A. X. Postoperative biomarkers predict acute kidney injury and poor outcomes after adult cardiac surgery. </w:t>
      </w:r>
      <w:r w:rsidRPr="000B4E2C">
        <w:rPr>
          <w:rFonts w:eastAsia="Calibri"/>
          <w:i/>
          <w:iCs/>
          <w:szCs w:val="24"/>
          <w:highlight w:val="green"/>
          <w:lang w:val="en-GB"/>
        </w:rPr>
        <w:t>Journal of the American Society of Nephrology</w:t>
      </w:r>
      <w:r w:rsidRPr="000B4E2C">
        <w:rPr>
          <w:rFonts w:eastAsia="Calibri"/>
          <w:szCs w:val="24"/>
          <w:highlight w:val="green"/>
          <w:lang w:val="en-GB"/>
        </w:rPr>
        <w:t>, 22(9), 1748-1757, 2011. [16330]</w:t>
      </w:r>
    </w:p>
    <w:p w14:paraId="42E00343" w14:textId="77777777" w:rsidR="002F0133" w:rsidRPr="000B4E2C" w:rsidRDefault="002F0133" w:rsidP="008A7464">
      <w:pPr>
        <w:rPr>
          <w:rFonts w:eastAsia="Calibri"/>
          <w:b/>
          <w:szCs w:val="24"/>
          <w:highlight w:val="green"/>
          <w:lang w:val="en-GB"/>
        </w:rPr>
      </w:pPr>
    </w:p>
    <w:p w14:paraId="26EA0A9E"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Brown, J. R., Philbrook, H. T., Goodrich, C. A., Bohm, A. R., Alam, S. S., Coca, S. G., Mcarthur, E., Garg, A. X. and Parikh, C. R. Are urinary biomarkers better than acute kidney injury duration for predicting readmission? </w:t>
      </w:r>
      <w:r w:rsidRPr="000B4E2C">
        <w:rPr>
          <w:rFonts w:eastAsia="Calibri"/>
          <w:i/>
          <w:iCs/>
          <w:szCs w:val="24"/>
          <w:highlight w:val="green"/>
          <w:lang w:val="en-GB"/>
        </w:rPr>
        <w:t>The Annals of Thoracic Surgery</w:t>
      </w:r>
      <w:r w:rsidRPr="000B4E2C">
        <w:rPr>
          <w:rFonts w:eastAsia="Calibri"/>
          <w:szCs w:val="24"/>
          <w:highlight w:val="green"/>
          <w:lang w:val="en-GB"/>
        </w:rPr>
        <w:t>, 2019. [15176]</w:t>
      </w:r>
    </w:p>
    <w:p w14:paraId="7BA60ABD" w14:textId="0F51A333" w:rsidR="002F0133" w:rsidRPr="000B4E2C" w:rsidRDefault="000B4E2C" w:rsidP="008A7464">
      <w:pPr>
        <w:spacing w:after="200" w:line="276" w:lineRule="auto"/>
        <w:rPr>
          <w:rFonts w:eastAsia="Calibri"/>
          <w:b/>
          <w:szCs w:val="24"/>
          <w:highlight w:val="green"/>
          <w:lang w:val="en-GB"/>
        </w:rPr>
      </w:pPr>
      <w:r w:rsidRPr="000B4E2C">
        <w:rPr>
          <w:rFonts w:eastAsia="Calibri"/>
          <w:b/>
          <w:szCs w:val="24"/>
          <w:highlight w:val="green"/>
          <w:lang w:val="en-GB"/>
        </w:rPr>
        <w:t xml:space="preserve">  </w:t>
      </w:r>
    </w:p>
    <w:p w14:paraId="2BF6EF78"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Coca, S. G., Garg, A. X., Thiessen-Philbrook, H., Koyner, J. L., Patel, U. D., Krumholz, H. M., Shlipak, M. G., Parikh, C. R., Raman, J., Jeevanandam, V., Akhter, S., Devarajan, P., Bennett, M., Ma, Q., Griffiths, R., Edelstein, C., Passik, C., Nagy, J., Swaminathan, M., Chu, M., Goldbach, M., Guo, L. R., Mckenzie, N., Myers, M. L., Novick, R., Quantz, M., Schumann, V., Webster, L., Zappitelli, M., Palijan, A., Dewar, M., Darr, U., Hashim, S., Elefteriades, J., Geirsson, A., Garwood, S., Kemp, R. and Butrymowicz, I. Urinary biomarkers of AKI and mortality 3 years after cardiac surgery. </w:t>
      </w:r>
      <w:r w:rsidRPr="000B4E2C">
        <w:rPr>
          <w:rFonts w:eastAsia="Calibri"/>
          <w:i/>
          <w:iCs/>
          <w:szCs w:val="24"/>
          <w:highlight w:val="green"/>
          <w:lang w:val="en-GB"/>
        </w:rPr>
        <w:t>Journal of the American Society of Nephrology</w:t>
      </w:r>
      <w:r w:rsidRPr="000B4E2C">
        <w:rPr>
          <w:rFonts w:eastAsia="Calibri"/>
          <w:szCs w:val="24"/>
          <w:highlight w:val="green"/>
          <w:lang w:val="en-GB"/>
        </w:rPr>
        <w:t>, 25(5), 1063-1071, 2014. [15275]</w:t>
      </w:r>
    </w:p>
    <w:p w14:paraId="3B4D9D58" w14:textId="77777777" w:rsidR="002F0133" w:rsidRPr="000B4E2C" w:rsidRDefault="002F0133" w:rsidP="008A7464">
      <w:pPr>
        <w:rPr>
          <w:rFonts w:eastAsia="Calibri"/>
          <w:b/>
          <w:szCs w:val="24"/>
          <w:highlight w:val="green"/>
          <w:lang w:val="en-GB"/>
        </w:rPr>
      </w:pPr>
    </w:p>
    <w:p w14:paraId="2B9A0F23"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Coca, S. G., Nadkarni, G. N., Garg, A. X., Koyner, J., Thiessen-Philbrook, H., Mcarthur, E., Shlipak, M. G., Parikh, C. R., Raman, J., Jeevanandam, V., Akhter, S., Edelstein, C., Passik, C., Nagy, J., Swaminathan, M., </w:t>
      </w:r>
      <w:r w:rsidRPr="000B4E2C">
        <w:rPr>
          <w:rFonts w:eastAsia="Calibri"/>
          <w:szCs w:val="24"/>
          <w:highlight w:val="green"/>
          <w:lang w:val="en-GB"/>
        </w:rPr>
        <w:lastRenderedPageBreak/>
        <w:t xml:space="preserve">Chu, M., Goldbach, M., Guo, L. R., Mckenzie, N., Myers, M. L., Novick, R., Quantz, M., Zappitelli, M., Palijan, A., Dewar, M., Darr, U., Hashim, S., Elefteriades, J., Geirsson, A., Garwood, S., Butrymowicz, I. and Krumholz, H. First post-operative urinary kidney injury biomarkers and association with the duration of AKI in the TRIBE-AKI cohort. </w:t>
      </w:r>
      <w:r w:rsidRPr="000B4E2C">
        <w:rPr>
          <w:rFonts w:eastAsia="Calibri"/>
          <w:i/>
          <w:iCs/>
          <w:szCs w:val="24"/>
          <w:highlight w:val="green"/>
          <w:lang w:val="en-GB"/>
        </w:rPr>
        <w:t>PLoS ONE</w:t>
      </w:r>
      <w:r w:rsidRPr="000B4E2C">
        <w:rPr>
          <w:rFonts w:eastAsia="Calibri"/>
          <w:szCs w:val="24"/>
          <w:highlight w:val="green"/>
          <w:lang w:val="en-GB"/>
        </w:rPr>
        <w:t>, 11(8), e0161098, 2016. [15274]</w:t>
      </w:r>
    </w:p>
    <w:p w14:paraId="50438735" w14:textId="77777777" w:rsidR="002F0133" w:rsidRPr="000B4E2C" w:rsidRDefault="002F0133" w:rsidP="008A7464">
      <w:pPr>
        <w:widowControl w:val="0"/>
        <w:autoSpaceDE w:val="0"/>
        <w:autoSpaceDN w:val="0"/>
        <w:adjustRightInd w:val="0"/>
        <w:rPr>
          <w:rFonts w:eastAsia="Calibri"/>
          <w:b/>
          <w:szCs w:val="24"/>
          <w:highlight w:val="green"/>
          <w:lang w:val="en-GB"/>
        </w:rPr>
      </w:pPr>
    </w:p>
    <w:p w14:paraId="49A6DFC2"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Greenberg, J. H., Devarajan, P., Thiessen-Philbrook, H. R., Krawczeski, C., Parikh, C. R. and Zappitelli, M. Kidney injury biomarkers 5 years after AKI due to pediatric cardiac surgery. </w:t>
      </w:r>
      <w:r w:rsidRPr="000B4E2C">
        <w:rPr>
          <w:rFonts w:eastAsia="Calibri"/>
          <w:i/>
          <w:iCs/>
          <w:szCs w:val="24"/>
          <w:highlight w:val="green"/>
          <w:lang w:val="en-GB"/>
        </w:rPr>
        <w:t>Pediatric Nephrology</w:t>
      </w:r>
      <w:r w:rsidRPr="000B4E2C">
        <w:rPr>
          <w:rFonts w:eastAsia="Calibri"/>
          <w:szCs w:val="24"/>
          <w:highlight w:val="green"/>
          <w:lang w:val="en-GB"/>
        </w:rPr>
        <w:t>, 33(6), 1069-1077, 2018. [15586]</w:t>
      </w:r>
    </w:p>
    <w:p w14:paraId="21E2F7B6" w14:textId="77777777" w:rsidR="002F0133" w:rsidRPr="000B4E2C" w:rsidRDefault="002F0133" w:rsidP="008A7464">
      <w:pPr>
        <w:rPr>
          <w:rFonts w:eastAsia="Calibri"/>
          <w:b/>
          <w:szCs w:val="24"/>
          <w:highlight w:val="green"/>
          <w:lang w:val="en-GB"/>
        </w:rPr>
      </w:pPr>
    </w:p>
    <w:p w14:paraId="1B45B99E"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Koyner, J. L., Coca, S. G., Thiessen-Philbrook, H., Patel, U. D., Shlipak, M. G., Garg, A. X., Parikh, C. R., Raman, J., Jeevanandam, V., Akhter, S., Devarajan, P., Bennett, M., Ma, Q., Griffiths, R., Edelstein, C., Passik, C., Nagy, J., Swaminathan, M., Chu, M., Goldbach, M., Guo, L. R., Mckenzie, N., Myers, M. L., Novick, R., Quantz, M., Schumann, V., Webster, L., Zappitelli, M., Palijan, A., Dewar, M., Darr, U., Hashim, S., Elefteriades, J., Geirsson, A., Garwood, S., Kemp, R. and Butrymowicz, I. Urine biomarkers and perioperative acute kidney injury: The impact of preoperative estimated GFR. </w:t>
      </w:r>
      <w:r w:rsidRPr="000B4E2C">
        <w:rPr>
          <w:rFonts w:eastAsia="Calibri"/>
          <w:i/>
          <w:iCs/>
          <w:szCs w:val="24"/>
          <w:highlight w:val="green"/>
          <w:lang w:val="en-GB"/>
        </w:rPr>
        <w:t>American Journal of Kidney Diseases</w:t>
      </w:r>
      <w:r w:rsidRPr="000B4E2C">
        <w:rPr>
          <w:rFonts w:eastAsia="Calibri"/>
          <w:szCs w:val="24"/>
          <w:highlight w:val="green"/>
          <w:lang w:val="en-GB"/>
        </w:rPr>
        <w:t>, 66(6), 1006-1014, 2015. [15894]</w:t>
      </w:r>
    </w:p>
    <w:p w14:paraId="5CEE9439" w14:textId="77777777" w:rsidR="002F0133" w:rsidRPr="000B4E2C" w:rsidRDefault="002F0133" w:rsidP="008A7464">
      <w:pPr>
        <w:rPr>
          <w:rFonts w:eastAsia="Calibri"/>
          <w:b/>
          <w:szCs w:val="24"/>
          <w:highlight w:val="green"/>
          <w:lang w:val="en-GB"/>
        </w:rPr>
      </w:pPr>
    </w:p>
    <w:p w14:paraId="47B946E4"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Parikh, C. R., Thiessen-Philbrook, H., Garg, A. X., Kadiyala, D., Shlipak, M. G., Koyner, J. L., Edelstein, C. L., Devarajan, P., Patel, U. D., Zappitelli, M., Krawczeski, C. D., Passik, C. S. and Coca, S. G. Performance of kidney injury molecule-1 and liver fatty acid-binding protein and combined biomarkers of AKI after cardiac surgery. </w:t>
      </w:r>
      <w:r w:rsidRPr="000B4E2C">
        <w:rPr>
          <w:rFonts w:eastAsia="Calibri"/>
          <w:i/>
          <w:iCs/>
          <w:szCs w:val="24"/>
          <w:highlight w:val="green"/>
          <w:lang w:val="en-GB"/>
        </w:rPr>
        <w:t>Clinical Journal of the American Society of Nephrology</w:t>
      </w:r>
      <w:r w:rsidRPr="000B4E2C">
        <w:rPr>
          <w:rFonts w:eastAsia="Calibri"/>
          <w:szCs w:val="24"/>
          <w:highlight w:val="green"/>
          <w:lang w:val="en-GB"/>
        </w:rPr>
        <w:t>, 8(7), 1079-1088, 2013. [16329]</w:t>
      </w:r>
    </w:p>
    <w:p w14:paraId="29E18028" w14:textId="77777777" w:rsidR="002F0133" w:rsidRPr="000B4E2C" w:rsidRDefault="002F0133" w:rsidP="008A7464">
      <w:pPr>
        <w:rPr>
          <w:rFonts w:eastAsia="Calibri"/>
          <w:b/>
          <w:szCs w:val="24"/>
          <w:highlight w:val="green"/>
          <w:lang w:val="en-GB"/>
        </w:rPr>
      </w:pPr>
    </w:p>
    <w:p w14:paraId="4AFE4484"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Zhang, W. R., Garg, A. X., Coca, S. G., Devereaux, P. J., Eikelboom, J., Kavsak, P., Mcarthur, E., Thiessen-Philbrook, H., Shortt, C., Shlipak, M., Whitlock, R. and Parikh, C. R. Plasma il-6 and il-10 concentrations predict AKI and long-term mortality in adults after cardiac surgery. </w:t>
      </w:r>
      <w:r w:rsidRPr="000B4E2C">
        <w:rPr>
          <w:rFonts w:eastAsia="Calibri"/>
          <w:i/>
          <w:iCs/>
          <w:szCs w:val="24"/>
          <w:highlight w:val="green"/>
          <w:lang w:val="en-GB"/>
        </w:rPr>
        <w:t>Journal of the American Society of Nephrology</w:t>
      </w:r>
      <w:r w:rsidRPr="000B4E2C">
        <w:rPr>
          <w:rFonts w:eastAsia="Calibri"/>
          <w:szCs w:val="24"/>
          <w:highlight w:val="green"/>
          <w:lang w:val="en-GB"/>
        </w:rPr>
        <w:t>, 26(12), 3123-3132, 2015. [17000]</w:t>
      </w:r>
    </w:p>
    <w:p w14:paraId="17974875" w14:textId="5EEB56CD" w:rsidR="002F0133" w:rsidRPr="000B4E2C" w:rsidRDefault="000B4E2C" w:rsidP="008A7464">
      <w:pPr>
        <w:spacing w:after="200" w:line="276" w:lineRule="auto"/>
        <w:rPr>
          <w:rFonts w:eastAsia="Calibri"/>
          <w:b/>
          <w:szCs w:val="24"/>
          <w:highlight w:val="green"/>
          <w:lang w:val="en-GB"/>
        </w:rPr>
      </w:pPr>
      <w:r w:rsidRPr="000B4E2C">
        <w:rPr>
          <w:rFonts w:eastAsia="Calibri"/>
          <w:b/>
          <w:szCs w:val="24"/>
          <w:highlight w:val="green"/>
          <w:lang w:val="en-GB"/>
        </w:rPr>
        <w:t xml:space="preserve">  </w:t>
      </w:r>
    </w:p>
    <w:p w14:paraId="21C37571"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Parikh 2011 [TRIBE-Child]</w:t>
      </w:r>
    </w:p>
    <w:p w14:paraId="627D27B9" w14:textId="77777777" w:rsidR="002F0133" w:rsidRPr="000B4E2C" w:rsidRDefault="002F0133" w:rsidP="008A7464">
      <w:pPr>
        <w:widowControl w:val="0"/>
        <w:autoSpaceDE w:val="0"/>
        <w:autoSpaceDN w:val="0"/>
        <w:adjustRightInd w:val="0"/>
        <w:rPr>
          <w:rFonts w:eastAsia="Calibri"/>
          <w:szCs w:val="24"/>
          <w:highlight w:val="green"/>
          <w:lang w:val="en-GB"/>
        </w:rPr>
      </w:pPr>
    </w:p>
    <w:p w14:paraId="7669BC78"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 Parikh, C. R., Devarajan, P., Zappitelli, M., Sint, K., Thiessen-Philbrook, H., Li, S., Kim, R. W., Koyner, J. L., Coca, S. G., Edelstein, C. L., Shlipak, M. G., Garg, A. X. and Krawczeski, C. D. Postoperative biomarkers predict acute kidney injury and poor outcomes after pediatric cardiac surgery. </w:t>
      </w:r>
      <w:r w:rsidRPr="000B4E2C">
        <w:rPr>
          <w:rFonts w:eastAsia="Calibri"/>
          <w:i/>
          <w:iCs/>
          <w:szCs w:val="24"/>
          <w:highlight w:val="green"/>
          <w:lang w:val="en-GB"/>
        </w:rPr>
        <w:t>Journal of the American Society of Nephrology</w:t>
      </w:r>
      <w:r w:rsidRPr="000B4E2C">
        <w:rPr>
          <w:rFonts w:eastAsia="Calibri"/>
          <w:szCs w:val="24"/>
          <w:highlight w:val="green"/>
          <w:lang w:val="en-GB"/>
        </w:rPr>
        <w:t>, 22(9), 1737-1747, 2011. [16331]</w:t>
      </w:r>
    </w:p>
    <w:p w14:paraId="517046BF" w14:textId="77777777" w:rsidR="002F0133" w:rsidRPr="000B4E2C" w:rsidRDefault="002F0133" w:rsidP="008A7464">
      <w:pPr>
        <w:rPr>
          <w:rFonts w:eastAsia="Calibri"/>
          <w:b/>
          <w:szCs w:val="24"/>
          <w:highlight w:val="green"/>
          <w:lang w:val="en-GB"/>
        </w:rPr>
      </w:pPr>
    </w:p>
    <w:p w14:paraId="5B56F0AA" w14:textId="4ACA339A"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Zappitelli, M., Greenberg, J. H., Coca, S. G., Krawczeski, C. D., Li, S., Thiessen-Philbrook, H. R., Bennett, M. R., Devarajan, P. and Parikh, C. R. Association of definition of acute kidney injury by cystatin</w:t>
      </w:r>
      <w:r w:rsidR="000B4E2C" w:rsidRPr="000B4E2C">
        <w:rPr>
          <w:rFonts w:eastAsia="Calibri"/>
          <w:szCs w:val="24"/>
          <w:highlight w:val="green"/>
          <w:lang w:val="en-GB"/>
        </w:rPr>
        <w:t xml:space="preserve"> </w:t>
      </w:r>
      <w:r w:rsidRPr="000B4E2C">
        <w:rPr>
          <w:rFonts w:eastAsia="Calibri"/>
          <w:szCs w:val="24"/>
          <w:highlight w:val="green"/>
          <w:lang w:val="en-GB"/>
        </w:rPr>
        <w:t xml:space="preserve">C rise with biomarkers and clinical outcomes in children undergoing cardiac surgery. </w:t>
      </w:r>
      <w:r w:rsidRPr="000B4E2C">
        <w:rPr>
          <w:rFonts w:eastAsia="Calibri"/>
          <w:i/>
          <w:iCs/>
          <w:szCs w:val="24"/>
          <w:highlight w:val="green"/>
          <w:lang w:val="en-GB"/>
        </w:rPr>
        <w:t>JAMA Pediatrics</w:t>
      </w:r>
      <w:r w:rsidRPr="000B4E2C">
        <w:rPr>
          <w:rFonts w:eastAsia="Calibri"/>
          <w:szCs w:val="24"/>
          <w:highlight w:val="green"/>
          <w:lang w:val="en-GB"/>
        </w:rPr>
        <w:t>, 169(6), 583-591, 2015. [16978]</w:t>
      </w:r>
    </w:p>
    <w:p w14:paraId="315B9D73" w14:textId="77777777" w:rsidR="002F0133" w:rsidRPr="000B4E2C" w:rsidRDefault="002F0133" w:rsidP="008A7464">
      <w:pPr>
        <w:rPr>
          <w:rFonts w:eastAsia="Calibri"/>
          <w:b/>
          <w:szCs w:val="24"/>
          <w:highlight w:val="green"/>
          <w:lang w:val="en-GB"/>
        </w:rPr>
      </w:pPr>
    </w:p>
    <w:p w14:paraId="22B409A3"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Park 2017</w:t>
      </w:r>
    </w:p>
    <w:p w14:paraId="6FE28947" w14:textId="77777777" w:rsidR="002F0133" w:rsidRPr="000B4E2C" w:rsidRDefault="002F0133" w:rsidP="008A7464">
      <w:pPr>
        <w:widowControl w:val="0"/>
        <w:autoSpaceDE w:val="0"/>
        <w:autoSpaceDN w:val="0"/>
        <w:adjustRightInd w:val="0"/>
        <w:rPr>
          <w:rFonts w:eastAsia="Calibri"/>
          <w:szCs w:val="24"/>
          <w:highlight w:val="green"/>
          <w:lang w:val="en-GB"/>
        </w:rPr>
      </w:pPr>
    </w:p>
    <w:p w14:paraId="60B96B8B"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Park, M., Hsu, C. Y., Go, A. S., Feldman, H. I., Xie, D., Zhang, X., Mifflin, T., Waikar, S. S., Sabbisetti, V. S., Bonventre, J. V., Coresh, J., Nelson, R. G., Kimmel, P. L., Kusek, J. W., Rahman, M., Schelling, J. R., Vasan, R. S. and Liu, K. D. Urine kidney injury biomarkers and risks of cardiovascular disease events and all-cause death: The CRIC study. </w:t>
      </w:r>
      <w:r w:rsidRPr="000B4E2C">
        <w:rPr>
          <w:rFonts w:eastAsia="Calibri"/>
          <w:i/>
          <w:iCs/>
          <w:szCs w:val="24"/>
          <w:highlight w:val="green"/>
          <w:lang w:val="en-GB"/>
        </w:rPr>
        <w:t>Clinical Journal of the American Society of Nephrology</w:t>
      </w:r>
      <w:r w:rsidRPr="000B4E2C">
        <w:rPr>
          <w:rFonts w:eastAsia="Calibri"/>
          <w:szCs w:val="24"/>
          <w:highlight w:val="green"/>
          <w:lang w:val="en-GB"/>
        </w:rPr>
        <w:t>, 12(5), 761-771, 2017. [16343]</w:t>
      </w:r>
    </w:p>
    <w:p w14:paraId="445F8BFD" w14:textId="77777777" w:rsidR="002F0133" w:rsidRPr="000B4E2C" w:rsidRDefault="002F0133" w:rsidP="008A7464">
      <w:pPr>
        <w:rPr>
          <w:rFonts w:eastAsia="Calibri"/>
          <w:b/>
          <w:szCs w:val="24"/>
          <w:highlight w:val="green"/>
          <w:lang w:val="en-GB"/>
        </w:rPr>
      </w:pPr>
    </w:p>
    <w:p w14:paraId="208A303E"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Pipili 2014</w:t>
      </w:r>
    </w:p>
    <w:p w14:paraId="7069915D" w14:textId="77777777" w:rsidR="002F0133" w:rsidRPr="000B4E2C" w:rsidRDefault="002F0133" w:rsidP="008A7464">
      <w:pPr>
        <w:widowControl w:val="0"/>
        <w:autoSpaceDE w:val="0"/>
        <w:autoSpaceDN w:val="0"/>
        <w:adjustRightInd w:val="0"/>
        <w:rPr>
          <w:rFonts w:eastAsia="Calibri"/>
          <w:szCs w:val="24"/>
          <w:highlight w:val="green"/>
          <w:lang w:val="en-GB"/>
        </w:rPr>
      </w:pPr>
    </w:p>
    <w:p w14:paraId="1CFA8AA2"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Pipili, C., Ioannidou, S., Tripodaki, E. S., Parisi, M., Douka, E., Vasileiadis, I., Joannidis, M. and Nanas, S. Prediction of the renal replacement therapy requirement in mechanically ventilated critically ill patients by combining biomarkers for glomerular filtration and tubular damage. </w:t>
      </w:r>
      <w:r w:rsidRPr="000B4E2C">
        <w:rPr>
          <w:rFonts w:eastAsia="Calibri"/>
          <w:i/>
          <w:iCs/>
          <w:szCs w:val="24"/>
          <w:highlight w:val="green"/>
          <w:lang w:val="en-GB"/>
        </w:rPr>
        <w:t>Journal of Critical Care</w:t>
      </w:r>
      <w:r w:rsidRPr="000B4E2C">
        <w:rPr>
          <w:rFonts w:eastAsia="Calibri"/>
          <w:szCs w:val="24"/>
          <w:highlight w:val="green"/>
          <w:lang w:val="en-GB"/>
        </w:rPr>
        <w:t>, 29(4), 692, 2014. [16397]</w:t>
      </w:r>
    </w:p>
    <w:p w14:paraId="52A5276A" w14:textId="77777777" w:rsidR="002F0133" w:rsidRPr="000B4E2C" w:rsidRDefault="002F0133" w:rsidP="008A7464">
      <w:pPr>
        <w:rPr>
          <w:rFonts w:eastAsia="Calibri"/>
          <w:b/>
          <w:szCs w:val="24"/>
          <w:highlight w:val="green"/>
          <w:lang w:val="en-GB"/>
        </w:rPr>
      </w:pPr>
    </w:p>
    <w:p w14:paraId="24E6010D"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Schley 2015</w:t>
      </w:r>
    </w:p>
    <w:p w14:paraId="26C306A6" w14:textId="77777777" w:rsidR="002F0133" w:rsidRPr="000B4E2C" w:rsidRDefault="002F0133" w:rsidP="008A7464">
      <w:pPr>
        <w:widowControl w:val="0"/>
        <w:autoSpaceDE w:val="0"/>
        <w:autoSpaceDN w:val="0"/>
        <w:adjustRightInd w:val="0"/>
        <w:rPr>
          <w:rFonts w:eastAsia="Calibri"/>
          <w:szCs w:val="24"/>
          <w:highlight w:val="green"/>
          <w:lang w:val="en-GB"/>
        </w:rPr>
      </w:pPr>
    </w:p>
    <w:p w14:paraId="22E2C741"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Schley, G., Koberle, C., Manuilova, E., Rutz, S., Forster, C., Weyand, M., Formentini, I., Kientsch-Engel, R., </w:t>
      </w:r>
      <w:r w:rsidRPr="000B4E2C">
        <w:rPr>
          <w:rFonts w:eastAsia="Calibri"/>
          <w:szCs w:val="24"/>
          <w:highlight w:val="green"/>
          <w:lang w:val="en-GB"/>
        </w:rPr>
        <w:lastRenderedPageBreak/>
        <w:t xml:space="preserve">Eckardt, K. U. and Willam, C. Comparison of plasma and urine biomarker performance in acute kidney injury. </w:t>
      </w:r>
      <w:r w:rsidRPr="000B4E2C">
        <w:rPr>
          <w:rFonts w:eastAsia="Calibri"/>
          <w:i/>
          <w:iCs/>
          <w:szCs w:val="24"/>
          <w:highlight w:val="green"/>
          <w:lang w:val="en-GB"/>
        </w:rPr>
        <w:t>PLoS ONE</w:t>
      </w:r>
      <w:r w:rsidRPr="000B4E2C">
        <w:rPr>
          <w:rFonts w:eastAsia="Calibri"/>
          <w:szCs w:val="24"/>
          <w:highlight w:val="green"/>
          <w:lang w:val="en-GB"/>
        </w:rPr>
        <w:t>, 10(12), e0145042, 2015. [16558]</w:t>
      </w:r>
    </w:p>
    <w:p w14:paraId="7102BDE2" w14:textId="77777777" w:rsidR="002F0133" w:rsidRPr="000B4E2C" w:rsidRDefault="002F0133" w:rsidP="008A7464">
      <w:pPr>
        <w:rPr>
          <w:rFonts w:eastAsia="Calibri"/>
          <w:b/>
          <w:szCs w:val="24"/>
          <w:highlight w:val="green"/>
          <w:lang w:val="en-GB"/>
        </w:rPr>
      </w:pPr>
    </w:p>
    <w:p w14:paraId="113B8CED"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Seitz 2013</w:t>
      </w:r>
    </w:p>
    <w:p w14:paraId="349A2376" w14:textId="77777777" w:rsidR="002F0133" w:rsidRPr="000B4E2C" w:rsidRDefault="002F0133" w:rsidP="008A7464">
      <w:pPr>
        <w:widowControl w:val="0"/>
        <w:autoSpaceDE w:val="0"/>
        <w:autoSpaceDN w:val="0"/>
        <w:adjustRightInd w:val="0"/>
        <w:rPr>
          <w:rFonts w:eastAsia="Calibri"/>
          <w:szCs w:val="24"/>
          <w:highlight w:val="green"/>
          <w:lang w:val="en-GB"/>
        </w:rPr>
      </w:pPr>
    </w:p>
    <w:p w14:paraId="184F24A9" w14:textId="58004983"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Seitz, S., Rauh, M., Gloeckler, M., Cesnjevar, R., Dittrich, S. and Koch, A. M. E. Cystatin</w:t>
      </w:r>
      <w:r w:rsidR="000B4E2C" w:rsidRPr="000B4E2C">
        <w:rPr>
          <w:rFonts w:eastAsia="Calibri"/>
          <w:szCs w:val="24"/>
          <w:highlight w:val="green"/>
          <w:lang w:val="en-GB"/>
        </w:rPr>
        <w:t xml:space="preserve"> </w:t>
      </w:r>
      <w:r w:rsidRPr="000B4E2C">
        <w:rPr>
          <w:rFonts w:eastAsia="Calibri"/>
          <w:szCs w:val="24"/>
          <w:highlight w:val="green"/>
          <w:lang w:val="en-GB"/>
        </w:rPr>
        <w:t xml:space="preserve">C and neutrophil gelatinase-associated lipocalin: Biomarkers for acute kidney injury after congenital heart surgery. </w:t>
      </w:r>
      <w:r w:rsidRPr="000B4E2C">
        <w:rPr>
          <w:rFonts w:eastAsia="Calibri"/>
          <w:i/>
          <w:iCs/>
          <w:szCs w:val="24"/>
          <w:highlight w:val="green"/>
          <w:lang w:val="en-GB"/>
        </w:rPr>
        <w:t>Swiss Medical Weekly</w:t>
      </w:r>
      <w:r w:rsidRPr="000B4E2C">
        <w:rPr>
          <w:rFonts w:eastAsia="Calibri"/>
          <w:szCs w:val="24"/>
          <w:highlight w:val="green"/>
          <w:lang w:val="en-GB"/>
        </w:rPr>
        <w:t>, 143(w13744, 2013. [16579]</w:t>
      </w:r>
    </w:p>
    <w:p w14:paraId="2F3E231D" w14:textId="65414C2A" w:rsidR="002F0133" w:rsidRPr="000B4E2C" w:rsidRDefault="000B4E2C" w:rsidP="008A7464">
      <w:pPr>
        <w:spacing w:after="200" w:line="276" w:lineRule="auto"/>
        <w:rPr>
          <w:rFonts w:eastAsia="Calibri"/>
          <w:b/>
          <w:szCs w:val="24"/>
          <w:highlight w:val="green"/>
          <w:lang w:val="en-GB"/>
        </w:rPr>
      </w:pPr>
      <w:r w:rsidRPr="000B4E2C">
        <w:rPr>
          <w:rFonts w:eastAsia="Calibri"/>
          <w:b/>
          <w:szCs w:val="24"/>
          <w:highlight w:val="green"/>
          <w:lang w:val="en-GB"/>
        </w:rPr>
        <w:t xml:space="preserve">  </w:t>
      </w:r>
    </w:p>
    <w:p w14:paraId="7DD5E074"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Smith 2013</w:t>
      </w:r>
    </w:p>
    <w:p w14:paraId="1110C8F1" w14:textId="77777777" w:rsidR="002F0133" w:rsidRPr="000B4E2C" w:rsidRDefault="002F0133" w:rsidP="008A7464">
      <w:pPr>
        <w:widowControl w:val="0"/>
        <w:autoSpaceDE w:val="0"/>
        <w:autoSpaceDN w:val="0"/>
        <w:adjustRightInd w:val="0"/>
        <w:rPr>
          <w:rFonts w:eastAsia="Calibri"/>
          <w:szCs w:val="24"/>
          <w:highlight w:val="green"/>
          <w:lang w:val="en-GB"/>
        </w:rPr>
      </w:pPr>
    </w:p>
    <w:p w14:paraId="4BF97056"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Smith, E. R., Lee, D., Cai, M. M., Tomlinson, L. A., Ford, M. L., Mcmahon, L. P. and Holt, S. G. Urinary neutrophil gelatinase-associated lipocalin may aid prediction of renal decline in patients with non-proteinuric stages 3 and 4 chronic kidney disease (CKD). </w:t>
      </w:r>
      <w:r w:rsidRPr="000B4E2C">
        <w:rPr>
          <w:rFonts w:eastAsia="Calibri"/>
          <w:i/>
          <w:iCs/>
          <w:szCs w:val="24"/>
          <w:highlight w:val="green"/>
          <w:lang w:val="en-GB"/>
        </w:rPr>
        <w:t>Nephrology Dialysis Transplantation</w:t>
      </w:r>
      <w:r w:rsidRPr="000B4E2C">
        <w:rPr>
          <w:rFonts w:eastAsia="Calibri"/>
          <w:szCs w:val="24"/>
          <w:highlight w:val="green"/>
          <w:lang w:val="en-GB"/>
        </w:rPr>
        <w:t>, 28(6), 1569-1579, 2013. [16668]</w:t>
      </w:r>
    </w:p>
    <w:p w14:paraId="3B576238" w14:textId="77777777" w:rsidR="002F0133" w:rsidRPr="000B4E2C" w:rsidRDefault="002F0133" w:rsidP="008A7464">
      <w:pPr>
        <w:rPr>
          <w:rFonts w:eastAsia="Calibri"/>
          <w:b/>
          <w:szCs w:val="24"/>
          <w:highlight w:val="green"/>
          <w:lang w:val="en-GB"/>
        </w:rPr>
      </w:pPr>
    </w:p>
    <w:p w14:paraId="225FC30E"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Tecson 2017</w:t>
      </w:r>
    </w:p>
    <w:p w14:paraId="4ECAB937" w14:textId="77777777" w:rsidR="002F0133" w:rsidRPr="000B4E2C" w:rsidRDefault="002F0133" w:rsidP="008A7464">
      <w:pPr>
        <w:widowControl w:val="0"/>
        <w:autoSpaceDE w:val="0"/>
        <w:autoSpaceDN w:val="0"/>
        <w:adjustRightInd w:val="0"/>
        <w:rPr>
          <w:rFonts w:eastAsia="Calibri"/>
          <w:szCs w:val="24"/>
          <w:highlight w:val="green"/>
          <w:lang w:val="en-GB"/>
        </w:rPr>
      </w:pPr>
    </w:p>
    <w:p w14:paraId="5230579C"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Tecson, K. M., Erhardtsen, E., Eriksen, P. M., Gaber, A. O., Germain, M., Golestaneh, L., De Los Angeles Lavoria, M., Moore, L. W. and Mccullough, P. A. Optimal cut points of plasma and urine neutrophil gelatinase-associated lipocalin for the prediction of acute kidney injury among critically ill adults: Retrospective determination and clinical validation of a prospective multicentre study. </w:t>
      </w:r>
      <w:r w:rsidRPr="000B4E2C">
        <w:rPr>
          <w:rFonts w:eastAsia="Calibri"/>
          <w:i/>
          <w:iCs/>
          <w:szCs w:val="24"/>
          <w:highlight w:val="green"/>
          <w:lang w:val="en-GB"/>
        </w:rPr>
        <w:t>BMJ Open</w:t>
      </w:r>
      <w:r w:rsidRPr="000B4E2C">
        <w:rPr>
          <w:rFonts w:eastAsia="Calibri"/>
          <w:szCs w:val="24"/>
          <w:highlight w:val="green"/>
          <w:lang w:val="en-GB"/>
        </w:rPr>
        <w:t>, 7(7), e016028, 2017. [16748]</w:t>
      </w:r>
    </w:p>
    <w:p w14:paraId="239DD357" w14:textId="77777777" w:rsidR="002F0133" w:rsidRPr="000B4E2C" w:rsidRDefault="002F0133" w:rsidP="008A7464">
      <w:pPr>
        <w:rPr>
          <w:rFonts w:eastAsia="Calibri"/>
          <w:b/>
          <w:szCs w:val="24"/>
          <w:highlight w:val="green"/>
          <w:lang w:val="en-GB"/>
        </w:rPr>
      </w:pPr>
    </w:p>
    <w:p w14:paraId="78C17802"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Thanakitcharu 2014</w:t>
      </w:r>
    </w:p>
    <w:p w14:paraId="3125E8E7" w14:textId="77777777" w:rsidR="002F0133" w:rsidRPr="000B4E2C" w:rsidRDefault="002F0133" w:rsidP="008A7464">
      <w:pPr>
        <w:widowControl w:val="0"/>
        <w:autoSpaceDE w:val="0"/>
        <w:autoSpaceDN w:val="0"/>
        <w:adjustRightInd w:val="0"/>
        <w:rPr>
          <w:rFonts w:eastAsia="Calibri"/>
          <w:szCs w:val="24"/>
          <w:highlight w:val="green"/>
          <w:lang w:val="en-GB"/>
        </w:rPr>
      </w:pPr>
    </w:p>
    <w:p w14:paraId="1664A948"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Thanakitcharu, P. and Jirajan, B. Determination of urinary neutrophil gelatinase-associated lipocalin (NGAL) cut-off level for early detection of acute kidney injury in Thai adult patients undergoing open cardiac surgery. </w:t>
      </w:r>
      <w:r w:rsidRPr="000B4E2C">
        <w:rPr>
          <w:rFonts w:eastAsia="Calibri"/>
          <w:i/>
          <w:iCs/>
          <w:szCs w:val="24"/>
          <w:highlight w:val="green"/>
          <w:lang w:val="en-GB"/>
        </w:rPr>
        <w:t>Journal of the Medical Association of Thailand</w:t>
      </w:r>
      <w:r w:rsidRPr="000B4E2C">
        <w:rPr>
          <w:rFonts w:eastAsia="Calibri"/>
          <w:szCs w:val="24"/>
          <w:highlight w:val="green"/>
          <w:lang w:val="en-GB"/>
        </w:rPr>
        <w:t>, 97(Supplement 11), S48-S55, 2014. [16756]</w:t>
      </w:r>
    </w:p>
    <w:p w14:paraId="2EBEEDF3" w14:textId="77777777" w:rsidR="002F0133" w:rsidRPr="000B4E2C" w:rsidRDefault="002F0133" w:rsidP="008A7464">
      <w:pPr>
        <w:rPr>
          <w:rFonts w:eastAsia="Calibri"/>
          <w:b/>
          <w:szCs w:val="24"/>
          <w:highlight w:val="green"/>
          <w:lang w:val="en-GB"/>
        </w:rPr>
      </w:pPr>
    </w:p>
    <w:p w14:paraId="6DBB3EFE"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Tidbury 2019</w:t>
      </w:r>
    </w:p>
    <w:p w14:paraId="436C8D8F" w14:textId="77777777" w:rsidR="002F0133" w:rsidRPr="000B4E2C" w:rsidRDefault="002F0133" w:rsidP="008A7464">
      <w:pPr>
        <w:widowControl w:val="0"/>
        <w:autoSpaceDE w:val="0"/>
        <w:autoSpaceDN w:val="0"/>
        <w:adjustRightInd w:val="0"/>
        <w:rPr>
          <w:rFonts w:eastAsia="Calibri"/>
          <w:szCs w:val="24"/>
          <w:highlight w:val="green"/>
          <w:lang w:val="en-GB"/>
        </w:rPr>
      </w:pPr>
    </w:p>
    <w:p w14:paraId="367F8762"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Tidbury, N., Browning, N., Shaw, M., Morgan, M., Kemp, I. and Matata, B. Neutrophil gelatinase-associated lipocalin as a marker of postoperative acute kidney injury following cardiac surgery in patients with pre-operative kidney impairment. </w:t>
      </w:r>
      <w:r w:rsidRPr="000B4E2C">
        <w:rPr>
          <w:rFonts w:eastAsia="Calibri"/>
          <w:i/>
          <w:iCs/>
          <w:szCs w:val="24"/>
          <w:highlight w:val="green"/>
          <w:lang w:val="en-GB"/>
        </w:rPr>
        <w:t>Cardiovascular &amp; Hematological Disorders Drug Targets</w:t>
      </w:r>
      <w:r w:rsidRPr="000B4E2C">
        <w:rPr>
          <w:rFonts w:eastAsia="Calibri"/>
          <w:szCs w:val="24"/>
          <w:highlight w:val="green"/>
          <w:lang w:val="en-GB"/>
        </w:rPr>
        <w:t>, 2019. [16765]</w:t>
      </w:r>
    </w:p>
    <w:p w14:paraId="55798BAC" w14:textId="77777777" w:rsidR="002F0133" w:rsidRPr="000B4E2C" w:rsidRDefault="002F0133" w:rsidP="008A7464">
      <w:pPr>
        <w:rPr>
          <w:rFonts w:eastAsia="Calibri"/>
          <w:b/>
          <w:szCs w:val="24"/>
          <w:highlight w:val="green"/>
          <w:lang w:val="en-GB"/>
        </w:rPr>
      </w:pPr>
    </w:p>
    <w:p w14:paraId="32F033DB"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Treeprasertsuk 2015</w:t>
      </w:r>
    </w:p>
    <w:p w14:paraId="44022164" w14:textId="77777777" w:rsidR="002F0133" w:rsidRPr="000B4E2C" w:rsidRDefault="002F0133" w:rsidP="008A7464">
      <w:pPr>
        <w:widowControl w:val="0"/>
        <w:autoSpaceDE w:val="0"/>
        <w:autoSpaceDN w:val="0"/>
        <w:adjustRightInd w:val="0"/>
        <w:rPr>
          <w:rFonts w:eastAsia="Calibri"/>
          <w:szCs w:val="24"/>
          <w:highlight w:val="green"/>
          <w:lang w:val="en-GB"/>
        </w:rPr>
      </w:pPr>
    </w:p>
    <w:p w14:paraId="20C7C216"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Treeprasertsuk, S., Wongkarnjana, A., Jaruvongvanich, V., Sallapant, S., Tiranathanagul, K., Komolmit, P. and Tangkijvanich, P. Urine neutrophil gelatinase-associated lipocalin: A diagnostic and prognostic marker for acute kidney injury (AKI) in hospitalized cirrhotic patients with AKI-prone conditions. </w:t>
      </w:r>
      <w:r w:rsidRPr="000B4E2C">
        <w:rPr>
          <w:rFonts w:eastAsia="Calibri"/>
          <w:i/>
          <w:iCs/>
          <w:szCs w:val="24"/>
          <w:highlight w:val="green"/>
          <w:lang w:val="en-GB"/>
        </w:rPr>
        <w:t>BMC Gastroenterology</w:t>
      </w:r>
      <w:r w:rsidRPr="000B4E2C">
        <w:rPr>
          <w:rFonts w:eastAsia="Calibri"/>
          <w:szCs w:val="24"/>
          <w:highlight w:val="green"/>
          <w:lang w:val="en-GB"/>
        </w:rPr>
        <w:t>, 15(1), 2015. [16781]</w:t>
      </w:r>
    </w:p>
    <w:p w14:paraId="2A6D87C8" w14:textId="77777777" w:rsidR="002F0133" w:rsidRPr="000B4E2C" w:rsidRDefault="002F0133" w:rsidP="008A7464">
      <w:pPr>
        <w:rPr>
          <w:rFonts w:eastAsia="Calibri"/>
          <w:b/>
          <w:szCs w:val="24"/>
          <w:highlight w:val="green"/>
          <w:lang w:val="en-GB"/>
        </w:rPr>
      </w:pPr>
    </w:p>
    <w:p w14:paraId="46FEC990"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Verna 2012</w:t>
      </w:r>
    </w:p>
    <w:p w14:paraId="37878536" w14:textId="77777777" w:rsidR="002F0133" w:rsidRPr="000B4E2C" w:rsidRDefault="002F0133" w:rsidP="008A7464">
      <w:pPr>
        <w:widowControl w:val="0"/>
        <w:autoSpaceDE w:val="0"/>
        <w:autoSpaceDN w:val="0"/>
        <w:adjustRightInd w:val="0"/>
        <w:rPr>
          <w:rFonts w:eastAsia="Calibri"/>
          <w:szCs w:val="24"/>
          <w:highlight w:val="green"/>
          <w:lang w:val="en-GB"/>
        </w:rPr>
      </w:pPr>
    </w:p>
    <w:p w14:paraId="650E31AC"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Verna, E. C., Brown, R. S., Farrand, E., Pichardo, E. M., Forster, C. S., Sola-Del Valle, D. A., Adkins, S. H., Sise, M. E., Oliver, J. A., Radhakrishnan, J., Barasch, J. M. and Nickolas, T. L. Urinary neutrophil gelatinase-associated lipocalin predicts mortality and identifies acute kidney injury in cirrhosis. </w:t>
      </w:r>
      <w:r w:rsidRPr="000B4E2C">
        <w:rPr>
          <w:rFonts w:eastAsia="Calibri"/>
          <w:i/>
          <w:iCs/>
          <w:szCs w:val="24"/>
          <w:highlight w:val="green"/>
          <w:lang w:val="en-GB"/>
        </w:rPr>
        <w:t>Digestive Diseases and Sciences</w:t>
      </w:r>
      <w:r w:rsidRPr="000B4E2C">
        <w:rPr>
          <w:rFonts w:eastAsia="Calibri"/>
          <w:szCs w:val="24"/>
          <w:highlight w:val="green"/>
          <w:lang w:val="en-GB"/>
        </w:rPr>
        <w:t>, 57(9), 2362-2370, 2012. [16834]</w:t>
      </w:r>
    </w:p>
    <w:p w14:paraId="6C947124" w14:textId="378F4C72" w:rsidR="002F0133" w:rsidRPr="000B4E2C" w:rsidRDefault="000B4E2C" w:rsidP="008A7464">
      <w:pPr>
        <w:spacing w:after="200" w:line="276" w:lineRule="auto"/>
        <w:rPr>
          <w:rFonts w:eastAsia="Calibri"/>
          <w:b/>
          <w:szCs w:val="24"/>
          <w:highlight w:val="green"/>
          <w:lang w:val="en-GB"/>
        </w:rPr>
      </w:pPr>
      <w:r w:rsidRPr="000B4E2C">
        <w:rPr>
          <w:rFonts w:eastAsia="Calibri"/>
          <w:b/>
          <w:szCs w:val="24"/>
          <w:highlight w:val="green"/>
          <w:lang w:val="en-GB"/>
        </w:rPr>
        <w:t xml:space="preserve">  </w:t>
      </w:r>
    </w:p>
    <w:p w14:paraId="15C5743B"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Yang 2017</w:t>
      </w:r>
    </w:p>
    <w:p w14:paraId="5308C28A" w14:textId="77777777" w:rsidR="002F0133" w:rsidRPr="000B4E2C" w:rsidRDefault="002F0133" w:rsidP="008A7464">
      <w:pPr>
        <w:widowControl w:val="0"/>
        <w:autoSpaceDE w:val="0"/>
        <w:autoSpaceDN w:val="0"/>
        <w:adjustRightInd w:val="0"/>
        <w:rPr>
          <w:rFonts w:eastAsia="Calibri"/>
          <w:szCs w:val="24"/>
          <w:highlight w:val="green"/>
          <w:lang w:val="en-GB"/>
        </w:rPr>
      </w:pPr>
    </w:p>
    <w:p w14:paraId="121C1070"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Yang, X., Chen, C., Teng, S., Fu, X., Zha, Y., Liu, H., Wang, L., Tian, J., Zhang, X., Liu, Y., Nie, J. and Hou, F. F. Urinary matrix metalloproteinase-7 predicts severe AKI and poor outcomes after cardiac surgery. </w:t>
      </w:r>
      <w:r w:rsidRPr="000B4E2C">
        <w:rPr>
          <w:rFonts w:eastAsia="Calibri"/>
          <w:i/>
          <w:iCs/>
          <w:szCs w:val="24"/>
          <w:highlight w:val="green"/>
          <w:lang w:val="en-GB"/>
        </w:rPr>
        <w:t>Journal of the American Society of Nephrology</w:t>
      </w:r>
      <w:r w:rsidRPr="000B4E2C">
        <w:rPr>
          <w:rFonts w:eastAsia="Calibri"/>
          <w:szCs w:val="24"/>
          <w:highlight w:val="green"/>
          <w:lang w:val="en-GB"/>
        </w:rPr>
        <w:t>, 28(11), 3373-3382, 2017. [16945]</w:t>
      </w:r>
    </w:p>
    <w:p w14:paraId="59AF462B" w14:textId="77777777" w:rsidR="002F0133" w:rsidRPr="000B4E2C" w:rsidRDefault="002F0133" w:rsidP="008A7464">
      <w:pPr>
        <w:widowControl w:val="0"/>
        <w:autoSpaceDE w:val="0"/>
        <w:autoSpaceDN w:val="0"/>
        <w:adjustRightInd w:val="0"/>
        <w:rPr>
          <w:rFonts w:eastAsia="Calibri"/>
          <w:szCs w:val="24"/>
          <w:highlight w:val="green"/>
          <w:lang w:val="en-GB"/>
        </w:rPr>
      </w:pPr>
    </w:p>
    <w:p w14:paraId="3423C347"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b/>
          <w:szCs w:val="24"/>
          <w:highlight w:val="green"/>
          <w:lang w:val="en-GB"/>
        </w:rPr>
        <w:t>Zelt 2018</w:t>
      </w:r>
    </w:p>
    <w:p w14:paraId="5B074499" w14:textId="77777777" w:rsidR="002F0133" w:rsidRPr="000B4E2C" w:rsidRDefault="002F0133" w:rsidP="008A7464">
      <w:pPr>
        <w:widowControl w:val="0"/>
        <w:autoSpaceDE w:val="0"/>
        <w:autoSpaceDN w:val="0"/>
        <w:adjustRightInd w:val="0"/>
        <w:rPr>
          <w:rFonts w:eastAsia="Calibri"/>
          <w:szCs w:val="24"/>
          <w:highlight w:val="green"/>
          <w:lang w:val="en-GB"/>
        </w:rPr>
      </w:pPr>
    </w:p>
    <w:p w14:paraId="40DF7833" w14:textId="77777777" w:rsidR="002F0133" w:rsidRPr="000B4E2C" w:rsidRDefault="002F0133" w:rsidP="008A7464">
      <w:pPr>
        <w:widowControl w:val="0"/>
        <w:autoSpaceDE w:val="0"/>
        <w:autoSpaceDN w:val="0"/>
        <w:adjustRightInd w:val="0"/>
        <w:rPr>
          <w:rFonts w:eastAsia="Calibri"/>
          <w:szCs w:val="24"/>
          <w:highlight w:val="green"/>
          <w:lang w:val="en-GB"/>
        </w:rPr>
      </w:pPr>
      <w:r w:rsidRPr="000B4E2C">
        <w:rPr>
          <w:rFonts w:eastAsia="Calibri"/>
          <w:szCs w:val="24"/>
          <w:highlight w:val="green"/>
          <w:lang w:val="en-GB"/>
        </w:rPr>
        <w:t xml:space="preserve">Zelt, J. G. E., Mielniczuk, L. M., Liu, P. P., Dupuis, J. Y., Chih, S., Akbari, A. and Sun, L. Y. Utility of novel cardiorenal biomarkers in the prediction and early detection of congestive kidney injury following cardiac surgery. </w:t>
      </w:r>
      <w:r w:rsidRPr="000B4E2C">
        <w:rPr>
          <w:rFonts w:eastAsia="Calibri"/>
          <w:i/>
          <w:iCs/>
          <w:szCs w:val="24"/>
          <w:highlight w:val="green"/>
          <w:lang w:val="en-GB"/>
        </w:rPr>
        <w:t>Journal of Clinical Medicine</w:t>
      </w:r>
      <w:r w:rsidRPr="000B4E2C">
        <w:rPr>
          <w:rFonts w:eastAsia="Calibri"/>
          <w:szCs w:val="24"/>
          <w:highlight w:val="green"/>
          <w:lang w:val="en-GB"/>
        </w:rPr>
        <w:t>, 7(12), 540, 2018. [16988]</w:t>
      </w:r>
    </w:p>
    <w:p w14:paraId="58131577" w14:textId="77777777" w:rsidR="002F0133" w:rsidRPr="000B4E2C" w:rsidRDefault="002F0133" w:rsidP="008A7464">
      <w:pPr>
        <w:rPr>
          <w:rFonts w:eastAsia="Calibri"/>
          <w:b/>
          <w:szCs w:val="24"/>
          <w:highlight w:val="green"/>
          <w:lang w:val="en-GB"/>
        </w:rPr>
      </w:pPr>
    </w:p>
    <w:p w14:paraId="6F2B675F" w14:textId="77777777" w:rsidR="002F0133" w:rsidRPr="000B4E2C" w:rsidRDefault="002F0133" w:rsidP="008A7464">
      <w:pPr>
        <w:rPr>
          <w:rFonts w:eastAsia="Calibri"/>
          <w:b/>
          <w:szCs w:val="24"/>
          <w:highlight w:val="green"/>
          <w:lang w:val="en-GB"/>
        </w:rPr>
      </w:pPr>
      <w:r w:rsidRPr="000B4E2C">
        <w:rPr>
          <w:rFonts w:eastAsia="Calibri"/>
          <w:b/>
          <w:szCs w:val="24"/>
          <w:highlight w:val="green"/>
          <w:lang w:val="en-GB"/>
        </w:rPr>
        <w:t>Zwiers 2015</w:t>
      </w:r>
    </w:p>
    <w:p w14:paraId="6F298BFD" w14:textId="77777777" w:rsidR="002F0133" w:rsidRPr="000B4E2C" w:rsidRDefault="002F0133" w:rsidP="008A7464">
      <w:pPr>
        <w:widowControl w:val="0"/>
        <w:autoSpaceDE w:val="0"/>
        <w:autoSpaceDN w:val="0"/>
        <w:adjustRightInd w:val="0"/>
        <w:rPr>
          <w:rFonts w:eastAsia="Calibri"/>
          <w:szCs w:val="24"/>
          <w:highlight w:val="green"/>
          <w:lang w:val="en-GB"/>
        </w:rPr>
      </w:pPr>
    </w:p>
    <w:p w14:paraId="770AE88D" w14:textId="77777777" w:rsidR="000B4E2C" w:rsidRPr="000B4E2C" w:rsidRDefault="002F0133" w:rsidP="008A7464">
      <w:pPr>
        <w:widowControl w:val="0"/>
        <w:autoSpaceDE w:val="0"/>
        <w:autoSpaceDN w:val="0"/>
        <w:adjustRightInd w:val="0"/>
        <w:rPr>
          <w:rFonts w:eastAsia="Calibri"/>
          <w:szCs w:val="24"/>
          <w:lang w:val="en-GB"/>
        </w:rPr>
      </w:pPr>
      <w:r w:rsidRPr="000B4E2C">
        <w:rPr>
          <w:rFonts w:eastAsia="Calibri"/>
          <w:szCs w:val="24"/>
          <w:highlight w:val="green"/>
          <w:lang w:val="en-GB"/>
        </w:rPr>
        <w:t xml:space="preserve">Zwiers, A. J. M., De Wildt, S. N., Van Rosmalen, J., De Rijke, Y. B., Buijs, E. a. B., Tibboel, D. and Cransberg, K. Urinary neutrophil gelatinase-associated lipocalin identifies critically ill young children with acute kidney injury following intensive care admission: A prospective cohort study. </w:t>
      </w:r>
      <w:r w:rsidRPr="000B4E2C">
        <w:rPr>
          <w:rFonts w:eastAsia="Calibri"/>
          <w:i/>
          <w:iCs/>
          <w:szCs w:val="24"/>
          <w:highlight w:val="green"/>
          <w:lang w:val="en-GB"/>
        </w:rPr>
        <w:t>Critical Care</w:t>
      </w:r>
      <w:r w:rsidRPr="000B4E2C">
        <w:rPr>
          <w:rFonts w:eastAsia="Calibri"/>
          <w:szCs w:val="24"/>
          <w:highlight w:val="green"/>
          <w:lang w:val="en-GB"/>
        </w:rPr>
        <w:t>, 19(1), 181, 2015. [17018]</w:t>
      </w:r>
    </w:p>
    <w:p w14:paraId="22D43CB2" w14:textId="77777777" w:rsidR="000B4E2C" w:rsidRPr="000B4E2C" w:rsidRDefault="002F0133" w:rsidP="008A7464">
      <w:pPr>
        <w:pStyle w:val="Heading2"/>
      </w:pPr>
      <w:r w:rsidRPr="000B4E2C">
        <w:t>Appendix 7</w:t>
      </w:r>
      <w:r w:rsidR="000B4E2C" w:rsidRPr="000B4E2C">
        <w:t xml:space="preserve"> </w:t>
      </w:r>
      <w:r w:rsidRPr="000B4E2C">
        <w:t>Excluded studies</w:t>
      </w:r>
    </w:p>
    <w:p w14:paraId="3999119D" w14:textId="79CC0B39" w:rsidR="002F0133" w:rsidRPr="000B4E2C" w:rsidRDefault="000B4E2C" w:rsidP="008A7464">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26</w:t>
      </w:r>
      <w:r w:rsidRPr="000B4E2C">
        <w:t xml:space="preserve"> </w:t>
      </w:r>
      <w:r w:rsidR="002F0133" w:rsidRPr="000B4E2C">
        <w:t>List of excluded studies</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518"/>
        <w:gridCol w:w="203"/>
        <w:gridCol w:w="1981"/>
        <w:gridCol w:w="6329"/>
      </w:tblGrid>
      <w:tr w:rsidR="002F0133" w:rsidRPr="000B4E2C" w14:paraId="05D786A3" w14:textId="77777777" w:rsidTr="000B4E2C">
        <w:trPr>
          <w:cantSplit/>
        </w:trPr>
        <w:tc>
          <w:tcPr>
            <w:tcW w:w="0" w:type="auto"/>
            <w:shd w:val="clear" w:color="auto" w:fill="auto"/>
            <w:hideMark/>
          </w:tcPr>
          <w:p w14:paraId="40457A65" w14:textId="77777777" w:rsidR="002F0133" w:rsidRPr="000B4E2C" w:rsidRDefault="002F0133" w:rsidP="008A7464">
            <w:pPr>
              <w:rPr>
                <w:b/>
                <w:lang w:eastAsia="en-GB"/>
              </w:rPr>
            </w:pPr>
            <w:r w:rsidRPr="000B4E2C">
              <w:rPr>
                <w:b/>
                <w:lang w:eastAsia="en-GB"/>
              </w:rPr>
              <w:t>First aut+A1:J918hor</w:t>
            </w:r>
          </w:p>
        </w:tc>
        <w:tc>
          <w:tcPr>
            <w:tcW w:w="0" w:type="auto"/>
            <w:shd w:val="clear" w:color="auto" w:fill="auto"/>
            <w:hideMark/>
          </w:tcPr>
          <w:p w14:paraId="44753DAC" w14:textId="77777777" w:rsidR="002F0133" w:rsidRPr="000B4E2C" w:rsidRDefault="002F0133" w:rsidP="008A7464">
            <w:pPr>
              <w:jc w:val="center"/>
              <w:rPr>
                <w:b/>
                <w:lang w:eastAsia="en-GB"/>
              </w:rPr>
            </w:pPr>
            <w:r w:rsidRPr="000B4E2C">
              <w:rPr>
                <w:b/>
                <w:lang w:eastAsia="en-GB"/>
              </w:rPr>
              <w:t>Year</w:t>
            </w:r>
          </w:p>
        </w:tc>
        <w:tc>
          <w:tcPr>
            <w:tcW w:w="0" w:type="auto"/>
            <w:shd w:val="clear" w:color="auto" w:fill="auto"/>
            <w:hideMark/>
          </w:tcPr>
          <w:p w14:paraId="60CBC62D" w14:textId="77777777" w:rsidR="002F0133" w:rsidRPr="000B4E2C" w:rsidRDefault="002F0133" w:rsidP="008A7464">
            <w:pPr>
              <w:jc w:val="center"/>
              <w:rPr>
                <w:b/>
                <w:lang w:eastAsia="en-GB"/>
              </w:rPr>
            </w:pPr>
            <w:r w:rsidRPr="000B4E2C">
              <w:rPr>
                <w:b/>
                <w:lang w:eastAsia="en-GB"/>
              </w:rPr>
              <w:t>Reason for exclusion</w:t>
            </w:r>
          </w:p>
        </w:tc>
        <w:tc>
          <w:tcPr>
            <w:tcW w:w="0" w:type="auto"/>
            <w:shd w:val="clear" w:color="auto" w:fill="auto"/>
            <w:hideMark/>
          </w:tcPr>
          <w:p w14:paraId="047E8C43" w14:textId="77777777" w:rsidR="002F0133" w:rsidRPr="000B4E2C" w:rsidRDefault="002F0133" w:rsidP="008A7464">
            <w:pPr>
              <w:rPr>
                <w:b/>
                <w:lang w:eastAsia="en-GB"/>
              </w:rPr>
            </w:pPr>
            <w:r w:rsidRPr="000B4E2C">
              <w:rPr>
                <w:b/>
                <w:lang w:eastAsia="en-GB"/>
              </w:rPr>
              <w:t>Reference</w:t>
            </w:r>
          </w:p>
        </w:tc>
      </w:tr>
      <w:tr w:rsidR="002F0133" w:rsidRPr="000B4E2C" w14:paraId="51B5EF71" w14:textId="77777777" w:rsidTr="000B4E2C">
        <w:trPr>
          <w:cantSplit/>
        </w:trPr>
        <w:tc>
          <w:tcPr>
            <w:tcW w:w="0" w:type="auto"/>
            <w:shd w:val="clear" w:color="auto" w:fill="auto"/>
            <w:noWrap/>
            <w:hideMark/>
          </w:tcPr>
          <w:p w14:paraId="3854D9B5" w14:textId="77777777" w:rsidR="002F0133" w:rsidRPr="000B4E2C" w:rsidRDefault="002F0133" w:rsidP="008A7464">
            <w:pPr>
              <w:rPr>
                <w:lang w:eastAsia="en-GB"/>
              </w:rPr>
            </w:pPr>
            <w:r w:rsidRPr="000B4E2C">
              <w:rPr>
                <w:lang w:eastAsia="en-GB"/>
              </w:rPr>
              <w:t>Abassi</w:t>
            </w:r>
          </w:p>
        </w:tc>
        <w:tc>
          <w:tcPr>
            <w:tcW w:w="0" w:type="auto"/>
            <w:shd w:val="clear" w:color="auto" w:fill="auto"/>
            <w:noWrap/>
            <w:hideMark/>
          </w:tcPr>
          <w:p w14:paraId="2A30BAF7"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2A8150C7" w14:textId="32AB2A7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E049ADD" w14:textId="77777777" w:rsidR="002F0133" w:rsidRPr="000B4E2C" w:rsidRDefault="002F0133" w:rsidP="008A7464">
            <w:pPr>
              <w:rPr>
                <w:highlight w:val="green"/>
                <w:lang w:eastAsia="en-GB"/>
              </w:rPr>
            </w:pPr>
            <w:r w:rsidRPr="000B4E2C">
              <w:rPr>
                <w:highlight w:val="green"/>
                <w:lang w:eastAsia="en-GB"/>
              </w:rPr>
              <w:t>Z. Abassi, A. Shalabi, R. Sohotnik, O. Natev, H. Awad, B. Bishara, V. Frajewicki, I. Sukhotnik, A. Abbasi and O. Nativ. Urinary NGAL and KIM-1: Biomarkers for assessment of acute ischemic kidney injury following nephron sparing surgery. Journal of Urology, 189(4), 1559-1566. [14922]</w:t>
            </w:r>
          </w:p>
        </w:tc>
      </w:tr>
      <w:tr w:rsidR="002F0133" w:rsidRPr="000B4E2C" w14:paraId="70D1C322" w14:textId="77777777" w:rsidTr="000B4E2C">
        <w:trPr>
          <w:cantSplit/>
        </w:trPr>
        <w:tc>
          <w:tcPr>
            <w:tcW w:w="0" w:type="auto"/>
            <w:shd w:val="clear" w:color="auto" w:fill="auto"/>
            <w:noWrap/>
            <w:hideMark/>
          </w:tcPr>
          <w:p w14:paraId="4BAFB61D" w14:textId="77777777" w:rsidR="002F0133" w:rsidRPr="000B4E2C" w:rsidRDefault="002F0133" w:rsidP="008A7464">
            <w:pPr>
              <w:rPr>
                <w:lang w:eastAsia="en-GB"/>
              </w:rPr>
            </w:pPr>
            <w:r w:rsidRPr="000B4E2C">
              <w:rPr>
                <w:lang w:eastAsia="en-GB"/>
              </w:rPr>
              <w:t>Abdelsalam</w:t>
            </w:r>
          </w:p>
        </w:tc>
        <w:tc>
          <w:tcPr>
            <w:tcW w:w="0" w:type="auto"/>
            <w:shd w:val="clear" w:color="auto" w:fill="auto"/>
            <w:noWrap/>
            <w:hideMark/>
          </w:tcPr>
          <w:p w14:paraId="2EEA5E3D"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02E0C9E"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1A70E06" w14:textId="77777777" w:rsidR="002F0133" w:rsidRPr="000B4E2C" w:rsidRDefault="002F0133" w:rsidP="008A7464">
            <w:pPr>
              <w:rPr>
                <w:highlight w:val="green"/>
                <w:lang w:eastAsia="en-GB"/>
              </w:rPr>
            </w:pPr>
            <w:r w:rsidRPr="000B4E2C">
              <w:rPr>
                <w:highlight w:val="green"/>
                <w:lang w:eastAsia="en-GB"/>
              </w:rPr>
              <w:t>M. Abdelsalam, E. Elmorsy, H. Abdelwahab, O. Algohary, M. Naguib, A. A. El Wahab, A. Eldeeb, E. Eltoraby, A. Abdelsalam, A. Sabry, M. El-Metwally, M. Akl, N. Anber, M. El Sayed Zaki, F. Almutairi and T. Mansour. Urinary biomarkers for early detection of platinum based drugs induced nephrotoxicity. BMC Nephrology, 19(1), 1022. [14926]</w:t>
            </w:r>
          </w:p>
        </w:tc>
      </w:tr>
      <w:tr w:rsidR="002F0133" w:rsidRPr="000B4E2C" w14:paraId="671F879D" w14:textId="77777777" w:rsidTr="000B4E2C">
        <w:trPr>
          <w:cantSplit/>
        </w:trPr>
        <w:tc>
          <w:tcPr>
            <w:tcW w:w="0" w:type="auto"/>
            <w:shd w:val="clear" w:color="auto" w:fill="auto"/>
            <w:noWrap/>
            <w:hideMark/>
          </w:tcPr>
          <w:p w14:paraId="3A37F014" w14:textId="77777777" w:rsidR="002F0133" w:rsidRPr="000B4E2C" w:rsidRDefault="002F0133" w:rsidP="008A7464">
            <w:pPr>
              <w:rPr>
                <w:lang w:eastAsia="en-GB"/>
              </w:rPr>
            </w:pPr>
            <w:r w:rsidRPr="000B4E2C">
              <w:rPr>
                <w:lang w:eastAsia="en-GB"/>
              </w:rPr>
              <w:t>Aberg</w:t>
            </w:r>
          </w:p>
        </w:tc>
        <w:tc>
          <w:tcPr>
            <w:tcW w:w="0" w:type="auto"/>
            <w:shd w:val="clear" w:color="auto" w:fill="auto"/>
            <w:noWrap/>
            <w:hideMark/>
          </w:tcPr>
          <w:p w14:paraId="0F020B81"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5C801E57"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3A18DE93" w14:textId="77777777" w:rsidR="002F0133" w:rsidRPr="000B4E2C" w:rsidRDefault="002F0133" w:rsidP="008A7464">
            <w:pPr>
              <w:rPr>
                <w:highlight w:val="green"/>
                <w:lang w:eastAsia="en-GB"/>
              </w:rPr>
            </w:pPr>
            <w:r w:rsidRPr="000B4E2C">
              <w:rPr>
                <w:highlight w:val="green"/>
                <w:lang w:eastAsia="en-GB"/>
              </w:rPr>
              <w:t>F. Aberg, M. Lempinen, M. Hollmen, A. Nordin, H. Makisalo and H. Isoniemi. Neutrophil gelatinase-associated lipocalin associated with irreversibility of pre-liver transplant kidney dysfunction. Clinical Transplantation, 28(8), 869-876. [14927]</w:t>
            </w:r>
          </w:p>
        </w:tc>
      </w:tr>
      <w:tr w:rsidR="002F0133" w:rsidRPr="000B4E2C" w14:paraId="1100FFF0" w14:textId="77777777" w:rsidTr="000B4E2C">
        <w:trPr>
          <w:cantSplit/>
        </w:trPr>
        <w:tc>
          <w:tcPr>
            <w:tcW w:w="0" w:type="auto"/>
            <w:shd w:val="clear" w:color="auto" w:fill="auto"/>
            <w:noWrap/>
            <w:hideMark/>
          </w:tcPr>
          <w:p w14:paraId="3FA2868D" w14:textId="77777777" w:rsidR="002F0133" w:rsidRPr="000B4E2C" w:rsidRDefault="002F0133" w:rsidP="008A7464">
            <w:pPr>
              <w:rPr>
                <w:lang w:eastAsia="en-GB"/>
              </w:rPr>
            </w:pPr>
            <w:r w:rsidRPr="000B4E2C">
              <w:rPr>
                <w:lang w:eastAsia="en-GB"/>
              </w:rPr>
              <w:t>Adams</w:t>
            </w:r>
          </w:p>
        </w:tc>
        <w:tc>
          <w:tcPr>
            <w:tcW w:w="0" w:type="auto"/>
            <w:shd w:val="clear" w:color="auto" w:fill="auto"/>
            <w:noWrap/>
            <w:hideMark/>
          </w:tcPr>
          <w:p w14:paraId="59109401"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6C0AE0D3" w14:textId="0406277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85FDF28" w14:textId="77777777" w:rsidR="002F0133" w:rsidRPr="000B4E2C" w:rsidRDefault="002F0133" w:rsidP="008A7464">
            <w:pPr>
              <w:rPr>
                <w:highlight w:val="green"/>
                <w:lang w:eastAsia="en-GB"/>
              </w:rPr>
            </w:pPr>
            <w:r w:rsidRPr="000B4E2C">
              <w:rPr>
                <w:highlight w:val="green"/>
                <w:lang w:eastAsia="en-GB"/>
              </w:rPr>
              <w:t>P. S. Adams, D. Vargas, T. Baust, L. Saenz, W. Koh, B. Blasiole, P. M. Callahan, A. S. Phadke, K. N. Nguyen, Y. Domnina, M. Sharma, J. A. Kellum and J. Sanchez-de-Toledo. Associations of Perioperative Renal Oximetry Via Near-Infrared Spectroscopy, Urinary Biomarkers, and Postoperative Acute Kidney Injury in Infants After Congenital Heart Surgery: Should Creatinine Continue to Be the Gold Standard?. Pediatric critical care medicine, 20(1), 27-37. [14930]</w:t>
            </w:r>
          </w:p>
        </w:tc>
      </w:tr>
      <w:tr w:rsidR="002F0133" w:rsidRPr="000B4E2C" w14:paraId="5BF00572" w14:textId="77777777" w:rsidTr="000B4E2C">
        <w:trPr>
          <w:cantSplit/>
        </w:trPr>
        <w:tc>
          <w:tcPr>
            <w:tcW w:w="0" w:type="auto"/>
            <w:shd w:val="clear" w:color="auto" w:fill="auto"/>
            <w:noWrap/>
            <w:hideMark/>
          </w:tcPr>
          <w:p w14:paraId="6E675E25" w14:textId="77777777" w:rsidR="002F0133" w:rsidRPr="000B4E2C" w:rsidRDefault="002F0133" w:rsidP="008A7464">
            <w:pPr>
              <w:rPr>
                <w:lang w:eastAsia="en-GB"/>
              </w:rPr>
            </w:pPr>
            <w:r w:rsidRPr="000B4E2C">
              <w:rPr>
                <w:lang w:eastAsia="en-GB"/>
              </w:rPr>
              <w:t>Adler</w:t>
            </w:r>
          </w:p>
        </w:tc>
        <w:tc>
          <w:tcPr>
            <w:tcW w:w="0" w:type="auto"/>
            <w:shd w:val="clear" w:color="auto" w:fill="auto"/>
            <w:noWrap/>
            <w:hideMark/>
          </w:tcPr>
          <w:p w14:paraId="0E93A7FB"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51A00972" w14:textId="2B3FA38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3973C46" w14:textId="77777777" w:rsidR="002F0133" w:rsidRPr="000B4E2C" w:rsidRDefault="002F0133" w:rsidP="008A7464">
            <w:pPr>
              <w:rPr>
                <w:highlight w:val="green"/>
                <w:lang w:eastAsia="en-GB"/>
              </w:rPr>
            </w:pPr>
            <w:r w:rsidRPr="000B4E2C">
              <w:rPr>
                <w:highlight w:val="green"/>
                <w:lang w:eastAsia="en-GB"/>
              </w:rPr>
              <w:t>C. Adler, T. Heller, F. Schregel, H. Hagmann, M. Hellmich, J. Adler and H. Reuter. TIMP-2/IGFBP7 predicts acute kidney injury in out-of-hospital cardiac arrest survivors. Critical Care, 22(1), 126. [14932]</w:t>
            </w:r>
          </w:p>
        </w:tc>
      </w:tr>
      <w:tr w:rsidR="002F0133" w:rsidRPr="000B4E2C" w14:paraId="437D431F" w14:textId="77777777" w:rsidTr="000B4E2C">
        <w:trPr>
          <w:cantSplit/>
        </w:trPr>
        <w:tc>
          <w:tcPr>
            <w:tcW w:w="0" w:type="auto"/>
            <w:shd w:val="clear" w:color="auto" w:fill="auto"/>
            <w:noWrap/>
            <w:hideMark/>
          </w:tcPr>
          <w:p w14:paraId="220DD336" w14:textId="77777777" w:rsidR="002F0133" w:rsidRPr="000B4E2C" w:rsidRDefault="002F0133" w:rsidP="008A7464">
            <w:pPr>
              <w:rPr>
                <w:lang w:eastAsia="en-GB"/>
              </w:rPr>
            </w:pPr>
            <w:r w:rsidRPr="000B4E2C">
              <w:rPr>
                <w:lang w:eastAsia="en-GB"/>
              </w:rPr>
              <w:t>Afify</w:t>
            </w:r>
          </w:p>
        </w:tc>
        <w:tc>
          <w:tcPr>
            <w:tcW w:w="0" w:type="auto"/>
            <w:shd w:val="clear" w:color="auto" w:fill="auto"/>
            <w:noWrap/>
            <w:hideMark/>
          </w:tcPr>
          <w:p w14:paraId="076C8E92"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AA6233F" w14:textId="7821C80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2A3082C" w14:textId="77777777" w:rsidR="002F0133" w:rsidRPr="000B4E2C" w:rsidRDefault="002F0133" w:rsidP="008A7464">
            <w:pPr>
              <w:rPr>
                <w:highlight w:val="green"/>
                <w:lang w:eastAsia="en-GB"/>
              </w:rPr>
            </w:pPr>
            <w:r w:rsidRPr="000B4E2C">
              <w:rPr>
                <w:highlight w:val="green"/>
                <w:lang w:eastAsia="en-GB"/>
              </w:rPr>
              <w:t>M. F. M. Afify, S. E. Maher, N. M. Ibrahim and W. M. A. El-Hamied. Serum Neutrophil Gelatinase-Associated Lipocalin in Infants and Children with Sepsis-Related Conditions with or without Acute Renal Dysfunction. Clinical medicine insights. Pediatrics, 10(85-9. [14933]</w:t>
            </w:r>
          </w:p>
        </w:tc>
      </w:tr>
      <w:tr w:rsidR="002F0133" w:rsidRPr="000B4E2C" w14:paraId="4A440EF1" w14:textId="77777777" w:rsidTr="000B4E2C">
        <w:trPr>
          <w:cantSplit/>
        </w:trPr>
        <w:tc>
          <w:tcPr>
            <w:tcW w:w="0" w:type="auto"/>
            <w:shd w:val="clear" w:color="auto" w:fill="auto"/>
            <w:noWrap/>
            <w:hideMark/>
          </w:tcPr>
          <w:p w14:paraId="3784CC83" w14:textId="77777777" w:rsidR="002F0133" w:rsidRPr="000B4E2C" w:rsidRDefault="002F0133" w:rsidP="008A7464">
            <w:pPr>
              <w:rPr>
                <w:lang w:eastAsia="en-GB"/>
              </w:rPr>
            </w:pPr>
            <w:r w:rsidRPr="000B4E2C">
              <w:rPr>
                <w:lang w:eastAsia="en-GB"/>
              </w:rPr>
              <w:t>Afzal</w:t>
            </w:r>
          </w:p>
        </w:tc>
        <w:tc>
          <w:tcPr>
            <w:tcW w:w="0" w:type="auto"/>
            <w:shd w:val="clear" w:color="auto" w:fill="auto"/>
            <w:noWrap/>
            <w:hideMark/>
          </w:tcPr>
          <w:p w14:paraId="7CA69CAC"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ED55F95"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7AC09C96" w14:textId="77777777" w:rsidR="002F0133" w:rsidRPr="000B4E2C" w:rsidRDefault="002F0133" w:rsidP="008A7464">
            <w:pPr>
              <w:rPr>
                <w:highlight w:val="green"/>
                <w:lang w:eastAsia="en-GB"/>
              </w:rPr>
            </w:pPr>
            <w:r w:rsidRPr="000B4E2C">
              <w:rPr>
                <w:highlight w:val="green"/>
                <w:lang w:eastAsia="en-GB"/>
              </w:rPr>
              <w:t>A. Afzal, R. C. Vallabhan and P. A. McCullough. Acute kidney injury in cardiogenic shock: in search of early detection and clinical certainty. European Journal of Heart Failure, 20(3), 582-584. [14934]</w:t>
            </w:r>
          </w:p>
        </w:tc>
      </w:tr>
      <w:tr w:rsidR="002F0133" w:rsidRPr="000B4E2C" w14:paraId="107B5531" w14:textId="77777777" w:rsidTr="000B4E2C">
        <w:trPr>
          <w:cantSplit/>
        </w:trPr>
        <w:tc>
          <w:tcPr>
            <w:tcW w:w="0" w:type="auto"/>
            <w:shd w:val="clear" w:color="auto" w:fill="auto"/>
            <w:noWrap/>
            <w:hideMark/>
          </w:tcPr>
          <w:p w14:paraId="2FFE157C" w14:textId="77777777" w:rsidR="002F0133" w:rsidRPr="000B4E2C" w:rsidRDefault="002F0133" w:rsidP="008A7464">
            <w:pPr>
              <w:rPr>
                <w:lang w:eastAsia="en-GB"/>
              </w:rPr>
            </w:pPr>
            <w:r w:rsidRPr="000B4E2C">
              <w:rPr>
                <w:lang w:eastAsia="en-GB"/>
              </w:rPr>
              <w:lastRenderedPageBreak/>
              <w:t>Aghel</w:t>
            </w:r>
          </w:p>
        </w:tc>
        <w:tc>
          <w:tcPr>
            <w:tcW w:w="0" w:type="auto"/>
            <w:shd w:val="clear" w:color="auto" w:fill="auto"/>
            <w:noWrap/>
            <w:hideMark/>
          </w:tcPr>
          <w:p w14:paraId="418AF908"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0B809096" w14:textId="168D776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E377473" w14:textId="77777777" w:rsidR="002F0133" w:rsidRPr="000B4E2C" w:rsidRDefault="002F0133" w:rsidP="008A7464">
            <w:pPr>
              <w:rPr>
                <w:highlight w:val="green"/>
                <w:lang w:eastAsia="en-GB"/>
              </w:rPr>
            </w:pPr>
            <w:r w:rsidRPr="000B4E2C">
              <w:rPr>
                <w:highlight w:val="green"/>
                <w:lang w:eastAsia="en-GB"/>
              </w:rPr>
              <w:t>A. Aghel, K. Shrestha, W. Mullens, A. Borowski and W. H. W. Tang. Serum Neutrophil Gelatinase-Associated Lipocalin (NGAL) in Predicting Worsening Renal Function in Acute Decompensated Heart Failure. Journal of Cardiac Failure, 16(1), 49-54. [14935]</w:t>
            </w:r>
          </w:p>
        </w:tc>
      </w:tr>
      <w:tr w:rsidR="002F0133" w:rsidRPr="000B4E2C" w14:paraId="782481D8" w14:textId="77777777" w:rsidTr="000B4E2C">
        <w:trPr>
          <w:cantSplit/>
        </w:trPr>
        <w:tc>
          <w:tcPr>
            <w:tcW w:w="0" w:type="auto"/>
            <w:shd w:val="clear" w:color="auto" w:fill="auto"/>
            <w:noWrap/>
            <w:hideMark/>
          </w:tcPr>
          <w:p w14:paraId="6680047A" w14:textId="77777777" w:rsidR="002F0133" w:rsidRPr="000B4E2C" w:rsidRDefault="002F0133" w:rsidP="008A7464">
            <w:pPr>
              <w:rPr>
                <w:lang w:eastAsia="en-GB"/>
              </w:rPr>
            </w:pPr>
            <w:r w:rsidRPr="000B4E2C">
              <w:rPr>
                <w:lang w:eastAsia="en-GB"/>
              </w:rPr>
              <w:t>Ahmad</w:t>
            </w:r>
          </w:p>
        </w:tc>
        <w:tc>
          <w:tcPr>
            <w:tcW w:w="0" w:type="auto"/>
            <w:shd w:val="clear" w:color="auto" w:fill="auto"/>
            <w:noWrap/>
            <w:hideMark/>
          </w:tcPr>
          <w:p w14:paraId="5838A7B1"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086164F"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0312827C" w14:textId="6EF0EA47" w:rsidR="002F0133" w:rsidRPr="000B4E2C" w:rsidRDefault="002F0133" w:rsidP="008A7464">
            <w:pPr>
              <w:rPr>
                <w:highlight w:val="green"/>
                <w:lang w:eastAsia="en-GB"/>
              </w:rPr>
            </w:pPr>
            <w:r w:rsidRPr="000B4E2C">
              <w:rPr>
                <w:highlight w:val="green"/>
                <w:lang w:eastAsia="en-GB"/>
              </w:rPr>
              <w:t>T. Ahmad, T. Wang, E. C. O</w:t>
            </w:r>
            <w:r w:rsidR="0072128A" w:rsidRPr="000B4E2C">
              <w:rPr>
                <w:color w:val="00B0F0"/>
                <w:highlight w:val="green"/>
                <w:lang w:eastAsia="en-GB"/>
              </w:rPr>
              <w:t>’</w:t>
            </w:r>
            <w:r w:rsidRPr="000B4E2C">
              <w:rPr>
                <w:highlight w:val="green"/>
                <w:lang w:eastAsia="en-GB"/>
              </w:rPr>
              <w:t>Brien, M. D. Samsky, J. A. Pura, Y. Lokhnygina, J. G. Rogers, A. F. Hernandez, D. Craig, D. E. Bowles, C. A. Milano, S. H. Shah, J. L. Januzzi, G. M. Felker and C. B. Patel. Effects of left ventricular assist device support on biomarkers of cardiovascular stress, fibrosis, fluid homeostasis, inflammation, and renal injury. JACC: Heart Failure, 3(1), 30-39. [14937]</w:t>
            </w:r>
          </w:p>
        </w:tc>
      </w:tr>
      <w:tr w:rsidR="002F0133" w:rsidRPr="000B4E2C" w14:paraId="0D03073B" w14:textId="77777777" w:rsidTr="000B4E2C">
        <w:trPr>
          <w:cantSplit/>
        </w:trPr>
        <w:tc>
          <w:tcPr>
            <w:tcW w:w="0" w:type="auto"/>
            <w:shd w:val="clear" w:color="auto" w:fill="auto"/>
            <w:noWrap/>
            <w:hideMark/>
          </w:tcPr>
          <w:p w14:paraId="2B964185" w14:textId="77777777" w:rsidR="002F0133" w:rsidRPr="000B4E2C" w:rsidRDefault="002F0133" w:rsidP="008A7464">
            <w:pPr>
              <w:rPr>
                <w:lang w:eastAsia="en-GB"/>
              </w:rPr>
            </w:pPr>
            <w:r w:rsidRPr="000B4E2C">
              <w:rPr>
                <w:lang w:eastAsia="en-GB"/>
              </w:rPr>
              <w:t>Ahmad</w:t>
            </w:r>
          </w:p>
        </w:tc>
        <w:tc>
          <w:tcPr>
            <w:tcW w:w="0" w:type="auto"/>
            <w:shd w:val="clear" w:color="auto" w:fill="auto"/>
            <w:noWrap/>
            <w:hideMark/>
          </w:tcPr>
          <w:p w14:paraId="3E5C5412"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7121EB0"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0D303236" w14:textId="0189291C" w:rsidR="002F0133" w:rsidRPr="000B4E2C" w:rsidRDefault="002F0133" w:rsidP="008A7464">
            <w:pPr>
              <w:rPr>
                <w:highlight w:val="green"/>
                <w:lang w:eastAsia="en-GB"/>
              </w:rPr>
            </w:pPr>
            <w:r w:rsidRPr="000B4E2C">
              <w:rPr>
                <w:highlight w:val="green"/>
                <w:lang w:eastAsia="en-GB"/>
              </w:rPr>
              <w:t>T. Ahmad, K. Jackson, V. S. Rao, W. H. W. Tang, M. A. Brisco-Bacik, H. H. Chen, G. M. Felker, A. F. Hernandez, C. M. O</w:t>
            </w:r>
            <w:r w:rsidR="0072128A" w:rsidRPr="000B4E2C">
              <w:rPr>
                <w:color w:val="00B0F0"/>
                <w:highlight w:val="green"/>
                <w:lang w:eastAsia="en-GB"/>
              </w:rPr>
              <w:t>’</w:t>
            </w:r>
            <w:r w:rsidRPr="000B4E2C">
              <w:rPr>
                <w:highlight w:val="green"/>
                <w:lang w:eastAsia="en-GB"/>
              </w:rPr>
              <w:t>Connor, V. S. Sabbisetti, J. V. Bonventre, F. P. Wilson, S. G. Coca and J. M. Testani. Worsening renal function in patients with acute heart failure undergoing aggressive diuresis is not associated with tubular injury. Circulation, 137(19), 2016-2028. [14936]</w:t>
            </w:r>
          </w:p>
        </w:tc>
      </w:tr>
      <w:tr w:rsidR="002F0133" w:rsidRPr="000B4E2C" w14:paraId="3411BB95" w14:textId="77777777" w:rsidTr="000B4E2C">
        <w:trPr>
          <w:cantSplit/>
        </w:trPr>
        <w:tc>
          <w:tcPr>
            <w:tcW w:w="0" w:type="auto"/>
            <w:shd w:val="clear" w:color="auto" w:fill="auto"/>
            <w:noWrap/>
            <w:hideMark/>
          </w:tcPr>
          <w:p w14:paraId="48390C18" w14:textId="77777777" w:rsidR="002F0133" w:rsidRPr="000B4E2C" w:rsidRDefault="002F0133" w:rsidP="008A7464">
            <w:pPr>
              <w:rPr>
                <w:lang w:eastAsia="en-GB"/>
              </w:rPr>
            </w:pPr>
            <w:r w:rsidRPr="000B4E2C">
              <w:rPr>
                <w:lang w:eastAsia="en-GB"/>
              </w:rPr>
              <w:t>Ahmed</w:t>
            </w:r>
          </w:p>
        </w:tc>
        <w:tc>
          <w:tcPr>
            <w:tcW w:w="0" w:type="auto"/>
            <w:shd w:val="clear" w:color="auto" w:fill="auto"/>
            <w:noWrap/>
            <w:hideMark/>
          </w:tcPr>
          <w:p w14:paraId="4F91CE42"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27A29624"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2366A697" w14:textId="77777777" w:rsidR="002F0133" w:rsidRPr="000B4E2C" w:rsidRDefault="002F0133" w:rsidP="008A7464">
            <w:pPr>
              <w:rPr>
                <w:highlight w:val="green"/>
                <w:lang w:eastAsia="en-GB"/>
              </w:rPr>
            </w:pPr>
            <w:r w:rsidRPr="000B4E2C">
              <w:rPr>
                <w:highlight w:val="green"/>
                <w:lang w:eastAsia="en-GB"/>
              </w:rPr>
              <w:t>M. S. Ahmed, R. Lim, V. Selvaratnam, A. James, P. O. Kelly, K. A. Abraham and C. F. Wong. Survival akin to injury, hospitalized patients with acute kidney injury based on the AKIN classification. Clinical nephrology, 78(5), 370-375. [18365]</w:t>
            </w:r>
          </w:p>
        </w:tc>
      </w:tr>
      <w:tr w:rsidR="002F0133" w:rsidRPr="000B4E2C" w14:paraId="3E49BD2B" w14:textId="77777777" w:rsidTr="000B4E2C">
        <w:trPr>
          <w:cantSplit/>
        </w:trPr>
        <w:tc>
          <w:tcPr>
            <w:tcW w:w="0" w:type="auto"/>
            <w:shd w:val="clear" w:color="auto" w:fill="auto"/>
            <w:noWrap/>
            <w:hideMark/>
          </w:tcPr>
          <w:p w14:paraId="27561CF8" w14:textId="77777777" w:rsidR="002F0133" w:rsidRPr="000B4E2C" w:rsidRDefault="002F0133" w:rsidP="008A7464">
            <w:pPr>
              <w:rPr>
                <w:lang w:eastAsia="en-GB"/>
              </w:rPr>
            </w:pPr>
            <w:r w:rsidRPr="000B4E2C">
              <w:rPr>
                <w:lang w:eastAsia="en-GB"/>
              </w:rPr>
              <w:t>Ahmed</w:t>
            </w:r>
          </w:p>
        </w:tc>
        <w:tc>
          <w:tcPr>
            <w:tcW w:w="0" w:type="auto"/>
            <w:shd w:val="clear" w:color="auto" w:fill="auto"/>
            <w:noWrap/>
            <w:hideMark/>
          </w:tcPr>
          <w:p w14:paraId="2DA227C4"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0DC6398" w14:textId="77777777" w:rsidR="002F0133" w:rsidRPr="000B4E2C" w:rsidRDefault="002F0133" w:rsidP="008A7464">
            <w:pPr>
              <w:rPr>
                <w:lang w:eastAsia="en-GB"/>
              </w:rPr>
            </w:pPr>
            <w:r w:rsidRPr="000B4E2C">
              <w:rPr>
                <w:lang w:eastAsia="en-GB"/>
              </w:rPr>
              <w:t>Retracted study</w:t>
            </w:r>
          </w:p>
        </w:tc>
        <w:tc>
          <w:tcPr>
            <w:tcW w:w="0" w:type="auto"/>
            <w:shd w:val="clear" w:color="auto" w:fill="auto"/>
            <w:noWrap/>
            <w:hideMark/>
          </w:tcPr>
          <w:p w14:paraId="61E58C71" w14:textId="77777777" w:rsidR="002F0133" w:rsidRPr="000B4E2C" w:rsidRDefault="002F0133" w:rsidP="008A7464">
            <w:pPr>
              <w:rPr>
                <w:highlight w:val="green"/>
                <w:lang w:eastAsia="en-GB"/>
              </w:rPr>
            </w:pPr>
            <w:r w:rsidRPr="000B4E2C">
              <w:rPr>
                <w:highlight w:val="green"/>
                <w:lang w:eastAsia="en-GB"/>
              </w:rPr>
              <w:t>Q. A. Ahmed, F. S. El Sayed, H. Emad, E. Mohamed, B. Ahmed and P. Heba. Urinary biomarkers of acute kidney injury in patients with liver cirrhosis. Medical archives (Sarajevo, Bosnia and Herzegovina), 68(2), 132-136. [14939]</w:t>
            </w:r>
          </w:p>
        </w:tc>
      </w:tr>
      <w:tr w:rsidR="002F0133" w:rsidRPr="000B4E2C" w14:paraId="3505B9C5" w14:textId="77777777" w:rsidTr="000B4E2C">
        <w:trPr>
          <w:cantSplit/>
        </w:trPr>
        <w:tc>
          <w:tcPr>
            <w:tcW w:w="0" w:type="auto"/>
            <w:shd w:val="clear" w:color="auto" w:fill="auto"/>
            <w:noWrap/>
            <w:hideMark/>
          </w:tcPr>
          <w:p w14:paraId="2DEAE69A" w14:textId="77777777" w:rsidR="002F0133" w:rsidRPr="000B4E2C" w:rsidRDefault="002F0133" w:rsidP="008A7464">
            <w:pPr>
              <w:rPr>
                <w:lang w:eastAsia="en-GB"/>
              </w:rPr>
            </w:pPr>
            <w:r w:rsidRPr="000B4E2C">
              <w:rPr>
                <w:lang w:eastAsia="en-GB"/>
              </w:rPr>
              <w:t>Ahn</w:t>
            </w:r>
          </w:p>
        </w:tc>
        <w:tc>
          <w:tcPr>
            <w:tcW w:w="0" w:type="auto"/>
            <w:shd w:val="clear" w:color="auto" w:fill="auto"/>
            <w:noWrap/>
            <w:hideMark/>
          </w:tcPr>
          <w:p w14:paraId="279D5C77"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AF115C0"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DDC3C64" w14:textId="77777777" w:rsidR="002F0133" w:rsidRPr="000B4E2C" w:rsidRDefault="002F0133" w:rsidP="008A7464">
            <w:pPr>
              <w:rPr>
                <w:highlight w:val="green"/>
                <w:lang w:eastAsia="en-GB"/>
              </w:rPr>
            </w:pPr>
            <w:r w:rsidRPr="000B4E2C">
              <w:rPr>
                <w:highlight w:val="green"/>
                <w:lang w:eastAsia="en-GB"/>
              </w:rPr>
              <w:t>J. Y. Ahn, M. J. Lee, J. S. Seo, D. Choi and J. B. Park. Plasma neutrophil gelatinase-associated lipocalin as a predictive biomarker for the detection of acute kidney injury in adult poisoning. Clinical Toxicology, 54(2), 127-133. [14940]</w:t>
            </w:r>
          </w:p>
        </w:tc>
      </w:tr>
      <w:tr w:rsidR="002F0133" w:rsidRPr="000B4E2C" w14:paraId="5DFAAD14" w14:textId="77777777" w:rsidTr="000B4E2C">
        <w:trPr>
          <w:cantSplit/>
        </w:trPr>
        <w:tc>
          <w:tcPr>
            <w:tcW w:w="0" w:type="auto"/>
            <w:shd w:val="clear" w:color="auto" w:fill="auto"/>
            <w:noWrap/>
            <w:hideMark/>
          </w:tcPr>
          <w:p w14:paraId="37B494B5" w14:textId="77777777" w:rsidR="002F0133" w:rsidRPr="000B4E2C" w:rsidRDefault="002F0133" w:rsidP="008A7464">
            <w:pPr>
              <w:rPr>
                <w:lang w:eastAsia="en-GB"/>
              </w:rPr>
            </w:pPr>
            <w:r w:rsidRPr="000B4E2C">
              <w:rPr>
                <w:lang w:eastAsia="en-GB"/>
              </w:rPr>
              <w:t>Ahsan Ejaz</w:t>
            </w:r>
          </w:p>
        </w:tc>
        <w:tc>
          <w:tcPr>
            <w:tcW w:w="0" w:type="auto"/>
            <w:shd w:val="clear" w:color="auto" w:fill="auto"/>
            <w:noWrap/>
            <w:hideMark/>
          </w:tcPr>
          <w:p w14:paraId="25B9AAF0"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5EDF8217"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3F8EA271" w14:textId="77777777" w:rsidR="002F0133" w:rsidRPr="000B4E2C" w:rsidRDefault="002F0133" w:rsidP="008A7464">
            <w:pPr>
              <w:rPr>
                <w:highlight w:val="green"/>
                <w:lang w:eastAsia="en-GB"/>
              </w:rPr>
            </w:pPr>
            <w:r w:rsidRPr="000B4E2C">
              <w:rPr>
                <w:highlight w:val="green"/>
                <w:lang w:eastAsia="en-GB"/>
              </w:rPr>
              <w:t>A. Ahsan Ejaz, G. Kambhampati, N. I. Ejaz, B. Dass, V. Lapsia, A. A. Arif, A. Asmar, M. Shimada, M. M. Alsabbagh, R. Aiyer and R. J. Johnson. Post-operative serum uric acid and acute kidney injury. Journal of Nephrology, 25(4), 497-505. [14941]</w:t>
            </w:r>
          </w:p>
        </w:tc>
      </w:tr>
      <w:tr w:rsidR="002F0133" w:rsidRPr="000B4E2C" w14:paraId="6D96273F" w14:textId="77777777" w:rsidTr="000B4E2C">
        <w:trPr>
          <w:cantSplit/>
        </w:trPr>
        <w:tc>
          <w:tcPr>
            <w:tcW w:w="0" w:type="auto"/>
            <w:shd w:val="clear" w:color="auto" w:fill="auto"/>
            <w:noWrap/>
            <w:hideMark/>
          </w:tcPr>
          <w:p w14:paraId="74CEC4E9" w14:textId="77777777" w:rsidR="002F0133" w:rsidRPr="000B4E2C" w:rsidRDefault="002F0133" w:rsidP="008A7464">
            <w:pPr>
              <w:rPr>
                <w:lang w:eastAsia="en-GB"/>
              </w:rPr>
            </w:pPr>
            <w:r w:rsidRPr="000B4E2C">
              <w:rPr>
                <w:lang w:eastAsia="en-GB"/>
              </w:rPr>
              <w:t>Akcay</w:t>
            </w:r>
          </w:p>
        </w:tc>
        <w:tc>
          <w:tcPr>
            <w:tcW w:w="0" w:type="auto"/>
            <w:shd w:val="clear" w:color="auto" w:fill="auto"/>
            <w:noWrap/>
            <w:hideMark/>
          </w:tcPr>
          <w:p w14:paraId="3B650705"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2DCB25B5"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57250E4" w14:textId="77777777" w:rsidR="002F0133" w:rsidRPr="000B4E2C" w:rsidRDefault="002F0133" w:rsidP="008A7464">
            <w:pPr>
              <w:rPr>
                <w:highlight w:val="green"/>
                <w:lang w:eastAsia="en-GB"/>
              </w:rPr>
            </w:pPr>
            <w:r w:rsidRPr="000B4E2C">
              <w:rPr>
                <w:highlight w:val="green"/>
                <w:lang w:eastAsia="en-GB"/>
              </w:rPr>
              <w:t>A. B. Akcay, M. F. Ozlu, N. Sen, S. Cay, O. H. Ozturk, F. YalNcn, P. Bilen, S. Kanat, M. F. Karakas, A. Isleyen, A. D. Demir, S. Sogut, A. Covic and M. Kanbay. Prognostic significance of neutrophil gelatinase-associated lipocalin in St-segment elevation myocardial infarction. Journal of Investigative Medicine, 60(2), 508-513. [14946]</w:t>
            </w:r>
          </w:p>
        </w:tc>
      </w:tr>
      <w:tr w:rsidR="002F0133" w:rsidRPr="000B4E2C" w14:paraId="295E1C98" w14:textId="77777777" w:rsidTr="000B4E2C">
        <w:trPr>
          <w:cantSplit/>
        </w:trPr>
        <w:tc>
          <w:tcPr>
            <w:tcW w:w="0" w:type="auto"/>
            <w:shd w:val="clear" w:color="auto" w:fill="auto"/>
            <w:noWrap/>
            <w:hideMark/>
          </w:tcPr>
          <w:p w14:paraId="346C95B9" w14:textId="77777777" w:rsidR="002F0133" w:rsidRPr="000B4E2C" w:rsidRDefault="002F0133" w:rsidP="008A7464">
            <w:pPr>
              <w:rPr>
                <w:lang w:eastAsia="en-GB"/>
              </w:rPr>
            </w:pPr>
            <w:r w:rsidRPr="000B4E2C">
              <w:rPr>
                <w:lang w:eastAsia="en-GB"/>
              </w:rPr>
              <w:t>Akrawinthawong</w:t>
            </w:r>
          </w:p>
        </w:tc>
        <w:tc>
          <w:tcPr>
            <w:tcW w:w="0" w:type="auto"/>
            <w:shd w:val="clear" w:color="auto" w:fill="auto"/>
            <w:noWrap/>
            <w:hideMark/>
          </w:tcPr>
          <w:p w14:paraId="44B89B2B"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7925ACF7" w14:textId="76D0474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5697299" w14:textId="77777777" w:rsidR="002F0133" w:rsidRPr="000B4E2C" w:rsidRDefault="002F0133" w:rsidP="008A7464">
            <w:pPr>
              <w:rPr>
                <w:highlight w:val="green"/>
                <w:lang w:eastAsia="en-GB"/>
              </w:rPr>
            </w:pPr>
            <w:r w:rsidRPr="000B4E2C">
              <w:rPr>
                <w:highlight w:val="green"/>
                <w:lang w:eastAsia="en-GB"/>
              </w:rPr>
              <w:t>K. Akrawinthawong, M. K. Shaw, J. Kachner, E. O. Apostolov, A. G. Basnakian, S. Shah, J. Tilak and P. A. McCullough. Urine catalytic iron and neutrophil gelatinase-associated lipocalin as companion early markers of acute kidney injury after cardiac surgery: A prospective pilot study. CardioRenal Medicine, 3(1), 7-16. [14948]</w:t>
            </w:r>
          </w:p>
        </w:tc>
      </w:tr>
      <w:tr w:rsidR="002F0133" w:rsidRPr="000B4E2C" w14:paraId="3A365E13" w14:textId="77777777" w:rsidTr="000B4E2C">
        <w:trPr>
          <w:cantSplit/>
        </w:trPr>
        <w:tc>
          <w:tcPr>
            <w:tcW w:w="0" w:type="auto"/>
            <w:shd w:val="clear" w:color="auto" w:fill="auto"/>
            <w:noWrap/>
            <w:hideMark/>
          </w:tcPr>
          <w:p w14:paraId="1A7BB1DD" w14:textId="77777777" w:rsidR="002F0133" w:rsidRPr="000B4E2C" w:rsidRDefault="002F0133" w:rsidP="008A7464">
            <w:pPr>
              <w:rPr>
                <w:lang w:eastAsia="en-GB"/>
              </w:rPr>
            </w:pPr>
            <w:r w:rsidRPr="000B4E2C">
              <w:rPr>
                <w:lang w:eastAsia="en-GB"/>
              </w:rPr>
              <w:t>Akrawinthawong</w:t>
            </w:r>
          </w:p>
        </w:tc>
        <w:tc>
          <w:tcPr>
            <w:tcW w:w="0" w:type="auto"/>
            <w:shd w:val="clear" w:color="auto" w:fill="auto"/>
            <w:noWrap/>
            <w:hideMark/>
          </w:tcPr>
          <w:p w14:paraId="16631912"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72C57A56" w14:textId="5445108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CF33B4B" w14:textId="77777777" w:rsidR="002F0133" w:rsidRPr="000B4E2C" w:rsidRDefault="002F0133" w:rsidP="008A7464">
            <w:pPr>
              <w:rPr>
                <w:highlight w:val="green"/>
                <w:lang w:eastAsia="en-GB"/>
              </w:rPr>
            </w:pPr>
            <w:r w:rsidRPr="000B4E2C">
              <w:rPr>
                <w:highlight w:val="green"/>
                <w:lang w:eastAsia="en-GB"/>
              </w:rPr>
              <w:t>K. Akrawinthawong, J. Ricci, L. Cannon, S. Dixon, K. Kupfer, D. Stivers, P. Alexander, S. David and P. A. McCullough. Subclinical and clinical contrast-induced acute kidney injury: Data from a novel blood marker for determining the risk of developing contrast-induced nephropathy (ENCINO), a prospective study. Renal Failure, 37(2), 187-191. [14947]</w:t>
            </w:r>
          </w:p>
        </w:tc>
      </w:tr>
      <w:tr w:rsidR="002F0133" w:rsidRPr="000B4E2C" w14:paraId="7FF2AF54" w14:textId="77777777" w:rsidTr="000B4E2C">
        <w:trPr>
          <w:cantSplit/>
        </w:trPr>
        <w:tc>
          <w:tcPr>
            <w:tcW w:w="0" w:type="auto"/>
            <w:shd w:val="clear" w:color="auto" w:fill="auto"/>
            <w:noWrap/>
            <w:hideMark/>
          </w:tcPr>
          <w:p w14:paraId="52C3D0B9" w14:textId="77777777" w:rsidR="002F0133" w:rsidRPr="000B4E2C" w:rsidRDefault="002F0133" w:rsidP="008A7464">
            <w:pPr>
              <w:rPr>
                <w:lang w:eastAsia="en-GB"/>
              </w:rPr>
            </w:pPr>
            <w:r w:rsidRPr="000B4E2C">
              <w:rPr>
                <w:lang w:eastAsia="en-GB"/>
              </w:rPr>
              <w:t>Al-Afify</w:t>
            </w:r>
          </w:p>
        </w:tc>
        <w:tc>
          <w:tcPr>
            <w:tcW w:w="0" w:type="auto"/>
            <w:shd w:val="clear" w:color="auto" w:fill="auto"/>
            <w:noWrap/>
            <w:hideMark/>
          </w:tcPr>
          <w:p w14:paraId="3D2B3089"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3CF1BDC1" w14:textId="4FAA956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109619E" w14:textId="77777777" w:rsidR="002F0133" w:rsidRPr="000B4E2C" w:rsidRDefault="002F0133" w:rsidP="008A7464">
            <w:pPr>
              <w:rPr>
                <w:highlight w:val="green"/>
                <w:lang w:eastAsia="en-GB"/>
              </w:rPr>
            </w:pPr>
            <w:r w:rsidRPr="000B4E2C">
              <w:rPr>
                <w:highlight w:val="green"/>
                <w:lang w:eastAsia="en-GB"/>
              </w:rPr>
              <w:t>A. A. Al-Afify. Prognostic value of neutrophil gelatinase-associated lipocalin in predicting in-hospital complications in patients with ST-segment elevation myocardial infarction. Research Journal of Cardiology, 6(1), 10-18. [14949]</w:t>
            </w:r>
          </w:p>
        </w:tc>
      </w:tr>
      <w:tr w:rsidR="002F0133" w:rsidRPr="000B4E2C" w14:paraId="138D9287" w14:textId="77777777" w:rsidTr="000B4E2C">
        <w:trPr>
          <w:cantSplit/>
        </w:trPr>
        <w:tc>
          <w:tcPr>
            <w:tcW w:w="0" w:type="auto"/>
            <w:shd w:val="clear" w:color="auto" w:fill="auto"/>
            <w:noWrap/>
            <w:hideMark/>
          </w:tcPr>
          <w:p w14:paraId="1C3D2DEB" w14:textId="77777777" w:rsidR="002F0133" w:rsidRPr="000B4E2C" w:rsidRDefault="002F0133" w:rsidP="008A7464">
            <w:pPr>
              <w:rPr>
                <w:lang w:eastAsia="en-GB"/>
              </w:rPr>
            </w:pPr>
            <w:r w:rsidRPr="000B4E2C">
              <w:rPr>
                <w:lang w:eastAsia="en-GB"/>
              </w:rPr>
              <w:lastRenderedPageBreak/>
              <w:t>Albeladi</w:t>
            </w:r>
          </w:p>
        </w:tc>
        <w:tc>
          <w:tcPr>
            <w:tcW w:w="0" w:type="auto"/>
            <w:shd w:val="clear" w:color="auto" w:fill="auto"/>
            <w:noWrap/>
            <w:hideMark/>
          </w:tcPr>
          <w:p w14:paraId="72174258"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01593018" w14:textId="7CBBE09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596C197" w14:textId="77777777" w:rsidR="002F0133" w:rsidRPr="000B4E2C" w:rsidRDefault="002F0133" w:rsidP="008A7464">
            <w:pPr>
              <w:rPr>
                <w:highlight w:val="green"/>
                <w:lang w:eastAsia="en-GB"/>
              </w:rPr>
            </w:pPr>
            <w:r w:rsidRPr="000B4E2C">
              <w:rPr>
                <w:highlight w:val="green"/>
                <w:lang w:eastAsia="en-GB"/>
              </w:rPr>
              <w:t>F. I. Albeladi and H. M. Algethamy. Urinary Neutrophil Gelatinase-Associated Lipocalin as a Predictor of Acute Kidney Injury, Severe Kidney Injury, and the Need for Renal Replacement Therapy in the Intensive Care Unit. Nephron Extra, 7(2), 62-77. [14953]</w:t>
            </w:r>
          </w:p>
        </w:tc>
      </w:tr>
      <w:tr w:rsidR="002F0133" w:rsidRPr="000B4E2C" w14:paraId="3264CBB5" w14:textId="77777777" w:rsidTr="000B4E2C">
        <w:trPr>
          <w:cantSplit/>
        </w:trPr>
        <w:tc>
          <w:tcPr>
            <w:tcW w:w="0" w:type="auto"/>
            <w:shd w:val="clear" w:color="auto" w:fill="auto"/>
            <w:noWrap/>
            <w:hideMark/>
          </w:tcPr>
          <w:p w14:paraId="393B0DB9" w14:textId="77777777" w:rsidR="002F0133" w:rsidRPr="000B4E2C" w:rsidRDefault="002F0133" w:rsidP="008A7464">
            <w:pPr>
              <w:rPr>
                <w:lang w:eastAsia="en-GB"/>
              </w:rPr>
            </w:pPr>
            <w:r w:rsidRPr="000B4E2C">
              <w:rPr>
                <w:lang w:eastAsia="en-GB"/>
              </w:rPr>
              <w:t>Albert</w:t>
            </w:r>
          </w:p>
        </w:tc>
        <w:tc>
          <w:tcPr>
            <w:tcW w:w="0" w:type="auto"/>
            <w:shd w:val="clear" w:color="auto" w:fill="auto"/>
            <w:noWrap/>
            <w:hideMark/>
          </w:tcPr>
          <w:p w14:paraId="298A5364"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AADED5C"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3D77A795" w14:textId="77777777" w:rsidR="002F0133" w:rsidRPr="000B4E2C" w:rsidRDefault="002F0133" w:rsidP="008A7464">
            <w:pPr>
              <w:rPr>
                <w:highlight w:val="green"/>
                <w:lang w:eastAsia="en-GB"/>
              </w:rPr>
            </w:pPr>
            <w:r w:rsidRPr="000B4E2C">
              <w:rPr>
                <w:highlight w:val="green"/>
                <w:lang w:eastAsia="en-GB"/>
              </w:rPr>
              <w:t>C. Albert, J. Kube, A. Haase-Fielitz, A. Dittrich, D. Schanze, M. Zenker, H. Kuppe, R. Hetzer, R. Bellomo, P. R. Mertens and M. Haase. Pilot study of association of catechol-O-methyl transferase rs4680 genotypes with acute kidney injury and tubular stress after open heart surgery. Biomarkers in Medicine, 8(10), 1227-1238. [14956]</w:t>
            </w:r>
          </w:p>
        </w:tc>
      </w:tr>
      <w:tr w:rsidR="002F0133" w:rsidRPr="000B4E2C" w14:paraId="75EAB028" w14:textId="77777777" w:rsidTr="000B4E2C">
        <w:trPr>
          <w:cantSplit/>
        </w:trPr>
        <w:tc>
          <w:tcPr>
            <w:tcW w:w="0" w:type="auto"/>
            <w:shd w:val="clear" w:color="auto" w:fill="auto"/>
            <w:noWrap/>
            <w:hideMark/>
          </w:tcPr>
          <w:p w14:paraId="5FE7AAA8" w14:textId="77777777" w:rsidR="002F0133" w:rsidRPr="000B4E2C" w:rsidRDefault="002F0133" w:rsidP="008A7464">
            <w:pPr>
              <w:rPr>
                <w:lang w:eastAsia="en-GB"/>
              </w:rPr>
            </w:pPr>
            <w:r w:rsidRPr="000B4E2C">
              <w:rPr>
                <w:lang w:eastAsia="en-GB"/>
              </w:rPr>
              <w:t>Albuquerque</w:t>
            </w:r>
          </w:p>
        </w:tc>
        <w:tc>
          <w:tcPr>
            <w:tcW w:w="0" w:type="auto"/>
            <w:shd w:val="clear" w:color="auto" w:fill="auto"/>
            <w:noWrap/>
            <w:hideMark/>
          </w:tcPr>
          <w:p w14:paraId="558AC8F2"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484BC48E" w14:textId="5E90626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DC050DB" w14:textId="77777777" w:rsidR="002F0133" w:rsidRPr="000B4E2C" w:rsidRDefault="002F0133" w:rsidP="008A7464">
            <w:pPr>
              <w:rPr>
                <w:highlight w:val="green"/>
                <w:lang w:eastAsia="en-GB"/>
              </w:rPr>
            </w:pPr>
            <w:r w:rsidRPr="000B4E2C">
              <w:rPr>
                <w:highlight w:val="green"/>
                <w:lang w:eastAsia="en-GB"/>
              </w:rPr>
              <w:t>P. L. M. M. Albuquerque, G. B. D. S. Junior, G. C. Meneses, A. M. C. Martins, D. B. Lima, J. Raubenheimer, S. Fathima, N. Buckley and E. D. F. Daher. Acute kidney injury induced by bothrops venom: Insights into the pathogenic mechanisms. Toxins, 11(3), 148. [14957]</w:t>
            </w:r>
          </w:p>
        </w:tc>
      </w:tr>
      <w:tr w:rsidR="002F0133" w:rsidRPr="000B4E2C" w14:paraId="42B32678" w14:textId="77777777" w:rsidTr="000B4E2C">
        <w:trPr>
          <w:cantSplit/>
        </w:trPr>
        <w:tc>
          <w:tcPr>
            <w:tcW w:w="0" w:type="auto"/>
            <w:shd w:val="clear" w:color="auto" w:fill="auto"/>
            <w:noWrap/>
            <w:hideMark/>
          </w:tcPr>
          <w:p w14:paraId="4774DD20" w14:textId="77777777" w:rsidR="002F0133" w:rsidRPr="000B4E2C" w:rsidRDefault="002F0133" w:rsidP="008A7464">
            <w:pPr>
              <w:rPr>
                <w:lang w:eastAsia="en-GB"/>
              </w:rPr>
            </w:pPr>
            <w:r w:rsidRPr="000B4E2C">
              <w:rPr>
                <w:lang w:eastAsia="en-GB"/>
              </w:rPr>
              <w:t>Algethamy</w:t>
            </w:r>
          </w:p>
        </w:tc>
        <w:tc>
          <w:tcPr>
            <w:tcW w:w="0" w:type="auto"/>
            <w:shd w:val="clear" w:color="auto" w:fill="auto"/>
            <w:noWrap/>
            <w:hideMark/>
          </w:tcPr>
          <w:p w14:paraId="6953F25C"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5485962D" w14:textId="03D5050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3DF25A0" w14:textId="77777777" w:rsidR="002F0133" w:rsidRPr="000B4E2C" w:rsidRDefault="002F0133" w:rsidP="008A7464">
            <w:pPr>
              <w:rPr>
                <w:highlight w:val="green"/>
                <w:lang w:eastAsia="en-GB"/>
              </w:rPr>
            </w:pPr>
            <w:r w:rsidRPr="000B4E2C">
              <w:rPr>
                <w:highlight w:val="green"/>
                <w:lang w:eastAsia="en-GB"/>
              </w:rPr>
              <w:t>H. M. Algethamy and F. I. Albeladi. Urinary neutrophil gelatinase-associated lipocalin is an excellent predictor of mortality in intensive care unit patients. Saudi Medical Journal, 38(7), 706-714. [14962]</w:t>
            </w:r>
          </w:p>
        </w:tc>
      </w:tr>
      <w:tr w:rsidR="002F0133" w:rsidRPr="000B4E2C" w14:paraId="1CD2A689" w14:textId="77777777" w:rsidTr="000B4E2C">
        <w:trPr>
          <w:cantSplit/>
        </w:trPr>
        <w:tc>
          <w:tcPr>
            <w:tcW w:w="0" w:type="auto"/>
            <w:shd w:val="clear" w:color="auto" w:fill="auto"/>
            <w:noWrap/>
            <w:hideMark/>
          </w:tcPr>
          <w:p w14:paraId="6DD79E09" w14:textId="77777777" w:rsidR="002F0133" w:rsidRPr="000B4E2C" w:rsidRDefault="002F0133" w:rsidP="008A7464">
            <w:pPr>
              <w:rPr>
                <w:lang w:eastAsia="en-GB"/>
              </w:rPr>
            </w:pPr>
            <w:r w:rsidRPr="000B4E2C">
              <w:rPr>
                <w:lang w:eastAsia="en-GB"/>
              </w:rPr>
              <w:t>Alharazy</w:t>
            </w:r>
          </w:p>
        </w:tc>
        <w:tc>
          <w:tcPr>
            <w:tcW w:w="0" w:type="auto"/>
            <w:shd w:val="clear" w:color="auto" w:fill="auto"/>
            <w:noWrap/>
            <w:hideMark/>
          </w:tcPr>
          <w:p w14:paraId="03D6B450"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5ED00A0C"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E1E55E8" w14:textId="77777777" w:rsidR="002F0133" w:rsidRPr="000B4E2C" w:rsidRDefault="002F0133" w:rsidP="008A7464">
            <w:pPr>
              <w:rPr>
                <w:highlight w:val="green"/>
                <w:lang w:eastAsia="en-GB"/>
              </w:rPr>
            </w:pPr>
            <w:r w:rsidRPr="000B4E2C">
              <w:rPr>
                <w:highlight w:val="green"/>
                <w:lang w:eastAsia="en-GB"/>
              </w:rPr>
              <w:t>S. M. Alharazy, N. Kong, R. Saidin, A. H. A. Gafor, O. Maskon, M. Mohd and S. Z. S. Zakaria. Serum neutrophil gelatinase-associated lipocalin and cystatin C are early biomarkers of contrast-induced nephropathy after coronary angiography in patients with chronic kidney disease. Angiology, 65(5), 436-442. [14963]</w:t>
            </w:r>
          </w:p>
        </w:tc>
      </w:tr>
      <w:tr w:rsidR="002F0133" w:rsidRPr="000B4E2C" w14:paraId="3066B8DD" w14:textId="77777777" w:rsidTr="000B4E2C">
        <w:trPr>
          <w:cantSplit/>
        </w:trPr>
        <w:tc>
          <w:tcPr>
            <w:tcW w:w="0" w:type="auto"/>
            <w:shd w:val="clear" w:color="auto" w:fill="auto"/>
            <w:noWrap/>
            <w:hideMark/>
          </w:tcPr>
          <w:p w14:paraId="584B95FB" w14:textId="77777777" w:rsidR="002F0133" w:rsidRPr="000B4E2C" w:rsidRDefault="002F0133" w:rsidP="008A7464">
            <w:pPr>
              <w:rPr>
                <w:lang w:eastAsia="en-GB"/>
              </w:rPr>
            </w:pPr>
            <w:r w:rsidRPr="000B4E2C">
              <w:rPr>
                <w:lang w:eastAsia="en-GB"/>
              </w:rPr>
              <w:t>Alharazy</w:t>
            </w:r>
          </w:p>
        </w:tc>
        <w:tc>
          <w:tcPr>
            <w:tcW w:w="0" w:type="auto"/>
            <w:shd w:val="clear" w:color="auto" w:fill="auto"/>
            <w:noWrap/>
            <w:hideMark/>
          </w:tcPr>
          <w:p w14:paraId="66C5B192"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93A23C0"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67A644D" w14:textId="77777777" w:rsidR="002F0133" w:rsidRPr="000B4E2C" w:rsidRDefault="002F0133" w:rsidP="008A7464">
            <w:pPr>
              <w:rPr>
                <w:highlight w:val="green"/>
                <w:lang w:eastAsia="en-GB"/>
              </w:rPr>
            </w:pPr>
            <w:r w:rsidRPr="000B4E2C">
              <w:rPr>
                <w:highlight w:val="green"/>
                <w:lang w:eastAsia="en-GB"/>
              </w:rPr>
              <w:t>S. M. Alharazy, N. Kong, R. Saidin, A. H. A. Gafor, O. Maskon, M. Mohd and S. Z. S. Zakaria. Neutrophil gelatinase-associated lipocalin as an early marker of contrast-induced nephropathy after coronary angiography. Angiology, 65(3), 216-223. [14964]</w:t>
            </w:r>
          </w:p>
        </w:tc>
      </w:tr>
      <w:tr w:rsidR="002F0133" w:rsidRPr="000B4E2C" w14:paraId="3EAEF34C" w14:textId="77777777" w:rsidTr="000B4E2C">
        <w:trPr>
          <w:cantSplit/>
        </w:trPr>
        <w:tc>
          <w:tcPr>
            <w:tcW w:w="0" w:type="auto"/>
            <w:shd w:val="clear" w:color="auto" w:fill="auto"/>
            <w:noWrap/>
            <w:hideMark/>
          </w:tcPr>
          <w:p w14:paraId="6FCEB66C" w14:textId="77777777" w:rsidR="002F0133" w:rsidRPr="000B4E2C" w:rsidRDefault="002F0133" w:rsidP="008A7464">
            <w:pPr>
              <w:rPr>
                <w:lang w:eastAsia="en-GB"/>
              </w:rPr>
            </w:pPr>
            <w:r w:rsidRPr="000B4E2C">
              <w:rPr>
                <w:lang w:eastAsia="en-GB"/>
              </w:rPr>
              <w:t>Aljumah</w:t>
            </w:r>
          </w:p>
        </w:tc>
        <w:tc>
          <w:tcPr>
            <w:tcW w:w="0" w:type="auto"/>
            <w:shd w:val="clear" w:color="auto" w:fill="auto"/>
            <w:noWrap/>
            <w:hideMark/>
          </w:tcPr>
          <w:p w14:paraId="683939A7"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665B593" w14:textId="779104E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6F3B68C" w14:textId="77777777" w:rsidR="002F0133" w:rsidRPr="000B4E2C" w:rsidRDefault="002F0133" w:rsidP="008A7464">
            <w:pPr>
              <w:rPr>
                <w:highlight w:val="green"/>
                <w:lang w:eastAsia="en-GB"/>
              </w:rPr>
            </w:pPr>
            <w:r w:rsidRPr="000B4E2C">
              <w:rPr>
                <w:highlight w:val="green"/>
                <w:lang w:eastAsia="en-GB"/>
              </w:rPr>
              <w:t>A. A. Aljumah, H. Tamim, M. Saeed, W. Tamimi, H. Alfawaz, S. Al Qurashi, A. Al Dawood and A. Al Sayyari. The Role of Urinary Neutrophil Gelatinase-Associated Lipocalin in Predicting Acute Kidney Dysfunction in Patients With Liver Cirrhosis. Journal of clinical medicine research, 10(5), 419-428. [14966]</w:t>
            </w:r>
          </w:p>
        </w:tc>
      </w:tr>
      <w:tr w:rsidR="002F0133" w:rsidRPr="000B4E2C" w14:paraId="0B6A2FF9" w14:textId="77777777" w:rsidTr="000B4E2C">
        <w:trPr>
          <w:cantSplit/>
        </w:trPr>
        <w:tc>
          <w:tcPr>
            <w:tcW w:w="0" w:type="auto"/>
            <w:shd w:val="clear" w:color="auto" w:fill="auto"/>
            <w:noWrap/>
            <w:hideMark/>
          </w:tcPr>
          <w:p w14:paraId="58B88DAA" w14:textId="77777777" w:rsidR="002F0133" w:rsidRPr="000B4E2C" w:rsidRDefault="002F0133" w:rsidP="008A7464">
            <w:pPr>
              <w:rPr>
                <w:lang w:eastAsia="en-GB"/>
              </w:rPr>
            </w:pPr>
            <w:r w:rsidRPr="000B4E2C">
              <w:rPr>
                <w:lang w:eastAsia="en-GB"/>
              </w:rPr>
              <w:t>Allavena</w:t>
            </w:r>
          </w:p>
        </w:tc>
        <w:tc>
          <w:tcPr>
            <w:tcW w:w="0" w:type="auto"/>
            <w:shd w:val="clear" w:color="auto" w:fill="auto"/>
            <w:noWrap/>
            <w:hideMark/>
          </w:tcPr>
          <w:p w14:paraId="3B1F918B"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451F52B8" w14:textId="09DD429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DB532C9" w14:textId="77777777" w:rsidR="002F0133" w:rsidRPr="000B4E2C" w:rsidRDefault="002F0133" w:rsidP="008A7464">
            <w:pPr>
              <w:rPr>
                <w:highlight w:val="green"/>
                <w:lang w:eastAsia="en-GB"/>
              </w:rPr>
            </w:pPr>
            <w:r w:rsidRPr="000B4E2C">
              <w:rPr>
                <w:highlight w:val="green"/>
                <w:lang w:eastAsia="en-GB"/>
              </w:rPr>
              <w:t>C. Allavena, K. Bach-Ngohou, E. Billaud, S. Secher, T. Dejoie, V. Reliquet, F. Fakhouri and F. Raffi. Neutrophil gelatinase-associated lipocalin, a marker of tubular dysfunction, is not increased in long-term virologically controlled patients receiving a tenofovir/emtricitabine1nevirapine regimen. Journal of Antimicrobial Chemotherapy, 68(12), 2866-2870. [14968]</w:t>
            </w:r>
          </w:p>
        </w:tc>
      </w:tr>
      <w:tr w:rsidR="002F0133" w:rsidRPr="000B4E2C" w14:paraId="6BA7874D" w14:textId="77777777" w:rsidTr="000B4E2C">
        <w:trPr>
          <w:cantSplit/>
        </w:trPr>
        <w:tc>
          <w:tcPr>
            <w:tcW w:w="0" w:type="auto"/>
            <w:shd w:val="clear" w:color="auto" w:fill="auto"/>
            <w:noWrap/>
            <w:hideMark/>
          </w:tcPr>
          <w:p w14:paraId="03BF2CF7" w14:textId="77777777" w:rsidR="002F0133" w:rsidRPr="000B4E2C" w:rsidRDefault="002F0133" w:rsidP="008A7464">
            <w:pPr>
              <w:rPr>
                <w:lang w:eastAsia="en-GB"/>
              </w:rPr>
            </w:pPr>
            <w:r w:rsidRPr="000B4E2C">
              <w:rPr>
                <w:lang w:eastAsia="en-GB"/>
              </w:rPr>
              <w:t>Almalky</w:t>
            </w:r>
          </w:p>
        </w:tc>
        <w:tc>
          <w:tcPr>
            <w:tcW w:w="0" w:type="auto"/>
            <w:shd w:val="clear" w:color="auto" w:fill="auto"/>
            <w:noWrap/>
            <w:hideMark/>
          </w:tcPr>
          <w:p w14:paraId="582CBA79"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46FA9D62" w14:textId="1D47178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77481E2" w14:textId="77777777" w:rsidR="002F0133" w:rsidRPr="000B4E2C" w:rsidRDefault="002F0133" w:rsidP="008A7464">
            <w:pPr>
              <w:rPr>
                <w:highlight w:val="green"/>
                <w:lang w:eastAsia="en-GB"/>
              </w:rPr>
            </w:pPr>
            <w:r w:rsidRPr="000B4E2C">
              <w:rPr>
                <w:highlight w:val="green"/>
                <w:lang w:eastAsia="en-GB"/>
              </w:rPr>
              <w:t>M. A. Almalky, S. A. Hasan, T. H. Hassan, D. A. Shahbah, M. A. Arafa, N. A. Khalifa and R. E. Ibrahim. Detection of early renal injury in children with solid tumors undergoing chemotherapy by urinary neutrophil gelatinase-associated lipocalin. Molecular and Clinical Oncology, 3(6), 1341-1346. [14970]</w:t>
            </w:r>
          </w:p>
        </w:tc>
      </w:tr>
      <w:tr w:rsidR="002F0133" w:rsidRPr="000B4E2C" w14:paraId="0CFC4326" w14:textId="77777777" w:rsidTr="000B4E2C">
        <w:trPr>
          <w:cantSplit/>
        </w:trPr>
        <w:tc>
          <w:tcPr>
            <w:tcW w:w="0" w:type="auto"/>
            <w:shd w:val="clear" w:color="auto" w:fill="auto"/>
            <w:noWrap/>
            <w:hideMark/>
          </w:tcPr>
          <w:p w14:paraId="14FE8AC3" w14:textId="77777777" w:rsidR="002F0133" w:rsidRPr="000B4E2C" w:rsidRDefault="002F0133" w:rsidP="008A7464">
            <w:pPr>
              <w:rPr>
                <w:lang w:eastAsia="en-GB"/>
              </w:rPr>
            </w:pPr>
            <w:r w:rsidRPr="000B4E2C">
              <w:rPr>
                <w:lang w:eastAsia="en-GB"/>
              </w:rPr>
              <w:t>Al-Shamma</w:t>
            </w:r>
          </w:p>
        </w:tc>
        <w:tc>
          <w:tcPr>
            <w:tcW w:w="0" w:type="auto"/>
            <w:shd w:val="clear" w:color="auto" w:fill="auto"/>
            <w:noWrap/>
            <w:hideMark/>
          </w:tcPr>
          <w:p w14:paraId="041E2300"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13316768" w14:textId="231533F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958C14B" w14:textId="77777777" w:rsidR="002F0133" w:rsidRPr="000B4E2C" w:rsidRDefault="002F0133" w:rsidP="008A7464">
            <w:pPr>
              <w:rPr>
                <w:highlight w:val="green"/>
                <w:lang w:eastAsia="en-GB"/>
              </w:rPr>
            </w:pPr>
            <w:r w:rsidRPr="000B4E2C">
              <w:rPr>
                <w:highlight w:val="green"/>
                <w:lang w:eastAsia="en-GB"/>
              </w:rPr>
              <w:t>Z. A. A. Al-Shamma, N. G. Alklyali and I. Y. Alani. Serum neutrophil gelatinase-associated lipocalin (NGAL) as a predictive biomarker of kidney injury in renal transplanted patients and chronic kidney disease. International Journal of Pharmacy and Pharmaceutical Sciences, 9(6), 59-63. [14951]</w:t>
            </w:r>
          </w:p>
        </w:tc>
      </w:tr>
      <w:tr w:rsidR="002F0133" w:rsidRPr="000B4E2C" w14:paraId="6E56DD90" w14:textId="77777777" w:rsidTr="000B4E2C">
        <w:trPr>
          <w:cantSplit/>
        </w:trPr>
        <w:tc>
          <w:tcPr>
            <w:tcW w:w="0" w:type="auto"/>
            <w:shd w:val="clear" w:color="auto" w:fill="auto"/>
            <w:noWrap/>
            <w:hideMark/>
          </w:tcPr>
          <w:p w14:paraId="44A8C7AB" w14:textId="77777777" w:rsidR="002F0133" w:rsidRPr="000B4E2C" w:rsidRDefault="002F0133" w:rsidP="008A7464">
            <w:pPr>
              <w:rPr>
                <w:lang w:eastAsia="en-GB"/>
              </w:rPr>
            </w:pPr>
            <w:r w:rsidRPr="000B4E2C">
              <w:rPr>
                <w:lang w:eastAsia="en-GB"/>
              </w:rPr>
              <w:t>Alvelos</w:t>
            </w:r>
          </w:p>
        </w:tc>
        <w:tc>
          <w:tcPr>
            <w:tcW w:w="0" w:type="auto"/>
            <w:shd w:val="clear" w:color="auto" w:fill="auto"/>
            <w:noWrap/>
            <w:hideMark/>
          </w:tcPr>
          <w:p w14:paraId="1A00D42C"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2CD868CA"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0538C7D5" w14:textId="77777777" w:rsidR="002F0133" w:rsidRPr="000B4E2C" w:rsidRDefault="002F0133" w:rsidP="008A7464">
            <w:pPr>
              <w:rPr>
                <w:highlight w:val="green"/>
                <w:lang w:eastAsia="en-GB"/>
              </w:rPr>
            </w:pPr>
            <w:r w:rsidRPr="000B4E2C">
              <w:rPr>
                <w:highlight w:val="green"/>
                <w:lang w:eastAsia="en-GB"/>
              </w:rPr>
              <w:t>M. Alvelos, R. Pimentel, E. Pinho, A. Gomes, P. Lourenco, M. J. Teles, P. Almeida, J. T. Guimaraes and P. Bettencourt. Neutrophil gelatinase-associated lipocalin in the diagnosis of type 1 cardio-renal syndrome in the general ward. Clinical journal of the American Society of Nephrology : CJASN, 6(3), 476-81. [14973]</w:t>
            </w:r>
          </w:p>
        </w:tc>
      </w:tr>
      <w:tr w:rsidR="002F0133" w:rsidRPr="000B4E2C" w14:paraId="0A7F0C81" w14:textId="77777777" w:rsidTr="000B4E2C">
        <w:trPr>
          <w:cantSplit/>
        </w:trPr>
        <w:tc>
          <w:tcPr>
            <w:tcW w:w="0" w:type="auto"/>
            <w:shd w:val="clear" w:color="auto" w:fill="auto"/>
            <w:noWrap/>
            <w:hideMark/>
          </w:tcPr>
          <w:p w14:paraId="157EDD71" w14:textId="77777777" w:rsidR="002F0133" w:rsidRPr="000B4E2C" w:rsidRDefault="002F0133" w:rsidP="008A7464">
            <w:pPr>
              <w:rPr>
                <w:lang w:eastAsia="en-GB"/>
              </w:rPr>
            </w:pPr>
            <w:r w:rsidRPr="000B4E2C">
              <w:rPr>
                <w:lang w:eastAsia="en-GB"/>
              </w:rPr>
              <w:lastRenderedPageBreak/>
              <w:t>Alvelos</w:t>
            </w:r>
          </w:p>
        </w:tc>
        <w:tc>
          <w:tcPr>
            <w:tcW w:w="0" w:type="auto"/>
            <w:shd w:val="clear" w:color="auto" w:fill="auto"/>
            <w:noWrap/>
            <w:hideMark/>
          </w:tcPr>
          <w:p w14:paraId="3F0202E8"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4B36435D"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7BC332C1" w14:textId="77777777" w:rsidR="002F0133" w:rsidRPr="000B4E2C" w:rsidRDefault="002F0133" w:rsidP="008A7464">
            <w:pPr>
              <w:rPr>
                <w:highlight w:val="green"/>
                <w:lang w:eastAsia="en-GB"/>
              </w:rPr>
            </w:pPr>
            <w:r w:rsidRPr="000B4E2C">
              <w:rPr>
                <w:highlight w:val="green"/>
                <w:lang w:eastAsia="en-GB"/>
              </w:rPr>
              <w:t>M. Alvelos, P. Lourenco, C. Dias, M. Amorim, J. Rema, A. B. Leite, J. T. Guimaraes, P. Almeida and P. Bettencourt. Prognostic value of neutrophil gelatinase-associated lipocalin in acute heart failure. International Journal of Cardiology, 165(1), 51-55. [14974]</w:t>
            </w:r>
          </w:p>
        </w:tc>
      </w:tr>
      <w:tr w:rsidR="002F0133" w:rsidRPr="000B4E2C" w14:paraId="1920DD40" w14:textId="77777777" w:rsidTr="000B4E2C">
        <w:trPr>
          <w:cantSplit/>
        </w:trPr>
        <w:tc>
          <w:tcPr>
            <w:tcW w:w="0" w:type="auto"/>
            <w:shd w:val="clear" w:color="auto" w:fill="auto"/>
            <w:noWrap/>
            <w:hideMark/>
          </w:tcPr>
          <w:p w14:paraId="470F640A" w14:textId="77777777" w:rsidR="002F0133" w:rsidRPr="000B4E2C" w:rsidRDefault="002F0133" w:rsidP="008A7464">
            <w:pPr>
              <w:rPr>
                <w:lang w:eastAsia="en-GB"/>
              </w:rPr>
            </w:pPr>
            <w:r w:rsidRPr="000B4E2C">
              <w:rPr>
                <w:lang w:eastAsia="en-GB"/>
              </w:rPr>
              <w:t>Anagnostopoulos</w:t>
            </w:r>
          </w:p>
        </w:tc>
        <w:tc>
          <w:tcPr>
            <w:tcW w:w="0" w:type="auto"/>
            <w:shd w:val="clear" w:color="auto" w:fill="auto"/>
            <w:noWrap/>
            <w:hideMark/>
          </w:tcPr>
          <w:p w14:paraId="347DAFCC"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4CDE89E"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7A61E87C" w14:textId="77777777" w:rsidR="002F0133" w:rsidRPr="000B4E2C" w:rsidRDefault="002F0133" w:rsidP="008A7464">
            <w:pPr>
              <w:rPr>
                <w:highlight w:val="green"/>
                <w:lang w:eastAsia="en-GB"/>
              </w:rPr>
            </w:pPr>
            <w:r w:rsidRPr="000B4E2C">
              <w:rPr>
                <w:highlight w:val="green"/>
                <w:lang w:eastAsia="en-GB"/>
              </w:rPr>
              <w:t>P. V. Anagnostopoulos. Prediction of severe acute kidney injury after pediatric cardiac surgery with the use of novel biomarkers: A new trend in clinical research and risk stratification. The Journal of thoracic and cardiovascular surgery, 152(1), 187-8. [14979]</w:t>
            </w:r>
          </w:p>
        </w:tc>
      </w:tr>
      <w:tr w:rsidR="002F0133" w:rsidRPr="000B4E2C" w14:paraId="6B64A09F" w14:textId="77777777" w:rsidTr="000B4E2C">
        <w:trPr>
          <w:cantSplit/>
        </w:trPr>
        <w:tc>
          <w:tcPr>
            <w:tcW w:w="0" w:type="auto"/>
            <w:shd w:val="clear" w:color="auto" w:fill="auto"/>
            <w:noWrap/>
            <w:hideMark/>
          </w:tcPr>
          <w:p w14:paraId="1CD4B200" w14:textId="77777777" w:rsidR="002F0133" w:rsidRPr="000B4E2C" w:rsidRDefault="002F0133" w:rsidP="008A7464">
            <w:pPr>
              <w:rPr>
                <w:lang w:eastAsia="en-GB"/>
              </w:rPr>
            </w:pPr>
            <w:r w:rsidRPr="000B4E2C">
              <w:rPr>
                <w:lang w:eastAsia="en-GB"/>
              </w:rPr>
              <w:t>Angeletti</w:t>
            </w:r>
          </w:p>
        </w:tc>
        <w:tc>
          <w:tcPr>
            <w:tcW w:w="0" w:type="auto"/>
            <w:shd w:val="clear" w:color="auto" w:fill="auto"/>
            <w:noWrap/>
            <w:hideMark/>
          </w:tcPr>
          <w:p w14:paraId="26BD63FF"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4AB1F7BE" w14:textId="6508D45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87A0027" w14:textId="77777777" w:rsidR="002F0133" w:rsidRPr="000B4E2C" w:rsidRDefault="002F0133" w:rsidP="008A7464">
            <w:pPr>
              <w:rPr>
                <w:highlight w:val="green"/>
                <w:lang w:eastAsia="en-GB"/>
              </w:rPr>
            </w:pPr>
            <w:r w:rsidRPr="000B4E2C">
              <w:rPr>
                <w:highlight w:val="green"/>
                <w:lang w:eastAsia="en-GB"/>
              </w:rPr>
              <w:t>S. Angeletti, M. Fogolari, D. Morolla, F. Capone, S. Costantino, S. Spoto, M. De Cesaris, A. Lo Presti, M. Ciccozzi and G. Dicuonzo. Role of neutrophil gelatinase-associated lipocalin in the diagnosis and early treatment of acute kidney injury in a case series of patients with acute decompensated heart failure: A case series. Cardiology Research and Practice, 2016(3708210. [14984]</w:t>
            </w:r>
          </w:p>
        </w:tc>
      </w:tr>
      <w:tr w:rsidR="002F0133" w:rsidRPr="000B4E2C" w14:paraId="2596370B" w14:textId="77777777" w:rsidTr="000B4E2C">
        <w:trPr>
          <w:cantSplit/>
        </w:trPr>
        <w:tc>
          <w:tcPr>
            <w:tcW w:w="0" w:type="auto"/>
            <w:shd w:val="clear" w:color="auto" w:fill="auto"/>
            <w:noWrap/>
            <w:hideMark/>
          </w:tcPr>
          <w:p w14:paraId="0E72E668" w14:textId="77777777" w:rsidR="002F0133" w:rsidRPr="000B4E2C" w:rsidRDefault="002F0133" w:rsidP="008A7464">
            <w:pPr>
              <w:rPr>
                <w:lang w:eastAsia="en-GB"/>
              </w:rPr>
            </w:pPr>
            <w:r w:rsidRPr="000B4E2C">
              <w:rPr>
                <w:lang w:eastAsia="en-GB"/>
              </w:rPr>
              <w:t>Anonymous</w:t>
            </w:r>
          </w:p>
        </w:tc>
        <w:tc>
          <w:tcPr>
            <w:tcW w:w="0" w:type="auto"/>
            <w:shd w:val="clear" w:color="auto" w:fill="auto"/>
            <w:noWrap/>
            <w:hideMark/>
          </w:tcPr>
          <w:p w14:paraId="68FDD3F5"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6CB95656"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1D321682" w14:textId="77777777" w:rsidR="002F0133" w:rsidRPr="000B4E2C" w:rsidRDefault="002F0133" w:rsidP="008A7464">
            <w:pPr>
              <w:rPr>
                <w:highlight w:val="green"/>
                <w:lang w:eastAsia="en-GB"/>
              </w:rPr>
            </w:pPr>
            <w:r w:rsidRPr="000B4E2C">
              <w:rPr>
                <w:highlight w:val="green"/>
                <w:lang w:eastAsia="en-GB"/>
              </w:rPr>
              <w:t>Anonymous. A single measurement of urinary NGAL can identify acute kidney injury. Nature Clinical Practice Nephrology, 4(9), . [2109]</w:t>
            </w:r>
          </w:p>
        </w:tc>
      </w:tr>
      <w:tr w:rsidR="002F0133" w:rsidRPr="000B4E2C" w14:paraId="0FAF98D0" w14:textId="77777777" w:rsidTr="000B4E2C">
        <w:trPr>
          <w:cantSplit/>
        </w:trPr>
        <w:tc>
          <w:tcPr>
            <w:tcW w:w="0" w:type="auto"/>
            <w:shd w:val="clear" w:color="auto" w:fill="auto"/>
            <w:noWrap/>
            <w:hideMark/>
          </w:tcPr>
          <w:p w14:paraId="0ECA7538" w14:textId="77777777" w:rsidR="002F0133" w:rsidRPr="000B4E2C" w:rsidRDefault="002F0133" w:rsidP="008A7464">
            <w:pPr>
              <w:rPr>
                <w:lang w:eastAsia="en-GB"/>
              </w:rPr>
            </w:pPr>
            <w:r w:rsidRPr="000B4E2C">
              <w:rPr>
                <w:lang w:eastAsia="en-GB"/>
              </w:rPr>
              <w:t>Anonymous</w:t>
            </w:r>
          </w:p>
        </w:tc>
        <w:tc>
          <w:tcPr>
            <w:tcW w:w="0" w:type="auto"/>
            <w:shd w:val="clear" w:color="auto" w:fill="auto"/>
            <w:noWrap/>
            <w:hideMark/>
          </w:tcPr>
          <w:p w14:paraId="07FF9F1E"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7487F718" w14:textId="77777777" w:rsidR="002F0133" w:rsidRPr="000B4E2C" w:rsidRDefault="002F0133" w:rsidP="008A7464">
            <w:pPr>
              <w:rPr>
                <w:lang w:eastAsia="en-GB"/>
              </w:rPr>
            </w:pPr>
            <w:r w:rsidRPr="000B4E2C">
              <w:rPr>
                <w:lang w:eastAsia="en-GB"/>
              </w:rPr>
              <w:t>Non-English publication</w:t>
            </w:r>
          </w:p>
        </w:tc>
        <w:tc>
          <w:tcPr>
            <w:tcW w:w="0" w:type="auto"/>
            <w:shd w:val="clear" w:color="auto" w:fill="auto"/>
            <w:noWrap/>
            <w:hideMark/>
          </w:tcPr>
          <w:p w14:paraId="1F1F5293" w14:textId="77777777" w:rsidR="002F0133" w:rsidRPr="000B4E2C" w:rsidRDefault="002F0133" w:rsidP="008A7464">
            <w:pPr>
              <w:rPr>
                <w:highlight w:val="green"/>
                <w:lang w:eastAsia="en-GB"/>
              </w:rPr>
            </w:pPr>
            <w:r w:rsidRPr="000B4E2C">
              <w:rPr>
                <w:highlight w:val="green"/>
                <w:lang w:eastAsia="en-GB"/>
              </w:rPr>
              <w:t>Anonymous. Early biomarker for AKI. Japanese Journal of Nephrology, 52(5), 566-571. [14998]</w:t>
            </w:r>
          </w:p>
        </w:tc>
      </w:tr>
      <w:tr w:rsidR="002F0133" w:rsidRPr="000B4E2C" w14:paraId="749EBA6A" w14:textId="77777777" w:rsidTr="000B4E2C">
        <w:trPr>
          <w:cantSplit/>
        </w:trPr>
        <w:tc>
          <w:tcPr>
            <w:tcW w:w="0" w:type="auto"/>
            <w:shd w:val="clear" w:color="auto" w:fill="auto"/>
            <w:noWrap/>
            <w:hideMark/>
          </w:tcPr>
          <w:p w14:paraId="5E861B02" w14:textId="77777777" w:rsidR="002F0133" w:rsidRPr="000B4E2C" w:rsidRDefault="002F0133" w:rsidP="008A7464">
            <w:pPr>
              <w:rPr>
                <w:lang w:eastAsia="en-GB"/>
              </w:rPr>
            </w:pPr>
            <w:r w:rsidRPr="000B4E2C">
              <w:rPr>
                <w:lang w:eastAsia="en-GB"/>
              </w:rPr>
              <w:t>Antonelli</w:t>
            </w:r>
          </w:p>
        </w:tc>
        <w:tc>
          <w:tcPr>
            <w:tcW w:w="0" w:type="auto"/>
            <w:shd w:val="clear" w:color="auto" w:fill="auto"/>
            <w:noWrap/>
            <w:hideMark/>
          </w:tcPr>
          <w:p w14:paraId="59C70573"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4328F1EE" w14:textId="600294CD" w:rsidR="002F0133" w:rsidRPr="000B4E2C" w:rsidRDefault="002F0133" w:rsidP="008A7464">
            <w:pPr>
              <w:rPr>
                <w:lang w:eastAsia="en-GB"/>
              </w:rPr>
            </w:pPr>
            <w:r w:rsidRPr="000B4E2C">
              <w:rPr>
                <w:lang w:eastAsia="en-GB"/>
              </w:rPr>
              <w:t>Systematic review</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14D6198C" w14:textId="77777777" w:rsidR="002F0133" w:rsidRPr="000B4E2C" w:rsidRDefault="002F0133" w:rsidP="008A7464">
            <w:pPr>
              <w:rPr>
                <w:highlight w:val="green"/>
                <w:lang w:eastAsia="en-GB"/>
              </w:rPr>
            </w:pPr>
            <w:r w:rsidRPr="000B4E2C">
              <w:rPr>
                <w:highlight w:val="green"/>
                <w:lang w:eastAsia="en-GB"/>
              </w:rPr>
              <w:t>A. Antonelli, M. Allinovi, A. Cocci, G. I. Russo, R. Schiavina, B. Rocco, G. A. Pini, A. Celia, A. Galfano, V. Varca, G. Bozzini, C. Ceruti, F. Greco, P. Verze, A. L. Pastore, A. Porreca and A. Minervini. The Predictive Role of Biomarkers for the Detection of Acute Kidney Injury After Partial or Radical Nephrectomy: A Systematic Review of the Literature. European Urology Focus, . [15001]</w:t>
            </w:r>
          </w:p>
        </w:tc>
      </w:tr>
      <w:tr w:rsidR="002F0133" w:rsidRPr="000B4E2C" w14:paraId="620129F5" w14:textId="77777777" w:rsidTr="000B4E2C">
        <w:trPr>
          <w:cantSplit/>
        </w:trPr>
        <w:tc>
          <w:tcPr>
            <w:tcW w:w="0" w:type="auto"/>
            <w:shd w:val="clear" w:color="auto" w:fill="auto"/>
            <w:noWrap/>
            <w:hideMark/>
          </w:tcPr>
          <w:p w14:paraId="08627B4F" w14:textId="77777777" w:rsidR="002F0133" w:rsidRPr="000B4E2C" w:rsidRDefault="002F0133" w:rsidP="008A7464">
            <w:pPr>
              <w:rPr>
                <w:lang w:eastAsia="en-GB"/>
              </w:rPr>
            </w:pPr>
            <w:r w:rsidRPr="000B4E2C">
              <w:rPr>
                <w:lang w:eastAsia="en-GB"/>
              </w:rPr>
              <w:t>Antonopoulos</w:t>
            </w:r>
          </w:p>
        </w:tc>
        <w:tc>
          <w:tcPr>
            <w:tcW w:w="0" w:type="auto"/>
            <w:shd w:val="clear" w:color="auto" w:fill="auto"/>
            <w:noWrap/>
            <w:hideMark/>
          </w:tcPr>
          <w:p w14:paraId="4521307C"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254DD406" w14:textId="056A1C9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5CBAEE4" w14:textId="77777777" w:rsidR="002F0133" w:rsidRPr="000B4E2C" w:rsidRDefault="002F0133" w:rsidP="008A7464">
            <w:pPr>
              <w:rPr>
                <w:highlight w:val="green"/>
                <w:lang w:eastAsia="en-GB"/>
              </w:rPr>
            </w:pPr>
            <w:r w:rsidRPr="000B4E2C">
              <w:rPr>
                <w:highlight w:val="green"/>
                <w:lang w:eastAsia="en-GB"/>
              </w:rPr>
              <w:t>C. N. Antonopoulos, A. Kalkanis, G. Georgakopoulos, T. N. Sergentanis and D. N. Rigopoulos. Neutrophil gelatinase-associated lipocalin in dehydrated patients: a preliminary report. BMC research notes, 4(435. [15002]</w:t>
            </w:r>
          </w:p>
        </w:tc>
      </w:tr>
      <w:tr w:rsidR="002F0133" w:rsidRPr="000B4E2C" w14:paraId="39BA912D" w14:textId="77777777" w:rsidTr="000B4E2C">
        <w:trPr>
          <w:cantSplit/>
        </w:trPr>
        <w:tc>
          <w:tcPr>
            <w:tcW w:w="0" w:type="auto"/>
            <w:shd w:val="clear" w:color="auto" w:fill="auto"/>
            <w:noWrap/>
            <w:hideMark/>
          </w:tcPr>
          <w:p w14:paraId="61B380A2" w14:textId="77777777" w:rsidR="002F0133" w:rsidRPr="000B4E2C" w:rsidRDefault="002F0133" w:rsidP="008A7464">
            <w:pPr>
              <w:rPr>
                <w:lang w:eastAsia="en-GB"/>
              </w:rPr>
            </w:pPr>
            <w:r w:rsidRPr="000B4E2C">
              <w:rPr>
                <w:lang w:eastAsia="en-GB"/>
              </w:rPr>
              <w:t>Anusha</w:t>
            </w:r>
          </w:p>
        </w:tc>
        <w:tc>
          <w:tcPr>
            <w:tcW w:w="0" w:type="auto"/>
            <w:shd w:val="clear" w:color="auto" w:fill="auto"/>
            <w:noWrap/>
            <w:hideMark/>
          </w:tcPr>
          <w:p w14:paraId="3E5A9E85"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35801BB9" w14:textId="30DB138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EB46605" w14:textId="77777777" w:rsidR="002F0133" w:rsidRPr="000B4E2C" w:rsidRDefault="002F0133" w:rsidP="008A7464">
            <w:pPr>
              <w:rPr>
                <w:highlight w:val="green"/>
                <w:lang w:eastAsia="en-GB"/>
              </w:rPr>
            </w:pPr>
            <w:r w:rsidRPr="000B4E2C">
              <w:rPr>
                <w:highlight w:val="green"/>
                <w:lang w:eastAsia="en-GB"/>
              </w:rPr>
              <w:t>R. Anusha, S. Silambanan and M. Veerasamy. Plasma neutrophil gelatinase associated lipocalin in the early detection of acute kidney injury in patients undergoing cardiac surgery. International Journal of Pharma and Bio Sciences, 6(4), B64-B71. [15004]</w:t>
            </w:r>
          </w:p>
        </w:tc>
      </w:tr>
      <w:tr w:rsidR="002F0133" w:rsidRPr="000B4E2C" w14:paraId="26A223AE" w14:textId="77777777" w:rsidTr="000B4E2C">
        <w:trPr>
          <w:cantSplit/>
        </w:trPr>
        <w:tc>
          <w:tcPr>
            <w:tcW w:w="0" w:type="auto"/>
            <w:shd w:val="clear" w:color="auto" w:fill="auto"/>
            <w:noWrap/>
            <w:hideMark/>
          </w:tcPr>
          <w:p w14:paraId="45605080" w14:textId="77777777" w:rsidR="002F0133" w:rsidRPr="000B4E2C" w:rsidRDefault="002F0133" w:rsidP="008A7464">
            <w:pPr>
              <w:rPr>
                <w:lang w:eastAsia="en-GB"/>
              </w:rPr>
            </w:pPr>
            <w:r w:rsidRPr="000B4E2C">
              <w:rPr>
                <w:lang w:eastAsia="en-GB"/>
              </w:rPr>
              <w:t>Arambašić</w:t>
            </w:r>
          </w:p>
        </w:tc>
        <w:tc>
          <w:tcPr>
            <w:tcW w:w="0" w:type="auto"/>
            <w:shd w:val="clear" w:color="auto" w:fill="auto"/>
            <w:noWrap/>
            <w:hideMark/>
          </w:tcPr>
          <w:p w14:paraId="1AFD2095"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BD7C50C"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FAF6428" w14:textId="77777777" w:rsidR="002F0133" w:rsidRPr="000B4E2C" w:rsidRDefault="002F0133" w:rsidP="008A7464">
            <w:pPr>
              <w:rPr>
                <w:highlight w:val="green"/>
                <w:lang w:eastAsia="en-GB"/>
              </w:rPr>
            </w:pPr>
            <w:r w:rsidRPr="000B4E2C">
              <w:rPr>
                <w:highlight w:val="green"/>
                <w:lang w:eastAsia="en-GB"/>
              </w:rPr>
              <w:t>J. Arambasic, S. Mandic, Z. Debeljak, D. Mandic, V. Horvat and V. Seric. Differentiation of acute pyelonephritis from other febrile states in children using urinary neutrophil gelatinase-associated lipocalin (uNGAL). Clinical chemistry and laboratory medicine, 54(1), 55-61. [15006]</w:t>
            </w:r>
          </w:p>
        </w:tc>
      </w:tr>
      <w:tr w:rsidR="002F0133" w:rsidRPr="000B4E2C" w14:paraId="33507BCF" w14:textId="77777777" w:rsidTr="000B4E2C">
        <w:trPr>
          <w:cantSplit/>
        </w:trPr>
        <w:tc>
          <w:tcPr>
            <w:tcW w:w="0" w:type="auto"/>
            <w:shd w:val="clear" w:color="auto" w:fill="auto"/>
            <w:noWrap/>
            <w:hideMark/>
          </w:tcPr>
          <w:p w14:paraId="353F9930" w14:textId="77777777" w:rsidR="002F0133" w:rsidRPr="000B4E2C" w:rsidRDefault="002F0133" w:rsidP="008A7464">
            <w:pPr>
              <w:rPr>
                <w:lang w:eastAsia="en-GB"/>
              </w:rPr>
            </w:pPr>
            <w:r w:rsidRPr="000B4E2C">
              <w:rPr>
                <w:lang w:eastAsia="en-GB"/>
              </w:rPr>
              <w:t>Arampatzis</w:t>
            </w:r>
          </w:p>
        </w:tc>
        <w:tc>
          <w:tcPr>
            <w:tcW w:w="0" w:type="auto"/>
            <w:shd w:val="clear" w:color="auto" w:fill="auto"/>
            <w:noWrap/>
            <w:hideMark/>
          </w:tcPr>
          <w:p w14:paraId="63E48B25"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51BAF9EF"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0D132A75" w14:textId="77777777" w:rsidR="002F0133" w:rsidRPr="000B4E2C" w:rsidRDefault="002F0133" w:rsidP="008A7464">
            <w:pPr>
              <w:rPr>
                <w:highlight w:val="green"/>
                <w:lang w:eastAsia="en-GB"/>
              </w:rPr>
            </w:pPr>
            <w:r w:rsidRPr="000B4E2C">
              <w:rPr>
                <w:highlight w:val="green"/>
                <w:lang w:eastAsia="en-GB"/>
              </w:rPr>
              <w:t>S. Arampatzis, G. Chalikias, V. Devetzis, S. Konstantinides, U. Huynh-Do and D. Tziakas. C-terminal fragment of agrin (CAF) levels predict acute kidney injury after acute myocardial infarction. BMC Nephrology, 18(1), 202. [15007]</w:t>
            </w:r>
          </w:p>
        </w:tc>
      </w:tr>
      <w:tr w:rsidR="002F0133" w:rsidRPr="000B4E2C" w14:paraId="236C3609" w14:textId="77777777" w:rsidTr="000B4E2C">
        <w:trPr>
          <w:cantSplit/>
        </w:trPr>
        <w:tc>
          <w:tcPr>
            <w:tcW w:w="0" w:type="auto"/>
            <w:shd w:val="clear" w:color="auto" w:fill="auto"/>
            <w:noWrap/>
            <w:hideMark/>
          </w:tcPr>
          <w:p w14:paraId="31AA7B9B" w14:textId="77777777" w:rsidR="002F0133" w:rsidRPr="000B4E2C" w:rsidRDefault="002F0133" w:rsidP="008A7464">
            <w:pPr>
              <w:rPr>
                <w:lang w:eastAsia="en-GB"/>
              </w:rPr>
            </w:pPr>
            <w:r w:rsidRPr="000B4E2C">
              <w:rPr>
                <w:lang w:eastAsia="en-GB"/>
              </w:rPr>
              <w:t>Aregger</w:t>
            </w:r>
          </w:p>
        </w:tc>
        <w:tc>
          <w:tcPr>
            <w:tcW w:w="0" w:type="auto"/>
            <w:shd w:val="clear" w:color="auto" w:fill="auto"/>
            <w:noWrap/>
            <w:hideMark/>
          </w:tcPr>
          <w:p w14:paraId="7454C71E"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7367B39F" w14:textId="38159BE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C62BFFD" w14:textId="77777777" w:rsidR="002F0133" w:rsidRPr="000B4E2C" w:rsidRDefault="002F0133" w:rsidP="008A7464">
            <w:pPr>
              <w:rPr>
                <w:highlight w:val="green"/>
                <w:lang w:eastAsia="en-GB"/>
              </w:rPr>
            </w:pPr>
            <w:r w:rsidRPr="000B4E2C">
              <w:rPr>
                <w:highlight w:val="green"/>
                <w:lang w:eastAsia="en-GB"/>
              </w:rPr>
              <w:t>F. Aregger, D. E. Uehlinger, J. Witowski, R. A. Brunisholz, P. Hunziker, F. J. Frey and A. Jorres. Identification of IGFBP-7 by urinary proteomics as a novel prognostic marker in early acute kidney injury. Kidney international, 85(4), 909-919. [15008]</w:t>
            </w:r>
          </w:p>
        </w:tc>
      </w:tr>
      <w:tr w:rsidR="002F0133" w:rsidRPr="000B4E2C" w14:paraId="638EFD09" w14:textId="77777777" w:rsidTr="000B4E2C">
        <w:trPr>
          <w:cantSplit/>
        </w:trPr>
        <w:tc>
          <w:tcPr>
            <w:tcW w:w="0" w:type="auto"/>
            <w:shd w:val="clear" w:color="auto" w:fill="auto"/>
            <w:noWrap/>
            <w:hideMark/>
          </w:tcPr>
          <w:p w14:paraId="0961CB1E" w14:textId="77777777" w:rsidR="002F0133" w:rsidRPr="000B4E2C" w:rsidRDefault="002F0133" w:rsidP="008A7464">
            <w:pPr>
              <w:rPr>
                <w:lang w:eastAsia="en-GB"/>
              </w:rPr>
            </w:pPr>
            <w:r w:rsidRPr="000B4E2C">
              <w:rPr>
                <w:lang w:eastAsia="en-GB"/>
              </w:rPr>
              <w:t>Arena</w:t>
            </w:r>
          </w:p>
        </w:tc>
        <w:tc>
          <w:tcPr>
            <w:tcW w:w="0" w:type="auto"/>
            <w:shd w:val="clear" w:color="auto" w:fill="auto"/>
            <w:noWrap/>
            <w:hideMark/>
          </w:tcPr>
          <w:p w14:paraId="07B9FB32"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04E6509C" w14:textId="09CC642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2AF20EE" w14:textId="77777777" w:rsidR="002F0133" w:rsidRPr="000B4E2C" w:rsidRDefault="002F0133" w:rsidP="008A7464">
            <w:pPr>
              <w:rPr>
                <w:highlight w:val="green"/>
                <w:lang w:eastAsia="en-GB"/>
              </w:rPr>
            </w:pPr>
            <w:r w:rsidRPr="000B4E2C">
              <w:rPr>
                <w:highlight w:val="green"/>
                <w:lang w:eastAsia="en-GB"/>
              </w:rPr>
              <w:t>A. Arena, G. Stassi, D. Iannello, D. Gazzara, M. Calapai, C. Bisignano, D. Bolignano, A. Lacquaniti and M. Buemi. Both IL-1 beta and TNF-alpha Regulate NGAL Expression in Polymorphonuclear Granulocytes of Chronic Hemodialysis Patients. Mediators of inflammation, 613937-613937. [18367]</w:t>
            </w:r>
          </w:p>
        </w:tc>
      </w:tr>
      <w:tr w:rsidR="002F0133" w:rsidRPr="000B4E2C" w14:paraId="1DD49335" w14:textId="77777777" w:rsidTr="000B4E2C">
        <w:trPr>
          <w:cantSplit/>
        </w:trPr>
        <w:tc>
          <w:tcPr>
            <w:tcW w:w="0" w:type="auto"/>
            <w:shd w:val="clear" w:color="auto" w:fill="auto"/>
            <w:noWrap/>
            <w:hideMark/>
          </w:tcPr>
          <w:p w14:paraId="7F8E3368" w14:textId="77777777" w:rsidR="002F0133" w:rsidRPr="000B4E2C" w:rsidRDefault="002F0133" w:rsidP="008A7464">
            <w:pPr>
              <w:rPr>
                <w:lang w:eastAsia="en-GB"/>
              </w:rPr>
            </w:pPr>
            <w:r w:rsidRPr="000B4E2C">
              <w:rPr>
                <w:lang w:eastAsia="en-GB"/>
              </w:rPr>
              <w:lastRenderedPageBreak/>
              <w:t>Ariza</w:t>
            </w:r>
          </w:p>
        </w:tc>
        <w:tc>
          <w:tcPr>
            <w:tcW w:w="0" w:type="auto"/>
            <w:shd w:val="clear" w:color="auto" w:fill="auto"/>
            <w:noWrap/>
            <w:hideMark/>
          </w:tcPr>
          <w:p w14:paraId="0D5727A0"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397EEED" w14:textId="680F13C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6B5F714" w14:textId="77777777" w:rsidR="002F0133" w:rsidRPr="000B4E2C" w:rsidRDefault="002F0133" w:rsidP="008A7464">
            <w:pPr>
              <w:rPr>
                <w:highlight w:val="green"/>
                <w:lang w:eastAsia="en-GB"/>
              </w:rPr>
            </w:pPr>
            <w:r w:rsidRPr="000B4E2C">
              <w:rPr>
                <w:highlight w:val="green"/>
                <w:lang w:eastAsia="en-GB"/>
              </w:rPr>
              <w:t>X. Ariza, E. Sola, C. Elia, R. Barreto, R. Moreira, M. Morales-Ruiz, I. Graupera, E. Rodriguez, P. Huelin, C. Sole, J. Fernandez, W. Jimenez, V. Arroyo and P. Gines. Analysis of a urinary biomarker panel for clinical outcomes assessment in cirrhosis. PLoS ONE, 10(6), e0128145. [15013]</w:t>
            </w:r>
          </w:p>
        </w:tc>
      </w:tr>
      <w:tr w:rsidR="002F0133" w:rsidRPr="000B4E2C" w14:paraId="26C22D04" w14:textId="77777777" w:rsidTr="000B4E2C">
        <w:trPr>
          <w:cantSplit/>
        </w:trPr>
        <w:tc>
          <w:tcPr>
            <w:tcW w:w="0" w:type="auto"/>
            <w:shd w:val="clear" w:color="auto" w:fill="auto"/>
            <w:noWrap/>
            <w:hideMark/>
          </w:tcPr>
          <w:p w14:paraId="7F202307" w14:textId="77777777" w:rsidR="002F0133" w:rsidRPr="000B4E2C" w:rsidRDefault="002F0133" w:rsidP="008A7464">
            <w:pPr>
              <w:rPr>
                <w:lang w:eastAsia="en-GB"/>
              </w:rPr>
            </w:pPr>
            <w:r w:rsidRPr="000B4E2C">
              <w:rPr>
                <w:lang w:eastAsia="en-GB"/>
              </w:rPr>
              <w:t>Arora</w:t>
            </w:r>
          </w:p>
        </w:tc>
        <w:tc>
          <w:tcPr>
            <w:tcW w:w="0" w:type="auto"/>
            <w:shd w:val="clear" w:color="auto" w:fill="auto"/>
            <w:noWrap/>
            <w:hideMark/>
          </w:tcPr>
          <w:p w14:paraId="0EECCE63"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2DB675C5"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4BD0DD2F" w14:textId="77777777" w:rsidR="002F0133" w:rsidRPr="000B4E2C" w:rsidRDefault="002F0133" w:rsidP="008A7464">
            <w:pPr>
              <w:rPr>
                <w:highlight w:val="green"/>
                <w:lang w:eastAsia="en-GB"/>
              </w:rPr>
            </w:pPr>
            <w:r w:rsidRPr="000B4E2C">
              <w:rPr>
                <w:highlight w:val="green"/>
                <w:lang w:eastAsia="en-GB"/>
              </w:rPr>
              <w:t>R. C. Arora, C. Rigatto and R. K. Singal. Neutrophil gelatinase-associated lipocalin to predict cardiac surgery-associated acute kidney injury: A holy grail or just another fancy cup?. Journal of Thoracic and Cardiovascular Surgery, 151(6), 1482-1483. [15016]</w:t>
            </w:r>
          </w:p>
        </w:tc>
      </w:tr>
      <w:tr w:rsidR="002F0133" w:rsidRPr="000B4E2C" w14:paraId="168BA436" w14:textId="77777777" w:rsidTr="000B4E2C">
        <w:trPr>
          <w:cantSplit/>
        </w:trPr>
        <w:tc>
          <w:tcPr>
            <w:tcW w:w="0" w:type="auto"/>
            <w:shd w:val="clear" w:color="auto" w:fill="auto"/>
            <w:noWrap/>
            <w:hideMark/>
          </w:tcPr>
          <w:p w14:paraId="0245BD3C" w14:textId="77777777" w:rsidR="002F0133" w:rsidRPr="000B4E2C" w:rsidRDefault="002F0133" w:rsidP="008A7464">
            <w:pPr>
              <w:rPr>
                <w:lang w:eastAsia="en-GB"/>
              </w:rPr>
            </w:pPr>
            <w:r w:rsidRPr="000B4E2C">
              <w:rPr>
                <w:lang w:eastAsia="en-GB"/>
              </w:rPr>
              <w:t>Arora</w:t>
            </w:r>
          </w:p>
        </w:tc>
        <w:tc>
          <w:tcPr>
            <w:tcW w:w="0" w:type="auto"/>
            <w:shd w:val="clear" w:color="auto" w:fill="auto"/>
            <w:noWrap/>
            <w:hideMark/>
          </w:tcPr>
          <w:p w14:paraId="487964EA"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4212EBD"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380AEF50" w14:textId="77777777" w:rsidR="002F0133" w:rsidRPr="000B4E2C" w:rsidRDefault="002F0133" w:rsidP="008A7464">
            <w:pPr>
              <w:rPr>
                <w:highlight w:val="green"/>
                <w:lang w:eastAsia="en-GB"/>
              </w:rPr>
            </w:pPr>
            <w:r w:rsidRPr="000B4E2C">
              <w:rPr>
                <w:highlight w:val="green"/>
                <w:lang w:eastAsia="en-GB"/>
              </w:rPr>
              <w:t>R. C. Arora and R. K. Singal. Is routine use of renal injury biomarkers in cardiac surgery patients putting the cart before the horse?. Journal of Thoracic and Cardiovascular Surgery, 154(3), 938-939. [15015]</w:t>
            </w:r>
          </w:p>
        </w:tc>
      </w:tr>
      <w:tr w:rsidR="002F0133" w:rsidRPr="000B4E2C" w14:paraId="711406F8" w14:textId="77777777" w:rsidTr="000B4E2C">
        <w:trPr>
          <w:cantSplit/>
        </w:trPr>
        <w:tc>
          <w:tcPr>
            <w:tcW w:w="0" w:type="auto"/>
            <w:shd w:val="clear" w:color="auto" w:fill="auto"/>
            <w:noWrap/>
            <w:hideMark/>
          </w:tcPr>
          <w:p w14:paraId="06275E6C" w14:textId="77777777" w:rsidR="002F0133" w:rsidRPr="000B4E2C" w:rsidRDefault="002F0133" w:rsidP="008A7464">
            <w:pPr>
              <w:rPr>
                <w:lang w:eastAsia="en-GB"/>
              </w:rPr>
            </w:pPr>
            <w:r w:rsidRPr="000B4E2C">
              <w:rPr>
                <w:lang w:eastAsia="en-GB"/>
              </w:rPr>
              <w:t>Arsalan</w:t>
            </w:r>
          </w:p>
        </w:tc>
        <w:tc>
          <w:tcPr>
            <w:tcW w:w="0" w:type="auto"/>
            <w:shd w:val="clear" w:color="auto" w:fill="auto"/>
            <w:noWrap/>
            <w:hideMark/>
          </w:tcPr>
          <w:p w14:paraId="2F5E0E8E"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466135B4" w14:textId="4BD5F52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A56053F" w14:textId="77777777" w:rsidR="002F0133" w:rsidRPr="000B4E2C" w:rsidRDefault="002F0133" w:rsidP="008A7464">
            <w:pPr>
              <w:rPr>
                <w:highlight w:val="green"/>
                <w:lang w:eastAsia="en-GB"/>
              </w:rPr>
            </w:pPr>
            <w:r w:rsidRPr="000B4E2C">
              <w:rPr>
                <w:highlight w:val="green"/>
                <w:lang w:eastAsia="en-GB"/>
              </w:rPr>
              <w:t>M. Arsalan, E. Ungchusri, R. Farkas, M. Johnson, R. J. Kim, G. Filardo, B. D. Pollock, M. Szerlip, M. J. Mack and E. M. Holper. Novel renal biomarker evaluation for early detection of acute kidney injury after transcatheter aortic valve implantation. Proceedings (Baylor University. Medical Center), 31(2), 171-176. [15017]</w:t>
            </w:r>
          </w:p>
        </w:tc>
      </w:tr>
      <w:tr w:rsidR="002F0133" w:rsidRPr="000B4E2C" w14:paraId="10682352" w14:textId="77777777" w:rsidTr="000B4E2C">
        <w:trPr>
          <w:cantSplit/>
        </w:trPr>
        <w:tc>
          <w:tcPr>
            <w:tcW w:w="0" w:type="auto"/>
            <w:shd w:val="clear" w:color="auto" w:fill="auto"/>
            <w:noWrap/>
            <w:hideMark/>
          </w:tcPr>
          <w:p w14:paraId="285C4411" w14:textId="77777777" w:rsidR="002F0133" w:rsidRPr="000B4E2C" w:rsidRDefault="002F0133" w:rsidP="008A7464">
            <w:pPr>
              <w:rPr>
                <w:lang w:eastAsia="en-GB"/>
              </w:rPr>
            </w:pPr>
            <w:r w:rsidRPr="000B4E2C">
              <w:rPr>
                <w:lang w:eastAsia="en-GB"/>
              </w:rPr>
              <w:t>Arthur</w:t>
            </w:r>
          </w:p>
        </w:tc>
        <w:tc>
          <w:tcPr>
            <w:tcW w:w="0" w:type="auto"/>
            <w:shd w:val="clear" w:color="auto" w:fill="auto"/>
            <w:noWrap/>
            <w:hideMark/>
          </w:tcPr>
          <w:p w14:paraId="76AC1045"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1F92DF0" w14:textId="15888C7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F64283B" w14:textId="77777777" w:rsidR="002F0133" w:rsidRPr="000B4E2C" w:rsidRDefault="002F0133" w:rsidP="008A7464">
            <w:pPr>
              <w:rPr>
                <w:highlight w:val="green"/>
                <w:lang w:eastAsia="en-GB"/>
              </w:rPr>
            </w:pPr>
            <w:r w:rsidRPr="000B4E2C">
              <w:rPr>
                <w:highlight w:val="green"/>
                <w:lang w:eastAsia="en-GB"/>
              </w:rPr>
              <w:t>J. M. Arthur, E. G. Hill, J. L. Alge, E. C. Lewis, B. A. Neely, M. G. Janech, J. A. Tumlin, L. S. Chawla and A. D. Shaw. Evaluation of 32 urine biomarkers to predict the progression of acute kidney injury after cardiac surgery. Kidney International, 85(2), 431-438. [15019]</w:t>
            </w:r>
          </w:p>
        </w:tc>
      </w:tr>
      <w:tr w:rsidR="002F0133" w:rsidRPr="000B4E2C" w14:paraId="6E71CF38" w14:textId="77777777" w:rsidTr="000B4E2C">
        <w:trPr>
          <w:cantSplit/>
        </w:trPr>
        <w:tc>
          <w:tcPr>
            <w:tcW w:w="0" w:type="auto"/>
            <w:shd w:val="clear" w:color="auto" w:fill="auto"/>
            <w:noWrap/>
            <w:hideMark/>
          </w:tcPr>
          <w:p w14:paraId="061FC9FF" w14:textId="77777777" w:rsidR="002F0133" w:rsidRPr="000B4E2C" w:rsidRDefault="002F0133" w:rsidP="008A7464">
            <w:pPr>
              <w:rPr>
                <w:lang w:eastAsia="en-GB"/>
              </w:rPr>
            </w:pPr>
            <w:r w:rsidRPr="000B4E2C">
              <w:rPr>
                <w:lang w:eastAsia="en-GB"/>
              </w:rPr>
              <w:t>Arun</w:t>
            </w:r>
          </w:p>
        </w:tc>
        <w:tc>
          <w:tcPr>
            <w:tcW w:w="0" w:type="auto"/>
            <w:shd w:val="clear" w:color="auto" w:fill="auto"/>
            <w:noWrap/>
            <w:hideMark/>
          </w:tcPr>
          <w:p w14:paraId="0C9500E0"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4B4F3E8E" w14:textId="418DF7D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A1FBBBB" w14:textId="77777777" w:rsidR="002F0133" w:rsidRPr="000B4E2C" w:rsidRDefault="002F0133" w:rsidP="008A7464">
            <w:pPr>
              <w:rPr>
                <w:highlight w:val="green"/>
                <w:lang w:eastAsia="en-GB"/>
              </w:rPr>
            </w:pPr>
            <w:r w:rsidRPr="000B4E2C">
              <w:rPr>
                <w:highlight w:val="green"/>
                <w:lang w:eastAsia="en-GB"/>
              </w:rPr>
              <w:t>O. Arun, G. Celik, B. Oc, A. Unlu, J. B. Celik, M. Oc and A. Duman. Renal effects of coronary artery bypass graft surgery in diabetic and non-diabetic patients: A study with urinary neutrophil gelatinase-associated lipocalin and serum Cystatin C. Kidney and Blood Pressure Research, 40(2), 141-152. [15020]</w:t>
            </w:r>
          </w:p>
        </w:tc>
      </w:tr>
      <w:tr w:rsidR="002F0133" w:rsidRPr="000B4E2C" w14:paraId="338B5BC0" w14:textId="77777777" w:rsidTr="000B4E2C">
        <w:trPr>
          <w:cantSplit/>
        </w:trPr>
        <w:tc>
          <w:tcPr>
            <w:tcW w:w="0" w:type="auto"/>
            <w:shd w:val="clear" w:color="auto" w:fill="auto"/>
            <w:noWrap/>
            <w:hideMark/>
          </w:tcPr>
          <w:p w14:paraId="1F2792D4" w14:textId="77777777" w:rsidR="002F0133" w:rsidRPr="000B4E2C" w:rsidRDefault="002F0133" w:rsidP="008A7464">
            <w:pPr>
              <w:rPr>
                <w:lang w:eastAsia="en-GB"/>
              </w:rPr>
            </w:pPr>
            <w:r w:rsidRPr="000B4E2C">
              <w:rPr>
                <w:lang w:eastAsia="en-GB"/>
              </w:rPr>
              <w:t>Ascher</w:t>
            </w:r>
          </w:p>
        </w:tc>
        <w:tc>
          <w:tcPr>
            <w:tcW w:w="0" w:type="auto"/>
            <w:shd w:val="clear" w:color="auto" w:fill="auto"/>
            <w:noWrap/>
            <w:hideMark/>
          </w:tcPr>
          <w:p w14:paraId="4C388FAE"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30ECD6AF"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08F4D490" w14:textId="77777777" w:rsidR="002F0133" w:rsidRPr="000B4E2C" w:rsidRDefault="002F0133" w:rsidP="008A7464">
            <w:pPr>
              <w:rPr>
                <w:highlight w:val="green"/>
                <w:lang w:eastAsia="en-GB"/>
              </w:rPr>
            </w:pPr>
            <w:r w:rsidRPr="000B4E2C">
              <w:rPr>
                <w:highlight w:val="green"/>
                <w:lang w:eastAsia="en-GB"/>
              </w:rPr>
              <w:t>S. B. Ascher, R. Scherzer, M. M. Estrella, W. R. Zhang, A. N. Muiru, V. Jotwani, C. Grunfeld, C. R. Parikh, D. Gustafson, M. Young, A. Sharma, M. H. Cohen, D. K. Ng, F. J. Palella, M. D. Witt, K. Ho and M. G. Shlipak. Association of urinary biomarkers of kidney injury with estimated GFR decline in HIV-infected individuals following tenofovir disoproxil fumarate initiation. Clinical Journal of the American Society of Nephrology, 13(9), 1321-1329. [15022]</w:t>
            </w:r>
          </w:p>
        </w:tc>
      </w:tr>
      <w:tr w:rsidR="002F0133" w:rsidRPr="000B4E2C" w14:paraId="6B5B2215" w14:textId="77777777" w:rsidTr="000B4E2C">
        <w:trPr>
          <w:cantSplit/>
        </w:trPr>
        <w:tc>
          <w:tcPr>
            <w:tcW w:w="0" w:type="auto"/>
            <w:shd w:val="clear" w:color="auto" w:fill="auto"/>
            <w:noWrap/>
            <w:hideMark/>
          </w:tcPr>
          <w:p w14:paraId="044B9A83" w14:textId="77777777" w:rsidR="002F0133" w:rsidRPr="000B4E2C" w:rsidRDefault="002F0133" w:rsidP="008A7464">
            <w:pPr>
              <w:rPr>
                <w:lang w:eastAsia="en-GB"/>
              </w:rPr>
            </w:pPr>
            <w:r w:rsidRPr="000B4E2C">
              <w:rPr>
                <w:lang w:eastAsia="en-GB"/>
              </w:rPr>
              <w:t>Ashalatha</w:t>
            </w:r>
          </w:p>
        </w:tc>
        <w:tc>
          <w:tcPr>
            <w:tcW w:w="0" w:type="auto"/>
            <w:shd w:val="clear" w:color="auto" w:fill="auto"/>
            <w:noWrap/>
            <w:hideMark/>
          </w:tcPr>
          <w:p w14:paraId="63734B2F"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591841BC"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129EA636" w14:textId="77777777" w:rsidR="002F0133" w:rsidRPr="000B4E2C" w:rsidRDefault="002F0133" w:rsidP="008A7464">
            <w:pPr>
              <w:rPr>
                <w:highlight w:val="green"/>
                <w:lang w:eastAsia="en-GB"/>
              </w:rPr>
            </w:pPr>
            <w:r w:rsidRPr="000B4E2C">
              <w:rPr>
                <w:highlight w:val="green"/>
                <w:lang w:eastAsia="en-GB"/>
              </w:rPr>
              <w:t>V. L. Ashalatha, A. R. Bitla, V. S. Kumar, D. Rajasekhar, M. M. Suchitra, A. Y. Lakshmi and P. V. L. N. S. Rao. Biomarker response to contrast administration in diabetic and nondiabetic patients following coronary angiography. Indian Journal of Nephrology, 27(1), 20-27. [15024]</w:t>
            </w:r>
          </w:p>
        </w:tc>
      </w:tr>
      <w:tr w:rsidR="002F0133" w:rsidRPr="000B4E2C" w14:paraId="43F7CD7A" w14:textId="77777777" w:rsidTr="000B4E2C">
        <w:trPr>
          <w:cantSplit/>
        </w:trPr>
        <w:tc>
          <w:tcPr>
            <w:tcW w:w="0" w:type="auto"/>
            <w:shd w:val="clear" w:color="auto" w:fill="auto"/>
            <w:noWrap/>
            <w:hideMark/>
          </w:tcPr>
          <w:p w14:paraId="22376FE0" w14:textId="77777777" w:rsidR="002F0133" w:rsidRPr="000B4E2C" w:rsidRDefault="002F0133" w:rsidP="008A7464">
            <w:pPr>
              <w:rPr>
                <w:lang w:eastAsia="en-GB"/>
              </w:rPr>
            </w:pPr>
            <w:r w:rsidRPr="000B4E2C">
              <w:rPr>
                <w:lang w:eastAsia="en-GB"/>
              </w:rPr>
              <w:t>Askenazi</w:t>
            </w:r>
          </w:p>
        </w:tc>
        <w:tc>
          <w:tcPr>
            <w:tcW w:w="0" w:type="auto"/>
            <w:shd w:val="clear" w:color="auto" w:fill="auto"/>
            <w:noWrap/>
            <w:hideMark/>
          </w:tcPr>
          <w:p w14:paraId="43CB9BBF"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7522D124"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3BE3B5A" w14:textId="77777777" w:rsidR="002F0133" w:rsidRPr="000B4E2C" w:rsidRDefault="002F0133" w:rsidP="008A7464">
            <w:pPr>
              <w:rPr>
                <w:highlight w:val="green"/>
                <w:lang w:eastAsia="en-GB"/>
              </w:rPr>
            </w:pPr>
            <w:r w:rsidRPr="000B4E2C">
              <w:rPr>
                <w:highlight w:val="green"/>
                <w:lang w:eastAsia="en-GB"/>
              </w:rPr>
              <w:t>D. J. Askenazi, A. Montesanti, H. Hunley, R. Koralkar, P. Pawar, F. Shuaib, A. Liwo, P. Devarajan and N. Ambalavanan. Urine biomarkers predict acute kidney injury and mortality in very low birth weight infants. Journal of Pediatrics, 159(6), 907. [15030]</w:t>
            </w:r>
          </w:p>
        </w:tc>
      </w:tr>
      <w:tr w:rsidR="002F0133" w:rsidRPr="000B4E2C" w14:paraId="454424EB" w14:textId="77777777" w:rsidTr="000B4E2C">
        <w:trPr>
          <w:cantSplit/>
        </w:trPr>
        <w:tc>
          <w:tcPr>
            <w:tcW w:w="0" w:type="auto"/>
            <w:shd w:val="clear" w:color="auto" w:fill="auto"/>
            <w:noWrap/>
            <w:hideMark/>
          </w:tcPr>
          <w:p w14:paraId="14929CBC" w14:textId="77777777" w:rsidR="002F0133" w:rsidRPr="000B4E2C" w:rsidRDefault="002F0133" w:rsidP="008A7464">
            <w:pPr>
              <w:rPr>
                <w:lang w:eastAsia="en-GB"/>
              </w:rPr>
            </w:pPr>
            <w:r w:rsidRPr="000B4E2C">
              <w:rPr>
                <w:lang w:eastAsia="en-GB"/>
              </w:rPr>
              <w:t>Askenazi</w:t>
            </w:r>
          </w:p>
        </w:tc>
        <w:tc>
          <w:tcPr>
            <w:tcW w:w="0" w:type="auto"/>
            <w:shd w:val="clear" w:color="auto" w:fill="auto"/>
            <w:noWrap/>
            <w:hideMark/>
          </w:tcPr>
          <w:p w14:paraId="5793A2D9"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55DB54C5"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A4FDFA8" w14:textId="77777777" w:rsidR="002F0133" w:rsidRPr="000B4E2C" w:rsidRDefault="002F0133" w:rsidP="008A7464">
            <w:pPr>
              <w:rPr>
                <w:highlight w:val="green"/>
                <w:lang w:eastAsia="en-GB"/>
              </w:rPr>
            </w:pPr>
            <w:r w:rsidRPr="000B4E2C">
              <w:rPr>
                <w:highlight w:val="green"/>
                <w:lang w:val="da-DK" w:eastAsia="en-GB"/>
              </w:rPr>
              <w:t xml:space="preserve">D. J. Askenazi, R. Koralkar, E. B. Levitan, S. L. Goldstein, P. Devarajan, S. Khandrika, R. L. Mehta and N. Ambalavanan. </w:t>
            </w:r>
            <w:r w:rsidRPr="000B4E2C">
              <w:rPr>
                <w:highlight w:val="green"/>
                <w:lang w:eastAsia="en-GB"/>
              </w:rPr>
              <w:t>Baseline values of candidate urine acute kidney injury biomarkers vary by gestational age in premature infants. Pediatric Research, 70(3), 302-306. [15031]</w:t>
            </w:r>
          </w:p>
        </w:tc>
      </w:tr>
      <w:tr w:rsidR="002F0133" w:rsidRPr="000B4E2C" w14:paraId="615F35AD" w14:textId="77777777" w:rsidTr="000B4E2C">
        <w:trPr>
          <w:cantSplit/>
        </w:trPr>
        <w:tc>
          <w:tcPr>
            <w:tcW w:w="0" w:type="auto"/>
            <w:shd w:val="clear" w:color="auto" w:fill="auto"/>
            <w:noWrap/>
            <w:hideMark/>
          </w:tcPr>
          <w:p w14:paraId="624932FF" w14:textId="77777777" w:rsidR="002F0133" w:rsidRPr="000B4E2C" w:rsidRDefault="002F0133" w:rsidP="008A7464">
            <w:pPr>
              <w:rPr>
                <w:lang w:eastAsia="en-GB"/>
              </w:rPr>
            </w:pPr>
            <w:r w:rsidRPr="000B4E2C">
              <w:rPr>
                <w:lang w:eastAsia="en-GB"/>
              </w:rPr>
              <w:t>Askenazi</w:t>
            </w:r>
          </w:p>
        </w:tc>
        <w:tc>
          <w:tcPr>
            <w:tcW w:w="0" w:type="auto"/>
            <w:shd w:val="clear" w:color="auto" w:fill="auto"/>
            <w:noWrap/>
            <w:hideMark/>
          </w:tcPr>
          <w:p w14:paraId="2D36427F"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15A1BE28" w14:textId="7B23500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908CAF6" w14:textId="77777777" w:rsidR="002F0133" w:rsidRPr="000B4E2C" w:rsidRDefault="002F0133" w:rsidP="008A7464">
            <w:pPr>
              <w:rPr>
                <w:highlight w:val="green"/>
                <w:lang w:eastAsia="en-GB"/>
              </w:rPr>
            </w:pPr>
            <w:r w:rsidRPr="000B4E2C">
              <w:rPr>
                <w:highlight w:val="green"/>
                <w:lang w:eastAsia="en-GB"/>
              </w:rPr>
              <w:t>D. J. Askenazi, R. Koralkar, H. E. Hundley, A. Montesanti, P. Parwar, S. Sonjara and N. Ambalavanan. Urine biomarkers predict acute kidney injury in newborns. Journal of Pediatrics, 161(2), 270. [15029]</w:t>
            </w:r>
          </w:p>
        </w:tc>
      </w:tr>
      <w:tr w:rsidR="002F0133" w:rsidRPr="000B4E2C" w14:paraId="6E5B5EE3" w14:textId="77777777" w:rsidTr="000B4E2C">
        <w:trPr>
          <w:cantSplit/>
        </w:trPr>
        <w:tc>
          <w:tcPr>
            <w:tcW w:w="0" w:type="auto"/>
            <w:shd w:val="clear" w:color="auto" w:fill="auto"/>
            <w:noWrap/>
            <w:hideMark/>
          </w:tcPr>
          <w:p w14:paraId="1C9B26DC" w14:textId="77777777" w:rsidR="002F0133" w:rsidRPr="000B4E2C" w:rsidRDefault="002F0133" w:rsidP="008A7464">
            <w:pPr>
              <w:rPr>
                <w:lang w:eastAsia="en-GB"/>
              </w:rPr>
            </w:pPr>
            <w:r w:rsidRPr="000B4E2C">
              <w:rPr>
                <w:lang w:eastAsia="en-GB"/>
              </w:rPr>
              <w:t>Askenazi</w:t>
            </w:r>
          </w:p>
        </w:tc>
        <w:tc>
          <w:tcPr>
            <w:tcW w:w="0" w:type="auto"/>
            <w:shd w:val="clear" w:color="auto" w:fill="auto"/>
            <w:noWrap/>
            <w:hideMark/>
          </w:tcPr>
          <w:p w14:paraId="072E86D0"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1EF69894"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5483663" w14:textId="77777777" w:rsidR="002F0133" w:rsidRPr="000B4E2C" w:rsidRDefault="002F0133" w:rsidP="008A7464">
            <w:pPr>
              <w:rPr>
                <w:highlight w:val="green"/>
                <w:lang w:eastAsia="en-GB"/>
              </w:rPr>
            </w:pPr>
            <w:r w:rsidRPr="000B4E2C">
              <w:rPr>
                <w:highlight w:val="green"/>
                <w:lang w:eastAsia="en-GB"/>
              </w:rPr>
              <w:t>D. J. Askenazi, R. Koralkar, N. Patil, B. Halloran, N. Ambalavanan and R. Griffin. Acute kidney injury urine biomarkers in very low-birth-weight infants. Clinical Journal of the American Society of Nephrology, 11(9), 1527-1535. [15028]</w:t>
            </w:r>
          </w:p>
        </w:tc>
      </w:tr>
      <w:tr w:rsidR="002F0133" w:rsidRPr="000B4E2C" w14:paraId="4A0B0308" w14:textId="77777777" w:rsidTr="000B4E2C">
        <w:trPr>
          <w:cantSplit/>
        </w:trPr>
        <w:tc>
          <w:tcPr>
            <w:tcW w:w="0" w:type="auto"/>
            <w:shd w:val="clear" w:color="auto" w:fill="auto"/>
            <w:noWrap/>
            <w:hideMark/>
          </w:tcPr>
          <w:p w14:paraId="42540C19" w14:textId="77777777" w:rsidR="002F0133" w:rsidRPr="000B4E2C" w:rsidRDefault="002F0133" w:rsidP="008A7464">
            <w:pPr>
              <w:rPr>
                <w:lang w:eastAsia="en-GB"/>
              </w:rPr>
            </w:pPr>
            <w:r w:rsidRPr="000B4E2C">
              <w:rPr>
                <w:lang w:eastAsia="en-GB"/>
              </w:rPr>
              <w:lastRenderedPageBreak/>
              <w:t>Assadi</w:t>
            </w:r>
          </w:p>
        </w:tc>
        <w:tc>
          <w:tcPr>
            <w:tcW w:w="0" w:type="auto"/>
            <w:shd w:val="clear" w:color="auto" w:fill="auto"/>
            <w:noWrap/>
            <w:hideMark/>
          </w:tcPr>
          <w:p w14:paraId="2D60E8A2"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79C9689D" w14:textId="2F8B45E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EBF401A" w14:textId="77777777" w:rsidR="002F0133" w:rsidRPr="000B4E2C" w:rsidRDefault="002F0133" w:rsidP="008A7464">
            <w:pPr>
              <w:rPr>
                <w:highlight w:val="green"/>
                <w:lang w:eastAsia="en-GB"/>
              </w:rPr>
            </w:pPr>
            <w:r w:rsidRPr="000B4E2C">
              <w:rPr>
                <w:highlight w:val="green"/>
                <w:lang w:eastAsia="en-GB"/>
              </w:rPr>
              <w:t>F. Assadi and F. G. Sharbaf. Urine KIM-1 as a Potential Biomarker of Acute Renal Injury after Circulatory Collapse in Children. Pediatric Emergency Care, 35(2), 104-107. [15033]</w:t>
            </w:r>
          </w:p>
        </w:tc>
      </w:tr>
      <w:tr w:rsidR="002F0133" w:rsidRPr="000B4E2C" w14:paraId="2D9AF8E9" w14:textId="77777777" w:rsidTr="000B4E2C">
        <w:trPr>
          <w:cantSplit/>
        </w:trPr>
        <w:tc>
          <w:tcPr>
            <w:tcW w:w="0" w:type="auto"/>
            <w:shd w:val="clear" w:color="auto" w:fill="auto"/>
            <w:noWrap/>
            <w:hideMark/>
          </w:tcPr>
          <w:p w14:paraId="23801EBA" w14:textId="77777777" w:rsidR="002F0133" w:rsidRPr="000B4E2C" w:rsidRDefault="002F0133" w:rsidP="008A7464">
            <w:pPr>
              <w:rPr>
                <w:lang w:eastAsia="en-GB"/>
              </w:rPr>
            </w:pPr>
            <w:r w:rsidRPr="000B4E2C">
              <w:rPr>
                <w:lang w:eastAsia="en-GB"/>
              </w:rPr>
              <w:t>Ataei</w:t>
            </w:r>
          </w:p>
        </w:tc>
        <w:tc>
          <w:tcPr>
            <w:tcW w:w="0" w:type="auto"/>
            <w:shd w:val="clear" w:color="auto" w:fill="auto"/>
            <w:noWrap/>
            <w:hideMark/>
          </w:tcPr>
          <w:p w14:paraId="052790BA"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59E7EA2A" w14:textId="47CA962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10F28BF" w14:textId="77777777" w:rsidR="002F0133" w:rsidRPr="000B4E2C" w:rsidRDefault="002F0133" w:rsidP="008A7464">
            <w:pPr>
              <w:rPr>
                <w:highlight w:val="green"/>
                <w:lang w:eastAsia="en-GB"/>
              </w:rPr>
            </w:pPr>
            <w:r w:rsidRPr="000B4E2C">
              <w:rPr>
                <w:highlight w:val="green"/>
                <w:lang w:eastAsia="en-GB"/>
              </w:rPr>
              <w:t>S. Ataei, M. Hadjibabaie, A. Moslehi, M. Taghizadeh-Ghehi, A. Ashouri, E. Amini, K. Gholami, A. Hayatshahi, M. Vaezi and A. Ghavamzadeh. A double-blind, randomized, controlled trial on N-acetylcysteine for the prevention of acute kidney injury in patients undergoing allogeneic hematopoietic stem cell transplantation. Hematological Oncology, 33(2), 67-74. [15037]</w:t>
            </w:r>
          </w:p>
        </w:tc>
      </w:tr>
      <w:tr w:rsidR="002F0133" w:rsidRPr="000B4E2C" w14:paraId="15D7AD17" w14:textId="77777777" w:rsidTr="000B4E2C">
        <w:trPr>
          <w:cantSplit/>
        </w:trPr>
        <w:tc>
          <w:tcPr>
            <w:tcW w:w="0" w:type="auto"/>
            <w:shd w:val="clear" w:color="auto" w:fill="auto"/>
            <w:noWrap/>
            <w:hideMark/>
          </w:tcPr>
          <w:p w14:paraId="2D4BCE19" w14:textId="77777777" w:rsidR="002F0133" w:rsidRPr="000B4E2C" w:rsidRDefault="002F0133" w:rsidP="008A7464">
            <w:pPr>
              <w:rPr>
                <w:lang w:eastAsia="en-GB"/>
              </w:rPr>
            </w:pPr>
            <w:r w:rsidRPr="000B4E2C">
              <w:rPr>
                <w:lang w:eastAsia="en-GB"/>
              </w:rPr>
              <w:t>Ataei</w:t>
            </w:r>
          </w:p>
        </w:tc>
        <w:tc>
          <w:tcPr>
            <w:tcW w:w="0" w:type="auto"/>
            <w:shd w:val="clear" w:color="auto" w:fill="auto"/>
            <w:noWrap/>
            <w:hideMark/>
          </w:tcPr>
          <w:p w14:paraId="502E6B8C"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FE0CB3A" w14:textId="047F729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DE14318" w14:textId="77777777" w:rsidR="002F0133" w:rsidRPr="000B4E2C" w:rsidRDefault="002F0133" w:rsidP="008A7464">
            <w:pPr>
              <w:rPr>
                <w:highlight w:val="green"/>
                <w:lang w:eastAsia="en-GB"/>
              </w:rPr>
            </w:pPr>
            <w:r w:rsidRPr="000B4E2C">
              <w:rPr>
                <w:highlight w:val="green"/>
                <w:lang w:eastAsia="en-GB"/>
              </w:rPr>
              <w:t>N. Ataei, S. Ameli, M. Yousefifard, A. Oraei, F. Ataei, B. Bazargani, A. Abbasi and M. Hosseini. Urinary Neutrophil Gelatinase-Associated Lipocalin (NGAL) and Cystatin C in Early Detection of Pediatric Acute Kidney Injury; a Diagnostic Accuracy Study. Emergency (Tehran, Iran), 6(1), e2. [15035]</w:t>
            </w:r>
          </w:p>
        </w:tc>
      </w:tr>
      <w:tr w:rsidR="002F0133" w:rsidRPr="000B4E2C" w14:paraId="648D41F1" w14:textId="77777777" w:rsidTr="000B4E2C">
        <w:trPr>
          <w:cantSplit/>
        </w:trPr>
        <w:tc>
          <w:tcPr>
            <w:tcW w:w="0" w:type="auto"/>
            <w:shd w:val="clear" w:color="auto" w:fill="auto"/>
            <w:noWrap/>
            <w:hideMark/>
          </w:tcPr>
          <w:p w14:paraId="0E17F5C5" w14:textId="77777777" w:rsidR="002F0133" w:rsidRPr="000B4E2C" w:rsidRDefault="002F0133" w:rsidP="008A7464">
            <w:pPr>
              <w:rPr>
                <w:lang w:eastAsia="en-GB"/>
              </w:rPr>
            </w:pPr>
            <w:r w:rsidRPr="000B4E2C">
              <w:rPr>
                <w:lang w:eastAsia="en-GB"/>
              </w:rPr>
              <w:t>Au</w:t>
            </w:r>
          </w:p>
        </w:tc>
        <w:tc>
          <w:tcPr>
            <w:tcW w:w="0" w:type="auto"/>
            <w:shd w:val="clear" w:color="auto" w:fill="auto"/>
            <w:noWrap/>
            <w:hideMark/>
          </w:tcPr>
          <w:p w14:paraId="483C32B3"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4871D657"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5238B53A" w14:textId="77777777" w:rsidR="002F0133" w:rsidRPr="000B4E2C" w:rsidRDefault="002F0133" w:rsidP="008A7464">
            <w:pPr>
              <w:rPr>
                <w:highlight w:val="green"/>
                <w:lang w:eastAsia="en-GB"/>
              </w:rPr>
            </w:pPr>
            <w:r w:rsidRPr="000B4E2C">
              <w:rPr>
                <w:highlight w:val="green"/>
                <w:lang w:eastAsia="en-GB"/>
              </w:rPr>
              <w:t>V. Au, J. Feit, J. Barasch, R. N. Sladen and G. Wagener. Urinary neutrophil gelatinase-associated lipocalin (NGAL) distinguishes sustained from transient acute kidney injury after general surgery. Kidney international reports, 1(1), 3-9. [15038]</w:t>
            </w:r>
          </w:p>
        </w:tc>
      </w:tr>
      <w:tr w:rsidR="002F0133" w:rsidRPr="000B4E2C" w14:paraId="5C2A7519" w14:textId="77777777" w:rsidTr="000B4E2C">
        <w:trPr>
          <w:cantSplit/>
        </w:trPr>
        <w:tc>
          <w:tcPr>
            <w:tcW w:w="0" w:type="auto"/>
            <w:shd w:val="clear" w:color="auto" w:fill="auto"/>
            <w:noWrap/>
            <w:hideMark/>
          </w:tcPr>
          <w:p w14:paraId="1A27AC85" w14:textId="77777777" w:rsidR="002F0133" w:rsidRPr="000B4E2C" w:rsidRDefault="002F0133" w:rsidP="008A7464">
            <w:pPr>
              <w:rPr>
                <w:lang w:eastAsia="en-GB"/>
              </w:rPr>
            </w:pPr>
            <w:r w:rsidRPr="000B4E2C">
              <w:rPr>
                <w:lang w:eastAsia="en-GB"/>
              </w:rPr>
              <w:t>Audard</w:t>
            </w:r>
          </w:p>
        </w:tc>
        <w:tc>
          <w:tcPr>
            <w:tcW w:w="0" w:type="auto"/>
            <w:shd w:val="clear" w:color="auto" w:fill="auto"/>
            <w:noWrap/>
            <w:hideMark/>
          </w:tcPr>
          <w:p w14:paraId="7F12285A"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76A3142E" w14:textId="777CFD7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94A22EB" w14:textId="77777777" w:rsidR="002F0133" w:rsidRPr="000B4E2C" w:rsidRDefault="002F0133" w:rsidP="008A7464">
            <w:pPr>
              <w:rPr>
                <w:highlight w:val="green"/>
                <w:lang w:eastAsia="en-GB"/>
              </w:rPr>
            </w:pPr>
            <w:r w:rsidRPr="000B4E2C">
              <w:rPr>
                <w:highlight w:val="green"/>
                <w:lang w:eastAsia="en-GB"/>
              </w:rPr>
              <w:t>V. Audard, S. Moutereau, G. Vandemelebrouck, A. Habibi, M. Khellaf, P. Grimbert, Y. Levy, S. Loric, B. Renaud, P. Lang, B. Godeau, F. Galacteros and P. Bartolucci. First evidence of subclinical renal tubular injury during sickle-cell crisis. Orphanet Journal of Rare Diseases, 9(1), 67. [15039]</w:t>
            </w:r>
          </w:p>
        </w:tc>
      </w:tr>
      <w:tr w:rsidR="002F0133" w:rsidRPr="000B4E2C" w14:paraId="40CB5DA6" w14:textId="77777777" w:rsidTr="000B4E2C">
        <w:trPr>
          <w:cantSplit/>
        </w:trPr>
        <w:tc>
          <w:tcPr>
            <w:tcW w:w="0" w:type="auto"/>
            <w:shd w:val="clear" w:color="auto" w:fill="auto"/>
            <w:noWrap/>
            <w:hideMark/>
          </w:tcPr>
          <w:p w14:paraId="63DB3737" w14:textId="77777777" w:rsidR="002F0133" w:rsidRPr="000B4E2C" w:rsidRDefault="002F0133" w:rsidP="008A7464">
            <w:pPr>
              <w:rPr>
                <w:lang w:eastAsia="en-GB"/>
              </w:rPr>
            </w:pPr>
            <w:r w:rsidRPr="000B4E2C">
              <w:rPr>
                <w:lang w:eastAsia="en-GB"/>
              </w:rPr>
              <w:t>Axelrod</w:t>
            </w:r>
          </w:p>
        </w:tc>
        <w:tc>
          <w:tcPr>
            <w:tcW w:w="0" w:type="auto"/>
            <w:shd w:val="clear" w:color="auto" w:fill="auto"/>
            <w:noWrap/>
            <w:hideMark/>
          </w:tcPr>
          <w:p w14:paraId="6BE231D6"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F9EDE6B"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6CC79C7D" w14:textId="77777777" w:rsidR="002F0133" w:rsidRPr="000B4E2C" w:rsidRDefault="002F0133" w:rsidP="008A7464">
            <w:pPr>
              <w:rPr>
                <w:highlight w:val="green"/>
                <w:lang w:eastAsia="en-GB"/>
              </w:rPr>
            </w:pPr>
            <w:r w:rsidRPr="000B4E2C">
              <w:rPr>
                <w:highlight w:val="green"/>
                <w:lang w:eastAsia="en-GB"/>
              </w:rPr>
              <w:t>D. M. Axelrod, S. M. Sutherland, A. Anglemyer, P. C. Grimm and S. J. Roth. A Double-Blinded, Randomized, Placebo-Controlled Clinical Trial of Aminophylline to Prevent Acute Kidney Injury in Children Following Congenital Heart Surgery with Cardiopulmonary Bypass. Pediatric Critical Care Medicine, 17(2), 135-143. [15041]</w:t>
            </w:r>
          </w:p>
        </w:tc>
      </w:tr>
      <w:tr w:rsidR="002F0133" w:rsidRPr="000B4E2C" w14:paraId="739BF97A" w14:textId="77777777" w:rsidTr="000B4E2C">
        <w:trPr>
          <w:cantSplit/>
        </w:trPr>
        <w:tc>
          <w:tcPr>
            <w:tcW w:w="0" w:type="auto"/>
            <w:shd w:val="clear" w:color="auto" w:fill="auto"/>
            <w:noWrap/>
            <w:hideMark/>
          </w:tcPr>
          <w:p w14:paraId="54D4750E" w14:textId="77777777" w:rsidR="002F0133" w:rsidRPr="000B4E2C" w:rsidRDefault="002F0133" w:rsidP="008A7464">
            <w:pPr>
              <w:rPr>
                <w:lang w:eastAsia="en-GB"/>
              </w:rPr>
            </w:pPr>
            <w:r w:rsidRPr="000B4E2C">
              <w:rPr>
                <w:lang w:eastAsia="en-GB"/>
              </w:rPr>
              <w:t>Aydin</w:t>
            </w:r>
          </w:p>
        </w:tc>
        <w:tc>
          <w:tcPr>
            <w:tcW w:w="0" w:type="auto"/>
            <w:shd w:val="clear" w:color="auto" w:fill="auto"/>
            <w:noWrap/>
            <w:hideMark/>
          </w:tcPr>
          <w:p w14:paraId="759B8C6C"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6B67127A" w14:textId="2E7CBBC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C3CCD46" w14:textId="77777777" w:rsidR="002F0133" w:rsidRPr="000B4E2C" w:rsidRDefault="002F0133" w:rsidP="008A7464">
            <w:pPr>
              <w:rPr>
                <w:highlight w:val="green"/>
                <w:lang w:eastAsia="en-GB"/>
              </w:rPr>
            </w:pPr>
            <w:r w:rsidRPr="000B4E2C">
              <w:rPr>
                <w:highlight w:val="green"/>
                <w:lang w:eastAsia="en-GB"/>
              </w:rPr>
              <w:t>S. A. Aydin, S. Pozam, F. Ozdemir, M. L. Ozkan and O. Koksal. The role of Neutrophil Gelatinase-Associated Lipocalin in identifying contrast induced nephropathy development in the emergency department. Journal of the Pakistan Medical Association, 64(10), 1109-1113. [15042]</w:t>
            </w:r>
          </w:p>
        </w:tc>
      </w:tr>
      <w:tr w:rsidR="002F0133" w:rsidRPr="000B4E2C" w14:paraId="7B1556FF" w14:textId="77777777" w:rsidTr="000B4E2C">
        <w:trPr>
          <w:cantSplit/>
        </w:trPr>
        <w:tc>
          <w:tcPr>
            <w:tcW w:w="0" w:type="auto"/>
            <w:shd w:val="clear" w:color="auto" w:fill="auto"/>
            <w:noWrap/>
            <w:hideMark/>
          </w:tcPr>
          <w:p w14:paraId="41BEB1AF" w14:textId="77777777" w:rsidR="002F0133" w:rsidRPr="000B4E2C" w:rsidRDefault="002F0133" w:rsidP="008A7464">
            <w:pPr>
              <w:rPr>
                <w:lang w:eastAsia="en-GB"/>
              </w:rPr>
            </w:pPr>
            <w:r w:rsidRPr="000B4E2C">
              <w:rPr>
                <w:lang w:eastAsia="en-GB"/>
              </w:rPr>
              <w:t>Aydogdu</w:t>
            </w:r>
          </w:p>
        </w:tc>
        <w:tc>
          <w:tcPr>
            <w:tcW w:w="0" w:type="auto"/>
            <w:shd w:val="clear" w:color="auto" w:fill="auto"/>
            <w:noWrap/>
            <w:hideMark/>
          </w:tcPr>
          <w:p w14:paraId="4BB363DC"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3C0ACE3B"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05968913" w14:textId="77777777" w:rsidR="002F0133" w:rsidRPr="000B4E2C" w:rsidRDefault="002F0133" w:rsidP="008A7464">
            <w:pPr>
              <w:rPr>
                <w:highlight w:val="green"/>
                <w:lang w:eastAsia="en-GB"/>
              </w:rPr>
            </w:pPr>
            <w:r w:rsidRPr="000B4E2C">
              <w:rPr>
                <w:highlight w:val="green"/>
                <w:lang w:eastAsia="en-GB"/>
              </w:rPr>
              <w:t>M. Aydogdu, G. Gursel, B. Sancak, S. Yeni, G. Sari, S. Tasyurek, M. Turk, S. Yuksel, M. Senes and T. N. Ozis. The use of plasma and urine neutrophil gelatinase associated lipocalin (NGAL) and Cystatin C in early diagnosis of septic acute kidney injury in critically ill patients. Disease Markers, 34(4), 237-246. [15043]</w:t>
            </w:r>
          </w:p>
        </w:tc>
      </w:tr>
      <w:tr w:rsidR="002F0133" w:rsidRPr="000B4E2C" w14:paraId="1051DBE3" w14:textId="77777777" w:rsidTr="000B4E2C">
        <w:trPr>
          <w:cantSplit/>
        </w:trPr>
        <w:tc>
          <w:tcPr>
            <w:tcW w:w="0" w:type="auto"/>
            <w:shd w:val="clear" w:color="auto" w:fill="auto"/>
            <w:noWrap/>
            <w:hideMark/>
          </w:tcPr>
          <w:p w14:paraId="7CB75E35" w14:textId="77777777" w:rsidR="002F0133" w:rsidRPr="000B4E2C" w:rsidRDefault="002F0133" w:rsidP="008A7464">
            <w:pPr>
              <w:rPr>
                <w:lang w:eastAsia="en-GB"/>
              </w:rPr>
            </w:pPr>
            <w:r w:rsidRPr="000B4E2C">
              <w:rPr>
                <w:lang w:eastAsia="en-GB"/>
              </w:rPr>
              <w:t>Azzalini</w:t>
            </w:r>
          </w:p>
        </w:tc>
        <w:tc>
          <w:tcPr>
            <w:tcW w:w="0" w:type="auto"/>
            <w:shd w:val="clear" w:color="auto" w:fill="auto"/>
            <w:noWrap/>
            <w:hideMark/>
          </w:tcPr>
          <w:p w14:paraId="21A614E9"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B7CF9A5"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04822854" w14:textId="77777777" w:rsidR="002F0133" w:rsidRPr="000B4E2C" w:rsidRDefault="002F0133" w:rsidP="008A7464">
            <w:pPr>
              <w:rPr>
                <w:highlight w:val="green"/>
                <w:lang w:eastAsia="en-GB"/>
              </w:rPr>
            </w:pPr>
            <w:r w:rsidRPr="000B4E2C">
              <w:rPr>
                <w:highlight w:val="green"/>
                <w:lang w:eastAsia="en-GB"/>
              </w:rPr>
              <w:t>L. Azzalini and X. Garcia-Moll. On Contrast-Induced Acute Kidney Injury, Risk Prediction, and the Future of Predictive Model Development. Canadian Journal of Cardiology, 33(6), 711-713. [15044]</w:t>
            </w:r>
          </w:p>
        </w:tc>
      </w:tr>
      <w:tr w:rsidR="002F0133" w:rsidRPr="000B4E2C" w14:paraId="1CB064CE" w14:textId="77777777" w:rsidTr="000B4E2C">
        <w:trPr>
          <w:cantSplit/>
        </w:trPr>
        <w:tc>
          <w:tcPr>
            <w:tcW w:w="0" w:type="auto"/>
            <w:shd w:val="clear" w:color="auto" w:fill="auto"/>
            <w:noWrap/>
            <w:hideMark/>
          </w:tcPr>
          <w:p w14:paraId="2F6D3DE0" w14:textId="77777777" w:rsidR="002F0133" w:rsidRPr="000B4E2C" w:rsidRDefault="002F0133" w:rsidP="008A7464">
            <w:pPr>
              <w:rPr>
                <w:lang w:eastAsia="en-GB"/>
              </w:rPr>
            </w:pPr>
            <w:r w:rsidRPr="000B4E2C">
              <w:rPr>
                <w:lang w:eastAsia="en-GB"/>
              </w:rPr>
              <w:t>Bachorzewska-Gajewska</w:t>
            </w:r>
          </w:p>
        </w:tc>
        <w:tc>
          <w:tcPr>
            <w:tcW w:w="0" w:type="auto"/>
            <w:shd w:val="clear" w:color="auto" w:fill="auto"/>
            <w:noWrap/>
            <w:hideMark/>
          </w:tcPr>
          <w:p w14:paraId="0CEB8CE0" w14:textId="77777777" w:rsidR="002F0133" w:rsidRPr="000B4E2C" w:rsidRDefault="002F0133" w:rsidP="008A7464">
            <w:pPr>
              <w:jc w:val="center"/>
              <w:rPr>
                <w:lang w:eastAsia="en-GB"/>
              </w:rPr>
            </w:pPr>
            <w:r w:rsidRPr="000B4E2C">
              <w:rPr>
                <w:lang w:eastAsia="en-GB"/>
              </w:rPr>
              <w:t>2006</w:t>
            </w:r>
          </w:p>
        </w:tc>
        <w:tc>
          <w:tcPr>
            <w:tcW w:w="0" w:type="auto"/>
            <w:shd w:val="clear" w:color="auto" w:fill="auto"/>
            <w:noWrap/>
            <w:hideMark/>
          </w:tcPr>
          <w:p w14:paraId="43882054" w14:textId="6C145A0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84CFDC5" w14:textId="77777777" w:rsidR="002F0133" w:rsidRPr="000B4E2C" w:rsidRDefault="002F0133" w:rsidP="008A7464">
            <w:pPr>
              <w:rPr>
                <w:highlight w:val="green"/>
                <w:lang w:eastAsia="en-GB"/>
              </w:rPr>
            </w:pPr>
            <w:r w:rsidRPr="000B4E2C">
              <w:rPr>
                <w:highlight w:val="green"/>
                <w:lang w:eastAsia="en-GB"/>
              </w:rPr>
              <w:t>H. Bachorzewska-Gajewska, J. Malyszko, E. Sitniewska, J. S. Malyszko and S. Dobrzycki. Neutrophil-gelatinase-associated lipocalin and renal function after percutaneous coronary interventions. American Journal of Nephrology, 26(3), 287-92. [4025]</w:t>
            </w:r>
          </w:p>
        </w:tc>
      </w:tr>
      <w:tr w:rsidR="002F0133" w:rsidRPr="000B4E2C" w14:paraId="2FD06AD4" w14:textId="77777777" w:rsidTr="000B4E2C">
        <w:trPr>
          <w:cantSplit/>
        </w:trPr>
        <w:tc>
          <w:tcPr>
            <w:tcW w:w="0" w:type="auto"/>
            <w:shd w:val="clear" w:color="auto" w:fill="auto"/>
            <w:noWrap/>
            <w:hideMark/>
          </w:tcPr>
          <w:p w14:paraId="3617FE71" w14:textId="77777777" w:rsidR="002F0133" w:rsidRPr="000B4E2C" w:rsidRDefault="002F0133" w:rsidP="008A7464">
            <w:pPr>
              <w:rPr>
                <w:lang w:eastAsia="en-GB"/>
              </w:rPr>
            </w:pPr>
            <w:r w:rsidRPr="000B4E2C">
              <w:rPr>
                <w:lang w:eastAsia="en-GB"/>
              </w:rPr>
              <w:lastRenderedPageBreak/>
              <w:t>Bachorzewska-Gajewska</w:t>
            </w:r>
          </w:p>
        </w:tc>
        <w:tc>
          <w:tcPr>
            <w:tcW w:w="0" w:type="auto"/>
            <w:shd w:val="clear" w:color="auto" w:fill="auto"/>
            <w:noWrap/>
            <w:hideMark/>
          </w:tcPr>
          <w:p w14:paraId="5188F317" w14:textId="77777777" w:rsidR="002F0133" w:rsidRPr="000B4E2C" w:rsidRDefault="002F0133" w:rsidP="008A7464">
            <w:pPr>
              <w:jc w:val="center"/>
              <w:rPr>
                <w:lang w:eastAsia="en-GB"/>
              </w:rPr>
            </w:pPr>
            <w:r w:rsidRPr="000B4E2C">
              <w:rPr>
                <w:lang w:eastAsia="en-GB"/>
              </w:rPr>
              <w:t>2007</w:t>
            </w:r>
          </w:p>
        </w:tc>
        <w:tc>
          <w:tcPr>
            <w:tcW w:w="0" w:type="auto"/>
            <w:shd w:val="clear" w:color="auto" w:fill="auto"/>
            <w:noWrap/>
            <w:hideMark/>
          </w:tcPr>
          <w:p w14:paraId="0DE2A27C"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A801C74" w14:textId="77777777" w:rsidR="002F0133" w:rsidRPr="000B4E2C" w:rsidRDefault="002F0133" w:rsidP="008A7464">
            <w:pPr>
              <w:rPr>
                <w:highlight w:val="green"/>
                <w:lang w:eastAsia="en-GB"/>
              </w:rPr>
            </w:pPr>
            <w:r w:rsidRPr="000B4E2C">
              <w:rPr>
                <w:highlight w:val="green"/>
                <w:lang w:eastAsia="en-GB"/>
              </w:rPr>
              <w:t>H. Bachorzewska-Gajewska, J. Malyszko, E. Sitniewska, J. S. Malyszko, K. Pawlak, M. Mysliwiec, S. Lawnicki, M. Szmitkowski and S. Dobrzycki. Could neutrophil-gelatinase-associated lipocalin and cystatin C predict the development of contrast-induced nephropathy after percutaneous coronary interventions in patients with stable angina and normal serum creatinine values?. Kidney &amp; Blood Pressure Research, 30(6), 408-15. [4007]</w:t>
            </w:r>
          </w:p>
        </w:tc>
      </w:tr>
      <w:tr w:rsidR="002F0133" w:rsidRPr="000B4E2C" w14:paraId="54707AD2" w14:textId="77777777" w:rsidTr="000B4E2C">
        <w:trPr>
          <w:cantSplit/>
        </w:trPr>
        <w:tc>
          <w:tcPr>
            <w:tcW w:w="0" w:type="auto"/>
            <w:shd w:val="clear" w:color="auto" w:fill="auto"/>
            <w:noWrap/>
            <w:hideMark/>
          </w:tcPr>
          <w:p w14:paraId="699F14F0" w14:textId="77777777" w:rsidR="002F0133" w:rsidRPr="000B4E2C" w:rsidRDefault="002F0133" w:rsidP="008A7464">
            <w:pPr>
              <w:rPr>
                <w:lang w:eastAsia="en-GB"/>
              </w:rPr>
            </w:pPr>
            <w:r w:rsidRPr="000B4E2C">
              <w:rPr>
                <w:lang w:eastAsia="en-GB"/>
              </w:rPr>
              <w:t>Bachorzewska-Gajewska</w:t>
            </w:r>
          </w:p>
        </w:tc>
        <w:tc>
          <w:tcPr>
            <w:tcW w:w="0" w:type="auto"/>
            <w:shd w:val="clear" w:color="auto" w:fill="auto"/>
            <w:noWrap/>
            <w:hideMark/>
          </w:tcPr>
          <w:p w14:paraId="16F337CC"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0BB04336" w14:textId="3384A26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40F27A4" w14:textId="77777777" w:rsidR="002F0133" w:rsidRPr="000B4E2C" w:rsidRDefault="002F0133" w:rsidP="008A7464">
            <w:pPr>
              <w:rPr>
                <w:highlight w:val="green"/>
                <w:lang w:eastAsia="en-GB"/>
              </w:rPr>
            </w:pPr>
            <w:r w:rsidRPr="000B4E2C">
              <w:rPr>
                <w:highlight w:val="green"/>
                <w:lang w:eastAsia="en-GB"/>
              </w:rPr>
              <w:t>H. Bachorzewska-Gajewska, B. Poniatowski and S. Dobrzycki. NGAL (neutrophil gelatinase-associated lipocalin) and L-FABP after percutaneous coronary interventions due to unstable angina in patients with normal serum creatinine. Advances in Medical Sciences, 54(2), 221-4. [3926]</w:t>
            </w:r>
          </w:p>
        </w:tc>
      </w:tr>
      <w:tr w:rsidR="002F0133" w:rsidRPr="000B4E2C" w14:paraId="24081BAD" w14:textId="77777777" w:rsidTr="000B4E2C">
        <w:trPr>
          <w:cantSplit/>
        </w:trPr>
        <w:tc>
          <w:tcPr>
            <w:tcW w:w="0" w:type="auto"/>
            <w:shd w:val="clear" w:color="auto" w:fill="auto"/>
            <w:noWrap/>
            <w:hideMark/>
          </w:tcPr>
          <w:p w14:paraId="7A24A5A0" w14:textId="77777777" w:rsidR="002F0133" w:rsidRPr="000B4E2C" w:rsidRDefault="002F0133" w:rsidP="008A7464">
            <w:pPr>
              <w:rPr>
                <w:lang w:eastAsia="en-GB"/>
              </w:rPr>
            </w:pPr>
            <w:r w:rsidRPr="000B4E2C">
              <w:rPr>
                <w:lang w:eastAsia="en-GB"/>
              </w:rPr>
              <w:t>Bachorzewska-Gajewska</w:t>
            </w:r>
          </w:p>
        </w:tc>
        <w:tc>
          <w:tcPr>
            <w:tcW w:w="0" w:type="auto"/>
            <w:shd w:val="clear" w:color="auto" w:fill="auto"/>
            <w:noWrap/>
            <w:hideMark/>
          </w:tcPr>
          <w:p w14:paraId="6AF2D512"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00E50DC0"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E4D3C1D" w14:textId="77777777" w:rsidR="002F0133" w:rsidRPr="000B4E2C" w:rsidRDefault="002F0133" w:rsidP="008A7464">
            <w:pPr>
              <w:rPr>
                <w:highlight w:val="green"/>
                <w:lang w:eastAsia="en-GB"/>
              </w:rPr>
            </w:pPr>
            <w:r w:rsidRPr="000B4E2C">
              <w:rPr>
                <w:highlight w:val="green"/>
                <w:lang w:eastAsia="en-GB"/>
              </w:rPr>
              <w:t>H. Bachorzewska-Gajewska, B. Poniatowski and S. Dobrzycki. NGAL (neutrophil gelatinase-associated lipocalin) and L-FABP after percutaneous coronary interventions due to unstable angina in patients with normal serum creatinine. Advances in Medical Sciences, 54(2), 221-224. [15047]</w:t>
            </w:r>
          </w:p>
        </w:tc>
      </w:tr>
      <w:tr w:rsidR="002F0133" w:rsidRPr="000B4E2C" w14:paraId="6DC2B31F" w14:textId="77777777" w:rsidTr="000B4E2C">
        <w:trPr>
          <w:cantSplit/>
        </w:trPr>
        <w:tc>
          <w:tcPr>
            <w:tcW w:w="0" w:type="auto"/>
            <w:shd w:val="clear" w:color="auto" w:fill="auto"/>
            <w:noWrap/>
            <w:hideMark/>
          </w:tcPr>
          <w:p w14:paraId="661A7384" w14:textId="77777777" w:rsidR="002F0133" w:rsidRPr="000B4E2C" w:rsidRDefault="002F0133" w:rsidP="008A7464">
            <w:pPr>
              <w:rPr>
                <w:lang w:eastAsia="en-GB"/>
              </w:rPr>
            </w:pPr>
            <w:r w:rsidRPr="000B4E2C">
              <w:rPr>
                <w:lang w:eastAsia="en-GB"/>
              </w:rPr>
              <w:t>Bachorzewska-Gajewska</w:t>
            </w:r>
          </w:p>
        </w:tc>
        <w:tc>
          <w:tcPr>
            <w:tcW w:w="0" w:type="auto"/>
            <w:shd w:val="clear" w:color="auto" w:fill="auto"/>
            <w:noWrap/>
            <w:hideMark/>
          </w:tcPr>
          <w:p w14:paraId="1FCE8D96"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521A65EB"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9C4CB93" w14:textId="77777777" w:rsidR="002F0133" w:rsidRPr="000B4E2C" w:rsidRDefault="002F0133" w:rsidP="008A7464">
            <w:pPr>
              <w:rPr>
                <w:highlight w:val="green"/>
                <w:lang w:eastAsia="en-GB"/>
              </w:rPr>
            </w:pPr>
            <w:r w:rsidRPr="000B4E2C">
              <w:rPr>
                <w:highlight w:val="green"/>
                <w:lang w:eastAsia="en-GB"/>
              </w:rPr>
              <w:t>H. Bachorzewska-Gajewska, J. Malyszko, E. Sitniewska, J. S. Malyszko, B. Poniatowski, K. Pawlak and S. Dobrzycki. NGAL (neutrophil gelatinase-associated lipocalin) and cystatin C: are they good predictors of contrast nephropathy after percutaneous coronary interventions in patients with stable angina and normal serum creatinine?. International Journal of Cardiology, 127(2), 290-1. [4000]</w:t>
            </w:r>
          </w:p>
        </w:tc>
      </w:tr>
      <w:tr w:rsidR="002F0133" w:rsidRPr="000B4E2C" w14:paraId="5B9E533B" w14:textId="77777777" w:rsidTr="000B4E2C">
        <w:trPr>
          <w:cantSplit/>
        </w:trPr>
        <w:tc>
          <w:tcPr>
            <w:tcW w:w="0" w:type="auto"/>
            <w:shd w:val="clear" w:color="auto" w:fill="auto"/>
            <w:noWrap/>
            <w:hideMark/>
          </w:tcPr>
          <w:p w14:paraId="615E9B9A" w14:textId="77777777" w:rsidR="002F0133" w:rsidRPr="000B4E2C" w:rsidRDefault="002F0133" w:rsidP="008A7464">
            <w:pPr>
              <w:rPr>
                <w:lang w:eastAsia="en-GB"/>
              </w:rPr>
            </w:pPr>
            <w:r w:rsidRPr="000B4E2C">
              <w:rPr>
                <w:lang w:eastAsia="en-GB"/>
              </w:rPr>
              <w:t>Bachorzewska-Gajewska</w:t>
            </w:r>
          </w:p>
        </w:tc>
        <w:tc>
          <w:tcPr>
            <w:tcW w:w="0" w:type="auto"/>
            <w:shd w:val="clear" w:color="auto" w:fill="auto"/>
            <w:noWrap/>
            <w:hideMark/>
          </w:tcPr>
          <w:p w14:paraId="05846028"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42697FA6"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452E815" w14:textId="77777777" w:rsidR="002F0133" w:rsidRPr="000B4E2C" w:rsidRDefault="002F0133" w:rsidP="008A7464">
            <w:pPr>
              <w:rPr>
                <w:highlight w:val="green"/>
                <w:lang w:eastAsia="en-GB"/>
              </w:rPr>
            </w:pPr>
            <w:r w:rsidRPr="000B4E2C">
              <w:rPr>
                <w:highlight w:val="green"/>
                <w:lang w:eastAsia="en-GB"/>
              </w:rPr>
              <w:t>H. Bachorzewska-Gajewska, A. Tomaszuk-Kazberuk, I. Jarocka, E. Mlodawska, P. Lopatowska, M. Zalewska-Adamiec, S. Dobrzycki, W. J. Musial and J. Malyszko. Does neutrophil gelatinase-asociated lipocalin have prognostic value in patients with stable angina undergoing elective PCI? A 3-year follow-up study. Kidney and Blood Pressure Research, 37(4-5), 280-285. [15046]</w:t>
            </w:r>
          </w:p>
        </w:tc>
      </w:tr>
      <w:tr w:rsidR="002F0133" w:rsidRPr="000B4E2C" w14:paraId="5DAA2747" w14:textId="77777777" w:rsidTr="000B4E2C">
        <w:trPr>
          <w:cantSplit/>
        </w:trPr>
        <w:tc>
          <w:tcPr>
            <w:tcW w:w="0" w:type="auto"/>
            <w:shd w:val="clear" w:color="auto" w:fill="auto"/>
            <w:noWrap/>
            <w:hideMark/>
          </w:tcPr>
          <w:p w14:paraId="63EBE3F6" w14:textId="77777777" w:rsidR="002F0133" w:rsidRPr="000B4E2C" w:rsidRDefault="002F0133" w:rsidP="008A7464">
            <w:pPr>
              <w:rPr>
                <w:lang w:eastAsia="en-GB"/>
              </w:rPr>
            </w:pPr>
            <w:r w:rsidRPr="000B4E2C">
              <w:rPr>
                <w:lang w:eastAsia="en-GB"/>
              </w:rPr>
              <w:t>Baek</w:t>
            </w:r>
          </w:p>
        </w:tc>
        <w:tc>
          <w:tcPr>
            <w:tcW w:w="0" w:type="auto"/>
            <w:shd w:val="clear" w:color="auto" w:fill="auto"/>
            <w:noWrap/>
            <w:hideMark/>
          </w:tcPr>
          <w:p w14:paraId="6B9532ED"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55CF90C7"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6F204AD" w14:textId="77777777" w:rsidR="002F0133" w:rsidRPr="000B4E2C" w:rsidRDefault="002F0133" w:rsidP="008A7464">
            <w:pPr>
              <w:rPr>
                <w:highlight w:val="green"/>
                <w:lang w:eastAsia="en-GB"/>
              </w:rPr>
            </w:pPr>
            <w:r w:rsidRPr="000B4E2C">
              <w:rPr>
                <w:highlight w:val="green"/>
                <w:lang w:eastAsia="en-GB"/>
              </w:rPr>
              <w:t>S. D. Baek, J.-Y. Kang, S. Shin, H.-S. Park, M.-S. Kim, S. M. Kim, E. K. Lee and J. W. Chang. Predictive Factors of Duration of Continuous Renal Replacement Therapy in Acute Kidney Injury Survivors. Shock (Augusta, Ga.), . [15051]</w:t>
            </w:r>
          </w:p>
        </w:tc>
      </w:tr>
      <w:tr w:rsidR="002F0133" w:rsidRPr="000B4E2C" w14:paraId="6B37D92C" w14:textId="77777777" w:rsidTr="000B4E2C">
        <w:trPr>
          <w:cantSplit/>
        </w:trPr>
        <w:tc>
          <w:tcPr>
            <w:tcW w:w="0" w:type="auto"/>
            <w:shd w:val="clear" w:color="auto" w:fill="auto"/>
            <w:noWrap/>
            <w:hideMark/>
          </w:tcPr>
          <w:p w14:paraId="63B1C51A" w14:textId="77777777" w:rsidR="002F0133" w:rsidRPr="000B4E2C" w:rsidRDefault="002F0133" w:rsidP="008A7464">
            <w:pPr>
              <w:rPr>
                <w:lang w:eastAsia="en-GB"/>
              </w:rPr>
            </w:pPr>
            <w:r w:rsidRPr="000B4E2C">
              <w:rPr>
                <w:lang w:eastAsia="en-GB"/>
              </w:rPr>
              <w:t>Bagheri</w:t>
            </w:r>
          </w:p>
        </w:tc>
        <w:tc>
          <w:tcPr>
            <w:tcW w:w="0" w:type="auto"/>
            <w:shd w:val="clear" w:color="auto" w:fill="auto"/>
            <w:noWrap/>
            <w:hideMark/>
          </w:tcPr>
          <w:p w14:paraId="35E36F61"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134BC85" w14:textId="2C3AF46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F3123D2" w14:textId="77777777" w:rsidR="002F0133" w:rsidRPr="000B4E2C" w:rsidRDefault="002F0133" w:rsidP="008A7464">
            <w:pPr>
              <w:rPr>
                <w:highlight w:val="green"/>
                <w:lang w:eastAsia="en-GB"/>
              </w:rPr>
            </w:pPr>
            <w:r w:rsidRPr="000B4E2C">
              <w:rPr>
                <w:highlight w:val="green"/>
                <w:lang w:eastAsia="en-GB"/>
              </w:rPr>
              <w:t>S. Bagheri, N. Einollahi, M. T. Goodarzi, H. Tatari, H. Moradi-Sardareh and N. Sheikh. Neutrophil gelatinase-associated lipocalin, cystatin C and matrix metalloproteinase-9 as possible biomarkers in early detection of acute kidney injury after cardiac surgery. Journal of Clinical and Diagnostic Research, 12(4), BC05-BC09. [15053]</w:t>
            </w:r>
          </w:p>
        </w:tc>
      </w:tr>
      <w:tr w:rsidR="002F0133" w:rsidRPr="000B4E2C" w14:paraId="635000D6" w14:textId="77777777" w:rsidTr="000B4E2C">
        <w:trPr>
          <w:cantSplit/>
        </w:trPr>
        <w:tc>
          <w:tcPr>
            <w:tcW w:w="0" w:type="auto"/>
            <w:shd w:val="clear" w:color="auto" w:fill="auto"/>
            <w:noWrap/>
            <w:hideMark/>
          </w:tcPr>
          <w:p w14:paraId="58935B6D" w14:textId="77777777" w:rsidR="002F0133" w:rsidRPr="000B4E2C" w:rsidRDefault="002F0133" w:rsidP="008A7464">
            <w:pPr>
              <w:rPr>
                <w:lang w:eastAsia="en-GB"/>
              </w:rPr>
            </w:pPr>
            <w:r w:rsidRPr="000B4E2C">
              <w:rPr>
                <w:lang w:eastAsia="en-GB"/>
              </w:rPr>
              <w:t>Bagshaw</w:t>
            </w:r>
          </w:p>
        </w:tc>
        <w:tc>
          <w:tcPr>
            <w:tcW w:w="0" w:type="auto"/>
            <w:shd w:val="clear" w:color="auto" w:fill="auto"/>
            <w:noWrap/>
            <w:hideMark/>
          </w:tcPr>
          <w:p w14:paraId="28275AE9"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08D76F38"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4BD27143" w14:textId="77777777" w:rsidR="002F0133" w:rsidRPr="000B4E2C" w:rsidRDefault="002F0133" w:rsidP="008A7464">
            <w:pPr>
              <w:rPr>
                <w:highlight w:val="green"/>
                <w:lang w:eastAsia="en-GB"/>
              </w:rPr>
            </w:pPr>
            <w:r w:rsidRPr="000B4E2C">
              <w:rPr>
                <w:highlight w:val="green"/>
                <w:lang w:eastAsia="en-GB"/>
              </w:rPr>
              <w:t>S. M. Bagshaw. Subclinical acute kidney injury: a novel biomarker-defined syndrome. Critical Care and Resuscitation, 13(3), 201-203. [18373]</w:t>
            </w:r>
          </w:p>
        </w:tc>
      </w:tr>
      <w:tr w:rsidR="002F0133" w:rsidRPr="000B4E2C" w14:paraId="3A3CA40A" w14:textId="77777777" w:rsidTr="000B4E2C">
        <w:trPr>
          <w:cantSplit/>
        </w:trPr>
        <w:tc>
          <w:tcPr>
            <w:tcW w:w="0" w:type="auto"/>
            <w:shd w:val="clear" w:color="auto" w:fill="auto"/>
            <w:noWrap/>
            <w:hideMark/>
          </w:tcPr>
          <w:p w14:paraId="0F3D085B" w14:textId="77777777" w:rsidR="002F0133" w:rsidRPr="000B4E2C" w:rsidRDefault="002F0133" w:rsidP="008A7464">
            <w:pPr>
              <w:rPr>
                <w:lang w:eastAsia="en-GB"/>
              </w:rPr>
            </w:pPr>
            <w:r w:rsidRPr="000B4E2C">
              <w:rPr>
                <w:lang w:eastAsia="en-GB"/>
              </w:rPr>
              <w:t>Bagshaw</w:t>
            </w:r>
          </w:p>
        </w:tc>
        <w:tc>
          <w:tcPr>
            <w:tcW w:w="0" w:type="auto"/>
            <w:shd w:val="clear" w:color="auto" w:fill="auto"/>
            <w:noWrap/>
            <w:hideMark/>
          </w:tcPr>
          <w:p w14:paraId="33765324"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5D605BE0" w14:textId="734BDD4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4B18B5F" w14:textId="77777777" w:rsidR="002F0133" w:rsidRPr="000B4E2C" w:rsidRDefault="002F0133" w:rsidP="008A7464">
            <w:pPr>
              <w:rPr>
                <w:highlight w:val="green"/>
                <w:lang w:eastAsia="en-GB"/>
              </w:rPr>
            </w:pPr>
            <w:r w:rsidRPr="000B4E2C">
              <w:rPr>
                <w:highlight w:val="green"/>
                <w:lang w:eastAsia="en-GB"/>
              </w:rPr>
              <w:t>S. M. Bagshaw, M. Bennett, P. Devarajan and R. Bellomo. Urine biochemistry in septic and non-septic acute kidney injury: A prospective observational study. Journal of Critical Care, 28(4), 371-378. [15055]</w:t>
            </w:r>
          </w:p>
        </w:tc>
      </w:tr>
      <w:tr w:rsidR="002F0133" w:rsidRPr="000B4E2C" w14:paraId="10978AFE" w14:textId="77777777" w:rsidTr="000B4E2C">
        <w:trPr>
          <w:cantSplit/>
        </w:trPr>
        <w:tc>
          <w:tcPr>
            <w:tcW w:w="0" w:type="auto"/>
            <w:shd w:val="clear" w:color="auto" w:fill="auto"/>
            <w:noWrap/>
            <w:hideMark/>
          </w:tcPr>
          <w:p w14:paraId="436DD605" w14:textId="77777777" w:rsidR="002F0133" w:rsidRPr="000B4E2C" w:rsidRDefault="002F0133" w:rsidP="008A7464">
            <w:pPr>
              <w:rPr>
                <w:lang w:eastAsia="en-GB"/>
              </w:rPr>
            </w:pPr>
            <w:r w:rsidRPr="000B4E2C">
              <w:rPr>
                <w:lang w:eastAsia="en-GB"/>
              </w:rPr>
              <w:lastRenderedPageBreak/>
              <w:t>Balkanay</w:t>
            </w:r>
          </w:p>
        </w:tc>
        <w:tc>
          <w:tcPr>
            <w:tcW w:w="0" w:type="auto"/>
            <w:shd w:val="clear" w:color="auto" w:fill="auto"/>
            <w:noWrap/>
            <w:hideMark/>
          </w:tcPr>
          <w:p w14:paraId="67B8551B"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5A5DE1A" w14:textId="22372BA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746577F" w14:textId="77777777" w:rsidR="002F0133" w:rsidRPr="000B4E2C" w:rsidRDefault="002F0133" w:rsidP="008A7464">
            <w:pPr>
              <w:rPr>
                <w:highlight w:val="green"/>
                <w:lang w:eastAsia="en-GB"/>
              </w:rPr>
            </w:pPr>
            <w:r w:rsidRPr="000B4E2C">
              <w:rPr>
                <w:highlight w:val="green"/>
                <w:lang w:eastAsia="en-GB"/>
              </w:rPr>
              <w:t>O. O. Balkanay, D. Goksedef, S. N. Omeroglu and G. Ipek. The dose-related effects of Dexmedetomidine on renal functions and serum neutrophil gelatinase-associated lipocalin values after coronary artery bypass grafting: A randomized, triple-blind, placebo-controlled study. Interactive Cardiovascular and Thoracic Surgery, 20(2), 209-214. [15066]</w:t>
            </w:r>
          </w:p>
        </w:tc>
      </w:tr>
      <w:tr w:rsidR="002F0133" w:rsidRPr="000B4E2C" w14:paraId="48011FF4" w14:textId="77777777" w:rsidTr="000B4E2C">
        <w:trPr>
          <w:cantSplit/>
        </w:trPr>
        <w:tc>
          <w:tcPr>
            <w:tcW w:w="0" w:type="auto"/>
            <w:shd w:val="clear" w:color="auto" w:fill="auto"/>
            <w:noWrap/>
            <w:hideMark/>
          </w:tcPr>
          <w:p w14:paraId="20BBDC4F" w14:textId="77777777" w:rsidR="002F0133" w:rsidRPr="000B4E2C" w:rsidRDefault="002F0133" w:rsidP="008A7464">
            <w:pPr>
              <w:rPr>
                <w:lang w:eastAsia="en-GB"/>
              </w:rPr>
            </w:pPr>
            <w:r w:rsidRPr="000B4E2C">
              <w:rPr>
                <w:lang w:eastAsia="en-GB"/>
              </w:rPr>
              <w:t>Balkanay</w:t>
            </w:r>
          </w:p>
        </w:tc>
        <w:tc>
          <w:tcPr>
            <w:tcW w:w="0" w:type="auto"/>
            <w:shd w:val="clear" w:color="auto" w:fill="auto"/>
            <w:noWrap/>
            <w:hideMark/>
          </w:tcPr>
          <w:p w14:paraId="61FF98B7"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25929267" w14:textId="69384BF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3073ECE" w14:textId="77777777" w:rsidR="002F0133" w:rsidRPr="000B4E2C" w:rsidRDefault="002F0133" w:rsidP="008A7464">
            <w:pPr>
              <w:rPr>
                <w:highlight w:val="green"/>
                <w:lang w:eastAsia="en-GB"/>
              </w:rPr>
            </w:pPr>
            <w:r w:rsidRPr="000B4E2C">
              <w:rPr>
                <w:highlight w:val="green"/>
                <w:lang w:eastAsia="en-GB"/>
              </w:rPr>
              <w:t>O. O. Balkanay, D. Goksedef, S. N. Omeroglu and G. Ipek. The reliability of the use of serum neutrophil gelatinase-associated lipocalin levels in the assessment of renal functions after coronary artery bypass grafting. Cardiology Research and Practice, 2018(7291254. [15065]</w:t>
            </w:r>
          </w:p>
        </w:tc>
      </w:tr>
      <w:tr w:rsidR="002F0133" w:rsidRPr="000B4E2C" w14:paraId="5469E18E" w14:textId="77777777" w:rsidTr="000B4E2C">
        <w:trPr>
          <w:cantSplit/>
        </w:trPr>
        <w:tc>
          <w:tcPr>
            <w:tcW w:w="0" w:type="auto"/>
            <w:shd w:val="clear" w:color="auto" w:fill="auto"/>
            <w:noWrap/>
            <w:hideMark/>
          </w:tcPr>
          <w:p w14:paraId="6E33B98B" w14:textId="77777777" w:rsidR="002F0133" w:rsidRPr="000B4E2C" w:rsidRDefault="002F0133" w:rsidP="008A7464">
            <w:pPr>
              <w:rPr>
                <w:lang w:eastAsia="en-GB"/>
              </w:rPr>
            </w:pPr>
            <w:r w:rsidRPr="000B4E2C">
              <w:rPr>
                <w:lang w:eastAsia="en-GB"/>
              </w:rPr>
              <w:t>Barbarash</w:t>
            </w:r>
          </w:p>
        </w:tc>
        <w:tc>
          <w:tcPr>
            <w:tcW w:w="0" w:type="auto"/>
            <w:shd w:val="clear" w:color="auto" w:fill="auto"/>
            <w:noWrap/>
            <w:hideMark/>
          </w:tcPr>
          <w:p w14:paraId="5161FB89"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36FBA24B"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6E8DE3D2" w14:textId="77777777" w:rsidR="002F0133" w:rsidRPr="000B4E2C" w:rsidRDefault="002F0133" w:rsidP="008A7464">
            <w:pPr>
              <w:rPr>
                <w:highlight w:val="green"/>
                <w:lang w:eastAsia="en-GB"/>
              </w:rPr>
            </w:pPr>
            <w:r w:rsidRPr="000B4E2C">
              <w:rPr>
                <w:highlight w:val="green"/>
                <w:lang w:eastAsia="en-GB"/>
              </w:rPr>
              <w:t>O. L. Barbarash, I. S. Bykova, V. V. Kashtalap, M. V. Zykov, O. N. Hryachkova, V. V. Kalaeva, K. S. Shafranskaya, V. N. Karetnikova and A. G. Kutikhin. Serum neutrophil gelatinase-associated lipocalin has an advantage over serum cystatin C and glomerular filtration rate in prediction of adverse cardiovascular outcome in patients with ST-segment elevation myocardial infarction. Bmc Cardiovascular Disorders, 17(81-81. [18375]</w:t>
            </w:r>
          </w:p>
        </w:tc>
      </w:tr>
      <w:tr w:rsidR="002F0133" w:rsidRPr="000B4E2C" w14:paraId="01476F6E" w14:textId="77777777" w:rsidTr="000B4E2C">
        <w:trPr>
          <w:cantSplit/>
        </w:trPr>
        <w:tc>
          <w:tcPr>
            <w:tcW w:w="0" w:type="auto"/>
            <w:shd w:val="clear" w:color="auto" w:fill="auto"/>
            <w:noWrap/>
            <w:hideMark/>
          </w:tcPr>
          <w:p w14:paraId="7CFEDE92" w14:textId="77777777" w:rsidR="002F0133" w:rsidRPr="000B4E2C" w:rsidRDefault="002F0133" w:rsidP="008A7464">
            <w:pPr>
              <w:rPr>
                <w:lang w:eastAsia="en-GB"/>
              </w:rPr>
            </w:pPr>
            <w:r w:rsidRPr="000B4E2C">
              <w:rPr>
                <w:lang w:eastAsia="en-GB"/>
              </w:rPr>
              <w:t>Baron-Stefaniak</w:t>
            </w:r>
          </w:p>
        </w:tc>
        <w:tc>
          <w:tcPr>
            <w:tcW w:w="0" w:type="auto"/>
            <w:shd w:val="clear" w:color="auto" w:fill="auto"/>
            <w:noWrap/>
            <w:hideMark/>
          </w:tcPr>
          <w:p w14:paraId="58AD8D02"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15077D3D" w14:textId="5080688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B5C5C22" w14:textId="77777777" w:rsidR="002F0133" w:rsidRPr="000B4E2C" w:rsidRDefault="002F0133" w:rsidP="008A7464">
            <w:pPr>
              <w:rPr>
                <w:highlight w:val="green"/>
                <w:lang w:eastAsia="en-GB"/>
              </w:rPr>
            </w:pPr>
            <w:r w:rsidRPr="000B4E2C">
              <w:rPr>
                <w:highlight w:val="green"/>
                <w:lang w:eastAsia="en-GB"/>
              </w:rPr>
              <w:t>J. Baron-Stefaniak, J. Schiefer, E. J. Miller, G. A. Berlakovich, D. M. Baron and P. Faybik. Comparison of macrophage migration inhibitory factor and neutrophil gelatinase-associated lipocalin-2 to predict acute kidney injury after liver transplantation: An observational pilot study. PLoS ONE, 12(8), e0183162. [15072]</w:t>
            </w:r>
          </w:p>
        </w:tc>
      </w:tr>
      <w:tr w:rsidR="002F0133" w:rsidRPr="000B4E2C" w14:paraId="16FF4F23" w14:textId="77777777" w:rsidTr="000B4E2C">
        <w:trPr>
          <w:cantSplit/>
        </w:trPr>
        <w:tc>
          <w:tcPr>
            <w:tcW w:w="0" w:type="auto"/>
            <w:shd w:val="clear" w:color="auto" w:fill="auto"/>
            <w:noWrap/>
            <w:hideMark/>
          </w:tcPr>
          <w:p w14:paraId="2C8A71BB" w14:textId="77777777" w:rsidR="002F0133" w:rsidRPr="000B4E2C" w:rsidRDefault="002F0133" w:rsidP="008A7464">
            <w:pPr>
              <w:rPr>
                <w:lang w:eastAsia="en-GB"/>
              </w:rPr>
            </w:pPr>
            <w:r w:rsidRPr="000B4E2C">
              <w:rPr>
                <w:lang w:eastAsia="en-GB"/>
              </w:rPr>
              <w:t>Bassareo</w:t>
            </w:r>
          </w:p>
        </w:tc>
        <w:tc>
          <w:tcPr>
            <w:tcW w:w="0" w:type="auto"/>
            <w:shd w:val="clear" w:color="auto" w:fill="auto"/>
            <w:noWrap/>
            <w:hideMark/>
          </w:tcPr>
          <w:p w14:paraId="5639D133"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031B74B3"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F58A6AE" w14:textId="77777777" w:rsidR="002F0133" w:rsidRPr="000B4E2C" w:rsidRDefault="002F0133" w:rsidP="008A7464">
            <w:pPr>
              <w:rPr>
                <w:highlight w:val="green"/>
                <w:lang w:eastAsia="en-GB"/>
              </w:rPr>
            </w:pPr>
            <w:r w:rsidRPr="000B4E2C">
              <w:rPr>
                <w:highlight w:val="green"/>
                <w:lang w:eastAsia="en-GB"/>
              </w:rPr>
              <w:t>P. P. Bassareo, V. Fanos, M. Mussap, G. Flore, A. Noto, M. Puddu, L. Saba and G. Mercuro. Urinary NGAL and hematic ADMA levels: an early sign of cardio-renal syndrome in young adults born preterm?. Journal of Maternal-Fetal &amp; Neonatal Medicine, 26(80-83. [18377]</w:t>
            </w:r>
          </w:p>
        </w:tc>
      </w:tr>
      <w:tr w:rsidR="002F0133" w:rsidRPr="000B4E2C" w14:paraId="44C97D3F" w14:textId="77777777" w:rsidTr="000B4E2C">
        <w:trPr>
          <w:cantSplit/>
        </w:trPr>
        <w:tc>
          <w:tcPr>
            <w:tcW w:w="0" w:type="auto"/>
            <w:shd w:val="clear" w:color="auto" w:fill="auto"/>
            <w:noWrap/>
            <w:hideMark/>
          </w:tcPr>
          <w:p w14:paraId="5B8BA7BD" w14:textId="77777777" w:rsidR="002F0133" w:rsidRPr="000B4E2C" w:rsidRDefault="002F0133" w:rsidP="008A7464">
            <w:pPr>
              <w:rPr>
                <w:lang w:eastAsia="en-GB"/>
              </w:rPr>
            </w:pPr>
            <w:r w:rsidRPr="000B4E2C">
              <w:rPr>
                <w:lang w:eastAsia="en-GB"/>
              </w:rPr>
              <w:t>Basturk</w:t>
            </w:r>
          </w:p>
        </w:tc>
        <w:tc>
          <w:tcPr>
            <w:tcW w:w="0" w:type="auto"/>
            <w:shd w:val="clear" w:color="auto" w:fill="auto"/>
            <w:noWrap/>
            <w:hideMark/>
          </w:tcPr>
          <w:p w14:paraId="17AED614"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29577DA1" w14:textId="797C85E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C7B6474" w14:textId="77777777" w:rsidR="002F0133" w:rsidRPr="000B4E2C" w:rsidRDefault="002F0133" w:rsidP="008A7464">
            <w:pPr>
              <w:rPr>
                <w:highlight w:val="green"/>
                <w:lang w:eastAsia="en-GB"/>
              </w:rPr>
            </w:pPr>
            <w:r w:rsidRPr="000B4E2C">
              <w:rPr>
                <w:highlight w:val="green"/>
                <w:lang w:eastAsia="en-GB"/>
              </w:rPr>
              <w:t>T. Basturk, O. Sari, Y. Koc, N. Eren, M. Isleem, E. Kara, M. Sevinc, T. Sakaci, E. Ahbap, N. B. Hasbal, F. Bayrakdarcaglayan and A. Unsal. Prognostic significance of NGAL in early stage chronic kidney disease. Minerva Urologica e Nefrologica, 69(3), 307-312. [15079]</w:t>
            </w:r>
          </w:p>
        </w:tc>
      </w:tr>
      <w:tr w:rsidR="002F0133" w:rsidRPr="000B4E2C" w14:paraId="772709FA" w14:textId="77777777" w:rsidTr="000B4E2C">
        <w:trPr>
          <w:cantSplit/>
        </w:trPr>
        <w:tc>
          <w:tcPr>
            <w:tcW w:w="0" w:type="auto"/>
            <w:shd w:val="clear" w:color="auto" w:fill="auto"/>
            <w:noWrap/>
            <w:hideMark/>
          </w:tcPr>
          <w:p w14:paraId="00D6C231" w14:textId="77777777" w:rsidR="002F0133" w:rsidRPr="000B4E2C" w:rsidRDefault="002F0133" w:rsidP="008A7464">
            <w:pPr>
              <w:rPr>
                <w:lang w:eastAsia="en-GB"/>
              </w:rPr>
            </w:pPr>
            <w:r w:rsidRPr="000B4E2C">
              <w:rPr>
                <w:lang w:eastAsia="en-GB"/>
              </w:rPr>
              <w:t>Basu</w:t>
            </w:r>
          </w:p>
        </w:tc>
        <w:tc>
          <w:tcPr>
            <w:tcW w:w="0" w:type="auto"/>
            <w:shd w:val="clear" w:color="auto" w:fill="auto"/>
            <w:noWrap/>
            <w:hideMark/>
          </w:tcPr>
          <w:p w14:paraId="49E47F48"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5DF3D0CF"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D9E90D4" w14:textId="77777777" w:rsidR="002F0133" w:rsidRPr="000B4E2C" w:rsidRDefault="002F0133" w:rsidP="008A7464">
            <w:pPr>
              <w:rPr>
                <w:highlight w:val="green"/>
                <w:lang w:eastAsia="en-GB"/>
              </w:rPr>
            </w:pPr>
            <w:r w:rsidRPr="000B4E2C">
              <w:rPr>
                <w:highlight w:val="green"/>
                <w:lang w:eastAsia="en-GB"/>
              </w:rPr>
              <w:t>R. K. Basu, Y. Wang, H. R. Wong, L. S. Chawla, D. S. Wheeler and S. L. Goldstein. Incorporation of biomarkers with the renal angina index for prediction of severe AKI in critically ill children. Clinical Journal of the American Society of Nephrology, 9(4), 654-662. [15082]</w:t>
            </w:r>
          </w:p>
        </w:tc>
      </w:tr>
      <w:tr w:rsidR="002F0133" w:rsidRPr="000B4E2C" w14:paraId="2231AD75" w14:textId="77777777" w:rsidTr="000B4E2C">
        <w:trPr>
          <w:cantSplit/>
        </w:trPr>
        <w:tc>
          <w:tcPr>
            <w:tcW w:w="0" w:type="auto"/>
            <w:shd w:val="clear" w:color="auto" w:fill="auto"/>
            <w:noWrap/>
            <w:hideMark/>
          </w:tcPr>
          <w:p w14:paraId="2FB6AA7E" w14:textId="77777777" w:rsidR="002F0133" w:rsidRPr="000B4E2C" w:rsidRDefault="002F0133" w:rsidP="008A7464">
            <w:pPr>
              <w:rPr>
                <w:lang w:eastAsia="en-GB"/>
              </w:rPr>
            </w:pPr>
            <w:r w:rsidRPr="000B4E2C">
              <w:rPr>
                <w:lang w:eastAsia="en-GB"/>
              </w:rPr>
              <w:t>Basu</w:t>
            </w:r>
          </w:p>
        </w:tc>
        <w:tc>
          <w:tcPr>
            <w:tcW w:w="0" w:type="auto"/>
            <w:shd w:val="clear" w:color="auto" w:fill="auto"/>
            <w:noWrap/>
            <w:hideMark/>
          </w:tcPr>
          <w:p w14:paraId="0DB76231"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F3EB10A"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331AB229" w14:textId="77777777" w:rsidR="002F0133" w:rsidRPr="000B4E2C" w:rsidRDefault="002F0133" w:rsidP="008A7464">
            <w:pPr>
              <w:rPr>
                <w:highlight w:val="green"/>
                <w:lang w:eastAsia="en-GB"/>
              </w:rPr>
            </w:pPr>
            <w:r w:rsidRPr="000B4E2C">
              <w:rPr>
                <w:highlight w:val="green"/>
                <w:lang w:eastAsia="en-GB"/>
              </w:rPr>
              <w:t>R. K. Basu, H. R. Wong, C. D. Krawczeski, D. S. Wheeler, P. B. Manning, L. S. Chawla, P. Devarajan and S. L. Goldstein. Combining functional and tubular damage biomarkers improves diagnostic precision for acute kidney injury after cardiac surgery. Journal of the American College of Cardiology, 64(25), 2753-2762. [15081]</w:t>
            </w:r>
          </w:p>
        </w:tc>
      </w:tr>
      <w:tr w:rsidR="002F0133" w:rsidRPr="000B4E2C" w14:paraId="3A31B24F" w14:textId="77777777" w:rsidTr="000B4E2C">
        <w:trPr>
          <w:cantSplit/>
        </w:trPr>
        <w:tc>
          <w:tcPr>
            <w:tcW w:w="0" w:type="auto"/>
            <w:shd w:val="clear" w:color="auto" w:fill="auto"/>
            <w:noWrap/>
            <w:hideMark/>
          </w:tcPr>
          <w:p w14:paraId="66D81DD2" w14:textId="77777777" w:rsidR="002F0133" w:rsidRPr="000B4E2C" w:rsidRDefault="002F0133" w:rsidP="008A7464">
            <w:pPr>
              <w:rPr>
                <w:lang w:eastAsia="en-GB"/>
              </w:rPr>
            </w:pPr>
            <w:r w:rsidRPr="000B4E2C">
              <w:rPr>
                <w:lang w:eastAsia="en-GB"/>
              </w:rPr>
              <w:t>Bataille</w:t>
            </w:r>
          </w:p>
        </w:tc>
        <w:tc>
          <w:tcPr>
            <w:tcW w:w="0" w:type="auto"/>
            <w:shd w:val="clear" w:color="auto" w:fill="auto"/>
            <w:noWrap/>
            <w:hideMark/>
          </w:tcPr>
          <w:p w14:paraId="0BFCE399"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FB4240B"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3CD7B46E" w14:textId="77777777" w:rsidR="002F0133" w:rsidRPr="000B4E2C" w:rsidRDefault="002F0133" w:rsidP="008A7464">
            <w:pPr>
              <w:rPr>
                <w:highlight w:val="green"/>
                <w:lang w:eastAsia="en-GB"/>
              </w:rPr>
            </w:pPr>
            <w:r w:rsidRPr="000B4E2C">
              <w:rPr>
                <w:highlight w:val="green"/>
                <w:lang w:eastAsia="en-GB"/>
              </w:rPr>
              <w:t>A. Bataille, A. Tiepolo, T. Robert, A. Boutten, D. Longrois, M. Dehoux and S. Provenchere. Reference change values of plasma and urine NGAL in cardiac surgery with cardiopulmonary bypass. Clinical Biochemistry, 50(18), 1098-1103. [15088]</w:t>
            </w:r>
          </w:p>
        </w:tc>
      </w:tr>
      <w:tr w:rsidR="002F0133" w:rsidRPr="000B4E2C" w14:paraId="503B6125" w14:textId="77777777" w:rsidTr="000B4E2C">
        <w:trPr>
          <w:cantSplit/>
        </w:trPr>
        <w:tc>
          <w:tcPr>
            <w:tcW w:w="0" w:type="auto"/>
            <w:shd w:val="clear" w:color="auto" w:fill="auto"/>
            <w:noWrap/>
            <w:hideMark/>
          </w:tcPr>
          <w:p w14:paraId="1F924C14" w14:textId="77777777" w:rsidR="002F0133" w:rsidRPr="000B4E2C" w:rsidRDefault="002F0133" w:rsidP="008A7464">
            <w:pPr>
              <w:rPr>
                <w:lang w:eastAsia="en-GB"/>
              </w:rPr>
            </w:pPr>
            <w:r w:rsidRPr="000B4E2C">
              <w:rPr>
                <w:lang w:eastAsia="en-GB"/>
              </w:rPr>
              <w:t>Baumert</w:t>
            </w:r>
          </w:p>
        </w:tc>
        <w:tc>
          <w:tcPr>
            <w:tcW w:w="0" w:type="auto"/>
            <w:shd w:val="clear" w:color="auto" w:fill="auto"/>
            <w:noWrap/>
            <w:hideMark/>
          </w:tcPr>
          <w:p w14:paraId="4A7D6AC4"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875B054" w14:textId="743B96B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5FA5929" w14:textId="77777777" w:rsidR="002F0133" w:rsidRPr="000B4E2C" w:rsidRDefault="002F0133" w:rsidP="008A7464">
            <w:pPr>
              <w:rPr>
                <w:highlight w:val="green"/>
                <w:lang w:eastAsia="en-GB"/>
              </w:rPr>
            </w:pPr>
            <w:r w:rsidRPr="000B4E2C">
              <w:rPr>
                <w:highlight w:val="green"/>
                <w:lang w:eastAsia="en-GB"/>
              </w:rPr>
              <w:t>M. Baumert, P. Surmiak, A. Wiecek and Z. Walencka. Serum NGAL and copeptin levels as predictors of acute kidney injury in asphyxiated neonates. Clinical and Experimental Nephrology, 21(4), 658-664. [15092]</w:t>
            </w:r>
          </w:p>
        </w:tc>
      </w:tr>
      <w:tr w:rsidR="002F0133" w:rsidRPr="000B4E2C" w14:paraId="7B0F524D" w14:textId="77777777" w:rsidTr="000B4E2C">
        <w:trPr>
          <w:cantSplit/>
        </w:trPr>
        <w:tc>
          <w:tcPr>
            <w:tcW w:w="0" w:type="auto"/>
            <w:shd w:val="clear" w:color="auto" w:fill="auto"/>
            <w:noWrap/>
            <w:hideMark/>
          </w:tcPr>
          <w:p w14:paraId="110AADD3" w14:textId="77777777" w:rsidR="002F0133" w:rsidRPr="000B4E2C" w:rsidRDefault="002F0133" w:rsidP="008A7464">
            <w:pPr>
              <w:rPr>
                <w:lang w:eastAsia="en-GB"/>
              </w:rPr>
            </w:pPr>
            <w:r w:rsidRPr="000B4E2C">
              <w:rPr>
                <w:lang w:eastAsia="en-GB"/>
              </w:rPr>
              <w:t>Bayram</w:t>
            </w:r>
          </w:p>
        </w:tc>
        <w:tc>
          <w:tcPr>
            <w:tcW w:w="0" w:type="auto"/>
            <w:shd w:val="clear" w:color="auto" w:fill="auto"/>
            <w:noWrap/>
            <w:hideMark/>
          </w:tcPr>
          <w:p w14:paraId="61BB21E9"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6310D291" w14:textId="5308B54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76AE63C" w14:textId="77777777" w:rsidR="002F0133" w:rsidRPr="000B4E2C" w:rsidRDefault="002F0133" w:rsidP="008A7464">
            <w:pPr>
              <w:rPr>
                <w:highlight w:val="green"/>
                <w:lang w:eastAsia="en-GB"/>
              </w:rPr>
            </w:pPr>
            <w:r w:rsidRPr="000B4E2C">
              <w:rPr>
                <w:highlight w:val="green"/>
                <w:lang w:eastAsia="en-GB"/>
              </w:rPr>
              <w:t>A. Bayram, A. Ulgey, A. Baykan, N. Narin, F. Narin, A. Esmaoglu and A. Boyaci. The effects of dexmedetomidine on early stage renal functions in pediatric patients undergoing cardiac angiography using non-ionic contrast media: A double-blind, randomized clinical trial. Paediatric Anaesthesia, 24(4), 426-432. [15093]</w:t>
            </w:r>
          </w:p>
        </w:tc>
      </w:tr>
      <w:tr w:rsidR="002F0133" w:rsidRPr="000B4E2C" w14:paraId="19FB530C" w14:textId="77777777" w:rsidTr="000B4E2C">
        <w:trPr>
          <w:cantSplit/>
        </w:trPr>
        <w:tc>
          <w:tcPr>
            <w:tcW w:w="0" w:type="auto"/>
            <w:shd w:val="clear" w:color="auto" w:fill="auto"/>
            <w:noWrap/>
            <w:hideMark/>
          </w:tcPr>
          <w:p w14:paraId="15D55141" w14:textId="77777777" w:rsidR="002F0133" w:rsidRPr="000B4E2C" w:rsidRDefault="002F0133" w:rsidP="008A7464">
            <w:pPr>
              <w:rPr>
                <w:lang w:eastAsia="en-GB"/>
              </w:rPr>
            </w:pPr>
            <w:r w:rsidRPr="000B4E2C">
              <w:rPr>
                <w:lang w:eastAsia="en-GB"/>
              </w:rPr>
              <w:lastRenderedPageBreak/>
              <w:t>Bayram</w:t>
            </w:r>
          </w:p>
        </w:tc>
        <w:tc>
          <w:tcPr>
            <w:tcW w:w="0" w:type="auto"/>
            <w:shd w:val="clear" w:color="auto" w:fill="auto"/>
            <w:noWrap/>
            <w:hideMark/>
          </w:tcPr>
          <w:p w14:paraId="339AF910"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5B51BB78" w14:textId="5CC7195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991D092" w14:textId="77777777" w:rsidR="002F0133" w:rsidRPr="000B4E2C" w:rsidRDefault="002F0133" w:rsidP="008A7464">
            <w:pPr>
              <w:rPr>
                <w:highlight w:val="green"/>
                <w:lang w:eastAsia="en-GB"/>
              </w:rPr>
            </w:pPr>
            <w:r w:rsidRPr="000B4E2C">
              <w:rPr>
                <w:highlight w:val="green"/>
                <w:lang w:eastAsia="en-GB"/>
              </w:rPr>
              <w:t>M. Bayram, M. Ezelsoy, E. Usta, K. Oral, A. Saracoglu, Z. Bayramoglu and O. Yildirim. Rapid Detection of Acute Kidney Injury by Urinary Neutrophil Gelatinase-Associated Lipocalin in Patients Undergoing Cardiopulmonary Bypass. Turkish journal of anaesthesiology and reanimation, 42(5), 239-44. [15094]</w:t>
            </w:r>
          </w:p>
        </w:tc>
      </w:tr>
      <w:tr w:rsidR="002F0133" w:rsidRPr="000B4E2C" w14:paraId="4F78DFFA" w14:textId="77777777" w:rsidTr="000B4E2C">
        <w:trPr>
          <w:cantSplit/>
        </w:trPr>
        <w:tc>
          <w:tcPr>
            <w:tcW w:w="0" w:type="auto"/>
            <w:shd w:val="clear" w:color="auto" w:fill="auto"/>
            <w:noWrap/>
            <w:hideMark/>
          </w:tcPr>
          <w:p w14:paraId="59ADBD50" w14:textId="77777777" w:rsidR="002F0133" w:rsidRPr="000B4E2C" w:rsidRDefault="002F0133" w:rsidP="008A7464">
            <w:pPr>
              <w:rPr>
                <w:lang w:eastAsia="en-GB"/>
              </w:rPr>
            </w:pPr>
            <w:r w:rsidRPr="000B4E2C">
              <w:rPr>
                <w:lang w:eastAsia="en-GB"/>
              </w:rPr>
              <w:t xml:space="preserve">Bedford </w:t>
            </w:r>
          </w:p>
        </w:tc>
        <w:tc>
          <w:tcPr>
            <w:tcW w:w="0" w:type="auto"/>
            <w:shd w:val="clear" w:color="auto" w:fill="auto"/>
            <w:noWrap/>
            <w:hideMark/>
          </w:tcPr>
          <w:p w14:paraId="79448A9D"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586A018" w14:textId="4A95E57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8B8AAB0" w14:textId="0EEB1AE2" w:rsidR="002F0133" w:rsidRPr="000B4E2C" w:rsidRDefault="002F0133" w:rsidP="008A7464">
            <w:pPr>
              <w:rPr>
                <w:highlight w:val="green"/>
                <w:lang w:eastAsia="en-GB"/>
              </w:rPr>
            </w:pPr>
            <w:r w:rsidRPr="000B4E2C">
              <w:rPr>
                <w:highlight w:val="green"/>
                <w:lang w:eastAsia="en-GB"/>
              </w:rPr>
              <w:t>M. Bedford, P. Stevens, S. Coulton, J. Billings, M. Farr, T. Wheeler, M. Kalli, T. Mottishaw and C. Farmer. Development of risk models for the prediction of new or worsening acute kidney injury on or during hospital admission: a cohort and nested study. Health Services and Delivery Research</w:t>
            </w:r>
            <w:r w:rsidR="000B4E2C" w:rsidRPr="000B4E2C">
              <w:rPr>
                <w:highlight w:val="green"/>
                <w:lang w:eastAsia="en-GB"/>
              </w:rPr>
              <w:t xml:space="preserve"> </w:t>
            </w:r>
            <w:r w:rsidRPr="000B4E2C">
              <w:rPr>
                <w:highlight w:val="green"/>
                <w:lang w:eastAsia="en-GB"/>
              </w:rPr>
              <w:t>4(6). [6148]</w:t>
            </w:r>
          </w:p>
        </w:tc>
      </w:tr>
      <w:tr w:rsidR="002F0133" w:rsidRPr="000B4E2C" w14:paraId="61E1EDAC" w14:textId="77777777" w:rsidTr="000B4E2C">
        <w:trPr>
          <w:cantSplit/>
        </w:trPr>
        <w:tc>
          <w:tcPr>
            <w:tcW w:w="0" w:type="auto"/>
            <w:shd w:val="clear" w:color="auto" w:fill="auto"/>
            <w:noWrap/>
            <w:hideMark/>
          </w:tcPr>
          <w:p w14:paraId="6B3562F1" w14:textId="77777777" w:rsidR="002F0133" w:rsidRPr="000B4E2C" w:rsidRDefault="002F0133" w:rsidP="008A7464">
            <w:pPr>
              <w:rPr>
                <w:lang w:eastAsia="en-GB"/>
              </w:rPr>
            </w:pPr>
            <w:r w:rsidRPr="000B4E2C">
              <w:rPr>
                <w:lang w:eastAsia="en-GB"/>
              </w:rPr>
              <w:t>Beitland</w:t>
            </w:r>
          </w:p>
        </w:tc>
        <w:tc>
          <w:tcPr>
            <w:tcW w:w="0" w:type="auto"/>
            <w:shd w:val="clear" w:color="auto" w:fill="auto"/>
            <w:noWrap/>
            <w:hideMark/>
          </w:tcPr>
          <w:p w14:paraId="7A21B1AE"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9AA6368"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18B48F16" w14:textId="77777777" w:rsidR="002F0133" w:rsidRPr="000B4E2C" w:rsidRDefault="002F0133" w:rsidP="008A7464">
            <w:pPr>
              <w:rPr>
                <w:highlight w:val="green"/>
                <w:lang w:eastAsia="en-GB"/>
              </w:rPr>
            </w:pPr>
            <w:r w:rsidRPr="000B4E2C">
              <w:rPr>
                <w:highlight w:val="green"/>
                <w:lang w:eastAsia="en-GB"/>
              </w:rPr>
              <w:t>S. Beitland and M. Joannidis. Biomarkers of acute kidney injury - a mission impossible?. Acta anaesthesiologica Scandinavica, 62(1), 2-5. [15096]</w:t>
            </w:r>
          </w:p>
        </w:tc>
      </w:tr>
      <w:tr w:rsidR="002F0133" w:rsidRPr="000B4E2C" w14:paraId="1598D42A" w14:textId="77777777" w:rsidTr="000B4E2C">
        <w:trPr>
          <w:cantSplit/>
        </w:trPr>
        <w:tc>
          <w:tcPr>
            <w:tcW w:w="0" w:type="auto"/>
            <w:shd w:val="clear" w:color="auto" w:fill="auto"/>
            <w:noWrap/>
            <w:hideMark/>
          </w:tcPr>
          <w:p w14:paraId="3367BF8B" w14:textId="77777777" w:rsidR="002F0133" w:rsidRPr="000B4E2C" w:rsidRDefault="002F0133" w:rsidP="008A7464">
            <w:pPr>
              <w:rPr>
                <w:lang w:eastAsia="en-GB"/>
              </w:rPr>
            </w:pPr>
            <w:r w:rsidRPr="000B4E2C">
              <w:rPr>
                <w:lang w:eastAsia="en-GB"/>
              </w:rPr>
              <w:t>Belcher</w:t>
            </w:r>
          </w:p>
        </w:tc>
        <w:tc>
          <w:tcPr>
            <w:tcW w:w="0" w:type="auto"/>
            <w:shd w:val="clear" w:color="auto" w:fill="auto"/>
            <w:noWrap/>
            <w:hideMark/>
          </w:tcPr>
          <w:p w14:paraId="2E2C0C17"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6AD8AAF7" w14:textId="53B8C2B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523B30E" w14:textId="77777777" w:rsidR="002F0133" w:rsidRPr="000B4E2C" w:rsidRDefault="002F0133" w:rsidP="008A7464">
            <w:pPr>
              <w:rPr>
                <w:highlight w:val="green"/>
                <w:lang w:eastAsia="en-GB"/>
              </w:rPr>
            </w:pPr>
            <w:r w:rsidRPr="000B4E2C">
              <w:rPr>
                <w:highlight w:val="green"/>
                <w:lang w:eastAsia="en-GB"/>
              </w:rPr>
              <w:t>J. M. Belcher, A. J. Sanyal, A. J. Peixoto, M. A. Perazella, J. Lim, H. Thiessen-Philbrook, N. Ansari, S. G. Coca, G. Garcia-Tsao and C. R. Parikh. Kidney biomarkers and differential diagnosis of patients with cirrhosis and acute kidney injury. Hepatology, 60(2), 622-632. [15102]</w:t>
            </w:r>
          </w:p>
        </w:tc>
      </w:tr>
      <w:tr w:rsidR="002F0133" w:rsidRPr="000B4E2C" w14:paraId="3647A892" w14:textId="77777777" w:rsidTr="000B4E2C">
        <w:trPr>
          <w:cantSplit/>
        </w:trPr>
        <w:tc>
          <w:tcPr>
            <w:tcW w:w="0" w:type="auto"/>
            <w:shd w:val="clear" w:color="auto" w:fill="auto"/>
            <w:noWrap/>
            <w:hideMark/>
          </w:tcPr>
          <w:p w14:paraId="23100BF4" w14:textId="77777777" w:rsidR="002F0133" w:rsidRPr="000B4E2C" w:rsidRDefault="002F0133" w:rsidP="008A7464">
            <w:pPr>
              <w:rPr>
                <w:lang w:eastAsia="en-GB"/>
              </w:rPr>
            </w:pPr>
            <w:r w:rsidRPr="000B4E2C">
              <w:rPr>
                <w:lang w:eastAsia="en-GB"/>
              </w:rPr>
              <w:t>Belcher</w:t>
            </w:r>
          </w:p>
        </w:tc>
        <w:tc>
          <w:tcPr>
            <w:tcW w:w="0" w:type="auto"/>
            <w:shd w:val="clear" w:color="auto" w:fill="auto"/>
            <w:noWrap/>
            <w:hideMark/>
          </w:tcPr>
          <w:p w14:paraId="39A74810"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1845F08"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2E3EB237" w14:textId="77777777" w:rsidR="002F0133" w:rsidRPr="000B4E2C" w:rsidRDefault="002F0133" w:rsidP="008A7464">
            <w:pPr>
              <w:rPr>
                <w:highlight w:val="green"/>
                <w:lang w:eastAsia="en-GB"/>
              </w:rPr>
            </w:pPr>
            <w:r w:rsidRPr="000B4E2C">
              <w:rPr>
                <w:highlight w:val="green"/>
                <w:lang w:eastAsia="en-GB"/>
              </w:rPr>
              <w:t>J. M. Belcher, G. Garcia-Tsao, A. J. Sanyal, H. Thiessen-Philbrook, A. J. Peixoto, M. A. Perazella, N. Ansari, J. Lim, S. G. Coca and C. R. Parikh. Urinary biomarkers and progression of AKI in patients with cirrhosis. Clinical Journal of the American Society of Nephrology, 9(11), 1857-1867. [15100]</w:t>
            </w:r>
          </w:p>
        </w:tc>
      </w:tr>
      <w:tr w:rsidR="002F0133" w:rsidRPr="000B4E2C" w14:paraId="104168D2" w14:textId="77777777" w:rsidTr="000B4E2C">
        <w:trPr>
          <w:cantSplit/>
        </w:trPr>
        <w:tc>
          <w:tcPr>
            <w:tcW w:w="0" w:type="auto"/>
            <w:shd w:val="clear" w:color="auto" w:fill="auto"/>
            <w:noWrap/>
            <w:hideMark/>
          </w:tcPr>
          <w:p w14:paraId="761AB28A" w14:textId="77777777" w:rsidR="002F0133" w:rsidRPr="000B4E2C" w:rsidRDefault="002F0133" w:rsidP="008A7464">
            <w:pPr>
              <w:rPr>
                <w:lang w:eastAsia="en-GB"/>
              </w:rPr>
            </w:pPr>
            <w:r w:rsidRPr="000B4E2C">
              <w:rPr>
                <w:lang w:eastAsia="en-GB"/>
              </w:rPr>
              <w:t>Bell</w:t>
            </w:r>
          </w:p>
        </w:tc>
        <w:tc>
          <w:tcPr>
            <w:tcW w:w="0" w:type="auto"/>
            <w:shd w:val="clear" w:color="auto" w:fill="auto"/>
            <w:noWrap/>
            <w:hideMark/>
          </w:tcPr>
          <w:p w14:paraId="79405F9A"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35A0805F" w14:textId="3416AD7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96985DD" w14:textId="77777777" w:rsidR="002F0133" w:rsidRPr="000B4E2C" w:rsidRDefault="002F0133" w:rsidP="008A7464">
            <w:pPr>
              <w:rPr>
                <w:highlight w:val="green"/>
                <w:lang w:eastAsia="en-GB"/>
              </w:rPr>
            </w:pPr>
            <w:r w:rsidRPr="000B4E2C">
              <w:rPr>
                <w:highlight w:val="green"/>
                <w:lang w:eastAsia="en-GB"/>
              </w:rPr>
              <w:t>M. Bell, A. Larsson, P. Venge, R. Bellomo and J. Martensson. Assessment of cell-cycle arrest biomarkers to predict early and delayed acute kidney injury. Disease Markers, 2015(158658. [15105]</w:t>
            </w:r>
          </w:p>
        </w:tc>
      </w:tr>
      <w:tr w:rsidR="002F0133" w:rsidRPr="000B4E2C" w14:paraId="5038B50E" w14:textId="77777777" w:rsidTr="000B4E2C">
        <w:trPr>
          <w:cantSplit/>
        </w:trPr>
        <w:tc>
          <w:tcPr>
            <w:tcW w:w="0" w:type="auto"/>
            <w:shd w:val="clear" w:color="auto" w:fill="auto"/>
            <w:noWrap/>
            <w:hideMark/>
          </w:tcPr>
          <w:p w14:paraId="385F0B98" w14:textId="77777777" w:rsidR="002F0133" w:rsidRPr="000B4E2C" w:rsidRDefault="002F0133" w:rsidP="008A7464">
            <w:pPr>
              <w:rPr>
                <w:lang w:eastAsia="en-GB"/>
              </w:rPr>
            </w:pPr>
            <w:r w:rsidRPr="000B4E2C">
              <w:rPr>
                <w:lang w:eastAsia="en-GB"/>
              </w:rPr>
              <w:t>Bellos</w:t>
            </w:r>
          </w:p>
        </w:tc>
        <w:tc>
          <w:tcPr>
            <w:tcW w:w="0" w:type="auto"/>
            <w:shd w:val="clear" w:color="auto" w:fill="auto"/>
            <w:noWrap/>
            <w:hideMark/>
          </w:tcPr>
          <w:p w14:paraId="314C8EC0"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610D2EFE" w14:textId="2A07E886"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51D0BEE8" w14:textId="77777777" w:rsidR="002F0133" w:rsidRPr="000B4E2C" w:rsidRDefault="002F0133" w:rsidP="008A7464">
            <w:pPr>
              <w:rPr>
                <w:highlight w:val="green"/>
                <w:lang w:eastAsia="en-GB"/>
              </w:rPr>
            </w:pPr>
            <w:r w:rsidRPr="000B4E2C">
              <w:rPr>
                <w:highlight w:val="green"/>
                <w:lang w:eastAsia="en-GB"/>
              </w:rPr>
              <w:t>I. Bellos, G. Fitrou, G. Daskalakis, D. N. Perrea and V. Pergialiotis. Neutrophil gelatinase-associated lipocalin as predictor of acute kidney injury in neonates with perinatal asphyxia: a systematic review and meta-analysis. European Journal of Pediatrics, 177(10), 1425-1434. [15110]</w:t>
            </w:r>
          </w:p>
        </w:tc>
      </w:tr>
      <w:tr w:rsidR="002F0133" w:rsidRPr="000B4E2C" w14:paraId="10ABBA90" w14:textId="77777777" w:rsidTr="000B4E2C">
        <w:trPr>
          <w:cantSplit/>
        </w:trPr>
        <w:tc>
          <w:tcPr>
            <w:tcW w:w="0" w:type="auto"/>
            <w:shd w:val="clear" w:color="auto" w:fill="auto"/>
            <w:noWrap/>
            <w:hideMark/>
          </w:tcPr>
          <w:p w14:paraId="2A86ADB5" w14:textId="77777777" w:rsidR="002F0133" w:rsidRPr="000B4E2C" w:rsidRDefault="002F0133" w:rsidP="008A7464">
            <w:pPr>
              <w:rPr>
                <w:lang w:eastAsia="en-GB"/>
              </w:rPr>
            </w:pPr>
            <w:r w:rsidRPr="000B4E2C">
              <w:rPr>
                <w:lang w:eastAsia="en-GB"/>
              </w:rPr>
              <w:t>Benli</w:t>
            </w:r>
          </w:p>
        </w:tc>
        <w:tc>
          <w:tcPr>
            <w:tcW w:w="0" w:type="auto"/>
            <w:shd w:val="clear" w:color="auto" w:fill="auto"/>
            <w:noWrap/>
            <w:hideMark/>
          </w:tcPr>
          <w:p w14:paraId="0BC2C782"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A6C7608" w14:textId="2737A12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DF8E666" w14:textId="77777777" w:rsidR="002F0133" w:rsidRPr="000B4E2C" w:rsidRDefault="002F0133" w:rsidP="008A7464">
            <w:pPr>
              <w:rPr>
                <w:highlight w:val="green"/>
                <w:lang w:eastAsia="en-GB"/>
              </w:rPr>
            </w:pPr>
            <w:r w:rsidRPr="000B4E2C">
              <w:rPr>
                <w:highlight w:val="green"/>
                <w:lang w:eastAsia="en-GB"/>
              </w:rPr>
              <w:t>E. Benli, S. N. Ayyildiz, S. Cirrik, T. Noyan, A. Ayyildiz and A. Cirakoglu. Early term effect of ureterorenoscopy (URS) on the Kidney: research measuring NGAL, KIM-1, FABP and CYS C levels in urine. International Braz J Urol, 43(5), 887-895. [18378]</w:t>
            </w:r>
          </w:p>
        </w:tc>
      </w:tr>
      <w:tr w:rsidR="002F0133" w:rsidRPr="000B4E2C" w14:paraId="3E649BF1" w14:textId="77777777" w:rsidTr="000B4E2C">
        <w:trPr>
          <w:cantSplit/>
        </w:trPr>
        <w:tc>
          <w:tcPr>
            <w:tcW w:w="0" w:type="auto"/>
            <w:shd w:val="clear" w:color="auto" w:fill="auto"/>
            <w:noWrap/>
            <w:hideMark/>
          </w:tcPr>
          <w:p w14:paraId="2720E22F" w14:textId="77777777" w:rsidR="002F0133" w:rsidRPr="000B4E2C" w:rsidRDefault="002F0133" w:rsidP="008A7464">
            <w:pPr>
              <w:rPr>
                <w:lang w:eastAsia="en-GB"/>
              </w:rPr>
            </w:pPr>
            <w:r w:rsidRPr="000B4E2C">
              <w:rPr>
                <w:lang w:eastAsia="en-GB"/>
              </w:rPr>
              <w:t>Benoit</w:t>
            </w:r>
          </w:p>
        </w:tc>
        <w:tc>
          <w:tcPr>
            <w:tcW w:w="0" w:type="auto"/>
            <w:shd w:val="clear" w:color="auto" w:fill="auto"/>
            <w:noWrap/>
            <w:hideMark/>
          </w:tcPr>
          <w:p w14:paraId="3391DD92"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7DEE023A" w14:textId="31210DB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ED86342" w14:textId="77777777" w:rsidR="002F0133" w:rsidRPr="000B4E2C" w:rsidRDefault="002F0133" w:rsidP="008A7464">
            <w:pPr>
              <w:rPr>
                <w:highlight w:val="green"/>
                <w:lang w:eastAsia="en-GB"/>
              </w:rPr>
            </w:pPr>
            <w:r w:rsidRPr="000B4E2C">
              <w:rPr>
                <w:highlight w:val="green"/>
                <w:lang w:eastAsia="en-GB"/>
              </w:rPr>
              <w:t>S. W. Benoit, B. P. Dixon, S. L. Goldstein, M. R. Bennett, A. Lane, D. T. Lounder, S. J. Rotz, N. J. Gloude, K. E. Lake, B. Litts and S. M. Davies. A novel strategy for identifying early acute kidney injury in pediatric hematopoietic stem cell transplantation. Bone Marrow Transplantation, . [15115]</w:t>
            </w:r>
          </w:p>
        </w:tc>
      </w:tr>
      <w:tr w:rsidR="002F0133" w:rsidRPr="000B4E2C" w14:paraId="27D0118E" w14:textId="77777777" w:rsidTr="000B4E2C">
        <w:trPr>
          <w:cantSplit/>
        </w:trPr>
        <w:tc>
          <w:tcPr>
            <w:tcW w:w="0" w:type="auto"/>
            <w:shd w:val="clear" w:color="auto" w:fill="auto"/>
            <w:noWrap/>
            <w:hideMark/>
          </w:tcPr>
          <w:p w14:paraId="34BF3289" w14:textId="77777777" w:rsidR="002F0133" w:rsidRPr="000B4E2C" w:rsidRDefault="002F0133" w:rsidP="008A7464">
            <w:pPr>
              <w:rPr>
                <w:lang w:eastAsia="en-GB"/>
              </w:rPr>
            </w:pPr>
            <w:r w:rsidRPr="000B4E2C">
              <w:rPr>
                <w:lang w:eastAsia="en-GB"/>
              </w:rPr>
              <w:t>Benzer</w:t>
            </w:r>
          </w:p>
        </w:tc>
        <w:tc>
          <w:tcPr>
            <w:tcW w:w="0" w:type="auto"/>
            <w:shd w:val="clear" w:color="auto" w:fill="auto"/>
            <w:noWrap/>
            <w:hideMark/>
          </w:tcPr>
          <w:p w14:paraId="26027E46"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48B3085D" w14:textId="6A44E65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754B5D3" w14:textId="77777777" w:rsidR="002F0133" w:rsidRPr="000B4E2C" w:rsidRDefault="002F0133" w:rsidP="008A7464">
            <w:pPr>
              <w:rPr>
                <w:highlight w:val="green"/>
                <w:lang w:eastAsia="en-GB"/>
              </w:rPr>
            </w:pPr>
            <w:r w:rsidRPr="000B4E2C">
              <w:rPr>
                <w:highlight w:val="green"/>
                <w:lang w:eastAsia="en-GB"/>
              </w:rPr>
              <w:t>M. Benzer, H. Alpay, O. Baykan, A. Erdem and I. H. Demir. Serum NGAL, cystatin C and urinary NAG measurements for early diagnosis of contrast-induced nephropathy in children. Renal Failure, 38(1), 27-34. [15117]</w:t>
            </w:r>
          </w:p>
        </w:tc>
      </w:tr>
      <w:tr w:rsidR="002F0133" w:rsidRPr="000B4E2C" w14:paraId="78146984" w14:textId="77777777" w:rsidTr="000B4E2C">
        <w:trPr>
          <w:cantSplit/>
        </w:trPr>
        <w:tc>
          <w:tcPr>
            <w:tcW w:w="0" w:type="auto"/>
            <w:shd w:val="clear" w:color="auto" w:fill="auto"/>
            <w:noWrap/>
            <w:hideMark/>
          </w:tcPr>
          <w:p w14:paraId="743E4D60" w14:textId="77777777" w:rsidR="002F0133" w:rsidRPr="000B4E2C" w:rsidRDefault="002F0133" w:rsidP="008A7464">
            <w:pPr>
              <w:rPr>
                <w:lang w:eastAsia="en-GB"/>
              </w:rPr>
            </w:pPr>
            <w:r w:rsidRPr="000B4E2C">
              <w:rPr>
                <w:lang w:eastAsia="en-GB"/>
              </w:rPr>
              <w:t>Berghaus</w:t>
            </w:r>
          </w:p>
        </w:tc>
        <w:tc>
          <w:tcPr>
            <w:tcW w:w="0" w:type="auto"/>
            <w:shd w:val="clear" w:color="auto" w:fill="auto"/>
            <w:noWrap/>
            <w:hideMark/>
          </w:tcPr>
          <w:p w14:paraId="152B3F15"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371FCEFD"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5A5488E4" w14:textId="77777777" w:rsidR="002F0133" w:rsidRPr="000B4E2C" w:rsidRDefault="002F0133" w:rsidP="008A7464">
            <w:pPr>
              <w:rPr>
                <w:highlight w:val="green"/>
                <w:lang w:eastAsia="en-GB"/>
              </w:rPr>
            </w:pPr>
            <w:r w:rsidRPr="000B4E2C">
              <w:rPr>
                <w:highlight w:val="green"/>
                <w:lang w:eastAsia="en-GB"/>
              </w:rPr>
              <w:t>T. M. Berghaus, M. Schwaiblmair and W. von Scheidt. Renal biomarkers and prognosis in acute pulmonary embolism. Heart (British Cardiac Society), 98(16), 1185-6. [15119]</w:t>
            </w:r>
          </w:p>
        </w:tc>
      </w:tr>
      <w:tr w:rsidR="002F0133" w:rsidRPr="000B4E2C" w14:paraId="6E85293D" w14:textId="77777777" w:rsidTr="000B4E2C">
        <w:trPr>
          <w:cantSplit/>
        </w:trPr>
        <w:tc>
          <w:tcPr>
            <w:tcW w:w="0" w:type="auto"/>
            <w:shd w:val="clear" w:color="auto" w:fill="auto"/>
            <w:noWrap/>
            <w:hideMark/>
          </w:tcPr>
          <w:p w14:paraId="4220F33A" w14:textId="77777777" w:rsidR="002F0133" w:rsidRPr="000B4E2C" w:rsidRDefault="002F0133" w:rsidP="008A7464">
            <w:pPr>
              <w:rPr>
                <w:lang w:eastAsia="en-GB"/>
              </w:rPr>
            </w:pPr>
            <w:r w:rsidRPr="000B4E2C">
              <w:rPr>
                <w:lang w:eastAsia="en-GB"/>
              </w:rPr>
              <w:t>Bhavsar</w:t>
            </w:r>
          </w:p>
        </w:tc>
        <w:tc>
          <w:tcPr>
            <w:tcW w:w="0" w:type="auto"/>
            <w:shd w:val="clear" w:color="auto" w:fill="auto"/>
            <w:noWrap/>
            <w:hideMark/>
          </w:tcPr>
          <w:p w14:paraId="051FBEBB"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2DE4CA6D"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D367DCE" w14:textId="77777777" w:rsidR="002F0133" w:rsidRPr="000B4E2C" w:rsidRDefault="002F0133" w:rsidP="008A7464">
            <w:pPr>
              <w:rPr>
                <w:highlight w:val="green"/>
                <w:lang w:eastAsia="en-GB"/>
              </w:rPr>
            </w:pPr>
            <w:r w:rsidRPr="000B4E2C">
              <w:rPr>
                <w:highlight w:val="green"/>
                <w:lang w:eastAsia="en-GB"/>
              </w:rPr>
              <w:t>N. A. Bhavsar, A. Kottgen, J. Coresh and B. C. Astor. Neutrophil gelatinase-associated lipocalin (NGAL) and kidney injury molecule 1 (KIM-1) as predictors of incident CKD stage 3: The atherosclerosis risk in communities (ARIC) study. American Journal of Kidney Diseases, 60(2), 233-240. [15121]</w:t>
            </w:r>
          </w:p>
        </w:tc>
      </w:tr>
      <w:tr w:rsidR="002F0133" w:rsidRPr="000B4E2C" w14:paraId="5791E3EB" w14:textId="77777777" w:rsidTr="000B4E2C">
        <w:trPr>
          <w:cantSplit/>
        </w:trPr>
        <w:tc>
          <w:tcPr>
            <w:tcW w:w="0" w:type="auto"/>
            <w:shd w:val="clear" w:color="auto" w:fill="auto"/>
            <w:noWrap/>
            <w:hideMark/>
          </w:tcPr>
          <w:p w14:paraId="058C0E76" w14:textId="77777777" w:rsidR="002F0133" w:rsidRPr="000B4E2C" w:rsidRDefault="002F0133" w:rsidP="008A7464">
            <w:pPr>
              <w:rPr>
                <w:lang w:eastAsia="en-GB"/>
              </w:rPr>
            </w:pPr>
            <w:r w:rsidRPr="000B4E2C">
              <w:rPr>
                <w:lang w:eastAsia="en-GB"/>
              </w:rPr>
              <w:lastRenderedPageBreak/>
              <w:t>Biernawska</w:t>
            </w:r>
          </w:p>
        </w:tc>
        <w:tc>
          <w:tcPr>
            <w:tcW w:w="0" w:type="auto"/>
            <w:shd w:val="clear" w:color="auto" w:fill="auto"/>
            <w:noWrap/>
            <w:hideMark/>
          </w:tcPr>
          <w:p w14:paraId="69137DBC"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2BCB9055" w14:textId="0B7A153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B6CCA19" w14:textId="77777777" w:rsidR="002F0133" w:rsidRPr="000B4E2C" w:rsidRDefault="002F0133" w:rsidP="008A7464">
            <w:pPr>
              <w:rPr>
                <w:highlight w:val="green"/>
                <w:lang w:eastAsia="en-GB"/>
              </w:rPr>
            </w:pPr>
            <w:r w:rsidRPr="000B4E2C">
              <w:rPr>
                <w:highlight w:val="green"/>
                <w:lang w:val="da-DK" w:eastAsia="en-GB"/>
              </w:rPr>
              <w:t xml:space="preserve">J. Biernawska, J. Bober, K. Kotfis, A. Bogacka, E. Barnik and M. Zukowski. </w:t>
            </w:r>
            <w:r w:rsidRPr="000B4E2C">
              <w:rPr>
                <w:highlight w:val="green"/>
                <w:lang w:eastAsia="en-GB"/>
              </w:rPr>
              <w:t>Cardiac surgery related cardio-renal syndrome assessed by conventional and novel biomarkers - Under or overestimated diagnosis?. Archives of Medical Science, 13(5), 1111-1120. [15126]</w:t>
            </w:r>
          </w:p>
        </w:tc>
      </w:tr>
      <w:tr w:rsidR="002F0133" w:rsidRPr="000B4E2C" w14:paraId="498F3515" w14:textId="77777777" w:rsidTr="000B4E2C">
        <w:trPr>
          <w:cantSplit/>
        </w:trPr>
        <w:tc>
          <w:tcPr>
            <w:tcW w:w="0" w:type="auto"/>
            <w:shd w:val="clear" w:color="auto" w:fill="auto"/>
            <w:noWrap/>
            <w:hideMark/>
          </w:tcPr>
          <w:p w14:paraId="12E1891D" w14:textId="77777777" w:rsidR="002F0133" w:rsidRPr="000B4E2C" w:rsidRDefault="002F0133" w:rsidP="008A7464">
            <w:pPr>
              <w:rPr>
                <w:lang w:eastAsia="en-GB"/>
              </w:rPr>
            </w:pPr>
            <w:r w:rsidRPr="000B4E2C">
              <w:rPr>
                <w:lang w:eastAsia="en-GB"/>
              </w:rPr>
              <w:t>Biernawska</w:t>
            </w:r>
          </w:p>
        </w:tc>
        <w:tc>
          <w:tcPr>
            <w:tcW w:w="0" w:type="auto"/>
            <w:shd w:val="clear" w:color="auto" w:fill="auto"/>
            <w:noWrap/>
            <w:hideMark/>
          </w:tcPr>
          <w:p w14:paraId="7155CFBC"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040F53F7" w14:textId="421A7CC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B14D729" w14:textId="77777777" w:rsidR="002F0133" w:rsidRPr="000B4E2C" w:rsidRDefault="002F0133" w:rsidP="008A7464">
            <w:pPr>
              <w:rPr>
                <w:highlight w:val="green"/>
                <w:lang w:eastAsia="en-GB"/>
              </w:rPr>
            </w:pPr>
            <w:r w:rsidRPr="000B4E2C">
              <w:rPr>
                <w:highlight w:val="green"/>
                <w:lang w:eastAsia="en-GB"/>
              </w:rPr>
              <w:t>J. Biernawska, J. Bober, K. Kotfis, I. Nocen, A. Bogacka, E. Barnik, D. Chlubek and M. Zukowski. Iron excretion in urine in patients with acute kidney injury after cardiac surgery. Advances in Clinical and Experimental Medicine, 27(12), 1671-1676. [15125]</w:t>
            </w:r>
          </w:p>
        </w:tc>
      </w:tr>
      <w:tr w:rsidR="002F0133" w:rsidRPr="000B4E2C" w14:paraId="01523CE8" w14:textId="77777777" w:rsidTr="000B4E2C">
        <w:trPr>
          <w:cantSplit/>
        </w:trPr>
        <w:tc>
          <w:tcPr>
            <w:tcW w:w="0" w:type="auto"/>
            <w:shd w:val="clear" w:color="auto" w:fill="auto"/>
            <w:noWrap/>
            <w:hideMark/>
          </w:tcPr>
          <w:p w14:paraId="15F443C5" w14:textId="77777777" w:rsidR="002F0133" w:rsidRPr="000B4E2C" w:rsidRDefault="002F0133" w:rsidP="008A7464">
            <w:pPr>
              <w:rPr>
                <w:lang w:eastAsia="en-GB"/>
              </w:rPr>
            </w:pPr>
            <w:r w:rsidRPr="000B4E2C">
              <w:rPr>
                <w:lang w:eastAsia="en-GB"/>
              </w:rPr>
              <w:t>Bignami</w:t>
            </w:r>
          </w:p>
        </w:tc>
        <w:tc>
          <w:tcPr>
            <w:tcW w:w="0" w:type="auto"/>
            <w:shd w:val="clear" w:color="auto" w:fill="auto"/>
            <w:noWrap/>
            <w:hideMark/>
          </w:tcPr>
          <w:p w14:paraId="56D88793"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4BD5F648" w14:textId="61D76DC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A5606DD" w14:textId="77777777" w:rsidR="002F0133" w:rsidRPr="000B4E2C" w:rsidRDefault="002F0133" w:rsidP="008A7464">
            <w:pPr>
              <w:rPr>
                <w:highlight w:val="green"/>
                <w:lang w:eastAsia="en-GB"/>
              </w:rPr>
            </w:pPr>
            <w:r w:rsidRPr="000B4E2C">
              <w:rPr>
                <w:highlight w:val="green"/>
                <w:lang w:eastAsia="en-GB"/>
              </w:rPr>
              <w:t>E. Bignami, E. Frati, R. Meroni, M. Simonini, A. Di Prima, P. Manunta and A. Zangrillo. Urinary neutrophil gelatinase-associated lipocalin time course during cardiac surgery. Annals of Cardiac Anaesthesia, 18(1), 39-44. [15127]</w:t>
            </w:r>
          </w:p>
        </w:tc>
      </w:tr>
      <w:tr w:rsidR="002F0133" w:rsidRPr="000B4E2C" w14:paraId="55AD7D75" w14:textId="77777777" w:rsidTr="000B4E2C">
        <w:trPr>
          <w:cantSplit/>
        </w:trPr>
        <w:tc>
          <w:tcPr>
            <w:tcW w:w="0" w:type="auto"/>
            <w:shd w:val="clear" w:color="auto" w:fill="auto"/>
            <w:noWrap/>
            <w:hideMark/>
          </w:tcPr>
          <w:p w14:paraId="4AF743FB" w14:textId="77777777" w:rsidR="002F0133" w:rsidRPr="000B4E2C" w:rsidRDefault="002F0133" w:rsidP="008A7464">
            <w:pPr>
              <w:rPr>
                <w:lang w:eastAsia="en-GB"/>
              </w:rPr>
            </w:pPr>
            <w:r w:rsidRPr="000B4E2C">
              <w:rPr>
                <w:lang w:eastAsia="en-GB"/>
              </w:rPr>
              <w:t>Bojan</w:t>
            </w:r>
          </w:p>
        </w:tc>
        <w:tc>
          <w:tcPr>
            <w:tcW w:w="0" w:type="auto"/>
            <w:shd w:val="clear" w:color="auto" w:fill="auto"/>
            <w:noWrap/>
            <w:hideMark/>
          </w:tcPr>
          <w:p w14:paraId="0AF7DAC4"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1904354" w14:textId="2BD9EC7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673DB35" w14:textId="77777777" w:rsidR="002F0133" w:rsidRPr="000B4E2C" w:rsidRDefault="002F0133" w:rsidP="008A7464">
            <w:pPr>
              <w:rPr>
                <w:highlight w:val="green"/>
                <w:lang w:eastAsia="en-GB"/>
              </w:rPr>
            </w:pPr>
            <w:r w:rsidRPr="000B4E2C">
              <w:rPr>
                <w:highlight w:val="green"/>
                <w:lang w:eastAsia="en-GB"/>
              </w:rPr>
              <w:t>M. Bojan, M. C. Basto Duarte, N. Ermak, V. Lopez-Lopez, A. Mogenet and M. Froissart. Structural equation modelling exploration of the key pathophysiological processes involved in cardiac surgery-related acute kidney injury in infants. Critical Care, 20(1), 171. [15135]</w:t>
            </w:r>
          </w:p>
        </w:tc>
      </w:tr>
      <w:tr w:rsidR="002F0133" w:rsidRPr="000B4E2C" w14:paraId="310B0437" w14:textId="77777777" w:rsidTr="000B4E2C">
        <w:trPr>
          <w:cantSplit/>
        </w:trPr>
        <w:tc>
          <w:tcPr>
            <w:tcW w:w="0" w:type="auto"/>
            <w:shd w:val="clear" w:color="auto" w:fill="auto"/>
            <w:noWrap/>
            <w:hideMark/>
          </w:tcPr>
          <w:p w14:paraId="7BB2DF6C" w14:textId="77777777" w:rsidR="002F0133" w:rsidRPr="000B4E2C" w:rsidRDefault="002F0133" w:rsidP="008A7464">
            <w:pPr>
              <w:rPr>
                <w:lang w:eastAsia="en-GB"/>
              </w:rPr>
            </w:pPr>
            <w:r w:rsidRPr="000B4E2C">
              <w:rPr>
                <w:lang w:eastAsia="en-GB"/>
              </w:rPr>
              <w:t>Bojan</w:t>
            </w:r>
          </w:p>
        </w:tc>
        <w:tc>
          <w:tcPr>
            <w:tcW w:w="0" w:type="auto"/>
            <w:shd w:val="clear" w:color="auto" w:fill="auto"/>
            <w:noWrap/>
            <w:hideMark/>
          </w:tcPr>
          <w:p w14:paraId="18321DFC"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55B507D0" w14:textId="7084B7D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CF9AA67" w14:textId="77777777" w:rsidR="002F0133" w:rsidRPr="000B4E2C" w:rsidRDefault="002F0133" w:rsidP="008A7464">
            <w:pPr>
              <w:rPr>
                <w:highlight w:val="green"/>
                <w:lang w:eastAsia="en-GB"/>
              </w:rPr>
            </w:pPr>
            <w:r w:rsidRPr="000B4E2C">
              <w:rPr>
                <w:highlight w:val="green"/>
                <w:lang w:eastAsia="en-GB"/>
              </w:rPr>
              <w:t>M. Bojan, M. C. Basto Duarte, V. Lopez, L. Tourneur, S. Vicca and M. Froissart. Low perfusion pressure is associated with renal tubular injury in infants undergoing cardiac surgery with cardiopulmonary bypass: A secondary analysis of an observational study. European journal of anaesthesiology, 35(8), 581-587. [15134]</w:t>
            </w:r>
          </w:p>
        </w:tc>
      </w:tr>
      <w:tr w:rsidR="002F0133" w:rsidRPr="000B4E2C" w14:paraId="342947E7" w14:textId="77777777" w:rsidTr="000B4E2C">
        <w:trPr>
          <w:cantSplit/>
        </w:trPr>
        <w:tc>
          <w:tcPr>
            <w:tcW w:w="0" w:type="auto"/>
            <w:shd w:val="clear" w:color="auto" w:fill="auto"/>
            <w:noWrap/>
            <w:hideMark/>
          </w:tcPr>
          <w:p w14:paraId="0EAD80CF" w14:textId="77777777" w:rsidR="002F0133" w:rsidRPr="000B4E2C" w:rsidRDefault="002F0133" w:rsidP="008A7464">
            <w:pPr>
              <w:rPr>
                <w:lang w:eastAsia="en-GB"/>
              </w:rPr>
            </w:pPr>
            <w:r w:rsidRPr="000B4E2C">
              <w:rPr>
                <w:lang w:eastAsia="en-GB"/>
              </w:rPr>
              <w:t>Bojic</w:t>
            </w:r>
          </w:p>
        </w:tc>
        <w:tc>
          <w:tcPr>
            <w:tcW w:w="0" w:type="auto"/>
            <w:shd w:val="clear" w:color="auto" w:fill="auto"/>
            <w:noWrap/>
            <w:hideMark/>
          </w:tcPr>
          <w:p w14:paraId="31333BF9"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59090D5"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610F8E5" w14:textId="77777777" w:rsidR="002F0133" w:rsidRPr="000B4E2C" w:rsidRDefault="002F0133" w:rsidP="008A7464">
            <w:pPr>
              <w:rPr>
                <w:highlight w:val="green"/>
                <w:lang w:eastAsia="en-GB"/>
              </w:rPr>
            </w:pPr>
            <w:r w:rsidRPr="000B4E2C">
              <w:rPr>
                <w:highlight w:val="green"/>
                <w:lang w:eastAsia="en-GB"/>
              </w:rPr>
              <w:t>S. Bojic, J. Kotur-Stevuljevic, N. Kalezic, P. Stevanovic, Z. Jelic-Ivanovic, D. Bilanovic, L. Memon, M. Damnjanovic, Z. Kalaba and S. Simic-Ogrizovic. Diagnostic value of matrix metalloproteinase-9 and tissue inhibitor of matrix metalloproteinase-1 in sepsis-associated acute kidney injury. Tohoku Journal of Experimental Medicine, 237(2), 103-109. [15137]</w:t>
            </w:r>
          </w:p>
        </w:tc>
      </w:tr>
      <w:tr w:rsidR="002F0133" w:rsidRPr="000B4E2C" w14:paraId="6E32C033" w14:textId="77777777" w:rsidTr="000B4E2C">
        <w:trPr>
          <w:cantSplit/>
        </w:trPr>
        <w:tc>
          <w:tcPr>
            <w:tcW w:w="0" w:type="auto"/>
            <w:shd w:val="clear" w:color="auto" w:fill="auto"/>
            <w:noWrap/>
            <w:hideMark/>
          </w:tcPr>
          <w:p w14:paraId="2EB8332C" w14:textId="77777777" w:rsidR="002F0133" w:rsidRPr="000B4E2C" w:rsidRDefault="002F0133" w:rsidP="008A7464">
            <w:pPr>
              <w:rPr>
                <w:lang w:eastAsia="en-GB"/>
              </w:rPr>
            </w:pPr>
            <w:r w:rsidRPr="000B4E2C">
              <w:rPr>
                <w:lang w:eastAsia="en-GB"/>
              </w:rPr>
              <w:t>Bolignano</w:t>
            </w:r>
          </w:p>
        </w:tc>
        <w:tc>
          <w:tcPr>
            <w:tcW w:w="0" w:type="auto"/>
            <w:shd w:val="clear" w:color="auto" w:fill="auto"/>
            <w:noWrap/>
            <w:hideMark/>
          </w:tcPr>
          <w:p w14:paraId="6B8FF90C"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0D5227F1" w14:textId="4BA837E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3D2EF4A" w14:textId="77777777" w:rsidR="002F0133" w:rsidRPr="000B4E2C" w:rsidRDefault="002F0133" w:rsidP="008A7464">
            <w:pPr>
              <w:rPr>
                <w:highlight w:val="green"/>
                <w:lang w:eastAsia="en-GB"/>
              </w:rPr>
            </w:pPr>
            <w:r w:rsidRPr="000B4E2C">
              <w:rPr>
                <w:highlight w:val="green"/>
                <w:lang w:eastAsia="en-GB"/>
              </w:rPr>
              <w:t>D. Bolignano, A. Lacquaniti, G. Coppolino, S. Campo, A. Arena and M. Buemi. Neutrophil gelatinase-associated lipocalin reflects the severity of renal impairment in subjects affected by chronic kidney disease. Kidney &amp; Blood Pressure Research, 31(4), 255-8. [3974]</w:t>
            </w:r>
          </w:p>
        </w:tc>
      </w:tr>
      <w:tr w:rsidR="002F0133" w:rsidRPr="000B4E2C" w14:paraId="635B0ADF" w14:textId="77777777" w:rsidTr="000B4E2C">
        <w:trPr>
          <w:cantSplit/>
        </w:trPr>
        <w:tc>
          <w:tcPr>
            <w:tcW w:w="0" w:type="auto"/>
            <w:shd w:val="clear" w:color="auto" w:fill="auto"/>
            <w:noWrap/>
            <w:hideMark/>
          </w:tcPr>
          <w:p w14:paraId="2C0447F5" w14:textId="77777777" w:rsidR="002F0133" w:rsidRPr="000B4E2C" w:rsidRDefault="002F0133" w:rsidP="008A7464">
            <w:pPr>
              <w:rPr>
                <w:lang w:eastAsia="en-GB"/>
              </w:rPr>
            </w:pPr>
            <w:r w:rsidRPr="000B4E2C">
              <w:rPr>
                <w:lang w:eastAsia="en-GB"/>
              </w:rPr>
              <w:t>Bolignano</w:t>
            </w:r>
          </w:p>
        </w:tc>
        <w:tc>
          <w:tcPr>
            <w:tcW w:w="0" w:type="auto"/>
            <w:shd w:val="clear" w:color="auto" w:fill="auto"/>
            <w:noWrap/>
            <w:hideMark/>
          </w:tcPr>
          <w:p w14:paraId="3B495D58"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088EBC8F" w14:textId="0CDEB46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6E46747" w14:textId="77777777" w:rsidR="002F0133" w:rsidRPr="000B4E2C" w:rsidRDefault="002F0133" w:rsidP="008A7464">
            <w:pPr>
              <w:rPr>
                <w:highlight w:val="green"/>
                <w:lang w:eastAsia="en-GB"/>
              </w:rPr>
            </w:pPr>
            <w:r w:rsidRPr="000B4E2C">
              <w:rPr>
                <w:highlight w:val="green"/>
                <w:lang w:eastAsia="en-GB"/>
              </w:rPr>
              <w:t>D. Bolignano, A. Lacquaniti, G. Coppolino, V. Donato, S. Campo, M. R. Fazio, G. Nicocia and M. Buemi. Neutrophil gelatinase-associated lipocalin (NGAL) and progression of chronic kidney disease. Clinical Journal of the American Society of Nephrology, 4(2), 337-344. [15143]</w:t>
            </w:r>
          </w:p>
        </w:tc>
      </w:tr>
      <w:tr w:rsidR="002F0133" w:rsidRPr="000B4E2C" w14:paraId="1A05BB3A" w14:textId="77777777" w:rsidTr="000B4E2C">
        <w:trPr>
          <w:cantSplit/>
        </w:trPr>
        <w:tc>
          <w:tcPr>
            <w:tcW w:w="0" w:type="auto"/>
            <w:shd w:val="clear" w:color="auto" w:fill="auto"/>
            <w:noWrap/>
            <w:hideMark/>
          </w:tcPr>
          <w:p w14:paraId="36BD056C" w14:textId="77777777" w:rsidR="002F0133" w:rsidRPr="000B4E2C" w:rsidRDefault="002F0133" w:rsidP="008A7464">
            <w:pPr>
              <w:rPr>
                <w:lang w:eastAsia="en-GB"/>
              </w:rPr>
            </w:pPr>
            <w:r w:rsidRPr="000B4E2C">
              <w:rPr>
                <w:lang w:eastAsia="en-GB"/>
              </w:rPr>
              <w:t>Bolignano</w:t>
            </w:r>
          </w:p>
        </w:tc>
        <w:tc>
          <w:tcPr>
            <w:tcW w:w="0" w:type="auto"/>
            <w:shd w:val="clear" w:color="auto" w:fill="auto"/>
            <w:noWrap/>
            <w:hideMark/>
          </w:tcPr>
          <w:p w14:paraId="0C85D61B"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0573836F"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3B85E096" w14:textId="77777777" w:rsidR="002F0133" w:rsidRPr="000B4E2C" w:rsidRDefault="002F0133" w:rsidP="008A7464">
            <w:pPr>
              <w:rPr>
                <w:highlight w:val="green"/>
                <w:lang w:eastAsia="en-GB"/>
              </w:rPr>
            </w:pPr>
            <w:r w:rsidRPr="000B4E2C">
              <w:rPr>
                <w:highlight w:val="green"/>
                <w:lang w:eastAsia="en-GB"/>
              </w:rPr>
              <w:t>D. Bolignano, G. Coppolino, L. Lombardi and M. Buemi. NGAL: A new missing link between inflammation and uremic anemia. Renal Failure, 31(7), 622-623. [2036]</w:t>
            </w:r>
          </w:p>
        </w:tc>
      </w:tr>
      <w:tr w:rsidR="002F0133" w:rsidRPr="000B4E2C" w14:paraId="50985F17" w14:textId="77777777" w:rsidTr="000B4E2C">
        <w:trPr>
          <w:cantSplit/>
        </w:trPr>
        <w:tc>
          <w:tcPr>
            <w:tcW w:w="0" w:type="auto"/>
            <w:shd w:val="clear" w:color="auto" w:fill="auto"/>
            <w:noWrap/>
            <w:hideMark/>
          </w:tcPr>
          <w:p w14:paraId="68EC66A7" w14:textId="77777777" w:rsidR="002F0133" w:rsidRPr="000B4E2C" w:rsidRDefault="002F0133" w:rsidP="008A7464">
            <w:pPr>
              <w:rPr>
                <w:lang w:eastAsia="en-GB"/>
              </w:rPr>
            </w:pPr>
            <w:r w:rsidRPr="000B4E2C">
              <w:rPr>
                <w:lang w:eastAsia="en-GB"/>
              </w:rPr>
              <w:t>Bolignano</w:t>
            </w:r>
          </w:p>
        </w:tc>
        <w:tc>
          <w:tcPr>
            <w:tcW w:w="0" w:type="auto"/>
            <w:shd w:val="clear" w:color="auto" w:fill="auto"/>
            <w:noWrap/>
            <w:hideMark/>
          </w:tcPr>
          <w:p w14:paraId="502AF28D"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1AA7FBEB"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3978210A" w14:textId="77777777" w:rsidR="002F0133" w:rsidRPr="000B4E2C" w:rsidRDefault="002F0133" w:rsidP="008A7464">
            <w:pPr>
              <w:rPr>
                <w:highlight w:val="green"/>
                <w:lang w:eastAsia="en-GB"/>
              </w:rPr>
            </w:pPr>
            <w:r w:rsidRPr="000B4E2C">
              <w:rPr>
                <w:highlight w:val="green"/>
                <w:lang w:eastAsia="en-GB"/>
              </w:rPr>
              <w:t>D. Bolignano, G. Coppolino, A. Lacquaniti and M. Buemi. Neutrophil gelatinase-associated lipocalin in the intensive care unit: time to look beyond a single, threshold-based measurement?. Critical Care Medicine, 37(10), 2864; author reply 2864-5. [3927]</w:t>
            </w:r>
          </w:p>
        </w:tc>
      </w:tr>
      <w:tr w:rsidR="002F0133" w:rsidRPr="000B4E2C" w14:paraId="60CC154B" w14:textId="77777777" w:rsidTr="000B4E2C">
        <w:trPr>
          <w:cantSplit/>
        </w:trPr>
        <w:tc>
          <w:tcPr>
            <w:tcW w:w="0" w:type="auto"/>
            <w:shd w:val="clear" w:color="auto" w:fill="auto"/>
            <w:noWrap/>
            <w:hideMark/>
          </w:tcPr>
          <w:p w14:paraId="0084C2C3" w14:textId="77777777" w:rsidR="002F0133" w:rsidRPr="000B4E2C" w:rsidRDefault="002F0133" w:rsidP="008A7464">
            <w:pPr>
              <w:rPr>
                <w:lang w:eastAsia="en-GB"/>
              </w:rPr>
            </w:pPr>
            <w:r w:rsidRPr="000B4E2C">
              <w:rPr>
                <w:lang w:eastAsia="en-GB"/>
              </w:rPr>
              <w:t>Bolignano</w:t>
            </w:r>
          </w:p>
        </w:tc>
        <w:tc>
          <w:tcPr>
            <w:tcW w:w="0" w:type="auto"/>
            <w:shd w:val="clear" w:color="auto" w:fill="auto"/>
            <w:noWrap/>
            <w:hideMark/>
          </w:tcPr>
          <w:p w14:paraId="0030584F"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59B87B48"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155E616B" w14:textId="77777777" w:rsidR="002F0133" w:rsidRPr="000B4E2C" w:rsidRDefault="002F0133" w:rsidP="008A7464">
            <w:pPr>
              <w:rPr>
                <w:highlight w:val="green"/>
                <w:lang w:eastAsia="en-GB"/>
              </w:rPr>
            </w:pPr>
            <w:r w:rsidRPr="000B4E2C">
              <w:rPr>
                <w:highlight w:val="green"/>
                <w:lang w:eastAsia="en-GB"/>
              </w:rPr>
              <w:t>D. Bolignano. Serum creatinine and the search for new biomarkers of acute kidney injury (AKI): The story continues. Clinical Chemistry and Laboratory Medicine, 50(9), 1495-1499. [15141]</w:t>
            </w:r>
          </w:p>
        </w:tc>
      </w:tr>
      <w:tr w:rsidR="002F0133" w:rsidRPr="000B4E2C" w14:paraId="55CCA480" w14:textId="77777777" w:rsidTr="000B4E2C">
        <w:trPr>
          <w:cantSplit/>
        </w:trPr>
        <w:tc>
          <w:tcPr>
            <w:tcW w:w="0" w:type="auto"/>
            <w:shd w:val="clear" w:color="auto" w:fill="auto"/>
            <w:noWrap/>
            <w:hideMark/>
          </w:tcPr>
          <w:p w14:paraId="1059CCC5" w14:textId="77777777" w:rsidR="002F0133" w:rsidRPr="000B4E2C" w:rsidRDefault="002F0133" w:rsidP="008A7464">
            <w:pPr>
              <w:rPr>
                <w:lang w:eastAsia="en-GB"/>
              </w:rPr>
            </w:pPr>
            <w:r w:rsidRPr="000B4E2C">
              <w:rPr>
                <w:lang w:eastAsia="en-GB"/>
              </w:rPr>
              <w:t>Bolignano</w:t>
            </w:r>
          </w:p>
        </w:tc>
        <w:tc>
          <w:tcPr>
            <w:tcW w:w="0" w:type="auto"/>
            <w:shd w:val="clear" w:color="auto" w:fill="auto"/>
            <w:noWrap/>
            <w:hideMark/>
          </w:tcPr>
          <w:p w14:paraId="601151F8"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13827DF9" w14:textId="4AB2909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0277BFF" w14:textId="77777777" w:rsidR="002F0133" w:rsidRPr="000B4E2C" w:rsidRDefault="002F0133" w:rsidP="008A7464">
            <w:pPr>
              <w:rPr>
                <w:highlight w:val="green"/>
                <w:lang w:eastAsia="en-GB"/>
              </w:rPr>
            </w:pPr>
            <w:r w:rsidRPr="000B4E2C">
              <w:rPr>
                <w:highlight w:val="green"/>
                <w:lang w:eastAsia="en-GB"/>
              </w:rPr>
              <w:t>D. Bolignano, A. Lacquaniti, G. Coppolino, V. Donato, S. Campo, M. R. Fazio, G. Nicocia and M. Buemi. Neutrophil gelatinase-associated lipocalin (NGAL) and progression of chronic kidney disease. Clinical Journal of The American Society of Nephrology: CJASN, 4(2), 337-44. [3955]</w:t>
            </w:r>
          </w:p>
        </w:tc>
      </w:tr>
      <w:tr w:rsidR="002F0133" w:rsidRPr="000B4E2C" w14:paraId="77A4BAA1" w14:textId="77777777" w:rsidTr="000B4E2C">
        <w:trPr>
          <w:cantSplit/>
        </w:trPr>
        <w:tc>
          <w:tcPr>
            <w:tcW w:w="0" w:type="auto"/>
            <w:shd w:val="clear" w:color="auto" w:fill="auto"/>
            <w:noWrap/>
            <w:hideMark/>
          </w:tcPr>
          <w:p w14:paraId="26CFAB8D" w14:textId="77777777" w:rsidR="002F0133" w:rsidRPr="000B4E2C" w:rsidRDefault="002F0133" w:rsidP="008A7464">
            <w:pPr>
              <w:rPr>
                <w:lang w:eastAsia="en-GB"/>
              </w:rPr>
            </w:pPr>
            <w:r w:rsidRPr="000B4E2C">
              <w:rPr>
                <w:lang w:eastAsia="en-GB"/>
              </w:rPr>
              <w:lastRenderedPageBreak/>
              <w:t>Bolliger</w:t>
            </w:r>
          </w:p>
        </w:tc>
        <w:tc>
          <w:tcPr>
            <w:tcW w:w="0" w:type="auto"/>
            <w:shd w:val="clear" w:color="auto" w:fill="auto"/>
            <w:noWrap/>
            <w:hideMark/>
          </w:tcPr>
          <w:p w14:paraId="07F50D07"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5F017FFC"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5797DA76" w14:textId="77777777" w:rsidR="002F0133" w:rsidRPr="000B4E2C" w:rsidRDefault="002F0133" w:rsidP="008A7464">
            <w:pPr>
              <w:rPr>
                <w:highlight w:val="green"/>
                <w:lang w:eastAsia="en-GB"/>
              </w:rPr>
            </w:pPr>
            <w:r w:rsidRPr="000B4E2C">
              <w:rPr>
                <w:highlight w:val="green"/>
                <w:lang w:val="da-DK" w:eastAsia="en-GB"/>
              </w:rPr>
              <w:t xml:space="preserve">D. Bolliger and M. Siegemund. </w:t>
            </w:r>
            <w:r w:rsidRPr="000B4E2C">
              <w:rPr>
                <w:highlight w:val="green"/>
                <w:lang w:eastAsia="en-GB"/>
              </w:rPr>
              <w:t>The More, the Merrier? - Urinary Biomarkers for Prediction of Acute Kidney Injury After Cardiac Surgery. Journal of Cardiothoracic and Vascular Anesthesia, 32(5), 2201-2202. [15150]</w:t>
            </w:r>
          </w:p>
        </w:tc>
      </w:tr>
      <w:tr w:rsidR="002F0133" w:rsidRPr="000B4E2C" w14:paraId="30E5C7DE" w14:textId="77777777" w:rsidTr="000B4E2C">
        <w:trPr>
          <w:cantSplit/>
        </w:trPr>
        <w:tc>
          <w:tcPr>
            <w:tcW w:w="0" w:type="auto"/>
            <w:shd w:val="clear" w:color="auto" w:fill="auto"/>
            <w:noWrap/>
            <w:hideMark/>
          </w:tcPr>
          <w:p w14:paraId="0598A38F" w14:textId="77777777" w:rsidR="002F0133" w:rsidRPr="000B4E2C" w:rsidRDefault="002F0133" w:rsidP="008A7464">
            <w:pPr>
              <w:rPr>
                <w:lang w:eastAsia="en-GB"/>
              </w:rPr>
            </w:pPr>
            <w:r w:rsidRPr="000B4E2C">
              <w:rPr>
                <w:lang w:eastAsia="en-GB"/>
              </w:rPr>
              <w:t>Bonventre</w:t>
            </w:r>
          </w:p>
        </w:tc>
        <w:tc>
          <w:tcPr>
            <w:tcW w:w="0" w:type="auto"/>
            <w:shd w:val="clear" w:color="auto" w:fill="auto"/>
            <w:noWrap/>
            <w:hideMark/>
          </w:tcPr>
          <w:p w14:paraId="4BC75C2C"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3A27D8CE"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25B521FE" w14:textId="77777777" w:rsidR="002F0133" w:rsidRPr="000B4E2C" w:rsidRDefault="002F0133" w:rsidP="008A7464">
            <w:pPr>
              <w:rPr>
                <w:highlight w:val="green"/>
                <w:lang w:eastAsia="en-GB"/>
              </w:rPr>
            </w:pPr>
            <w:r w:rsidRPr="000B4E2C">
              <w:rPr>
                <w:highlight w:val="green"/>
                <w:lang w:eastAsia="en-GB"/>
              </w:rPr>
              <w:t>J. V. Bonventre. Urine neutrophil gelatinase-associated lipocalin as a marker of acute kidney injury in critically ill children. Nature Clinical Practice Nephrology, 4(2), 78-9. [3999]</w:t>
            </w:r>
          </w:p>
        </w:tc>
      </w:tr>
      <w:tr w:rsidR="002F0133" w:rsidRPr="000B4E2C" w14:paraId="7C0F3ADD" w14:textId="77777777" w:rsidTr="000B4E2C">
        <w:trPr>
          <w:cantSplit/>
        </w:trPr>
        <w:tc>
          <w:tcPr>
            <w:tcW w:w="0" w:type="auto"/>
            <w:shd w:val="clear" w:color="auto" w:fill="auto"/>
            <w:noWrap/>
            <w:hideMark/>
          </w:tcPr>
          <w:p w14:paraId="7A316B22" w14:textId="77777777" w:rsidR="002F0133" w:rsidRPr="000B4E2C" w:rsidRDefault="002F0133" w:rsidP="008A7464">
            <w:pPr>
              <w:rPr>
                <w:lang w:eastAsia="en-GB"/>
              </w:rPr>
            </w:pPr>
            <w:r w:rsidRPr="000B4E2C">
              <w:rPr>
                <w:lang w:eastAsia="en-GB"/>
              </w:rPr>
              <w:t>Bouchard</w:t>
            </w:r>
          </w:p>
        </w:tc>
        <w:tc>
          <w:tcPr>
            <w:tcW w:w="0" w:type="auto"/>
            <w:shd w:val="clear" w:color="auto" w:fill="auto"/>
            <w:noWrap/>
            <w:hideMark/>
          </w:tcPr>
          <w:p w14:paraId="54E7EF3C"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0D1C29C"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6A23D780" w14:textId="77777777" w:rsidR="002F0133" w:rsidRPr="000B4E2C" w:rsidRDefault="002F0133" w:rsidP="008A7464">
            <w:pPr>
              <w:rPr>
                <w:highlight w:val="green"/>
                <w:lang w:eastAsia="en-GB"/>
              </w:rPr>
            </w:pPr>
            <w:r w:rsidRPr="000B4E2C">
              <w:rPr>
                <w:highlight w:val="green"/>
                <w:lang w:eastAsia="en-GB"/>
              </w:rPr>
              <w:t>J. Bouchard, R. Malhotra, S. Shah, Y. T. Kao, F. Vaida, A. Gupta, D. T. Berg, B. W. Grinnell, B. Stofan, A. J. Tolwani and R. L. Mehta. Levels of protein C and soluble thrombomodulin in critically ill patients with acute kidney injury: A multicenter prospective observational study. PLoS ONE, 10(3), e0120770. [15160]</w:t>
            </w:r>
          </w:p>
        </w:tc>
      </w:tr>
      <w:tr w:rsidR="002F0133" w:rsidRPr="000B4E2C" w14:paraId="2D2A0B10" w14:textId="77777777" w:rsidTr="000B4E2C">
        <w:trPr>
          <w:cantSplit/>
        </w:trPr>
        <w:tc>
          <w:tcPr>
            <w:tcW w:w="0" w:type="auto"/>
            <w:shd w:val="clear" w:color="auto" w:fill="auto"/>
            <w:noWrap/>
            <w:hideMark/>
          </w:tcPr>
          <w:p w14:paraId="6F5229AB" w14:textId="77777777" w:rsidR="002F0133" w:rsidRPr="000B4E2C" w:rsidRDefault="002F0133" w:rsidP="008A7464">
            <w:pPr>
              <w:rPr>
                <w:lang w:eastAsia="en-GB"/>
              </w:rPr>
            </w:pPr>
            <w:r w:rsidRPr="000B4E2C">
              <w:rPr>
                <w:lang w:eastAsia="en-GB"/>
              </w:rPr>
              <w:t>Bramham</w:t>
            </w:r>
          </w:p>
        </w:tc>
        <w:tc>
          <w:tcPr>
            <w:tcW w:w="0" w:type="auto"/>
            <w:shd w:val="clear" w:color="auto" w:fill="auto"/>
            <w:noWrap/>
            <w:hideMark/>
          </w:tcPr>
          <w:p w14:paraId="3E1568DA"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664440B"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5F933375" w14:textId="77777777" w:rsidR="002F0133" w:rsidRPr="000B4E2C" w:rsidRDefault="002F0133" w:rsidP="008A7464">
            <w:pPr>
              <w:rPr>
                <w:highlight w:val="green"/>
                <w:lang w:eastAsia="en-GB"/>
              </w:rPr>
            </w:pPr>
            <w:r w:rsidRPr="000B4E2C">
              <w:rPr>
                <w:highlight w:val="green"/>
                <w:lang w:eastAsia="en-GB"/>
              </w:rPr>
              <w:t>K. Bramham, P. T. Seed, L. Lightstone, C. Nelson-Piercy, C. Gill, P. Webster, L. Poston and L. C. Chappell. Diagnostic and predictive biomarkers for pre-eclampsia in patients with established hypertension and chronic kidney disease. Kidney international, 89(4), 874-85. [15166]</w:t>
            </w:r>
          </w:p>
        </w:tc>
      </w:tr>
      <w:tr w:rsidR="002F0133" w:rsidRPr="000B4E2C" w14:paraId="2A173760" w14:textId="77777777" w:rsidTr="000B4E2C">
        <w:trPr>
          <w:cantSplit/>
        </w:trPr>
        <w:tc>
          <w:tcPr>
            <w:tcW w:w="0" w:type="auto"/>
            <w:shd w:val="clear" w:color="auto" w:fill="auto"/>
            <w:noWrap/>
            <w:hideMark/>
          </w:tcPr>
          <w:p w14:paraId="40F72C72" w14:textId="77777777" w:rsidR="002F0133" w:rsidRPr="000B4E2C" w:rsidRDefault="002F0133" w:rsidP="008A7464">
            <w:pPr>
              <w:rPr>
                <w:lang w:eastAsia="en-GB"/>
              </w:rPr>
            </w:pPr>
            <w:r w:rsidRPr="000B4E2C">
              <w:rPr>
                <w:lang w:eastAsia="en-GB"/>
              </w:rPr>
              <w:t>Breidthardt</w:t>
            </w:r>
          </w:p>
        </w:tc>
        <w:tc>
          <w:tcPr>
            <w:tcW w:w="0" w:type="auto"/>
            <w:shd w:val="clear" w:color="auto" w:fill="auto"/>
            <w:noWrap/>
            <w:hideMark/>
          </w:tcPr>
          <w:p w14:paraId="6570DDC4"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35F88591"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1A28CB98" w14:textId="77777777" w:rsidR="002F0133" w:rsidRPr="000B4E2C" w:rsidRDefault="002F0133" w:rsidP="008A7464">
            <w:pPr>
              <w:rPr>
                <w:highlight w:val="green"/>
                <w:lang w:eastAsia="en-GB"/>
              </w:rPr>
            </w:pPr>
            <w:r w:rsidRPr="000B4E2C">
              <w:rPr>
                <w:highlight w:val="green"/>
                <w:lang w:eastAsia="en-GB"/>
              </w:rPr>
              <w:t>T. Breidthardt, T. Socrates, B. Drexler, M. Noveanu, C. Heinisch, N. Arenja, T. Klima, C. Zusli, T. Reichlin, M. Potocki, R. Twerenbold, J. Steiger and C. Mueller. Plasma neutrophil gelatinase-associated lipocalin for the prediction of acute kidney injury in acute heart failure. Critical Care, R2. [15168]</w:t>
            </w:r>
          </w:p>
        </w:tc>
      </w:tr>
      <w:tr w:rsidR="002F0133" w:rsidRPr="000B4E2C" w14:paraId="07D4FCB3" w14:textId="77777777" w:rsidTr="000B4E2C">
        <w:trPr>
          <w:cantSplit/>
        </w:trPr>
        <w:tc>
          <w:tcPr>
            <w:tcW w:w="0" w:type="auto"/>
            <w:shd w:val="clear" w:color="auto" w:fill="auto"/>
            <w:noWrap/>
            <w:hideMark/>
          </w:tcPr>
          <w:p w14:paraId="57B41758" w14:textId="77777777" w:rsidR="002F0133" w:rsidRPr="000B4E2C" w:rsidRDefault="002F0133" w:rsidP="008A7464">
            <w:pPr>
              <w:rPr>
                <w:lang w:eastAsia="en-GB"/>
              </w:rPr>
            </w:pPr>
            <w:r w:rsidRPr="000B4E2C">
              <w:rPr>
                <w:lang w:eastAsia="en-GB"/>
              </w:rPr>
              <w:t>Breidthardt</w:t>
            </w:r>
          </w:p>
        </w:tc>
        <w:tc>
          <w:tcPr>
            <w:tcW w:w="0" w:type="auto"/>
            <w:shd w:val="clear" w:color="auto" w:fill="auto"/>
            <w:noWrap/>
            <w:hideMark/>
          </w:tcPr>
          <w:p w14:paraId="32F07106"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4D2CB5CA"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746F294" w14:textId="77777777" w:rsidR="002F0133" w:rsidRPr="000B4E2C" w:rsidRDefault="002F0133" w:rsidP="008A7464">
            <w:pPr>
              <w:rPr>
                <w:highlight w:val="green"/>
                <w:lang w:eastAsia="en-GB"/>
              </w:rPr>
            </w:pPr>
            <w:r w:rsidRPr="000B4E2C">
              <w:rPr>
                <w:highlight w:val="green"/>
                <w:lang w:eastAsia="en-GB"/>
              </w:rPr>
              <w:t>T. Breidthardt, M. Christ-Crain, D. Stolz, R. Bingisser, B. Drexler, T. Klima, C. Balmelli, P. Schuetz, P. Haaf, M. Schrer, M. Tamm, B. Mller and C. Mller. A combined cardiorenal assessment for the prediction of acute kidney injury in lower respiratory tract infections. American Journal of Medicine, 125(2), 168-175. [15169]</w:t>
            </w:r>
          </w:p>
        </w:tc>
      </w:tr>
      <w:tr w:rsidR="002F0133" w:rsidRPr="000B4E2C" w14:paraId="6C6623A7" w14:textId="77777777" w:rsidTr="000B4E2C">
        <w:trPr>
          <w:cantSplit/>
        </w:trPr>
        <w:tc>
          <w:tcPr>
            <w:tcW w:w="0" w:type="auto"/>
            <w:shd w:val="clear" w:color="auto" w:fill="auto"/>
            <w:noWrap/>
            <w:hideMark/>
          </w:tcPr>
          <w:p w14:paraId="10EF05D8" w14:textId="77777777" w:rsidR="002F0133" w:rsidRPr="000B4E2C" w:rsidRDefault="002F0133" w:rsidP="008A7464">
            <w:pPr>
              <w:rPr>
                <w:lang w:eastAsia="en-GB"/>
              </w:rPr>
            </w:pPr>
            <w:r w:rsidRPr="000B4E2C">
              <w:rPr>
                <w:lang w:eastAsia="en-GB"/>
              </w:rPr>
              <w:t>Brinkman</w:t>
            </w:r>
          </w:p>
        </w:tc>
        <w:tc>
          <w:tcPr>
            <w:tcW w:w="0" w:type="auto"/>
            <w:shd w:val="clear" w:color="auto" w:fill="auto"/>
            <w:noWrap/>
            <w:hideMark/>
          </w:tcPr>
          <w:p w14:paraId="3CBFE664"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8F669A3" w14:textId="04EA27F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03F6DDB" w14:textId="77777777" w:rsidR="002F0133" w:rsidRPr="000B4E2C" w:rsidRDefault="002F0133" w:rsidP="008A7464">
            <w:pPr>
              <w:rPr>
                <w:highlight w:val="green"/>
                <w:lang w:eastAsia="en-GB"/>
              </w:rPr>
            </w:pPr>
            <w:r w:rsidRPr="000B4E2C">
              <w:rPr>
                <w:highlight w:val="green"/>
                <w:lang w:eastAsia="en-GB"/>
              </w:rPr>
              <w:t>R. Brinkman, K. T. HayGlass, W. A. C. Mutch and D. J. Funk. Acute Kidney Injury in Patients Undergoing Open Abdominal Aortic Aneurysm Repair: A Pilot Observational Trial. Journal of Cardiothoracic and Vascular Anesthesia, 29(5), 1212-1219. [15175]</w:t>
            </w:r>
          </w:p>
        </w:tc>
      </w:tr>
      <w:tr w:rsidR="002F0133" w:rsidRPr="000B4E2C" w14:paraId="22544986" w14:textId="77777777" w:rsidTr="000B4E2C">
        <w:trPr>
          <w:cantSplit/>
        </w:trPr>
        <w:tc>
          <w:tcPr>
            <w:tcW w:w="0" w:type="auto"/>
            <w:shd w:val="clear" w:color="auto" w:fill="auto"/>
            <w:noWrap/>
            <w:hideMark/>
          </w:tcPr>
          <w:p w14:paraId="2572A73E" w14:textId="77777777" w:rsidR="002F0133" w:rsidRPr="000B4E2C" w:rsidRDefault="002F0133" w:rsidP="008A7464">
            <w:pPr>
              <w:rPr>
                <w:lang w:eastAsia="en-GB"/>
              </w:rPr>
            </w:pPr>
            <w:r w:rsidRPr="000B4E2C">
              <w:rPr>
                <w:lang w:eastAsia="en-GB"/>
              </w:rPr>
              <w:t>Brulotte</w:t>
            </w:r>
          </w:p>
        </w:tc>
        <w:tc>
          <w:tcPr>
            <w:tcW w:w="0" w:type="auto"/>
            <w:shd w:val="clear" w:color="auto" w:fill="auto"/>
            <w:noWrap/>
            <w:hideMark/>
          </w:tcPr>
          <w:p w14:paraId="3A86CCD1"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606C38DA"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2CDF59D" w14:textId="77777777" w:rsidR="002F0133" w:rsidRPr="000B4E2C" w:rsidRDefault="002F0133" w:rsidP="008A7464">
            <w:pPr>
              <w:rPr>
                <w:highlight w:val="green"/>
                <w:lang w:eastAsia="en-GB"/>
              </w:rPr>
            </w:pPr>
            <w:r w:rsidRPr="000B4E2C">
              <w:rPr>
                <w:highlight w:val="green"/>
                <w:lang w:eastAsia="en-GB"/>
              </w:rPr>
              <w:t>V. Brulotte, F. A. Leblond, S. Elkouri, E. Therasse, V. Pichette and P. Beaulieu. Bicarbonates for the prevention of postoperative renal failure in endovascular aortic aneurysm repair: A randomized pilot trial. Anesthesiology Research and Practice, 2013(467326. [15178]</w:t>
            </w:r>
          </w:p>
        </w:tc>
      </w:tr>
      <w:tr w:rsidR="002F0133" w:rsidRPr="000B4E2C" w14:paraId="19CB00A9" w14:textId="77777777" w:rsidTr="000B4E2C">
        <w:trPr>
          <w:cantSplit/>
        </w:trPr>
        <w:tc>
          <w:tcPr>
            <w:tcW w:w="0" w:type="auto"/>
            <w:shd w:val="clear" w:color="auto" w:fill="auto"/>
            <w:noWrap/>
            <w:hideMark/>
          </w:tcPr>
          <w:p w14:paraId="16956A15" w14:textId="77777777" w:rsidR="002F0133" w:rsidRPr="000B4E2C" w:rsidRDefault="002F0133" w:rsidP="008A7464">
            <w:pPr>
              <w:rPr>
                <w:lang w:eastAsia="en-GB"/>
              </w:rPr>
            </w:pPr>
            <w:r w:rsidRPr="000B4E2C">
              <w:rPr>
                <w:lang w:eastAsia="en-GB"/>
              </w:rPr>
              <w:t>Brunner</w:t>
            </w:r>
          </w:p>
        </w:tc>
        <w:tc>
          <w:tcPr>
            <w:tcW w:w="0" w:type="auto"/>
            <w:shd w:val="clear" w:color="auto" w:fill="auto"/>
            <w:noWrap/>
            <w:hideMark/>
          </w:tcPr>
          <w:p w14:paraId="7D135748" w14:textId="77777777" w:rsidR="002F0133" w:rsidRPr="000B4E2C" w:rsidRDefault="002F0133" w:rsidP="008A7464">
            <w:pPr>
              <w:jc w:val="center"/>
              <w:rPr>
                <w:lang w:eastAsia="en-GB"/>
              </w:rPr>
            </w:pPr>
            <w:r w:rsidRPr="000B4E2C">
              <w:rPr>
                <w:lang w:eastAsia="en-GB"/>
              </w:rPr>
              <w:t>2006</w:t>
            </w:r>
          </w:p>
        </w:tc>
        <w:tc>
          <w:tcPr>
            <w:tcW w:w="0" w:type="auto"/>
            <w:shd w:val="clear" w:color="auto" w:fill="auto"/>
            <w:noWrap/>
            <w:hideMark/>
          </w:tcPr>
          <w:p w14:paraId="6A085313" w14:textId="225A4C4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C67EBB9" w14:textId="77777777" w:rsidR="002F0133" w:rsidRPr="000B4E2C" w:rsidRDefault="002F0133" w:rsidP="008A7464">
            <w:pPr>
              <w:rPr>
                <w:highlight w:val="green"/>
                <w:lang w:eastAsia="en-GB"/>
              </w:rPr>
            </w:pPr>
            <w:r w:rsidRPr="000B4E2C">
              <w:rPr>
                <w:highlight w:val="green"/>
                <w:lang w:eastAsia="en-GB"/>
              </w:rPr>
              <w:t>H. I. Brunner, M. Mueller, C. Rutherford, M. H. Passo, D. Witte, A. Grom, J. Mishra and P. Devarajan. Urinary neutrophil gelatinase-associated lipocalin as a biomarker of nephritis in childhood-onset systemic lupus erythematosus. Arthritis &amp; Rheumatism, 54(8), 2577-84. [4021]</w:t>
            </w:r>
          </w:p>
        </w:tc>
      </w:tr>
      <w:tr w:rsidR="002F0133" w:rsidRPr="000B4E2C" w14:paraId="7E0BD104" w14:textId="77777777" w:rsidTr="000B4E2C">
        <w:trPr>
          <w:cantSplit/>
        </w:trPr>
        <w:tc>
          <w:tcPr>
            <w:tcW w:w="0" w:type="auto"/>
            <w:shd w:val="clear" w:color="auto" w:fill="auto"/>
            <w:noWrap/>
            <w:hideMark/>
          </w:tcPr>
          <w:p w14:paraId="1BE50ED1" w14:textId="77777777" w:rsidR="002F0133" w:rsidRPr="000B4E2C" w:rsidRDefault="002F0133" w:rsidP="008A7464">
            <w:pPr>
              <w:rPr>
                <w:lang w:eastAsia="en-GB"/>
              </w:rPr>
            </w:pPr>
            <w:r w:rsidRPr="000B4E2C">
              <w:rPr>
                <w:lang w:eastAsia="en-GB"/>
              </w:rPr>
              <w:t>Bruno</w:t>
            </w:r>
          </w:p>
        </w:tc>
        <w:tc>
          <w:tcPr>
            <w:tcW w:w="0" w:type="auto"/>
            <w:shd w:val="clear" w:color="auto" w:fill="auto"/>
            <w:noWrap/>
            <w:hideMark/>
          </w:tcPr>
          <w:p w14:paraId="3D761CFA"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7426D5F" w14:textId="0BCF99F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A6ACB73" w14:textId="033F9CD5" w:rsidR="002F0133" w:rsidRPr="000B4E2C" w:rsidRDefault="002F0133" w:rsidP="008A7464">
            <w:pPr>
              <w:rPr>
                <w:highlight w:val="green"/>
                <w:lang w:eastAsia="en-GB"/>
              </w:rPr>
            </w:pPr>
            <w:r w:rsidRPr="000B4E2C">
              <w:rPr>
                <w:highlight w:val="green"/>
                <w:lang w:eastAsia="en-GB"/>
              </w:rPr>
              <w:t>N. Bruno, J. M. ter Maaten, E. S. Ovchinnikova, E. L. Vegter, M. A. E. Valente, P. van der Meer, R. A. de Boer, P. van der Harst, D. Schmitter, M. Metra, C. M. O</w:t>
            </w:r>
            <w:r w:rsidR="0072128A" w:rsidRPr="000B4E2C">
              <w:rPr>
                <w:color w:val="00B0F0"/>
                <w:highlight w:val="green"/>
                <w:lang w:eastAsia="en-GB"/>
              </w:rPr>
              <w:t>’</w:t>
            </w:r>
            <w:r w:rsidRPr="000B4E2C">
              <w:rPr>
                <w:highlight w:val="green"/>
                <w:lang w:eastAsia="en-GB"/>
              </w:rPr>
              <w:t>Connor, P. Ponikowski, J. R. Teerlink, G. Cotter, B. Davison, J. G. Cleland, M. M. Givertz, D. M. Bloomfield, H. C. Dittrich, Y. M. Pinto, D. J. van Veldhuisen, H. L. Hillege, E. Berezikov and A. A. Voors. MicroRNAs relate to early worsening of renal function in patients with acute heart failure. International journal of cardiology, 203(564-9. [15180]</w:t>
            </w:r>
          </w:p>
        </w:tc>
      </w:tr>
      <w:tr w:rsidR="002F0133" w:rsidRPr="000B4E2C" w14:paraId="5343E82C" w14:textId="77777777" w:rsidTr="000B4E2C">
        <w:trPr>
          <w:cantSplit/>
        </w:trPr>
        <w:tc>
          <w:tcPr>
            <w:tcW w:w="0" w:type="auto"/>
            <w:shd w:val="clear" w:color="auto" w:fill="auto"/>
            <w:noWrap/>
            <w:hideMark/>
          </w:tcPr>
          <w:p w14:paraId="265E8948" w14:textId="77777777" w:rsidR="002F0133" w:rsidRPr="000B4E2C" w:rsidRDefault="002F0133" w:rsidP="008A7464">
            <w:pPr>
              <w:rPr>
                <w:lang w:eastAsia="en-GB"/>
              </w:rPr>
            </w:pPr>
            <w:r w:rsidRPr="000B4E2C">
              <w:rPr>
                <w:lang w:eastAsia="en-GB"/>
              </w:rPr>
              <w:t>Buelow</w:t>
            </w:r>
          </w:p>
        </w:tc>
        <w:tc>
          <w:tcPr>
            <w:tcW w:w="0" w:type="auto"/>
            <w:shd w:val="clear" w:color="auto" w:fill="auto"/>
            <w:noWrap/>
            <w:hideMark/>
          </w:tcPr>
          <w:p w14:paraId="13C54854"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127488B3" w14:textId="7173322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BACE7C3" w14:textId="77777777" w:rsidR="002F0133" w:rsidRPr="000B4E2C" w:rsidRDefault="002F0133" w:rsidP="008A7464">
            <w:pPr>
              <w:rPr>
                <w:highlight w:val="green"/>
                <w:lang w:eastAsia="en-GB"/>
              </w:rPr>
            </w:pPr>
            <w:r w:rsidRPr="000B4E2C">
              <w:rPr>
                <w:highlight w:val="green"/>
                <w:lang w:eastAsia="en-GB"/>
              </w:rPr>
              <w:t>M. W. Buelow, A. Dall, K. Regner, C. Weinberg, P. J. Bartz, J. Sowinski, N. Rudd, L. Katzmark, J. S. Tweddell and M. G. Earing. Urinary Interleukin-18 and Urinary Neutrophil Gelatinase-associated Lipocalin Predict Acute Kidney Injury Following Pulmonary Valve Replacement Prior to Serum Creatinine. Congenital Heart Disease, 7(5), 441-447. [15184]</w:t>
            </w:r>
          </w:p>
        </w:tc>
      </w:tr>
      <w:tr w:rsidR="002F0133" w:rsidRPr="000B4E2C" w14:paraId="2DC84898" w14:textId="77777777" w:rsidTr="000B4E2C">
        <w:trPr>
          <w:cantSplit/>
        </w:trPr>
        <w:tc>
          <w:tcPr>
            <w:tcW w:w="0" w:type="auto"/>
            <w:shd w:val="clear" w:color="auto" w:fill="auto"/>
            <w:noWrap/>
            <w:hideMark/>
          </w:tcPr>
          <w:p w14:paraId="6F2ED2FF" w14:textId="77777777" w:rsidR="002F0133" w:rsidRPr="000B4E2C" w:rsidRDefault="002F0133" w:rsidP="008A7464">
            <w:pPr>
              <w:rPr>
                <w:lang w:eastAsia="en-GB"/>
              </w:rPr>
            </w:pPr>
            <w:r w:rsidRPr="000B4E2C">
              <w:rPr>
                <w:lang w:eastAsia="en-GB"/>
              </w:rPr>
              <w:lastRenderedPageBreak/>
              <w:t>Bugra</w:t>
            </w:r>
          </w:p>
        </w:tc>
        <w:tc>
          <w:tcPr>
            <w:tcW w:w="0" w:type="auto"/>
            <w:shd w:val="clear" w:color="auto" w:fill="auto"/>
            <w:noWrap/>
            <w:hideMark/>
          </w:tcPr>
          <w:p w14:paraId="726179DE"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208D35F5"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45BB8AA" w14:textId="77777777" w:rsidR="002F0133" w:rsidRPr="000B4E2C" w:rsidRDefault="002F0133" w:rsidP="008A7464">
            <w:pPr>
              <w:rPr>
                <w:highlight w:val="green"/>
                <w:lang w:eastAsia="en-GB"/>
              </w:rPr>
            </w:pPr>
            <w:r w:rsidRPr="000B4E2C">
              <w:rPr>
                <w:highlight w:val="green"/>
                <w:lang w:eastAsia="en-GB"/>
              </w:rPr>
              <w:t>O. Bugra, A. Baysal, A. Fedakar, K. Erdem, H. Sunar and B. Daglar. Does serum neutrophil gelatinase-associated lipocalin biomarker detect the early deterioration in renal functions in patients with insulin-dependent diabetes mellitus undergoing coronary artery bypass graft surgery?. Turk Gogus Kalp Damar Cerrahisi Dergisi-Turkish Journal of Thoracic and Cardiovascular Surgery, 22(1), 63-70. [18386]</w:t>
            </w:r>
          </w:p>
        </w:tc>
      </w:tr>
      <w:tr w:rsidR="002F0133" w:rsidRPr="000B4E2C" w14:paraId="2D45D271" w14:textId="77777777" w:rsidTr="000B4E2C">
        <w:trPr>
          <w:cantSplit/>
        </w:trPr>
        <w:tc>
          <w:tcPr>
            <w:tcW w:w="0" w:type="auto"/>
            <w:shd w:val="clear" w:color="auto" w:fill="auto"/>
            <w:noWrap/>
            <w:hideMark/>
          </w:tcPr>
          <w:p w14:paraId="7795CC34" w14:textId="77777777" w:rsidR="002F0133" w:rsidRPr="000B4E2C" w:rsidRDefault="002F0133" w:rsidP="008A7464">
            <w:pPr>
              <w:rPr>
                <w:lang w:eastAsia="en-GB"/>
              </w:rPr>
            </w:pPr>
            <w:r w:rsidRPr="000B4E2C">
              <w:rPr>
                <w:lang w:eastAsia="en-GB"/>
              </w:rPr>
              <w:t>Bulluck</w:t>
            </w:r>
          </w:p>
        </w:tc>
        <w:tc>
          <w:tcPr>
            <w:tcW w:w="0" w:type="auto"/>
            <w:shd w:val="clear" w:color="auto" w:fill="auto"/>
            <w:noWrap/>
            <w:hideMark/>
          </w:tcPr>
          <w:p w14:paraId="48C7D0B0"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349DDC0F"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27100969" w14:textId="77777777" w:rsidR="002F0133" w:rsidRPr="000B4E2C" w:rsidRDefault="002F0133" w:rsidP="008A7464">
            <w:pPr>
              <w:rPr>
                <w:highlight w:val="green"/>
                <w:lang w:eastAsia="en-GB"/>
              </w:rPr>
            </w:pPr>
            <w:r w:rsidRPr="000B4E2C">
              <w:rPr>
                <w:highlight w:val="green"/>
                <w:lang w:eastAsia="en-GB"/>
              </w:rPr>
              <w:t>H. Bulluck, R. Maiti, B. Chakraborty, L. Candilio, T. Clayton, R. Evans, D. P. Jenkins, S. Kolvekar, G. Kunst, C. Laing, J. Nicholas, J. Pepper, D. M. Yellon and D. J. Hausenloy. Neutrophil gelatinase-associated lipocalin prior to cardiac surgery predicts acute kidney injury and mortality. Heart (British Cardiac Society), . [15186]</w:t>
            </w:r>
          </w:p>
        </w:tc>
      </w:tr>
      <w:tr w:rsidR="002F0133" w:rsidRPr="000B4E2C" w14:paraId="2996F4F8" w14:textId="77777777" w:rsidTr="000B4E2C">
        <w:trPr>
          <w:cantSplit/>
        </w:trPr>
        <w:tc>
          <w:tcPr>
            <w:tcW w:w="0" w:type="auto"/>
            <w:shd w:val="clear" w:color="auto" w:fill="auto"/>
            <w:noWrap/>
            <w:hideMark/>
          </w:tcPr>
          <w:p w14:paraId="6AA715F6" w14:textId="77777777" w:rsidR="002F0133" w:rsidRPr="000B4E2C" w:rsidRDefault="002F0133" w:rsidP="008A7464">
            <w:pPr>
              <w:rPr>
                <w:lang w:eastAsia="en-GB"/>
              </w:rPr>
            </w:pPr>
            <w:r w:rsidRPr="000B4E2C">
              <w:rPr>
                <w:lang w:eastAsia="en-GB"/>
              </w:rPr>
              <w:t>Bunchman</w:t>
            </w:r>
          </w:p>
        </w:tc>
        <w:tc>
          <w:tcPr>
            <w:tcW w:w="0" w:type="auto"/>
            <w:shd w:val="clear" w:color="auto" w:fill="auto"/>
            <w:noWrap/>
            <w:hideMark/>
          </w:tcPr>
          <w:p w14:paraId="27026133"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2157AB69"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3B57925E" w14:textId="77777777" w:rsidR="002F0133" w:rsidRPr="000B4E2C" w:rsidRDefault="002F0133" w:rsidP="008A7464">
            <w:pPr>
              <w:rPr>
                <w:highlight w:val="green"/>
                <w:lang w:eastAsia="en-GB"/>
              </w:rPr>
            </w:pPr>
            <w:r w:rsidRPr="000B4E2C">
              <w:rPr>
                <w:highlight w:val="green"/>
                <w:lang w:eastAsia="en-GB"/>
              </w:rPr>
              <w:t>T. E. Bunchman. Biomarkers for acute kidney injury: Is the serum creatinine worthless?. Pediatric Critical Care Medicine, 13(1), 119-120. [15188]</w:t>
            </w:r>
          </w:p>
        </w:tc>
      </w:tr>
      <w:tr w:rsidR="002F0133" w:rsidRPr="000B4E2C" w14:paraId="71E9AD7E" w14:textId="77777777" w:rsidTr="000B4E2C">
        <w:trPr>
          <w:cantSplit/>
        </w:trPr>
        <w:tc>
          <w:tcPr>
            <w:tcW w:w="0" w:type="auto"/>
            <w:shd w:val="clear" w:color="auto" w:fill="auto"/>
            <w:noWrap/>
            <w:hideMark/>
          </w:tcPr>
          <w:p w14:paraId="1F409940" w14:textId="77777777" w:rsidR="002F0133" w:rsidRPr="000B4E2C" w:rsidRDefault="002F0133" w:rsidP="008A7464">
            <w:pPr>
              <w:rPr>
                <w:lang w:eastAsia="en-GB"/>
              </w:rPr>
            </w:pPr>
            <w:r w:rsidRPr="000B4E2C">
              <w:rPr>
                <w:lang w:eastAsia="en-GB"/>
              </w:rPr>
              <w:t>Bunel</w:t>
            </w:r>
          </w:p>
        </w:tc>
        <w:tc>
          <w:tcPr>
            <w:tcW w:w="0" w:type="auto"/>
            <w:shd w:val="clear" w:color="auto" w:fill="auto"/>
            <w:noWrap/>
            <w:hideMark/>
          </w:tcPr>
          <w:p w14:paraId="0C43E6D9"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23FBC7F5" w14:textId="3637A59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D32D388" w14:textId="77777777" w:rsidR="002F0133" w:rsidRPr="000B4E2C" w:rsidRDefault="002F0133" w:rsidP="008A7464">
            <w:pPr>
              <w:rPr>
                <w:highlight w:val="green"/>
                <w:lang w:eastAsia="en-GB"/>
              </w:rPr>
            </w:pPr>
            <w:r w:rsidRPr="000B4E2C">
              <w:rPr>
                <w:highlight w:val="green"/>
                <w:lang w:eastAsia="en-GB"/>
              </w:rPr>
              <w:t>V. Bunel, Y. Tournay, T. Baudoux, E. De Prez, M. Marchand, Z. Mekinda, R. Marechal, T. Roumeguere, M. H. Antoine and J. L. Nortier. Early detection of acute cisplatin nephrotoxicity: Interest of urinary monitoring of proximal tubular biomarkers. Clinical Kidney Journal, 10(5), 639-647. [15190]</w:t>
            </w:r>
          </w:p>
        </w:tc>
      </w:tr>
      <w:tr w:rsidR="002F0133" w:rsidRPr="000B4E2C" w14:paraId="483B4F9A" w14:textId="77777777" w:rsidTr="000B4E2C">
        <w:trPr>
          <w:cantSplit/>
        </w:trPr>
        <w:tc>
          <w:tcPr>
            <w:tcW w:w="0" w:type="auto"/>
            <w:shd w:val="clear" w:color="auto" w:fill="auto"/>
            <w:noWrap/>
            <w:hideMark/>
          </w:tcPr>
          <w:p w14:paraId="2CB1B79B" w14:textId="77777777" w:rsidR="002F0133" w:rsidRPr="000B4E2C" w:rsidRDefault="002F0133" w:rsidP="008A7464">
            <w:pPr>
              <w:rPr>
                <w:lang w:eastAsia="en-GB"/>
              </w:rPr>
            </w:pPr>
            <w:r w:rsidRPr="000B4E2C">
              <w:rPr>
                <w:lang w:eastAsia="en-GB"/>
              </w:rPr>
              <w:t>Bunz</w:t>
            </w:r>
          </w:p>
        </w:tc>
        <w:tc>
          <w:tcPr>
            <w:tcW w:w="0" w:type="auto"/>
            <w:shd w:val="clear" w:color="auto" w:fill="auto"/>
            <w:noWrap/>
            <w:hideMark/>
          </w:tcPr>
          <w:p w14:paraId="38DD8076"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4960FD4" w14:textId="17EF56A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BE9ED24" w14:textId="77777777" w:rsidR="002F0133" w:rsidRPr="000B4E2C" w:rsidRDefault="002F0133" w:rsidP="008A7464">
            <w:pPr>
              <w:rPr>
                <w:highlight w:val="green"/>
                <w:lang w:eastAsia="en-GB"/>
              </w:rPr>
            </w:pPr>
            <w:r w:rsidRPr="000B4E2C">
              <w:rPr>
                <w:highlight w:val="green"/>
                <w:lang w:eastAsia="en-GB"/>
              </w:rPr>
              <w:t>H. Bunz, P. Weyrich, A. Peter, D. Baumann, O. Tschritter, M. Guthoff, R. Beck, G. Jahn, F. Artunc, H. U. Haring, N. Heyne and R. Wagner. Urinary Neutrophil Gelatinase-Associated Lipocalin (NGAL) and proteinuria predict severity of acute kidney injury in Puumala virus infection. BMC Infectious Diseases, 15(1), 464. [15191]</w:t>
            </w:r>
          </w:p>
        </w:tc>
      </w:tr>
      <w:tr w:rsidR="002F0133" w:rsidRPr="000B4E2C" w14:paraId="593FEAF2" w14:textId="77777777" w:rsidTr="000B4E2C">
        <w:trPr>
          <w:cantSplit/>
        </w:trPr>
        <w:tc>
          <w:tcPr>
            <w:tcW w:w="0" w:type="auto"/>
            <w:shd w:val="clear" w:color="auto" w:fill="auto"/>
            <w:noWrap/>
            <w:hideMark/>
          </w:tcPr>
          <w:p w14:paraId="26699266" w14:textId="77777777" w:rsidR="002F0133" w:rsidRPr="000B4E2C" w:rsidRDefault="002F0133" w:rsidP="008A7464">
            <w:pPr>
              <w:rPr>
                <w:lang w:eastAsia="en-GB"/>
              </w:rPr>
            </w:pPr>
            <w:r w:rsidRPr="000B4E2C">
              <w:rPr>
                <w:lang w:eastAsia="en-GB"/>
              </w:rPr>
              <w:t>Burke-Gaffney</w:t>
            </w:r>
          </w:p>
        </w:tc>
        <w:tc>
          <w:tcPr>
            <w:tcW w:w="0" w:type="auto"/>
            <w:shd w:val="clear" w:color="auto" w:fill="auto"/>
            <w:noWrap/>
            <w:hideMark/>
          </w:tcPr>
          <w:p w14:paraId="3B222986"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289FC4AF" w14:textId="4A5DB74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4494099" w14:textId="77777777" w:rsidR="002F0133" w:rsidRPr="000B4E2C" w:rsidRDefault="002F0133" w:rsidP="008A7464">
            <w:pPr>
              <w:rPr>
                <w:highlight w:val="green"/>
                <w:lang w:eastAsia="en-GB"/>
              </w:rPr>
            </w:pPr>
            <w:r w:rsidRPr="000B4E2C">
              <w:rPr>
                <w:highlight w:val="green"/>
                <w:lang w:eastAsia="en-GB"/>
              </w:rPr>
              <w:t>A. Burke-Gaffney, T. Svermova, S. Mumby, S. J. Finney and T. W. Evans. Raised plasma Robo4 and cardiac surgery-associated acute kidney injury. PLoS ONE, 9(10), e111459. [15193]</w:t>
            </w:r>
          </w:p>
        </w:tc>
      </w:tr>
      <w:tr w:rsidR="002F0133" w:rsidRPr="000B4E2C" w14:paraId="02B2D38C" w14:textId="77777777" w:rsidTr="000B4E2C">
        <w:trPr>
          <w:cantSplit/>
        </w:trPr>
        <w:tc>
          <w:tcPr>
            <w:tcW w:w="0" w:type="auto"/>
            <w:shd w:val="clear" w:color="auto" w:fill="auto"/>
            <w:noWrap/>
            <w:hideMark/>
          </w:tcPr>
          <w:p w14:paraId="04253D0E" w14:textId="77777777" w:rsidR="002F0133" w:rsidRPr="000B4E2C" w:rsidRDefault="002F0133" w:rsidP="008A7464">
            <w:pPr>
              <w:rPr>
                <w:lang w:eastAsia="en-GB"/>
              </w:rPr>
            </w:pPr>
            <w:r w:rsidRPr="000B4E2C">
              <w:rPr>
                <w:lang w:eastAsia="en-GB"/>
              </w:rPr>
              <w:t>Cai</w:t>
            </w:r>
          </w:p>
        </w:tc>
        <w:tc>
          <w:tcPr>
            <w:tcW w:w="0" w:type="auto"/>
            <w:shd w:val="clear" w:color="auto" w:fill="auto"/>
            <w:noWrap/>
            <w:hideMark/>
          </w:tcPr>
          <w:p w14:paraId="23A3EE39"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62F6B3A8" w14:textId="1EEA21C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D5721A7" w14:textId="77777777" w:rsidR="002F0133" w:rsidRPr="000B4E2C" w:rsidRDefault="002F0133" w:rsidP="008A7464">
            <w:pPr>
              <w:rPr>
                <w:highlight w:val="green"/>
                <w:lang w:eastAsia="en-GB"/>
              </w:rPr>
            </w:pPr>
            <w:r w:rsidRPr="000B4E2C">
              <w:rPr>
                <w:highlight w:val="green"/>
                <w:lang w:val="da-DK" w:eastAsia="en-GB"/>
              </w:rPr>
              <w:t xml:space="preserve">L. Cai, J. Borowiec, S. Xu, W. Han and P. Venge. </w:t>
            </w:r>
            <w:r w:rsidRPr="000B4E2C">
              <w:rPr>
                <w:highlight w:val="green"/>
                <w:lang w:eastAsia="en-GB"/>
              </w:rPr>
              <w:t>Assays of urine levels of HNL/NGAL in patients undergoing cardiac surgery and the impact of antibody configuration on their clinical performances. Clinica Chimica Acta, 403(1-2), 121-5. [3948]</w:t>
            </w:r>
          </w:p>
        </w:tc>
      </w:tr>
      <w:tr w:rsidR="002F0133" w:rsidRPr="000B4E2C" w14:paraId="694AB83B" w14:textId="77777777" w:rsidTr="000B4E2C">
        <w:trPr>
          <w:cantSplit/>
        </w:trPr>
        <w:tc>
          <w:tcPr>
            <w:tcW w:w="0" w:type="auto"/>
            <w:shd w:val="clear" w:color="auto" w:fill="auto"/>
            <w:noWrap/>
            <w:hideMark/>
          </w:tcPr>
          <w:p w14:paraId="216A471A" w14:textId="77777777" w:rsidR="002F0133" w:rsidRPr="000B4E2C" w:rsidRDefault="002F0133" w:rsidP="008A7464">
            <w:pPr>
              <w:rPr>
                <w:lang w:eastAsia="en-GB"/>
              </w:rPr>
            </w:pPr>
            <w:r w:rsidRPr="000B4E2C">
              <w:rPr>
                <w:lang w:eastAsia="en-GB"/>
              </w:rPr>
              <w:t>Cai</w:t>
            </w:r>
          </w:p>
        </w:tc>
        <w:tc>
          <w:tcPr>
            <w:tcW w:w="0" w:type="auto"/>
            <w:shd w:val="clear" w:color="auto" w:fill="auto"/>
            <w:noWrap/>
            <w:hideMark/>
          </w:tcPr>
          <w:p w14:paraId="05366E7E"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14398B2D" w14:textId="2F4A644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E9D080C" w14:textId="77777777" w:rsidR="002F0133" w:rsidRPr="000B4E2C" w:rsidRDefault="002F0133" w:rsidP="008A7464">
            <w:pPr>
              <w:rPr>
                <w:highlight w:val="green"/>
                <w:lang w:eastAsia="en-GB"/>
              </w:rPr>
            </w:pPr>
            <w:r w:rsidRPr="000B4E2C">
              <w:rPr>
                <w:highlight w:val="green"/>
                <w:lang w:val="da-DK" w:eastAsia="en-GB"/>
              </w:rPr>
              <w:t xml:space="preserve">L. Cai, J. Borowiec, S. Xu, W. Han and P. Venge. </w:t>
            </w:r>
            <w:r w:rsidRPr="000B4E2C">
              <w:rPr>
                <w:highlight w:val="green"/>
                <w:lang w:eastAsia="en-GB"/>
              </w:rPr>
              <w:t>Assays of urine levels of HNL/NGAL in patients undergoing cardiac surgery and the impact of antibody configuration on their clinical performances. Clinica Chimica Acta, 403(1-2), 121-125. [15196]</w:t>
            </w:r>
          </w:p>
        </w:tc>
      </w:tr>
      <w:tr w:rsidR="002F0133" w:rsidRPr="000B4E2C" w14:paraId="361E80AA" w14:textId="77777777" w:rsidTr="000B4E2C">
        <w:trPr>
          <w:cantSplit/>
        </w:trPr>
        <w:tc>
          <w:tcPr>
            <w:tcW w:w="0" w:type="auto"/>
            <w:shd w:val="clear" w:color="auto" w:fill="auto"/>
            <w:noWrap/>
            <w:hideMark/>
          </w:tcPr>
          <w:p w14:paraId="728AA3A5" w14:textId="77777777" w:rsidR="002F0133" w:rsidRPr="000B4E2C" w:rsidRDefault="002F0133" w:rsidP="008A7464">
            <w:pPr>
              <w:rPr>
                <w:lang w:eastAsia="en-GB"/>
              </w:rPr>
            </w:pPr>
            <w:r w:rsidRPr="000B4E2C">
              <w:rPr>
                <w:lang w:eastAsia="en-GB"/>
              </w:rPr>
              <w:t>Camou</w:t>
            </w:r>
          </w:p>
        </w:tc>
        <w:tc>
          <w:tcPr>
            <w:tcW w:w="0" w:type="auto"/>
            <w:shd w:val="clear" w:color="auto" w:fill="auto"/>
            <w:noWrap/>
            <w:hideMark/>
          </w:tcPr>
          <w:p w14:paraId="4BB4E694"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75FE9C7F" w14:textId="4F3F612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3C6A115" w14:textId="014C034D" w:rsidR="002F0133" w:rsidRPr="000B4E2C" w:rsidRDefault="002F0133" w:rsidP="008A7464">
            <w:pPr>
              <w:rPr>
                <w:highlight w:val="green"/>
                <w:lang w:eastAsia="en-GB"/>
              </w:rPr>
            </w:pPr>
            <w:r w:rsidRPr="000B4E2C">
              <w:rPr>
                <w:highlight w:val="green"/>
                <w:lang w:eastAsia="en-GB"/>
              </w:rPr>
              <w:t>F. Camou, S. Oger, C. Paroissin, E. Guilhon, O. Guisset, G. Mourissoux, H. Pouyes, T. Lalanne and C. Gabinski. Plasma Neutrophil Gelatinase-Associated Lipocalin (NGAL) predicts acute kidney injury in septic shock at ICU admission. Annales Francaises d</w:t>
            </w:r>
            <w:r w:rsidR="0072128A" w:rsidRPr="000B4E2C">
              <w:rPr>
                <w:color w:val="00B0F0"/>
                <w:highlight w:val="green"/>
                <w:lang w:eastAsia="en-GB"/>
              </w:rPr>
              <w:t>’</w:t>
            </w:r>
            <w:r w:rsidRPr="000B4E2C">
              <w:rPr>
                <w:highlight w:val="green"/>
                <w:lang w:eastAsia="en-GB"/>
              </w:rPr>
              <w:t>Anesthesie et de Reanimation, 32(3), 157-164. [15198]</w:t>
            </w:r>
          </w:p>
        </w:tc>
      </w:tr>
      <w:tr w:rsidR="002F0133" w:rsidRPr="000B4E2C" w14:paraId="42EBF2DC" w14:textId="77777777" w:rsidTr="000B4E2C">
        <w:trPr>
          <w:cantSplit/>
        </w:trPr>
        <w:tc>
          <w:tcPr>
            <w:tcW w:w="0" w:type="auto"/>
            <w:shd w:val="clear" w:color="auto" w:fill="auto"/>
            <w:noWrap/>
            <w:hideMark/>
          </w:tcPr>
          <w:p w14:paraId="4B3AD206" w14:textId="77777777" w:rsidR="002F0133" w:rsidRPr="000B4E2C" w:rsidRDefault="002F0133" w:rsidP="008A7464">
            <w:pPr>
              <w:rPr>
                <w:lang w:eastAsia="en-GB"/>
              </w:rPr>
            </w:pPr>
            <w:r w:rsidRPr="000B4E2C">
              <w:rPr>
                <w:lang w:eastAsia="en-GB"/>
              </w:rPr>
              <w:t>Canakci</w:t>
            </w:r>
          </w:p>
        </w:tc>
        <w:tc>
          <w:tcPr>
            <w:tcW w:w="0" w:type="auto"/>
            <w:shd w:val="clear" w:color="auto" w:fill="auto"/>
            <w:noWrap/>
            <w:hideMark/>
          </w:tcPr>
          <w:p w14:paraId="2A9808F9"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259CF54D" w14:textId="6681F2B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17B5155" w14:textId="77777777" w:rsidR="002F0133" w:rsidRPr="000B4E2C" w:rsidRDefault="002F0133" w:rsidP="008A7464">
            <w:pPr>
              <w:rPr>
                <w:highlight w:val="green"/>
                <w:lang w:eastAsia="en-GB"/>
              </w:rPr>
            </w:pPr>
            <w:r w:rsidRPr="000B4E2C">
              <w:rPr>
                <w:highlight w:val="green"/>
                <w:lang w:eastAsia="en-GB"/>
              </w:rPr>
              <w:t>E. Canakci, A. Karatas, T. Noyan and B. Sertacayhan. Can acute kidney injury be diagnosed using biomarkers in intensive care patients?. Acta Medica Mediterranea, 34(6), 2023-2029. [15199]</w:t>
            </w:r>
          </w:p>
        </w:tc>
      </w:tr>
      <w:tr w:rsidR="002F0133" w:rsidRPr="000B4E2C" w14:paraId="41C5B866" w14:textId="77777777" w:rsidTr="000B4E2C">
        <w:trPr>
          <w:cantSplit/>
        </w:trPr>
        <w:tc>
          <w:tcPr>
            <w:tcW w:w="0" w:type="auto"/>
            <w:shd w:val="clear" w:color="auto" w:fill="auto"/>
            <w:noWrap/>
            <w:hideMark/>
          </w:tcPr>
          <w:p w14:paraId="70D0B89C" w14:textId="77777777" w:rsidR="002F0133" w:rsidRPr="000B4E2C" w:rsidRDefault="002F0133" w:rsidP="008A7464">
            <w:pPr>
              <w:rPr>
                <w:lang w:eastAsia="en-GB"/>
              </w:rPr>
            </w:pPr>
            <w:r w:rsidRPr="000B4E2C">
              <w:rPr>
                <w:lang w:eastAsia="en-GB"/>
              </w:rPr>
              <w:t>Cangemi</w:t>
            </w:r>
          </w:p>
        </w:tc>
        <w:tc>
          <w:tcPr>
            <w:tcW w:w="0" w:type="auto"/>
            <w:shd w:val="clear" w:color="auto" w:fill="auto"/>
            <w:noWrap/>
            <w:hideMark/>
          </w:tcPr>
          <w:p w14:paraId="12473EF2"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52469092"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82515E4" w14:textId="77777777" w:rsidR="002F0133" w:rsidRPr="000B4E2C" w:rsidRDefault="002F0133" w:rsidP="008A7464">
            <w:pPr>
              <w:rPr>
                <w:highlight w:val="green"/>
                <w:lang w:eastAsia="en-GB"/>
              </w:rPr>
            </w:pPr>
            <w:r w:rsidRPr="000B4E2C">
              <w:rPr>
                <w:highlight w:val="green"/>
                <w:lang w:eastAsia="en-GB"/>
              </w:rPr>
              <w:t>G. Cangemi, S. Storti, M. Cantinotti, A. Fortunato, M. Emdin, M. Bruschettini, D. Bugnone, G. Melioli and A. Clerico. Reference values for urinary neutrophil gelatinase-associated lipocalin (NGAL) in pediatric age measured with a fully automated chemiluminescent platform. Clinical Chemistry and Laboratory Medicine, 51(5), 1101-1105. [15200]</w:t>
            </w:r>
          </w:p>
        </w:tc>
      </w:tr>
      <w:tr w:rsidR="002F0133" w:rsidRPr="000B4E2C" w14:paraId="26B8164B" w14:textId="77777777" w:rsidTr="000B4E2C">
        <w:trPr>
          <w:cantSplit/>
        </w:trPr>
        <w:tc>
          <w:tcPr>
            <w:tcW w:w="0" w:type="auto"/>
            <w:shd w:val="clear" w:color="auto" w:fill="auto"/>
            <w:noWrap/>
            <w:hideMark/>
          </w:tcPr>
          <w:p w14:paraId="59400289" w14:textId="77777777" w:rsidR="002F0133" w:rsidRPr="000B4E2C" w:rsidRDefault="002F0133" w:rsidP="008A7464">
            <w:pPr>
              <w:rPr>
                <w:lang w:eastAsia="en-GB"/>
              </w:rPr>
            </w:pPr>
            <w:r w:rsidRPr="000B4E2C">
              <w:rPr>
                <w:lang w:eastAsia="en-GB"/>
              </w:rPr>
              <w:lastRenderedPageBreak/>
              <w:t>Capuano</w:t>
            </w:r>
          </w:p>
        </w:tc>
        <w:tc>
          <w:tcPr>
            <w:tcW w:w="0" w:type="auto"/>
            <w:shd w:val="clear" w:color="auto" w:fill="auto"/>
            <w:noWrap/>
            <w:hideMark/>
          </w:tcPr>
          <w:p w14:paraId="07AE27AD"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3F34CC86" w14:textId="6690CC0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796FEC1" w14:textId="77777777" w:rsidR="002F0133" w:rsidRPr="000B4E2C" w:rsidRDefault="002F0133" w:rsidP="008A7464">
            <w:pPr>
              <w:rPr>
                <w:highlight w:val="green"/>
                <w:lang w:eastAsia="en-GB"/>
              </w:rPr>
            </w:pPr>
            <w:r w:rsidRPr="000B4E2C">
              <w:rPr>
                <w:highlight w:val="green"/>
                <w:lang w:eastAsia="en-GB"/>
              </w:rPr>
              <w:t>F. Capuano, M. Goracci, R. Luciani, G. Gentile, A. Roscitano, U. Benedetto and R. Sinatra. Neutrophil gelatinase-associated lipocalin levels after use of mini-cardiopulmonary bypass system. Interactive Cardiovascular and Thoracic Surgery, 9(5), 797-801. [15207]</w:t>
            </w:r>
          </w:p>
        </w:tc>
      </w:tr>
      <w:tr w:rsidR="002F0133" w:rsidRPr="000B4E2C" w14:paraId="67C4B106" w14:textId="77777777" w:rsidTr="000B4E2C">
        <w:trPr>
          <w:cantSplit/>
        </w:trPr>
        <w:tc>
          <w:tcPr>
            <w:tcW w:w="0" w:type="auto"/>
            <w:shd w:val="clear" w:color="auto" w:fill="auto"/>
            <w:noWrap/>
            <w:hideMark/>
          </w:tcPr>
          <w:p w14:paraId="7F3C0F76" w14:textId="77777777" w:rsidR="002F0133" w:rsidRPr="000B4E2C" w:rsidRDefault="002F0133" w:rsidP="008A7464">
            <w:pPr>
              <w:rPr>
                <w:lang w:eastAsia="en-GB"/>
              </w:rPr>
            </w:pPr>
            <w:r w:rsidRPr="000B4E2C">
              <w:rPr>
                <w:lang w:eastAsia="en-GB"/>
              </w:rPr>
              <w:t>Carey</w:t>
            </w:r>
          </w:p>
        </w:tc>
        <w:tc>
          <w:tcPr>
            <w:tcW w:w="0" w:type="auto"/>
            <w:shd w:val="clear" w:color="auto" w:fill="auto"/>
            <w:noWrap/>
            <w:hideMark/>
          </w:tcPr>
          <w:p w14:paraId="3E2A285D"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25B536B"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349C35B2" w14:textId="77777777" w:rsidR="002F0133" w:rsidRPr="000B4E2C" w:rsidRDefault="002F0133" w:rsidP="008A7464">
            <w:pPr>
              <w:rPr>
                <w:highlight w:val="green"/>
                <w:lang w:eastAsia="en-GB"/>
              </w:rPr>
            </w:pPr>
            <w:r w:rsidRPr="000B4E2C">
              <w:rPr>
                <w:highlight w:val="green"/>
                <w:lang w:eastAsia="en-GB"/>
              </w:rPr>
              <w:t>I. Carey, R. Byrne, K. Childs, M. Horner, M. Bruce, B. Wang, G. Dusheiko and K. Agarwal. Serum NGAL can act as an early renal safety biomarker during long-term nucleos(t)ide analogue antiviral therapy in chronic hepatitis B. Journal of viral hepatitis, 25(10), 1139-1150. [18388]</w:t>
            </w:r>
          </w:p>
        </w:tc>
      </w:tr>
      <w:tr w:rsidR="002F0133" w:rsidRPr="000B4E2C" w14:paraId="62296563" w14:textId="77777777" w:rsidTr="000B4E2C">
        <w:trPr>
          <w:cantSplit/>
        </w:trPr>
        <w:tc>
          <w:tcPr>
            <w:tcW w:w="0" w:type="auto"/>
            <w:shd w:val="clear" w:color="auto" w:fill="auto"/>
            <w:noWrap/>
            <w:hideMark/>
          </w:tcPr>
          <w:p w14:paraId="7FC81854" w14:textId="77777777" w:rsidR="002F0133" w:rsidRPr="000B4E2C" w:rsidRDefault="002F0133" w:rsidP="008A7464">
            <w:pPr>
              <w:rPr>
                <w:lang w:eastAsia="en-GB"/>
              </w:rPr>
            </w:pPr>
            <w:r w:rsidRPr="000B4E2C">
              <w:rPr>
                <w:lang w:eastAsia="en-GB"/>
              </w:rPr>
              <w:t>Carrillo-Esper</w:t>
            </w:r>
          </w:p>
        </w:tc>
        <w:tc>
          <w:tcPr>
            <w:tcW w:w="0" w:type="auto"/>
            <w:shd w:val="clear" w:color="auto" w:fill="auto"/>
            <w:noWrap/>
            <w:hideMark/>
          </w:tcPr>
          <w:p w14:paraId="3A5A56F6"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6C6EC5E" w14:textId="1C84F51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8669331" w14:textId="77777777" w:rsidR="002F0133" w:rsidRPr="000B4E2C" w:rsidRDefault="002F0133" w:rsidP="008A7464">
            <w:pPr>
              <w:rPr>
                <w:highlight w:val="green"/>
                <w:lang w:eastAsia="en-GB"/>
              </w:rPr>
            </w:pPr>
            <w:r w:rsidRPr="000B4E2C">
              <w:rPr>
                <w:highlight w:val="green"/>
                <w:lang w:eastAsia="en-GB"/>
              </w:rPr>
              <w:t>R. Carrillo-Esper, A. A. Perez-Calatayud, C. A. Pena-Perez, M. A. Diaz-Carrillo, J. A. Nava-Lopez, I. E. De Los Monteros-Estrada and A. D. Zepeda-Mendoza. Urinary sediment microscopic score as diagnostic marker of acute kidney lesion in sepsis. Medicina Interna de Mexico, 30(5), 602-606. [15210]</w:t>
            </w:r>
          </w:p>
        </w:tc>
      </w:tr>
      <w:tr w:rsidR="002F0133" w:rsidRPr="000B4E2C" w14:paraId="3C33F0E7" w14:textId="77777777" w:rsidTr="000B4E2C">
        <w:trPr>
          <w:cantSplit/>
        </w:trPr>
        <w:tc>
          <w:tcPr>
            <w:tcW w:w="0" w:type="auto"/>
            <w:shd w:val="clear" w:color="auto" w:fill="auto"/>
            <w:noWrap/>
            <w:hideMark/>
          </w:tcPr>
          <w:p w14:paraId="692375B5" w14:textId="77777777" w:rsidR="002F0133" w:rsidRPr="000B4E2C" w:rsidRDefault="002F0133" w:rsidP="008A7464">
            <w:pPr>
              <w:rPr>
                <w:lang w:eastAsia="en-GB"/>
              </w:rPr>
            </w:pPr>
            <w:r w:rsidRPr="000B4E2C">
              <w:rPr>
                <w:lang w:eastAsia="en-GB"/>
              </w:rPr>
              <w:t>Carter</w:t>
            </w:r>
          </w:p>
        </w:tc>
        <w:tc>
          <w:tcPr>
            <w:tcW w:w="0" w:type="auto"/>
            <w:shd w:val="clear" w:color="auto" w:fill="auto"/>
            <w:noWrap/>
            <w:hideMark/>
          </w:tcPr>
          <w:p w14:paraId="10678C6E"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6F830C1C"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11747833" w14:textId="77777777" w:rsidR="002F0133" w:rsidRPr="000B4E2C" w:rsidRDefault="002F0133" w:rsidP="008A7464">
            <w:pPr>
              <w:rPr>
                <w:highlight w:val="green"/>
                <w:lang w:eastAsia="en-GB"/>
              </w:rPr>
            </w:pPr>
            <w:r w:rsidRPr="000B4E2C">
              <w:rPr>
                <w:highlight w:val="green"/>
                <w:lang w:eastAsia="en-GB"/>
              </w:rPr>
              <w:t>J. L. Carter and E. J. Lamb. Evaluating new biomarkers for acute kidney injury: Putting the horse before the cart. American Journal of Kidney Diseases, 63(4), 543-546. [15214]</w:t>
            </w:r>
          </w:p>
        </w:tc>
      </w:tr>
      <w:tr w:rsidR="002F0133" w:rsidRPr="000B4E2C" w14:paraId="042B04D0" w14:textId="77777777" w:rsidTr="000B4E2C">
        <w:trPr>
          <w:cantSplit/>
        </w:trPr>
        <w:tc>
          <w:tcPr>
            <w:tcW w:w="0" w:type="auto"/>
            <w:shd w:val="clear" w:color="auto" w:fill="auto"/>
            <w:noWrap/>
            <w:hideMark/>
          </w:tcPr>
          <w:p w14:paraId="2FADA67C" w14:textId="77777777" w:rsidR="002F0133" w:rsidRPr="000B4E2C" w:rsidRDefault="002F0133" w:rsidP="008A7464">
            <w:pPr>
              <w:rPr>
                <w:lang w:eastAsia="en-GB"/>
              </w:rPr>
            </w:pPr>
            <w:r w:rsidRPr="000B4E2C">
              <w:rPr>
                <w:lang w:eastAsia="en-GB"/>
              </w:rPr>
              <w:t>Carter</w:t>
            </w:r>
          </w:p>
        </w:tc>
        <w:tc>
          <w:tcPr>
            <w:tcW w:w="0" w:type="auto"/>
            <w:shd w:val="clear" w:color="auto" w:fill="auto"/>
            <w:noWrap/>
            <w:hideMark/>
          </w:tcPr>
          <w:p w14:paraId="33D8B159"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1B18760E" w14:textId="31D5865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475BEF2" w14:textId="77777777" w:rsidR="002F0133" w:rsidRPr="000B4E2C" w:rsidRDefault="002F0133" w:rsidP="008A7464">
            <w:pPr>
              <w:rPr>
                <w:highlight w:val="green"/>
                <w:lang w:eastAsia="en-GB"/>
              </w:rPr>
            </w:pPr>
            <w:r w:rsidRPr="000B4E2C">
              <w:rPr>
                <w:highlight w:val="green"/>
                <w:lang w:eastAsia="en-GB"/>
              </w:rPr>
              <w:t>J. L. Carter, C. T. Parker, P. E. Stevens, G. Eaglestone, S. Knight, C. K. T. Farmer and E. J. Lamb. Biological variation of plasma and urinary markers of acute kidney injury in patients with chronic kidney disease. Clinical Chemistry, 62(6), 876-883. [15213]</w:t>
            </w:r>
          </w:p>
        </w:tc>
      </w:tr>
      <w:tr w:rsidR="002F0133" w:rsidRPr="000B4E2C" w14:paraId="6A7F6646" w14:textId="77777777" w:rsidTr="000B4E2C">
        <w:trPr>
          <w:cantSplit/>
        </w:trPr>
        <w:tc>
          <w:tcPr>
            <w:tcW w:w="0" w:type="auto"/>
            <w:shd w:val="clear" w:color="auto" w:fill="auto"/>
            <w:noWrap/>
            <w:hideMark/>
          </w:tcPr>
          <w:p w14:paraId="01644A33" w14:textId="77777777" w:rsidR="002F0133" w:rsidRPr="000B4E2C" w:rsidRDefault="002F0133" w:rsidP="008A7464">
            <w:pPr>
              <w:rPr>
                <w:lang w:eastAsia="en-GB"/>
              </w:rPr>
            </w:pPr>
            <w:r w:rsidRPr="000B4E2C">
              <w:rPr>
                <w:lang w:eastAsia="en-GB"/>
              </w:rPr>
              <w:t>Carter</w:t>
            </w:r>
          </w:p>
        </w:tc>
        <w:tc>
          <w:tcPr>
            <w:tcW w:w="0" w:type="auto"/>
            <w:shd w:val="clear" w:color="auto" w:fill="auto"/>
            <w:noWrap/>
            <w:hideMark/>
          </w:tcPr>
          <w:p w14:paraId="7F7F4790"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0E952A1" w14:textId="2ED734B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213BE7C" w14:textId="77777777" w:rsidR="002F0133" w:rsidRPr="000B4E2C" w:rsidRDefault="002F0133" w:rsidP="008A7464">
            <w:pPr>
              <w:rPr>
                <w:highlight w:val="green"/>
                <w:lang w:eastAsia="en-GB"/>
              </w:rPr>
            </w:pPr>
            <w:r w:rsidRPr="000B4E2C">
              <w:rPr>
                <w:highlight w:val="green"/>
                <w:lang w:eastAsia="en-GB"/>
              </w:rPr>
              <w:t>J. L. Carter, C. T. Parker, P. E. Stevens, G. Eaglestone, S. Knight, C. K. T. Farmer and E. J. Lamb. Biological Variation of Plasma and Urinary Markers of Acute Kidney Injury in Patients with Chronic Kidney Disease. Clinical chemistry, 62(6), 876-885. [18389]</w:t>
            </w:r>
          </w:p>
        </w:tc>
      </w:tr>
      <w:tr w:rsidR="002F0133" w:rsidRPr="000B4E2C" w14:paraId="7E96E866" w14:textId="77777777" w:rsidTr="000B4E2C">
        <w:trPr>
          <w:cantSplit/>
        </w:trPr>
        <w:tc>
          <w:tcPr>
            <w:tcW w:w="0" w:type="auto"/>
            <w:shd w:val="clear" w:color="auto" w:fill="auto"/>
            <w:noWrap/>
            <w:hideMark/>
          </w:tcPr>
          <w:p w14:paraId="3483735B" w14:textId="77777777" w:rsidR="002F0133" w:rsidRPr="000B4E2C" w:rsidRDefault="002F0133" w:rsidP="008A7464">
            <w:pPr>
              <w:rPr>
                <w:lang w:eastAsia="en-GB"/>
              </w:rPr>
            </w:pPr>
            <w:r w:rsidRPr="000B4E2C">
              <w:rPr>
                <w:lang w:eastAsia="en-GB"/>
              </w:rPr>
              <w:t>Cecchi</w:t>
            </w:r>
          </w:p>
        </w:tc>
        <w:tc>
          <w:tcPr>
            <w:tcW w:w="0" w:type="auto"/>
            <w:shd w:val="clear" w:color="auto" w:fill="auto"/>
            <w:noWrap/>
            <w:hideMark/>
          </w:tcPr>
          <w:p w14:paraId="31ED416D"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5F3C47E" w14:textId="06BA132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3C60412" w14:textId="6B303956" w:rsidR="002F0133" w:rsidRPr="000B4E2C" w:rsidRDefault="002F0133" w:rsidP="008A7464">
            <w:pPr>
              <w:rPr>
                <w:highlight w:val="green"/>
                <w:lang w:eastAsia="en-GB"/>
              </w:rPr>
            </w:pPr>
            <w:r w:rsidRPr="000B4E2C">
              <w:rPr>
                <w:highlight w:val="green"/>
                <w:lang w:eastAsia="en-GB"/>
              </w:rPr>
              <w:t>E. Cecchi, G. Avveduto, M. G. D</w:t>
            </w:r>
            <w:r w:rsidR="0072128A" w:rsidRPr="000B4E2C">
              <w:rPr>
                <w:color w:val="00B0F0"/>
                <w:highlight w:val="green"/>
                <w:lang w:eastAsia="en-GB"/>
              </w:rPr>
              <w:t>’</w:t>
            </w:r>
            <w:r w:rsidRPr="000B4E2C">
              <w:rPr>
                <w:highlight w:val="green"/>
                <w:lang w:eastAsia="en-GB"/>
              </w:rPr>
              <w:t>Alfonso, A. Terreni, E. Gelera, A. Caldini and C. Giglioli. Cystatin C, but not urinary or serum NGAL, may be associated with contrast induced nephropathy after percutaneous coronary invasive procedures: A single center experience on a limited number of patients. Acta medica academica, 46(1), 34-43. [15217]</w:t>
            </w:r>
          </w:p>
        </w:tc>
      </w:tr>
      <w:tr w:rsidR="002F0133" w:rsidRPr="000B4E2C" w14:paraId="4B67F30A" w14:textId="77777777" w:rsidTr="000B4E2C">
        <w:trPr>
          <w:cantSplit/>
        </w:trPr>
        <w:tc>
          <w:tcPr>
            <w:tcW w:w="0" w:type="auto"/>
            <w:shd w:val="clear" w:color="auto" w:fill="auto"/>
            <w:noWrap/>
            <w:hideMark/>
          </w:tcPr>
          <w:p w14:paraId="7E5E844A" w14:textId="77777777" w:rsidR="002F0133" w:rsidRPr="000B4E2C" w:rsidRDefault="002F0133" w:rsidP="008A7464">
            <w:pPr>
              <w:rPr>
                <w:lang w:eastAsia="en-GB"/>
              </w:rPr>
            </w:pPr>
            <w:r w:rsidRPr="000B4E2C">
              <w:rPr>
                <w:lang w:eastAsia="en-GB"/>
              </w:rPr>
              <w:t>Celik</w:t>
            </w:r>
          </w:p>
        </w:tc>
        <w:tc>
          <w:tcPr>
            <w:tcW w:w="0" w:type="auto"/>
            <w:shd w:val="clear" w:color="auto" w:fill="auto"/>
            <w:noWrap/>
            <w:hideMark/>
          </w:tcPr>
          <w:p w14:paraId="0B06192D"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0400846E" w14:textId="78C414D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2E52277" w14:textId="77777777" w:rsidR="002F0133" w:rsidRPr="000B4E2C" w:rsidRDefault="002F0133" w:rsidP="008A7464">
            <w:pPr>
              <w:rPr>
                <w:highlight w:val="green"/>
                <w:lang w:eastAsia="en-GB"/>
              </w:rPr>
            </w:pPr>
            <w:r w:rsidRPr="000B4E2C">
              <w:rPr>
                <w:highlight w:val="green"/>
                <w:lang w:val="da-DK" w:eastAsia="en-GB"/>
              </w:rPr>
              <w:t xml:space="preserve">T. Celik, E. Altekin, R. Isguder, Y. Kenesari, M. Duman and N. Arslan. </w:t>
            </w:r>
            <w:r w:rsidRPr="000B4E2C">
              <w:rPr>
                <w:highlight w:val="green"/>
                <w:lang w:eastAsia="en-GB"/>
              </w:rPr>
              <w:t>Evaluation of neutrophil gelatinase-associated lipocalin in pediatric patients with acute rotavirus gastroenteritis and dehydration. Italian Journal of Pediatrics, 39(1), 52. [15218]</w:t>
            </w:r>
          </w:p>
        </w:tc>
      </w:tr>
      <w:tr w:rsidR="002F0133" w:rsidRPr="000B4E2C" w14:paraId="18672612" w14:textId="77777777" w:rsidTr="000B4E2C">
        <w:trPr>
          <w:cantSplit/>
        </w:trPr>
        <w:tc>
          <w:tcPr>
            <w:tcW w:w="0" w:type="auto"/>
            <w:shd w:val="clear" w:color="auto" w:fill="auto"/>
            <w:noWrap/>
            <w:hideMark/>
          </w:tcPr>
          <w:p w14:paraId="6DE3AF3B" w14:textId="77777777" w:rsidR="002F0133" w:rsidRPr="000B4E2C" w:rsidRDefault="002F0133" w:rsidP="008A7464">
            <w:pPr>
              <w:rPr>
                <w:lang w:eastAsia="en-GB"/>
              </w:rPr>
            </w:pPr>
            <w:r w:rsidRPr="000B4E2C">
              <w:rPr>
                <w:lang w:eastAsia="en-GB"/>
              </w:rPr>
              <w:t>Cemil</w:t>
            </w:r>
          </w:p>
        </w:tc>
        <w:tc>
          <w:tcPr>
            <w:tcW w:w="0" w:type="auto"/>
            <w:shd w:val="clear" w:color="auto" w:fill="auto"/>
            <w:noWrap/>
            <w:hideMark/>
          </w:tcPr>
          <w:p w14:paraId="52C65A27"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1E7D5D6A" w14:textId="2A08A44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A757DC7" w14:textId="77777777" w:rsidR="002F0133" w:rsidRPr="000B4E2C" w:rsidRDefault="002F0133" w:rsidP="008A7464">
            <w:pPr>
              <w:rPr>
                <w:highlight w:val="green"/>
                <w:lang w:eastAsia="en-GB"/>
              </w:rPr>
            </w:pPr>
            <w:r w:rsidRPr="000B4E2C">
              <w:rPr>
                <w:highlight w:val="green"/>
                <w:lang w:eastAsia="en-GB"/>
              </w:rPr>
              <w:t>K. Cemil, C. Elif, Y. M. Serkan, Y. Fevzi, A. E. Deniz, D. Tamer and D. Polat. The value of serum NGAL in determination of dialysis indication. JPMA. The Journal of the Pakistan Medical Association, 64(7), 739-42. [15219]</w:t>
            </w:r>
          </w:p>
        </w:tc>
      </w:tr>
      <w:tr w:rsidR="002F0133" w:rsidRPr="000B4E2C" w14:paraId="11B28E57" w14:textId="77777777" w:rsidTr="000B4E2C">
        <w:trPr>
          <w:cantSplit/>
        </w:trPr>
        <w:tc>
          <w:tcPr>
            <w:tcW w:w="0" w:type="auto"/>
            <w:shd w:val="clear" w:color="auto" w:fill="auto"/>
            <w:noWrap/>
            <w:hideMark/>
          </w:tcPr>
          <w:p w14:paraId="482C2DCC" w14:textId="77777777" w:rsidR="002F0133" w:rsidRPr="000B4E2C" w:rsidRDefault="002F0133" w:rsidP="008A7464">
            <w:pPr>
              <w:rPr>
                <w:lang w:eastAsia="en-GB"/>
              </w:rPr>
            </w:pPr>
            <w:r w:rsidRPr="000B4E2C">
              <w:rPr>
                <w:lang w:eastAsia="en-GB"/>
              </w:rPr>
              <w:t>Cervellin</w:t>
            </w:r>
          </w:p>
        </w:tc>
        <w:tc>
          <w:tcPr>
            <w:tcW w:w="0" w:type="auto"/>
            <w:shd w:val="clear" w:color="auto" w:fill="auto"/>
            <w:noWrap/>
            <w:hideMark/>
          </w:tcPr>
          <w:p w14:paraId="61E5B9DB"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45180317"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453B5ED9" w14:textId="143D69C5" w:rsidR="002F0133" w:rsidRPr="000B4E2C" w:rsidRDefault="002F0133" w:rsidP="008A7464">
            <w:pPr>
              <w:rPr>
                <w:highlight w:val="green"/>
                <w:lang w:eastAsia="en-GB"/>
              </w:rPr>
            </w:pPr>
            <w:r w:rsidRPr="000B4E2C">
              <w:rPr>
                <w:highlight w:val="green"/>
                <w:lang w:eastAsia="en-GB"/>
              </w:rPr>
              <w:t>G. Cervellin and S. Di Somma. Neutrophil gelatinase-associated lipocalin (NGAL): The clinician</w:t>
            </w:r>
            <w:r w:rsidR="0072128A" w:rsidRPr="000B4E2C">
              <w:rPr>
                <w:color w:val="00B0F0"/>
                <w:highlight w:val="green"/>
                <w:lang w:eastAsia="en-GB"/>
              </w:rPr>
              <w:t>’</w:t>
            </w:r>
            <w:r w:rsidRPr="000B4E2C">
              <w:rPr>
                <w:highlight w:val="green"/>
                <w:lang w:eastAsia="en-GB"/>
              </w:rPr>
              <w:t>s perspective. Clinical Chemistry and Laboratory Medicine, 50(9), 1489-1493. [15220]</w:t>
            </w:r>
          </w:p>
        </w:tc>
      </w:tr>
      <w:tr w:rsidR="002F0133" w:rsidRPr="000B4E2C" w14:paraId="2D81AF0B" w14:textId="77777777" w:rsidTr="000B4E2C">
        <w:trPr>
          <w:cantSplit/>
        </w:trPr>
        <w:tc>
          <w:tcPr>
            <w:tcW w:w="0" w:type="auto"/>
            <w:shd w:val="clear" w:color="auto" w:fill="auto"/>
            <w:noWrap/>
            <w:hideMark/>
          </w:tcPr>
          <w:p w14:paraId="0A0B5B7A" w14:textId="77777777" w:rsidR="002F0133" w:rsidRPr="000B4E2C" w:rsidRDefault="002F0133" w:rsidP="008A7464">
            <w:pPr>
              <w:rPr>
                <w:lang w:eastAsia="en-GB"/>
              </w:rPr>
            </w:pPr>
            <w:r w:rsidRPr="000B4E2C">
              <w:rPr>
                <w:lang w:eastAsia="en-GB"/>
              </w:rPr>
              <w:t>Chae</w:t>
            </w:r>
          </w:p>
        </w:tc>
        <w:tc>
          <w:tcPr>
            <w:tcW w:w="0" w:type="auto"/>
            <w:shd w:val="clear" w:color="auto" w:fill="auto"/>
            <w:noWrap/>
            <w:hideMark/>
          </w:tcPr>
          <w:p w14:paraId="70C10FD0"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39889D1E"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90059CB" w14:textId="77777777" w:rsidR="002F0133" w:rsidRPr="000B4E2C" w:rsidRDefault="002F0133" w:rsidP="008A7464">
            <w:pPr>
              <w:rPr>
                <w:highlight w:val="green"/>
                <w:lang w:eastAsia="en-GB"/>
              </w:rPr>
            </w:pPr>
            <w:r w:rsidRPr="000B4E2C">
              <w:rPr>
                <w:highlight w:val="green"/>
                <w:lang w:eastAsia="en-GB"/>
              </w:rPr>
              <w:t>H. Chae, H. Ryu, K. Cha, M. Kim, Y. Kim and C. K. Min. Neutrophil gelatinase-associated lipocalin as a biomarker of renal impairment in patients with multiple myeloma. Clinical Lymphoma, Myeloma and Leukemia, 15(1), 35-40. [15222]</w:t>
            </w:r>
          </w:p>
        </w:tc>
      </w:tr>
      <w:tr w:rsidR="002F0133" w:rsidRPr="000B4E2C" w14:paraId="08DF9355" w14:textId="77777777" w:rsidTr="000B4E2C">
        <w:trPr>
          <w:cantSplit/>
        </w:trPr>
        <w:tc>
          <w:tcPr>
            <w:tcW w:w="0" w:type="auto"/>
            <w:shd w:val="clear" w:color="auto" w:fill="auto"/>
            <w:noWrap/>
            <w:hideMark/>
          </w:tcPr>
          <w:p w14:paraId="6324FADB" w14:textId="77777777" w:rsidR="002F0133" w:rsidRPr="000B4E2C" w:rsidRDefault="002F0133" w:rsidP="008A7464">
            <w:pPr>
              <w:rPr>
                <w:lang w:eastAsia="en-GB"/>
              </w:rPr>
            </w:pPr>
            <w:r w:rsidRPr="000B4E2C">
              <w:rPr>
                <w:lang w:eastAsia="en-GB"/>
              </w:rPr>
              <w:t>Chagan-Yasutan</w:t>
            </w:r>
          </w:p>
        </w:tc>
        <w:tc>
          <w:tcPr>
            <w:tcW w:w="0" w:type="auto"/>
            <w:shd w:val="clear" w:color="auto" w:fill="auto"/>
            <w:noWrap/>
            <w:hideMark/>
          </w:tcPr>
          <w:p w14:paraId="1CB896CD"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07DF7E2"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2B9B88E5" w14:textId="77777777" w:rsidR="002F0133" w:rsidRPr="000B4E2C" w:rsidRDefault="002F0133" w:rsidP="008A7464">
            <w:pPr>
              <w:rPr>
                <w:highlight w:val="green"/>
                <w:lang w:eastAsia="en-GB"/>
              </w:rPr>
            </w:pPr>
            <w:r w:rsidRPr="000B4E2C">
              <w:rPr>
                <w:highlight w:val="green"/>
                <w:lang w:eastAsia="en-GB"/>
              </w:rPr>
              <w:t>H. Chagan-Yasutan, Y. Chen, T. L. Lacuesta, P. S. A. Leano, H. Iwasaki, F. Hanan, D. Taurustiati, Y. Ohmoto, Y. Ashino, H. Saitoh, H. Kiyomoto, Y. Suzuki, F. O. E. Telan and T. Hattori. Urine levels of defensin alpha1 reflect kidney injury in leptospirosis patients. International Journal of Molecular Sciences, 17(10), 1637. [15223]</w:t>
            </w:r>
          </w:p>
        </w:tc>
      </w:tr>
      <w:tr w:rsidR="002F0133" w:rsidRPr="000B4E2C" w14:paraId="5D59FF09" w14:textId="77777777" w:rsidTr="000B4E2C">
        <w:trPr>
          <w:cantSplit/>
        </w:trPr>
        <w:tc>
          <w:tcPr>
            <w:tcW w:w="0" w:type="auto"/>
            <w:shd w:val="clear" w:color="auto" w:fill="auto"/>
            <w:noWrap/>
            <w:hideMark/>
          </w:tcPr>
          <w:p w14:paraId="0423EB11" w14:textId="77777777" w:rsidR="002F0133" w:rsidRPr="000B4E2C" w:rsidRDefault="002F0133" w:rsidP="008A7464">
            <w:pPr>
              <w:rPr>
                <w:lang w:eastAsia="en-GB"/>
              </w:rPr>
            </w:pPr>
            <w:r w:rsidRPr="000B4E2C">
              <w:rPr>
                <w:lang w:eastAsia="en-GB"/>
              </w:rPr>
              <w:lastRenderedPageBreak/>
              <w:t>Chang</w:t>
            </w:r>
          </w:p>
        </w:tc>
        <w:tc>
          <w:tcPr>
            <w:tcW w:w="0" w:type="auto"/>
            <w:shd w:val="clear" w:color="auto" w:fill="auto"/>
            <w:noWrap/>
            <w:hideMark/>
          </w:tcPr>
          <w:p w14:paraId="70FD8DB7"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4A329B91" w14:textId="44998E9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286EDB5" w14:textId="77777777" w:rsidR="002F0133" w:rsidRPr="000B4E2C" w:rsidRDefault="002F0133" w:rsidP="008A7464">
            <w:pPr>
              <w:rPr>
                <w:highlight w:val="green"/>
                <w:lang w:eastAsia="en-GB"/>
              </w:rPr>
            </w:pPr>
            <w:r w:rsidRPr="000B4E2C">
              <w:rPr>
                <w:highlight w:val="green"/>
                <w:lang w:eastAsia="en-GB"/>
              </w:rPr>
              <w:t>C. K. Chang, T. A. M. Chuter, C. U. Niemann, M. G. Shlipak, M. J. Cohen, L. M. Reilly and J. S. Hiramoto. Systemic inflammation, coagulopathy, and acute renal insufficiency following endovascular thoracoabdominal aortic aneurysm repair. Journal of vascular surgery, 49(5), 1140-6. [15228]</w:t>
            </w:r>
          </w:p>
        </w:tc>
      </w:tr>
      <w:tr w:rsidR="002F0133" w:rsidRPr="000B4E2C" w14:paraId="5A749524" w14:textId="77777777" w:rsidTr="000B4E2C">
        <w:trPr>
          <w:cantSplit/>
        </w:trPr>
        <w:tc>
          <w:tcPr>
            <w:tcW w:w="0" w:type="auto"/>
            <w:shd w:val="clear" w:color="auto" w:fill="auto"/>
            <w:noWrap/>
            <w:hideMark/>
          </w:tcPr>
          <w:p w14:paraId="6099E4A5" w14:textId="77777777" w:rsidR="002F0133" w:rsidRPr="000B4E2C" w:rsidRDefault="002F0133" w:rsidP="008A7464">
            <w:pPr>
              <w:rPr>
                <w:lang w:eastAsia="en-GB"/>
              </w:rPr>
            </w:pPr>
            <w:r w:rsidRPr="000B4E2C">
              <w:rPr>
                <w:lang w:eastAsia="en-GB"/>
              </w:rPr>
              <w:t>Chang</w:t>
            </w:r>
          </w:p>
        </w:tc>
        <w:tc>
          <w:tcPr>
            <w:tcW w:w="0" w:type="auto"/>
            <w:shd w:val="clear" w:color="auto" w:fill="auto"/>
            <w:noWrap/>
            <w:hideMark/>
          </w:tcPr>
          <w:p w14:paraId="0AE568C2"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1DF093A6" w14:textId="08A8170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15D117C" w14:textId="77777777" w:rsidR="002F0133" w:rsidRPr="000B4E2C" w:rsidRDefault="002F0133" w:rsidP="008A7464">
            <w:pPr>
              <w:rPr>
                <w:highlight w:val="green"/>
                <w:lang w:eastAsia="en-GB"/>
              </w:rPr>
            </w:pPr>
            <w:r w:rsidRPr="000B4E2C">
              <w:rPr>
                <w:highlight w:val="green"/>
                <w:lang w:eastAsia="en-GB"/>
              </w:rPr>
              <w:t>C. K. Chang, T. A. Chuter, C. U. Niemann, M. G. Shlipak, M. J. Cohen, L. M. Reilly and J. S. Hiramoto. Systemic inflammation, coagulopathy, and acute renal insufficiency following endovascular thoracoabdominal aortic aneurysm repair. Journal of Vascular Surgery, 49(5), 1140-6. [3946]</w:t>
            </w:r>
          </w:p>
        </w:tc>
      </w:tr>
      <w:tr w:rsidR="002F0133" w:rsidRPr="000B4E2C" w14:paraId="61273451" w14:textId="77777777" w:rsidTr="000B4E2C">
        <w:trPr>
          <w:cantSplit/>
        </w:trPr>
        <w:tc>
          <w:tcPr>
            <w:tcW w:w="0" w:type="auto"/>
            <w:shd w:val="clear" w:color="auto" w:fill="auto"/>
            <w:noWrap/>
            <w:hideMark/>
          </w:tcPr>
          <w:p w14:paraId="458A70C7" w14:textId="77777777" w:rsidR="002F0133" w:rsidRPr="000B4E2C" w:rsidRDefault="002F0133" w:rsidP="008A7464">
            <w:pPr>
              <w:rPr>
                <w:lang w:eastAsia="en-GB"/>
              </w:rPr>
            </w:pPr>
            <w:r w:rsidRPr="000B4E2C">
              <w:rPr>
                <w:lang w:eastAsia="en-GB"/>
              </w:rPr>
              <w:t>Chang</w:t>
            </w:r>
          </w:p>
        </w:tc>
        <w:tc>
          <w:tcPr>
            <w:tcW w:w="0" w:type="auto"/>
            <w:shd w:val="clear" w:color="auto" w:fill="auto"/>
            <w:noWrap/>
            <w:hideMark/>
          </w:tcPr>
          <w:p w14:paraId="6B154EF1"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B826CC9"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459430F6" w14:textId="77777777" w:rsidR="002F0133" w:rsidRPr="000B4E2C" w:rsidRDefault="002F0133" w:rsidP="008A7464">
            <w:pPr>
              <w:rPr>
                <w:highlight w:val="green"/>
                <w:lang w:eastAsia="en-GB"/>
              </w:rPr>
            </w:pPr>
            <w:r w:rsidRPr="000B4E2C">
              <w:rPr>
                <w:highlight w:val="green"/>
                <w:lang w:eastAsia="en-GB"/>
              </w:rPr>
              <w:t>C. H. Chang, C. H. Yang, H. Y. Yang, T. H. Chen, C. Y. Lin, S. W. Chang, Y. T. Chen, C. C. Hung, J. T. Fang, C. W. Yang and Y. C. Chen. Urinary biomarkers improve the diagnosis of intrinsic acute kidney injury in coronary care units. Medicine (United States), 94(40), e1703. [15227]</w:t>
            </w:r>
          </w:p>
        </w:tc>
      </w:tr>
      <w:tr w:rsidR="002F0133" w:rsidRPr="000B4E2C" w14:paraId="2853E9B3" w14:textId="77777777" w:rsidTr="000B4E2C">
        <w:trPr>
          <w:cantSplit/>
        </w:trPr>
        <w:tc>
          <w:tcPr>
            <w:tcW w:w="0" w:type="auto"/>
            <w:shd w:val="clear" w:color="auto" w:fill="auto"/>
            <w:noWrap/>
            <w:hideMark/>
          </w:tcPr>
          <w:p w14:paraId="380EF74B" w14:textId="77777777" w:rsidR="002F0133" w:rsidRPr="000B4E2C" w:rsidRDefault="002F0133" w:rsidP="008A7464">
            <w:pPr>
              <w:rPr>
                <w:lang w:eastAsia="en-GB"/>
              </w:rPr>
            </w:pPr>
            <w:r w:rsidRPr="000B4E2C">
              <w:rPr>
                <w:lang w:eastAsia="en-GB"/>
              </w:rPr>
              <w:t>Chang</w:t>
            </w:r>
          </w:p>
        </w:tc>
        <w:tc>
          <w:tcPr>
            <w:tcW w:w="0" w:type="auto"/>
            <w:shd w:val="clear" w:color="auto" w:fill="auto"/>
            <w:noWrap/>
            <w:hideMark/>
          </w:tcPr>
          <w:p w14:paraId="3131D95B"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606C3B1E"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3324DD8B" w14:textId="4F77FF17" w:rsidR="002F0133" w:rsidRPr="000B4E2C" w:rsidRDefault="002F0133" w:rsidP="008A7464">
            <w:pPr>
              <w:rPr>
                <w:highlight w:val="green"/>
                <w:lang w:eastAsia="en-GB"/>
              </w:rPr>
            </w:pPr>
            <w:r w:rsidRPr="000B4E2C">
              <w:rPr>
                <w:highlight w:val="green"/>
                <w:lang w:eastAsia="en-GB"/>
              </w:rPr>
              <w:t>C. Chang, Y. Hu, S. L. Hogan, N. Mercke, M. Gomez, C. O</w:t>
            </w:r>
            <w:r w:rsidR="0072128A" w:rsidRPr="000B4E2C">
              <w:rPr>
                <w:color w:val="00B0F0"/>
                <w:highlight w:val="green"/>
                <w:lang w:eastAsia="en-GB"/>
              </w:rPr>
              <w:t>’</w:t>
            </w:r>
            <w:r w:rsidRPr="000B4E2C">
              <w:rPr>
                <w:highlight w:val="green"/>
                <w:lang w:eastAsia="en-GB"/>
              </w:rPr>
              <w:t>Bryant, D. W. Bowles, B. George, X. Wen, L. M. Aleksunes and M. S. Joy. Pharmacogenomic variants may influence the urinary excretion of novel kidney injury biomarkers in patients receiving cisplatin. International Journal of Molecular Sciences, 18(7), 1333. [15226]</w:t>
            </w:r>
          </w:p>
        </w:tc>
      </w:tr>
      <w:tr w:rsidR="002F0133" w:rsidRPr="000B4E2C" w14:paraId="567B86A6" w14:textId="77777777" w:rsidTr="000B4E2C">
        <w:trPr>
          <w:cantSplit/>
        </w:trPr>
        <w:tc>
          <w:tcPr>
            <w:tcW w:w="0" w:type="auto"/>
            <w:shd w:val="clear" w:color="auto" w:fill="auto"/>
            <w:noWrap/>
            <w:hideMark/>
          </w:tcPr>
          <w:p w14:paraId="36394774" w14:textId="77777777" w:rsidR="002F0133" w:rsidRPr="000B4E2C" w:rsidRDefault="002F0133" w:rsidP="008A7464">
            <w:pPr>
              <w:rPr>
                <w:lang w:eastAsia="en-GB"/>
              </w:rPr>
            </w:pPr>
            <w:r w:rsidRPr="000B4E2C">
              <w:rPr>
                <w:lang w:eastAsia="en-GB"/>
              </w:rPr>
              <w:t>Chang</w:t>
            </w:r>
          </w:p>
        </w:tc>
        <w:tc>
          <w:tcPr>
            <w:tcW w:w="0" w:type="auto"/>
            <w:shd w:val="clear" w:color="auto" w:fill="auto"/>
            <w:noWrap/>
            <w:hideMark/>
          </w:tcPr>
          <w:p w14:paraId="4E76F54C"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44AD3B60"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44CBB8C0" w14:textId="77777777" w:rsidR="002F0133" w:rsidRPr="000B4E2C" w:rsidRDefault="002F0133" w:rsidP="008A7464">
            <w:pPr>
              <w:rPr>
                <w:highlight w:val="green"/>
                <w:lang w:eastAsia="en-GB"/>
              </w:rPr>
            </w:pPr>
            <w:r w:rsidRPr="000B4E2C">
              <w:rPr>
                <w:highlight w:val="green"/>
                <w:lang w:eastAsia="en-GB"/>
              </w:rPr>
              <w:t>W. Chang, S. Zhu, C. Pan, J.-F. Xie, S.-Q. Liu, H.-B. Qiu and Y. Yang. Predictive utilities of neutrophil gelatinase-associated lipocalin (NGAL) in severe sepsis. Clinica Chimica Acta, 481(200-206. [18397]</w:t>
            </w:r>
          </w:p>
        </w:tc>
      </w:tr>
      <w:tr w:rsidR="002F0133" w:rsidRPr="000B4E2C" w14:paraId="116917FF" w14:textId="77777777" w:rsidTr="000B4E2C">
        <w:trPr>
          <w:cantSplit/>
        </w:trPr>
        <w:tc>
          <w:tcPr>
            <w:tcW w:w="0" w:type="auto"/>
            <w:shd w:val="clear" w:color="auto" w:fill="auto"/>
            <w:noWrap/>
            <w:hideMark/>
          </w:tcPr>
          <w:p w14:paraId="5BE97388" w14:textId="77777777" w:rsidR="002F0133" w:rsidRPr="000B4E2C" w:rsidRDefault="002F0133" w:rsidP="008A7464">
            <w:pPr>
              <w:rPr>
                <w:lang w:eastAsia="en-GB"/>
              </w:rPr>
            </w:pPr>
            <w:r w:rsidRPr="000B4E2C">
              <w:rPr>
                <w:lang w:eastAsia="en-GB"/>
              </w:rPr>
              <w:t>Channanayaka</w:t>
            </w:r>
          </w:p>
        </w:tc>
        <w:tc>
          <w:tcPr>
            <w:tcW w:w="0" w:type="auto"/>
            <w:shd w:val="clear" w:color="auto" w:fill="auto"/>
            <w:noWrap/>
            <w:hideMark/>
          </w:tcPr>
          <w:p w14:paraId="26021175"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3864824E" w14:textId="672089E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2E7CB26" w14:textId="77777777" w:rsidR="002F0133" w:rsidRPr="000B4E2C" w:rsidRDefault="002F0133" w:rsidP="008A7464">
            <w:pPr>
              <w:rPr>
                <w:highlight w:val="green"/>
                <w:lang w:eastAsia="en-GB"/>
              </w:rPr>
            </w:pPr>
            <w:r w:rsidRPr="000B4E2C">
              <w:rPr>
                <w:highlight w:val="green"/>
                <w:lang w:eastAsia="en-GB"/>
              </w:rPr>
              <w:t>C. Channanayaka and A. Venkatkrishnan. Clinical utility of serum neutrophil gelatinase associated lipocalin (NGAL) as an early marker of acute kidney injury in asphyxiated neonates. Journal of Nepal Paediatric Society, 36(2), 121-125. [15231]</w:t>
            </w:r>
          </w:p>
        </w:tc>
      </w:tr>
      <w:tr w:rsidR="002F0133" w:rsidRPr="000B4E2C" w14:paraId="364B9D33" w14:textId="77777777" w:rsidTr="000B4E2C">
        <w:trPr>
          <w:cantSplit/>
        </w:trPr>
        <w:tc>
          <w:tcPr>
            <w:tcW w:w="0" w:type="auto"/>
            <w:shd w:val="clear" w:color="auto" w:fill="auto"/>
            <w:noWrap/>
            <w:hideMark/>
          </w:tcPr>
          <w:p w14:paraId="07CA450B" w14:textId="77777777" w:rsidR="002F0133" w:rsidRPr="000B4E2C" w:rsidRDefault="002F0133" w:rsidP="008A7464">
            <w:pPr>
              <w:rPr>
                <w:lang w:eastAsia="en-GB"/>
              </w:rPr>
            </w:pPr>
            <w:r w:rsidRPr="000B4E2C">
              <w:rPr>
                <w:lang w:eastAsia="en-GB"/>
              </w:rPr>
              <w:t>Che</w:t>
            </w:r>
          </w:p>
        </w:tc>
        <w:tc>
          <w:tcPr>
            <w:tcW w:w="0" w:type="auto"/>
            <w:shd w:val="clear" w:color="auto" w:fill="auto"/>
            <w:noWrap/>
            <w:hideMark/>
          </w:tcPr>
          <w:p w14:paraId="75C77256"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7F7A480C" w14:textId="143A06D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12AE97A" w14:textId="77777777" w:rsidR="002F0133" w:rsidRPr="000B4E2C" w:rsidRDefault="002F0133" w:rsidP="008A7464">
            <w:pPr>
              <w:rPr>
                <w:highlight w:val="green"/>
                <w:lang w:eastAsia="en-GB"/>
              </w:rPr>
            </w:pPr>
            <w:r w:rsidRPr="000B4E2C">
              <w:rPr>
                <w:highlight w:val="green"/>
                <w:lang w:eastAsia="en-GB"/>
              </w:rPr>
              <w:t>M. Che, B. Xie, S. Xue, H. Dai, J. Qian, Z. Ni, J. Axelsson and Y. Yan. Clinical usefulness of novel biomarkers for the detection of acute kidney injury following elective cardiac surgery. Nephron - Clinical Practice, 115(1), c66-c72. [15235]</w:t>
            </w:r>
          </w:p>
        </w:tc>
      </w:tr>
      <w:tr w:rsidR="002F0133" w:rsidRPr="000B4E2C" w14:paraId="2EF1166E" w14:textId="77777777" w:rsidTr="000B4E2C">
        <w:trPr>
          <w:cantSplit/>
        </w:trPr>
        <w:tc>
          <w:tcPr>
            <w:tcW w:w="0" w:type="auto"/>
            <w:shd w:val="clear" w:color="auto" w:fill="auto"/>
            <w:noWrap/>
            <w:hideMark/>
          </w:tcPr>
          <w:p w14:paraId="0DDA89FE" w14:textId="77777777" w:rsidR="002F0133" w:rsidRPr="000B4E2C" w:rsidRDefault="002F0133" w:rsidP="008A7464">
            <w:pPr>
              <w:rPr>
                <w:lang w:eastAsia="en-GB"/>
              </w:rPr>
            </w:pPr>
            <w:r w:rsidRPr="000B4E2C">
              <w:rPr>
                <w:lang w:eastAsia="en-GB"/>
              </w:rPr>
              <w:t>Chen</w:t>
            </w:r>
          </w:p>
        </w:tc>
        <w:tc>
          <w:tcPr>
            <w:tcW w:w="0" w:type="auto"/>
            <w:shd w:val="clear" w:color="auto" w:fill="auto"/>
            <w:noWrap/>
            <w:hideMark/>
          </w:tcPr>
          <w:p w14:paraId="13EC8E4C"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751BB5D9" w14:textId="4EC6CBB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31C4788" w14:textId="77777777" w:rsidR="002F0133" w:rsidRPr="000B4E2C" w:rsidRDefault="002F0133" w:rsidP="008A7464">
            <w:pPr>
              <w:rPr>
                <w:highlight w:val="green"/>
                <w:lang w:eastAsia="en-GB"/>
              </w:rPr>
            </w:pPr>
            <w:r w:rsidRPr="000B4E2C">
              <w:rPr>
                <w:highlight w:val="green"/>
                <w:lang w:eastAsia="en-GB"/>
              </w:rPr>
              <w:t>T. Chen, Y. H. Lu, W. J. Wang, C. Y. Bian, X. Y. Cheng, Y. Su and P. M. Zhou. Elevated urinary levels of cystatin C and neutrophil gelatinase-associated lipocalin in Henoch-Schonlein purpura patients with renal involvement. PLoS ONE, 9(6), e101026. [15241]</w:t>
            </w:r>
          </w:p>
        </w:tc>
      </w:tr>
      <w:tr w:rsidR="002F0133" w:rsidRPr="000B4E2C" w14:paraId="1575DF03" w14:textId="77777777" w:rsidTr="000B4E2C">
        <w:trPr>
          <w:cantSplit/>
        </w:trPr>
        <w:tc>
          <w:tcPr>
            <w:tcW w:w="0" w:type="auto"/>
            <w:shd w:val="clear" w:color="auto" w:fill="auto"/>
            <w:noWrap/>
            <w:hideMark/>
          </w:tcPr>
          <w:p w14:paraId="71F6549F" w14:textId="77777777" w:rsidR="002F0133" w:rsidRPr="000B4E2C" w:rsidRDefault="002F0133" w:rsidP="008A7464">
            <w:pPr>
              <w:rPr>
                <w:lang w:eastAsia="en-GB"/>
              </w:rPr>
            </w:pPr>
            <w:r w:rsidRPr="000B4E2C">
              <w:rPr>
                <w:lang w:eastAsia="en-GB"/>
              </w:rPr>
              <w:t>Chen</w:t>
            </w:r>
          </w:p>
        </w:tc>
        <w:tc>
          <w:tcPr>
            <w:tcW w:w="0" w:type="auto"/>
            <w:shd w:val="clear" w:color="auto" w:fill="auto"/>
            <w:noWrap/>
            <w:hideMark/>
          </w:tcPr>
          <w:p w14:paraId="12194FBA"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70143EB3"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3B658B4" w14:textId="77777777" w:rsidR="002F0133" w:rsidRPr="000B4E2C" w:rsidRDefault="002F0133" w:rsidP="008A7464">
            <w:pPr>
              <w:rPr>
                <w:highlight w:val="green"/>
                <w:lang w:eastAsia="en-GB"/>
              </w:rPr>
            </w:pPr>
            <w:r w:rsidRPr="000B4E2C">
              <w:rPr>
                <w:highlight w:val="green"/>
                <w:lang w:eastAsia="en-GB"/>
              </w:rPr>
              <w:t>X. Chen, Z. Chen, T. Wei, P. Li, L. Zhang and P. Fu. The Effect of Serum Neutrophil Gelatinase-Associated Lipocalin on the Discontinuation of Continuous Renal Replacement Therapy in Critically Ill Patients with Acute Kidney Injury. Blood Purification, . [15244]</w:t>
            </w:r>
          </w:p>
        </w:tc>
      </w:tr>
      <w:tr w:rsidR="002F0133" w:rsidRPr="000B4E2C" w14:paraId="03376E01" w14:textId="77777777" w:rsidTr="000B4E2C">
        <w:trPr>
          <w:cantSplit/>
        </w:trPr>
        <w:tc>
          <w:tcPr>
            <w:tcW w:w="0" w:type="auto"/>
            <w:shd w:val="clear" w:color="auto" w:fill="auto"/>
            <w:noWrap/>
            <w:hideMark/>
          </w:tcPr>
          <w:p w14:paraId="65F945F6" w14:textId="77777777" w:rsidR="002F0133" w:rsidRPr="000B4E2C" w:rsidRDefault="002F0133" w:rsidP="008A7464">
            <w:pPr>
              <w:rPr>
                <w:lang w:eastAsia="en-GB"/>
              </w:rPr>
            </w:pPr>
            <w:r w:rsidRPr="000B4E2C">
              <w:rPr>
                <w:lang w:eastAsia="en-GB"/>
              </w:rPr>
              <w:t xml:space="preserve">Chen </w:t>
            </w:r>
          </w:p>
        </w:tc>
        <w:tc>
          <w:tcPr>
            <w:tcW w:w="0" w:type="auto"/>
            <w:shd w:val="clear" w:color="auto" w:fill="auto"/>
            <w:noWrap/>
            <w:hideMark/>
          </w:tcPr>
          <w:p w14:paraId="26FDE056"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74940148"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D021047" w14:textId="77777777" w:rsidR="002F0133" w:rsidRPr="000B4E2C" w:rsidRDefault="002F0133" w:rsidP="008A7464">
            <w:pPr>
              <w:rPr>
                <w:highlight w:val="green"/>
                <w:lang w:eastAsia="en-GB"/>
              </w:rPr>
            </w:pPr>
            <w:r w:rsidRPr="000B4E2C">
              <w:rPr>
                <w:highlight w:val="green"/>
                <w:lang w:eastAsia="en-GB"/>
              </w:rPr>
              <w:t>T. H. Chen, C. H. Chang, C. Y. Lin, C. C. Jenq, M. Y. Chang, Y. C. Tian, C. C. Hung, J. T. Fang, C. W. Yang, M. S. Wen, F. C. Lin and Y. C. Chen. Acute kidney injury biomarkers for patients in a coronary care unit: A prospective cohort study. PLoS ONE, 7(2), e32328. [15242]</w:t>
            </w:r>
          </w:p>
        </w:tc>
      </w:tr>
      <w:tr w:rsidR="002F0133" w:rsidRPr="000B4E2C" w14:paraId="43B3CA8F" w14:textId="77777777" w:rsidTr="000B4E2C">
        <w:trPr>
          <w:cantSplit/>
        </w:trPr>
        <w:tc>
          <w:tcPr>
            <w:tcW w:w="0" w:type="auto"/>
            <w:shd w:val="clear" w:color="auto" w:fill="auto"/>
            <w:noWrap/>
            <w:hideMark/>
          </w:tcPr>
          <w:p w14:paraId="0083D9BC" w14:textId="77777777" w:rsidR="002F0133" w:rsidRPr="000B4E2C" w:rsidRDefault="002F0133" w:rsidP="008A7464">
            <w:pPr>
              <w:rPr>
                <w:lang w:eastAsia="en-GB"/>
              </w:rPr>
            </w:pPr>
            <w:r w:rsidRPr="000B4E2C">
              <w:rPr>
                <w:lang w:eastAsia="en-GB"/>
              </w:rPr>
              <w:t xml:space="preserve">Chen </w:t>
            </w:r>
          </w:p>
        </w:tc>
        <w:tc>
          <w:tcPr>
            <w:tcW w:w="0" w:type="auto"/>
            <w:shd w:val="clear" w:color="auto" w:fill="auto"/>
            <w:noWrap/>
            <w:hideMark/>
          </w:tcPr>
          <w:p w14:paraId="5D44ABB5"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2E7C2840"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C20DC64" w14:textId="77777777" w:rsidR="002F0133" w:rsidRPr="000B4E2C" w:rsidRDefault="002F0133" w:rsidP="008A7464">
            <w:pPr>
              <w:rPr>
                <w:highlight w:val="green"/>
                <w:lang w:eastAsia="en-GB"/>
              </w:rPr>
            </w:pPr>
            <w:r w:rsidRPr="000B4E2C">
              <w:rPr>
                <w:highlight w:val="green"/>
                <w:lang w:eastAsia="en-GB"/>
              </w:rPr>
              <w:t>C. Chen, X. Yang, Y. Lei, Y. Zha, H. Liu, C. Ma, J. Tian, P. Chen, T. Yang and F. F. Hou. Urinary biomarkers at the time of AKI diagnosis as predictors of progression of AKI among patients with acute cardiorenal syndrome. Clinical Journal of the American Society of Nephrology, 11(9), 1536-1544. [15236]</w:t>
            </w:r>
          </w:p>
        </w:tc>
      </w:tr>
      <w:tr w:rsidR="002F0133" w:rsidRPr="000B4E2C" w14:paraId="24F667B5" w14:textId="77777777" w:rsidTr="000B4E2C">
        <w:trPr>
          <w:cantSplit/>
        </w:trPr>
        <w:tc>
          <w:tcPr>
            <w:tcW w:w="0" w:type="auto"/>
            <w:shd w:val="clear" w:color="auto" w:fill="auto"/>
            <w:noWrap/>
            <w:hideMark/>
          </w:tcPr>
          <w:p w14:paraId="636EAEE2" w14:textId="77777777" w:rsidR="002F0133" w:rsidRPr="000B4E2C" w:rsidRDefault="002F0133" w:rsidP="008A7464">
            <w:pPr>
              <w:rPr>
                <w:lang w:eastAsia="en-GB"/>
              </w:rPr>
            </w:pPr>
            <w:r w:rsidRPr="000B4E2C">
              <w:rPr>
                <w:lang w:eastAsia="en-GB"/>
              </w:rPr>
              <w:t xml:space="preserve">Chen </w:t>
            </w:r>
          </w:p>
        </w:tc>
        <w:tc>
          <w:tcPr>
            <w:tcW w:w="0" w:type="auto"/>
            <w:shd w:val="clear" w:color="auto" w:fill="auto"/>
            <w:noWrap/>
            <w:hideMark/>
          </w:tcPr>
          <w:p w14:paraId="2837F343"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057C1F0B"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05BFAA56" w14:textId="77777777" w:rsidR="002F0133" w:rsidRPr="000B4E2C" w:rsidRDefault="002F0133" w:rsidP="008A7464">
            <w:pPr>
              <w:rPr>
                <w:highlight w:val="green"/>
                <w:lang w:eastAsia="en-GB"/>
              </w:rPr>
            </w:pPr>
            <w:r w:rsidRPr="000B4E2C">
              <w:rPr>
                <w:highlight w:val="green"/>
                <w:lang w:eastAsia="en-GB"/>
              </w:rPr>
              <w:t>C. F. Chen and C. C. Lin. Neutrophil gelatinase-associated lipocalin: Still a good predictive marker of acute kidney injury in severe septic patients?. Journal of the Chinese Medical Association, 79(8), 411-412. [15237]</w:t>
            </w:r>
          </w:p>
        </w:tc>
      </w:tr>
      <w:tr w:rsidR="002F0133" w:rsidRPr="000B4E2C" w14:paraId="13877CA4" w14:textId="77777777" w:rsidTr="000B4E2C">
        <w:trPr>
          <w:cantSplit/>
        </w:trPr>
        <w:tc>
          <w:tcPr>
            <w:tcW w:w="0" w:type="auto"/>
            <w:shd w:val="clear" w:color="auto" w:fill="auto"/>
            <w:noWrap/>
            <w:hideMark/>
          </w:tcPr>
          <w:p w14:paraId="1BF542A7" w14:textId="77777777" w:rsidR="002F0133" w:rsidRPr="000B4E2C" w:rsidRDefault="002F0133" w:rsidP="008A7464">
            <w:pPr>
              <w:rPr>
                <w:lang w:eastAsia="en-GB"/>
              </w:rPr>
            </w:pPr>
            <w:r w:rsidRPr="000B4E2C">
              <w:rPr>
                <w:lang w:eastAsia="en-GB"/>
              </w:rPr>
              <w:lastRenderedPageBreak/>
              <w:t>Cheng</w:t>
            </w:r>
          </w:p>
        </w:tc>
        <w:tc>
          <w:tcPr>
            <w:tcW w:w="0" w:type="auto"/>
            <w:shd w:val="clear" w:color="auto" w:fill="auto"/>
            <w:noWrap/>
            <w:hideMark/>
          </w:tcPr>
          <w:p w14:paraId="2B0AC77A"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57935FBF" w14:textId="48D1CD9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BCD06B7" w14:textId="77777777" w:rsidR="002F0133" w:rsidRPr="000B4E2C" w:rsidRDefault="002F0133" w:rsidP="008A7464">
            <w:pPr>
              <w:rPr>
                <w:highlight w:val="green"/>
                <w:lang w:eastAsia="en-GB"/>
              </w:rPr>
            </w:pPr>
            <w:r w:rsidRPr="000B4E2C">
              <w:rPr>
                <w:highlight w:val="green"/>
                <w:lang w:eastAsia="en-GB"/>
              </w:rPr>
              <w:t>C. W. Cheng, Y. C. Chen, C. H. Chang, H. P. Yu, C. C. Lin, M. W. Yang, W. C. Lee and C. J. Chang. The ratio of plasma neutrophil gelatinase-associated lipocalin predicts acute kidney injury in patients undergoing liver transplantation. Transplantation Proceedings, 44(3), 776-779. [15245]</w:t>
            </w:r>
          </w:p>
        </w:tc>
      </w:tr>
      <w:tr w:rsidR="002F0133" w:rsidRPr="000B4E2C" w14:paraId="3141DF89" w14:textId="77777777" w:rsidTr="000B4E2C">
        <w:trPr>
          <w:cantSplit/>
        </w:trPr>
        <w:tc>
          <w:tcPr>
            <w:tcW w:w="0" w:type="auto"/>
            <w:shd w:val="clear" w:color="auto" w:fill="auto"/>
            <w:noWrap/>
            <w:hideMark/>
          </w:tcPr>
          <w:p w14:paraId="4FC5511B" w14:textId="77777777" w:rsidR="002F0133" w:rsidRPr="000B4E2C" w:rsidRDefault="002F0133" w:rsidP="008A7464">
            <w:pPr>
              <w:rPr>
                <w:lang w:eastAsia="en-GB"/>
              </w:rPr>
            </w:pPr>
            <w:r w:rsidRPr="000B4E2C">
              <w:rPr>
                <w:lang w:eastAsia="en-GB"/>
              </w:rPr>
              <w:t>Chiara Vermi</w:t>
            </w:r>
          </w:p>
        </w:tc>
        <w:tc>
          <w:tcPr>
            <w:tcW w:w="0" w:type="auto"/>
            <w:shd w:val="clear" w:color="auto" w:fill="auto"/>
            <w:noWrap/>
            <w:hideMark/>
          </w:tcPr>
          <w:p w14:paraId="5FC5551E"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05F57B6" w14:textId="20A335C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4B4A59A" w14:textId="77777777" w:rsidR="002F0133" w:rsidRPr="000B4E2C" w:rsidRDefault="002F0133" w:rsidP="008A7464">
            <w:pPr>
              <w:rPr>
                <w:highlight w:val="green"/>
                <w:lang w:eastAsia="en-GB"/>
              </w:rPr>
            </w:pPr>
            <w:r w:rsidRPr="000B4E2C">
              <w:rPr>
                <w:highlight w:val="green"/>
                <w:lang w:eastAsia="en-GB"/>
              </w:rPr>
              <w:t>A. Chiara Vermi, C. Costopoulos, A. Latib, D. Piraino, F. Maisano, C. Naim, T. Naganuma, F. Figini, A. Chieffo, F. Ceriotti, M. Montorfano and A. Colombo. Urinary neutrophil gelatinase-associated lipocalin as a predictor of acute kidney injury after transcatheter aortic valve implantation. Hellenic Journal of Cardiology, 55(1), 77-79. [15247]</w:t>
            </w:r>
          </w:p>
        </w:tc>
      </w:tr>
      <w:tr w:rsidR="002F0133" w:rsidRPr="000B4E2C" w14:paraId="208F6E3A" w14:textId="77777777" w:rsidTr="000B4E2C">
        <w:trPr>
          <w:cantSplit/>
        </w:trPr>
        <w:tc>
          <w:tcPr>
            <w:tcW w:w="0" w:type="auto"/>
            <w:shd w:val="clear" w:color="auto" w:fill="auto"/>
            <w:noWrap/>
            <w:hideMark/>
          </w:tcPr>
          <w:p w14:paraId="47295566" w14:textId="77777777" w:rsidR="002F0133" w:rsidRPr="000B4E2C" w:rsidRDefault="002F0133" w:rsidP="008A7464">
            <w:pPr>
              <w:rPr>
                <w:lang w:eastAsia="en-GB"/>
              </w:rPr>
            </w:pPr>
            <w:r w:rsidRPr="000B4E2C">
              <w:rPr>
                <w:lang w:eastAsia="en-GB"/>
              </w:rPr>
              <w:t>Chindarkar</w:t>
            </w:r>
          </w:p>
        </w:tc>
        <w:tc>
          <w:tcPr>
            <w:tcW w:w="0" w:type="auto"/>
            <w:shd w:val="clear" w:color="auto" w:fill="auto"/>
            <w:noWrap/>
            <w:hideMark/>
          </w:tcPr>
          <w:p w14:paraId="17BE009A"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F29BF8D"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2FA6797D" w14:textId="77777777" w:rsidR="002F0133" w:rsidRPr="000B4E2C" w:rsidRDefault="002F0133" w:rsidP="008A7464">
            <w:pPr>
              <w:rPr>
                <w:highlight w:val="green"/>
                <w:lang w:eastAsia="en-GB"/>
              </w:rPr>
            </w:pPr>
            <w:r w:rsidRPr="000B4E2C">
              <w:rPr>
                <w:highlight w:val="green"/>
                <w:lang w:eastAsia="en-GB"/>
              </w:rPr>
              <w:t>N. S. Chindarkar, L. S. Chawla, J. A. Straseski, S. A. Jortani, D. Uettwiller-Geiger, R. R. Orr, J. A. Kellum and R. L. Fitzgerald. Demographic data for urinary Acute Kidney Injury (AKI) marker [IGFBP7].[TIMP2] reference range determinations. Data in brief, 5(888-92. [15249]</w:t>
            </w:r>
          </w:p>
        </w:tc>
      </w:tr>
      <w:tr w:rsidR="002F0133" w:rsidRPr="000B4E2C" w14:paraId="5DE0333F" w14:textId="77777777" w:rsidTr="000B4E2C">
        <w:trPr>
          <w:cantSplit/>
        </w:trPr>
        <w:tc>
          <w:tcPr>
            <w:tcW w:w="0" w:type="auto"/>
            <w:shd w:val="clear" w:color="auto" w:fill="auto"/>
            <w:noWrap/>
            <w:hideMark/>
          </w:tcPr>
          <w:p w14:paraId="39847B4A" w14:textId="77777777" w:rsidR="002F0133" w:rsidRPr="000B4E2C" w:rsidRDefault="002F0133" w:rsidP="008A7464">
            <w:pPr>
              <w:rPr>
                <w:lang w:eastAsia="en-GB"/>
              </w:rPr>
            </w:pPr>
            <w:r w:rsidRPr="000B4E2C">
              <w:rPr>
                <w:lang w:eastAsia="en-GB"/>
              </w:rPr>
              <w:t>Chindarkar</w:t>
            </w:r>
          </w:p>
        </w:tc>
        <w:tc>
          <w:tcPr>
            <w:tcW w:w="0" w:type="auto"/>
            <w:shd w:val="clear" w:color="auto" w:fill="auto"/>
            <w:noWrap/>
            <w:hideMark/>
          </w:tcPr>
          <w:p w14:paraId="2A7AA604"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3E3FC304"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2F2948F2" w14:textId="77777777" w:rsidR="002F0133" w:rsidRPr="000B4E2C" w:rsidRDefault="002F0133" w:rsidP="008A7464">
            <w:pPr>
              <w:rPr>
                <w:highlight w:val="green"/>
                <w:lang w:eastAsia="en-GB"/>
              </w:rPr>
            </w:pPr>
            <w:r w:rsidRPr="000B4E2C">
              <w:rPr>
                <w:highlight w:val="green"/>
                <w:lang w:eastAsia="en-GB"/>
              </w:rPr>
              <w:t>N. S. Chindarkar, L. S. Chawla, J. A. Straseski, S. A. Jortani, D. Uettwiller-Geiger, R. R. Orr, J. A. Kellum and R. L. Fitzgerald. Reference intervals of urinary acute kidney injury (AKI) markers [IGFBP7] . [TIMP2] in apparently healthy subjects and chronic comorbid subjects without AKI. Clinica Chimica Acta, 452(32-37. [15248]</w:t>
            </w:r>
          </w:p>
        </w:tc>
      </w:tr>
      <w:tr w:rsidR="002F0133" w:rsidRPr="000B4E2C" w14:paraId="65468A92" w14:textId="77777777" w:rsidTr="000B4E2C">
        <w:trPr>
          <w:cantSplit/>
        </w:trPr>
        <w:tc>
          <w:tcPr>
            <w:tcW w:w="0" w:type="auto"/>
            <w:shd w:val="clear" w:color="auto" w:fill="auto"/>
            <w:noWrap/>
            <w:hideMark/>
          </w:tcPr>
          <w:p w14:paraId="7D1ACEBA" w14:textId="77777777" w:rsidR="002F0133" w:rsidRPr="000B4E2C" w:rsidRDefault="002F0133" w:rsidP="008A7464">
            <w:pPr>
              <w:rPr>
                <w:lang w:eastAsia="en-GB"/>
              </w:rPr>
            </w:pPr>
            <w:r w:rsidRPr="000B4E2C">
              <w:rPr>
                <w:lang w:eastAsia="en-GB"/>
              </w:rPr>
              <w:t>Cho</w:t>
            </w:r>
          </w:p>
        </w:tc>
        <w:tc>
          <w:tcPr>
            <w:tcW w:w="0" w:type="auto"/>
            <w:shd w:val="clear" w:color="auto" w:fill="auto"/>
            <w:noWrap/>
            <w:hideMark/>
          </w:tcPr>
          <w:p w14:paraId="0879A36B"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D7EFE70" w14:textId="78331A7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BF3DBDD" w14:textId="77777777" w:rsidR="002F0133" w:rsidRPr="000B4E2C" w:rsidRDefault="002F0133" w:rsidP="008A7464">
            <w:pPr>
              <w:rPr>
                <w:highlight w:val="green"/>
                <w:lang w:eastAsia="en-GB"/>
              </w:rPr>
            </w:pPr>
            <w:r w:rsidRPr="000B4E2C">
              <w:rPr>
                <w:highlight w:val="green"/>
                <w:lang w:eastAsia="en-GB"/>
              </w:rPr>
              <w:t>E. Cho, J. H. Lee, H. J. Lim, S. W. Oh, S. K. Jo, W. Y. Cho, H. K. Kim and S. Y. Lee. Soluble CD25 is increased in patients with sepsis-induced acute kidney injury. Nephrology, 19(6), 318-324. [15252]</w:t>
            </w:r>
          </w:p>
        </w:tc>
      </w:tr>
      <w:tr w:rsidR="002F0133" w:rsidRPr="000B4E2C" w14:paraId="65029353" w14:textId="77777777" w:rsidTr="000B4E2C">
        <w:trPr>
          <w:cantSplit/>
        </w:trPr>
        <w:tc>
          <w:tcPr>
            <w:tcW w:w="0" w:type="auto"/>
            <w:shd w:val="clear" w:color="auto" w:fill="auto"/>
            <w:noWrap/>
            <w:hideMark/>
          </w:tcPr>
          <w:p w14:paraId="5E3EE259" w14:textId="77777777" w:rsidR="002F0133" w:rsidRPr="000B4E2C" w:rsidRDefault="002F0133" w:rsidP="008A7464">
            <w:pPr>
              <w:rPr>
                <w:lang w:eastAsia="en-GB"/>
              </w:rPr>
            </w:pPr>
            <w:r w:rsidRPr="000B4E2C">
              <w:rPr>
                <w:lang w:eastAsia="en-GB"/>
              </w:rPr>
              <w:t>Cho</w:t>
            </w:r>
          </w:p>
        </w:tc>
        <w:tc>
          <w:tcPr>
            <w:tcW w:w="0" w:type="auto"/>
            <w:shd w:val="clear" w:color="auto" w:fill="auto"/>
            <w:noWrap/>
            <w:hideMark/>
          </w:tcPr>
          <w:p w14:paraId="2D7E4BF9"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6135488D"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542D32CC" w14:textId="77777777" w:rsidR="002F0133" w:rsidRPr="000B4E2C" w:rsidRDefault="002F0133" w:rsidP="008A7464">
            <w:pPr>
              <w:rPr>
                <w:highlight w:val="green"/>
                <w:lang w:eastAsia="en-GB"/>
              </w:rPr>
            </w:pPr>
            <w:r w:rsidRPr="000B4E2C">
              <w:rPr>
                <w:highlight w:val="green"/>
                <w:lang w:eastAsia="en-GB"/>
              </w:rPr>
              <w:t>S. Y. Cho and M. Hur. Neutrophil Gelatinase-Associated Lipocalin as a Promising Novel Biomarker for Early Detection of Kidney Injury. Annals of laboratory medicine, 38(5), 393-394. [15254]</w:t>
            </w:r>
          </w:p>
        </w:tc>
      </w:tr>
      <w:tr w:rsidR="002F0133" w:rsidRPr="000B4E2C" w14:paraId="7F0E153E" w14:textId="77777777" w:rsidTr="000B4E2C">
        <w:trPr>
          <w:cantSplit/>
        </w:trPr>
        <w:tc>
          <w:tcPr>
            <w:tcW w:w="0" w:type="auto"/>
            <w:shd w:val="clear" w:color="auto" w:fill="auto"/>
            <w:noWrap/>
            <w:hideMark/>
          </w:tcPr>
          <w:p w14:paraId="2EDAC17A" w14:textId="77777777" w:rsidR="002F0133" w:rsidRPr="000B4E2C" w:rsidRDefault="002F0133" w:rsidP="008A7464">
            <w:pPr>
              <w:rPr>
                <w:lang w:eastAsia="en-GB"/>
              </w:rPr>
            </w:pPr>
            <w:r w:rsidRPr="000B4E2C">
              <w:rPr>
                <w:lang w:eastAsia="en-GB"/>
              </w:rPr>
              <w:t>Choi</w:t>
            </w:r>
          </w:p>
        </w:tc>
        <w:tc>
          <w:tcPr>
            <w:tcW w:w="0" w:type="auto"/>
            <w:shd w:val="clear" w:color="auto" w:fill="auto"/>
            <w:noWrap/>
            <w:hideMark/>
          </w:tcPr>
          <w:p w14:paraId="193D357F"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5C3A0A3F"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9A80D2C" w14:textId="77777777" w:rsidR="002F0133" w:rsidRPr="000B4E2C" w:rsidRDefault="002F0133" w:rsidP="008A7464">
            <w:pPr>
              <w:rPr>
                <w:highlight w:val="green"/>
                <w:lang w:eastAsia="en-GB"/>
              </w:rPr>
            </w:pPr>
            <w:r w:rsidRPr="000B4E2C">
              <w:rPr>
                <w:highlight w:val="green"/>
                <w:lang w:eastAsia="en-GB"/>
              </w:rPr>
              <w:t>H. M. Choi, K. T. Park, J. W. Lee, E. Cho, S. K. Jo, W. Y. Cho and H. K. Kim. Urine neutrophil gelatinase-associated lipocalin predicts graft outcome up to 1 year after kidney transplantation. Transplantation Proceedings, 45(1), 122-128. [15256]</w:t>
            </w:r>
          </w:p>
        </w:tc>
      </w:tr>
      <w:tr w:rsidR="002F0133" w:rsidRPr="000B4E2C" w14:paraId="26E3E9B2" w14:textId="77777777" w:rsidTr="000B4E2C">
        <w:trPr>
          <w:cantSplit/>
        </w:trPr>
        <w:tc>
          <w:tcPr>
            <w:tcW w:w="0" w:type="auto"/>
            <w:shd w:val="clear" w:color="auto" w:fill="auto"/>
            <w:noWrap/>
            <w:hideMark/>
          </w:tcPr>
          <w:p w14:paraId="5A51D792" w14:textId="77777777" w:rsidR="002F0133" w:rsidRPr="000B4E2C" w:rsidRDefault="002F0133" w:rsidP="008A7464">
            <w:pPr>
              <w:rPr>
                <w:lang w:eastAsia="en-GB"/>
              </w:rPr>
            </w:pPr>
            <w:r w:rsidRPr="000B4E2C">
              <w:rPr>
                <w:lang w:eastAsia="en-GB"/>
              </w:rPr>
              <w:t>Choi</w:t>
            </w:r>
          </w:p>
        </w:tc>
        <w:tc>
          <w:tcPr>
            <w:tcW w:w="0" w:type="auto"/>
            <w:shd w:val="clear" w:color="auto" w:fill="auto"/>
            <w:noWrap/>
            <w:hideMark/>
          </w:tcPr>
          <w:p w14:paraId="10C7D32F"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5CFD6F10"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019AB379" w14:textId="77777777" w:rsidR="002F0133" w:rsidRPr="000B4E2C" w:rsidRDefault="002F0133" w:rsidP="008A7464">
            <w:pPr>
              <w:rPr>
                <w:highlight w:val="green"/>
                <w:lang w:eastAsia="en-GB"/>
              </w:rPr>
            </w:pPr>
            <w:r w:rsidRPr="000B4E2C">
              <w:rPr>
                <w:highlight w:val="green"/>
                <w:lang w:eastAsia="en-GB"/>
              </w:rPr>
              <w:t>J. W. Choi, T. Fujii and N. Fujii. Corrected Neutrophil Gelatinase-Associated Lipocalin (NGAL) Level Adjusted by the Scoring System of an Inflammation Index for Screening Renal Dysfunction in Patients with Systemic Inflammation. Annals of Clinical and Laboratory Science, 45(3), 248-255. [18405]</w:t>
            </w:r>
          </w:p>
        </w:tc>
      </w:tr>
      <w:tr w:rsidR="002F0133" w:rsidRPr="000B4E2C" w14:paraId="7F9D3522" w14:textId="77777777" w:rsidTr="000B4E2C">
        <w:trPr>
          <w:cantSplit/>
        </w:trPr>
        <w:tc>
          <w:tcPr>
            <w:tcW w:w="0" w:type="auto"/>
            <w:shd w:val="clear" w:color="auto" w:fill="auto"/>
            <w:noWrap/>
            <w:hideMark/>
          </w:tcPr>
          <w:p w14:paraId="1089291C" w14:textId="77777777" w:rsidR="002F0133" w:rsidRPr="000B4E2C" w:rsidRDefault="002F0133" w:rsidP="008A7464">
            <w:pPr>
              <w:rPr>
                <w:lang w:eastAsia="en-GB"/>
              </w:rPr>
            </w:pPr>
            <w:r w:rsidRPr="000B4E2C">
              <w:rPr>
                <w:lang w:eastAsia="en-GB"/>
              </w:rPr>
              <w:t>Choi</w:t>
            </w:r>
          </w:p>
        </w:tc>
        <w:tc>
          <w:tcPr>
            <w:tcW w:w="0" w:type="auto"/>
            <w:shd w:val="clear" w:color="auto" w:fill="auto"/>
            <w:noWrap/>
            <w:hideMark/>
          </w:tcPr>
          <w:p w14:paraId="78FAD52C"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9D0F1CE"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FD954F5" w14:textId="77777777" w:rsidR="002F0133" w:rsidRPr="000B4E2C" w:rsidRDefault="002F0133" w:rsidP="008A7464">
            <w:pPr>
              <w:rPr>
                <w:highlight w:val="green"/>
                <w:lang w:eastAsia="en-GB"/>
              </w:rPr>
            </w:pPr>
            <w:r w:rsidRPr="000B4E2C">
              <w:rPr>
                <w:highlight w:val="green"/>
                <w:lang w:eastAsia="en-GB"/>
              </w:rPr>
              <w:t>J. W. Choi, T. Fujii and N. Fujii. Diagnostic accuracy of plasma neutrophil gelatinase-associated lipocalin (NGAL) as an inflammatory biomarker for low-grade inflammation. Biomedical Research-India, 28(14), 6406-6411. [18404]</w:t>
            </w:r>
          </w:p>
        </w:tc>
      </w:tr>
      <w:tr w:rsidR="002F0133" w:rsidRPr="000B4E2C" w14:paraId="54A54455" w14:textId="77777777" w:rsidTr="000B4E2C">
        <w:trPr>
          <w:cantSplit/>
        </w:trPr>
        <w:tc>
          <w:tcPr>
            <w:tcW w:w="0" w:type="auto"/>
            <w:shd w:val="clear" w:color="auto" w:fill="auto"/>
            <w:noWrap/>
            <w:hideMark/>
          </w:tcPr>
          <w:p w14:paraId="4D0C5C8D" w14:textId="77777777" w:rsidR="002F0133" w:rsidRPr="000B4E2C" w:rsidRDefault="002F0133" w:rsidP="008A7464">
            <w:pPr>
              <w:rPr>
                <w:lang w:eastAsia="en-GB"/>
              </w:rPr>
            </w:pPr>
            <w:r w:rsidRPr="000B4E2C">
              <w:rPr>
                <w:lang w:eastAsia="en-GB"/>
              </w:rPr>
              <w:t>Chou</w:t>
            </w:r>
          </w:p>
        </w:tc>
        <w:tc>
          <w:tcPr>
            <w:tcW w:w="0" w:type="auto"/>
            <w:shd w:val="clear" w:color="auto" w:fill="auto"/>
            <w:noWrap/>
            <w:hideMark/>
          </w:tcPr>
          <w:p w14:paraId="6E476928"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449A1EDD"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79EDD86" w14:textId="77777777" w:rsidR="002F0133" w:rsidRPr="000B4E2C" w:rsidRDefault="002F0133" w:rsidP="008A7464">
            <w:pPr>
              <w:rPr>
                <w:highlight w:val="green"/>
                <w:lang w:eastAsia="en-GB"/>
              </w:rPr>
            </w:pPr>
            <w:r w:rsidRPr="000B4E2C">
              <w:rPr>
                <w:highlight w:val="green"/>
                <w:lang w:eastAsia="en-GB"/>
              </w:rPr>
              <w:t>K. M. Chou, C. C. Lee, C. H. Chen and C. Y. Sun. Clinical Value of NGAL, L-FABP and Albuminuria in Predicting GFR Decline in Type 2 Diabetes Mellitus Patients. PLoS ONE, 8(1), e54863. [15259]</w:t>
            </w:r>
          </w:p>
        </w:tc>
      </w:tr>
      <w:tr w:rsidR="002F0133" w:rsidRPr="000B4E2C" w14:paraId="6CCD9801" w14:textId="77777777" w:rsidTr="000B4E2C">
        <w:trPr>
          <w:cantSplit/>
        </w:trPr>
        <w:tc>
          <w:tcPr>
            <w:tcW w:w="0" w:type="auto"/>
            <w:shd w:val="clear" w:color="auto" w:fill="auto"/>
            <w:noWrap/>
            <w:hideMark/>
          </w:tcPr>
          <w:p w14:paraId="633B44DF" w14:textId="77777777" w:rsidR="002F0133" w:rsidRPr="000B4E2C" w:rsidRDefault="002F0133" w:rsidP="008A7464">
            <w:pPr>
              <w:rPr>
                <w:lang w:eastAsia="en-GB"/>
              </w:rPr>
            </w:pPr>
            <w:r w:rsidRPr="000B4E2C">
              <w:rPr>
                <w:lang w:eastAsia="en-GB"/>
              </w:rPr>
              <w:t>Choudhry</w:t>
            </w:r>
          </w:p>
        </w:tc>
        <w:tc>
          <w:tcPr>
            <w:tcW w:w="0" w:type="auto"/>
            <w:shd w:val="clear" w:color="auto" w:fill="auto"/>
            <w:noWrap/>
            <w:hideMark/>
          </w:tcPr>
          <w:p w14:paraId="73CE109A"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435FCBDF"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D1D0174" w14:textId="77777777" w:rsidR="002F0133" w:rsidRPr="000B4E2C" w:rsidRDefault="002F0133" w:rsidP="008A7464">
            <w:pPr>
              <w:rPr>
                <w:highlight w:val="green"/>
                <w:lang w:eastAsia="en-GB"/>
              </w:rPr>
            </w:pPr>
            <w:r w:rsidRPr="000B4E2C">
              <w:rPr>
                <w:highlight w:val="green"/>
                <w:lang w:eastAsia="en-GB"/>
              </w:rPr>
              <w:t>N. Choudhry, A. Ihsan, S. Mahmood, F. U. Haq and A. J. Gondal. Neutrophil gelatinase associated lipocalin, an early biomarker for diagnosis of acute kidney injury after percutaneous coronary intervention. Turkish Journal of Biochemistry, 43(1), 15-21. [15260]</w:t>
            </w:r>
          </w:p>
        </w:tc>
      </w:tr>
      <w:tr w:rsidR="002F0133" w:rsidRPr="000B4E2C" w14:paraId="1FBFD3CC" w14:textId="77777777" w:rsidTr="000B4E2C">
        <w:trPr>
          <w:cantSplit/>
        </w:trPr>
        <w:tc>
          <w:tcPr>
            <w:tcW w:w="0" w:type="auto"/>
            <w:shd w:val="clear" w:color="auto" w:fill="auto"/>
            <w:noWrap/>
            <w:hideMark/>
          </w:tcPr>
          <w:p w14:paraId="264D488A" w14:textId="77777777" w:rsidR="002F0133" w:rsidRPr="000B4E2C" w:rsidRDefault="002F0133" w:rsidP="008A7464">
            <w:pPr>
              <w:rPr>
                <w:lang w:eastAsia="en-GB"/>
              </w:rPr>
            </w:pPr>
            <w:r w:rsidRPr="000B4E2C">
              <w:rPr>
                <w:lang w:eastAsia="en-GB"/>
              </w:rPr>
              <w:t>Chun</w:t>
            </w:r>
          </w:p>
        </w:tc>
        <w:tc>
          <w:tcPr>
            <w:tcW w:w="0" w:type="auto"/>
            <w:shd w:val="clear" w:color="auto" w:fill="auto"/>
            <w:noWrap/>
            <w:hideMark/>
          </w:tcPr>
          <w:p w14:paraId="7DE49871"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45B91DBD" w14:textId="2B989E8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9B6AAB5" w14:textId="77777777" w:rsidR="002F0133" w:rsidRPr="000B4E2C" w:rsidRDefault="002F0133" w:rsidP="008A7464">
            <w:pPr>
              <w:rPr>
                <w:highlight w:val="green"/>
                <w:lang w:eastAsia="en-GB"/>
              </w:rPr>
            </w:pPr>
            <w:r w:rsidRPr="000B4E2C">
              <w:rPr>
                <w:highlight w:val="green"/>
                <w:lang w:eastAsia="en-GB"/>
              </w:rPr>
              <w:t>W. Chun, Y. Kim, J. Yoon, S. Lee, H. Yim, Y. S. Cho, D. Kym, J. Hur and H. T. Yang. Assessment of Plasma Neutrophil Gelatinase-Associated Lipocalin for Early Detection of Acute Kidney Injury and Prediction of Mortality in Severely Burned Patients. Journal of Burn Care and Research, 39(3), 387-393. [15267]</w:t>
            </w:r>
          </w:p>
        </w:tc>
      </w:tr>
      <w:tr w:rsidR="002F0133" w:rsidRPr="000B4E2C" w14:paraId="01F6AB82" w14:textId="77777777" w:rsidTr="000B4E2C">
        <w:trPr>
          <w:cantSplit/>
        </w:trPr>
        <w:tc>
          <w:tcPr>
            <w:tcW w:w="0" w:type="auto"/>
            <w:shd w:val="clear" w:color="auto" w:fill="auto"/>
            <w:noWrap/>
            <w:hideMark/>
          </w:tcPr>
          <w:p w14:paraId="1D2CFE1F" w14:textId="77777777" w:rsidR="002F0133" w:rsidRPr="000B4E2C" w:rsidRDefault="002F0133" w:rsidP="008A7464">
            <w:pPr>
              <w:rPr>
                <w:lang w:eastAsia="en-GB"/>
              </w:rPr>
            </w:pPr>
            <w:r w:rsidRPr="000B4E2C">
              <w:rPr>
                <w:lang w:eastAsia="en-GB"/>
              </w:rPr>
              <w:lastRenderedPageBreak/>
              <w:t>Civiletti</w:t>
            </w:r>
          </w:p>
        </w:tc>
        <w:tc>
          <w:tcPr>
            <w:tcW w:w="0" w:type="auto"/>
            <w:shd w:val="clear" w:color="auto" w:fill="auto"/>
            <w:noWrap/>
            <w:hideMark/>
          </w:tcPr>
          <w:p w14:paraId="621DA9E6"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270BD710" w14:textId="042954A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C4659FB" w14:textId="77777777" w:rsidR="002F0133" w:rsidRPr="000B4E2C" w:rsidRDefault="002F0133" w:rsidP="008A7464">
            <w:pPr>
              <w:rPr>
                <w:highlight w:val="green"/>
                <w:lang w:eastAsia="en-GB"/>
              </w:rPr>
            </w:pPr>
            <w:r w:rsidRPr="000B4E2C">
              <w:rPr>
                <w:highlight w:val="green"/>
                <w:lang w:eastAsia="en-GB"/>
              </w:rPr>
              <w:t>F. Civiletti, B. Assenzio, A. T. Mazzeo, D. Medica, F. Giaretta, I. Deambrosis, V. Fanelli, V. M. Ranieri, V. Cantaluppi and L. Mascia. Acute Tubular Injury is Associated With Severe Traumatic Brain Injury: in Vitro Study on Human Tubular Epithelial Cells. Scientific reports, 9(1), 6090. [15272]</w:t>
            </w:r>
          </w:p>
        </w:tc>
      </w:tr>
      <w:tr w:rsidR="002F0133" w:rsidRPr="000B4E2C" w14:paraId="1FD5AD78" w14:textId="77777777" w:rsidTr="000B4E2C">
        <w:trPr>
          <w:cantSplit/>
        </w:trPr>
        <w:tc>
          <w:tcPr>
            <w:tcW w:w="0" w:type="auto"/>
            <w:shd w:val="clear" w:color="auto" w:fill="auto"/>
            <w:noWrap/>
            <w:hideMark/>
          </w:tcPr>
          <w:p w14:paraId="6F1E4BFA" w14:textId="77777777" w:rsidR="002F0133" w:rsidRPr="000B4E2C" w:rsidRDefault="002F0133" w:rsidP="008A7464">
            <w:pPr>
              <w:rPr>
                <w:lang w:eastAsia="en-GB"/>
              </w:rPr>
            </w:pPr>
            <w:r w:rsidRPr="000B4E2C">
              <w:rPr>
                <w:lang w:eastAsia="en-GB"/>
              </w:rPr>
              <w:t>Coca</w:t>
            </w:r>
          </w:p>
        </w:tc>
        <w:tc>
          <w:tcPr>
            <w:tcW w:w="0" w:type="auto"/>
            <w:shd w:val="clear" w:color="auto" w:fill="auto"/>
            <w:noWrap/>
            <w:hideMark/>
          </w:tcPr>
          <w:p w14:paraId="7855A709"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08F606B9" w14:textId="77777777" w:rsidR="002F0133" w:rsidRPr="000B4E2C" w:rsidRDefault="002F0133" w:rsidP="008A7464">
            <w:pPr>
              <w:rPr>
                <w:lang w:eastAsia="en-GB"/>
              </w:rPr>
            </w:pPr>
            <w:r w:rsidRPr="000B4E2C">
              <w:rPr>
                <w:lang w:eastAsia="en-GB"/>
              </w:rPr>
              <w:t>Retained as background material</w:t>
            </w:r>
          </w:p>
        </w:tc>
        <w:tc>
          <w:tcPr>
            <w:tcW w:w="0" w:type="auto"/>
            <w:shd w:val="clear" w:color="auto" w:fill="auto"/>
            <w:noWrap/>
            <w:hideMark/>
          </w:tcPr>
          <w:p w14:paraId="616CA3D3" w14:textId="77777777" w:rsidR="002F0133" w:rsidRPr="000B4E2C" w:rsidRDefault="002F0133" w:rsidP="008A7464">
            <w:pPr>
              <w:rPr>
                <w:highlight w:val="green"/>
                <w:lang w:eastAsia="en-GB"/>
              </w:rPr>
            </w:pPr>
            <w:r w:rsidRPr="000B4E2C">
              <w:rPr>
                <w:highlight w:val="green"/>
                <w:lang w:eastAsia="en-GB"/>
              </w:rPr>
              <w:t>S. G. Coca, A. X. Garg, M. Swaminathan, S. Garwood, K. Hong, H. Thiessen-Philbrook, C. Passik, J. L. Koyner and C. R. Parikh. Preoperative angiotensin-converting enzyme inhibitors and angiotensin receptor blocker use and acute kidney injury in patients undergoing cardiac surgery. Nephrology Dialysis Transplantation, 28(11), 2787-2799. [15276]</w:t>
            </w:r>
          </w:p>
        </w:tc>
      </w:tr>
      <w:tr w:rsidR="002F0133" w:rsidRPr="000B4E2C" w14:paraId="65EAE62D" w14:textId="77777777" w:rsidTr="000B4E2C">
        <w:trPr>
          <w:cantSplit/>
        </w:trPr>
        <w:tc>
          <w:tcPr>
            <w:tcW w:w="0" w:type="auto"/>
            <w:shd w:val="clear" w:color="auto" w:fill="auto"/>
            <w:noWrap/>
            <w:hideMark/>
          </w:tcPr>
          <w:p w14:paraId="636CA9EF" w14:textId="77777777" w:rsidR="002F0133" w:rsidRPr="000B4E2C" w:rsidRDefault="002F0133" w:rsidP="008A7464">
            <w:pPr>
              <w:rPr>
                <w:lang w:eastAsia="en-GB"/>
              </w:rPr>
            </w:pPr>
            <w:r w:rsidRPr="000B4E2C">
              <w:rPr>
                <w:lang w:eastAsia="en-GB"/>
              </w:rPr>
              <w:t>Coca</w:t>
            </w:r>
          </w:p>
        </w:tc>
        <w:tc>
          <w:tcPr>
            <w:tcW w:w="0" w:type="auto"/>
            <w:shd w:val="clear" w:color="auto" w:fill="auto"/>
            <w:noWrap/>
            <w:hideMark/>
          </w:tcPr>
          <w:p w14:paraId="5AC031C1"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1A41A397" w14:textId="476423F0" w:rsidR="002F0133" w:rsidRPr="000B4E2C" w:rsidRDefault="002F0133" w:rsidP="008A7464">
            <w:pPr>
              <w:rPr>
                <w:lang w:eastAsia="en-GB"/>
              </w:rPr>
            </w:pPr>
            <w:r w:rsidRPr="000B4E2C">
              <w:rPr>
                <w:lang w:eastAsia="en-GB"/>
              </w:rPr>
              <w:t>Systematic review</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632D8F9A" w14:textId="77777777" w:rsidR="002F0133" w:rsidRPr="000B4E2C" w:rsidRDefault="002F0133" w:rsidP="008A7464">
            <w:pPr>
              <w:rPr>
                <w:highlight w:val="green"/>
                <w:lang w:eastAsia="en-GB"/>
              </w:rPr>
            </w:pPr>
            <w:r w:rsidRPr="000B4E2C">
              <w:rPr>
                <w:highlight w:val="green"/>
                <w:lang w:eastAsia="en-GB"/>
              </w:rPr>
              <w:t>S. G. Coca, R. Yalavarthy, J. Concato and C. R. Parikh. Biomarkers for the diagnosis and risk stratification of acute kidney injury: a systematic review. Kidney International, 73(9), 1008-16. [3998]</w:t>
            </w:r>
          </w:p>
        </w:tc>
      </w:tr>
      <w:tr w:rsidR="002F0133" w:rsidRPr="000B4E2C" w14:paraId="5188E63E" w14:textId="77777777" w:rsidTr="000B4E2C">
        <w:trPr>
          <w:cantSplit/>
        </w:trPr>
        <w:tc>
          <w:tcPr>
            <w:tcW w:w="0" w:type="auto"/>
            <w:shd w:val="clear" w:color="auto" w:fill="auto"/>
            <w:noWrap/>
            <w:hideMark/>
          </w:tcPr>
          <w:p w14:paraId="7F8D4760" w14:textId="77777777" w:rsidR="002F0133" w:rsidRPr="000B4E2C" w:rsidRDefault="002F0133" w:rsidP="008A7464">
            <w:pPr>
              <w:rPr>
                <w:lang w:eastAsia="en-GB"/>
              </w:rPr>
            </w:pPr>
            <w:r w:rsidRPr="000B4E2C">
              <w:rPr>
                <w:lang w:eastAsia="en-GB"/>
              </w:rPr>
              <w:t>Codorniu</w:t>
            </w:r>
          </w:p>
        </w:tc>
        <w:tc>
          <w:tcPr>
            <w:tcW w:w="0" w:type="auto"/>
            <w:shd w:val="clear" w:color="auto" w:fill="auto"/>
            <w:noWrap/>
            <w:hideMark/>
          </w:tcPr>
          <w:p w14:paraId="69F837D1"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2823633" w14:textId="52DECADF"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0866243D" w14:textId="77777777" w:rsidR="002F0133" w:rsidRPr="000B4E2C" w:rsidRDefault="002F0133" w:rsidP="008A7464">
            <w:pPr>
              <w:rPr>
                <w:highlight w:val="green"/>
                <w:lang w:eastAsia="en-GB"/>
              </w:rPr>
            </w:pPr>
            <w:r w:rsidRPr="000B4E2C">
              <w:rPr>
                <w:highlight w:val="green"/>
                <w:lang w:eastAsia="en-GB"/>
              </w:rPr>
              <w:t>A. Codorniu, L. Lemasle, M. Legrand, A. Blet, A. Mebazaa and E. Gayat. Methods used to assess the performance of biomarkers for the diagnosis of acute kidney injury: a systematic review and meta-analysis. Biomarkers, 23(8), 766-772. [15278]</w:t>
            </w:r>
          </w:p>
        </w:tc>
      </w:tr>
      <w:tr w:rsidR="002F0133" w:rsidRPr="000B4E2C" w14:paraId="1530FDA5" w14:textId="77777777" w:rsidTr="000B4E2C">
        <w:trPr>
          <w:cantSplit/>
        </w:trPr>
        <w:tc>
          <w:tcPr>
            <w:tcW w:w="0" w:type="auto"/>
            <w:shd w:val="clear" w:color="auto" w:fill="auto"/>
            <w:noWrap/>
            <w:hideMark/>
          </w:tcPr>
          <w:p w14:paraId="0BF5A734" w14:textId="77777777" w:rsidR="002F0133" w:rsidRPr="000B4E2C" w:rsidRDefault="002F0133" w:rsidP="008A7464">
            <w:pPr>
              <w:rPr>
                <w:lang w:eastAsia="en-GB"/>
              </w:rPr>
            </w:pPr>
            <w:r w:rsidRPr="000B4E2C">
              <w:rPr>
                <w:lang w:eastAsia="en-GB"/>
              </w:rPr>
              <w:t>Codsi</w:t>
            </w:r>
          </w:p>
        </w:tc>
        <w:tc>
          <w:tcPr>
            <w:tcW w:w="0" w:type="auto"/>
            <w:shd w:val="clear" w:color="auto" w:fill="auto"/>
            <w:noWrap/>
            <w:hideMark/>
          </w:tcPr>
          <w:p w14:paraId="6A1C1EB9"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53D39F2F"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88EB134" w14:textId="77777777" w:rsidR="002F0133" w:rsidRPr="000B4E2C" w:rsidRDefault="002F0133" w:rsidP="008A7464">
            <w:pPr>
              <w:rPr>
                <w:highlight w:val="green"/>
                <w:lang w:eastAsia="en-GB"/>
              </w:rPr>
            </w:pPr>
            <w:r w:rsidRPr="000B4E2C">
              <w:rPr>
                <w:highlight w:val="green"/>
                <w:lang w:eastAsia="en-GB"/>
              </w:rPr>
              <w:t>E. Codsi, V. D. Garovic, M. L. Gonzalez-Suarez, N. Milic, K. S. Borowski, C. H. Rose, N. P. Davies, K. B. Kashani, J. C. Lieske and W. M. White. Longitudinal characterization of renal proximal tubular markers in normotensive and preeclamptic pregnancies. American Journal of Physiology-Regulatory Integrative and Comparative Physiology, 312(5), R773-R778. [18410]</w:t>
            </w:r>
          </w:p>
        </w:tc>
      </w:tr>
      <w:tr w:rsidR="002F0133" w:rsidRPr="000B4E2C" w14:paraId="3A104FFD" w14:textId="77777777" w:rsidTr="000B4E2C">
        <w:trPr>
          <w:cantSplit/>
        </w:trPr>
        <w:tc>
          <w:tcPr>
            <w:tcW w:w="0" w:type="auto"/>
            <w:shd w:val="clear" w:color="auto" w:fill="auto"/>
            <w:noWrap/>
            <w:hideMark/>
          </w:tcPr>
          <w:p w14:paraId="137F7032" w14:textId="77777777" w:rsidR="002F0133" w:rsidRPr="000B4E2C" w:rsidRDefault="002F0133" w:rsidP="008A7464">
            <w:pPr>
              <w:rPr>
                <w:lang w:eastAsia="en-GB"/>
              </w:rPr>
            </w:pPr>
            <w:r w:rsidRPr="000B4E2C">
              <w:rPr>
                <w:lang w:eastAsia="en-GB"/>
              </w:rPr>
              <w:t>Connolly</w:t>
            </w:r>
          </w:p>
        </w:tc>
        <w:tc>
          <w:tcPr>
            <w:tcW w:w="0" w:type="auto"/>
            <w:shd w:val="clear" w:color="auto" w:fill="auto"/>
            <w:noWrap/>
            <w:hideMark/>
          </w:tcPr>
          <w:p w14:paraId="1AFFEC0F"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670FB046"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FEA4971" w14:textId="77777777" w:rsidR="002F0133" w:rsidRPr="000B4E2C" w:rsidRDefault="002F0133" w:rsidP="008A7464">
            <w:pPr>
              <w:rPr>
                <w:highlight w:val="green"/>
                <w:lang w:eastAsia="en-GB"/>
              </w:rPr>
            </w:pPr>
            <w:r w:rsidRPr="000B4E2C">
              <w:rPr>
                <w:highlight w:val="green"/>
                <w:lang w:eastAsia="en-GB"/>
              </w:rPr>
              <w:t>M. Connolly, M. Kinnin, D. McEneaney, I. Menown, M. Kurth, J. Lamont, N. Morgan and M. Harbinson. Prediction of contrast induced acute kidney injury using novel biomarkers following contrast coronary angiography. QJM, 111(2), 103-110. [15283]</w:t>
            </w:r>
          </w:p>
        </w:tc>
      </w:tr>
      <w:tr w:rsidR="002F0133" w:rsidRPr="000B4E2C" w14:paraId="57CED289" w14:textId="77777777" w:rsidTr="000B4E2C">
        <w:trPr>
          <w:cantSplit/>
        </w:trPr>
        <w:tc>
          <w:tcPr>
            <w:tcW w:w="0" w:type="auto"/>
            <w:shd w:val="clear" w:color="auto" w:fill="auto"/>
            <w:noWrap/>
            <w:hideMark/>
          </w:tcPr>
          <w:p w14:paraId="1ED971E2" w14:textId="77777777" w:rsidR="002F0133" w:rsidRPr="000B4E2C" w:rsidRDefault="002F0133" w:rsidP="008A7464">
            <w:pPr>
              <w:rPr>
                <w:lang w:eastAsia="en-GB"/>
              </w:rPr>
            </w:pPr>
            <w:r w:rsidRPr="000B4E2C">
              <w:rPr>
                <w:lang w:eastAsia="en-GB"/>
              </w:rPr>
              <w:t>Constantin</w:t>
            </w:r>
          </w:p>
        </w:tc>
        <w:tc>
          <w:tcPr>
            <w:tcW w:w="0" w:type="auto"/>
            <w:shd w:val="clear" w:color="auto" w:fill="auto"/>
            <w:noWrap/>
            <w:hideMark/>
          </w:tcPr>
          <w:p w14:paraId="16F29DD5"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749DA6BA" w14:textId="2A9AC37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F12302B" w14:textId="77777777" w:rsidR="002F0133" w:rsidRPr="000B4E2C" w:rsidRDefault="002F0133" w:rsidP="008A7464">
            <w:pPr>
              <w:rPr>
                <w:highlight w:val="green"/>
                <w:lang w:eastAsia="en-GB"/>
              </w:rPr>
            </w:pPr>
            <w:r w:rsidRPr="000B4E2C">
              <w:rPr>
                <w:highlight w:val="green"/>
                <w:lang w:eastAsia="en-GB"/>
              </w:rPr>
              <w:t>J. M. Constantin, E. Futier, S. Perbet, L. Roszyk, A. Lautrette, T. Gillart, R. Guerin, M. Jabaudon, B. Souweine, J. E. Bazin and V. Sapin. Plasma neutrophil gelatinase-associated lipocalin is an early marker of acute kidney injury in adult critically ill patients: A prospective study. Journal of Critical Care, 25(1), 176. [15285]</w:t>
            </w:r>
          </w:p>
        </w:tc>
      </w:tr>
      <w:tr w:rsidR="002F0133" w:rsidRPr="000B4E2C" w14:paraId="74A6A86D" w14:textId="77777777" w:rsidTr="000B4E2C">
        <w:trPr>
          <w:cantSplit/>
        </w:trPr>
        <w:tc>
          <w:tcPr>
            <w:tcW w:w="0" w:type="auto"/>
            <w:shd w:val="clear" w:color="auto" w:fill="auto"/>
            <w:noWrap/>
            <w:hideMark/>
          </w:tcPr>
          <w:p w14:paraId="346FC7B5" w14:textId="77777777" w:rsidR="002F0133" w:rsidRPr="000B4E2C" w:rsidRDefault="002F0133" w:rsidP="008A7464">
            <w:pPr>
              <w:rPr>
                <w:lang w:eastAsia="en-GB"/>
              </w:rPr>
            </w:pPr>
            <w:r w:rsidRPr="000B4E2C">
              <w:rPr>
                <w:lang w:eastAsia="en-GB"/>
              </w:rPr>
              <w:t>Corbacıoglu</w:t>
            </w:r>
          </w:p>
        </w:tc>
        <w:tc>
          <w:tcPr>
            <w:tcW w:w="0" w:type="auto"/>
            <w:shd w:val="clear" w:color="auto" w:fill="auto"/>
            <w:noWrap/>
            <w:hideMark/>
          </w:tcPr>
          <w:p w14:paraId="3F4D40D9"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11BD935C" w14:textId="43496A9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0CAF1B0" w14:textId="77777777" w:rsidR="002F0133" w:rsidRPr="000B4E2C" w:rsidRDefault="002F0133" w:rsidP="008A7464">
            <w:pPr>
              <w:rPr>
                <w:highlight w:val="green"/>
                <w:lang w:eastAsia="en-GB"/>
              </w:rPr>
            </w:pPr>
            <w:r w:rsidRPr="000B4E2C">
              <w:rPr>
                <w:highlight w:val="green"/>
                <w:lang w:eastAsia="en-GB"/>
              </w:rPr>
              <w:t>S. K. Corbacioglu, Y. Cevik, E. Akinci, H. Uzunosmanoglu, S. Dagar, T. Safak, V. Oncul and M. Guvendi. Value of plasma neutrophil gelatinase-associated lipocalin (NGAL) in distinguishing between acute kidney injury (AKI) and chronic kidney disease (CKD). Turkish Journal of Emergency Medicine, 17(3), 85-88. [15290]</w:t>
            </w:r>
          </w:p>
        </w:tc>
      </w:tr>
      <w:tr w:rsidR="002F0133" w:rsidRPr="000B4E2C" w14:paraId="71829654" w14:textId="77777777" w:rsidTr="000B4E2C">
        <w:trPr>
          <w:cantSplit/>
        </w:trPr>
        <w:tc>
          <w:tcPr>
            <w:tcW w:w="0" w:type="auto"/>
            <w:shd w:val="clear" w:color="auto" w:fill="auto"/>
            <w:noWrap/>
            <w:hideMark/>
          </w:tcPr>
          <w:p w14:paraId="38986658" w14:textId="77777777" w:rsidR="002F0133" w:rsidRPr="000B4E2C" w:rsidRDefault="002F0133" w:rsidP="008A7464">
            <w:pPr>
              <w:rPr>
                <w:lang w:eastAsia="en-GB"/>
              </w:rPr>
            </w:pPr>
            <w:r w:rsidRPr="000B4E2C">
              <w:rPr>
                <w:lang w:eastAsia="en-GB"/>
              </w:rPr>
              <w:t>Cordova-Sanchez</w:t>
            </w:r>
          </w:p>
        </w:tc>
        <w:tc>
          <w:tcPr>
            <w:tcW w:w="0" w:type="auto"/>
            <w:shd w:val="clear" w:color="auto" w:fill="auto"/>
            <w:noWrap/>
            <w:hideMark/>
          </w:tcPr>
          <w:p w14:paraId="499B047A"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5B07933C" w14:textId="48C7DB5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CA8599C" w14:textId="77777777" w:rsidR="002F0133" w:rsidRPr="000B4E2C" w:rsidRDefault="002F0133" w:rsidP="008A7464">
            <w:pPr>
              <w:rPr>
                <w:highlight w:val="green"/>
                <w:lang w:eastAsia="en-GB"/>
              </w:rPr>
            </w:pPr>
            <w:r w:rsidRPr="000B4E2C">
              <w:rPr>
                <w:highlight w:val="green"/>
                <w:lang w:eastAsia="en-GB"/>
              </w:rPr>
              <w:t>B. M. Cordova-Sanchez, E. B. Ruiz-Garcia, A. Lopez-Yanez, M. Barragan-Dessavre, A. R. Bautista-Ocampo, A. Meneses-Garcia, A. Herrera-Gomez and S. A. Namendys-Silva. Plasma neutrophil gelatinase-associated lipocalin and factors related to acute kidney injury and mortality in critically ill cancer patients. Ecancermedicalscience, 13(903. [15291]</w:t>
            </w:r>
          </w:p>
        </w:tc>
      </w:tr>
      <w:tr w:rsidR="002F0133" w:rsidRPr="000B4E2C" w14:paraId="624F1DF8" w14:textId="77777777" w:rsidTr="000B4E2C">
        <w:trPr>
          <w:cantSplit/>
        </w:trPr>
        <w:tc>
          <w:tcPr>
            <w:tcW w:w="0" w:type="auto"/>
            <w:shd w:val="clear" w:color="auto" w:fill="auto"/>
            <w:noWrap/>
            <w:hideMark/>
          </w:tcPr>
          <w:p w14:paraId="39CDFA7E" w14:textId="77777777" w:rsidR="002F0133" w:rsidRPr="000B4E2C" w:rsidRDefault="002F0133" w:rsidP="008A7464">
            <w:pPr>
              <w:rPr>
                <w:lang w:eastAsia="en-GB"/>
              </w:rPr>
            </w:pPr>
            <w:r w:rsidRPr="000B4E2C">
              <w:rPr>
                <w:lang w:eastAsia="en-GB"/>
              </w:rPr>
              <w:t>Coupes</w:t>
            </w:r>
          </w:p>
        </w:tc>
        <w:tc>
          <w:tcPr>
            <w:tcW w:w="0" w:type="auto"/>
            <w:shd w:val="clear" w:color="auto" w:fill="auto"/>
            <w:noWrap/>
            <w:hideMark/>
          </w:tcPr>
          <w:p w14:paraId="2E0F95DB"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6F4C37C" w14:textId="27E9AA6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6FC261E" w14:textId="77777777" w:rsidR="002F0133" w:rsidRPr="000B4E2C" w:rsidRDefault="002F0133" w:rsidP="008A7464">
            <w:pPr>
              <w:rPr>
                <w:highlight w:val="green"/>
                <w:lang w:eastAsia="en-GB"/>
              </w:rPr>
            </w:pPr>
            <w:r w:rsidRPr="000B4E2C">
              <w:rPr>
                <w:highlight w:val="green"/>
                <w:lang w:eastAsia="en-GB"/>
              </w:rPr>
              <w:t>B. Coupes, D. G. de Freitas, S. A. Roberts, I. Read, H. Riad, P. E. Brenchley and M. L. Picton. rhErythropoietin-b as a tissue protective agent in kidney transplantation: a pilot randomized controlled trial. BMC research notes, 8(21. [15294]</w:t>
            </w:r>
          </w:p>
        </w:tc>
      </w:tr>
      <w:tr w:rsidR="002F0133" w:rsidRPr="000B4E2C" w14:paraId="3BCF09ED" w14:textId="77777777" w:rsidTr="000B4E2C">
        <w:trPr>
          <w:cantSplit/>
        </w:trPr>
        <w:tc>
          <w:tcPr>
            <w:tcW w:w="0" w:type="auto"/>
            <w:shd w:val="clear" w:color="auto" w:fill="auto"/>
            <w:noWrap/>
            <w:hideMark/>
          </w:tcPr>
          <w:p w14:paraId="103DA177" w14:textId="77777777" w:rsidR="002F0133" w:rsidRPr="000B4E2C" w:rsidRDefault="002F0133" w:rsidP="008A7464">
            <w:pPr>
              <w:rPr>
                <w:lang w:eastAsia="en-GB"/>
              </w:rPr>
            </w:pPr>
            <w:r w:rsidRPr="000B4E2C">
              <w:rPr>
                <w:lang w:eastAsia="en-GB"/>
              </w:rPr>
              <w:t>Cruz</w:t>
            </w:r>
          </w:p>
        </w:tc>
        <w:tc>
          <w:tcPr>
            <w:tcW w:w="0" w:type="auto"/>
            <w:shd w:val="clear" w:color="auto" w:fill="auto"/>
            <w:noWrap/>
            <w:hideMark/>
          </w:tcPr>
          <w:p w14:paraId="27681B10"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5FE2FD91"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22268BD4" w14:textId="77777777" w:rsidR="002F0133" w:rsidRPr="000B4E2C" w:rsidRDefault="002F0133" w:rsidP="008A7464">
            <w:pPr>
              <w:rPr>
                <w:highlight w:val="green"/>
                <w:lang w:eastAsia="en-GB"/>
              </w:rPr>
            </w:pPr>
            <w:r w:rsidRPr="000B4E2C">
              <w:rPr>
                <w:highlight w:val="green"/>
                <w:lang w:eastAsia="en-GB"/>
              </w:rPr>
              <w:t>D. N. Cruz, S. Soni and C. Ronco. NGAL and Cardiac Surgery-Associated Acute Kidney Injury. American Journal of Kidney Diseases, 53(3), 565-566. [15303]</w:t>
            </w:r>
          </w:p>
        </w:tc>
      </w:tr>
      <w:tr w:rsidR="002F0133" w:rsidRPr="000B4E2C" w14:paraId="019FE7A4" w14:textId="77777777" w:rsidTr="000B4E2C">
        <w:trPr>
          <w:cantSplit/>
        </w:trPr>
        <w:tc>
          <w:tcPr>
            <w:tcW w:w="0" w:type="auto"/>
            <w:shd w:val="clear" w:color="auto" w:fill="auto"/>
            <w:noWrap/>
            <w:hideMark/>
          </w:tcPr>
          <w:p w14:paraId="10BC8EA2" w14:textId="77777777" w:rsidR="002F0133" w:rsidRPr="000B4E2C" w:rsidRDefault="002F0133" w:rsidP="008A7464">
            <w:pPr>
              <w:rPr>
                <w:lang w:eastAsia="en-GB"/>
              </w:rPr>
            </w:pPr>
            <w:r w:rsidRPr="000B4E2C">
              <w:rPr>
                <w:lang w:eastAsia="en-GB"/>
              </w:rPr>
              <w:lastRenderedPageBreak/>
              <w:t>Cruz</w:t>
            </w:r>
          </w:p>
        </w:tc>
        <w:tc>
          <w:tcPr>
            <w:tcW w:w="0" w:type="auto"/>
            <w:shd w:val="clear" w:color="auto" w:fill="auto"/>
            <w:noWrap/>
            <w:hideMark/>
          </w:tcPr>
          <w:p w14:paraId="2CB8A5E8"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42C192F1"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172F0357" w14:textId="77777777" w:rsidR="002F0133" w:rsidRPr="000B4E2C" w:rsidRDefault="002F0133" w:rsidP="008A7464">
            <w:pPr>
              <w:rPr>
                <w:highlight w:val="green"/>
                <w:lang w:eastAsia="en-GB"/>
              </w:rPr>
            </w:pPr>
            <w:r w:rsidRPr="000B4E2C">
              <w:rPr>
                <w:highlight w:val="green"/>
                <w:lang w:eastAsia="en-GB"/>
              </w:rPr>
              <w:t>D. N. Cruz, S. Soni and C. Ronco. NGAL and cardiac surgery-associated acute kidney injury. American Journal of Kidney Diseases, 53(3), 565-6; author reply 566. [3953]</w:t>
            </w:r>
          </w:p>
        </w:tc>
      </w:tr>
      <w:tr w:rsidR="002F0133" w:rsidRPr="000B4E2C" w14:paraId="5FF6A230" w14:textId="77777777" w:rsidTr="000B4E2C">
        <w:trPr>
          <w:cantSplit/>
        </w:trPr>
        <w:tc>
          <w:tcPr>
            <w:tcW w:w="0" w:type="auto"/>
            <w:shd w:val="clear" w:color="auto" w:fill="auto"/>
            <w:noWrap/>
            <w:hideMark/>
          </w:tcPr>
          <w:p w14:paraId="6E86398B" w14:textId="77777777" w:rsidR="002F0133" w:rsidRPr="000B4E2C" w:rsidRDefault="002F0133" w:rsidP="008A7464">
            <w:pPr>
              <w:rPr>
                <w:lang w:eastAsia="en-GB"/>
              </w:rPr>
            </w:pPr>
            <w:r w:rsidRPr="000B4E2C">
              <w:rPr>
                <w:lang w:eastAsia="en-GB"/>
              </w:rPr>
              <w:t>Cruz</w:t>
            </w:r>
          </w:p>
        </w:tc>
        <w:tc>
          <w:tcPr>
            <w:tcW w:w="0" w:type="auto"/>
            <w:shd w:val="clear" w:color="auto" w:fill="auto"/>
            <w:noWrap/>
            <w:hideMark/>
          </w:tcPr>
          <w:p w14:paraId="2E5A87D4"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62199878" w14:textId="1A4E1471" w:rsidR="002F0133" w:rsidRPr="000B4E2C" w:rsidRDefault="002F0133" w:rsidP="008A7464">
            <w:pPr>
              <w:rPr>
                <w:lang w:eastAsia="en-GB"/>
              </w:rPr>
            </w:pPr>
            <w:r w:rsidRPr="000B4E2C">
              <w:rPr>
                <w:lang w:eastAsia="en-GB"/>
              </w:rPr>
              <w:t>Systematic review</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0AFB263D" w14:textId="77777777" w:rsidR="002F0133" w:rsidRPr="000B4E2C" w:rsidRDefault="002F0133" w:rsidP="008A7464">
            <w:pPr>
              <w:rPr>
                <w:highlight w:val="green"/>
                <w:lang w:eastAsia="en-GB"/>
              </w:rPr>
            </w:pPr>
            <w:r w:rsidRPr="000B4E2C">
              <w:rPr>
                <w:highlight w:val="green"/>
                <w:lang w:eastAsia="en-GB"/>
              </w:rPr>
              <w:t>D. N. Cruz, S. Gaiao, A. Maisel, C. Ronco and P. Devarajan. Neutrophil gelatinase-associated lipocalin as a biomarker of cardiovascular disease: A systematic review. Clinical Chemistry and Laboratory Medicine, 50(9), 1533-1545. [15298]</w:t>
            </w:r>
          </w:p>
        </w:tc>
      </w:tr>
      <w:tr w:rsidR="002F0133" w:rsidRPr="000B4E2C" w14:paraId="4BC0FB49" w14:textId="77777777" w:rsidTr="000B4E2C">
        <w:trPr>
          <w:cantSplit/>
        </w:trPr>
        <w:tc>
          <w:tcPr>
            <w:tcW w:w="0" w:type="auto"/>
            <w:shd w:val="clear" w:color="auto" w:fill="auto"/>
            <w:noWrap/>
            <w:hideMark/>
          </w:tcPr>
          <w:p w14:paraId="13B8F5D7" w14:textId="77777777" w:rsidR="002F0133" w:rsidRPr="000B4E2C" w:rsidRDefault="002F0133" w:rsidP="008A7464">
            <w:pPr>
              <w:rPr>
                <w:lang w:eastAsia="en-GB"/>
              </w:rPr>
            </w:pPr>
            <w:r w:rsidRPr="000B4E2C">
              <w:rPr>
                <w:lang w:eastAsia="en-GB"/>
              </w:rPr>
              <w:t>Cruz</w:t>
            </w:r>
          </w:p>
        </w:tc>
        <w:tc>
          <w:tcPr>
            <w:tcW w:w="0" w:type="auto"/>
            <w:shd w:val="clear" w:color="auto" w:fill="auto"/>
            <w:noWrap/>
            <w:hideMark/>
          </w:tcPr>
          <w:p w14:paraId="39BBE9E2"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79086674"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524F6ACC" w14:textId="77777777" w:rsidR="002F0133" w:rsidRPr="000B4E2C" w:rsidRDefault="002F0133" w:rsidP="008A7464">
            <w:pPr>
              <w:rPr>
                <w:highlight w:val="green"/>
                <w:lang w:eastAsia="en-GB"/>
              </w:rPr>
            </w:pPr>
            <w:r w:rsidRPr="000B4E2C">
              <w:rPr>
                <w:highlight w:val="green"/>
                <w:lang w:eastAsia="en-GB"/>
              </w:rPr>
              <w:t>D. N. Cruz, M. De Cal, F. Garzotto, M. A. Perazella, P. Lentini, V. Corradi, P. Piccinni and C. Ronco. Plasma neutrophil gelatinase-associated lipocalin is an early biomarker for acute kidney injury in an adult ICU population. Intensive Care Medicine, 36(3), 444-451. [15300]</w:t>
            </w:r>
          </w:p>
        </w:tc>
      </w:tr>
      <w:tr w:rsidR="002F0133" w:rsidRPr="000B4E2C" w14:paraId="72FB3850" w14:textId="77777777" w:rsidTr="000B4E2C">
        <w:trPr>
          <w:cantSplit/>
        </w:trPr>
        <w:tc>
          <w:tcPr>
            <w:tcW w:w="0" w:type="auto"/>
            <w:shd w:val="clear" w:color="auto" w:fill="auto"/>
            <w:noWrap/>
            <w:hideMark/>
          </w:tcPr>
          <w:p w14:paraId="4574FDEE" w14:textId="77777777" w:rsidR="002F0133" w:rsidRPr="000B4E2C" w:rsidRDefault="002F0133" w:rsidP="008A7464">
            <w:pPr>
              <w:rPr>
                <w:lang w:eastAsia="en-GB"/>
              </w:rPr>
            </w:pPr>
            <w:r w:rsidRPr="000B4E2C">
              <w:rPr>
                <w:lang w:eastAsia="en-GB"/>
              </w:rPr>
              <w:t>Cruz</w:t>
            </w:r>
          </w:p>
        </w:tc>
        <w:tc>
          <w:tcPr>
            <w:tcW w:w="0" w:type="auto"/>
            <w:shd w:val="clear" w:color="auto" w:fill="auto"/>
            <w:noWrap/>
            <w:hideMark/>
          </w:tcPr>
          <w:p w14:paraId="343E6835"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9307D70" w14:textId="22F2380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44916C4" w14:textId="77777777" w:rsidR="002F0133" w:rsidRPr="000B4E2C" w:rsidRDefault="002F0133" w:rsidP="008A7464">
            <w:pPr>
              <w:rPr>
                <w:highlight w:val="green"/>
                <w:lang w:eastAsia="en-GB"/>
              </w:rPr>
            </w:pPr>
            <w:r w:rsidRPr="000B4E2C">
              <w:rPr>
                <w:highlight w:val="green"/>
                <w:lang w:eastAsia="en-GB"/>
              </w:rPr>
              <w:t>D. N. Cruz, G. M. Virzi, A. Brocca, C. Ronco and D. Giavarina. A comparison of three commercial platforms for urinary NGAL in critically ill adults. Clinical Chemistry and Laboratory Medicine, 54(2), 353-362. [15297]</w:t>
            </w:r>
          </w:p>
        </w:tc>
      </w:tr>
      <w:tr w:rsidR="002F0133" w:rsidRPr="000B4E2C" w14:paraId="52EABFE0" w14:textId="77777777" w:rsidTr="000B4E2C">
        <w:trPr>
          <w:cantSplit/>
        </w:trPr>
        <w:tc>
          <w:tcPr>
            <w:tcW w:w="0" w:type="auto"/>
            <w:shd w:val="clear" w:color="auto" w:fill="auto"/>
            <w:noWrap/>
            <w:hideMark/>
          </w:tcPr>
          <w:p w14:paraId="2AAC5079" w14:textId="77777777" w:rsidR="002F0133" w:rsidRPr="000B4E2C" w:rsidRDefault="002F0133" w:rsidP="008A7464">
            <w:pPr>
              <w:rPr>
                <w:lang w:eastAsia="en-GB"/>
              </w:rPr>
            </w:pPr>
            <w:r w:rsidRPr="000B4E2C">
              <w:rPr>
                <w:lang w:eastAsia="en-GB"/>
              </w:rPr>
              <w:t>Cuartero</w:t>
            </w:r>
          </w:p>
        </w:tc>
        <w:tc>
          <w:tcPr>
            <w:tcW w:w="0" w:type="auto"/>
            <w:shd w:val="clear" w:color="auto" w:fill="auto"/>
            <w:noWrap/>
            <w:hideMark/>
          </w:tcPr>
          <w:p w14:paraId="2F97EBBA"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23B1A21" w14:textId="3576AA3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06662D7" w14:textId="77777777" w:rsidR="002F0133" w:rsidRPr="000B4E2C" w:rsidRDefault="002F0133" w:rsidP="008A7464">
            <w:pPr>
              <w:rPr>
                <w:highlight w:val="green"/>
                <w:lang w:eastAsia="en-GB"/>
              </w:rPr>
            </w:pPr>
            <w:r w:rsidRPr="000B4E2C">
              <w:rPr>
                <w:highlight w:val="green"/>
                <w:lang w:eastAsia="en-GB"/>
              </w:rPr>
              <w:t>M. Cuartero, J. Ballus, J. Sabater, X. Perez, N. Nin, J. Ordonez-Llanos and A. J. Betbese. Cell-cycle arrest biomarkers in urine to predict acute kidney injury in septic and non-septic critically ill patients. Annals of Intensive Care, 7(1), 92. [15305]</w:t>
            </w:r>
          </w:p>
        </w:tc>
      </w:tr>
      <w:tr w:rsidR="002F0133" w:rsidRPr="000B4E2C" w14:paraId="01A06129" w14:textId="77777777" w:rsidTr="000B4E2C">
        <w:trPr>
          <w:cantSplit/>
        </w:trPr>
        <w:tc>
          <w:tcPr>
            <w:tcW w:w="0" w:type="auto"/>
            <w:shd w:val="clear" w:color="auto" w:fill="auto"/>
            <w:noWrap/>
            <w:hideMark/>
          </w:tcPr>
          <w:p w14:paraId="12CFD230" w14:textId="77777777" w:rsidR="002F0133" w:rsidRPr="000B4E2C" w:rsidRDefault="002F0133" w:rsidP="008A7464">
            <w:pPr>
              <w:rPr>
                <w:lang w:eastAsia="en-GB"/>
              </w:rPr>
            </w:pPr>
            <w:r w:rsidRPr="000B4E2C">
              <w:rPr>
                <w:lang w:eastAsia="en-GB"/>
              </w:rPr>
              <w:t>Cullaro</w:t>
            </w:r>
          </w:p>
        </w:tc>
        <w:tc>
          <w:tcPr>
            <w:tcW w:w="0" w:type="auto"/>
            <w:shd w:val="clear" w:color="auto" w:fill="auto"/>
            <w:noWrap/>
            <w:hideMark/>
          </w:tcPr>
          <w:p w14:paraId="49BF3ECC"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8D8FD43"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4778D56C" w14:textId="77777777" w:rsidR="002F0133" w:rsidRPr="000B4E2C" w:rsidRDefault="002F0133" w:rsidP="008A7464">
            <w:pPr>
              <w:rPr>
                <w:highlight w:val="green"/>
                <w:lang w:eastAsia="en-GB"/>
              </w:rPr>
            </w:pPr>
            <w:r w:rsidRPr="000B4E2C">
              <w:rPr>
                <w:highlight w:val="green"/>
                <w:lang w:eastAsia="en-GB"/>
              </w:rPr>
              <w:t>G. Cullaro, G. Kim, M. R. Pereira, R. S. Brown and E. C. Verna. Ascites Neutrophil Gelatinase-Associated Lipocalin Identifies Spontaneous Bacterial Peritonitis and Predicts Mortality in Hospitalized Patients with Cirrhosis. Digestive Diseases and Sciences, 62(12), 3487-3494. [15308]</w:t>
            </w:r>
          </w:p>
        </w:tc>
      </w:tr>
      <w:tr w:rsidR="002F0133" w:rsidRPr="000B4E2C" w14:paraId="0CEC78A9" w14:textId="77777777" w:rsidTr="000B4E2C">
        <w:trPr>
          <w:cantSplit/>
        </w:trPr>
        <w:tc>
          <w:tcPr>
            <w:tcW w:w="0" w:type="auto"/>
            <w:shd w:val="clear" w:color="auto" w:fill="auto"/>
            <w:noWrap/>
            <w:hideMark/>
          </w:tcPr>
          <w:p w14:paraId="00BC1BF8" w14:textId="77777777" w:rsidR="002F0133" w:rsidRPr="000B4E2C" w:rsidRDefault="002F0133" w:rsidP="008A7464">
            <w:pPr>
              <w:rPr>
                <w:lang w:eastAsia="en-GB"/>
              </w:rPr>
            </w:pPr>
            <w:r w:rsidRPr="000B4E2C">
              <w:rPr>
                <w:lang w:eastAsia="en-GB"/>
              </w:rPr>
              <w:t>Cullaro</w:t>
            </w:r>
          </w:p>
        </w:tc>
        <w:tc>
          <w:tcPr>
            <w:tcW w:w="0" w:type="auto"/>
            <w:shd w:val="clear" w:color="auto" w:fill="auto"/>
            <w:noWrap/>
            <w:hideMark/>
          </w:tcPr>
          <w:p w14:paraId="4B89A3CE"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A5DE957" w14:textId="59F0CE1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FCD957A" w14:textId="77777777" w:rsidR="002F0133" w:rsidRPr="000B4E2C" w:rsidRDefault="002F0133" w:rsidP="008A7464">
            <w:pPr>
              <w:rPr>
                <w:highlight w:val="green"/>
                <w:lang w:eastAsia="en-GB"/>
              </w:rPr>
            </w:pPr>
            <w:r w:rsidRPr="000B4E2C">
              <w:rPr>
                <w:highlight w:val="green"/>
                <w:lang w:eastAsia="en-GB"/>
              </w:rPr>
              <w:t>G. Cullaro, J. F. Pisa, R. S. Brown, G. Wagener and E. C. Verna. Early Postoperative Neutrophil Gelatinase-Associated Lipocalin Predicts the Development of Chronic Kidney Disease after Liver Transplantation. Transplantation, 102(5), 809-815. [15307]</w:t>
            </w:r>
          </w:p>
        </w:tc>
      </w:tr>
      <w:tr w:rsidR="002F0133" w:rsidRPr="000B4E2C" w14:paraId="581DB087" w14:textId="77777777" w:rsidTr="000B4E2C">
        <w:trPr>
          <w:cantSplit/>
        </w:trPr>
        <w:tc>
          <w:tcPr>
            <w:tcW w:w="0" w:type="auto"/>
            <w:shd w:val="clear" w:color="auto" w:fill="auto"/>
            <w:noWrap/>
            <w:hideMark/>
          </w:tcPr>
          <w:p w14:paraId="66DDB14D" w14:textId="77777777" w:rsidR="002F0133" w:rsidRPr="000B4E2C" w:rsidRDefault="002F0133" w:rsidP="008A7464">
            <w:pPr>
              <w:rPr>
                <w:lang w:eastAsia="en-GB"/>
              </w:rPr>
            </w:pPr>
            <w:r w:rsidRPr="000B4E2C">
              <w:rPr>
                <w:lang w:eastAsia="en-GB"/>
              </w:rPr>
              <w:t>da Rocha</w:t>
            </w:r>
          </w:p>
        </w:tc>
        <w:tc>
          <w:tcPr>
            <w:tcW w:w="0" w:type="auto"/>
            <w:shd w:val="clear" w:color="auto" w:fill="auto"/>
            <w:noWrap/>
            <w:hideMark/>
          </w:tcPr>
          <w:p w14:paraId="61E7C2DE"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32BAE12" w14:textId="085815D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DC19FD7" w14:textId="77777777" w:rsidR="002F0133" w:rsidRPr="000B4E2C" w:rsidRDefault="002F0133" w:rsidP="008A7464">
            <w:pPr>
              <w:rPr>
                <w:highlight w:val="green"/>
                <w:lang w:eastAsia="en-GB"/>
              </w:rPr>
            </w:pPr>
            <w:r w:rsidRPr="000B4E2C">
              <w:rPr>
                <w:highlight w:val="green"/>
                <w:lang w:eastAsia="en-GB"/>
              </w:rPr>
              <w:t>E. P. da Rocha, L. G. Yokota, B. M. Sampaio, K. Z. C. Eid, D. B. Dias, F. M. de Freitas, A. L. Balbi and D. Ponce. Urinary neutrophil gelatinase-associated lipocalin is excellent predictor of acute kidney injury in septic elderly patients. Aging and Disease, 9(2), 182-191. [15312]</w:t>
            </w:r>
          </w:p>
        </w:tc>
      </w:tr>
      <w:tr w:rsidR="002F0133" w:rsidRPr="000B4E2C" w14:paraId="15B4CC97" w14:textId="77777777" w:rsidTr="000B4E2C">
        <w:trPr>
          <w:cantSplit/>
        </w:trPr>
        <w:tc>
          <w:tcPr>
            <w:tcW w:w="0" w:type="auto"/>
            <w:shd w:val="clear" w:color="auto" w:fill="auto"/>
            <w:noWrap/>
            <w:hideMark/>
          </w:tcPr>
          <w:p w14:paraId="060A1871" w14:textId="77777777" w:rsidR="002F0133" w:rsidRPr="000B4E2C" w:rsidRDefault="002F0133" w:rsidP="008A7464">
            <w:pPr>
              <w:rPr>
                <w:lang w:eastAsia="en-GB"/>
              </w:rPr>
            </w:pPr>
            <w:r w:rsidRPr="000B4E2C">
              <w:rPr>
                <w:lang w:eastAsia="en-GB"/>
              </w:rPr>
              <w:t>Daggulli</w:t>
            </w:r>
          </w:p>
        </w:tc>
        <w:tc>
          <w:tcPr>
            <w:tcW w:w="0" w:type="auto"/>
            <w:shd w:val="clear" w:color="auto" w:fill="auto"/>
            <w:noWrap/>
            <w:hideMark/>
          </w:tcPr>
          <w:p w14:paraId="4C586205"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5B531C7" w14:textId="0442335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343A8F0" w14:textId="77777777" w:rsidR="002F0133" w:rsidRPr="000B4E2C" w:rsidRDefault="002F0133" w:rsidP="008A7464">
            <w:pPr>
              <w:rPr>
                <w:highlight w:val="green"/>
                <w:lang w:eastAsia="en-GB"/>
              </w:rPr>
            </w:pPr>
            <w:r w:rsidRPr="000B4E2C">
              <w:rPr>
                <w:highlight w:val="green"/>
                <w:lang w:eastAsia="en-GB"/>
              </w:rPr>
              <w:t>M. Daggulli, M. M. Utangac, O. Dede, M. N. Bodakci, N. K. Hatipoglu, N. Penbegul, A. A. Sancaktutar, Y. Bozkurt and H. Soylemez. Potential biomarkers for the early detection of acute kidney injury after percutaneous nephrolithotripsy. Renal Failure, 38(1), 151-156. [15314]</w:t>
            </w:r>
          </w:p>
        </w:tc>
      </w:tr>
      <w:tr w:rsidR="002F0133" w:rsidRPr="000B4E2C" w14:paraId="1CA261C3" w14:textId="77777777" w:rsidTr="000B4E2C">
        <w:trPr>
          <w:cantSplit/>
        </w:trPr>
        <w:tc>
          <w:tcPr>
            <w:tcW w:w="0" w:type="auto"/>
            <w:shd w:val="clear" w:color="auto" w:fill="auto"/>
            <w:noWrap/>
            <w:hideMark/>
          </w:tcPr>
          <w:p w14:paraId="541988AF" w14:textId="77777777" w:rsidR="002F0133" w:rsidRPr="000B4E2C" w:rsidRDefault="002F0133" w:rsidP="008A7464">
            <w:pPr>
              <w:rPr>
                <w:lang w:eastAsia="en-GB"/>
              </w:rPr>
            </w:pPr>
            <w:r w:rsidRPr="000B4E2C">
              <w:rPr>
                <w:lang w:eastAsia="en-GB"/>
              </w:rPr>
              <w:t>Dahlén</w:t>
            </w:r>
          </w:p>
        </w:tc>
        <w:tc>
          <w:tcPr>
            <w:tcW w:w="0" w:type="auto"/>
            <w:shd w:val="clear" w:color="auto" w:fill="auto"/>
            <w:noWrap/>
            <w:hideMark/>
          </w:tcPr>
          <w:p w14:paraId="729D7484" w14:textId="77777777" w:rsidR="002F0133" w:rsidRPr="000B4E2C" w:rsidRDefault="002F0133" w:rsidP="008A7464">
            <w:pPr>
              <w:jc w:val="center"/>
              <w:rPr>
                <w:lang w:eastAsia="en-GB"/>
              </w:rPr>
            </w:pPr>
            <w:r w:rsidRPr="000B4E2C">
              <w:rPr>
                <w:lang w:eastAsia="en-GB"/>
              </w:rPr>
              <w:t>2001</w:t>
            </w:r>
          </w:p>
        </w:tc>
        <w:tc>
          <w:tcPr>
            <w:tcW w:w="0" w:type="auto"/>
            <w:shd w:val="clear" w:color="auto" w:fill="auto"/>
            <w:noWrap/>
            <w:hideMark/>
          </w:tcPr>
          <w:p w14:paraId="1D8BEF14" w14:textId="4140214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C5FA750" w14:textId="77777777" w:rsidR="002F0133" w:rsidRPr="000B4E2C" w:rsidRDefault="002F0133" w:rsidP="008A7464">
            <w:pPr>
              <w:rPr>
                <w:highlight w:val="green"/>
                <w:lang w:eastAsia="en-GB"/>
              </w:rPr>
            </w:pPr>
            <w:r w:rsidRPr="000B4E2C">
              <w:rPr>
                <w:highlight w:val="green"/>
                <w:lang w:eastAsia="en-GB"/>
              </w:rPr>
              <w:t>I. Dahlén, C. Janson, E. Björnsson, G. Stålenheim, C. G. Peterson and P. Venge. Changes in inflammatory markers following treatment of acute exacerbations of obstructive pulmonary disease. Respiratory medicine, 95(11), 891â€897. [4656]</w:t>
            </w:r>
          </w:p>
        </w:tc>
      </w:tr>
      <w:tr w:rsidR="002F0133" w:rsidRPr="000B4E2C" w14:paraId="55DA9CDE" w14:textId="77777777" w:rsidTr="000B4E2C">
        <w:trPr>
          <w:cantSplit/>
        </w:trPr>
        <w:tc>
          <w:tcPr>
            <w:tcW w:w="0" w:type="auto"/>
            <w:shd w:val="clear" w:color="auto" w:fill="auto"/>
            <w:noWrap/>
            <w:hideMark/>
          </w:tcPr>
          <w:p w14:paraId="1C8D2413" w14:textId="77777777" w:rsidR="002F0133" w:rsidRPr="000B4E2C" w:rsidRDefault="002F0133" w:rsidP="008A7464">
            <w:pPr>
              <w:rPr>
                <w:lang w:eastAsia="en-GB"/>
              </w:rPr>
            </w:pPr>
            <w:r w:rsidRPr="000B4E2C">
              <w:rPr>
                <w:lang w:eastAsia="en-GB"/>
              </w:rPr>
              <w:t>Dai</w:t>
            </w:r>
          </w:p>
        </w:tc>
        <w:tc>
          <w:tcPr>
            <w:tcW w:w="0" w:type="auto"/>
            <w:shd w:val="clear" w:color="auto" w:fill="auto"/>
            <w:noWrap/>
            <w:hideMark/>
          </w:tcPr>
          <w:p w14:paraId="6DADA326"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3958D620"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201B6411" w14:textId="77777777" w:rsidR="002F0133" w:rsidRPr="000B4E2C" w:rsidRDefault="002F0133" w:rsidP="008A7464">
            <w:pPr>
              <w:rPr>
                <w:highlight w:val="green"/>
                <w:lang w:eastAsia="en-GB"/>
              </w:rPr>
            </w:pPr>
            <w:r w:rsidRPr="000B4E2C">
              <w:rPr>
                <w:highlight w:val="green"/>
                <w:lang w:eastAsia="en-GB"/>
              </w:rPr>
              <w:t>X. Dai, Z. Zeng, C. Fu, S. Zhang, Y. Cai and Z. Chen. Diagnostic value of neutrophil gelatinase-associated lipocalin, cystatin C, and soluble triggering receptor expressed on myeloid cells-1 in critically ill patients with sepsis-associated acute kidney injury. Critical Care, 19(1), 223. [15317]</w:t>
            </w:r>
          </w:p>
        </w:tc>
      </w:tr>
      <w:tr w:rsidR="002F0133" w:rsidRPr="000B4E2C" w14:paraId="68C9701A" w14:textId="77777777" w:rsidTr="000B4E2C">
        <w:trPr>
          <w:cantSplit/>
        </w:trPr>
        <w:tc>
          <w:tcPr>
            <w:tcW w:w="0" w:type="auto"/>
            <w:shd w:val="clear" w:color="auto" w:fill="auto"/>
            <w:noWrap/>
            <w:hideMark/>
          </w:tcPr>
          <w:p w14:paraId="3EC0CF6F" w14:textId="77777777" w:rsidR="002F0133" w:rsidRPr="000B4E2C" w:rsidRDefault="002F0133" w:rsidP="008A7464">
            <w:pPr>
              <w:rPr>
                <w:lang w:eastAsia="en-GB"/>
              </w:rPr>
            </w:pPr>
            <w:r w:rsidRPr="000B4E2C">
              <w:rPr>
                <w:lang w:eastAsia="en-GB"/>
              </w:rPr>
              <w:t>Dai</w:t>
            </w:r>
          </w:p>
        </w:tc>
        <w:tc>
          <w:tcPr>
            <w:tcW w:w="0" w:type="auto"/>
            <w:shd w:val="clear" w:color="auto" w:fill="auto"/>
            <w:noWrap/>
            <w:hideMark/>
          </w:tcPr>
          <w:p w14:paraId="05E2A68D"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31C1ECD" w14:textId="2B55494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8D6856D" w14:textId="77777777" w:rsidR="002F0133" w:rsidRPr="000B4E2C" w:rsidRDefault="002F0133" w:rsidP="008A7464">
            <w:pPr>
              <w:rPr>
                <w:highlight w:val="green"/>
                <w:lang w:eastAsia="en-GB"/>
              </w:rPr>
            </w:pPr>
            <w:r w:rsidRPr="000B4E2C">
              <w:rPr>
                <w:highlight w:val="green"/>
                <w:lang w:eastAsia="en-GB"/>
              </w:rPr>
              <w:t>X. Dai, T. Li, Z. Zeng, C. Fu, S. Wang, Y. Cai and Z. Chen. The effect of continuous venovenous hemofiltration on neutrophil gelatinase-associated lipocalin plasma levels in patients with septic acute kidney injury. BMC nephrology, 17(1), 154. [15315]</w:t>
            </w:r>
          </w:p>
        </w:tc>
      </w:tr>
      <w:tr w:rsidR="002F0133" w:rsidRPr="000B4E2C" w14:paraId="6F4AE2D4" w14:textId="77777777" w:rsidTr="000B4E2C">
        <w:trPr>
          <w:cantSplit/>
        </w:trPr>
        <w:tc>
          <w:tcPr>
            <w:tcW w:w="0" w:type="auto"/>
            <w:shd w:val="clear" w:color="auto" w:fill="auto"/>
            <w:noWrap/>
            <w:hideMark/>
          </w:tcPr>
          <w:p w14:paraId="12DE768E" w14:textId="77777777" w:rsidR="002F0133" w:rsidRPr="000B4E2C" w:rsidRDefault="002F0133" w:rsidP="008A7464">
            <w:pPr>
              <w:rPr>
                <w:lang w:eastAsia="en-GB"/>
              </w:rPr>
            </w:pPr>
            <w:r w:rsidRPr="000B4E2C">
              <w:rPr>
                <w:lang w:eastAsia="en-GB"/>
              </w:rPr>
              <w:lastRenderedPageBreak/>
              <w:t>Damman</w:t>
            </w:r>
          </w:p>
        </w:tc>
        <w:tc>
          <w:tcPr>
            <w:tcW w:w="0" w:type="auto"/>
            <w:shd w:val="clear" w:color="auto" w:fill="auto"/>
            <w:noWrap/>
            <w:hideMark/>
          </w:tcPr>
          <w:p w14:paraId="7B76E8A5"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1BC7F196"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08BD3D8" w14:textId="19BC3796" w:rsidR="002F0133" w:rsidRPr="000B4E2C" w:rsidRDefault="002F0133" w:rsidP="008A7464">
            <w:pPr>
              <w:rPr>
                <w:highlight w:val="green"/>
                <w:lang w:eastAsia="en-GB"/>
              </w:rPr>
            </w:pPr>
            <w:r w:rsidRPr="000B4E2C">
              <w:rPr>
                <w:highlight w:val="green"/>
                <w:lang w:eastAsia="en-GB"/>
              </w:rPr>
              <w:t>K. Damman, M. A. E. Valente, D. J. van Veldhuisen, J. G. F. Cleland, C. M. O</w:t>
            </w:r>
            <w:r w:rsidR="0072128A" w:rsidRPr="000B4E2C">
              <w:rPr>
                <w:color w:val="00B0F0"/>
                <w:highlight w:val="green"/>
                <w:lang w:eastAsia="en-GB"/>
              </w:rPr>
              <w:t>’</w:t>
            </w:r>
            <w:r w:rsidRPr="000B4E2C">
              <w:rPr>
                <w:highlight w:val="green"/>
                <w:lang w:eastAsia="en-GB"/>
              </w:rPr>
              <w:t>Connor, M. Metra, P. Ponikowski, G. Cotter, B. Davison, M. M. Givertz, D. M. Bloomfield, H. L. Hillege and A. A. Voors. Plasma Neutrophil Gelatinase-Associated Lipocalin and Predicting Clinically Relevant Worsening Renal Function in Acute Heart Failure. International journal of molecular sciences, 18(7), . [15318]</w:t>
            </w:r>
          </w:p>
        </w:tc>
      </w:tr>
      <w:tr w:rsidR="002F0133" w:rsidRPr="000B4E2C" w14:paraId="066F4DF3" w14:textId="77777777" w:rsidTr="000B4E2C">
        <w:trPr>
          <w:cantSplit/>
        </w:trPr>
        <w:tc>
          <w:tcPr>
            <w:tcW w:w="0" w:type="auto"/>
            <w:shd w:val="clear" w:color="auto" w:fill="auto"/>
            <w:noWrap/>
            <w:hideMark/>
          </w:tcPr>
          <w:p w14:paraId="26ECC54B" w14:textId="77777777" w:rsidR="002F0133" w:rsidRPr="000B4E2C" w:rsidRDefault="002F0133" w:rsidP="008A7464">
            <w:pPr>
              <w:rPr>
                <w:lang w:eastAsia="en-GB"/>
              </w:rPr>
            </w:pPr>
            <w:r w:rsidRPr="000B4E2C">
              <w:rPr>
                <w:lang w:eastAsia="en-GB"/>
              </w:rPr>
              <w:t>Daniels</w:t>
            </w:r>
          </w:p>
        </w:tc>
        <w:tc>
          <w:tcPr>
            <w:tcW w:w="0" w:type="auto"/>
            <w:shd w:val="clear" w:color="auto" w:fill="auto"/>
            <w:noWrap/>
            <w:hideMark/>
          </w:tcPr>
          <w:p w14:paraId="6459A5D6"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5E3BE98B"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B7B5B6E" w14:textId="77777777" w:rsidR="002F0133" w:rsidRPr="000B4E2C" w:rsidRDefault="002F0133" w:rsidP="008A7464">
            <w:pPr>
              <w:rPr>
                <w:highlight w:val="green"/>
                <w:lang w:eastAsia="en-GB"/>
              </w:rPr>
            </w:pPr>
            <w:r w:rsidRPr="000B4E2C">
              <w:rPr>
                <w:highlight w:val="green"/>
                <w:lang w:eastAsia="en-GB"/>
              </w:rPr>
              <w:t>L. B. Daniels, E. Barrett-Connor, P. Clopton, G. A. Laughlin, J. H. Ix and A. S. Maisel. Plasma neutrophil gelatinase-associated lipocalin is independently associated with cardiovascular disease and mortality in community-dwelling older adults: The rancho bernardo study. Journal of the American College of Cardiology, 59(12), 1101-1109. [15319]</w:t>
            </w:r>
          </w:p>
        </w:tc>
      </w:tr>
      <w:tr w:rsidR="002F0133" w:rsidRPr="000B4E2C" w14:paraId="6F05FC32" w14:textId="77777777" w:rsidTr="000B4E2C">
        <w:trPr>
          <w:cantSplit/>
        </w:trPr>
        <w:tc>
          <w:tcPr>
            <w:tcW w:w="0" w:type="auto"/>
            <w:shd w:val="clear" w:color="auto" w:fill="auto"/>
            <w:noWrap/>
            <w:hideMark/>
          </w:tcPr>
          <w:p w14:paraId="770E2596" w14:textId="77777777" w:rsidR="002F0133" w:rsidRPr="000B4E2C" w:rsidRDefault="002F0133" w:rsidP="008A7464">
            <w:pPr>
              <w:rPr>
                <w:lang w:eastAsia="en-GB"/>
              </w:rPr>
            </w:pPr>
            <w:r w:rsidRPr="000B4E2C">
              <w:rPr>
                <w:lang w:eastAsia="en-GB"/>
              </w:rPr>
              <w:t>Daniels</w:t>
            </w:r>
          </w:p>
        </w:tc>
        <w:tc>
          <w:tcPr>
            <w:tcW w:w="0" w:type="auto"/>
            <w:shd w:val="clear" w:color="auto" w:fill="auto"/>
            <w:noWrap/>
            <w:hideMark/>
          </w:tcPr>
          <w:p w14:paraId="74C4E22D"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4025CDC3"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05537D99" w14:textId="77777777" w:rsidR="002F0133" w:rsidRPr="000B4E2C" w:rsidRDefault="002F0133" w:rsidP="008A7464">
            <w:pPr>
              <w:rPr>
                <w:highlight w:val="green"/>
                <w:lang w:eastAsia="en-GB"/>
              </w:rPr>
            </w:pPr>
            <w:r w:rsidRPr="000B4E2C">
              <w:rPr>
                <w:highlight w:val="green"/>
                <w:lang w:eastAsia="en-GB"/>
              </w:rPr>
              <w:t>R. C. Daniels and T. E. Bunchman. Is it the neutrophil gelatinase-associated lipocalin or the pediatricRIFLE?. Pediatric Critical Care Medicine, 13(6), 698. [15320]</w:t>
            </w:r>
          </w:p>
        </w:tc>
      </w:tr>
      <w:tr w:rsidR="002F0133" w:rsidRPr="000B4E2C" w14:paraId="6BEE3F66" w14:textId="77777777" w:rsidTr="000B4E2C">
        <w:trPr>
          <w:cantSplit/>
        </w:trPr>
        <w:tc>
          <w:tcPr>
            <w:tcW w:w="0" w:type="auto"/>
            <w:shd w:val="clear" w:color="auto" w:fill="auto"/>
            <w:noWrap/>
            <w:hideMark/>
          </w:tcPr>
          <w:p w14:paraId="53A8EB0C" w14:textId="77777777" w:rsidR="002F0133" w:rsidRPr="000B4E2C" w:rsidRDefault="002F0133" w:rsidP="008A7464">
            <w:pPr>
              <w:rPr>
                <w:lang w:eastAsia="en-GB"/>
              </w:rPr>
            </w:pPr>
            <w:r w:rsidRPr="000B4E2C">
              <w:rPr>
                <w:lang w:eastAsia="en-GB"/>
              </w:rPr>
              <w:t>Dankova</w:t>
            </w:r>
          </w:p>
        </w:tc>
        <w:tc>
          <w:tcPr>
            <w:tcW w:w="0" w:type="auto"/>
            <w:shd w:val="clear" w:color="auto" w:fill="auto"/>
            <w:noWrap/>
            <w:hideMark/>
          </w:tcPr>
          <w:p w14:paraId="124DFFF5"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5611040" w14:textId="39CDEB1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7B95493" w14:textId="77777777" w:rsidR="002F0133" w:rsidRPr="000B4E2C" w:rsidRDefault="002F0133" w:rsidP="008A7464">
            <w:pPr>
              <w:rPr>
                <w:highlight w:val="green"/>
                <w:lang w:eastAsia="en-GB"/>
              </w:rPr>
            </w:pPr>
            <w:r w:rsidRPr="000B4E2C">
              <w:rPr>
                <w:highlight w:val="green"/>
                <w:lang w:eastAsia="en-GB"/>
              </w:rPr>
              <w:t>M. Dankova, T. Pazmanova, V. Hricak, J. Gergel, V. Svobodova, B. Zitny, K. Danova, S. Remisova and P. Pontuch. Urinary NGAL as a predictor of acute kidney injury in patients with acute heart failure. Cardiology Letters, 25(1), 9-15. [15321]</w:t>
            </w:r>
          </w:p>
        </w:tc>
      </w:tr>
      <w:tr w:rsidR="002F0133" w:rsidRPr="000B4E2C" w14:paraId="1B1F8BDB" w14:textId="77777777" w:rsidTr="000B4E2C">
        <w:trPr>
          <w:cantSplit/>
        </w:trPr>
        <w:tc>
          <w:tcPr>
            <w:tcW w:w="0" w:type="auto"/>
            <w:shd w:val="clear" w:color="auto" w:fill="auto"/>
            <w:noWrap/>
            <w:hideMark/>
          </w:tcPr>
          <w:p w14:paraId="2E032E82" w14:textId="77777777" w:rsidR="002F0133" w:rsidRPr="000B4E2C" w:rsidRDefault="002F0133" w:rsidP="008A7464">
            <w:pPr>
              <w:rPr>
                <w:lang w:eastAsia="en-GB"/>
              </w:rPr>
            </w:pPr>
            <w:r w:rsidRPr="000B4E2C">
              <w:rPr>
                <w:lang w:eastAsia="en-GB"/>
              </w:rPr>
              <w:t>Dardashti</w:t>
            </w:r>
          </w:p>
        </w:tc>
        <w:tc>
          <w:tcPr>
            <w:tcW w:w="0" w:type="auto"/>
            <w:shd w:val="clear" w:color="auto" w:fill="auto"/>
            <w:noWrap/>
            <w:hideMark/>
          </w:tcPr>
          <w:p w14:paraId="4B1BEDD8"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9804F4A" w14:textId="5A4322A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A6E78DE" w14:textId="77777777" w:rsidR="002F0133" w:rsidRPr="000B4E2C" w:rsidRDefault="002F0133" w:rsidP="008A7464">
            <w:pPr>
              <w:rPr>
                <w:highlight w:val="green"/>
                <w:lang w:eastAsia="en-GB"/>
              </w:rPr>
            </w:pPr>
            <w:r w:rsidRPr="000B4E2C">
              <w:rPr>
                <w:highlight w:val="green"/>
                <w:lang w:eastAsia="en-GB"/>
              </w:rPr>
              <w:t>A. Dardashti, P. Ederoth, L. Algotsson, B. Bronden, E. Grins, M. Larsson, S. Nozohoor, G. Zinko and H. Bjursten. Erythropoietin and protection of renal function in cardiac surgery (the EPRICS trial). Anesthesiology, 121(3), 582-590. [15322]</w:t>
            </w:r>
          </w:p>
        </w:tc>
      </w:tr>
      <w:tr w:rsidR="002F0133" w:rsidRPr="000B4E2C" w14:paraId="1E66FCF7" w14:textId="77777777" w:rsidTr="000B4E2C">
        <w:trPr>
          <w:cantSplit/>
        </w:trPr>
        <w:tc>
          <w:tcPr>
            <w:tcW w:w="0" w:type="auto"/>
            <w:shd w:val="clear" w:color="auto" w:fill="auto"/>
            <w:noWrap/>
            <w:hideMark/>
          </w:tcPr>
          <w:p w14:paraId="244514AC" w14:textId="77777777" w:rsidR="002F0133" w:rsidRPr="000B4E2C" w:rsidRDefault="002F0133" w:rsidP="008A7464">
            <w:pPr>
              <w:rPr>
                <w:lang w:eastAsia="en-GB"/>
              </w:rPr>
            </w:pPr>
            <w:r w:rsidRPr="000B4E2C">
              <w:rPr>
                <w:lang w:eastAsia="en-GB"/>
              </w:rPr>
              <w:t>Darmon</w:t>
            </w:r>
          </w:p>
        </w:tc>
        <w:tc>
          <w:tcPr>
            <w:tcW w:w="0" w:type="auto"/>
            <w:shd w:val="clear" w:color="auto" w:fill="auto"/>
            <w:noWrap/>
            <w:hideMark/>
          </w:tcPr>
          <w:p w14:paraId="0936C23C"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14C630AC"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1245E4CB" w14:textId="77777777" w:rsidR="002F0133" w:rsidRPr="000B4E2C" w:rsidRDefault="002F0133" w:rsidP="008A7464">
            <w:pPr>
              <w:rPr>
                <w:highlight w:val="green"/>
                <w:lang w:eastAsia="en-GB"/>
              </w:rPr>
            </w:pPr>
            <w:r w:rsidRPr="000B4E2C">
              <w:rPr>
                <w:highlight w:val="green"/>
                <w:lang w:eastAsia="en-GB"/>
              </w:rPr>
              <w:t>M. Darmon, F. Gonzalez and F. Vincent. Limits of neutrophil gelatinase-associated lipocalin at intensive care unit admission for prediction of acute kidney injury. American Journal of Respiratory and Critical Care Medicine, 184(1), 142-143. [15324]</w:t>
            </w:r>
          </w:p>
        </w:tc>
      </w:tr>
      <w:tr w:rsidR="002F0133" w:rsidRPr="000B4E2C" w14:paraId="193B6081" w14:textId="77777777" w:rsidTr="000B4E2C">
        <w:trPr>
          <w:cantSplit/>
        </w:trPr>
        <w:tc>
          <w:tcPr>
            <w:tcW w:w="0" w:type="auto"/>
            <w:shd w:val="clear" w:color="auto" w:fill="auto"/>
            <w:noWrap/>
            <w:hideMark/>
          </w:tcPr>
          <w:p w14:paraId="70035290" w14:textId="77777777" w:rsidR="002F0133" w:rsidRPr="000B4E2C" w:rsidRDefault="002F0133" w:rsidP="008A7464">
            <w:pPr>
              <w:rPr>
                <w:lang w:eastAsia="en-GB"/>
              </w:rPr>
            </w:pPr>
            <w:r w:rsidRPr="000B4E2C">
              <w:rPr>
                <w:lang w:eastAsia="en-GB"/>
              </w:rPr>
              <w:t>Darmon</w:t>
            </w:r>
          </w:p>
        </w:tc>
        <w:tc>
          <w:tcPr>
            <w:tcW w:w="0" w:type="auto"/>
            <w:shd w:val="clear" w:color="auto" w:fill="auto"/>
            <w:noWrap/>
            <w:hideMark/>
          </w:tcPr>
          <w:p w14:paraId="4A835F6A"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2CF03E26"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178D0D13" w14:textId="0FD23133" w:rsidR="002F0133" w:rsidRPr="000B4E2C" w:rsidRDefault="002F0133" w:rsidP="008A7464">
            <w:pPr>
              <w:rPr>
                <w:highlight w:val="green"/>
                <w:lang w:eastAsia="en-GB"/>
              </w:rPr>
            </w:pPr>
            <w:r w:rsidRPr="000B4E2C">
              <w:rPr>
                <w:highlight w:val="green"/>
                <w:lang w:eastAsia="en-GB"/>
              </w:rPr>
              <w:t>M. Darmon, M. Ostermann and M. Joannidis. Predictions are difficult</w:t>
            </w:r>
            <w:r w:rsidR="000B4E2C" w:rsidRPr="000B4E2C">
              <w:rPr>
                <w:color w:val="00B0F0"/>
                <w:highlight w:val="green"/>
                <w:lang w:eastAsia="en-GB"/>
              </w:rPr>
              <w:t>. . .</w:t>
            </w:r>
            <w:r w:rsidRPr="000B4E2C">
              <w:rPr>
                <w:highlight w:val="green"/>
                <w:lang w:eastAsia="en-GB"/>
              </w:rPr>
              <w:t>especially about AKI. Intensive Care Medicine, 43(6), 932-934. [15323]</w:t>
            </w:r>
          </w:p>
        </w:tc>
      </w:tr>
      <w:tr w:rsidR="002F0133" w:rsidRPr="000B4E2C" w14:paraId="69BCC7AD" w14:textId="77777777" w:rsidTr="000B4E2C">
        <w:trPr>
          <w:cantSplit/>
        </w:trPr>
        <w:tc>
          <w:tcPr>
            <w:tcW w:w="0" w:type="auto"/>
            <w:shd w:val="clear" w:color="auto" w:fill="auto"/>
            <w:noWrap/>
            <w:hideMark/>
          </w:tcPr>
          <w:p w14:paraId="15F1FD19" w14:textId="77777777" w:rsidR="002F0133" w:rsidRPr="000B4E2C" w:rsidRDefault="002F0133" w:rsidP="008A7464">
            <w:pPr>
              <w:rPr>
                <w:lang w:eastAsia="en-GB"/>
              </w:rPr>
            </w:pPr>
            <w:r w:rsidRPr="000B4E2C">
              <w:rPr>
                <w:lang w:eastAsia="en-GB"/>
              </w:rPr>
              <w:t>Datzmann</w:t>
            </w:r>
          </w:p>
        </w:tc>
        <w:tc>
          <w:tcPr>
            <w:tcW w:w="0" w:type="auto"/>
            <w:shd w:val="clear" w:color="auto" w:fill="auto"/>
            <w:noWrap/>
            <w:hideMark/>
          </w:tcPr>
          <w:p w14:paraId="7F875F73"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0765C7E6" w14:textId="50B92D0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6B2859D" w14:textId="77777777" w:rsidR="002F0133" w:rsidRPr="000B4E2C" w:rsidRDefault="002F0133" w:rsidP="008A7464">
            <w:pPr>
              <w:rPr>
                <w:highlight w:val="green"/>
                <w:lang w:eastAsia="en-GB"/>
              </w:rPr>
            </w:pPr>
            <w:r w:rsidRPr="000B4E2C">
              <w:rPr>
                <w:highlight w:val="green"/>
                <w:lang w:eastAsia="en-GB"/>
              </w:rPr>
              <w:t>T. Datzmann, M. Hoenicka, H. Reinelt, A. Liebold and H. Gorki. Influence of 6% Hydroxyethyl Starch 130/0.4 Versus Crystalloid Solution on Structural Renal Damage Markers After Coronary Artery Bypass Grafting: A Post Hoc Subgroup Analysis of a Prospective Trial. Journal of Cardiothoracic and Vascular Anesthesia, 32(1), 205-211. [15326]</w:t>
            </w:r>
          </w:p>
        </w:tc>
      </w:tr>
      <w:tr w:rsidR="002F0133" w:rsidRPr="000B4E2C" w14:paraId="662B2F27" w14:textId="77777777" w:rsidTr="000B4E2C">
        <w:trPr>
          <w:cantSplit/>
        </w:trPr>
        <w:tc>
          <w:tcPr>
            <w:tcW w:w="0" w:type="auto"/>
            <w:shd w:val="clear" w:color="auto" w:fill="auto"/>
            <w:noWrap/>
            <w:hideMark/>
          </w:tcPr>
          <w:p w14:paraId="0A452A6B" w14:textId="77777777" w:rsidR="002F0133" w:rsidRPr="000B4E2C" w:rsidRDefault="002F0133" w:rsidP="008A7464">
            <w:pPr>
              <w:rPr>
                <w:lang w:eastAsia="en-GB"/>
              </w:rPr>
            </w:pPr>
            <w:r w:rsidRPr="000B4E2C">
              <w:rPr>
                <w:lang w:eastAsia="en-GB"/>
              </w:rPr>
              <w:t>Daubin</w:t>
            </w:r>
          </w:p>
        </w:tc>
        <w:tc>
          <w:tcPr>
            <w:tcW w:w="0" w:type="auto"/>
            <w:shd w:val="clear" w:color="auto" w:fill="auto"/>
            <w:noWrap/>
            <w:hideMark/>
          </w:tcPr>
          <w:p w14:paraId="1A78F3EF"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2D32DFFB"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13C776F4" w14:textId="77777777" w:rsidR="002F0133" w:rsidRPr="000B4E2C" w:rsidRDefault="002F0133" w:rsidP="008A7464">
            <w:pPr>
              <w:rPr>
                <w:highlight w:val="green"/>
                <w:lang w:eastAsia="en-GB"/>
              </w:rPr>
            </w:pPr>
            <w:r w:rsidRPr="000B4E2C">
              <w:rPr>
                <w:highlight w:val="green"/>
                <w:lang w:eastAsia="en-GB"/>
              </w:rPr>
              <w:t>D. Daubin, J. P. Cristol, A. M. Dupuy, N. Kuster, N. Besnard, L. Platon, A. Buzancais, V. Brunot, F. Garnier, O. Jonquet and K. Klouche. Urinary biomarkers IGFBP7 and TIMP-2 for the diagnostic assessment of transient and persistent acute kidney injury in critically Ill patients. PLoS ONE, 12(1), e0169674. [15327]</w:t>
            </w:r>
          </w:p>
        </w:tc>
      </w:tr>
      <w:tr w:rsidR="002F0133" w:rsidRPr="000B4E2C" w14:paraId="243E0C80" w14:textId="77777777" w:rsidTr="000B4E2C">
        <w:trPr>
          <w:cantSplit/>
        </w:trPr>
        <w:tc>
          <w:tcPr>
            <w:tcW w:w="0" w:type="auto"/>
            <w:shd w:val="clear" w:color="auto" w:fill="auto"/>
            <w:noWrap/>
            <w:hideMark/>
          </w:tcPr>
          <w:p w14:paraId="21BCD412" w14:textId="77777777" w:rsidR="002F0133" w:rsidRPr="000B4E2C" w:rsidRDefault="002F0133" w:rsidP="008A7464">
            <w:pPr>
              <w:rPr>
                <w:lang w:eastAsia="en-GB"/>
              </w:rPr>
            </w:pPr>
            <w:r w:rsidRPr="000B4E2C">
              <w:rPr>
                <w:lang w:eastAsia="en-GB"/>
              </w:rPr>
              <w:t>De Berardinis</w:t>
            </w:r>
          </w:p>
        </w:tc>
        <w:tc>
          <w:tcPr>
            <w:tcW w:w="0" w:type="auto"/>
            <w:shd w:val="clear" w:color="auto" w:fill="auto"/>
            <w:noWrap/>
            <w:hideMark/>
          </w:tcPr>
          <w:p w14:paraId="64207567"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4C44D978"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08579D66" w14:textId="77777777" w:rsidR="002F0133" w:rsidRPr="000B4E2C" w:rsidRDefault="002F0133" w:rsidP="008A7464">
            <w:pPr>
              <w:rPr>
                <w:highlight w:val="green"/>
                <w:lang w:eastAsia="en-GB"/>
              </w:rPr>
            </w:pPr>
            <w:r w:rsidRPr="000B4E2C">
              <w:rPr>
                <w:highlight w:val="green"/>
                <w:lang w:eastAsia="en-GB"/>
              </w:rPr>
              <w:t>B. De Berardinis, H. K. Gaggin, L. Magrini, A. Belcher, B. Zancla, A. Femia, M. Simon, S. Motiwala, A. Bhardwaj, B. A. Parry, J. T. Nagurney, C. Coudriou, M. Legrand, M. Sadoune, S. Di Somma, J. L. Januzzi, Jr. and G. Global Res Acute Conditions Team. Comparison between admission natriuretic peptides, NGAL and sST2 testing for the prediction of worsening renal function in patients with acutely decompensated heart failure. Clinical Chemistry and Laboratory Medicine, 53(4), 613-621. [18419]</w:t>
            </w:r>
          </w:p>
        </w:tc>
      </w:tr>
      <w:tr w:rsidR="002F0133" w:rsidRPr="000B4E2C" w14:paraId="6AFCF5DC" w14:textId="77777777" w:rsidTr="000B4E2C">
        <w:trPr>
          <w:cantSplit/>
        </w:trPr>
        <w:tc>
          <w:tcPr>
            <w:tcW w:w="0" w:type="auto"/>
            <w:shd w:val="clear" w:color="auto" w:fill="auto"/>
            <w:noWrap/>
            <w:hideMark/>
          </w:tcPr>
          <w:p w14:paraId="7B72580C" w14:textId="77777777" w:rsidR="002F0133" w:rsidRPr="000B4E2C" w:rsidRDefault="002F0133" w:rsidP="008A7464">
            <w:pPr>
              <w:rPr>
                <w:lang w:eastAsia="en-GB"/>
              </w:rPr>
            </w:pPr>
            <w:r w:rsidRPr="000B4E2C">
              <w:rPr>
                <w:lang w:eastAsia="en-GB"/>
              </w:rPr>
              <w:t>de Geus</w:t>
            </w:r>
          </w:p>
        </w:tc>
        <w:tc>
          <w:tcPr>
            <w:tcW w:w="0" w:type="auto"/>
            <w:shd w:val="clear" w:color="auto" w:fill="auto"/>
            <w:noWrap/>
            <w:hideMark/>
          </w:tcPr>
          <w:p w14:paraId="6CA8C47C"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2186BA44"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48A487DD" w14:textId="77777777" w:rsidR="002F0133" w:rsidRPr="000B4E2C" w:rsidRDefault="002F0133" w:rsidP="008A7464">
            <w:pPr>
              <w:rPr>
                <w:highlight w:val="green"/>
                <w:lang w:eastAsia="en-GB"/>
              </w:rPr>
            </w:pPr>
            <w:r w:rsidRPr="000B4E2C">
              <w:rPr>
                <w:highlight w:val="green"/>
                <w:lang w:val="da-DK" w:eastAsia="en-GB"/>
              </w:rPr>
              <w:t xml:space="preserve">H. R. H. de Geus, M. G. H. Betjes and J. Bakker. </w:t>
            </w:r>
            <w:r w:rsidRPr="000B4E2C">
              <w:rPr>
                <w:highlight w:val="green"/>
                <w:lang w:eastAsia="en-GB"/>
              </w:rPr>
              <w:t>Neutrophil gelatinase-associated lipocalin clearance during veno-venous continuous renal replacement therapy in critically ill patients. Intensive care medicine, 36(12), 2156-7. [15338]</w:t>
            </w:r>
          </w:p>
        </w:tc>
      </w:tr>
      <w:tr w:rsidR="002F0133" w:rsidRPr="000B4E2C" w14:paraId="6C3B6764" w14:textId="77777777" w:rsidTr="000B4E2C">
        <w:trPr>
          <w:cantSplit/>
        </w:trPr>
        <w:tc>
          <w:tcPr>
            <w:tcW w:w="0" w:type="auto"/>
            <w:shd w:val="clear" w:color="auto" w:fill="auto"/>
            <w:noWrap/>
            <w:hideMark/>
          </w:tcPr>
          <w:p w14:paraId="0570EB31" w14:textId="77777777" w:rsidR="002F0133" w:rsidRPr="000B4E2C" w:rsidRDefault="002F0133" w:rsidP="008A7464">
            <w:pPr>
              <w:rPr>
                <w:lang w:eastAsia="en-GB"/>
              </w:rPr>
            </w:pPr>
            <w:r w:rsidRPr="000B4E2C">
              <w:rPr>
                <w:lang w:eastAsia="en-GB"/>
              </w:rPr>
              <w:lastRenderedPageBreak/>
              <w:t>De Geus</w:t>
            </w:r>
          </w:p>
        </w:tc>
        <w:tc>
          <w:tcPr>
            <w:tcW w:w="0" w:type="auto"/>
            <w:shd w:val="clear" w:color="auto" w:fill="auto"/>
            <w:noWrap/>
            <w:hideMark/>
          </w:tcPr>
          <w:p w14:paraId="57FB6A6D"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632EB734"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12373D68" w14:textId="77777777" w:rsidR="002F0133" w:rsidRPr="000B4E2C" w:rsidRDefault="002F0133" w:rsidP="008A7464">
            <w:pPr>
              <w:rPr>
                <w:highlight w:val="green"/>
                <w:lang w:eastAsia="en-GB"/>
              </w:rPr>
            </w:pPr>
            <w:r w:rsidRPr="000B4E2C">
              <w:rPr>
                <w:highlight w:val="green"/>
                <w:lang w:val="da-DK" w:eastAsia="en-GB"/>
              </w:rPr>
              <w:t xml:space="preserve">H. R. H. De Geus, J. Bakker, E. M. E. H. Lesaffre and J. L. M. L. Le Noble. </w:t>
            </w:r>
            <w:r w:rsidRPr="000B4E2C">
              <w:rPr>
                <w:highlight w:val="green"/>
                <w:lang w:eastAsia="en-GB"/>
              </w:rPr>
              <w:t>Neutrophil gelatinase-associated lipocalin at ICU admission predicts for acute kidney injury in adult patients. American Journal of Respiratory and Critical Care Medicine, 183(7), 907-914. [15336]</w:t>
            </w:r>
          </w:p>
        </w:tc>
      </w:tr>
      <w:tr w:rsidR="002F0133" w:rsidRPr="000B4E2C" w14:paraId="24899EE1" w14:textId="77777777" w:rsidTr="000B4E2C">
        <w:trPr>
          <w:cantSplit/>
        </w:trPr>
        <w:tc>
          <w:tcPr>
            <w:tcW w:w="0" w:type="auto"/>
            <w:shd w:val="clear" w:color="auto" w:fill="auto"/>
            <w:noWrap/>
            <w:hideMark/>
          </w:tcPr>
          <w:p w14:paraId="3DFA5267" w14:textId="77777777" w:rsidR="002F0133" w:rsidRPr="000B4E2C" w:rsidRDefault="002F0133" w:rsidP="008A7464">
            <w:pPr>
              <w:rPr>
                <w:lang w:eastAsia="en-GB"/>
              </w:rPr>
            </w:pPr>
            <w:r w:rsidRPr="000B4E2C">
              <w:rPr>
                <w:lang w:eastAsia="en-GB"/>
              </w:rPr>
              <w:t>de Geus</w:t>
            </w:r>
          </w:p>
        </w:tc>
        <w:tc>
          <w:tcPr>
            <w:tcW w:w="0" w:type="auto"/>
            <w:shd w:val="clear" w:color="auto" w:fill="auto"/>
            <w:noWrap/>
            <w:hideMark/>
          </w:tcPr>
          <w:p w14:paraId="4738029F"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4AC9795C"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2E4191F8" w14:textId="77777777" w:rsidR="002F0133" w:rsidRPr="000B4E2C" w:rsidRDefault="002F0133" w:rsidP="008A7464">
            <w:pPr>
              <w:rPr>
                <w:highlight w:val="green"/>
                <w:lang w:eastAsia="en-GB"/>
              </w:rPr>
            </w:pPr>
            <w:r w:rsidRPr="000B4E2C">
              <w:rPr>
                <w:highlight w:val="green"/>
                <w:lang w:eastAsia="en-GB"/>
              </w:rPr>
              <w:t>H. R. H. de Geus, J. G. Woo, Y. Wang, P. Devarajan, M. G. Betjes, J. L. M. L. le Noble and J. Bakker. Urinary Neutrophil Gelatinase-Associated Lipocalin Measured on Admission to the Intensive Care Unit Accurately Discriminates between Sustained and Transient Acute Kidney Injury in Adult Critically Ill Patients. Nephron extra, 1(1), 9-23. [15337]</w:t>
            </w:r>
          </w:p>
        </w:tc>
      </w:tr>
      <w:tr w:rsidR="002F0133" w:rsidRPr="000B4E2C" w14:paraId="17F149D1" w14:textId="77777777" w:rsidTr="000B4E2C">
        <w:trPr>
          <w:cantSplit/>
        </w:trPr>
        <w:tc>
          <w:tcPr>
            <w:tcW w:w="0" w:type="auto"/>
            <w:shd w:val="clear" w:color="auto" w:fill="auto"/>
            <w:noWrap/>
            <w:hideMark/>
          </w:tcPr>
          <w:p w14:paraId="4EA0D1AA" w14:textId="77777777" w:rsidR="002F0133" w:rsidRPr="000B4E2C" w:rsidRDefault="002F0133" w:rsidP="008A7464">
            <w:pPr>
              <w:rPr>
                <w:lang w:eastAsia="en-GB"/>
              </w:rPr>
            </w:pPr>
            <w:r w:rsidRPr="000B4E2C">
              <w:rPr>
                <w:lang w:eastAsia="en-GB"/>
              </w:rPr>
              <w:t>De Geus</w:t>
            </w:r>
          </w:p>
        </w:tc>
        <w:tc>
          <w:tcPr>
            <w:tcW w:w="0" w:type="auto"/>
            <w:shd w:val="clear" w:color="auto" w:fill="auto"/>
            <w:noWrap/>
            <w:hideMark/>
          </w:tcPr>
          <w:p w14:paraId="0A983BE1"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0D3DE768"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1AE32AE5" w14:textId="77777777" w:rsidR="002F0133" w:rsidRPr="000B4E2C" w:rsidRDefault="002F0133" w:rsidP="008A7464">
            <w:pPr>
              <w:rPr>
                <w:highlight w:val="green"/>
                <w:lang w:eastAsia="en-GB"/>
              </w:rPr>
            </w:pPr>
            <w:r w:rsidRPr="000B4E2C">
              <w:rPr>
                <w:highlight w:val="green"/>
                <w:lang w:val="da-DK" w:eastAsia="en-GB"/>
              </w:rPr>
              <w:t xml:space="preserve">H. R. De Geus, G. Fortrie, M. G. Betjes, R. H. Van Schaik and A. J. Groeneveld. </w:t>
            </w:r>
            <w:r w:rsidRPr="000B4E2C">
              <w:rPr>
                <w:highlight w:val="green"/>
                <w:lang w:eastAsia="en-GB"/>
              </w:rPr>
              <w:t>Time of injury affects urinary biomarker predictive values for acute kidney injury in critically ill, non-septic patients. BMC Nephrology, 14(1), 273. [15332]</w:t>
            </w:r>
          </w:p>
        </w:tc>
      </w:tr>
      <w:tr w:rsidR="002F0133" w:rsidRPr="000B4E2C" w14:paraId="0BA6AF21" w14:textId="77777777" w:rsidTr="000B4E2C">
        <w:trPr>
          <w:cantSplit/>
        </w:trPr>
        <w:tc>
          <w:tcPr>
            <w:tcW w:w="0" w:type="auto"/>
            <w:shd w:val="clear" w:color="auto" w:fill="auto"/>
            <w:noWrap/>
            <w:hideMark/>
          </w:tcPr>
          <w:p w14:paraId="1EA99A5D" w14:textId="77777777" w:rsidR="002F0133" w:rsidRPr="000B4E2C" w:rsidRDefault="002F0133" w:rsidP="008A7464">
            <w:pPr>
              <w:rPr>
                <w:lang w:eastAsia="en-GB"/>
              </w:rPr>
            </w:pPr>
            <w:r w:rsidRPr="000B4E2C">
              <w:rPr>
                <w:lang w:eastAsia="en-GB"/>
              </w:rPr>
              <w:t>De Geus</w:t>
            </w:r>
          </w:p>
        </w:tc>
        <w:tc>
          <w:tcPr>
            <w:tcW w:w="0" w:type="auto"/>
            <w:shd w:val="clear" w:color="auto" w:fill="auto"/>
            <w:noWrap/>
            <w:hideMark/>
          </w:tcPr>
          <w:p w14:paraId="6B93A78B"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1A8F5D75"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090122F4" w14:textId="77777777" w:rsidR="002F0133" w:rsidRPr="000B4E2C" w:rsidRDefault="002F0133" w:rsidP="008A7464">
            <w:pPr>
              <w:rPr>
                <w:highlight w:val="green"/>
                <w:lang w:eastAsia="en-GB"/>
              </w:rPr>
            </w:pPr>
            <w:r w:rsidRPr="000B4E2C">
              <w:rPr>
                <w:highlight w:val="green"/>
                <w:lang w:eastAsia="en-GB"/>
              </w:rPr>
              <w:t>H. R. H. De Geus, M. G. Betjes, R. Van Schaick and J. A. B. J. Groeneveld. Plasma NGAL similarly predicts acute kidney injury in sepsis and nonsepsis. Biomarkers in Medicine, 7(3), 415-421. [15334]</w:t>
            </w:r>
          </w:p>
        </w:tc>
      </w:tr>
      <w:tr w:rsidR="002F0133" w:rsidRPr="000B4E2C" w14:paraId="4BCBB28A" w14:textId="77777777" w:rsidTr="000B4E2C">
        <w:trPr>
          <w:cantSplit/>
        </w:trPr>
        <w:tc>
          <w:tcPr>
            <w:tcW w:w="0" w:type="auto"/>
            <w:shd w:val="clear" w:color="auto" w:fill="auto"/>
            <w:noWrap/>
            <w:hideMark/>
          </w:tcPr>
          <w:p w14:paraId="14993937" w14:textId="77777777" w:rsidR="002F0133" w:rsidRPr="000B4E2C" w:rsidRDefault="002F0133" w:rsidP="008A7464">
            <w:pPr>
              <w:rPr>
                <w:lang w:eastAsia="en-GB"/>
              </w:rPr>
            </w:pPr>
            <w:r w:rsidRPr="000B4E2C">
              <w:rPr>
                <w:lang w:eastAsia="en-GB"/>
              </w:rPr>
              <w:t>de Geus</w:t>
            </w:r>
          </w:p>
        </w:tc>
        <w:tc>
          <w:tcPr>
            <w:tcW w:w="0" w:type="auto"/>
            <w:shd w:val="clear" w:color="auto" w:fill="auto"/>
            <w:noWrap/>
            <w:hideMark/>
          </w:tcPr>
          <w:p w14:paraId="5534BD9C"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635AE036"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30586FF4" w14:textId="77777777" w:rsidR="002F0133" w:rsidRPr="000B4E2C" w:rsidRDefault="002F0133" w:rsidP="008A7464">
            <w:pPr>
              <w:rPr>
                <w:highlight w:val="green"/>
                <w:lang w:eastAsia="en-GB"/>
              </w:rPr>
            </w:pPr>
            <w:r w:rsidRPr="000B4E2C">
              <w:rPr>
                <w:highlight w:val="green"/>
                <w:lang w:eastAsia="en-GB"/>
              </w:rPr>
              <w:t>H. R. de Geus, M. Haase and L. Jacob. The cardiac surgery-associated neutrophil gelatinase-associated lipocalin score for postoperative acute kidney injury: Does subclinical acute kidney injury matter?. Journal of Thoracic and Cardiovascular Surgery, 154(3), 939-940. [15331]</w:t>
            </w:r>
          </w:p>
        </w:tc>
      </w:tr>
      <w:tr w:rsidR="002F0133" w:rsidRPr="000B4E2C" w14:paraId="62688B89" w14:textId="77777777" w:rsidTr="000B4E2C">
        <w:trPr>
          <w:cantSplit/>
        </w:trPr>
        <w:tc>
          <w:tcPr>
            <w:tcW w:w="0" w:type="auto"/>
            <w:shd w:val="clear" w:color="auto" w:fill="auto"/>
            <w:noWrap/>
            <w:hideMark/>
          </w:tcPr>
          <w:p w14:paraId="608D3C3C" w14:textId="77777777" w:rsidR="002F0133" w:rsidRPr="000B4E2C" w:rsidRDefault="002F0133" w:rsidP="008A7464">
            <w:pPr>
              <w:rPr>
                <w:lang w:eastAsia="en-GB"/>
              </w:rPr>
            </w:pPr>
            <w:r w:rsidRPr="000B4E2C">
              <w:rPr>
                <w:lang w:eastAsia="en-GB"/>
              </w:rPr>
              <w:t>de Grooth</w:t>
            </w:r>
          </w:p>
        </w:tc>
        <w:tc>
          <w:tcPr>
            <w:tcW w:w="0" w:type="auto"/>
            <w:shd w:val="clear" w:color="auto" w:fill="auto"/>
            <w:noWrap/>
            <w:hideMark/>
          </w:tcPr>
          <w:p w14:paraId="254CBD6A"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0C0B4967"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280BA93F" w14:textId="77777777" w:rsidR="002F0133" w:rsidRPr="000B4E2C" w:rsidRDefault="002F0133" w:rsidP="008A7464">
            <w:pPr>
              <w:rPr>
                <w:highlight w:val="green"/>
                <w:lang w:eastAsia="en-GB"/>
              </w:rPr>
            </w:pPr>
            <w:r w:rsidRPr="000B4E2C">
              <w:rPr>
                <w:highlight w:val="green"/>
                <w:lang w:eastAsia="en-GB"/>
              </w:rPr>
              <w:t>H. J. de Grooth, J. J. Parienti and M. Schetz. AKI biomarkers are poor discriminants for subsequent need for renal replacement therapy, but do not disqualify them yet. Intensive Care Medicine, 44(7), 1156-1158. [15339]</w:t>
            </w:r>
          </w:p>
        </w:tc>
      </w:tr>
      <w:tr w:rsidR="002F0133" w:rsidRPr="000B4E2C" w14:paraId="6ACF0063" w14:textId="77777777" w:rsidTr="000B4E2C">
        <w:trPr>
          <w:cantSplit/>
        </w:trPr>
        <w:tc>
          <w:tcPr>
            <w:tcW w:w="0" w:type="auto"/>
            <w:shd w:val="clear" w:color="auto" w:fill="auto"/>
            <w:noWrap/>
            <w:hideMark/>
          </w:tcPr>
          <w:p w14:paraId="5FBDE2B4" w14:textId="77777777" w:rsidR="002F0133" w:rsidRPr="000B4E2C" w:rsidRDefault="002F0133" w:rsidP="008A7464">
            <w:pPr>
              <w:rPr>
                <w:lang w:eastAsia="en-GB"/>
              </w:rPr>
            </w:pPr>
            <w:r w:rsidRPr="000B4E2C">
              <w:rPr>
                <w:lang w:eastAsia="en-GB"/>
              </w:rPr>
              <w:t>De Loor</w:t>
            </w:r>
          </w:p>
        </w:tc>
        <w:tc>
          <w:tcPr>
            <w:tcW w:w="0" w:type="auto"/>
            <w:shd w:val="clear" w:color="auto" w:fill="auto"/>
            <w:noWrap/>
            <w:hideMark/>
          </w:tcPr>
          <w:p w14:paraId="12AF0EBA"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0D4A84C" w14:textId="77777777" w:rsidR="002F0133" w:rsidRPr="000B4E2C" w:rsidRDefault="002F0133" w:rsidP="008A7464">
            <w:pPr>
              <w:rPr>
                <w:lang w:eastAsia="en-GB"/>
              </w:rPr>
            </w:pPr>
            <w:r w:rsidRPr="000B4E2C">
              <w:rPr>
                <w:lang w:eastAsia="en-GB"/>
              </w:rPr>
              <w:t>Pilot study or preliminary analysis only</w:t>
            </w:r>
          </w:p>
        </w:tc>
        <w:tc>
          <w:tcPr>
            <w:tcW w:w="0" w:type="auto"/>
            <w:shd w:val="clear" w:color="auto" w:fill="auto"/>
            <w:noWrap/>
            <w:hideMark/>
          </w:tcPr>
          <w:p w14:paraId="59494453" w14:textId="77777777" w:rsidR="002F0133" w:rsidRPr="000B4E2C" w:rsidRDefault="002F0133" w:rsidP="008A7464">
            <w:pPr>
              <w:rPr>
                <w:highlight w:val="green"/>
                <w:lang w:eastAsia="en-GB"/>
              </w:rPr>
            </w:pPr>
            <w:r w:rsidRPr="000B4E2C">
              <w:rPr>
                <w:highlight w:val="green"/>
                <w:lang w:eastAsia="en-GB"/>
              </w:rPr>
              <w:t>J. De Loor, J. Decruyenaere, K. Demeyere, L. Nuytinck, E. A. J. Hoste and E. Meyer. Urinary chitinase 3-like protein 1 for early diagnosis of acute kidney injury: A prospective cohort study in adult critically ill patients. Critical Care, 20(1), 38. [15342]</w:t>
            </w:r>
          </w:p>
        </w:tc>
      </w:tr>
      <w:tr w:rsidR="002F0133" w:rsidRPr="000B4E2C" w14:paraId="75889E90" w14:textId="77777777" w:rsidTr="000B4E2C">
        <w:trPr>
          <w:cantSplit/>
        </w:trPr>
        <w:tc>
          <w:tcPr>
            <w:tcW w:w="0" w:type="auto"/>
            <w:shd w:val="clear" w:color="auto" w:fill="auto"/>
            <w:noWrap/>
            <w:hideMark/>
          </w:tcPr>
          <w:p w14:paraId="224EC6CF" w14:textId="77777777" w:rsidR="002F0133" w:rsidRPr="000B4E2C" w:rsidRDefault="002F0133" w:rsidP="008A7464">
            <w:pPr>
              <w:rPr>
                <w:lang w:eastAsia="en-GB"/>
              </w:rPr>
            </w:pPr>
            <w:r w:rsidRPr="000B4E2C">
              <w:rPr>
                <w:lang w:eastAsia="en-GB"/>
              </w:rPr>
              <w:t>Dede</w:t>
            </w:r>
          </w:p>
        </w:tc>
        <w:tc>
          <w:tcPr>
            <w:tcW w:w="0" w:type="auto"/>
            <w:shd w:val="clear" w:color="auto" w:fill="auto"/>
            <w:noWrap/>
            <w:hideMark/>
          </w:tcPr>
          <w:p w14:paraId="432DBBF4"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4C9067CA" w14:textId="2E31C64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AEA9CA7" w14:textId="77777777" w:rsidR="002F0133" w:rsidRPr="000B4E2C" w:rsidRDefault="002F0133" w:rsidP="008A7464">
            <w:pPr>
              <w:rPr>
                <w:highlight w:val="green"/>
                <w:lang w:eastAsia="en-GB"/>
              </w:rPr>
            </w:pPr>
            <w:r w:rsidRPr="000B4E2C">
              <w:rPr>
                <w:highlight w:val="green"/>
                <w:lang w:val="da-DK" w:eastAsia="en-GB"/>
              </w:rPr>
              <w:t xml:space="preserve">O. Dede, M. Dagguli, M. Utangac, H. Yuksel, M. N. Bodakci, N. K. Hatipoglu, A. A. Sancaktutar and N. Penbegul. </w:t>
            </w:r>
            <w:r w:rsidRPr="000B4E2C">
              <w:rPr>
                <w:highlight w:val="green"/>
                <w:lang w:eastAsia="en-GB"/>
              </w:rPr>
              <w:t>Urinary expression of acute kidney injury biomarkers in patients after RIRS: It is a prospective, controlled study. International Journal of Clinical and Experimental Medicine, 8(5), 8147-8152. [15349]</w:t>
            </w:r>
          </w:p>
        </w:tc>
      </w:tr>
      <w:tr w:rsidR="002F0133" w:rsidRPr="000B4E2C" w14:paraId="21E2CE03" w14:textId="77777777" w:rsidTr="000B4E2C">
        <w:trPr>
          <w:cantSplit/>
        </w:trPr>
        <w:tc>
          <w:tcPr>
            <w:tcW w:w="0" w:type="auto"/>
            <w:shd w:val="clear" w:color="auto" w:fill="auto"/>
            <w:noWrap/>
            <w:hideMark/>
          </w:tcPr>
          <w:p w14:paraId="1537E9BC" w14:textId="77777777" w:rsidR="002F0133" w:rsidRPr="000B4E2C" w:rsidRDefault="002F0133" w:rsidP="008A7464">
            <w:pPr>
              <w:rPr>
                <w:lang w:eastAsia="en-GB"/>
              </w:rPr>
            </w:pPr>
            <w:r w:rsidRPr="000B4E2C">
              <w:rPr>
                <w:lang w:eastAsia="en-GB"/>
              </w:rPr>
              <w:t>Dedeoglu</w:t>
            </w:r>
          </w:p>
        </w:tc>
        <w:tc>
          <w:tcPr>
            <w:tcW w:w="0" w:type="auto"/>
            <w:shd w:val="clear" w:color="auto" w:fill="auto"/>
            <w:noWrap/>
            <w:hideMark/>
          </w:tcPr>
          <w:p w14:paraId="1D0E88AC"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519DEAE0" w14:textId="198B52A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2487CA7" w14:textId="77777777" w:rsidR="002F0133" w:rsidRPr="000B4E2C" w:rsidRDefault="002F0133" w:rsidP="008A7464">
            <w:pPr>
              <w:rPr>
                <w:highlight w:val="green"/>
                <w:lang w:eastAsia="en-GB"/>
              </w:rPr>
            </w:pPr>
            <w:r w:rsidRPr="000B4E2C">
              <w:rPr>
                <w:highlight w:val="green"/>
                <w:lang w:val="da-DK" w:eastAsia="en-GB"/>
              </w:rPr>
              <w:t xml:space="preserve">B. Dedeoglu, H. R. H. De Geus, G. Fortrie and M. G. H. Betjes. </w:t>
            </w:r>
            <w:r w:rsidRPr="000B4E2C">
              <w:rPr>
                <w:highlight w:val="green"/>
                <w:lang w:eastAsia="en-GB"/>
              </w:rPr>
              <w:t>Novel biomarkers for the prediction of acute kidney injury in patients undergoing liver transplantation. Biomarkers in Medicine, 7(6), 947-957. [15350]</w:t>
            </w:r>
          </w:p>
        </w:tc>
      </w:tr>
      <w:tr w:rsidR="002F0133" w:rsidRPr="000B4E2C" w14:paraId="09E80270" w14:textId="77777777" w:rsidTr="000B4E2C">
        <w:trPr>
          <w:cantSplit/>
        </w:trPr>
        <w:tc>
          <w:tcPr>
            <w:tcW w:w="0" w:type="auto"/>
            <w:shd w:val="clear" w:color="auto" w:fill="auto"/>
            <w:noWrap/>
            <w:hideMark/>
          </w:tcPr>
          <w:p w14:paraId="15061D89" w14:textId="77777777" w:rsidR="002F0133" w:rsidRPr="000B4E2C" w:rsidRDefault="002F0133" w:rsidP="008A7464">
            <w:pPr>
              <w:rPr>
                <w:lang w:eastAsia="en-GB"/>
              </w:rPr>
            </w:pPr>
            <w:r w:rsidRPr="000B4E2C">
              <w:rPr>
                <w:lang w:eastAsia="en-GB"/>
              </w:rPr>
              <w:t>Deger</w:t>
            </w:r>
          </w:p>
        </w:tc>
        <w:tc>
          <w:tcPr>
            <w:tcW w:w="0" w:type="auto"/>
            <w:shd w:val="clear" w:color="auto" w:fill="auto"/>
            <w:noWrap/>
            <w:hideMark/>
          </w:tcPr>
          <w:p w14:paraId="26A7DF72"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1133E79E" w14:textId="0040614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F494BA7" w14:textId="77777777" w:rsidR="002F0133" w:rsidRPr="000B4E2C" w:rsidRDefault="002F0133" w:rsidP="008A7464">
            <w:pPr>
              <w:rPr>
                <w:highlight w:val="green"/>
                <w:lang w:eastAsia="en-GB"/>
              </w:rPr>
            </w:pPr>
            <w:r w:rsidRPr="000B4E2C">
              <w:rPr>
                <w:highlight w:val="green"/>
                <w:lang w:eastAsia="en-GB"/>
              </w:rPr>
              <w:t>S. M. Deger, Y. Erten, E. Suyani, S. Z. Aki, G. Ulusal Okyay, O. T. Pasaoglu, H. Pasaoglu, T. Arinsoy and G. Turkoz Sucak. Early Diagnostic Markers for Detection of Acute Kidney Injury in Allogeneic Hematopoietic Stem Cell Transplant Recipients. Experimental and clinical transplantation : official journal of the Middle East Society for Organ Transplantation, . [15353]</w:t>
            </w:r>
          </w:p>
        </w:tc>
      </w:tr>
      <w:tr w:rsidR="002F0133" w:rsidRPr="000B4E2C" w14:paraId="31C330BC" w14:textId="77777777" w:rsidTr="000B4E2C">
        <w:trPr>
          <w:cantSplit/>
        </w:trPr>
        <w:tc>
          <w:tcPr>
            <w:tcW w:w="0" w:type="auto"/>
            <w:shd w:val="clear" w:color="auto" w:fill="auto"/>
            <w:noWrap/>
            <w:hideMark/>
          </w:tcPr>
          <w:p w14:paraId="24B24214" w14:textId="77777777" w:rsidR="002F0133" w:rsidRPr="000B4E2C" w:rsidRDefault="002F0133" w:rsidP="008A7464">
            <w:pPr>
              <w:rPr>
                <w:lang w:eastAsia="en-GB"/>
              </w:rPr>
            </w:pPr>
            <w:r w:rsidRPr="000B4E2C">
              <w:rPr>
                <w:lang w:eastAsia="en-GB"/>
              </w:rPr>
              <w:t>Deininger</w:t>
            </w:r>
          </w:p>
        </w:tc>
        <w:tc>
          <w:tcPr>
            <w:tcW w:w="0" w:type="auto"/>
            <w:shd w:val="clear" w:color="auto" w:fill="auto"/>
            <w:noWrap/>
            <w:hideMark/>
          </w:tcPr>
          <w:p w14:paraId="659DC65D"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0CFDA77"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70FCEAA8" w14:textId="77777777" w:rsidR="002F0133" w:rsidRPr="000B4E2C" w:rsidRDefault="002F0133" w:rsidP="008A7464">
            <w:pPr>
              <w:rPr>
                <w:highlight w:val="green"/>
                <w:lang w:eastAsia="en-GB"/>
              </w:rPr>
            </w:pPr>
            <w:r w:rsidRPr="000B4E2C">
              <w:rPr>
                <w:highlight w:val="green"/>
                <w:lang w:eastAsia="en-GB"/>
              </w:rPr>
              <w:t>S. Deininger, M. Hoenicka, K. Muller-Eising, P. Rupp, A. Liebold, W. Koenig and H. Gorki. Renal Function and Urinary Biomarkers in Cardiac Bypass Surgery: A Prospective Randomized Trial Comparing Three Surgical Techniques. Thoracic and Cardiovascular Surgeon, 64(7), 561-568. [15354]</w:t>
            </w:r>
          </w:p>
        </w:tc>
      </w:tr>
      <w:tr w:rsidR="002F0133" w:rsidRPr="000B4E2C" w14:paraId="4B24D10D" w14:textId="77777777" w:rsidTr="000B4E2C">
        <w:trPr>
          <w:cantSplit/>
        </w:trPr>
        <w:tc>
          <w:tcPr>
            <w:tcW w:w="0" w:type="auto"/>
            <w:shd w:val="clear" w:color="auto" w:fill="auto"/>
            <w:noWrap/>
            <w:hideMark/>
          </w:tcPr>
          <w:p w14:paraId="28315FF5" w14:textId="77777777" w:rsidR="002F0133" w:rsidRPr="000B4E2C" w:rsidRDefault="002F0133" w:rsidP="008A7464">
            <w:pPr>
              <w:rPr>
                <w:lang w:eastAsia="en-GB"/>
              </w:rPr>
            </w:pPr>
            <w:r w:rsidRPr="000B4E2C">
              <w:rPr>
                <w:lang w:eastAsia="en-GB"/>
              </w:rPr>
              <w:t>Dekker</w:t>
            </w:r>
          </w:p>
        </w:tc>
        <w:tc>
          <w:tcPr>
            <w:tcW w:w="0" w:type="auto"/>
            <w:shd w:val="clear" w:color="auto" w:fill="auto"/>
            <w:noWrap/>
            <w:hideMark/>
          </w:tcPr>
          <w:p w14:paraId="093B14AC"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3A94B5B8"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760C2643" w14:textId="77777777" w:rsidR="002F0133" w:rsidRPr="000B4E2C" w:rsidRDefault="002F0133" w:rsidP="008A7464">
            <w:pPr>
              <w:rPr>
                <w:highlight w:val="green"/>
                <w:lang w:eastAsia="en-GB"/>
              </w:rPr>
            </w:pPr>
            <w:r w:rsidRPr="000B4E2C">
              <w:rPr>
                <w:highlight w:val="green"/>
                <w:lang w:val="da-DK" w:eastAsia="en-GB"/>
              </w:rPr>
              <w:t xml:space="preserve">S. E. I. Dekker, L. R. Ruhaak, F. P. H. T. M. Romijn, E. Meijer, C. M. Cobbaert, J. W. de Fijter and D. Soonawala. </w:t>
            </w:r>
            <w:r w:rsidRPr="000B4E2C">
              <w:rPr>
                <w:highlight w:val="green"/>
                <w:lang w:eastAsia="en-GB"/>
              </w:rPr>
              <w:t>Urinary Tissue Inhibitor of Metalloproteinases-2 and Insulin-Like Growth Factor-Binding Protein 7 Do Not Correlate With Disease Severity in ADPKD Patients. Kidney International Reports, . [15355]</w:t>
            </w:r>
          </w:p>
        </w:tc>
      </w:tr>
      <w:tr w:rsidR="002F0133" w:rsidRPr="000B4E2C" w14:paraId="35A7366A" w14:textId="77777777" w:rsidTr="000B4E2C">
        <w:trPr>
          <w:cantSplit/>
        </w:trPr>
        <w:tc>
          <w:tcPr>
            <w:tcW w:w="0" w:type="auto"/>
            <w:shd w:val="clear" w:color="auto" w:fill="auto"/>
            <w:noWrap/>
            <w:hideMark/>
          </w:tcPr>
          <w:p w14:paraId="5E74AB2D" w14:textId="77777777" w:rsidR="002F0133" w:rsidRPr="000B4E2C" w:rsidRDefault="002F0133" w:rsidP="008A7464">
            <w:pPr>
              <w:rPr>
                <w:lang w:eastAsia="en-GB"/>
              </w:rPr>
            </w:pPr>
            <w:r w:rsidRPr="000B4E2C">
              <w:rPr>
                <w:lang w:eastAsia="en-GB"/>
              </w:rPr>
              <w:lastRenderedPageBreak/>
              <w:t>Delcroix</w:t>
            </w:r>
          </w:p>
        </w:tc>
        <w:tc>
          <w:tcPr>
            <w:tcW w:w="0" w:type="auto"/>
            <w:shd w:val="clear" w:color="auto" w:fill="auto"/>
            <w:noWrap/>
            <w:hideMark/>
          </w:tcPr>
          <w:p w14:paraId="3CD7B3D1"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3A1A23EE" w14:textId="6F073F9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7E1347C" w14:textId="77777777" w:rsidR="002F0133" w:rsidRPr="000B4E2C" w:rsidRDefault="002F0133" w:rsidP="008A7464">
            <w:pPr>
              <w:rPr>
                <w:highlight w:val="green"/>
                <w:lang w:eastAsia="en-GB"/>
              </w:rPr>
            </w:pPr>
            <w:r w:rsidRPr="000B4E2C">
              <w:rPr>
                <w:highlight w:val="green"/>
                <w:lang w:eastAsia="en-GB"/>
              </w:rPr>
              <w:t>G. Delcroix, N. Gillain, M. Moonen, L. Radermacher, F. Damas, J.-M. Minon and V. Fraipont. NGAL Usefulness in the Intensive Care Unit Three Hours after Cardiac Surgery. ISRN nephrology, 2013(865164. [15357]</w:t>
            </w:r>
          </w:p>
        </w:tc>
      </w:tr>
      <w:tr w:rsidR="002F0133" w:rsidRPr="000B4E2C" w14:paraId="59E77E99" w14:textId="77777777" w:rsidTr="000B4E2C">
        <w:trPr>
          <w:cantSplit/>
        </w:trPr>
        <w:tc>
          <w:tcPr>
            <w:tcW w:w="0" w:type="auto"/>
            <w:shd w:val="clear" w:color="auto" w:fill="auto"/>
            <w:noWrap/>
            <w:hideMark/>
          </w:tcPr>
          <w:p w14:paraId="6ADF5147" w14:textId="77777777" w:rsidR="002F0133" w:rsidRPr="000B4E2C" w:rsidRDefault="002F0133" w:rsidP="008A7464">
            <w:pPr>
              <w:rPr>
                <w:lang w:eastAsia="en-GB"/>
              </w:rPr>
            </w:pPr>
            <w:r w:rsidRPr="000B4E2C">
              <w:rPr>
                <w:lang w:eastAsia="en-GB"/>
              </w:rPr>
              <w:t>Delfino Duarte</w:t>
            </w:r>
          </w:p>
        </w:tc>
        <w:tc>
          <w:tcPr>
            <w:tcW w:w="0" w:type="auto"/>
            <w:shd w:val="clear" w:color="auto" w:fill="auto"/>
            <w:noWrap/>
            <w:hideMark/>
          </w:tcPr>
          <w:p w14:paraId="143E09A8"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B05250F" w14:textId="09C9CAC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F6B7EAC" w14:textId="77777777" w:rsidR="002F0133" w:rsidRPr="000B4E2C" w:rsidRDefault="002F0133" w:rsidP="008A7464">
            <w:pPr>
              <w:rPr>
                <w:highlight w:val="green"/>
                <w:lang w:eastAsia="en-GB"/>
              </w:rPr>
            </w:pPr>
            <w:r w:rsidRPr="000B4E2C">
              <w:rPr>
                <w:highlight w:val="green"/>
                <w:lang w:eastAsia="en-GB"/>
              </w:rPr>
              <w:t>P. A. Delfino Duarte, A. C. Fumagalli, V. Wandeur and D. Becker. Urinary neutrophil gelatinase-associated lipocalin in critically ill surgical cancer patients. Indian Journal of Critical Care Medicine, 19(5), 251-256. [15358]</w:t>
            </w:r>
          </w:p>
        </w:tc>
      </w:tr>
      <w:tr w:rsidR="002F0133" w:rsidRPr="000B4E2C" w14:paraId="4F3228E6" w14:textId="77777777" w:rsidTr="000B4E2C">
        <w:trPr>
          <w:cantSplit/>
        </w:trPr>
        <w:tc>
          <w:tcPr>
            <w:tcW w:w="0" w:type="auto"/>
            <w:shd w:val="clear" w:color="auto" w:fill="auto"/>
            <w:noWrap/>
            <w:hideMark/>
          </w:tcPr>
          <w:p w14:paraId="20F0A600" w14:textId="77777777" w:rsidR="002F0133" w:rsidRPr="000B4E2C" w:rsidRDefault="002F0133" w:rsidP="008A7464">
            <w:pPr>
              <w:rPr>
                <w:lang w:eastAsia="en-GB"/>
              </w:rPr>
            </w:pPr>
            <w:r w:rsidRPr="000B4E2C">
              <w:rPr>
                <w:lang w:eastAsia="en-GB"/>
              </w:rPr>
              <w:t>Demirtas</w:t>
            </w:r>
          </w:p>
        </w:tc>
        <w:tc>
          <w:tcPr>
            <w:tcW w:w="0" w:type="auto"/>
            <w:shd w:val="clear" w:color="auto" w:fill="auto"/>
            <w:noWrap/>
            <w:hideMark/>
          </w:tcPr>
          <w:p w14:paraId="4B1D0F7D"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34E7FECF" w14:textId="56D780A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3272138" w14:textId="77777777" w:rsidR="002F0133" w:rsidRPr="000B4E2C" w:rsidRDefault="002F0133" w:rsidP="008A7464">
            <w:pPr>
              <w:rPr>
                <w:highlight w:val="green"/>
                <w:lang w:eastAsia="en-GB"/>
              </w:rPr>
            </w:pPr>
            <w:r w:rsidRPr="000B4E2C">
              <w:rPr>
                <w:highlight w:val="green"/>
                <w:lang w:eastAsia="en-GB"/>
              </w:rPr>
              <w:t>S. Demirtas, A. Caliskan, O. Karahan, C. Yavuz, O. Guclu, M. C. Cayir, F. Toktas and O. Tiryakioglu. Neutrophil gelatinase-associated lipocalin as a biomarker for acute kidney injury in patients undergoing coronary artery bypass grafting. Experimental and Clinical Cardiology, 18(2), 107-109. [15359]</w:t>
            </w:r>
          </w:p>
        </w:tc>
      </w:tr>
      <w:tr w:rsidR="002F0133" w:rsidRPr="000B4E2C" w14:paraId="39CD7E6C" w14:textId="77777777" w:rsidTr="000B4E2C">
        <w:trPr>
          <w:cantSplit/>
        </w:trPr>
        <w:tc>
          <w:tcPr>
            <w:tcW w:w="0" w:type="auto"/>
            <w:shd w:val="clear" w:color="auto" w:fill="auto"/>
            <w:noWrap/>
            <w:hideMark/>
          </w:tcPr>
          <w:p w14:paraId="5257EB4D" w14:textId="77777777" w:rsidR="002F0133" w:rsidRPr="000B4E2C" w:rsidRDefault="002F0133" w:rsidP="008A7464">
            <w:pPr>
              <w:rPr>
                <w:lang w:eastAsia="en-GB"/>
              </w:rPr>
            </w:pPr>
            <w:r w:rsidRPr="000B4E2C">
              <w:rPr>
                <w:lang w:eastAsia="en-GB"/>
              </w:rPr>
              <w:t>Dent</w:t>
            </w:r>
          </w:p>
        </w:tc>
        <w:tc>
          <w:tcPr>
            <w:tcW w:w="0" w:type="auto"/>
            <w:shd w:val="clear" w:color="auto" w:fill="auto"/>
            <w:noWrap/>
            <w:hideMark/>
          </w:tcPr>
          <w:p w14:paraId="11EACA75" w14:textId="77777777" w:rsidR="002F0133" w:rsidRPr="000B4E2C" w:rsidRDefault="002F0133" w:rsidP="008A7464">
            <w:pPr>
              <w:jc w:val="center"/>
              <w:rPr>
                <w:lang w:eastAsia="en-GB"/>
              </w:rPr>
            </w:pPr>
            <w:r w:rsidRPr="000B4E2C">
              <w:rPr>
                <w:lang w:eastAsia="en-GB"/>
              </w:rPr>
              <w:t>2007</w:t>
            </w:r>
          </w:p>
        </w:tc>
        <w:tc>
          <w:tcPr>
            <w:tcW w:w="0" w:type="auto"/>
            <w:shd w:val="clear" w:color="auto" w:fill="auto"/>
            <w:noWrap/>
            <w:hideMark/>
          </w:tcPr>
          <w:p w14:paraId="7765AA0A"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12394309" w14:textId="77777777" w:rsidR="002F0133" w:rsidRPr="000B4E2C" w:rsidRDefault="002F0133" w:rsidP="008A7464">
            <w:pPr>
              <w:rPr>
                <w:highlight w:val="green"/>
                <w:lang w:eastAsia="en-GB"/>
              </w:rPr>
            </w:pPr>
            <w:r w:rsidRPr="000B4E2C">
              <w:rPr>
                <w:highlight w:val="green"/>
                <w:lang w:eastAsia="en-GB"/>
              </w:rPr>
              <w:t>C. L. Dent, Q. Ma, S. Dastrala, M. Bennett, M. M. Mitsnefes, J. Barasch and P. Devarajan. Plasma neutrophil gelatinase-associated lipocalin predicts acute kidney injury, morbidity and mortality after pediatric cardiac surgery: A prospective uncontrolled cohort study. Critical Care, 11(6), . [2100]</w:t>
            </w:r>
          </w:p>
        </w:tc>
      </w:tr>
      <w:tr w:rsidR="002F0133" w:rsidRPr="000B4E2C" w14:paraId="2EC89B86" w14:textId="77777777" w:rsidTr="000B4E2C">
        <w:trPr>
          <w:cantSplit/>
        </w:trPr>
        <w:tc>
          <w:tcPr>
            <w:tcW w:w="0" w:type="auto"/>
            <w:shd w:val="clear" w:color="auto" w:fill="auto"/>
            <w:noWrap/>
            <w:hideMark/>
          </w:tcPr>
          <w:p w14:paraId="1B77BA05" w14:textId="77777777" w:rsidR="002F0133" w:rsidRPr="000B4E2C" w:rsidRDefault="002F0133" w:rsidP="008A7464">
            <w:pPr>
              <w:rPr>
                <w:lang w:eastAsia="en-GB"/>
              </w:rPr>
            </w:pPr>
            <w:r w:rsidRPr="000B4E2C">
              <w:rPr>
                <w:lang w:eastAsia="en-GB"/>
              </w:rPr>
              <w:t>Depret</w:t>
            </w:r>
          </w:p>
        </w:tc>
        <w:tc>
          <w:tcPr>
            <w:tcW w:w="0" w:type="auto"/>
            <w:shd w:val="clear" w:color="auto" w:fill="auto"/>
            <w:noWrap/>
            <w:hideMark/>
          </w:tcPr>
          <w:p w14:paraId="5B2821EA"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2DA9EE84" w14:textId="49F5AF3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B3015FE" w14:textId="77777777" w:rsidR="002F0133" w:rsidRPr="000B4E2C" w:rsidRDefault="002F0133" w:rsidP="008A7464">
            <w:pPr>
              <w:rPr>
                <w:highlight w:val="green"/>
                <w:lang w:eastAsia="en-GB"/>
              </w:rPr>
            </w:pPr>
            <w:r w:rsidRPr="000B4E2C">
              <w:rPr>
                <w:highlight w:val="green"/>
                <w:lang w:eastAsia="en-GB"/>
              </w:rPr>
              <w:t>F. Depret, L. Boutin, J. Jarkovsky, M. Chaussard, S. Soussi, A. Bataille, H. Oueslati, N. Moreno, C. de Tymowski, J. Parenica, K. Benesova, T. Vauchel, A. Ferry, M. Benyamina, A. Cupaciu, M. Coutrot, J. P. Garnier, K. Serror, M. Chaouat, A. Mebazaa and M. Legrand. Prediction of major adverse kidney events in critically ill burn patients. Burns, 44(8), 1887-1894. [15363]</w:t>
            </w:r>
          </w:p>
        </w:tc>
      </w:tr>
      <w:tr w:rsidR="002F0133" w:rsidRPr="000B4E2C" w14:paraId="5AA0F619" w14:textId="77777777" w:rsidTr="000B4E2C">
        <w:trPr>
          <w:cantSplit/>
        </w:trPr>
        <w:tc>
          <w:tcPr>
            <w:tcW w:w="0" w:type="auto"/>
            <w:shd w:val="clear" w:color="auto" w:fill="auto"/>
            <w:noWrap/>
            <w:hideMark/>
          </w:tcPr>
          <w:p w14:paraId="61032D08" w14:textId="77777777" w:rsidR="002F0133" w:rsidRPr="000B4E2C" w:rsidRDefault="002F0133" w:rsidP="008A7464">
            <w:pPr>
              <w:rPr>
                <w:lang w:eastAsia="en-GB"/>
              </w:rPr>
            </w:pPr>
            <w:r w:rsidRPr="000B4E2C">
              <w:rPr>
                <w:lang w:eastAsia="en-GB"/>
              </w:rPr>
              <w:t>Derhaschnig</w:t>
            </w:r>
          </w:p>
        </w:tc>
        <w:tc>
          <w:tcPr>
            <w:tcW w:w="0" w:type="auto"/>
            <w:shd w:val="clear" w:color="auto" w:fill="auto"/>
            <w:noWrap/>
            <w:hideMark/>
          </w:tcPr>
          <w:p w14:paraId="51E38570"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20830B5B" w14:textId="0802E74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E576A96" w14:textId="77777777" w:rsidR="002F0133" w:rsidRPr="000B4E2C" w:rsidRDefault="002F0133" w:rsidP="008A7464">
            <w:pPr>
              <w:rPr>
                <w:highlight w:val="green"/>
                <w:lang w:eastAsia="en-GB"/>
              </w:rPr>
            </w:pPr>
            <w:r w:rsidRPr="000B4E2C">
              <w:rPr>
                <w:highlight w:val="green"/>
                <w:lang w:eastAsia="en-GB"/>
              </w:rPr>
              <w:t>U. Derhaschnig, C. Testori, E. Riedmueller, E. L. Hobl, F. B. Mayr and B. Jilma. Decreased renal function in hypertensive emergencies. Journal of Human Hypertension, 28(7), 427-431. [15364]</w:t>
            </w:r>
          </w:p>
        </w:tc>
      </w:tr>
      <w:tr w:rsidR="002F0133" w:rsidRPr="000B4E2C" w14:paraId="7C16E7C9" w14:textId="77777777" w:rsidTr="000B4E2C">
        <w:trPr>
          <w:cantSplit/>
        </w:trPr>
        <w:tc>
          <w:tcPr>
            <w:tcW w:w="0" w:type="auto"/>
            <w:shd w:val="clear" w:color="auto" w:fill="auto"/>
            <w:noWrap/>
            <w:hideMark/>
          </w:tcPr>
          <w:p w14:paraId="6C0E15B7" w14:textId="77777777" w:rsidR="002F0133" w:rsidRPr="000B4E2C" w:rsidRDefault="002F0133" w:rsidP="008A7464">
            <w:pPr>
              <w:rPr>
                <w:lang w:eastAsia="en-GB"/>
              </w:rPr>
            </w:pPr>
            <w:r w:rsidRPr="000B4E2C">
              <w:rPr>
                <w:lang w:eastAsia="en-GB"/>
              </w:rPr>
              <w:t>Devarajan</w:t>
            </w:r>
          </w:p>
        </w:tc>
        <w:tc>
          <w:tcPr>
            <w:tcW w:w="0" w:type="auto"/>
            <w:shd w:val="clear" w:color="auto" w:fill="auto"/>
            <w:noWrap/>
            <w:hideMark/>
          </w:tcPr>
          <w:p w14:paraId="7363F840"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5D37A94F" w14:textId="12A69EDB"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3B67117E" w14:textId="77777777" w:rsidR="002F0133" w:rsidRPr="000B4E2C" w:rsidRDefault="002F0133" w:rsidP="008A7464">
            <w:pPr>
              <w:rPr>
                <w:highlight w:val="green"/>
                <w:lang w:eastAsia="en-GB"/>
              </w:rPr>
            </w:pPr>
            <w:r w:rsidRPr="000B4E2C">
              <w:rPr>
                <w:highlight w:val="green"/>
                <w:lang w:eastAsia="en-GB"/>
              </w:rPr>
              <w:t>P. Devarajan. Emerging urinary biomarkers in the diagnosis of acute kidney injury. Expert Opinion on Medical Diagnostics, 2(4), 387-398. [2191]</w:t>
            </w:r>
          </w:p>
        </w:tc>
      </w:tr>
      <w:tr w:rsidR="002F0133" w:rsidRPr="000B4E2C" w14:paraId="70020A95" w14:textId="77777777" w:rsidTr="000B4E2C">
        <w:trPr>
          <w:cantSplit/>
        </w:trPr>
        <w:tc>
          <w:tcPr>
            <w:tcW w:w="0" w:type="auto"/>
            <w:shd w:val="clear" w:color="auto" w:fill="auto"/>
            <w:noWrap/>
            <w:hideMark/>
          </w:tcPr>
          <w:p w14:paraId="15C70222" w14:textId="77777777" w:rsidR="002F0133" w:rsidRPr="000B4E2C" w:rsidRDefault="002F0133" w:rsidP="008A7464">
            <w:pPr>
              <w:rPr>
                <w:lang w:eastAsia="en-GB"/>
              </w:rPr>
            </w:pPr>
            <w:r w:rsidRPr="000B4E2C">
              <w:rPr>
                <w:lang w:eastAsia="en-GB"/>
              </w:rPr>
              <w:t>Devarajan</w:t>
            </w:r>
          </w:p>
        </w:tc>
        <w:tc>
          <w:tcPr>
            <w:tcW w:w="0" w:type="auto"/>
            <w:shd w:val="clear" w:color="auto" w:fill="auto"/>
            <w:noWrap/>
            <w:hideMark/>
          </w:tcPr>
          <w:p w14:paraId="0EA98C6D"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197CDC4F"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661C8AB4" w14:textId="77777777" w:rsidR="002F0133" w:rsidRPr="000B4E2C" w:rsidRDefault="002F0133" w:rsidP="008A7464">
            <w:pPr>
              <w:rPr>
                <w:highlight w:val="green"/>
                <w:lang w:eastAsia="en-GB"/>
              </w:rPr>
            </w:pPr>
            <w:r w:rsidRPr="000B4E2C">
              <w:rPr>
                <w:highlight w:val="green"/>
                <w:lang w:eastAsia="en-GB"/>
              </w:rPr>
              <w:t>P. Devarajan. Neutrophil gelatinase-associated lipocalin - An emerging troponin for kidney injury. Nephrology Dialysis Transplantation, 23(12), 3737-3743. [2127]</w:t>
            </w:r>
          </w:p>
        </w:tc>
      </w:tr>
      <w:tr w:rsidR="002F0133" w:rsidRPr="000B4E2C" w14:paraId="45821D2A" w14:textId="77777777" w:rsidTr="000B4E2C">
        <w:trPr>
          <w:cantSplit/>
        </w:trPr>
        <w:tc>
          <w:tcPr>
            <w:tcW w:w="0" w:type="auto"/>
            <w:shd w:val="clear" w:color="auto" w:fill="auto"/>
            <w:noWrap/>
            <w:hideMark/>
          </w:tcPr>
          <w:p w14:paraId="195CE540" w14:textId="77777777" w:rsidR="002F0133" w:rsidRPr="000B4E2C" w:rsidRDefault="002F0133" w:rsidP="008A7464">
            <w:pPr>
              <w:rPr>
                <w:lang w:eastAsia="en-GB"/>
              </w:rPr>
            </w:pPr>
            <w:r w:rsidRPr="000B4E2C">
              <w:rPr>
                <w:lang w:eastAsia="en-GB"/>
              </w:rPr>
              <w:t>Devarajan</w:t>
            </w:r>
          </w:p>
        </w:tc>
        <w:tc>
          <w:tcPr>
            <w:tcW w:w="0" w:type="auto"/>
            <w:shd w:val="clear" w:color="auto" w:fill="auto"/>
            <w:noWrap/>
            <w:hideMark/>
          </w:tcPr>
          <w:p w14:paraId="1BD38A1D"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1D66476A"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77CE6EEB" w14:textId="77777777" w:rsidR="002F0133" w:rsidRPr="000B4E2C" w:rsidRDefault="002F0133" w:rsidP="008A7464">
            <w:pPr>
              <w:rPr>
                <w:highlight w:val="green"/>
                <w:lang w:eastAsia="en-GB"/>
              </w:rPr>
            </w:pPr>
            <w:r w:rsidRPr="000B4E2C">
              <w:rPr>
                <w:highlight w:val="green"/>
                <w:lang w:eastAsia="en-GB"/>
              </w:rPr>
              <w:t>P. Devarajan. Neutrophil Gelatinase-associated Lipocalin: An Emerging Biomarker for Angina Renalis. Yearbook of Intensive Care and Emergency Medicine, 620-626. [18422]</w:t>
            </w:r>
          </w:p>
        </w:tc>
      </w:tr>
      <w:tr w:rsidR="002F0133" w:rsidRPr="000B4E2C" w14:paraId="2DC6DD96" w14:textId="77777777" w:rsidTr="000B4E2C">
        <w:trPr>
          <w:cantSplit/>
        </w:trPr>
        <w:tc>
          <w:tcPr>
            <w:tcW w:w="0" w:type="auto"/>
            <w:shd w:val="clear" w:color="auto" w:fill="auto"/>
            <w:noWrap/>
            <w:hideMark/>
          </w:tcPr>
          <w:p w14:paraId="2BA5AE66" w14:textId="77777777" w:rsidR="002F0133" w:rsidRPr="000B4E2C" w:rsidRDefault="002F0133" w:rsidP="008A7464">
            <w:pPr>
              <w:rPr>
                <w:lang w:eastAsia="en-GB"/>
              </w:rPr>
            </w:pPr>
            <w:r w:rsidRPr="000B4E2C">
              <w:rPr>
                <w:lang w:eastAsia="en-GB"/>
              </w:rPr>
              <w:t>Devarajan</w:t>
            </w:r>
          </w:p>
        </w:tc>
        <w:tc>
          <w:tcPr>
            <w:tcW w:w="0" w:type="auto"/>
            <w:shd w:val="clear" w:color="auto" w:fill="auto"/>
            <w:noWrap/>
            <w:hideMark/>
          </w:tcPr>
          <w:p w14:paraId="0E20463D"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7335B12"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58396AE6" w14:textId="77777777" w:rsidR="002F0133" w:rsidRPr="000B4E2C" w:rsidRDefault="002F0133" w:rsidP="008A7464">
            <w:pPr>
              <w:rPr>
                <w:highlight w:val="green"/>
                <w:lang w:eastAsia="en-GB"/>
              </w:rPr>
            </w:pPr>
            <w:r w:rsidRPr="000B4E2C">
              <w:rPr>
                <w:highlight w:val="green"/>
                <w:lang w:eastAsia="en-GB"/>
              </w:rPr>
              <w:t>P. Devarajan. NGAL for the detection of acute kidney injury in the emergency room. Biomarkers in Medicine, 8(2), 217-219. [15368]</w:t>
            </w:r>
          </w:p>
        </w:tc>
      </w:tr>
      <w:tr w:rsidR="002F0133" w:rsidRPr="000B4E2C" w14:paraId="0BA560CA" w14:textId="77777777" w:rsidTr="000B4E2C">
        <w:trPr>
          <w:cantSplit/>
        </w:trPr>
        <w:tc>
          <w:tcPr>
            <w:tcW w:w="0" w:type="auto"/>
            <w:shd w:val="clear" w:color="auto" w:fill="auto"/>
            <w:noWrap/>
            <w:hideMark/>
          </w:tcPr>
          <w:p w14:paraId="412F89C6" w14:textId="77777777" w:rsidR="002F0133" w:rsidRPr="000B4E2C" w:rsidRDefault="002F0133" w:rsidP="008A7464">
            <w:pPr>
              <w:rPr>
                <w:lang w:eastAsia="en-GB"/>
              </w:rPr>
            </w:pPr>
            <w:r w:rsidRPr="000B4E2C">
              <w:rPr>
                <w:lang w:eastAsia="en-GB"/>
              </w:rPr>
              <w:t>Dewey</w:t>
            </w:r>
          </w:p>
        </w:tc>
        <w:tc>
          <w:tcPr>
            <w:tcW w:w="0" w:type="auto"/>
            <w:shd w:val="clear" w:color="auto" w:fill="auto"/>
            <w:noWrap/>
            <w:hideMark/>
          </w:tcPr>
          <w:p w14:paraId="57C5594E"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48FFE026"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1B46F157" w14:textId="77777777" w:rsidR="002F0133" w:rsidRPr="000B4E2C" w:rsidRDefault="002F0133" w:rsidP="008A7464">
            <w:pPr>
              <w:rPr>
                <w:highlight w:val="green"/>
                <w:lang w:eastAsia="en-GB"/>
              </w:rPr>
            </w:pPr>
            <w:r w:rsidRPr="000B4E2C">
              <w:rPr>
                <w:highlight w:val="green"/>
                <w:lang w:eastAsia="en-GB"/>
              </w:rPr>
              <w:t>M. Dewey and E. Schonenberger. Increase in creatinine for the prediction of contrast-induced nephropathy. Radiology, 269(2), 623-624. [15385]</w:t>
            </w:r>
          </w:p>
        </w:tc>
      </w:tr>
      <w:tr w:rsidR="002F0133" w:rsidRPr="000B4E2C" w14:paraId="68182718" w14:textId="77777777" w:rsidTr="000B4E2C">
        <w:trPr>
          <w:cantSplit/>
        </w:trPr>
        <w:tc>
          <w:tcPr>
            <w:tcW w:w="0" w:type="auto"/>
            <w:shd w:val="clear" w:color="auto" w:fill="auto"/>
            <w:noWrap/>
            <w:hideMark/>
          </w:tcPr>
          <w:p w14:paraId="627ED21D" w14:textId="77777777" w:rsidR="002F0133" w:rsidRPr="000B4E2C" w:rsidRDefault="002F0133" w:rsidP="008A7464">
            <w:pPr>
              <w:rPr>
                <w:lang w:eastAsia="en-GB"/>
              </w:rPr>
            </w:pPr>
            <w:r w:rsidRPr="000B4E2C">
              <w:rPr>
                <w:lang w:eastAsia="en-GB"/>
              </w:rPr>
              <w:t xml:space="preserve">Dewitte </w:t>
            </w:r>
          </w:p>
        </w:tc>
        <w:tc>
          <w:tcPr>
            <w:tcW w:w="0" w:type="auto"/>
            <w:shd w:val="clear" w:color="auto" w:fill="auto"/>
            <w:noWrap/>
            <w:hideMark/>
          </w:tcPr>
          <w:p w14:paraId="364F8D3C"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4EA0373" w14:textId="0157D0C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09325A6" w14:textId="77777777" w:rsidR="002F0133" w:rsidRPr="000B4E2C" w:rsidRDefault="002F0133" w:rsidP="008A7464">
            <w:pPr>
              <w:rPr>
                <w:highlight w:val="green"/>
                <w:lang w:eastAsia="en-GB"/>
              </w:rPr>
            </w:pPr>
            <w:r w:rsidRPr="000B4E2C">
              <w:rPr>
                <w:highlight w:val="green"/>
                <w:lang w:eastAsia="en-GB"/>
              </w:rPr>
              <w:t>A. Dewitte, O. Joannes-Boyau, C. Sidobre, C. Fleureau, M. L. Bats, P. Derache, S. Leuillet, J. Ripoche, C. Combe and A. Ouattara. Kinetic eGFR and novel AKI biomarkers to predict renal recovery. Clinical Journal of the American Society of Nephrology, 10(11), 1900-1910. [15386]</w:t>
            </w:r>
          </w:p>
        </w:tc>
      </w:tr>
      <w:tr w:rsidR="002F0133" w:rsidRPr="000B4E2C" w14:paraId="6FB8317E" w14:textId="77777777" w:rsidTr="000B4E2C">
        <w:trPr>
          <w:cantSplit/>
        </w:trPr>
        <w:tc>
          <w:tcPr>
            <w:tcW w:w="0" w:type="auto"/>
            <w:shd w:val="clear" w:color="auto" w:fill="auto"/>
            <w:noWrap/>
            <w:hideMark/>
          </w:tcPr>
          <w:p w14:paraId="01A0C31A" w14:textId="77777777" w:rsidR="002F0133" w:rsidRPr="000B4E2C" w:rsidRDefault="002F0133" w:rsidP="008A7464">
            <w:pPr>
              <w:rPr>
                <w:lang w:eastAsia="en-GB"/>
              </w:rPr>
            </w:pPr>
            <w:r w:rsidRPr="000B4E2C">
              <w:rPr>
                <w:lang w:eastAsia="en-GB"/>
              </w:rPr>
              <w:lastRenderedPageBreak/>
              <w:t>Di Nardo</w:t>
            </w:r>
          </w:p>
        </w:tc>
        <w:tc>
          <w:tcPr>
            <w:tcW w:w="0" w:type="auto"/>
            <w:shd w:val="clear" w:color="auto" w:fill="auto"/>
            <w:noWrap/>
            <w:hideMark/>
          </w:tcPr>
          <w:p w14:paraId="0F6967D5"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59C11060" w14:textId="31A204B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E9E087B" w14:textId="77777777" w:rsidR="002F0133" w:rsidRPr="000B4E2C" w:rsidRDefault="002F0133" w:rsidP="008A7464">
            <w:pPr>
              <w:rPr>
                <w:highlight w:val="green"/>
                <w:lang w:eastAsia="en-GB"/>
              </w:rPr>
            </w:pPr>
            <w:r w:rsidRPr="000B4E2C">
              <w:rPr>
                <w:highlight w:val="green"/>
                <w:lang w:eastAsia="en-GB"/>
              </w:rPr>
              <w:t>M. Di Nardo, A. Ficarella, Z. Ricci, R. Luciano, F. Stoppa, S. Picardo, S. Picca, M. Muraca and P. Cogo. Impact of severe sepsis on serum and urinary biomarkers of acute kidney injury in critically ill children: An observational study. Blood Purification, 35(1-3), 172-176. [15391]</w:t>
            </w:r>
          </w:p>
        </w:tc>
      </w:tr>
      <w:tr w:rsidR="002F0133" w:rsidRPr="000B4E2C" w14:paraId="401ABECA" w14:textId="77777777" w:rsidTr="000B4E2C">
        <w:trPr>
          <w:cantSplit/>
        </w:trPr>
        <w:tc>
          <w:tcPr>
            <w:tcW w:w="0" w:type="auto"/>
            <w:shd w:val="clear" w:color="auto" w:fill="auto"/>
            <w:noWrap/>
            <w:hideMark/>
          </w:tcPr>
          <w:p w14:paraId="084FB4AD" w14:textId="77777777" w:rsidR="002F0133" w:rsidRPr="000B4E2C" w:rsidRDefault="002F0133" w:rsidP="008A7464">
            <w:pPr>
              <w:rPr>
                <w:lang w:eastAsia="en-GB"/>
              </w:rPr>
            </w:pPr>
            <w:r w:rsidRPr="000B4E2C">
              <w:rPr>
                <w:lang w:eastAsia="en-GB"/>
              </w:rPr>
              <w:t>Diaz de Leon-Martinez</w:t>
            </w:r>
          </w:p>
        </w:tc>
        <w:tc>
          <w:tcPr>
            <w:tcW w:w="0" w:type="auto"/>
            <w:shd w:val="clear" w:color="auto" w:fill="auto"/>
            <w:noWrap/>
            <w:hideMark/>
          </w:tcPr>
          <w:p w14:paraId="74D2F4BC"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5C03D0B9" w14:textId="508AF11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96B2FF0" w14:textId="77777777" w:rsidR="002F0133" w:rsidRPr="000B4E2C" w:rsidRDefault="002F0133" w:rsidP="008A7464">
            <w:pPr>
              <w:rPr>
                <w:highlight w:val="green"/>
                <w:lang w:eastAsia="en-GB"/>
              </w:rPr>
            </w:pPr>
            <w:r w:rsidRPr="000B4E2C">
              <w:rPr>
                <w:highlight w:val="green"/>
                <w:lang w:eastAsia="en-GB"/>
              </w:rPr>
              <w:t>L. Diaz de Leon-Martinez, F. Diaz-Barriga, O. Barbier, D. L. G. Ortiz, M. Ortega-Romero, F. Perez-Vazquez and R. Flores-Ramirez. Evaluation of emerging biomarkers of renal damage and exposure to aflatoxin-B1 in Mexican indigenous women: a pilot study. Environmental science and pollution research international, 26(12), 12205-12216. [15395]</w:t>
            </w:r>
          </w:p>
        </w:tc>
      </w:tr>
      <w:tr w:rsidR="002F0133" w:rsidRPr="000B4E2C" w14:paraId="2AF04F23" w14:textId="77777777" w:rsidTr="000B4E2C">
        <w:trPr>
          <w:cantSplit/>
        </w:trPr>
        <w:tc>
          <w:tcPr>
            <w:tcW w:w="0" w:type="auto"/>
            <w:shd w:val="clear" w:color="auto" w:fill="auto"/>
            <w:noWrap/>
            <w:hideMark/>
          </w:tcPr>
          <w:p w14:paraId="5D16127D" w14:textId="77777777" w:rsidR="002F0133" w:rsidRPr="000B4E2C" w:rsidRDefault="002F0133" w:rsidP="008A7464">
            <w:pPr>
              <w:rPr>
                <w:lang w:eastAsia="en-GB"/>
              </w:rPr>
            </w:pPr>
            <w:r w:rsidRPr="000B4E2C">
              <w:rPr>
                <w:lang w:eastAsia="en-GB"/>
              </w:rPr>
              <w:t>Doi</w:t>
            </w:r>
          </w:p>
        </w:tc>
        <w:tc>
          <w:tcPr>
            <w:tcW w:w="0" w:type="auto"/>
            <w:shd w:val="clear" w:color="auto" w:fill="auto"/>
            <w:noWrap/>
            <w:hideMark/>
          </w:tcPr>
          <w:p w14:paraId="32D02DB6"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777672F5"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16252B06" w14:textId="77777777" w:rsidR="002F0133" w:rsidRPr="000B4E2C" w:rsidRDefault="002F0133" w:rsidP="008A7464">
            <w:pPr>
              <w:rPr>
                <w:highlight w:val="green"/>
                <w:lang w:eastAsia="en-GB"/>
              </w:rPr>
            </w:pPr>
            <w:r w:rsidRPr="000B4E2C">
              <w:rPr>
                <w:highlight w:val="green"/>
                <w:lang w:eastAsia="en-GB"/>
              </w:rPr>
              <w:t>K. Doi, M. Urata, D. Katagiri, M. Inamori, S. Murata, M. Hisagi, M. Ono, T. Matsubara, T. Ishii, N. Yahagi, M. Nangaku and E. Noiri. Plasma neutrophil gelatinase-associated lipocalin in acute kidney injury superimposed on chronic kidney disease after cardiac surgery: A multicenter prospective study. Critical Care, 17(6), R270. [15408]</w:t>
            </w:r>
          </w:p>
        </w:tc>
      </w:tr>
      <w:tr w:rsidR="002F0133" w:rsidRPr="000B4E2C" w14:paraId="09623079" w14:textId="77777777" w:rsidTr="000B4E2C">
        <w:trPr>
          <w:cantSplit/>
        </w:trPr>
        <w:tc>
          <w:tcPr>
            <w:tcW w:w="0" w:type="auto"/>
            <w:shd w:val="clear" w:color="auto" w:fill="auto"/>
            <w:noWrap/>
            <w:hideMark/>
          </w:tcPr>
          <w:p w14:paraId="6018AFE7" w14:textId="77777777" w:rsidR="002F0133" w:rsidRPr="000B4E2C" w:rsidRDefault="002F0133" w:rsidP="008A7464">
            <w:pPr>
              <w:rPr>
                <w:lang w:eastAsia="en-GB"/>
              </w:rPr>
            </w:pPr>
            <w:r w:rsidRPr="000B4E2C">
              <w:rPr>
                <w:lang w:eastAsia="en-GB"/>
              </w:rPr>
              <w:t>Donadio</w:t>
            </w:r>
          </w:p>
        </w:tc>
        <w:tc>
          <w:tcPr>
            <w:tcW w:w="0" w:type="auto"/>
            <w:shd w:val="clear" w:color="auto" w:fill="auto"/>
            <w:noWrap/>
            <w:hideMark/>
          </w:tcPr>
          <w:p w14:paraId="2E2127FB"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90793B6"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42BA8A8E" w14:textId="77777777" w:rsidR="002F0133" w:rsidRPr="000B4E2C" w:rsidRDefault="002F0133" w:rsidP="008A7464">
            <w:pPr>
              <w:rPr>
                <w:highlight w:val="green"/>
                <w:lang w:eastAsia="en-GB"/>
              </w:rPr>
            </w:pPr>
            <w:r w:rsidRPr="000B4E2C">
              <w:rPr>
                <w:highlight w:val="green"/>
                <w:lang w:eastAsia="en-GB"/>
              </w:rPr>
              <w:t>C. Donadio. Effect of glomerular filtration rate impairment on diagnostic performance of neutrophil gelatinase-associated lipocalin and B-type natriuretic peptide as markers of acute cardiac and renal failure in chronic kidney disease patients. Critical Care, 18(1), R39. [15414]</w:t>
            </w:r>
          </w:p>
        </w:tc>
      </w:tr>
      <w:tr w:rsidR="002F0133" w:rsidRPr="000B4E2C" w14:paraId="2ADE4D96" w14:textId="77777777" w:rsidTr="000B4E2C">
        <w:trPr>
          <w:cantSplit/>
        </w:trPr>
        <w:tc>
          <w:tcPr>
            <w:tcW w:w="0" w:type="auto"/>
            <w:shd w:val="clear" w:color="auto" w:fill="auto"/>
            <w:noWrap/>
            <w:hideMark/>
          </w:tcPr>
          <w:p w14:paraId="16EA3EFE" w14:textId="77777777" w:rsidR="002F0133" w:rsidRPr="000B4E2C" w:rsidRDefault="002F0133" w:rsidP="008A7464">
            <w:pPr>
              <w:rPr>
                <w:lang w:eastAsia="en-GB"/>
              </w:rPr>
            </w:pPr>
            <w:r w:rsidRPr="000B4E2C">
              <w:rPr>
                <w:lang w:eastAsia="en-GB"/>
              </w:rPr>
              <w:t>Downes</w:t>
            </w:r>
          </w:p>
        </w:tc>
        <w:tc>
          <w:tcPr>
            <w:tcW w:w="0" w:type="auto"/>
            <w:shd w:val="clear" w:color="auto" w:fill="auto"/>
            <w:noWrap/>
            <w:hideMark/>
          </w:tcPr>
          <w:p w14:paraId="337F501F"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3631716E" w14:textId="1920B0B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1D95D55" w14:textId="77777777" w:rsidR="002F0133" w:rsidRPr="000B4E2C" w:rsidRDefault="002F0133" w:rsidP="008A7464">
            <w:pPr>
              <w:rPr>
                <w:highlight w:val="green"/>
                <w:lang w:eastAsia="en-GB"/>
              </w:rPr>
            </w:pPr>
            <w:r w:rsidRPr="000B4E2C">
              <w:rPr>
                <w:highlight w:val="green"/>
                <w:lang w:eastAsia="en-GB"/>
              </w:rPr>
              <w:t>K. J. Downes, M. Dong, T. Fukuda, J. P. Clancy, C. Haffner, M. R. Bennett, A. A. Vinks and S. L. Goldstein. Urinary kidney injury biomarkers and tobramycin clearance among children and young adults with cystic fibrosis: A population pharmacokinetic analysis. Journal of Antimicrobial Chemotherapy, 72(1), 254-260. [15418]</w:t>
            </w:r>
          </w:p>
        </w:tc>
      </w:tr>
      <w:tr w:rsidR="002F0133" w:rsidRPr="000B4E2C" w14:paraId="31F032BB" w14:textId="77777777" w:rsidTr="000B4E2C">
        <w:trPr>
          <w:cantSplit/>
        </w:trPr>
        <w:tc>
          <w:tcPr>
            <w:tcW w:w="0" w:type="auto"/>
            <w:shd w:val="clear" w:color="auto" w:fill="auto"/>
            <w:noWrap/>
            <w:hideMark/>
          </w:tcPr>
          <w:p w14:paraId="2D5346D0" w14:textId="77777777" w:rsidR="002F0133" w:rsidRPr="000B4E2C" w:rsidRDefault="002F0133" w:rsidP="008A7464">
            <w:pPr>
              <w:rPr>
                <w:lang w:eastAsia="en-GB"/>
              </w:rPr>
            </w:pPr>
            <w:r w:rsidRPr="000B4E2C">
              <w:rPr>
                <w:lang w:eastAsia="en-GB"/>
              </w:rPr>
              <w:t>Du</w:t>
            </w:r>
          </w:p>
        </w:tc>
        <w:tc>
          <w:tcPr>
            <w:tcW w:w="0" w:type="auto"/>
            <w:shd w:val="clear" w:color="auto" w:fill="auto"/>
            <w:noWrap/>
            <w:hideMark/>
          </w:tcPr>
          <w:p w14:paraId="6ED072CD"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4DD10920"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757E4C4" w14:textId="77777777" w:rsidR="002F0133" w:rsidRPr="000B4E2C" w:rsidRDefault="002F0133" w:rsidP="008A7464">
            <w:pPr>
              <w:rPr>
                <w:highlight w:val="green"/>
                <w:lang w:eastAsia="en-GB"/>
              </w:rPr>
            </w:pPr>
            <w:r w:rsidRPr="000B4E2C">
              <w:rPr>
                <w:highlight w:val="green"/>
                <w:lang w:eastAsia="en-GB"/>
              </w:rPr>
              <w:t>Y. Du, M. Zappitelli, A. Mian, M. Bennett, Q. Ma, P. Devarajan, R. Mehta and S. L. Goldstein. Urinary biomarkers to detect acute kidney injury in the pediatric emergency center. Pediatric Nephrology, 26(2), 267-274. [15422]</w:t>
            </w:r>
          </w:p>
        </w:tc>
      </w:tr>
      <w:tr w:rsidR="002F0133" w:rsidRPr="000B4E2C" w14:paraId="4B939221" w14:textId="77777777" w:rsidTr="000B4E2C">
        <w:trPr>
          <w:cantSplit/>
        </w:trPr>
        <w:tc>
          <w:tcPr>
            <w:tcW w:w="0" w:type="auto"/>
            <w:shd w:val="clear" w:color="auto" w:fill="auto"/>
            <w:noWrap/>
            <w:hideMark/>
          </w:tcPr>
          <w:p w14:paraId="66D70F9D" w14:textId="77777777" w:rsidR="002F0133" w:rsidRPr="000B4E2C" w:rsidRDefault="002F0133" w:rsidP="008A7464">
            <w:pPr>
              <w:rPr>
                <w:lang w:eastAsia="en-GB"/>
              </w:rPr>
            </w:pPr>
            <w:r w:rsidRPr="000B4E2C">
              <w:rPr>
                <w:lang w:eastAsia="en-GB"/>
              </w:rPr>
              <w:t>Du</w:t>
            </w:r>
          </w:p>
        </w:tc>
        <w:tc>
          <w:tcPr>
            <w:tcW w:w="0" w:type="auto"/>
            <w:shd w:val="clear" w:color="auto" w:fill="auto"/>
            <w:noWrap/>
            <w:hideMark/>
          </w:tcPr>
          <w:p w14:paraId="637EF883"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1910AACF" w14:textId="00555C4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F758C49" w14:textId="77777777" w:rsidR="002F0133" w:rsidRPr="000B4E2C" w:rsidRDefault="002F0133" w:rsidP="008A7464">
            <w:pPr>
              <w:rPr>
                <w:highlight w:val="green"/>
                <w:lang w:eastAsia="en-GB"/>
              </w:rPr>
            </w:pPr>
            <w:r w:rsidRPr="000B4E2C">
              <w:rPr>
                <w:highlight w:val="green"/>
                <w:lang w:eastAsia="en-GB"/>
              </w:rPr>
              <w:t>Y. Du, L. Hou, J. Guo, T. Sun, X. Wang and Y. Wu. Renal neutrophil gelatinase-associated lipocalin and kidney injury molecule-1 expression in children with acute kidney injury and Henoch-Schonlein purpura nephritis. Experimental and Therapeutic Medicine, 7(5), 1130-1134. [15421]</w:t>
            </w:r>
          </w:p>
        </w:tc>
      </w:tr>
      <w:tr w:rsidR="002F0133" w:rsidRPr="000B4E2C" w14:paraId="442C6154" w14:textId="77777777" w:rsidTr="000B4E2C">
        <w:trPr>
          <w:cantSplit/>
        </w:trPr>
        <w:tc>
          <w:tcPr>
            <w:tcW w:w="0" w:type="auto"/>
            <w:shd w:val="clear" w:color="auto" w:fill="auto"/>
            <w:noWrap/>
            <w:hideMark/>
          </w:tcPr>
          <w:p w14:paraId="7759CC02" w14:textId="77777777" w:rsidR="002F0133" w:rsidRPr="000B4E2C" w:rsidRDefault="002F0133" w:rsidP="008A7464">
            <w:pPr>
              <w:rPr>
                <w:lang w:eastAsia="en-GB"/>
              </w:rPr>
            </w:pPr>
            <w:r w:rsidRPr="000B4E2C">
              <w:rPr>
                <w:lang w:eastAsia="en-GB"/>
              </w:rPr>
              <w:t>Du</w:t>
            </w:r>
          </w:p>
        </w:tc>
        <w:tc>
          <w:tcPr>
            <w:tcW w:w="0" w:type="auto"/>
            <w:shd w:val="clear" w:color="auto" w:fill="auto"/>
            <w:noWrap/>
            <w:hideMark/>
          </w:tcPr>
          <w:p w14:paraId="4AF468A1"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1D5EC4BA" w14:textId="1E9381B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7ADDE0C" w14:textId="77777777" w:rsidR="002F0133" w:rsidRPr="000B4E2C" w:rsidRDefault="002F0133" w:rsidP="008A7464">
            <w:pPr>
              <w:rPr>
                <w:highlight w:val="green"/>
                <w:lang w:eastAsia="en-GB"/>
              </w:rPr>
            </w:pPr>
            <w:r w:rsidRPr="000B4E2C">
              <w:rPr>
                <w:highlight w:val="green"/>
                <w:lang w:eastAsia="en-GB"/>
              </w:rPr>
              <w:t>W. Du, T. Shen, H. Li, Y. Liu, L. He, L. Tan and M. Hu. Urinary NGAL for the diagnosis of the renal injury from multiple myeloma. Cancer Biomarkers, 18(1), 41-46. [15420]</w:t>
            </w:r>
          </w:p>
        </w:tc>
      </w:tr>
      <w:tr w:rsidR="002F0133" w:rsidRPr="000B4E2C" w14:paraId="6EEA11B9" w14:textId="77777777" w:rsidTr="000B4E2C">
        <w:trPr>
          <w:cantSplit/>
        </w:trPr>
        <w:tc>
          <w:tcPr>
            <w:tcW w:w="0" w:type="auto"/>
            <w:shd w:val="clear" w:color="auto" w:fill="auto"/>
            <w:noWrap/>
            <w:hideMark/>
          </w:tcPr>
          <w:p w14:paraId="759EADBA" w14:textId="77777777" w:rsidR="002F0133" w:rsidRPr="000B4E2C" w:rsidRDefault="002F0133" w:rsidP="008A7464">
            <w:pPr>
              <w:rPr>
                <w:lang w:eastAsia="en-GB"/>
              </w:rPr>
            </w:pPr>
            <w:r w:rsidRPr="000B4E2C">
              <w:rPr>
                <w:lang w:eastAsia="en-GB"/>
              </w:rPr>
              <w:t>Dubin</w:t>
            </w:r>
          </w:p>
        </w:tc>
        <w:tc>
          <w:tcPr>
            <w:tcW w:w="0" w:type="auto"/>
            <w:shd w:val="clear" w:color="auto" w:fill="auto"/>
            <w:noWrap/>
            <w:hideMark/>
          </w:tcPr>
          <w:p w14:paraId="637BAD15"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AABE9DB"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0372743" w14:textId="77777777" w:rsidR="002F0133" w:rsidRPr="000B4E2C" w:rsidRDefault="002F0133" w:rsidP="008A7464">
            <w:pPr>
              <w:rPr>
                <w:highlight w:val="green"/>
                <w:lang w:eastAsia="en-GB"/>
              </w:rPr>
            </w:pPr>
            <w:r w:rsidRPr="000B4E2C">
              <w:rPr>
                <w:highlight w:val="green"/>
                <w:lang w:eastAsia="en-GB"/>
              </w:rPr>
              <w:t>R. F. Dubin, S. Judd, R. Scherzer, M. Shlipak, D. G. Warnock, M. Cushman, M. Sarnak, C. Parikh, M. Bennett, N. Powe and C. A. Peralta. Urinary Tubular Injury Biomarkers Are Associated With ESRD and Death in the REGARDS Study. Kidney international reports, 3(5), 1183-1192. [15423]</w:t>
            </w:r>
          </w:p>
        </w:tc>
      </w:tr>
      <w:tr w:rsidR="002F0133" w:rsidRPr="000B4E2C" w14:paraId="0C0AAD7D" w14:textId="77777777" w:rsidTr="000B4E2C">
        <w:trPr>
          <w:cantSplit/>
        </w:trPr>
        <w:tc>
          <w:tcPr>
            <w:tcW w:w="0" w:type="auto"/>
            <w:shd w:val="clear" w:color="auto" w:fill="auto"/>
            <w:noWrap/>
            <w:hideMark/>
          </w:tcPr>
          <w:p w14:paraId="24B6E4FD" w14:textId="77777777" w:rsidR="002F0133" w:rsidRPr="000B4E2C" w:rsidRDefault="002F0133" w:rsidP="008A7464">
            <w:pPr>
              <w:rPr>
                <w:lang w:eastAsia="en-GB"/>
              </w:rPr>
            </w:pPr>
            <w:r w:rsidRPr="000B4E2C">
              <w:rPr>
                <w:lang w:eastAsia="en-GB"/>
              </w:rPr>
              <w:t xml:space="preserve">Dusse </w:t>
            </w:r>
          </w:p>
        </w:tc>
        <w:tc>
          <w:tcPr>
            <w:tcW w:w="0" w:type="auto"/>
            <w:shd w:val="clear" w:color="auto" w:fill="auto"/>
            <w:noWrap/>
            <w:hideMark/>
          </w:tcPr>
          <w:p w14:paraId="177B7E47"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7A81E64" w14:textId="412171E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7A2CFCD" w14:textId="77777777" w:rsidR="002F0133" w:rsidRPr="000B4E2C" w:rsidRDefault="002F0133" w:rsidP="008A7464">
            <w:pPr>
              <w:rPr>
                <w:highlight w:val="green"/>
                <w:lang w:eastAsia="en-GB"/>
              </w:rPr>
            </w:pPr>
            <w:r w:rsidRPr="000B4E2C">
              <w:rPr>
                <w:highlight w:val="green"/>
                <w:lang w:eastAsia="en-GB"/>
              </w:rPr>
              <w:t>F. Dusse, M. Edayadiyil-Dudasova, M. Thielmann, D. Wendt, P. Kahlert, E. Demircioglu, H. Jakob, S. T. Schaefer and K. Pilarczyk. Early prediction of acute kidney injury after transapical and transaortic aortic valve implantation with urinary G1 cell cycle arrest biomarkers. BMC Anesthesiology, 16(1), 76. [15429]</w:t>
            </w:r>
          </w:p>
        </w:tc>
      </w:tr>
      <w:tr w:rsidR="002F0133" w:rsidRPr="000B4E2C" w14:paraId="699443D1" w14:textId="77777777" w:rsidTr="000B4E2C">
        <w:trPr>
          <w:cantSplit/>
        </w:trPr>
        <w:tc>
          <w:tcPr>
            <w:tcW w:w="0" w:type="auto"/>
            <w:shd w:val="clear" w:color="auto" w:fill="auto"/>
            <w:noWrap/>
            <w:hideMark/>
          </w:tcPr>
          <w:p w14:paraId="10AE48DD" w14:textId="77777777" w:rsidR="002F0133" w:rsidRPr="000B4E2C" w:rsidRDefault="002F0133" w:rsidP="008A7464">
            <w:pPr>
              <w:rPr>
                <w:lang w:eastAsia="en-GB"/>
              </w:rPr>
            </w:pPr>
            <w:r w:rsidRPr="000B4E2C">
              <w:rPr>
                <w:lang w:eastAsia="en-GB"/>
              </w:rPr>
              <w:t>Dwipa</w:t>
            </w:r>
          </w:p>
        </w:tc>
        <w:tc>
          <w:tcPr>
            <w:tcW w:w="0" w:type="auto"/>
            <w:shd w:val="clear" w:color="auto" w:fill="auto"/>
            <w:noWrap/>
            <w:hideMark/>
          </w:tcPr>
          <w:p w14:paraId="092DFF76"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44ADF5AF" w14:textId="107C217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0B70DAB" w14:textId="77777777" w:rsidR="002F0133" w:rsidRPr="000B4E2C" w:rsidRDefault="002F0133" w:rsidP="008A7464">
            <w:pPr>
              <w:rPr>
                <w:highlight w:val="green"/>
                <w:lang w:eastAsia="en-GB"/>
              </w:rPr>
            </w:pPr>
            <w:r w:rsidRPr="000B4E2C">
              <w:rPr>
                <w:highlight w:val="green"/>
                <w:lang w:eastAsia="en-GB"/>
              </w:rPr>
              <w:t>L. Dwipa, R. Soelaeman, R. M. Roesli, E. Martanto and I. G. Adhiarta. Cardiometabolic risk factors and acute kidney injury based on urinary neutrophil gelatinase associated lipocalin (NGALu) in acute coronary syndrome patients. Acta medica Indonesiana, 44(1), 3-9. [15430]</w:t>
            </w:r>
          </w:p>
        </w:tc>
      </w:tr>
      <w:tr w:rsidR="002F0133" w:rsidRPr="000B4E2C" w14:paraId="089D6C7B" w14:textId="77777777" w:rsidTr="000B4E2C">
        <w:trPr>
          <w:cantSplit/>
        </w:trPr>
        <w:tc>
          <w:tcPr>
            <w:tcW w:w="0" w:type="auto"/>
            <w:shd w:val="clear" w:color="auto" w:fill="auto"/>
            <w:noWrap/>
            <w:hideMark/>
          </w:tcPr>
          <w:p w14:paraId="77FA9BF0" w14:textId="77777777" w:rsidR="002F0133" w:rsidRPr="000B4E2C" w:rsidRDefault="002F0133" w:rsidP="008A7464">
            <w:pPr>
              <w:rPr>
                <w:lang w:eastAsia="en-GB"/>
              </w:rPr>
            </w:pPr>
            <w:r w:rsidRPr="000B4E2C">
              <w:rPr>
                <w:lang w:eastAsia="en-GB"/>
              </w:rPr>
              <w:t>Egal</w:t>
            </w:r>
          </w:p>
        </w:tc>
        <w:tc>
          <w:tcPr>
            <w:tcW w:w="0" w:type="auto"/>
            <w:shd w:val="clear" w:color="auto" w:fill="auto"/>
            <w:noWrap/>
            <w:hideMark/>
          </w:tcPr>
          <w:p w14:paraId="643D3F6B"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1CB6E82E"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2FF5ED4D" w14:textId="77777777" w:rsidR="002F0133" w:rsidRPr="000B4E2C" w:rsidRDefault="002F0133" w:rsidP="008A7464">
            <w:pPr>
              <w:rPr>
                <w:highlight w:val="green"/>
                <w:lang w:eastAsia="en-GB"/>
              </w:rPr>
            </w:pPr>
            <w:r w:rsidRPr="000B4E2C">
              <w:rPr>
                <w:highlight w:val="green"/>
                <w:lang w:eastAsia="en-GB"/>
              </w:rPr>
              <w:t>M. Egal, H. R. H. De Geus and A. B. J. Groeneveld. Neutrophil Gelatinase-Associated Lipocalin as a Diagnostic Marker for Acute Kidney Injury in Oliguric Critically Ill Patients: A Post-Hoc Analysis. Nephron, 134(2), 81-88. [15437]</w:t>
            </w:r>
          </w:p>
        </w:tc>
      </w:tr>
      <w:tr w:rsidR="002F0133" w:rsidRPr="000B4E2C" w14:paraId="7D1C47F6" w14:textId="77777777" w:rsidTr="000B4E2C">
        <w:trPr>
          <w:cantSplit/>
        </w:trPr>
        <w:tc>
          <w:tcPr>
            <w:tcW w:w="0" w:type="auto"/>
            <w:shd w:val="clear" w:color="auto" w:fill="auto"/>
            <w:noWrap/>
            <w:hideMark/>
          </w:tcPr>
          <w:p w14:paraId="1A57656E" w14:textId="77777777" w:rsidR="002F0133" w:rsidRPr="000B4E2C" w:rsidRDefault="002F0133" w:rsidP="008A7464">
            <w:pPr>
              <w:rPr>
                <w:lang w:eastAsia="en-GB"/>
              </w:rPr>
            </w:pPr>
            <w:r w:rsidRPr="000B4E2C">
              <w:rPr>
                <w:lang w:eastAsia="en-GB"/>
              </w:rPr>
              <w:lastRenderedPageBreak/>
              <w:t>Eilenberg</w:t>
            </w:r>
          </w:p>
        </w:tc>
        <w:tc>
          <w:tcPr>
            <w:tcW w:w="0" w:type="auto"/>
            <w:shd w:val="clear" w:color="auto" w:fill="auto"/>
            <w:noWrap/>
            <w:hideMark/>
          </w:tcPr>
          <w:p w14:paraId="25DAF006"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B36DF75" w14:textId="7C28F7F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3277E11" w14:textId="77777777" w:rsidR="002F0133" w:rsidRPr="000B4E2C" w:rsidRDefault="002F0133" w:rsidP="008A7464">
            <w:pPr>
              <w:rPr>
                <w:highlight w:val="green"/>
                <w:lang w:eastAsia="en-GB"/>
              </w:rPr>
            </w:pPr>
            <w:r w:rsidRPr="000B4E2C">
              <w:rPr>
                <w:highlight w:val="green"/>
                <w:lang w:eastAsia="en-GB"/>
              </w:rPr>
              <w:t>W. Eilenberg, S. Stojkovic, A. Piechota-Polanczyk, C. Kaun, S. Rauscher, M. Groger, M. Klinger, J. Wojta, C. Neumayer, I. Huk and S. Demyanets. Neutrophil Gelatinase-Associated Lipocalin (NGAL) is Associated with Symptomatic Carotid Atherosclerosis and Drives Pro-inflammatory State in Vitro. European Journal of Vascular and Endovascular Surgery, 51(5), 623-631. [15438]</w:t>
            </w:r>
          </w:p>
        </w:tc>
      </w:tr>
      <w:tr w:rsidR="002F0133" w:rsidRPr="000B4E2C" w14:paraId="4FCD30C1" w14:textId="77777777" w:rsidTr="000B4E2C">
        <w:trPr>
          <w:cantSplit/>
        </w:trPr>
        <w:tc>
          <w:tcPr>
            <w:tcW w:w="0" w:type="auto"/>
            <w:shd w:val="clear" w:color="auto" w:fill="auto"/>
            <w:noWrap/>
            <w:hideMark/>
          </w:tcPr>
          <w:p w14:paraId="410196E3" w14:textId="77777777" w:rsidR="002F0133" w:rsidRPr="000B4E2C" w:rsidRDefault="002F0133" w:rsidP="008A7464">
            <w:pPr>
              <w:rPr>
                <w:lang w:eastAsia="en-GB"/>
              </w:rPr>
            </w:pPr>
            <w:r w:rsidRPr="000B4E2C">
              <w:rPr>
                <w:lang w:eastAsia="en-GB"/>
              </w:rPr>
              <w:t>Eirin</w:t>
            </w:r>
          </w:p>
        </w:tc>
        <w:tc>
          <w:tcPr>
            <w:tcW w:w="0" w:type="auto"/>
            <w:shd w:val="clear" w:color="auto" w:fill="auto"/>
            <w:noWrap/>
            <w:hideMark/>
          </w:tcPr>
          <w:p w14:paraId="7506594E"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0F9CF32F" w14:textId="14CEDE7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32A10A4" w14:textId="77777777" w:rsidR="002F0133" w:rsidRPr="000B4E2C" w:rsidRDefault="002F0133" w:rsidP="008A7464">
            <w:pPr>
              <w:rPr>
                <w:highlight w:val="green"/>
                <w:lang w:eastAsia="en-GB"/>
              </w:rPr>
            </w:pPr>
            <w:r w:rsidRPr="000B4E2C">
              <w:rPr>
                <w:highlight w:val="green"/>
                <w:lang w:eastAsia="en-GB"/>
              </w:rPr>
              <w:t>A. Eirin, M. L. Gloviczki, H. Tang, A. D. Rule, J. R. Woollard, A. Lerman, S. C. Textor and L. O. Lerman. Chronic renovascular hypertension is associated with elevated levels of neutrophil gelatinase-associated lipocalin. Nephrology Dialysis Transplantation, 27(11), 4153-4161. [15440]</w:t>
            </w:r>
          </w:p>
        </w:tc>
      </w:tr>
      <w:tr w:rsidR="002F0133" w:rsidRPr="000B4E2C" w14:paraId="15B039E1" w14:textId="77777777" w:rsidTr="000B4E2C">
        <w:trPr>
          <w:cantSplit/>
        </w:trPr>
        <w:tc>
          <w:tcPr>
            <w:tcW w:w="0" w:type="auto"/>
            <w:shd w:val="clear" w:color="auto" w:fill="auto"/>
            <w:noWrap/>
            <w:hideMark/>
          </w:tcPr>
          <w:p w14:paraId="0DD43967" w14:textId="77777777" w:rsidR="002F0133" w:rsidRPr="000B4E2C" w:rsidRDefault="002F0133" w:rsidP="008A7464">
            <w:pPr>
              <w:rPr>
                <w:lang w:eastAsia="en-GB"/>
              </w:rPr>
            </w:pPr>
            <w:r w:rsidRPr="000B4E2C">
              <w:rPr>
                <w:lang w:eastAsia="en-GB"/>
              </w:rPr>
              <w:t>Eisenhart</w:t>
            </w:r>
          </w:p>
        </w:tc>
        <w:tc>
          <w:tcPr>
            <w:tcW w:w="0" w:type="auto"/>
            <w:shd w:val="clear" w:color="auto" w:fill="auto"/>
            <w:noWrap/>
            <w:hideMark/>
          </w:tcPr>
          <w:p w14:paraId="21AADD5E"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32FB146C"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54B52B1" w14:textId="77777777" w:rsidR="002F0133" w:rsidRPr="000B4E2C" w:rsidRDefault="002F0133" w:rsidP="008A7464">
            <w:pPr>
              <w:rPr>
                <w:highlight w:val="green"/>
                <w:lang w:eastAsia="en-GB"/>
              </w:rPr>
            </w:pPr>
            <w:r w:rsidRPr="000B4E2C">
              <w:rPr>
                <w:highlight w:val="green"/>
                <w:lang w:eastAsia="en-GB"/>
              </w:rPr>
              <w:t>E. Eisenhart, S. Benson, P. Lacombe, J. Himmelfarb, R. Zimmerman, B. Schimelman and M. G. Parker. Safety of Low Volume Iodinated Contrast Administration for Arteriovenous Fistula Intervention in Chronic Kidney Disease Stage 4 or 5 Utilizing a Bicarbonate Prophylaxis Strategy. Seminars in Dialysis, 23(6), 638-642. [15441]</w:t>
            </w:r>
          </w:p>
        </w:tc>
      </w:tr>
      <w:tr w:rsidR="002F0133" w:rsidRPr="000B4E2C" w14:paraId="7CC04AAF" w14:textId="77777777" w:rsidTr="000B4E2C">
        <w:trPr>
          <w:cantSplit/>
        </w:trPr>
        <w:tc>
          <w:tcPr>
            <w:tcW w:w="0" w:type="auto"/>
            <w:shd w:val="clear" w:color="auto" w:fill="auto"/>
            <w:noWrap/>
            <w:hideMark/>
          </w:tcPr>
          <w:p w14:paraId="24A91D98" w14:textId="77777777" w:rsidR="002F0133" w:rsidRPr="000B4E2C" w:rsidRDefault="002F0133" w:rsidP="008A7464">
            <w:pPr>
              <w:rPr>
                <w:lang w:eastAsia="en-GB"/>
              </w:rPr>
            </w:pPr>
            <w:r w:rsidRPr="000B4E2C">
              <w:rPr>
                <w:lang w:eastAsia="en-GB"/>
              </w:rPr>
              <w:t>Ejaz</w:t>
            </w:r>
          </w:p>
        </w:tc>
        <w:tc>
          <w:tcPr>
            <w:tcW w:w="0" w:type="auto"/>
            <w:shd w:val="clear" w:color="auto" w:fill="auto"/>
            <w:noWrap/>
            <w:hideMark/>
          </w:tcPr>
          <w:p w14:paraId="06E1142F"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3CFF8E3" w14:textId="41DB17F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C8BDD93" w14:textId="77777777" w:rsidR="002F0133" w:rsidRPr="000B4E2C" w:rsidRDefault="002F0133" w:rsidP="008A7464">
            <w:pPr>
              <w:rPr>
                <w:highlight w:val="green"/>
                <w:lang w:eastAsia="en-GB"/>
              </w:rPr>
            </w:pPr>
            <w:r w:rsidRPr="000B4E2C">
              <w:rPr>
                <w:highlight w:val="green"/>
                <w:lang w:eastAsia="en-GB"/>
              </w:rPr>
              <w:t>A. A. Ejaz, K. F. Alquadan, B. Dass, M. Shimada, M. Kanbay and R. J. Johnson. Effects of Serum Uric Acid on Estimated GFR in Cardiac Surgery Patients: A Pilot Study. American Journal of Nephrology, 42(6), 402-409. [15442]</w:t>
            </w:r>
          </w:p>
        </w:tc>
      </w:tr>
      <w:tr w:rsidR="002F0133" w:rsidRPr="000B4E2C" w14:paraId="54F67CFC" w14:textId="77777777" w:rsidTr="000B4E2C">
        <w:trPr>
          <w:cantSplit/>
        </w:trPr>
        <w:tc>
          <w:tcPr>
            <w:tcW w:w="0" w:type="auto"/>
            <w:shd w:val="clear" w:color="auto" w:fill="auto"/>
            <w:noWrap/>
            <w:hideMark/>
          </w:tcPr>
          <w:p w14:paraId="77FE0632" w14:textId="77777777" w:rsidR="002F0133" w:rsidRPr="000B4E2C" w:rsidRDefault="002F0133" w:rsidP="008A7464">
            <w:pPr>
              <w:rPr>
                <w:lang w:eastAsia="en-GB"/>
              </w:rPr>
            </w:pPr>
            <w:r w:rsidRPr="000B4E2C">
              <w:rPr>
                <w:lang w:eastAsia="en-GB"/>
              </w:rPr>
              <w:t>El Raggal</w:t>
            </w:r>
          </w:p>
        </w:tc>
        <w:tc>
          <w:tcPr>
            <w:tcW w:w="0" w:type="auto"/>
            <w:shd w:val="clear" w:color="auto" w:fill="auto"/>
            <w:noWrap/>
            <w:hideMark/>
          </w:tcPr>
          <w:p w14:paraId="67409849"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341F068E" w14:textId="06FC659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54B4DDA" w14:textId="77777777" w:rsidR="002F0133" w:rsidRPr="000B4E2C" w:rsidRDefault="002F0133" w:rsidP="008A7464">
            <w:pPr>
              <w:rPr>
                <w:highlight w:val="green"/>
                <w:lang w:eastAsia="en-GB"/>
              </w:rPr>
            </w:pPr>
            <w:r w:rsidRPr="000B4E2C">
              <w:rPr>
                <w:highlight w:val="green"/>
                <w:lang w:eastAsia="en-GB"/>
              </w:rPr>
              <w:t>N. M. El Raggal, S. M. Khafagy, N. H. Mahmoud and S. A. El Beltagy. Serum neutrophil gelatinase-associated lipocalin as a marker of acute kidney injury in asphyxiated neonates. Indian Pediatrics, 50(5), 459-462. [15448]</w:t>
            </w:r>
          </w:p>
        </w:tc>
      </w:tr>
      <w:tr w:rsidR="002F0133" w:rsidRPr="000B4E2C" w14:paraId="07A396A6" w14:textId="77777777" w:rsidTr="000B4E2C">
        <w:trPr>
          <w:cantSplit/>
        </w:trPr>
        <w:tc>
          <w:tcPr>
            <w:tcW w:w="0" w:type="auto"/>
            <w:shd w:val="clear" w:color="auto" w:fill="auto"/>
            <w:noWrap/>
            <w:hideMark/>
          </w:tcPr>
          <w:p w14:paraId="0F25B2C1" w14:textId="77777777" w:rsidR="002F0133" w:rsidRPr="000B4E2C" w:rsidRDefault="002F0133" w:rsidP="008A7464">
            <w:pPr>
              <w:rPr>
                <w:lang w:eastAsia="en-GB"/>
              </w:rPr>
            </w:pPr>
            <w:r w:rsidRPr="000B4E2C">
              <w:rPr>
                <w:lang w:eastAsia="en-GB"/>
              </w:rPr>
              <w:t>El Shahawy</w:t>
            </w:r>
          </w:p>
        </w:tc>
        <w:tc>
          <w:tcPr>
            <w:tcW w:w="0" w:type="auto"/>
            <w:shd w:val="clear" w:color="auto" w:fill="auto"/>
            <w:noWrap/>
            <w:hideMark/>
          </w:tcPr>
          <w:p w14:paraId="34475C79"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30B356F0" w14:textId="45EAA60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B1B0BE1" w14:textId="77777777" w:rsidR="002F0133" w:rsidRPr="000B4E2C" w:rsidRDefault="002F0133" w:rsidP="008A7464">
            <w:pPr>
              <w:rPr>
                <w:highlight w:val="green"/>
                <w:lang w:eastAsia="en-GB"/>
              </w:rPr>
            </w:pPr>
            <w:r w:rsidRPr="000B4E2C">
              <w:rPr>
                <w:highlight w:val="green"/>
                <w:lang w:eastAsia="en-GB"/>
              </w:rPr>
              <w:t>M. S. El Shahawy, M. H. Hemida, H. A. Abdel-Hafez, T. Z. El-Baz, A. W. M. Lotfy and T. M. Emran. Urinary neutrophil gelatinase-associated lipocalin as a marker for disease activity in lupus nephritis. Scandinavian Journal of Clinical and Laboratory Investigation, 78(4), 264-268. [15449]</w:t>
            </w:r>
          </w:p>
        </w:tc>
      </w:tr>
      <w:tr w:rsidR="002F0133" w:rsidRPr="000B4E2C" w14:paraId="4EE8A971" w14:textId="77777777" w:rsidTr="000B4E2C">
        <w:trPr>
          <w:cantSplit/>
        </w:trPr>
        <w:tc>
          <w:tcPr>
            <w:tcW w:w="0" w:type="auto"/>
            <w:shd w:val="clear" w:color="auto" w:fill="auto"/>
            <w:noWrap/>
            <w:hideMark/>
          </w:tcPr>
          <w:p w14:paraId="29D724F7" w14:textId="77777777" w:rsidR="002F0133" w:rsidRPr="000B4E2C" w:rsidRDefault="002F0133" w:rsidP="008A7464">
            <w:pPr>
              <w:rPr>
                <w:lang w:eastAsia="en-GB"/>
              </w:rPr>
            </w:pPr>
            <w:r w:rsidRPr="000B4E2C">
              <w:rPr>
                <w:lang w:eastAsia="en-GB"/>
              </w:rPr>
              <w:t>El-Akabawy</w:t>
            </w:r>
          </w:p>
        </w:tc>
        <w:tc>
          <w:tcPr>
            <w:tcW w:w="0" w:type="auto"/>
            <w:shd w:val="clear" w:color="auto" w:fill="auto"/>
            <w:noWrap/>
            <w:hideMark/>
          </w:tcPr>
          <w:p w14:paraId="3DB1D639"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6A740EEA" w14:textId="6D61727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16D086B" w14:textId="77777777" w:rsidR="002F0133" w:rsidRPr="000B4E2C" w:rsidRDefault="002F0133" w:rsidP="008A7464">
            <w:pPr>
              <w:rPr>
                <w:highlight w:val="green"/>
                <w:lang w:eastAsia="en-GB"/>
              </w:rPr>
            </w:pPr>
            <w:r w:rsidRPr="000B4E2C">
              <w:rPr>
                <w:highlight w:val="green"/>
                <w:lang w:eastAsia="en-GB"/>
              </w:rPr>
              <w:t>H. El-Akabawy, M. Shafee, A. M. Roshdy and A. Abd Al Salam. Urinary neutrophil gelatinase associated lipocalin as an early marker of acute kidney injury in the recipient after liver transplantation. Egyptian Journal of Critical Care Medicine, 5(1), 49-55. [15450]</w:t>
            </w:r>
          </w:p>
        </w:tc>
      </w:tr>
      <w:tr w:rsidR="002F0133" w:rsidRPr="000B4E2C" w14:paraId="44B12C0F" w14:textId="77777777" w:rsidTr="000B4E2C">
        <w:trPr>
          <w:cantSplit/>
        </w:trPr>
        <w:tc>
          <w:tcPr>
            <w:tcW w:w="0" w:type="auto"/>
            <w:shd w:val="clear" w:color="auto" w:fill="auto"/>
            <w:noWrap/>
            <w:hideMark/>
          </w:tcPr>
          <w:p w14:paraId="4EB93336" w14:textId="77777777" w:rsidR="002F0133" w:rsidRPr="000B4E2C" w:rsidRDefault="002F0133" w:rsidP="008A7464">
            <w:pPr>
              <w:rPr>
                <w:lang w:eastAsia="en-GB"/>
              </w:rPr>
            </w:pPr>
            <w:r w:rsidRPr="000B4E2C">
              <w:rPr>
                <w:lang w:eastAsia="en-GB"/>
              </w:rPr>
              <w:t>El-Farghali</w:t>
            </w:r>
          </w:p>
        </w:tc>
        <w:tc>
          <w:tcPr>
            <w:tcW w:w="0" w:type="auto"/>
            <w:shd w:val="clear" w:color="auto" w:fill="auto"/>
            <w:noWrap/>
            <w:hideMark/>
          </w:tcPr>
          <w:p w14:paraId="31EE77C8"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24761357" w14:textId="16951B4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0D0C8B8" w14:textId="77777777" w:rsidR="002F0133" w:rsidRPr="000B4E2C" w:rsidRDefault="002F0133" w:rsidP="008A7464">
            <w:pPr>
              <w:rPr>
                <w:highlight w:val="green"/>
                <w:lang w:eastAsia="en-GB"/>
              </w:rPr>
            </w:pPr>
            <w:r w:rsidRPr="000B4E2C">
              <w:rPr>
                <w:highlight w:val="green"/>
                <w:lang w:eastAsia="en-GB"/>
              </w:rPr>
              <w:t>O. G. El-Farghali, N. M. El-Raggal, N. H. Mahmoud and G. A. Zaina. Serum Neutrophil Gelatinase-associated Lipocalin as a predictor of acute kidney injury in critically-ill neonates. Pakistan Journal of Biological Sciences, 15(5), 231-237. [15451]</w:t>
            </w:r>
          </w:p>
        </w:tc>
      </w:tr>
      <w:tr w:rsidR="002F0133" w:rsidRPr="000B4E2C" w14:paraId="3B1029D4" w14:textId="77777777" w:rsidTr="000B4E2C">
        <w:trPr>
          <w:cantSplit/>
        </w:trPr>
        <w:tc>
          <w:tcPr>
            <w:tcW w:w="0" w:type="auto"/>
            <w:shd w:val="clear" w:color="auto" w:fill="auto"/>
            <w:noWrap/>
            <w:hideMark/>
          </w:tcPr>
          <w:p w14:paraId="5BF426E5" w14:textId="77777777" w:rsidR="002F0133" w:rsidRPr="000B4E2C" w:rsidRDefault="002F0133" w:rsidP="008A7464">
            <w:pPr>
              <w:rPr>
                <w:lang w:eastAsia="en-GB"/>
              </w:rPr>
            </w:pPr>
            <w:r w:rsidRPr="000B4E2C">
              <w:rPr>
                <w:lang w:eastAsia="en-GB"/>
              </w:rPr>
              <w:t>Elia</w:t>
            </w:r>
          </w:p>
        </w:tc>
        <w:tc>
          <w:tcPr>
            <w:tcW w:w="0" w:type="auto"/>
            <w:shd w:val="clear" w:color="auto" w:fill="auto"/>
            <w:noWrap/>
            <w:hideMark/>
          </w:tcPr>
          <w:p w14:paraId="40850B2A"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4B0A1A48" w14:textId="405323E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D9F15B2" w14:textId="77777777" w:rsidR="002F0133" w:rsidRPr="000B4E2C" w:rsidRDefault="002F0133" w:rsidP="008A7464">
            <w:pPr>
              <w:rPr>
                <w:highlight w:val="green"/>
                <w:lang w:eastAsia="en-GB"/>
              </w:rPr>
            </w:pPr>
            <w:r w:rsidRPr="000B4E2C">
              <w:rPr>
                <w:highlight w:val="green"/>
                <w:lang w:eastAsia="en-GB"/>
              </w:rPr>
              <w:t>C. Elia, I. Graupera, R. Barreto, E. Sola, R. Moreira, P. Huelin, X. Ariza, C. Sole, E. Pose, A. Baiges, N. Fabrellas, E. Poch, J. Fernandez, V. Arroyo and P. Gines. Severe acute kidney injury associated with non-steroidal anti-inflammatory drugs in cirrhosis: A case-control study. Journal of Hepatology, 63(3), 593-600. [15453]</w:t>
            </w:r>
          </w:p>
        </w:tc>
      </w:tr>
      <w:tr w:rsidR="002F0133" w:rsidRPr="000B4E2C" w14:paraId="47663D67" w14:textId="77777777" w:rsidTr="000B4E2C">
        <w:trPr>
          <w:cantSplit/>
        </w:trPr>
        <w:tc>
          <w:tcPr>
            <w:tcW w:w="0" w:type="auto"/>
            <w:shd w:val="clear" w:color="auto" w:fill="auto"/>
            <w:noWrap/>
            <w:hideMark/>
          </w:tcPr>
          <w:p w14:paraId="76216D86" w14:textId="77777777" w:rsidR="002F0133" w:rsidRPr="000B4E2C" w:rsidRDefault="002F0133" w:rsidP="008A7464">
            <w:pPr>
              <w:rPr>
                <w:lang w:eastAsia="en-GB"/>
              </w:rPr>
            </w:pPr>
            <w:r w:rsidRPr="000B4E2C">
              <w:rPr>
                <w:lang w:eastAsia="en-GB"/>
              </w:rPr>
              <w:t>Elmas</w:t>
            </w:r>
          </w:p>
        </w:tc>
        <w:tc>
          <w:tcPr>
            <w:tcW w:w="0" w:type="auto"/>
            <w:shd w:val="clear" w:color="auto" w:fill="auto"/>
            <w:noWrap/>
            <w:hideMark/>
          </w:tcPr>
          <w:p w14:paraId="7B73A0C4"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1DEB7F68" w14:textId="1A56F42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E838A87" w14:textId="77777777" w:rsidR="002F0133" w:rsidRPr="000B4E2C" w:rsidRDefault="002F0133" w:rsidP="008A7464">
            <w:pPr>
              <w:rPr>
                <w:highlight w:val="green"/>
                <w:lang w:eastAsia="en-GB"/>
              </w:rPr>
            </w:pPr>
            <w:r w:rsidRPr="000B4E2C">
              <w:rPr>
                <w:highlight w:val="green"/>
                <w:lang w:eastAsia="en-GB"/>
              </w:rPr>
              <w:t>A. T. Elmas, A. Karadag, Y. Tabel, R. Ozdemir and G. Otlu. Analysis of urine biomarkers for early determination of acute kidney injury in non-septic and non-asphyxiated critically ill preterm neonates. Journal of Maternal-Fetal and Neonatal Medicine, 30(3), 302-308. [15454]</w:t>
            </w:r>
          </w:p>
        </w:tc>
      </w:tr>
      <w:tr w:rsidR="002F0133" w:rsidRPr="000B4E2C" w14:paraId="5EE927D4" w14:textId="77777777" w:rsidTr="000B4E2C">
        <w:trPr>
          <w:cantSplit/>
        </w:trPr>
        <w:tc>
          <w:tcPr>
            <w:tcW w:w="0" w:type="auto"/>
            <w:shd w:val="clear" w:color="auto" w:fill="auto"/>
            <w:noWrap/>
            <w:hideMark/>
          </w:tcPr>
          <w:p w14:paraId="384E62AC" w14:textId="77777777" w:rsidR="002F0133" w:rsidRPr="000B4E2C" w:rsidRDefault="002F0133" w:rsidP="008A7464">
            <w:pPr>
              <w:rPr>
                <w:lang w:eastAsia="en-GB"/>
              </w:rPr>
            </w:pPr>
            <w:r w:rsidRPr="000B4E2C">
              <w:rPr>
                <w:lang w:eastAsia="en-GB"/>
              </w:rPr>
              <w:t>Elmedany</w:t>
            </w:r>
          </w:p>
        </w:tc>
        <w:tc>
          <w:tcPr>
            <w:tcW w:w="0" w:type="auto"/>
            <w:shd w:val="clear" w:color="auto" w:fill="auto"/>
            <w:noWrap/>
            <w:hideMark/>
          </w:tcPr>
          <w:p w14:paraId="322C3A8D"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65CEF36F" w14:textId="4A95F04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F5DDCB7" w14:textId="77777777" w:rsidR="002F0133" w:rsidRPr="000B4E2C" w:rsidRDefault="002F0133" w:rsidP="008A7464">
            <w:pPr>
              <w:rPr>
                <w:highlight w:val="green"/>
                <w:lang w:eastAsia="en-GB"/>
              </w:rPr>
            </w:pPr>
            <w:r w:rsidRPr="000B4E2C">
              <w:rPr>
                <w:highlight w:val="green"/>
                <w:lang w:eastAsia="en-GB"/>
              </w:rPr>
              <w:t>S. M. Elmedany, S. S. Naga, R. Elsharkawy, R. S. Mahrous and A. I. Elnaggar. Novel urinary biomarkers and the early detection of acute kidney injury after open cardiac surgeries. Journal of Critical Care, 40(171-177. [15455]</w:t>
            </w:r>
          </w:p>
        </w:tc>
      </w:tr>
      <w:tr w:rsidR="002F0133" w:rsidRPr="000B4E2C" w14:paraId="6A032C04" w14:textId="77777777" w:rsidTr="000B4E2C">
        <w:trPr>
          <w:cantSplit/>
        </w:trPr>
        <w:tc>
          <w:tcPr>
            <w:tcW w:w="0" w:type="auto"/>
            <w:shd w:val="clear" w:color="auto" w:fill="auto"/>
            <w:noWrap/>
            <w:hideMark/>
          </w:tcPr>
          <w:p w14:paraId="31A9D791" w14:textId="77777777" w:rsidR="002F0133" w:rsidRPr="000B4E2C" w:rsidRDefault="002F0133" w:rsidP="008A7464">
            <w:pPr>
              <w:rPr>
                <w:lang w:eastAsia="en-GB"/>
              </w:rPr>
            </w:pPr>
            <w:r w:rsidRPr="000B4E2C">
              <w:rPr>
                <w:lang w:eastAsia="en-GB"/>
              </w:rPr>
              <w:t>Elmer</w:t>
            </w:r>
          </w:p>
        </w:tc>
        <w:tc>
          <w:tcPr>
            <w:tcW w:w="0" w:type="auto"/>
            <w:shd w:val="clear" w:color="auto" w:fill="auto"/>
            <w:noWrap/>
            <w:hideMark/>
          </w:tcPr>
          <w:p w14:paraId="5BBFB090"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3E56AD0" w14:textId="12BF9E0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33F99FB" w14:textId="77777777" w:rsidR="002F0133" w:rsidRPr="000B4E2C" w:rsidRDefault="002F0133" w:rsidP="008A7464">
            <w:pPr>
              <w:rPr>
                <w:highlight w:val="green"/>
                <w:lang w:eastAsia="en-GB"/>
              </w:rPr>
            </w:pPr>
            <w:r w:rsidRPr="000B4E2C">
              <w:rPr>
                <w:highlight w:val="green"/>
                <w:lang w:eastAsia="en-GB"/>
              </w:rPr>
              <w:t>J. Elmer, K. Jeong, K. Z. Abebe, F. X. Guyette, R. Murugan, C. W. Callaway and J. C. Rittenberger. Serum neutrophil gelatinase-associated lipocalin predicts survival after resuscitation from cardiac arrest. Critical Care Medicine, 44(1), 111-119. [15456]</w:t>
            </w:r>
          </w:p>
        </w:tc>
      </w:tr>
      <w:tr w:rsidR="002F0133" w:rsidRPr="000B4E2C" w14:paraId="40E9C659" w14:textId="77777777" w:rsidTr="000B4E2C">
        <w:trPr>
          <w:cantSplit/>
        </w:trPr>
        <w:tc>
          <w:tcPr>
            <w:tcW w:w="0" w:type="auto"/>
            <w:shd w:val="clear" w:color="auto" w:fill="auto"/>
            <w:noWrap/>
            <w:hideMark/>
          </w:tcPr>
          <w:p w14:paraId="16BC7CC8" w14:textId="77777777" w:rsidR="002F0133" w:rsidRPr="000B4E2C" w:rsidRDefault="002F0133" w:rsidP="008A7464">
            <w:pPr>
              <w:rPr>
                <w:lang w:eastAsia="en-GB"/>
              </w:rPr>
            </w:pPr>
            <w:r w:rsidRPr="000B4E2C">
              <w:rPr>
                <w:lang w:eastAsia="en-GB"/>
              </w:rPr>
              <w:lastRenderedPageBreak/>
              <w:t>Elsharawy</w:t>
            </w:r>
          </w:p>
        </w:tc>
        <w:tc>
          <w:tcPr>
            <w:tcW w:w="0" w:type="auto"/>
            <w:shd w:val="clear" w:color="auto" w:fill="auto"/>
            <w:noWrap/>
            <w:hideMark/>
          </w:tcPr>
          <w:p w14:paraId="580BCAA3"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769C214" w14:textId="48D55BA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F476491" w14:textId="77777777" w:rsidR="002F0133" w:rsidRPr="000B4E2C" w:rsidRDefault="002F0133" w:rsidP="008A7464">
            <w:pPr>
              <w:rPr>
                <w:highlight w:val="green"/>
                <w:lang w:eastAsia="en-GB"/>
              </w:rPr>
            </w:pPr>
            <w:r w:rsidRPr="000B4E2C">
              <w:rPr>
                <w:highlight w:val="green"/>
                <w:lang w:eastAsia="en-GB"/>
              </w:rPr>
              <w:t>S. Elsharawy, L. Raslan, S. Morsy, B. Hassan and N. Khalifa. Plasma neutrophil gelatinase-associated lipocalin as a marker for the prediction of worsening renal function in children hospitalized for acute heart failure. Saudi journal of kidney diseases and transplantation : an official publication of the Saudi Center for Organ Transplantation, Saudi Arabia, 27(1), 49-54. [15457]</w:t>
            </w:r>
          </w:p>
        </w:tc>
      </w:tr>
      <w:tr w:rsidR="002F0133" w:rsidRPr="000B4E2C" w14:paraId="5439F9DF" w14:textId="77777777" w:rsidTr="000B4E2C">
        <w:trPr>
          <w:cantSplit/>
        </w:trPr>
        <w:tc>
          <w:tcPr>
            <w:tcW w:w="0" w:type="auto"/>
            <w:shd w:val="clear" w:color="auto" w:fill="auto"/>
            <w:noWrap/>
            <w:hideMark/>
          </w:tcPr>
          <w:p w14:paraId="636B1C99" w14:textId="77777777" w:rsidR="002F0133" w:rsidRPr="000B4E2C" w:rsidRDefault="002F0133" w:rsidP="008A7464">
            <w:pPr>
              <w:rPr>
                <w:lang w:eastAsia="en-GB"/>
              </w:rPr>
            </w:pPr>
            <w:r w:rsidRPr="000B4E2C">
              <w:rPr>
                <w:lang w:eastAsia="en-GB"/>
              </w:rPr>
              <w:t>Emlet</w:t>
            </w:r>
          </w:p>
        </w:tc>
        <w:tc>
          <w:tcPr>
            <w:tcW w:w="0" w:type="auto"/>
            <w:shd w:val="clear" w:color="auto" w:fill="auto"/>
            <w:noWrap/>
            <w:hideMark/>
          </w:tcPr>
          <w:p w14:paraId="1F34F260"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D4309B7"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FD89E34" w14:textId="77777777" w:rsidR="002F0133" w:rsidRPr="000B4E2C" w:rsidRDefault="002F0133" w:rsidP="008A7464">
            <w:pPr>
              <w:rPr>
                <w:highlight w:val="green"/>
                <w:lang w:eastAsia="en-GB"/>
              </w:rPr>
            </w:pPr>
            <w:r w:rsidRPr="000B4E2C">
              <w:rPr>
                <w:highlight w:val="green"/>
                <w:lang w:eastAsia="en-GB"/>
              </w:rPr>
              <w:t>D. R. Emlet, N. Pastor-Soler, A. Marciszyn, X. Wen, H. Gomez, W. H. Humphries, S. Morrisroe, J. K. Volpe and J. A. Kellum. Insulin-like growth factor binding protein 7 and tissue inhibitor of metalloproteinases-2: Differential expression and secretion in human kidney tubule cells. American Journal of Physiology - Renal Physiology, 312(2), F284-F296. [15459]</w:t>
            </w:r>
          </w:p>
        </w:tc>
      </w:tr>
      <w:tr w:rsidR="002F0133" w:rsidRPr="000B4E2C" w14:paraId="1B326A2E" w14:textId="77777777" w:rsidTr="000B4E2C">
        <w:trPr>
          <w:cantSplit/>
        </w:trPr>
        <w:tc>
          <w:tcPr>
            <w:tcW w:w="0" w:type="auto"/>
            <w:shd w:val="clear" w:color="auto" w:fill="auto"/>
            <w:noWrap/>
            <w:hideMark/>
          </w:tcPr>
          <w:p w14:paraId="4F33B6B4" w14:textId="77777777" w:rsidR="002F0133" w:rsidRPr="000B4E2C" w:rsidRDefault="002F0133" w:rsidP="008A7464">
            <w:pPr>
              <w:rPr>
                <w:lang w:eastAsia="en-GB"/>
              </w:rPr>
            </w:pPr>
            <w:r w:rsidRPr="000B4E2C">
              <w:rPr>
                <w:lang w:eastAsia="en-GB"/>
              </w:rPr>
              <w:t>Endre</w:t>
            </w:r>
          </w:p>
        </w:tc>
        <w:tc>
          <w:tcPr>
            <w:tcW w:w="0" w:type="auto"/>
            <w:shd w:val="clear" w:color="auto" w:fill="auto"/>
            <w:noWrap/>
            <w:hideMark/>
          </w:tcPr>
          <w:p w14:paraId="0DF4F74D"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09C00BA2"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278B0458" w14:textId="77777777" w:rsidR="002F0133" w:rsidRPr="000B4E2C" w:rsidRDefault="002F0133" w:rsidP="008A7464">
            <w:pPr>
              <w:rPr>
                <w:highlight w:val="green"/>
                <w:lang w:eastAsia="en-GB"/>
              </w:rPr>
            </w:pPr>
            <w:r w:rsidRPr="000B4E2C">
              <w:rPr>
                <w:highlight w:val="green"/>
                <w:lang w:eastAsia="en-GB"/>
              </w:rPr>
              <w:t>Z. H. Endre, J. W. Pickering, R. J. Walker, P. Devarajan, C. L. Edelstein, J. V. Bonventre, C. M. Frampton, M. R. Bennett, Q. Ma, V. S. Sabbisetti, V. S. Vaidya, A. M. Walcher, G. M. Shaw, S. J. Henderson, M. Nejat, J. B. W. Schollum and P. M. George. Improved performance of urinary biomarkers of acute kidney injury in the critically ill by stratification for injury duration and baseline renal function. Kidney International, 79(10), 1119-1130. [15466]</w:t>
            </w:r>
          </w:p>
        </w:tc>
      </w:tr>
      <w:tr w:rsidR="002F0133" w:rsidRPr="000B4E2C" w14:paraId="06CE620C" w14:textId="77777777" w:rsidTr="000B4E2C">
        <w:trPr>
          <w:cantSplit/>
        </w:trPr>
        <w:tc>
          <w:tcPr>
            <w:tcW w:w="0" w:type="auto"/>
            <w:shd w:val="clear" w:color="auto" w:fill="auto"/>
            <w:noWrap/>
            <w:hideMark/>
          </w:tcPr>
          <w:p w14:paraId="782021C0" w14:textId="77777777" w:rsidR="002F0133" w:rsidRPr="000B4E2C" w:rsidRDefault="002F0133" w:rsidP="008A7464">
            <w:pPr>
              <w:rPr>
                <w:lang w:eastAsia="en-GB"/>
              </w:rPr>
            </w:pPr>
            <w:r w:rsidRPr="000B4E2C">
              <w:rPr>
                <w:lang w:eastAsia="en-GB"/>
              </w:rPr>
              <w:t>Endre</w:t>
            </w:r>
          </w:p>
        </w:tc>
        <w:tc>
          <w:tcPr>
            <w:tcW w:w="0" w:type="auto"/>
            <w:shd w:val="clear" w:color="auto" w:fill="auto"/>
            <w:noWrap/>
            <w:hideMark/>
          </w:tcPr>
          <w:p w14:paraId="03BBC80D"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55F65398"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65F1C2E3" w14:textId="77777777" w:rsidR="002F0133" w:rsidRPr="000B4E2C" w:rsidRDefault="002F0133" w:rsidP="008A7464">
            <w:pPr>
              <w:rPr>
                <w:highlight w:val="green"/>
                <w:lang w:eastAsia="en-GB"/>
              </w:rPr>
            </w:pPr>
            <w:r w:rsidRPr="000B4E2C">
              <w:rPr>
                <w:highlight w:val="green"/>
                <w:lang w:eastAsia="en-GB"/>
              </w:rPr>
              <w:t>Z. H. Endre. Novel biomarkers of acute kidney injury: Time for implementation?. Biomarkers in Medicine, 8(10), 1185-1188. [15460]</w:t>
            </w:r>
          </w:p>
        </w:tc>
      </w:tr>
      <w:tr w:rsidR="002F0133" w:rsidRPr="000B4E2C" w14:paraId="4A34B6CB" w14:textId="77777777" w:rsidTr="000B4E2C">
        <w:trPr>
          <w:cantSplit/>
        </w:trPr>
        <w:tc>
          <w:tcPr>
            <w:tcW w:w="0" w:type="auto"/>
            <w:shd w:val="clear" w:color="auto" w:fill="auto"/>
            <w:noWrap/>
            <w:hideMark/>
          </w:tcPr>
          <w:p w14:paraId="36942932" w14:textId="77777777" w:rsidR="002F0133" w:rsidRPr="000B4E2C" w:rsidRDefault="002F0133" w:rsidP="008A7464">
            <w:pPr>
              <w:rPr>
                <w:lang w:eastAsia="en-GB"/>
              </w:rPr>
            </w:pPr>
            <w:r w:rsidRPr="000B4E2C">
              <w:rPr>
                <w:lang w:eastAsia="en-GB"/>
              </w:rPr>
              <w:t>Endre</w:t>
            </w:r>
          </w:p>
        </w:tc>
        <w:tc>
          <w:tcPr>
            <w:tcW w:w="0" w:type="auto"/>
            <w:shd w:val="clear" w:color="auto" w:fill="auto"/>
            <w:noWrap/>
            <w:hideMark/>
          </w:tcPr>
          <w:p w14:paraId="6CFD3DE6"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A3C9F7C"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12BF2680" w14:textId="77777777" w:rsidR="002F0133" w:rsidRPr="000B4E2C" w:rsidRDefault="002F0133" w:rsidP="008A7464">
            <w:pPr>
              <w:rPr>
                <w:highlight w:val="green"/>
                <w:lang w:eastAsia="en-GB"/>
              </w:rPr>
            </w:pPr>
            <w:r w:rsidRPr="000B4E2C">
              <w:rPr>
                <w:highlight w:val="green"/>
                <w:lang w:eastAsia="en-GB"/>
              </w:rPr>
              <w:t>Z. H. Endre and J. W. Pickering. Acute kidney injury: Late-onset acute kidney injury-subacute or more of the same?. Nature Reviews Nephrology, 10(3), 133-134. [15461]</w:t>
            </w:r>
          </w:p>
        </w:tc>
      </w:tr>
      <w:tr w:rsidR="002F0133" w:rsidRPr="000B4E2C" w14:paraId="13A43FF0" w14:textId="77777777" w:rsidTr="000B4E2C">
        <w:trPr>
          <w:cantSplit/>
        </w:trPr>
        <w:tc>
          <w:tcPr>
            <w:tcW w:w="0" w:type="auto"/>
            <w:shd w:val="clear" w:color="auto" w:fill="auto"/>
            <w:noWrap/>
            <w:hideMark/>
          </w:tcPr>
          <w:p w14:paraId="63556FB9" w14:textId="77777777" w:rsidR="002F0133" w:rsidRPr="000B4E2C" w:rsidRDefault="002F0133" w:rsidP="008A7464">
            <w:pPr>
              <w:rPr>
                <w:lang w:eastAsia="en-GB"/>
              </w:rPr>
            </w:pPr>
            <w:r w:rsidRPr="000B4E2C">
              <w:rPr>
                <w:lang w:eastAsia="en-GB"/>
              </w:rPr>
              <w:t>Endre</w:t>
            </w:r>
          </w:p>
        </w:tc>
        <w:tc>
          <w:tcPr>
            <w:tcW w:w="0" w:type="auto"/>
            <w:shd w:val="clear" w:color="auto" w:fill="auto"/>
            <w:noWrap/>
            <w:hideMark/>
          </w:tcPr>
          <w:p w14:paraId="5FABEE36"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61DE7DEF"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2F921E61" w14:textId="77777777" w:rsidR="002F0133" w:rsidRPr="000B4E2C" w:rsidRDefault="002F0133" w:rsidP="008A7464">
            <w:pPr>
              <w:rPr>
                <w:highlight w:val="green"/>
                <w:lang w:eastAsia="en-GB"/>
              </w:rPr>
            </w:pPr>
            <w:r w:rsidRPr="000B4E2C">
              <w:rPr>
                <w:highlight w:val="green"/>
                <w:lang w:eastAsia="en-GB"/>
              </w:rPr>
              <w:t>Z. H. Endre and J. W. Pickering. Acute kidney injury: Cell cycle arrest biomarkers win race for AKI diagnosis. Nature Reviews Nephrology, 10(12), 683-685. [15462]</w:t>
            </w:r>
          </w:p>
        </w:tc>
      </w:tr>
      <w:tr w:rsidR="002F0133" w:rsidRPr="000B4E2C" w14:paraId="70FA69EF" w14:textId="77777777" w:rsidTr="000B4E2C">
        <w:trPr>
          <w:cantSplit/>
        </w:trPr>
        <w:tc>
          <w:tcPr>
            <w:tcW w:w="0" w:type="auto"/>
            <w:shd w:val="clear" w:color="auto" w:fill="auto"/>
            <w:noWrap/>
            <w:hideMark/>
          </w:tcPr>
          <w:p w14:paraId="1F35A5B8" w14:textId="77777777" w:rsidR="002F0133" w:rsidRPr="000B4E2C" w:rsidRDefault="002F0133" w:rsidP="008A7464">
            <w:pPr>
              <w:rPr>
                <w:lang w:eastAsia="en-GB"/>
              </w:rPr>
            </w:pPr>
            <w:r w:rsidRPr="000B4E2C">
              <w:rPr>
                <w:lang w:eastAsia="en-GB"/>
              </w:rPr>
              <w:t>Erturk</w:t>
            </w:r>
          </w:p>
        </w:tc>
        <w:tc>
          <w:tcPr>
            <w:tcW w:w="0" w:type="auto"/>
            <w:shd w:val="clear" w:color="auto" w:fill="auto"/>
            <w:noWrap/>
            <w:hideMark/>
          </w:tcPr>
          <w:p w14:paraId="68233AEA"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A981041" w14:textId="441B01D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6B46103" w14:textId="77777777" w:rsidR="002F0133" w:rsidRPr="000B4E2C" w:rsidRDefault="002F0133" w:rsidP="008A7464">
            <w:pPr>
              <w:rPr>
                <w:highlight w:val="green"/>
                <w:lang w:eastAsia="en-GB"/>
              </w:rPr>
            </w:pPr>
            <w:r w:rsidRPr="000B4E2C">
              <w:rPr>
                <w:highlight w:val="green"/>
                <w:lang w:eastAsia="en-GB"/>
              </w:rPr>
              <w:t>A. Erturk, E. Cure, E. Parlak, M. C. Cure, S. B. Sahin and S. Yuce. Clinical Significance of Neutrophil Gelatinase-Associated Lipocalin in Crimean-Congo Hemorrhagic Fever. Biomed Research International, 374010-374010. [18429]</w:t>
            </w:r>
          </w:p>
        </w:tc>
      </w:tr>
      <w:tr w:rsidR="002F0133" w:rsidRPr="000B4E2C" w14:paraId="6117257E" w14:textId="77777777" w:rsidTr="000B4E2C">
        <w:trPr>
          <w:cantSplit/>
        </w:trPr>
        <w:tc>
          <w:tcPr>
            <w:tcW w:w="0" w:type="auto"/>
            <w:shd w:val="clear" w:color="auto" w:fill="auto"/>
            <w:noWrap/>
            <w:hideMark/>
          </w:tcPr>
          <w:p w14:paraId="51BED85B" w14:textId="77777777" w:rsidR="002F0133" w:rsidRPr="000B4E2C" w:rsidRDefault="002F0133" w:rsidP="008A7464">
            <w:pPr>
              <w:rPr>
                <w:lang w:eastAsia="en-GB"/>
              </w:rPr>
            </w:pPr>
            <w:r w:rsidRPr="000B4E2C">
              <w:rPr>
                <w:lang w:eastAsia="en-GB"/>
              </w:rPr>
              <w:t>Espinosa-Sevilla</w:t>
            </w:r>
          </w:p>
        </w:tc>
        <w:tc>
          <w:tcPr>
            <w:tcW w:w="0" w:type="auto"/>
            <w:shd w:val="clear" w:color="auto" w:fill="auto"/>
            <w:noWrap/>
            <w:hideMark/>
          </w:tcPr>
          <w:p w14:paraId="217EEF81"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1DB6F68A"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0F1CDB56" w14:textId="77777777" w:rsidR="002F0133" w:rsidRPr="000B4E2C" w:rsidRDefault="002F0133" w:rsidP="008A7464">
            <w:pPr>
              <w:rPr>
                <w:highlight w:val="green"/>
                <w:lang w:eastAsia="en-GB"/>
              </w:rPr>
            </w:pPr>
            <w:r w:rsidRPr="000B4E2C">
              <w:rPr>
                <w:highlight w:val="green"/>
                <w:lang w:eastAsia="en-GB"/>
              </w:rPr>
              <w:t>A. Espinosa-Sevilla, A. I. Amezcua-Macias, P. C. Ruiz-Palacios, F. Rodriguez-Weber and E. Diaz-Greene. New markers of acute kidney injury in critically ill patients. Medicina Interna de Mexico, 29(5), 513-517. [15476]</w:t>
            </w:r>
          </w:p>
        </w:tc>
      </w:tr>
      <w:tr w:rsidR="002F0133" w:rsidRPr="000B4E2C" w14:paraId="415A37A1" w14:textId="77777777" w:rsidTr="000B4E2C">
        <w:trPr>
          <w:cantSplit/>
        </w:trPr>
        <w:tc>
          <w:tcPr>
            <w:tcW w:w="0" w:type="auto"/>
            <w:shd w:val="clear" w:color="auto" w:fill="auto"/>
            <w:noWrap/>
            <w:hideMark/>
          </w:tcPr>
          <w:p w14:paraId="500635E7" w14:textId="77777777" w:rsidR="002F0133" w:rsidRPr="000B4E2C" w:rsidRDefault="002F0133" w:rsidP="008A7464">
            <w:pPr>
              <w:rPr>
                <w:lang w:eastAsia="en-GB"/>
              </w:rPr>
            </w:pPr>
            <w:r w:rsidRPr="000B4E2C">
              <w:rPr>
                <w:lang w:eastAsia="en-GB"/>
              </w:rPr>
              <w:t>Essajee</w:t>
            </w:r>
          </w:p>
        </w:tc>
        <w:tc>
          <w:tcPr>
            <w:tcW w:w="0" w:type="auto"/>
            <w:shd w:val="clear" w:color="auto" w:fill="auto"/>
            <w:noWrap/>
            <w:hideMark/>
          </w:tcPr>
          <w:p w14:paraId="194EC4AC"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7DDBC795"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73849BCF" w14:textId="77777777" w:rsidR="002F0133" w:rsidRPr="000B4E2C" w:rsidRDefault="002F0133" w:rsidP="008A7464">
            <w:pPr>
              <w:rPr>
                <w:highlight w:val="green"/>
                <w:lang w:eastAsia="en-GB"/>
              </w:rPr>
            </w:pPr>
            <w:r w:rsidRPr="000B4E2C">
              <w:rPr>
                <w:highlight w:val="green"/>
                <w:lang w:eastAsia="en-GB"/>
              </w:rPr>
              <w:t>F. Essajee, F. Were and B. Admani. Urine neutrophil gelatinase-associated lipocalin in asphyxiated neonates: a prospective cohort study. Pediatric Nephrology, 30(7), 1189-1196. [15477]</w:t>
            </w:r>
          </w:p>
        </w:tc>
      </w:tr>
      <w:tr w:rsidR="002F0133" w:rsidRPr="000B4E2C" w14:paraId="263637A8" w14:textId="77777777" w:rsidTr="000B4E2C">
        <w:trPr>
          <w:cantSplit/>
        </w:trPr>
        <w:tc>
          <w:tcPr>
            <w:tcW w:w="0" w:type="auto"/>
            <w:shd w:val="clear" w:color="auto" w:fill="auto"/>
            <w:noWrap/>
            <w:hideMark/>
          </w:tcPr>
          <w:p w14:paraId="3D14F6D4" w14:textId="77777777" w:rsidR="002F0133" w:rsidRPr="000B4E2C" w:rsidRDefault="002F0133" w:rsidP="008A7464">
            <w:pPr>
              <w:rPr>
                <w:lang w:eastAsia="en-GB"/>
              </w:rPr>
            </w:pPr>
            <w:r w:rsidRPr="000B4E2C">
              <w:rPr>
                <w:lang w:eastAsia="en-GB"/>
              </w:rPr>
              <w:t>Essajee</w:t>
            </w:r>
          </w:p>
        </w:tc>
        <w:tc>
          <w:tcPr>
            <w:tcW w:w="0" w:type="auto"/>
            <w:shd w:val="clear" w:color="auto" w:fill="auto"/>
            <w:noWrap/>
            <w:hideMark/>
          </w:tcPr>
          <w:p w14:paraId="684DE699"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F9475A5"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D71EA4C" w14:textId="77777777" w:rsidR="002F0133" w:rsidRPr="000B4E2C" w:rsidRDefault="002F0133" w:rsidP="008A7464">
            <w:pPr>
              <w:rPr>
                <w:highlight w:val="green"/>
                <w:lang w:eastAsia="en-GB"/>
              </w:rPr>
            </w:pPr>
            <w:r w:rsidRPr="000B4E2C">
              <w:rPr>
                <w:highlight w:val="green"/>
                <w:lang w:eastAsia="en-GB"/>
              </w:rPr>
              <w:t>F. Essajee, F. Were and B. Admani. Urine neutrophil gelatinase-associated lipocalin in asphyxiated neonates: a prospective cohort study. Pediatric Nephrology, 30(7), 1189-1196. [18430]</w:t>
            </w:r>
          </w:p>
        </w:tc>
      </w:tr>
      <w:tr w:rsidR="002F0133" w:rsidRPr="000B4E2C" w14:paraId="7DCBF832" w14:textId="77777777" w:rsidTr="000B4E2C">
        <w:trPr>
          <w:cantSplit/>
        </w:trPr>
        <w:tc>
          <w:tcPr>
            <w:tcW w:w="0" w:type="auto"/>
            <w:shd w:val="clear" w:color="auto" w:fill="auto"/>
            <w:noWrap/>
            <w:hideMark/>
          </w:tcPr>
          <w:p w14:paraId="0901FDE7" w14:textId="77777777" w:rsidR="002F0133" w:rsidRPr="000B4E2C" w:rsidRDefault="002F0133" w:rsidP="008A7464">
            <w:pPr>
              <w:rPr>
                <w:lang w:eastAsia="en-GB"/>
              </w:rPr>
            </w:pPr>
            <w:r w:rsidRPr="000B4E2C">
              <w:rPr>
                <w:lang w:eastAsia="en-GB"/>
              </w:rPr>
              <w:t>Cho</w:t>
            </w:r>
          </w:p>
        </w:tc>
        <w:tc>
          <w:tcPr>
            <w:tcW w:w="0" w:type="auto"/>
            <w:shd w:val="clear" w:color="auto" w:fill="auto"/>
            <w:noWrap/>
            <w:hideMark/>
          </w:tcPr>
          <w:p w14:paraId="2C76408A"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4F96BBC2" w14:textId="77777777" w:rsidR="002F0133" w:rsidRPr="000B4E2C" w:rsidRDefault="002F0133" w:rsidP="008A7464">
            <w:pPr>
              <w:rPr>
                <w:lang w:eastAsia="en-GB"/>
              </w:rPr>
            </w:pPr>
            <w:r w:rsidRPr="000B4E2C">
              <w:rPr>
                <w:lang w:eastAsia="en-GB"/>
              </w:rPr>
              <w:t>Duplicate of a study that had already been assessedlicate of a study that had already been assessed</w:t>
            </w:r>
          </w:p>
        </w:tc>
        <w:tc>
          <w:tcPr>
            <w:tcW w:w="0" w:type="auto"/>
            <w:shd w:val="clear" w:color="auto" w:fill="auto"/>
            <w:noWrap/>
            <w:hideMark/>
          </w:tcPr>
          <w:p w14:paraId="64ADE235" w14:textId="77777777" w:rsidR="002F0133" w:rsidRPr="000B4E2C" w:rsidRDefault="002F0133" w:rsidP="008A7464">
            <w:pPr>
              <w:rPr>
                <w:highlight w:val="green"/>
                <w:lang w:eastAsia="en-GB"/>
              </w:rPr>
            </w:pPr>
            <w:r w:rsidRPr="000B4E2C">
              <w:rPr>
                <w:highlight w:val="green"/>
                <w:lang w:eastAsia="en-GB"/>
              </w:rPr>
              <w:t>E. Cho, H. N. Yang, S. K. Jo, W. Y. Cho and H. K. Kim. The Role of Urinary Liver-Type Fatty Acid-Binding Protein in Critically Ill Patients. Journal of Korean Medical Science, 28(1), 100-105. [6169]</w:t>
            </w:r>
          </w:p>
        </w:tc>
      </w:tr>
      <w:tr w:rsidR="002F0133" w:rsidRPr="000B4E2C" w14:paraId="7ED5A191" w14:textId="77777777" w:rsidTr="000B4E2C">
        <w:trPr>
          <w:cantSplit/>
        </w:trPr>
        <w:tc>
          <w:tcPr>
            <w:tcW w:w="0" w:type="auto"/>
            <w:shd w:val="clear" w:color="auto" w:fill="auto"/>
            <w:noWrap/>
            <w:hideMark/>
          </w:tcPr>
          <w:p w14:paraId="14FD9A6A" w14:textId="77777777" w:rsidR="002F0133" w:rsidRPr="000B4E2C" w:rsidRDefault="002F0133" w:rsidP="008A7464">
            <w:pPr>
              <w:rPr>
                <w:lang w:eastAsia="en-GB"/>
              </w:rPr>
            </w:pPr>
            <w:r w:rsidRPr="000B4E2C">
              <w:rPr>
                <w:lang w:eastAsia="en-GB"/>
              </w:rPr>
              <w:lastRenderedPageBreak/>
              <w:t>Ezenwaka</w:t>
            </w:r>
          </w:p>
        </w:tc>
        <w:tc>
          <w:tcPr>
            <w:tcW w:w="0" w:type="auto"/>
            <w:shd w:val="clear" w:color="auto" w:fill="auto"/>
            <w:noWrap/>
            <w:hideMark/>
          </w:tcPr>
          <w:p w14:paraId="60199EE9"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1F238A5"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5473F046" w14:textId="77777777" w:rsidR="002F0133" w:rsidRPr="000B4E2C" w:rsidRDefault="002F0133" w:rsidP="008A7464">
            <w:pPr>
              <w:rPr>
                <w:highlight w:val="green"/>
                <w:lang w:eastAsia="en-GB"/>
              </w:rPr>
            </w:pPr>
            <w:r w:rsidRPr="000B4E2C">
              <w:rPr>
                <w:highlight w:val="green"/>
                <w:lang w:eastAsia="en-GB"/>
              </w:rPr>
              <w:t>C. E. Ezenwaka, S. Idris, G. Davis and L. Roberts. Measurement of neutrophil gelatinase-associated lipocalin (NGAL) in patients with non-communicable diseases: any additional benefit?. Archives of Physiology and Biochemistry, 122(2), 70-74. [18432]</w:t>
            </w:r>
          </w:p>
        </w:tc>
      </w:tr>
      <w:tr w:rsidR="002F0133" w:rsidRPr="000B4E2C" w14:paraId="55C8E83F" w14:textId="77777777" w:rsidTr="000B4E2C">
        <w:trPr>
          <w:cantSplit/>
        </w:trPr>
        <w:tc>
          <w:tcPr>
            <w:tcW w:w="0" w:type="auto"/>
            <w:shd w:val="clear" w:color="auto" w:fill="auto"/>
            <w:noWrap/>
            <w:hideMark/>
          </w:tcPr>
          <w:p w14:paraId="64A42658" w14:textId="77777777" w:rsidR="002F0133" w:rsidRPr="000B4E2C" w:rsidRDefault="002F0133" w:rsidP="008A7464">
            <w:pPr>
              <w:rPr>
                <w:lang w:eastAsia="en-GB"/>
              </w:rPr>
            </w:pPr>
            <w:r w:rsidRPr="000B4E2C">
              <w:rPr>
                <w:lang w:eastAsia="en-GB"/>
              </w:rPr>
              <w:t>Fadel</w:t>
            </w:r>
          </w:p>
        </w:tc>
        <w:tc>
          <w:tcPr>
            <w:tcW w:w="0" w:type="auto"/>
            <w:shd w:val="clear" w:color="auto" w:fill="auto"/>
            <w:noWrap/>
            <w:hideMark/>
          </w:tcPr>
          <w:p w14:paraId="085FE2C0"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618A9EFD" w14:textId="3FB860B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E023571" w14:textId="77777777" w:rsidR="002F0133" w:rsidRPr="000B4E2C" w:rsidRDefault="002F0133" w:rsidP="008A7464">
            <w:pPr>
              <w:rPr>
                <w:highlight w:val="green"/>
                <w:lang w:eastAsia="en-GB"/>
              </w:rPr>
            </w:pPr>
            <w:r w:rsidRPr="000B4E2C">
              <w:rPr>
                <w:highlight w:val="green"/>
                <w:lang w:eastAsia="en-GB"/>
              </w:rPr>
              <w:t>F. I. Fadel, A. M. O. Abdel Rahman, M. F. Mohamed, S. A. Habib, M. H. Ibrahim, Z. S. Sleem, H. M. Bazaraa and M. M. A. Soliman. Plasma neutrophil gelatinase-associated lipocalin as an early biomarker for prediction of acute kidney injury after cardio-pulmonary bypass in pediatric cardiac surgery. Archives of Medical Science, 8(2), 250-255. [15478]</w:t>
            </w:r>
          </w:p>
        </w:tc>
      </w:tr>
      <w:tr w:rsidR="002F0133" w:rsidRPr="000B4E2C" w14:paraId="0D5A3418" w14:textId="77777777" w:rsidTr="000B4E2C">
        <w:trPr>
          <w:cantSplit/>
        </w:trPr>
        <w:tc>
          <w:tcPr>
            <w:tcW w:w="0" w:type="auto"/>
            <w:shd w:val="clear" w:color="auto" w:fill="auto"/>
            <w:noWrap/>
            <w:hideMark/>
          </w:tcPr>
          <w:p w14:paraId="17829B92" w14:textId="77777777" w:rsidR="002F0133" w:rsidRPr="000B4E2C" w:rsidRDefault="002F0133" w:rsidP="008A7464">
            <w:pPr>
              <w:rPr>
                <w:lang w:eastAsia="en-GB"/>
              </w:rPr>
            </w:pPr>
            <w:r w:rsidRPr="000B4E2C">
              <w:rPr>
                <w:lang w:eastAsia="en-GB"/>
              </w:rPr>
              <w:t>Fagundes</w:t>
            </w:r>
          </w:p>
        </w:tc>
        <w:tc>
          <w:tcPr>
            <w:tcW w:w="0" w:type="auto"/>
            <w:shd w:val="clear" w:color="auto" w:fill="auto"/>
            <w:noWrap/>
            <w:hideMark/>
          </w:tcPr>
          <w:p w14:paraId="0896EBFC"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20E7E203"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7AD66128" w14:textId="77777777" w:rsidR="002F0133" w:rsidRPr="000B4E2C" w:rsidRDefault="002F0133" w:rsidP="008A7464">
            <w:pPr>
              <w:rPr>
                <w:highlight w:val="green"/>
                <w:lang w:eastAsia="en-GB"/>
              </w:rPr>
            </w:pPr>
            <w:r w:rsidRPr="000B4E2C">
              <w:rPr>
                <w:highlight w:val="green"/>
                <w:lang w:eastAsia="en-GB"/>
              </w:rPr>
              <w:t>C. Fagundes, M. N. Pepin, M. Guevara, R. Barreto, G. Casals, E. Sola, G. Pereira, E. Rodriguez, E. Garcia, V. Prado, E. Poch, W. Jimenez, J. Fernandez, V. Arroyo and P. Gines. Urinary neutrophil gelatinase-associated lipocalin as biomarker in the differential diagnosis of impairment of kidney function in cirrhosis. Journal of Hepatology, 57(2), 267-273. [15479]</w:t>
            </w:r>
          </w:p>
        </w:tc>
      </w:tr>
      <w:tr w:rsidR="002F0133" w:rsidRPr="000B4E2C" w14:paraId="016D80F8" w14:textId="77777777" w:rsidTr="000B4E2C">
        <w:trPr>
          <w:cantSplit/>
        </w:trPr>
        <w:tc>
          <w:tcPr>
            <w:tcW w:w="0" w:type="auto"/>
            <w:shd w:val="clear" w:color="auto" w:fill="auto"/>
            <w:noWrap/>
            <w:hideMark/>
          </w:tcPr>
          <w:p w14:paraId="588D3A3C" w14:textId="77777777" w:rsidR="002F0133" w:rsidRPr="000B4E2C" w:rsidRDefault="002F0133" w:rsidP="008A7464">
            <w:pPr>
              <w:rPr>
                <w:lang w:eastAsia="en-GB"/>
              </w:rPr>
            </w:pPr>
            <w:r w:rsidRPr="000B4E2C">
              <w:rPr>
                <w:lang w:eastAsia="en-GB"/>
              </w:rPr>
              <w:t>Fan</w:t>
            </w:r>
          </w:p>
        </w:tc>
        <w:tc>
          <w:tcPr>
            <w:tcW w:w="0" w:type="auto"/>
            <w:shd w:val="clear" w:color="auto" w:fill="auto"/>
            <w:noWrap/>
            <w:hideMark/>
          </w:tcPr>
          <w:p w14:paraId="3CFFEE82"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416DBB7B"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29BE37C0" w14:textId="77777777" w:rsidR="002F0133" w:rsidRPr="000B4E2C" w:rsidRDefault="002F0133" w:rsidP="008A7464">
            <w:pPr>
              <w:rPr>
                <w:highlight w:val="green"/>
                <w:lang w:eastAsia="en-GB"/>
              </w:rPr>
            </w:pPr>
            <w:r w:rsidRPr="000B4E2C">
              <w:rPr>
                <w:highlight w:val="green"/>
                <w:lang w:eastAsia="en-GB"/>
              </w:rPr>
              <w:t>H. Fan, Y. Zhao, M. Sun and J. H. Zhu. Urinary neutrophil gelatinase-associated lipocalin, kidney injury molecule-1, N-acetyl-beta-D-glucosaminidase levels and mortality risk in septic patients with acute kidney injury. Archives of Medical Science, 14(6), 1381-1386. [15482]</w:t>
            </w:r>
          </w:p>
        </w:tc>
      </w:tr>
      <w:tr w:rsidR="002F0133" w:rsidRPr="000B4E2C" w14:paraId="4674DE11" w14:textId="77777777" w:rsidTr="000B4E2C">
        <w:trPr>
          <w:cantSplit/>
        </w:trPr>
        <w:tc>
          <w:tcPr>
            <w:tcW w:w="0" w:type="auto"/>
            <w:shd w:val="clear" w:color="auto" w:fill="auto"/>
            <w:noWrap/>
            <w:hideMark/>
          </w:tcPr>
          <w:p w14:paraId="60F950C1" w14:textId="77777777" w:rsidR="002F0133" w:rsidRPr="000B4E2C" w:rsidRDefault="002F0133" w:rsidP="008A7464">
            <w:pPr>
              <w:rPr>
                <w:lang w:eastAsia="en-GB"/>
              </w:rPr>
            </w:pPr>
            <w:r w:rsidRPr="000B4E2C">
              <w:rPr>
                <w:lang w:eastAsia="en-GB"/>
              </w:rPr>
              <w:t>Fan</w:t>
            </w:r>
          </w:p>
        </w:tc>
        <w:tc>
          <w:tcPr>
            <w:tcW w:w="0" w:type="auto"/>
            <w:shd w:val="clear" w:color="auto" w:fill="auto"/>
            <w:noWrap/>
            <w:hideMark/>
          </w:tcPr>
          <w:p w14:paraId="579BF1D3"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4991EAC"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513A58FE" w14:textId="77777777" w:rsidR="002F0133" w:rsidRPr="000B4E2C" w:rsidRDefault="002F0133" w:rsidP="008A7464">
            <w:pPr>
              <w:rPr>
                <w:highlight w:val="green"/>
                <w:lang w:eastAsia="en-GB"/>
              </w:rPr>
            </w:pPr>
            <w:r w:rsidRPr="000B4E2C">
              <w:rPr>
                <w:highlight w:val="green"/>
                <w:lang w:eastAsia="en-GB"/>
              </w:rPr>
              <w:t>H. Fan, Y. Zhao, M. Sun and J.-H. Zhu. Urinary neutrophil gelatinase-associated lipocalin, kidney injury molecule-1, N-acetyl-beta-D-glucosaminidase levels and mortality risk in septic patients with acute kidney injury. Archives of Medical Science, 14(6), 1381-1386. [18433]</w:t>
            </w:r>
          </w:p>
        </w:tc>
      </w:tr>
      <w:tr w:rsidR="002F0133" w:rsidRPr="000B4E2C" w14:paraId="34C838A6" w14:textId="77777777" w:rsidTr="000B4E2C">
        <w:trPr>
          <w:cantSplit/>
        </w:trPr>
        <w:tc>
          <w:tcPr>
            <w:tcW w:w="0" w:type="auto"/>
            <w:shd w:val="clear" w:color="auto" w:fill="auto"/>
            <w:noWrap/>
            <w:hideMark/>
          </w:tcPr>
          <w:p w14:paraId="0C780B32" w14:textId="77777777" w:rsidR="002F0133" w:rsidRPr="000B4E2C" w:rsidRDefault="002F0133" w:rsidP="008A7464">
            <w:pPr>
              <w:rPr>
                <w:lang w:eastAsia="en-GB"/>
              </w:rPr>
            </w:pPr>
            <w:r w:rsidRPr="000B4E2C">
              <w:rPr>
                <w:lang w:eastAsia="en-GB"/>
              </w:rPr>
              <w:t xml:space="preserve">Fan </w:t>
            </w:r>
          </w:p>
        </w:tc>
        <w:tc>
          <w:tcPr>
            <w:tcW w:w="0" w:type="auto"/>
            <w:shd w:val="clear" w:color="auto" w:fill="auto"/>
            <w:noWrap/>
            <w:hideMark/>
          </w:tcPr>
          <w:p w14:paraId="7452288B"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EEA6338"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50ED2599" w14:textId="77777777" w:rsidR="002F0133" w:rsidRPr="000B4E2C" w:rsidRDefault="002F0133" w:rsidP="008A7464">
            <w:pPr>
              <w:rPr>
                <w:highlight w:val="green"/>
                <w:lang w:eastAsia="en-GB"/>
              </w:rPr>
            </w:pPr>
            <w:r w:rsidRPr="000B4E2C">
              <w:rPr>
                <w:highlight w:val="green"/>
                <w:lang w:eastAsia="en-GB"/>
              </w:rPr>
              <w:t>H. Fan, Y. Zhao, J. H. Zhu and F. C. Song. Urine neutrophil gelatinase-associated lipocalin in septic patients with and without acute kidney injury. Renal Failure, 36(9), 1399-1403. [15484]</w:t>
            </w:r>
          </w:p>
        </w:tc>
      </w:tr>
      <w:tr w:rsidR="002F0133" w:rsidRPr="000B4E2C" w14:paraId="64E978ED" w14:textId="77777777" w:rsidTr="000B4E2C">
        <w:trPr>
          <w:cantSplit/>
        </w:trPr>
        <w:tc>
          <w:tcPr>
            <w:tcW w:w="0" w:type="auto"/>
            <w:shd w:val="clear" w:color="auto" w:fill="auto"/>
            <w:noWrap/>
            <w:hideMark/>
          </w:tcPr>
          <w:p w14:paraId="0031F886" w14:textId="77777777" w:rsidR="002F0133" w:rsidRPr="000B4E2C" w:rsidRDefault="002F0133" w:rsidP="008A7464">
            <w:pPr>
              <w:rPr>
                <w:lang w:eastAsia="en-GB"/>
              </w:rPr>
            </w:pPr>
            <w:r w:rsidRPr="000B4E2C">
              <w:rPr>
                <w:lang w:eastAsia="en-GB"/>
              </w:rPr>
              <w:t>Fanning</w:t>
            </w:r>
          </w:p>
        </w:tc>
        <w:tc>
          <w:tcPr>
            <w:tcW w:w="0" w:type="auto"/>
            <w:shd w:val="clear" w:color="auto" w:fill="auto"/>
            <w:noWrap/>
            <w:hideMark/>
          </w:tcPr>
          <w:p w14:paraId="1817D358"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513A651" w14:textId="5CAEF94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DE06758" w14:textId="77777777" w:rsidR="002F0133" w:rsidRPr="000B4E2C" w:rsidRDefault="002F0133" w:rsidP="008A7464">
            <w:pPr>
              <w:rPr>
                <w:highlight w:val="green"/>
                <w:lang w:eastAsia="en-GB"/>
              </w:rPr>
            </w:pPr>
            <w:r w:rsidRPr="000B4E2C">
              <w:rPr>
                <w:highlight w:val="green"/>
                <w:lang w:eastAsia="en-GB"/>
              </w:rPr>
              <w:t>N. Fanning, S. Galvin, R. Parke, J. Gilroy, R. Bellomo and S. McGuinness. A Prospective Study of the Timing and Accuracy of Neutrophil Gelatinase-Associated Lipocalin Levels in Predicting Acute Kidney Injury in High-Risk Cardiac Surgery Patients. Journal of Cardiothoracic and Vascular Anesthesia, 30(1), 76-81. [15488]</w:t>
            </w:r>
          </w:p>
        </w:tc>
      </w:tr>
      <w:tr w:rsidR="002F0133" w:rsidRPr="000B4E2C" w14:paraId="3CEF7C7F" w14:textId="77777777" w:rsidTr="000B4E2C">
        <w:trPr>
          <w:cantSplit/>
        </w:trPr>
        <w:tc>
          <w:tcPr>
            <w:tcW w:w="0" w:type="auto"/>
            <w:shd w:val="clear" w:color="auto" w:fill="auto"/>
            <w:noWrap/>
            <w:hideMark/>
          </w:tcPr>
          <w:p w14:paraId="6BD113C1" w14:textId="77777777" w:rsidR="002F0133" w:rsidRPr="000B4E2C" w:rsidRDefault="002F0133" w:rsidP="008A7464">
            <w:pPr>
              <w:rPr>
                <w:lang w:eastAsia="en-GB"/>
              </w:rPr>
            </w:pPr>
            <w:r w:rsidRPr="000B4E2C">
              <w:rPr>
                <w:lang w:eastAsia="en-GB"/>
              </w:rPr>
              <w:t>Fathimah</w:t>
            </w:r>
          </w:p>
        </w:tc>
        <w:tc>
          <w:tcPr>
            <w:tcW w:w="0" w:type="auto"/>
            <w:shd w:val="clear" w:color="auto" w:fill="auto"/>
            <w:noWrap/>
            <w:hideMark/>
          </w:tcPr>
          <w:p w14:paraId="4EEFD663"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620076CB" w14:textId="29C5515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6DA39FD" w14:textId="77777777" w:rsidR="002F0133" w:rsidRPr="000B4E2C" w:rsidRDefault="002F0133" w:rsidP="008A7464">
            <w:pPr>
              <w:rPr>
                <w:highlight w:val="green"/>
                <w:lang w:eastAsia="en-GB"/>
              </w:rPr>
            </w:pPr>
            <w:r w:rsidRPr="000B4E2C">
              <w:rPr>
                <w:highlight w:val="green"/>
                <w:lang w:eastAsia="en-GB"/>
              </w:rPr>
              <w:t>M. Fathimah, M. K. Alicezah and M. Thevarajah. Neutrophil Gelatinase-Associated Lipocalin (NGAL): an early marker for diabetic nephropathy. International Journal of Diabetes in Developing Countries, 32(1), 19-24. [18435]</w:t>
            </w:r>
          </w:p>
        </w:tc>
      </w:tr>
      <w:tr w:rsidR="002F0133" w:rsidRPr="000B4E2C" w14:paraId="1A34D014" w14:textId="77777777" w:rsidTr="000B4E2C">
        <w:trPr>
          <w:cantSplit/>
        </w:trPr>
        <w:tc>
          <w:tcPr>
            <w:tcW w:w="0" w:type="auto"/>
            <w:shd w:val="clear" w:color="auto" w:fill="auto"/>
            <w:noWrap/>
            <w:hideMark/>
          </w:tcPr>
          <w:p w14:paraId="4A87E8F5" w14:textId="77777777" w:rsidR="002F0133" w:rsidRPr="000B4E2C" w:rsidRDefault="002F0133" w:rsidP="008A7464">
            <w:pPr>
              <w:rPr>
                <w:lang w:eastAsia="en-GB"/>
              </w:rPr>
            </w:pPr>
            <w:r w:rsidRPr="000B4E2C">
              <w:rPr>
                <w:lang w:eastAsia="en-GB"/>
              </w:rPr>
              <w:t>Feldkamp</w:t>
            </w:r>
          </w:p>
        </w:tc>
        <w:tc>
          <w:tcPr>
            <w:tcW w:w="0" w:type="auto"/>
            <w:shd w:val="clear" w:color="auto" w:fill="auto"/>
            <w:noWrap/>
            <w:hideMark/>
          </w:tcPr>
          <w:p w14:paraId="5B00CA28"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4858417D"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7CD533E5" w14:textId="77777777" w:rsidR="002F0133" w:rsidRPr="000B4E2C" w:rsidRDefault="002F0133" w:rsidP="008A7464">
            <w:pPr>
              <w:rPr>
                <w:highlight w:val="green"/>
                <w:lang w:eastAsia="en-GB"/>
              </w:rPr>
            </w:pPr>
            <w:r w:rsidRPr="000B4E2C">
              <w:rPr>
                <w:highlight w:val="green"/>
                <w:lang w:val="da-DK" w:eastAsia="en-GB"/>
              </w:rPr>
              <w:t xml:space="preserve">T. Feldkamp, A. Bienholz and A. Kribben. </w:t>
            </w:r>
            <w:r w:rsidRPr="000B4E2C">
              <w:rPr>
                <w:highlight w:val="green"/>
                <w:lang w:eastAsia="en-GB"/>
              </w:rPr>
              <w:t>Urinary neutrophil gelatinase-associated lipocalin (NGAL) for the detection of acute kidney injury after orthotopic liver transplantation. Nephrology Dialysis Transplantation, 26(5), 1456-1458. [15495]</w:t>
            </w:r>
          </w:p>
        </w:tc>
      </w:tr>
      <w:tr w:rsidR="002F0133" w:rsidRPr="000B4E2C" w14:paraId="210E47AD" w14:textId="77777777" w:rsidTr="000B4E2C">
        <w:trPr>
          <w:cantSplit/>
        </w:trPr>
        <w:tc>
          <w:tcPr>
            <w:tcW w:w="0" w:type="auto"/>
            <w:shd w:val="clear" w:color="auto" w:fill="auto"/>
            <w:noWrap/>
            <w:hideMark/>
          </w:tcPr>
          <w:p w14:paraId="771F5AB7" w14:textId="77777777" w:rsidR="002F0133" w:rsidRPr="000B4E2C" w:rsidRDefault="002F0133" w:rsidP="008A7464">
            <w:pPr>
              <w:rPr>
                <w:lang w:eastAsia="en-GB"/>
              </w:rPr>
            </w:pPr>
            <w:r w:rsidRPr="000B4E2C">
              <w:rPr>
                <w:lang w:eastAsia="en-GB"/>
              </w:rPr>
              <w:t>Feng</w:t>
            </w:r>
          </w:p>
        </w:tc>
        <w:tc>
          <w:tcPr>
            <w:tcW w:w="0" w:type="auto"/>
            <w:shd w:val="clear" w:color="auto" w:fill="auto"/>
            <w:noWrap/>
            <w:hideMark/>
          </w:tcPr>
          <w:p w14:paraId="08E81B51"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4B6C9737"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1FF1F9F1" w14:textId="77777777" w:rsidR="002F0133" w:rsidRPr="000B4E2C" w:rsidRDefault="002F0133" w:rsidP="008A7464">
            <w:pPr>
              <w:rPr>
                <w:highlight w:val="green"/>
                <w:lang w:eastAsia="en-GB"/>
              </w:rPr>
            </w:pPr>
            <w:r w:rsidRPr="000B4E2C">
              <w:rPr>
                <w:highlight w:val="green"/>
                <w:lang w:eastAsia="en-GB"/>
              </w:rPr>
              <w:t>Y. G. Feng, B. Liang, J. Liu, M. D. Jiang, H. J. Liu, Y. Q. Huang and L. Xiao. Correlation study of podocyte injury and kidney function in patients with acute kidney injury. Journal of Acute Disease, 5(6), 493-496. [15497]</w:t>
            </w:r>
          </w:p>
        </w:tc>
      </w:tr>
      <w:tr w:rsidR="002F0133" w:rsidRPr="000B4E2C" w14:paraId="0B8BAD81" w14:textId="77777777" w:rsidTr="000B4E2C">
        <w:trPr>
          <w:cantSplit/>
        </w:trPr>
        <w:tc>
          <w:tcPr>
            <w:tcW w:w="0" w:type="auto"/>
            <w:shd w:val="clear" w:color="auto" w:fill="auto"/>
            <w:noWrap/>
            <w:hideMark/>
          </w:tcPr>
          <w:p w14:paraId="3BE0895F" w14:textId="77777777" w:rsidR="002F0133" w:rsidRPr="000B4E2C" w:rsidRDefault="002F0133" w:rsidP="008A7464">
            <w:pPr>
              <w:rPr>
                <w:lang w:eastAsia="en-GB"/>
              </w:rPr>
            </w:pPr>
            <w:r w:rsidRPr="000B4E2C">
              <w:rPr>
                <w:lang w:eastAsia="en-GB"/>
              </w:rPr>
              <w:t>Ferguson</w:t>
            </w:r>
          </w:p>
        </w:tc>
        <w:tc>
          <w:tcPr>
            <w:tcW w:w="0" w:type="auto"/>
            <w:shd w:val="clear" w:color="auto" w:fill="auto"/>
            <w:noWrap/>
            <w:hideMark/>
          </w:tcPr>
          <w:p w14:paraId="3002CCF7"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767DF632" w14:textId="3FB82D4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95ACD88" w14:textId="77777777" w:rsidR="002F0133" w:rsidRPr="000B4E2C" w:rsidRDefault="002F0133" w:rsidP="008A7464">
            <w:pPr>
              <w:rPr>
                <w:highlight w:val="green"/>
                <w:lang w:eastAsia="en-GB"/>
              </w:rPr>
            </w:pPr>
            <w:r w:rsidRPr="000B4E2C">
              <w:rPr>
                <w:highlight w:val="green"/>
                <w:lang w:eastAsia="en-GB"/>
              </w:rPr>
              <w:t>M. A. Ferguson, V. S. Vaidya, S. S. Waikar, F. B. Collings, K. E. Sunderland, C. J. Gioules and J. V. Bonventre. Urinary liver-type fatty acid-binding protein predicts adverse outcomes in acute kidney injury. Kidney International, 77(8), 708-714. [15500]</w:t>
            </w:r>
          </w:p>
        </w:tc>
      </w:tr>
      <w:tr w:rsidR="002F0133" w:rsidRPr="000B4E2C" w14:paraId="33F4517E" w14:textId="77777777" w:rsidTr="000B4E2C">
        <w:trPr>
          <w:cantSplit/>
        </w:trPr>
        <w:tc>
          <w:tcPr>
            <w:tcW w:w="0" w:type="auto"/>
            <w:shd w:val="clear" w:color="auto" w:fill="auto"/>
            <w:noWrap/>
            <w:hideMark/>
          </w:tcPr>
          <w:p w14:paraId="088BF234" w14:textId="77777777" w:rsidR="002F0133" w:rsidRPr="000B4E2C" w:rsidRDefault="002F0133" w:rsidP="008A7464">
            <w:pPr>
              <w:rPr>
                <w:lang w:eastAsia="en-GB"/>
              </w:rPr>
            </w:pPr>
            <w:r w:rsidRPr="000B4E2C">
              <w:rPr>
                <w:lang w:eastAsia="en-GB"/>
              </w:rPr>
              <w:t>Fernandes</w:t>
            </w:r>
          </w:p>
        </w:tc>
        <w:tc>
          <w:tcPr>
            <w:tcW w:w="0" w:type="auto"/>
            <w:shd w:val="clear" w:color="auto" w:fill="auto"/>
            <w:noWrap/>
            <w:hideMark/>
          </w:tcPr>
          <w:p w14:paraId="7BD75B2D"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FD1C696" w14:textId="19AF7B7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DBC1811" w14:textId="77777777" w:rsidR="002F0133" w:rsidRPr="000B4E2C" w:rsidRDefault="002F0133" w:rsidP="008A7464">
            <w:pPr>
              <w:rPr>
                <w:highlight w:val="green"/>
                <w:lang w:eastAsia="en-GB"/>
              </w:rPr>
            </w:pPr>
            <w:r w:rsidRPr="000B4E2C">
              <w:rPr>
                <w:highlight w:val="green"/>
                <w:lang w:eastAsia="en-GB"/>
              </w:rPr>
              <w:t>A. Fernandes, J. Ettinger, F. Amaral, M. J. Ramalho, R. Alves and N. S. Modolo. General anesthesia type does not influence serum levels of neutrophil gelatinase-associated lipocalin during the perioperative period in video laparoscopic bariatric surgery. Clinics (Sao Paulo, Brazil), 69(10), 655-659. [15502]</w:t>
            </w:r>
          </w:p>
        </w:tc>
      </w:tr>
      <w:tr w:rsidR="002F0133" w:rsidRPr="000B4E2C" w14:paraId="7ECDEA2B" w14:textId="77777777" w:rsidTr="000B4E2C">
        <w:trPr>
          <w:cantSplit/>
        </w:trPr>
        <w:tc>
          <w:tcPr>
            <w:tcW w:w="0" w:type="auto"/>
            <w:shd w:val="clear" w:color="auto" w:fill="auto"/>
            <w:noWrap/>
            <w:hideMark/>
          </w:tcPr>
          <w:p w14:paraId="3EE7186E" w14:textId="77777777" w:rsidR="002F0133" w:rsidRPr="000B4E2C" w:rsidRDefault="002F0133" w:rsidP="008A7464">
            <w:pPr>
              <w:rPr>
                <w:lang w:eastAsia="en-GB"/>
              </w:rPr>
            </w:pPr>
            <w:r w:rsidRPr="000B4E2C">
              <w:rPr>
                <w:lang w:eastAsia="en-GB"/>
              </w:rPr>
              <w:lastRenderedPageBreak/>
              <w:t>Filho</w:t>
            </w:r>
          </w:p>
        </w:tc>
        <w:tc>
          <w:tcPr>
            <w:tcW w:w="0" w:type="auto"/>
            <w:shd w:val="clear" w:color="auto" w:fill="auto"/>
            <w:noWrap/>
            <w:hideMark/>
          </w:tcPr>
          <w:p w14:paraId="42A0FCA4"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350900C3" w14:textId="48402DC0" w:rsidR="002F0133" w:rsidRPr="000B4E2C" w:rsidRDefault="002F0133" w:rsidP="008A7464">
            <w:pPr>
              <w:rPr>
                <w:lang w:eastAsia="en-GB"/>
              </w:rPr>
            </w:pPr>
            <w:r w:rsidRPr="000B4E2C">
              <w:rPr>
                <w:lang w:eastAsia="en-GB"/>
              </w:rPr>
              <w:t>Systematic review</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356F02DF" w14:textId="77777777" w:rsidR="002F0133" w:rsidRPr="000B4E2C" w:rsidRDefault="002F0133" w:rsidP="008A7464">
            <w:pPr>
              <w:rPr>
                <w:highlight w:val="green"/>
                <w:lang w:eastAsia="en-GB"/>
              </w:rPr>
            </w:pPr>
            <w:r w:rsidRPr="000B4E2C">
              <w:rPr>
                <w:highlight w:val="green"/>
                <w:lang w:eastAsia="en-GB"/>
              </w:rPr>
              <w:t>L. T. Filho, A. J. Grande, T. Colonetti, E. S. P. Della and M. I. da Rosa. Accuracy of neutrophil gelatinase-associated lipocalin for acute kidney injury diagnosis in children: systematic review and meta-analysis. Pediatric Nephrology, 32(10), 1979-1988. [15506]</w:t>
            </w:r>
          </w:p>
        </w:tc>
      </w:tr>
      <w:tr w:rsidR="002F0133" w:rsidRPr="000B4E2C" w14:paraId="13C33ADF" w14:textId="77777777" w:rsidTr="000B4E2C">
        <w:trPr>
          <w:cantSplit/>
        </w:trPr>
        <w:tc>
          <w:tcPr>
            <w:tcW w:w="0" w:type="auto"/>
            <w:shd w:val="clear" w:color="auto" w:fill="auto"/>
            <w:noWrap/>
            <w:hideMark/>
          </w:tcPr>
          <w:p w14:paraId="3C9D6690" w14:textId="77777777" w:rsidR="002F0133" w:rsidRPr="000B4E2C" w:rsidRDefault="002F0133" w:rsidP="008A7464">
            <w:pPr>
              <w:rPr>
                <w:lang w:eastAsia="en-GB"/>
              </w:rPr>
            </w:pPr>
            <w:r w:rsidRPr="000B4E2C">
              <w:rPr>
                <w:lang w:eastAsia="en-GB"/>
              </w:rPr>
              <w:t>Filiopoulos</w:t>
            </w:r>
          </w:p>
        </w:tc>
        <w:tc>
          <w:tcPr>
            <w:tcW w:w="0" w:type="auto"/>
            <w:shd w:val="clear" w:color="auto" w:fill="auto"/>
            <w:noWrap/>
            <w:hideMark/>
          </w:tcPr>
          <w:p w14:paraId="7D746E5C"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76BACDA2"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76FB6C2" w14:textId="77777777" w:rsidR="002F0133" w:rsidRPr="000B4E2C" w:rsidRDefault="002F0133" w:rsidP="008A7464">
            <w:pPr>
              <w:rPr>
                <w:highlight w:val="green"/>
                <w:lang w:eastAsia="en-GB"/>
              </w:rPr>
            </w:pPr>
            <w:r w:rsidRPr="000B4E2C">
              <w:rPr>
                <w:highlight w:val="green"/>
                <w:lang w:eastAsia="en-GB"/>
              </w:rPr>
              <w:t>V. Filiopoulos, D. Biblaki, D. Lazarou, D. Chrisis, M. Fatourou, S. Lafoyianni and D. Vlassopoulos. Plasma neutrophil gelatinase-associated lipocalin (NGAL) as an early predictive marker of contrast-induced nephropathy in hospitalized patients undergoing computed tomography. Clinical Kidney Journal, 6(6), 578-583. [15508]</w:t>
            </w:r>
          </w:p>
        </w:tc>
      </w:tr>
      <w:tr w:rsidR="002F0133" w:rsidRPr="000B4E2C" w14:paraId="420830BC" w14:textId="77777777" w:rsidTr="000B4E2C">
        <w:trPr>
          <w:cantSplit/>
        </w:trPr>
        <w:tc>
          <w:tcPr>
            <w:tcW w:w="0" w:type="auto"/>
            <w:shd w:val="clear" w:color="auto" w:fill="auto"/>
            <w:noWrap/>
            <w:hideMark/>
          </w:tcPr>
          <w:p w14:paraId="43B6435F" w14:textId="77777777" w:rsidR="002F0133" w:rsidRPr="000B4E2C" w:rsidRDefault="002F0133" w:rsidP="008A7464">
            <w:pPr>
              <w:rPr>
                <w:lang w:eastAsia="en-GB"/>
              </w:rPr>
            </w:pPr>
            <w:r w:rsidRPr="000B4E2C">
              <w:rPr>
                <w:lang w:eastAsia="en-GB"/>
              </w:rPr>
              <w:t>Filiopoulos</w:t>
            </w:r>
          </w:p>
        </w:tc>
        <w:tc>
          <w:tcPr>
            <w:tcW w:w="0" w:type="auto"/>
            <w:shd w:val="clear" w:color="auto" w:fill="auto"/>
            <w:noWrap/>
            <w:hideMark/>
          </w:tcPr>
          <w:p w14:paraId="42435C7E"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2D402478"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10C3C924" w14:textId="77777777" w:rsidR="002F0133" w:rsidRPr="000B4E2C" w:rsidRDefault="002F0133" w:rsidP="008A7464">
            <w:pPr>
              <w:rPr>
                <w:highlight w:val="green"/>
                <w:lang w:eastAsia="en-GB"/>
              </w:rPr>
            </w:pPr>
            <w:r w:rsidRPr="000B4E2C">
              <w:rPr>
                <w:highlight w:val="green"/>
                <w:lang w:eastAsia="en-GB"/>
              </w:rPr>
              <w:t>V. Filiopoulos, D. Biblaki and D. Vlassopoulos. Neutrophil gelatinase-associated lipocalin (NGAL): A promising biomarker of contrast-induced nephropathy after computed tomography. Renal Failure, 36(6), 979-986. [15507]</w:t>
            </w:r>
          </w:p>
        </w:tc>
      </w:tr>
      <w:tr w:rsidR="002F0133" w:rsidRPr="000B4E2C" w14:paraId="7F5A8183" w14:textId="77777777" w:rsidTr="000B4E2C">
        <w:trPr>
          <w:cantSplit/>
        </w:trPr>
        <w:tc>
          <w:tcPr>
            <w:tcW w:w="0" w:type="auto"/>
            <w:shd w:val="clear" w:color="auto" w:fill="auto"/>
            <w:noWrap/>
            <w:hideMark/>
          </w:tcPr>
          <w:p w14:paraId="4F428126" w14:textId="77777777" w:rsidR="002F0133" w:rsidRPr="000B4E2C" w:rsidRDefault="002F0133" w:rsidP="008A7464">
            <w:pPr>
              <w:rPr>
                <w:lang w:eastAsia="en-GB"/>
              </w:rPr>
            </w:pPr>
            <w:r w:rsidRPr="000B4E2C">
              <w:rPr>
                <w:lang w:eastAsia="en-GB"/>
              </w:rPr>
              <w:t xml:space="preserve">Finge </w:t>
            </w:r>
          </w:p>
        </w:tc>
        <w:tc>
          <w:tcPr>
            <w:tcW w:w="0" w:type="auto"/>
            <w:shd w:val="clear" w:color="auto" w:fill="auto"/>
            <w:noWrap/>
            <w:hideMark/>
          </w:tcPr>
          <w:p w14:paraId="45617B60"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7C6F348" w14:textId="41146DD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66FF017" w14:textId="77777777" w:rsidR="002F0133" w:rsidRPr="000B4E2C" w:rsidRDefault="002F0133" w:rsidP="008A7464">
            <w:pPr>
              <w:rPr>
                <w:highlight w:val="green"/>
                <w:lang w:eastAsia="en-GB"/>
              </w:rPr>
            </w:pPr>
            <w:r w:rsidRPr="000B4E2C">
              <w:rPr>
                <w:highlight w:val="green"/>
                <w:lang w:eastAsia="en-GB"/>
              </w:rPr>
              <w:t>T. Finge, S. Bertran, C. Roger, D. Candela, B. Pereira, C. Scott, L. Muller, B. Louart and J. Y. Lefrant. Interest of Urinary [TIMP-2] x [IGFBP-7] for Predicting the Occurrence of Acute Kidney Injury after Cardiac Surgery: A Gray Zone Approach. Anesthesia and Analgesia, 125(3), 762-769. [15510]</w:t>
            </w:r>
          </w:p>
        </w:tc>
      </w:tr>
      <w:tr w:rsidR="002F0133" w:rsidRPr="000B4E2C" w14:paraId="6AFA85DA" w14:textId="77777777" w:rsidTr="000B4E2C">
        <w:trPr>
          <w:cantSplit/>
        </w:trPr>
        <w:tc>
          <w:tcPr>
            <w:tcW w:w="0" w:type="auto"/>
            <w:shd w:val="clear" w:color="auto" w:fill="auto"/>
            <w:noWrap/>
            <w:hideMark/>
          </w:tcPr>
          <w:p w14:paraId="4E2772A7" w14:textId="77777777" w:rsidR="002F0133" w:rsidRPr="000B4E2C" w:rsidRDefault="002F0133" w:rsidP="008A7464">
            <w:pPr>
              <w:rPr>
                <w:lang w:eastAsia="en-GB"/>
              </w:rPr>
            </w:pPr>
            <w:r w:rsidRPr="000B4E2C">
              <w:rPr>
                <w:lang w:eastAsia="en-GB"/>
              </w:rPr>
              <w:t>Fiorentino</w:t>
            </w:r>
          </w:p>
        </w:tc>
        <w:tc>
          <w:tcPr>
            <w:tcW w:w="0" w:type="auto"/>
            <w:shd w:val="clear" w:color="auto" w:fill="auto"/>
            <w:noWrap/>
            <w:hideMark/>
          </w:tcPr>
          <w:p w14:paraId="5A665871"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235BD6D9" w14:textId="6FC2899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54DF69C" w14:textId="77777777" w:rsidR="002F0133" w:rsidRPr="000B4E2C" w:rsidRDefault="002F0133" w:rsidP="008A7464">
            <w:pPr>
              <w:rPr>
                <w:highlight w:val="green"/>
                <w:lang w:eastAsia="en-GB"/>
              </w:rPr>
            </w:pPr>
            <w:r w:rsidRPr="000B4E2C">
              <w:rPr>
                <w:highlight w:val="green"/>
                <w:lang w:eastAsia="en-GB"/>
              </w:rPr>
              <w:t>M. Fiorentino, F. A. Tohme, R. Murugan and J. A. Kellum. Plasma Biomarkers in Predicting Renal Recovery from Acute Kidney Injury in Critically Ill Patients. Blood purification, 1-9. [15511]</w:t>
            </w:r>
          </w:p>
        </w:tc>
      </w:tr>
      <w:tr w:rsidR="002F0133" w:rsidRPr="000B4E2C" w14:paraId="733A96C7" w14:textId="77777777" w:rsidTr="000B4E2C">
        <w:trPr>
          <w:cantSplit/>
        </w:trPr>
        <w:tc>
          <w:tcPr>
            <w:tcW w:w="0" w:type="auto"/>
            <w:shd w:val="clear" w:color="auto" w:fill="auto"/>
            <w:noWrap/>
            <w:hideMark/>
          </w:tcPr>
          <w:p w14:paraId="27EDEB77" w14:textId="77777777" w:rsidR="002F0133" w:rsidRPr="000B4E2C" w:rsidRDefault="002F0133" w:rsidP="008A7464">
            <w:pPr>
              <w:rPr>
                <w:lang w:eastAsia="en-GB"/>
              </w:rPr>
            </w:pPr>
            <w:r w:rsidRPr="000B4E2C">
              <w:rPr>
                <w:lang w:eastAsia="en-GB"/>
              </w:rPr>
              <w:t>Flechet</w:t>
            </w:r>
          </w:p>
        </w:tc>
        <w:tc>
          <w:tcPr>
            <w:tcW w:w="0" w:type="auto"/>
            <w:shd w:val="clear" w:color="auto" w:fill="auto"/>
            <w:noWrap/>
            <w:hideMark/>
          </w:tcPr>
          <w:p w14:paraId="6D6F0407"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56FA6B8A"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5FFC75A8" w14:textId="77777777" w:rsidR="002F0133" w:rsidRPr="000B4E2C" w:rsidRDefault="002F0133" w:rsidP="008A7464">
            <w:pPr>
              <w:rPr>
                <w:highlight w:val="green"/>
                <w:lang w:eastAsia="en-GB"/>
              </w:rPr>
            </w:pPr>
            <w:r w:rsidRPr="000B4E2C">
              <w:rPr>
                <w:highlight w:val="green"/>
                <w:lang w:eastAsia="en-GB"/>
              </w:rPr>
              <w:t>M. Flechet, F. Guiza, M. Schetz, P. Wouters, I. Vanhorebeek, I. Derese, J. Gunst, I. Spriet, M. Casaer, G. Van den Berghe and G. Meyfroidt. AKIpredictor, an online prognostic calculator for acute kidney injury in adult critically ill patients: development, validation and comparison to serum neutrophil gelatinase-associated lipocalin. Intensive Care Medicine, 43(6), 764-773. [15513]</w:t>
            </w:r>
          </w:p>
        </w:tc>
      </w:tr>
      <w:tr w:rsidR="002F0133" w:rsidRPr="000B4E2C" w14:paraId="49AFD50A" w14:textId="77777777" w:rsidTr="000B4E2C">
        <w:trPr>
          <w:cantSplit/>
        </w:trPr>
        <w:tc>
          <w:tcPr>
            <w:tcW w:w="0" w:type="auto"/>
            <w:shd w:val="clear" w:color="auto" w:fill="auto"/>
            <w:noWrap/>
            <w:hideMark/>
          </w:tcPr>
          <w:p w14:paraId="29B74DF3" w14:textId="77777777" w:rsidR="002F0133" w:rsidRPr="000B4E2C" w:rsidRDefault="002F0133" w:rsidP="008A7464">
            <w:pPr>
              <w:rPr>
                <w:lang w:eastAsia="en-GB"/>
              </w:rPr>
            </w:pPr>
            <w:r w:rsidRPr="000B4E2C">
              <w:rPr>
                <w:lang w:eastAsia="en-GB"/>
              </w:rPr>
              <w:t>Foroughi</w:t>
            </w:r>
          </w:p>
        </w:tc>
        <w:tc>
          <w:tcPr>
            <w:tcW w:w="0" w:type="auto"/>
            <w:shd w:val="clear" w:color="auto" w:fill="auto"/>
            <w:noWrap/>
            <w:hideMark/>
          </w:tcPr>
          <w:p w14:paraId="78362E47"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519A532D"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2875C914" w14:textId="77777777" w:rsidR="002F0133" w:rsidRPr="000B4E2C" w:rsidRDefault="002F0133" w:rsidP="008A7464">
            <w:pPr>
              <w:rPr>
                <w:highlight w:val="green"/>
                <w:lang w:eastAsia="en-GB"/>
              </w:rPr>
            </w:pPr>
            <w:r w:rsidRPr="000B4E2C">
              <w:rPr>
                <w:highlight w:val="green"/>
                <w:lang w:eastAsia="en-GB"/>
              </w:rPr>
              <w:t>M. Foroughi, H. Argani, S. A. Hassntash, M. Hekmat, M. Majidi, M. Beheshti, B. Mehdizadeh and B. Yekani. Lack of renal protection of ultrafiltration during cardiac surgery: A randomized clinical trial. Journal of Cardiovascular Surgery, 55(3), 407-413. [15518]</w:t>
            </w:r>
          </w:p>
        </w:tc>
      </w:tr>
      <w:tr w:rsidR="002F0133" w:rsidRPr="000B4E2C" w14:paraId="554CC878" w14:textId="77777777" w:rsidTr="000B4E2C">
        <w:trPr>
          <w:cantSplit/>
        </w:trPr>
        <w:tc>
          <w:tcPr>
            <w:tcW w:w="0" w:type="auto"/>
            <w:shd w:val="clear" w:color="auto" w:fill="auto"/>
            <w:noWrap/>
            <w:hideMark/>
          </w:tcPr>
          <w:p w14:paraId="798CB320" w14:textId="77777777" w:rsidR="002F0133" w:rsidRPr="000B4E2C" w:rsidRDefault="002F0133" w:rsidP="008A7464">
            <w:pPr>
              <w:rPr>
                <w:lang w:eastAsia="en-GB"/>
              </w:rPr>
            </w:pPr>
            <w:r w:rsidRPr="000B4E2C">
              <w:rPr>
                <w:lang w:eastAsia="en-GB"/>
              </w:rPr>
              <w:t>Forster</w:t>
            </w:r>
          </w:p>
        </w:tc>
        <w:tc>
          <w:tcPr>
            <w:tcW w:w="0" w:type="auto"/>
            <w:shd w:val="clear" w:color="auto" w:fill="auto"/>
            <w:noWrap/>
            <w:hideMark/>
          </w:tcPr>
          <w:p w14:paraId="25C0D24E"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7150C197" w14:textId="34E474B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21FB418" w14:textId="77777777" w:rsidR="002F0133" w:rsidRPr="000B4E2C" w:rsidRDefault="002F0133" w:rsidP="008A7464">
            <w:pPr>
              <w:rPr>
                <w:highlight w:val="green"/>
                <w:lang w:eastAsia="en-GB"/>
              </w:rPr>
            </w:pPr>
            <w:r w:rsidRPr="000B4E2C">
              <w:rPr>
                <w:highlight w:val="green"/>
                <w:lang w:eastAsia="en-GB"/>
              </w:rPr>
              <w:t>C. S. Forster, S. Goldstein, H. Pohl and E. Jackson. Association between urodynamic parameters and urine neutrophil gelatinase-associated lipocalin concentrations in children with neuropathic bladders. Journal of Pediatric Urology, 15(2), 155. [15519]</w:t>
            </w:r>
          </w:p>
        </w:tc>
      </w:tr>
      <w:tr w:rsidR="002F0133" w:rsidRPr="000B4E2C" w14:paraId="2A71C2BE" w14:textId="77777777" w:rsidTr="000B4E2C">
        <w:trPr>
          <w:cantSplit/>
        </w:trPr>
        <w:tc>
          <w:tcPr>
            <w:tcW w:w="0" w:type="auto"/>
            <w:shd w:val="clear" w:color="auto" w:fill="auto"/>
            <w:noWrap/>
            <w:hideMark/>
          </w:tcPr>
          <w:p w14:paraId="7DB395EE" w14:textId="77777777" w:rsidR="002F0133" w:rsidRPr="000B4E2C" w:rsidRDefault="002F0133" w:rsidP="008A7464">
            <w:pPr>
              <w:rPr>
                <w:lang w:eastAsia="en-GB"/>
              </w:rPr>
            </w:pPr>
            <w:r w:rsidRPr="000B4E2C">
              <w:rPr>
                <w:lang w:eastAsia="en-GB"/>
              </w:rPr>
              <w:t>Fortova</w:t>
            </w:r>
          </w:p>
        </w:tc>
        <w:tc>
          <w:tcPr>
            <w:tcW w:w="0" w:type="auto"/>
            <w:shd w:val="clear" w:color="auto" w:fill="auto"/>
            <w:noWrap/>
            <w:hideMark/>
          </w:tcPr>
          <w:p w14:paraId="6D8BD2B4"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281F3E5A" w14:textId="4C2A0B6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1A7B904" w14:textId="77777777" w:rsidR="002F0133" w:rsidRPr="000B4E2C" w:rsidRDefault="002F0133" w:rsidP="008A7464">
            <w:pPr>
              <w:rPr>
                <w:highlight w:val="green"/>
                <w:lang w:eastAsia="en-GB"/>
              </w:rPr>
            </w:pPr>
            <w:r w:rsidRPr="000B4E2C">
              <w:rPr>
                <w:highlight w:val="green"/>
                <w:lang w:eastAsia="en-GB"/>
              </w:rPr>
              <w:t>M. Fortova, J. Lejsek, M. Pechova and R. Prusa. Examination of urine neutrophil gelatinase-associated lipocalin following cardiac surgery in adults. Aktuality v Nefrologii, 17(4), 136-141. [15522]</w:t>
            </w:r>
          </w:p>
        </w:tc>
      </w:tr>
      <w:tr w:rsidR="002F0133" w:rsidRPr="000B4E2C" w14:paraId="63281869" w14:textId="77777777" w:rsidTr="000B4E2C">
        <w:trPr>
          <w:cantSplit/>
        </w:trPr>
        <w:tc>
          <w:tcPr>
            <w:tcW w:w="0" w:type="auto"/>
            <w:shd w:val="clear" w:color="auto" w:fill="auto"/>
            <w:noWrap/>
            <w:hideMark/>
          </w:tcPr>
          <w:p w14:paraId="6948C944" w14:textId="77777777" w:rsidR="002F0133" w:rsidRPr="000B4E2C" w:rsidRDefault="002F0133" w:rsidP="008A7464">
            <w:pPr>
              <w:rPr>
                <w:lang w:eastAsia="en-GB"/>
              </w:rPr>
            </w:pPr>
            <w:r w:rsidRPr="000B4E2C">
              <w:rPr>
                <w:lang w:eastAsia="en-GB"/>
              </w:rPr>
              <w:t>Fouad</w:t>
            </w:r>
          </w:p>
        </w:tc>
        <w:tc>
          <w:tcPr>
            <w:tcW w:w="0" w:type="auto"/>
            <w:shd w:val="clear" w:color="auto" w:fill="auto"/>
            <w:noWrap/>
            <w:hideMark/>
          </w:tcPr>
          <w:p w14:paraId="285E122B"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3BEBB4A4" w14:textId="223A4F1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C7DDA2F" w14:textId="77777777" w:rsidR="002F0133" w:rsidRPr="000B4E2C" w:rsidRDefault="002F0133" w:rsidP="008A7464">
            <w:pPr>
              <w:rPr>
                <w:highlight w:val="green"/>
                <w:lang w:eastAsia="en-GB"/>
              </w:rPr>
            </w:pPr>
            <w:r w:rsidRPr="000B4E2C">
              <w:rPr>
                <w:highlight w:val="green"/>
                <w:lang w:eastAsia="en-GB"/>
              </w:rPr>
              <w:t>T. R. Fouad, E. Abdelsameea, M. Elsabaawy, M. Ashraf Eljaky, S. Zaki El-shenawy and N. Omar. Urinary neutrophil gelatinase-associated lipocalin for diagnosis of spontaneous bacterial peritonitis. Tropical Doctor, . [15523]</w:t>
            </w:r>
          </w:p>
        </w:tc>
      </w:tr>
      <w:tr w:rsidR="002F0133" w:rsidRPr="000B4E2C" w14:paraId="3F563DC4" w14:textId="77777777" w:rsidTr="000B4E2C">
        <w:trPr>
          <w:cantSplit/>
        </w:trPr>
        <w:tc>
          <w:tcPr>
            <w:tcW w:w="0" w:type="auto"/>
            <w:shd w:val="clear" w:color="auto" w:fill="auto"/>
            <w:noWrap/>
            <w:hideMark/>
          </w:tcPr>
          <w:p w14:paraId="143D5E19" w14:textId="77777777" w:rsidR="002F0133" w:rsidRPr="000B4E2C" w:rsidRDefault="002F0133" w:rsidP="008A7464">
            <w:pPr>
              <w:rPr>
                <w:lang w:eastAsia="en-GB"/>
              </w:rPr>
            </w:pPr>
            <w:r w:rsidRPr="000B4E2C">
              <w:rPr>
                <w:lang w:eastAsia="en-GB"/>
              </w:rPr>
              <w:t>Fouda</w:t>
            </w:r>
          </w:p>
        </w:tc>
        <w:tc>
          <w:tcPr>
            <w:tcW w:w="0" w:type="auto"/>
            <w:shd w:val="clear" w:color="auto" w:fill="auto"/>
            <w:noWrap/>
            <w:hideMark/>
          </w:tcPr>
          <w:p w14:paraId="114F926B"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34B0C23A" w14:textId="28F76DE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C17FD1D" w14:textId="77777777" w:rsidR="002F0133" w:rsidRPr="000B4E2C" w:rsidRDefault="002F0133" w:rsidP="008A7464">
            <w:pPr>
              <w:rPr>
                <w:highlight w:val="green"/>
                <w:lang w:eastAsia="en-GB"/>
              </w:rPr>
            </w:pPr>
            <w:r w:rsidRPr="000B4E2C">
              <w:rPr>
                <w:highlight w:val="green"/>
                <w:lang w:eastAsia="en-GB"/>
              </w:rPr>
              <w:t>M. Fouda, H. M. Sherif, M. Shehata and A. Ibrahim. Early expression of urinary neutrophil gelatinase-associated lipocalin biomarker predicts acute kidney injury complicating circulatory shock. Egyptian Journal of Critical Care Medicine, 1(2), 79-86. [15524]</w:t>
            </w:r>
          </w:p>
        </w:tc>
      </w:tr>
      <w:tr w:rsidR="002F0133" w:rsidRPr="000B4E2C" w14:paraId="140971AD" w14:textId="77777777" w:rsidTr="000B4E2C">
        <w:trPr>
          <w:cantSplit/>
        </w:trPr>
        <w:tc>
          <w:tcPr>
            <w:tcW w:w="0" w:type="auto"/>
            <w:shd w:val="clear" w:color="auto" w:fill="auto"/>
            <w:noWrap/>
            <w:hideMark/>
          </w:tcPr>
          <w:p w14:paraId="6A8C6855" w14:textId="77777777" w:rsidR="002F0133" w:rsidRPr="000B4E2C" w:rsidRDefault="002F0133" w:rsidP="008A7464">
            <w:pPr>
              <w:rPr>
                <w:lang w:eastAsia="en-GB"/>
              </w:rPr>
            </w:pPr>
            <w:r w:rsidRPr="000B4E2C">
              <w:rPr>
                <w:lang w:eastAsia="en-GB"/>
              </w:rPr>
              <w:t>Fox</w:t>
            </w:r>
          </w:p>
        </w:tc>
        <w:tc>
          <w:tcPr>
            <w:tcW w:w="0" w:type="auto"/>
            <w:shd w:val="clear" w:color="auto" w:fill="auto"/>
            <w:noWrap/>
            <w:hideMark/>
          </w:tcPr>
          <w:p w14:paraId="278B86CE"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2EBF6554"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F9F0ED8" w14:textId="77777777" w:rsidR="002F0133" w:rsidRPr="000B4E2C" w:rsidRDefault="002F0133" w:rsidP="008A7464">
            <w:pPr>
              <w:rPr>
                <w:highlight w:val="green"/>
                <w:lang w:eastAsia="en-GB"/>
              </w:rPr>
            </w:pPr>
            <w:r w:rsidRPr="000B4E2C">
              <w:rPr>
                <w:highlight w:val="green"/>
                <w:lang w:eastAsia="en-GB"/>
              </w:rPr>
              <w:t>E. Fox, K. Levin, Y. Zhu, B. Segers, N. Balamuth, R. Womer, R. Bagatell and F. Balis. Pantoprazole, an Inhibitor of the Organic Cation Transporter 2, Does Not Ameliorate Cisplatin-Related Ototoxicity or Nephrotoxicity in Children and Adolescents with Newly Diagnosed Osteosarcoma Treated with Methotrexate, Doxorubicin, and Cisplatin. Oncologist, 23(7), 762-e79. [15525]</w:t>
            </w:r>
          </w:p>
        </w:tc>
      </w:tr>
      <w:tr w:rsidR="002F0133" w:rsidRPr="000B4E2C" w14:paraId="0B59AB5B" w14:textId="77777777" w:rsidTr="000B4E2C">
        <w:trPr>
          <w:cantSplit/>
        </w:trPr>
        <w:tc>
          <w:tcPr>
            <w:tcW w:w="0" w:type="auto"/>
            <w:shd w:val="clear" w:color="auto" w:fill="auto"/>
            <w:noWrap/>
            <w:hideMark/>
          </w:tcPr>
          <w:p w14:paraId="495AC167" w14:textId="77777777" w:rsidR="002F0133" w:rsidRPr="000B4E2C" w:rsidRDefault="002F0133" w:rsidP="008A7464">
            <w:pPr>
              <w:rPr>
                <w:lang w:eastAsia="en-GB"/>
              </w:rPr>
            </w:pPr>
            <w:r w:rsidRPr="000B4E2C">
              <w:rPr>
                <w:lang w:eastAsia="en-GB"/>
              </w:rPr>
              <w:lastRenderedPageBreak/>
              <w:t>Francoz</w:t>
            </w:r>
          </w:p>
        </w:tc>
        <w:tc>
          <w:tcPr>
            <w:tcW w:w="0" w:type="auto"/>
            <w:shd w:val="clear" w:color="auto" w:fill="auto"/>
            <w:noWrap/>
            <w:hideMark/>
          </w:tcPr>
          <w:p w14:paraId="39BA782A"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1A0C4BD"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4FA86C90" w14:textId="77777777" w:rsidR="002F0133" w:rsidRPr="000B4E2C" w:rsidRDefault="002F0133" w:rsidP="008A7464">
            <w:pPr>
              <w:rPr>
                <w:highlight w:val="green"/>
                <w:lang w:eastAsia="en-GB"/>
              </w:rPr>
            </w:pPr>
            <w:r w:rsidRPr="000B4E2C">
              <w:rPr>
                <w:highlight w:val="green"/>
                <w:lang w:eastAsia="en-GB"/>
              </w:rPr>
              <w:t>C. Francoz and F. Durand. Type-1 hepatorenal syndrome in patients with cirrhosis and infection vs. sepsis-induced acute kidney injury: What matters?. Journal of Hepatology, 60(5), 907-909. [15527]</w:t>
            </w:r>
          </w:p>
        </w:tc>
      </w:tr>
      <w:tr w:rsidR="002F0133" w:rsidRPr="000B4E2C" w14:paraId="4C394D9D" w14:textId="77777777" w:rsidTr="000B4E2C">
        <w:trPr>
          <w:cantSplit/>
        </w:trPr>
        <w:tc>
          <w:tcPr>
            <w:tcW w:w="0" w:type="auto"/>
            <w:shd w:val="clear" w:color="auto" w:fill="auto"/>
            <w:noWrap/>
            <w:hideMark/>
          </w:tcPr>
          <w:p w14:paraId="0A0F69C6" w14:textId="77777777" w:rsidR="002F0133" w:rsidRPr="000B4E2C" w:rsidRDefault="002F0133" w:rsidP="008A7464">
            <w:pPr>
              <w:rPr>
                <w:lang w:eastAsia="en-GB"/>
              </w:rPr>
            </w:pPr>
            <w:r w:rsidRPr="000B4E2C">
              <w:rPr>
                <w:lang w:eastAsia="en-GB"/>
              </w:rPr>
              <w:t>Friedrich</w:t>
            </w:r>
          </w:p>
        </w:tc>
        <w:tc>
          <w:tcPr>
            <w:tcW w:w="0" w:type="auto"/>
            <w:shd w:val="clear" w:color="auto" w:fill="auto"/>
            <w:noWrap/>
            <w:hideMark/>
          </w:tcPr>
          <w:p w14:paraId="0C598EC0"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62C6099B" w14:textId="09D0DED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26B5F71" w14:textId="77777777" w:rsidR="002F0133" w:rsidRPr="000B4E2C" w:rsidRDefault="002F0133" w:rsidP="008A7464">
            <w:pPr>
              <w:rPr>
                <w:highlight w:val="green"/>
                <w:lang w:eastAsia="en-GB"/>
              </w:rPr>
            </w:pPr>
            <w:r w:rsidRPr="000B4E2C">
              <w:rPr>
                <w:highlight w:val="green"/>
                <w:lang w:eastAsia="en-GB"/>
              </w:rPr>
              <w:t>M. G. Friedrich, I. Bougioukas, J. Kolle, C. Bireta, F. A. Jebran, M. Placzek and T. Tirilomis. NGAL expression during cardiopulmonary bypass does not predict severity of postoperative acute kidney injury. BMC Nephrology, 18(1), 1-7. [15529]</w:t>
            </w:r>
          </w:p>
        </w:tc>
      </w:tr>
      <w:tr w:rsidR="002F0133" w:rsidRPr="000B4E2C" w14:paraId="7C4D89CC" w14:textId="77777777" w:rsidTr="000B4E2C">
        <w:trPr>
          <w:cantSplit/>
        </w:trPr>
        <w:tc>
          <w:tcPr>
            <w:tcW w:w="0" w:type="auto"/>
            <w:shd w:val="clear" w:color="auto" w:fill="auto"/>
            <w:noWrap/>
            <w:hideMark/>
          </w:tcPr>
          <w:p w14:paraId="4D635886" w14:textId="77777777" w:rsidR="002F0133" w:rsidRPr="000B4E2C" w:rsidRDefault="002F0133" w:rsidP="008A7464">
            <w:pPr>
              <w:rPr>
                <w:lang w:eastAsia="en-GB"/>
              </w:rPr>
            </w:pPr>
            <w:r w:rsidRPr="000B4E2C">
              <w:rPr>
                <w:lang w:eastAsia="en-GB"/>
              </w:rPr>
              <w:t>Fuernau</w:t>
            </w:r>
          </w:p>
        </w:tc>
        <w:tc>
          <w:tcPr>
            <w:tcW w:w="0" w:type="auto"/>
            <w:shd w:val="clear" w:color="auto" w:fill="auto"/>
            <w:noWrap/>
            <w:hideMark/>
          </w:tcPr>
          <w:p w14:paraId="7747FA5F"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F5D0BB8"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4F975966" w14:textId="77777777" w:rsidR="002F0133" w:rsidRPr="000B4E2C" w:rsidRDefault="002F0133" w:rsidP="008A7464">
            <w:pPr>
              <w:rPr>
                <w:highlight w:val="green"/>
                <w:lang w:eastAsia="en-GB"/>
              </w:rPr>
            </w:pPr>
            <w:r w:rsidRPr="000B4E2C">
              <w:rPr>
                <w:highlight w:val="green"/>
                <w:lang w:eastAsia="en-GB"/>
              </w:rPr>
              <w:t>G. Fuernau, C. Poenisch, I. Eitel, D. Denks, S. de Waha, J. Poss, G. H. Heine, S. Desch, G. Schuler, V. Adams, K. Werdan, U. Zeymer and H. Thiele. Prognostic impact of established and novel renal function biomarkers in myocardial infarction with cardiogenic shock: A biomarker substudy of the IABP-SHOCK II-trial. International journal of cardiology, 191(159-66. [15531]</w:t>
            </w:r>
          </w:p>
        </w:tc>
      </w:tr>
      <w:tr w:rsidR="002F0133" w:rsidRPr="000B4E2C" w14:paraId="128AF278" w14:textId="77777777" w:rsidTr="000B4E2C">
        <w:trPr>
          <w:cantSplit/>
        </w:trPr>
        <w:tc>
          <w:tcPr>
            <w:tcW w:w="0" w:type="auto"/>
            <w:shd w:val="clear" w:color="auto" w:fill="auto"/>
            <w:noWrap/>
            <w:hideMark/>
          </w:tcPr>
          <w:p w14:paraId="45AC5EF4" w14:textId="77777777" w:rsidR="002F0133" w:rsidRPr="000B4E2C" w:rsidRDefault="002F0133" w:rsidP="008A7464">
            <w:pPr>
              <w:rPr>
                <w:lang w:eastAsia="en-GB"/>
              </w:rPr>
            </w:pPr>
            <w:r w:rsidRPr="000B4E2C">
              <w:rPr>
                <w:lang w:eastAsia="en-GB"/>
              </w:rPr>
              <w:t>Gaipov</w:t>
            </w:r>
          </w:p>
        </w:tc>
        <w:tc>
          <w:tcPr>
            <w:tcW w:w="0" w:type="auto"/>
            <w:shd w:val="clear" w:color="auto" w:fill="auto"/>
            <w:noWrap/>
            <w:hideMark/>
          </w:tcPr>
          <w:p w14:paraId="00C39C9F"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B5C3B67" w14:textId="052A747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C5FCEBC" w14:textId="77777777" w:rsidR="002F0133" w:rsidRPr="000B4E2C" w:rsidRDefault="002F0133" w:rsidP="008A7464">
            <w:pPr>
              <w:rPr>
                <w:highlight w:val="green"/>
                <w:lang w:eastAsia="en-GB"/>
              </w:rPr>
            </w:pPr>
            <w:r w:rsidRPr="000B4E2C">
              <w:rPr>
                <w:highlight w:val="green"/>
                <w:lang w:eastAsia="en-GB"/>
              </w:rPr>
              <w:t>A. Gaipov, Y. Solak, K. Turkmen, A. Toker, A. N. Baysal, H. Cicekler, Z. Biyik, F. M. Erdur, A. Kilicaslan, M. Anil, N. Gormus, H. Z. Tonbul, M. Yeksan and S. Turk. Serum uric acid may predict development of progressive acute kidney injury after open heart surgery. Renal Failure, 37(1), 96-102. [15537]</w:t>
            </w:r>
          </w:p>
        </w:tc>
      </w:tr>
      <w:tr w:rsidR="002F0133" w:rsidRPr="000B4E2C" w14:paraId="39ADC16B" w14:textId="77777777" w:rsidTr="000B4E2C">
        <w:trPr>
          <w:cantSplit/>
        </w:trPr>
        <w:tc>
          <w:tcPr>
            <w:tcW w:w="0" w:type="auto"/>
            <w:shd w:val="clear" w:color="auto" w:fill="auto"/>
            <w:noWrap/>
            <w:hideMark/>
          </w:tcPr>
          <w:p w14:paraId="778495D8" w14:textId="77777777" w:rsidR="002F0133" w:rsidRPr="000B4E2C" w:rsidRDefault="002F0133" w:rsidP="008A7464">
            <w:pPr>
              <w:rPr>
                <w:lang w:eastAsia="en-GB"/>
              </w:rPr>
            </w:pPr>
            <w:r w:rsidRPr="000B4E2C">
              <w:rPr>
                <w:lang w:eastAsia="en-GB"/>
              </w:rPr>
              <w:t>Gallagher</w:t>
            </w:r>
          </w:p>
        </w:tc>
        <w:tc>
          <w:tcPr>
            <w:tcW w:w="0" w:type="auto"/>
            <w:shd w:val="clear" w:color="auto" w:fill="auto"/>
            <w:noWrap/>
            <w:hideMark/>
          </w:tcPr>
          <w:p w14:paraId="34757EC6"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A8D3CC9" w14:textId="515DF37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761B01B" w14:textId="77777777" w:rsidR="002F0133" w:rsidRPr="000B4E2C" w:rsidRDefault="002F0133" w:rsidP="008A7464">
            <w:pPr>
              <w:rPr>
                <w:highlight w:val="green"/>
                <w:lang w:eastAsia="en-GB"/>
              </w:rPr>
            </w:pPr>
            <w:r w:rsidRPr="000B4E2C">
              <w:rPr>
                <w:highlight w:val="green"/>
                <w:lang w:eastAsia="en-GB"/>
              </w:rPr>
              <w:t>S. M. Gallagher, D. A. Jones, A. Kapur, A. Wragg, S. M. Harwood, R. Mathur, R. A. Archbold, R. Uppal and M. M. Yaqoob. Remote ischemic preconditioning has a neutral effect on the incidence of kidney injury after coronary artery bypass graft surgery. Kidney International, 87(2), 473-481. [15540]</w:t>
            </w:r>
          </w:p>
        </w:tc>
      </w:tr>
      <w:tr w:rsidR="002F0133" w:rsidRPr="000B4E2C" w14:paraId="6D2A16F1" w14:textId="77777777" w:rsidTr="000B4E2C">
        <w:trPr>
          <w:cantSplit/>
        </w:trPr>
        <w:tc>
          <w:tcPr>
            <w:tcW w:w="0" w:type="auto"/>
            <w:shd w:val="clear" w:color="auto" w:fill="auto"/>
            <w:noWrap/>
            <w:hideMark/>
          </w:tcPr>
          <w:p w14:paraId="59E1F5E5" w14:textId="77777777" w:rsidR="002F0133" w:rsidRPr="000B4E2C" w:rsidRDefault="002F0133" w:rsidP="008A7464">
            <w:pPr>
              <w:rPr>
                <w:lang w:eastAsia="en-GB"/>
              </w:rPr>
            </w:pPr>
            <w:r w:rsidRPr="000B4E2C">
              <w:rPr>
                <w:lang w:eastAsia="en-GB"/>
              </w:rPr>
              <w:t>Gan</w:t>
            </w:r>
          </w:p>
        </w:tc>
        <w:tc>
          <w:tcPr>
            <w:tcW w:w="0" w:type="auto"/>
            <w:shd w:val="clear" w:color="auto" w:fill="auto"/>
            <w:noWrap/>
            <w:hideMark/>
          </w:tcPr>
          <w:p w14:paraId="4CA32BBB"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2AD18119"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42525F98" w14:textId="77777777" w:rsidR="002F0133" w:rsidRPr="000B4E2C" w:rsidRDefault="002F0133" w:rsidP="008A7464">
            <w:pPr>
              <w:rPr>
                <w:highlight w:val="green"/>
                <w:lang w:eastAsia="en-GB"/>
              </w:rPr>
            </w:pPr>
            <w:r w:rsidRPr="000B4E2C">
              <w:rPr>
                <w:highlight w:val="green"/>
                <w:lang w:eastAsia="en-GB"/>
              </w:rPr>
              <w:t>J. Gan and X. Zhou. Comparison of urine neutrophil gelatinase-associated lipocalin and interleukin-18 in prediction of acute kidney injury in adults. Medicine (United States), 97(39), e12570. [15541]</w:t>
            </w:r>
          </w:p>
        </w:tc>
      </w:tr>
      <w:tr w:rsidR="002F0133" w:rsidRPr="000B4E2C" w14:paraId="39E646A3" w14:textId="77777777" w:rsidTr="000B4E2C">
        <w:trPr>
          <w:cantSplit/>
        </w:trPr>
        <w:tc>
          <w:tcPr>
            <w:tcW w:w="0" w:type="auto"/>
            <w:shd w:val="clear" w:color="auto" w:fill="auto"/>
            <w:noWrap/>
            <w:hideMark/>
          </w:tcPr>
          <w:p w14:paraId="02BF1BC2" w14:textId="77777777" w:rsidR="002F0133" w:rsidRPr="000B4E2C" w:rsidRDefault="002F0133" w:rsidP="008A7464">
            <w:pPr>
              <w:rPr>
                <w:lang w:eastAsia="en-GB"/>
              </w:rPr>
            </w:pPr>
            <w:r w:rsidRPr="000B4E2C">
              <w:rPr>
                <w:lang w:eastAsia="en-GB"/>
              </w:rPr>
              <w:t>Garg</w:t>
            </w:r>
          </w:p>
        </w:tc>
        <w:tc>
          <w:tcPr>
            <w:tcW w:w="0" w:type="auto"/>
            <w:shd w:val="clear" w:color="auto" w:fill="auto"/>
            <w:noWrap/>
            <w:hideMark/>
          </w:tcPr>
          <w:p w14:paraId="78988CDB"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0F60B449"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0BF10F57" w14:textId="77777777" w:rsidR="002F0133" w:rsidRPr="000B4E2C" w:rsidRDefault="002F0133" w:rsidP="008A7464">
            <w:pPr>
              <w:rPr>
                <w:highlight w:val="green"/>
                <w:lang w:eastAsia="en-GB"/>
              </w:rPr>
            </w:pPr>
            <w:r w:rsidRPr="000B4E2C">
              <w:rPr>
                <w:highlight w:val="green"/>
                <w:lang w:eastAsia="en-GB"/>
              </w:rPr>
              <w:t>N. Garg and R. Gupta. Can Serum Neutrophil Gelatinase-Associated Lipocalin Be Precisely Used as a Diagnostic Marker of Sepsis in Pediatric Cases?. Pediatric Critical Care Medicine, 18(12), 1191-1192. [18443]</w:t>
            </w:r>
          </w:p>
        </w:tc>
      </w:tr>
      <w:tr w:rsidR="002F0133" w:rsidRPr="000B4E2C" w14:paraId="26488F49" w14:textId="77777777" w:rsidTr="000B4E2C">
        <w:trPr>
          <w:cantSplit/>
        </w:trPr>
        <w:tc>
          <w:tcPr>
            <w:tcW w:w="0" w:type="auto"/>
            <w:shd w:val="clear" w:color="auto" w:fill="auto"/>
            <w:noWrap/>
            <w:hideMark/>
          </w:tcPr>
          <w:p w14:paraId="5230A05F" w14:textId="77777777" w:rsidR="002F0133" w:rsidRPr="000B4E2C" w:rsidRDefault="002F0133" w:rsidP="008A7464">
            <w:pPr>
              <w:rPr>
                <w:lang w:eastAsia="en-GB"/>
              </w:rPr>
            </w:pPr>
            <w:r w:rsidRPr="000B4E2C">
              <w:rPr>
                <w:lang w:eastAsia="en-GB"/>
              </w:rPr>
              <w:t>Gaspari</w:t>
            </w:r>
          </w:p>
        </w:tc>
        <w:tc>
          <w:tcPr>
            <w:tcW w:w="0" w:type="auto"/>
            <w:shd w:val="clear" w:color="auto" w:fill="auto"/>
            <w:noWrap/>
            <w:hideMark/>
          </w:tcPr>
          <w:p w14:paraId="2E854F74"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4B45E10B"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2D73CE9" w14:textId="77777777" w:rsidR="002F0133" w:rsidRPr="000B4E2C" w:rsidRDefault="002F0133" w:rsidP="008A7464">
            <w:pPr>
              <w:rPr>
                <w:highlight w:val="green"/>
                <w:lang w:eastAsia="en-GB"/>
              </w:rPr>
            </w:pPr>
            <w:r w:rsidRPr="000B4E2C">
              <w:rPr>
                <w:highlight w:val="green"/>
                <w:lang w:eastAsia="en-GB"/>
              </w:rPr>
              <w:t>F. Gaspari, P. Cravedi, M. Mandala, N. Perico, F. R. De Leon, N. Stucchi, S. Ferrari, R. Labianca, G. Remuzzi and P. Ruggenenti. Predicting cisplatin-induced acute kidney injury by urinary neutrophil gelatinase-associated lipocalin excretion: A pilot prospective case-control study. Nephron - Clinical Practice, 115(2), c154-c160. [15545]</w:t>
            </w:r>
          </w:p>
        </w:tc>
      </w:tr>
      <w:tr w:rsidR="002F0133" w:rsidRPr="000B4E2C" w14:paraId="42889960" w14:textId="77777777" w:rsidTr="000B4E2C">
        <w:trPr>
          <w:cantSplit/>
        </w:trPr>
        <w:tc>
          <w:tcPr>
            <w:tcW w:w="0" w:type="auto"/>
            <w:shd w:val="clear" w:color="auto" w:fill="auto"/>
            <w:noWrap/>
            <w:hideMark/>
          </w:tcPr>
          <w:p w14:paraId="48ADB8CA" w14:textId="77777777" w:rsidR="002F0133" w:rsidRPr="000B4E2C" w:rsidRDefault="002F0133" w:rsidP="008A7464">
            <w:pPr>
              <w:rPr>
                <w:lang w:eastAsia="en-GB"/>
              </w:rPr>
            </w:pPr>
            <w:r w:rsidRPr="000B4E2C">
              <w:rPr>
                <w:lang w:eastAsia="en-GB"/>
              </w:rPr>
              <w:t>Gerbes</w:t>
            </w:r>
          </w:p>
        </w:tc>
        <w:tc>
          <w:tcPr>
            <w:tcW w:w="0" w:type="auto"/>
            <w:shd w:val="clear" w:color="auto" w:fill="auto"/>
            <w:noWrap/>
            <w:hideMark/>
          </w:tcPr>
          <w:p w14:paraId="4B96EBFB"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77E7EAC6"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1726B208" w14:textId="77777777" w:rsidR="002F0133" w:rsidRPr="000B4E2C" w:rsidRDefault="002F0133" w:rsidP="008A7464">
            <w:pPr>
              <w:rPr>
                <w:highlight w:val="green"/>
                <w:lang w:eastAsia="en-GB"/>
              </w:rPr>
            </w:pPr>
            <w:r w:rsidRPr="000B4E2C">
              <w:rPr>
                <w:highlight w:val="green"/>
                <w:lang w:val="da-DK" w:eastAsia="en-GB"/>
              </w:rPr>
              <w:t xml:space="preserve">A. L. Gerbes, A. Benesic, M. Vogeser, A. Krag, F. Bendtsen and S. Moller. </w:t>
            </w:r>
            <w:r w:rsidRPr="000B4E2C">
              <w:rPr>
                <w:highlight w:val="green"/>
                <w:lang w:eastAsia="en-GB"/>
              </w:rPr>
              <w:t>Serum neutrophil gelatinase-associated lipocalin - A sensitive novel marker of renal impairment in liver cirrhosis?. Digestion, 84(1), 82-83. [15551]</w:t>
            </w:r>
          </w:p>
        </w:tc>
      </w:tr>
      <w:tr w:rsidR="002F0133" w:rsidRPr="000B4E2C" w14:paraId="345CF494" w14:textId="77777777" w:rsidTr="000B4E2C">
        <w:trPr>
          <w:cantSplit/>
        </w:trPr>
        <w:tc>
          <w:tcPr>
            <w:tcW w:w="0" w:type="auto"/>
            <w:shd w:val="clear" w:color="auto" w:fill="auto"/>
            <w:noWrap/>
            <w:hideMark/>
          </w:tcPr>
          <w:p w14:paraId="0D70C1C2" w14:textId="77777777" w:rsidR="002F0133" w:rsidRPr="000B4E2C" w:rsidRDefault="002F0133" w:rsidP="008A7464">
            <w:pPr>
              <w:rPr>
                <w:lang w:eastAsia="en-GB"/>
              </w:rPr>
            </w:pPr>
            <w:r w:rsidRPr="000B4E2C">
              <w:rPr>
                <w:lang w:eastAsia="en-GB"/>
              </w:rPr>
              <w:t xml:space="preserve">Ghonemy </w:t>
            </w:r>
          </w:p>
        </w:tc>
        <w:tc>
          <w:tcPr>
            <w:tcW w:w="0" w:type="auto"/>
            <w:shd w:val="clear" w:color="auto" w:fill="auto"/>
            <w:noWrap/>
            <w:hideMark/>
          </w:tcPr>
          <w:p w14:paraId="39C5E6B3"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783035D8" w14:textId="7C84FE4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C8E90FC" w14:textId="77777777" w:rsidR="002F0133" w:rsidRPr="000B4E2C" w:rsidRDefault="002F0133" w:rsidP="008A7464">
            <w:pPr>
              <w:rPr>
                <w:highlight w:val="green"/>
                <w:lang w:eastAsia="en-GB"/>
              </w:rPr>
            </w:pPr>
            <w:r w:rsidRPr="000B4E2C">
              <w:rPr>
                <w:highlight w:val="green"/>
                <w:lang w:eastAsia="en-GB"/>
              </w:rPr>
              <w:t>T. A. Ghonemy and G. M. Amro. Plasma neutrophil gelatinase-associated lipocalin (NGAL) and plasma cystatin C (CysC) as biomarker of acute kidney injury after cardiac surgery. Saudi journal of kidney diseases and transplantation : an official publication of the Saudi Center for Organ Transplantation, Saudi Arabia, 25(3), 582-588. [15555]</w:t>
            </w:r>
          </w:p>
        </w:tc>
      </w:tr>
      <w:tr w:rsidR="002F0133" w:rsidRPr="000B4E2C" w14:paraId="1B8C0FC6" w14:textId="77777777" w:rsidTr="000B4E2C">
        <w:trPr>
          <w:cantSplit/>
        </w:trPr>
        <w:tc>
          <w:tcPr>
            <w:tcW w:w="0" w:type="auto"/>
            <w:shd w:val="clear" w:color="auto" w:fill="auto"/>
            <w:noWrap/>
            <w:hideMark/>
          </w:tcPr>
          <w:p w14:paraId="6D1FB44B" w14:textId="77777777" w:rsidR="002F0133" w:rsidRPr="000B4E2C" w:rsidRDefault="002F0133" w:rsidP="008A7464">
            <w:pPr>
              <w:rPr>
                <w:lang w:eastAsia="en-GB"/>
              </w:rPr>
            </w:pPr>
            <w:r w:rsidRPr="000B4E2C">
              <w:rPr>
                <w:lang w:eastAsia="en-GB"/>
              </w:rPr>
              <w:t>Gil</w:t>
            </w:r>
          </w:p>
        </w:tc>
        <w:tc>
          <w:tcPr>
            <w:tcW w:w="0" w:type="auto"/>
            <w:shd w:val="clear" w:color="auto" w:fill="auto"/>
            <w:noWrap/>
            <w:hideMark/>
          </w:tcPr>
          <w:p w14:paraId="74549BFA"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6CF0B40A"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937C4F6" w14:textId="77777777" w:rsidR="002F0133" w:rsidRPr="000B4E2C" w:rsidRDefault="002F0133" w:rsidP="008A7464">
            <w:pPr>
              <w:rPr>
                <w:highlight w:val="green"/>
                <w:lang w:eastAsia="en-GB"/>
              </w:rPr>
            </w:pPr>
            <w:r w:rsidRPr="000B4E2C">
              <w:rPr>
                <w:highlight w:val="green"/>
                <w:lang w:eastAsia="en-GB"/>
              </w:rPr>
              <w:t>H. W. Gil, J. O. Yang, E. Y. Lee and S. Y. Hong. Clinical implication of urinary neutrophil gelatinase-associated lipocalin and kidney injury molecule-1 in patients with acute paraquat intoxication NGAL and KIM-1 in acute paraquat intoxication. Clinical Toxicology, 47(9), 870-875. [15558]</w:t>
            </w:r>
          </w:p>
        </w:tc>
      </w:tr>
      <w:tr w:rsidR="002F0133" w:rsidRPr="000B4E2C" w14:paraId="74952B69" w14:textId="77777777" w:rsidTr="000B4E2C">
        <w:trPr>
          <w:cantSplit/>
        </w:trPr>
        <w:tc>
          <w:tcPr>
            <w:tcW w:w="0" w:type="auto"/>
            <w:shd w:val="clear" w:color="auto" w:fill="auto"/>
            <w:noWrap/>
            <w:hideMark/>
          </w:tcPr>
          <w:p w14:paraId="6745E2D0" w14:textId="77777777" w:rsidR="002F0133" w:rsidRPr="000B4E2C" w:rsidRDefault="002F0133" w:rsidP="008A7464">
            <w:pPr>
              <w:rPr>
                <w:lang w:eastAsia="en-GB"/>
              </w:rPr>
            </w:pPr>
            <w:r w:rsidRPr="000B4E2C">
              <w:rPr>
                <w:lang w:eastAsia="en-GB"/>
              </w:rPr>
              <w:lastRenderedPageBreak/>
              <w:t>Gilquin</w:t>
            </w:r>
          </w:p>
        </w:tc>
        <w:tc>
          <w:tcPr>
            <w:tcW w:w="0" w:type="auto"/>
            <w:shd w:val="clear" w:color="auto" w:fill="auto"/>
            <w:noWrap/>
            <w:hideMark/>
          </w:tcPr>
          <w:p w14:paraId="7F1B3521"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51D21E96"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04EC340B" w14:textId="77777777" w:rsidR="002F0133" w:rsidRPr="000B4E2C" w:rsidRDefault="002F0133" w:rsidP="008A7464">
            <w:pPr>
              <w:rPr>
                <w:highlight w:val="green"/>
                <w:lang w:eastAsia="en-GB"/>
              </w:rPr>
            </w:pPr>
            <w:r w:rsidRPr="000B4E2C">
              <w:rPr>
                <w:highlight w:val="green"/>
                <w:lang w:eastAsia="en-GB"/>
              </w:rPr>
              <w:t>B. Gilquin, M. Louwagie, M. Jaquinod, A. Cez, G. Picard, L. El Kholy, B. Surin, J. Garin, M. Ferro, T. Kofman, C. Barau, E. Plaisier, P. Ronco and V. Brun. Multiplex and accurate quantification of acute kidney injury biomarker candidates in urine using Protein Standard Absolute Quantification (PSAQ) and targeted proteomics. Talanta, 164(77-84. [15560]</w:t>
            </w:r>
          </w:p>
        </w:tc>
      </w:tr>
      <w:tr w:rsidR="002F0133" w:rsidRPr="000B4E2C" w14:paraId="40F00DDA" w14:textId="77777777" w:rsidTr="000B4E2C">
        <w:trPr>
          <w:cantSplit/>
        </w:trPr>
        <w:tc>
          <w:tcPr>
            <w:tcW w:w="0" w:type="auto"/>
            <w:shd w:val="clear" w:color="auto" w:fill="auto"/>
            <w:noWrap/>
            <w:hideMark/>
          </w:tcPr>
          <w:p w14:paraId="19AF5BCD" w14:textId="77777777" w:rsidR="002F0133" w:rsidRPr="000B4E2C" w:rsidRDefault="002F0133" w:rsidP="008A7464">
            <w:pPr>
              <w:rPr>
                <w:lang w:eastAsia="en-GB"/>
              </w:rPr>
            </w:pPr>
            <w:r w:rsidRPr="000B4E2C">
              <w:rPr>
                <w:lang w:eastAsia="en-GB"/>
              </w:rPr>
              <w:t>Gist</w:t>
            </w:r>
          </w:p>
        </w:tc>
        <w:tc>
          <w:tcPr>
            <w:tcW w:w="0" w:type="auto"/>
            <w:shd w:val="clear" w:color="auto" w:fill="auto"/>
            <w:noWrap/>
            <w:hideMark/>
          </w:tcPr>
          <w:p w14:paraId="7761764D"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10455F7" w14:textId="4B9E637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E62D772" w14:textId="77777777" w:rsidR="002F0133" w:rsidRPr="000B4E2C" w:rsidRDefault="002F0133" w:rsidP="008A7464">
            <w:pPr>
              <w:rPr>
                <w:highlight w:val="green"/>
                <w:lang w:eastAsia="en-GB"/>
              </w:rPr>
            </w:pPr>
            <w:r w:rsidRPr="000B4E2C">
              <w:rPr>
                <w:highlight w:val="green"/>
                <w:lang w:eastAsia="en-GB"/>
              </w:rPr>
              <w:t>K. M. Gist, S. L. Goldstein, J. Wrona, J. A. Alten, R. K. Basu, D. S. Cooper, D. E. Soranno, J. Duplantis, C. Altmann, Z. Gao and S. Faubel. Kinetics of the cell cycle arrest biomarkers (TIMP-2*IGFBP-7) for prediction of acute kidney injury in infants after cardiac surgery. Pediatric Nephrology, 32(9), 1611-1619. [15563]</w:t>
            </w:r>
          </w:p>
        </w:tc>
      </w:tr>
      <w:tr w:rsidR="002F0133" w:rsidRPr="000B4E2C" w14:paraId="4F77BAB0" w14:textId="77777777" w:rsidTr="000B4E2C">
        <w:trPr>
          <w:cantSplit/>
        </w:trPr>
        <w:tc>
          <w:tcPr>
            <w:tcW w:w="0" w:type="auto"/>
            <w:shd w:val="clear" w:color="auto" w:fill="auto"/>
            <w:noWrap/>
            <w:hideMark/>
          </w:tcPr>
          <w:p w14:paraId="54502B14" w14:textId="77777777" w:rsidR="002F0133" w:rsidRPr="000B4E2C" w:rsidRDefault="002F0133" w:rsidP="008A7464">
            <w:pPr>
              <w:rPr>
                <w:lang w:eastAsia="en-GB"/>
              </w:rPr>
            </w:pPr>
            <w:r w:rsidRPr="000B4E2C">
              <w:rPr>
                <w:lang w:eastAsia="en-GB"/>
              </w:rPr>
              <w:t>Glassford</w:t>
            </w:r>
          </w:p>
        </w:tc>
        <w:tc>
          <w:tcPr>
            <w:tcW w:w="0" w:type="auto"/>
            <w:shd w:val="clear" w:color="auto" w:fill="auto"/>
            <w:noWrap/>
            <w:hideMark/>
          </w:tcPr>
          <w:p w14:paraId="229171AA"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40C2409A"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7353679" w14:textId="77777777" w:rsidR="002F0133" w:rsidRPr="000B4E2C" w:rsidRDefault="002F0133" w:rsidP="008A7464">
            <w:pPr>
              <w:rPr>
                <w:highlight w:val="green"/>
                <w:lang w:eastAsia="en-GB"/>
              </w:rPr>
            </w:pPr>
            <w:r w:rsidRPr="000B4E2C">
              <w:rPr>
                <w:highlight w:val="green"/>
                <w:lang w:eastAsia="en-GB"/>
              </w:rPr>
              <w:t>N. J. Glassford, A. G. Schneider, S. Xu, G. M. Eastwood, H. Young, L. Peck, P. Venge and R. Bellomo. The nature and discriminatory value of urinary neutrophil gelatinase-associated lipocalin in critically ill patients at risk of acute kidney injury. Intensive Care Medicine, 39(10), 1714-1724. [15566]</w:t>
            </w:r>
          </w:p>
        </w:tc>
      </w:tr>
      <w:tr w:rsidR="002F0133" w:rsidRPr="000B4E2C" w14:paraId="4D4D9187" w14:textId="77777777" w:rsidTr="000B4E2C">
        <w:trPr>
          <w:cantSplit/>
        </w:trPr>
        <w:tc>
          <w:tcPr>
            <w:tcW w:w="0" w:type="auto"/>
            <w:shd w:val="clear" w:color="auto" w:fill="auto"/>
            <w:noWrap/>
            <w:hideMark/>
          </w:tcPr>
          <w:p w14:paraId="3F41E028" w14:textId="77777777" w:rsidR="002F0133" w:rsidRPr="000B4E2C" w:rsidRDefault="002F0133" w:rsidP="008A7464">
            <w:pPr>
              <w:rPr>
                <w:lang w:eastAsia="en-GB"/>
              </w:rPr>
            </w:pPr>
            <w:r w:rsidRPr="000B4E2C">
              <w:rPr>
                <w:lang w:eastAsia="en-GB"/>
              </w:rPr>
              <w:t>Gocze</w:t>
            </w:r>
          </w:p>
        </w:tc>
        <w:tc>
          <w:tcPr>
            <w:tcW w:w="0" w:type="auto"/>
            <w:shd w:val="clear" w:color="auto" w:fill="auto"/>
            <w:noWrap/>
            <w:hideMark/>
          </w:tcPr>
          <w:p w14:paraId="5D413FC9"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B38F962"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3C3E5A4" w14:textId="77777777" w:rsidR="002F0133" w:rsidRPr="000B4E2C" w:rsidRDefault="002F0133" w:rsidP="008A7464">
            <w:pPr>
              <w:rPr>
                <w:highlight w:val="green"/>
                <w:lang w:eastAsia="en-GB"/>
              </w:rPr>
            </w:pPr>
            <w:r w:rsidRPr="000B4E2C">
              <w:rPr>
                <w:highlight w:val="green"/>
                <w:lang w:eastAsia="en-GB"/>
              </w:rPr>
              <w:t>I. Gocze, M. Koch, P. Renner, F. Zeman, B. M. Graf, M. H. Dahlke, M. Nerlich, H. J. Schlitt, J. A. Kellum and T. Bein. Urinary biomarkers TIMP-2 and IGFBP7 early predict acute kidney injury after major surgery. PLoS ONE, 10(3), e0120863. [15569]</w:t>
            </w:r>
          </w:p>
        </w:tc>
      </w:tr>
      <w:tr w:rsidR="002F0133" w:rsidRPr="000B4E2C" w14:paraId="21933E28" w14:textId="77777777" w:rsidTr="000B4E2C">
        <w:trPr>
          <w:cantSplit/>
        </w:trPr>
        <w:tc>
          <w:tcPr>
            <w:tcW w:w="0" w:type="auto"/>
            <w:shd w:val="clear" w:color="auto" w:fill="auto"/>
            <w:noWrap/>
            <w:hideMark/>
          </w:tcPr>
          <w:p w14:paraId="33D4D6CA" w14:textId="77777777" w:rsidR="002F0133" w:rsidRPr="000B4E2C" w:rsidRDefault="002F0133" w:rsidP="008A7464">
            <w:pPr>
              <w:rPr>
                <w:lang w:eastAsia="en-GB"/>
              </w:rPr>
            </w:pPr>
            <w:r w:rsidRPr="000B4E2C">
              <w:rPr>
                <w:lang w:eastAsia="en-GB"/>
              </w:rPr>
              <w:t>Gocze</w:t>
            </w:r>
          </w:p>
        </w:tc>
        <w:tc>
          <w:tcPr>
            <w:tcW w:w="0" w:type="auto"/>
            <w:shd w:val="clear" w:color="auto" w:fill="auto"/>
            <w:noWrap/>
            <w:hideMark/>
          </w:tcPr>
          <w:p w14:paraId="0740C8B2"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5B6008D0"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0E3EFD97" w14:textId="77777777" w:rsidR="002F0133" w:rsidRPr="000B4E2C" w:rsidRDefault="002F0133" w:rsidP="008A7464">
            <w:pPr>
              <w:rPr>
                <w:highlight w:val="green"/>
                <w:lang w:eastAsia="en-GB"/>
              </w:rPr>
            </w:pPr>
            <w:r w:rsidRPr="000B4E2C">
              <w:rPr>
                <w:highlight w:val="green"/>
                <w:lang w:eastAsia="en-GB"/>
              </w:rPr>
              <w:t>I Göcze, D Jauch, M Götz, P Kennedy, B Jung, F Zeman, C Gnewuch, BM Graf, W Gnann, B Banas, T Bein, HJ Schlitt, T Bergler. Biomarker-guided Intervention to Prevent Acute Kidney Injury after Major Surgery. Annals of Surgery, 267(6):1013-1020. [18628]</w:t>
            </w:r>
          </w:p>
        </w:tc>
      </w:tr>
      <w:tr w:rsidR="002F0133" w:rsidRPr="000B4E2C" w14:paraId="74E108AA" w14:textId="77777777" w:rsidTr="000B4E2C">
        <w:trPr>
          <w:cantSplit/>
        </w:trPr>
        <w:tc>
          <w:tcPr>
            <w:tcW w:w="0" w:type="auto"/>
            <w:shd w:val="clear" w:color="auto" w:fill="auto"/>
            <w:noWrap/>
            <w:hideMark/>
          </w:tcPr>
          <w:p w14:paraId="28C45621" w14:textId="77777777" w:rsidR="002F0133" w:rsidRPr="000B4E2C" w:rsidRDefault="002F0133" w:rsidP="008A7464">
            <w:pPr>
              <w:rPr>
                <w:lang w:eastAsia="en-GB"/>
              </w:rPr>
            </w:pPr>
            <w:r w:rsidRPr="000B4E2C">
              <w:rPr>
                <w:lang w:eastAsia="en-GB"/>
              </w:rPr>
              <w:t>Goknar</w:t>
            </w:r>
          </w:p>
        </w:tc>
        <w:tc>
          <w:tcPr>
            <w:tcW w:w="0" w:type="auto"/>
            <w:shd w:val="clear" w:color="auto" w:fill="auto"/>
            <w:noWrap/>
            <w:hideMark/>
          </w:tcPr>
          <w:p w14:paraId="0F29026A"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34E487E"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5D3FD526" w14:textId="77777777" w:rsidR="002F0133" w:rsidRPr="000B4E2C" w:rsidRDefault="002F0133" w:rsidP="008A7464">
            <w:pPr>
              <w:rPr>
                <w:highlight w:val="green"/>
                <w:lang w:eastAsia="en-GB"/>
              </w:rPr>
            </w:pPr>
            <w:r w:rsidRPr="000B4E2C">
              <w:rPr>
                <w:highlight w:val="green"/>
                <w:lang w:eastAsia="en-GB"/>
              </w:rPr>
              <w:t>N. Goknar, F. Oktem, I. T. Ozgen, E. Torun, M. Kucukkoc, A. D. Demir and Y. Cesur. Determination of early urinary renal injury markers in obese children. Pediatric Nephrology, 30(1), 139-144. [15570]</w:t>
            </w:r>
          </w:p>
        </w:tc>
      </w:tr>
      <w:tr w:rsidR="002F0133" w:rsidRPr="000B4E2C" w14:paraId="30325ECF" w14:textId="77777777" w:rsidTr="000B4E2C">
        <w:trPr>
          <w:cantSplit/>
        </w:trPr>
        <w:tc>
          <w:tcPr>
            <w:tcW w:w="0" w:type="auto"/>
            <w:shd w:val="clear" w:color="auto" w:fill="auto"/>
            <w:noWrap/>
            <w:hideMark/>
          </w:tcPr>
          <w:p w14:paraId="7816573E" w14:textId="77777777" w:rsidR="002F0133" w:rsidRPr="000B4E2C" w:rsidRDefault="002F0133" w:rsidP="008A7464">
            <w:pPr>
              <w:rPr>
                <w:lang w:eastAsia="en-GB"/>
              </w:rPr>
            </w:pPr>
            <w:r w:rsidRPr="000B4E2C">
              <w:rPr>
                <w:lang w:eastAsia="en-GB"/>
              </w:rPr>
              <w:t>Goksuluk</w:t>
            </w:r>
          </w:p>
        </w:tc>
        <w:tc>
          <w:tcPr>
            <w:tcW w:w="0" w:type="auto"/>
            <w:shd w:val="clear" w:color="auto" w:fill="auto"/>
            <w:noWrap/>
            <w:hideMark/>
          </w:tcPr>
          <w:p w14:paraId="0C1DDE89"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70EEEEBB"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9496848" w14:textId="77777777" w:rsidR="002F0133" w:rsidRPr="000B4E2C" w:rsidRDefault="002F0133" w:rsidP="008A7464">
            <w:pPr>
              <w:rPr>
                <w:highlight w:val="green"/>
                <w:lang w:eastAsia="en-GB"/>
              </w:rPr>
            </w:pPr>
            <w:r w:rsidRPr="000B4E2C">
              <w:rPr>
                <w:highlight w:val="green"/>
                <w:lang w:eastAsia="en-GB"/>
              </w:rPr>
              <w:t>H. Goksuluk, K. Esenboga, N. Kerimli and Y. Atmaca. The effect of renin-angiotensin system blocking agents on the risk of contrast-induced nephropathy and early detection with neutrophil gelatinase-associated lipocalin in diabetic patients undergoing coronary procedures. Acta Medica Mediterranea, 35(1), 187-192. [15571]</w:t>
            </w:r>
          </w:p>
        </w:tc>
      </w:tr>
      <w:tr w:rsidR="002F0133" w:rsidRPr="000B4E2C" w14:paraId="635D348B" w14:textId="77777777" w:rsidTr="000B4E2C">
        <w:trPr>
          <w:cantSplit/>
        </w:trPr>
        <w:tc>
          <w:tcPr>
            <w:tcW w:w="0" w:type="auto"/>
            <w:shd w:val="clear" w:color="auto" w:fill="auto"/>
            <w:noWrap/>
            <w:hideMark/>
          </w:tcPr>
          <w:p w14:paraId="176BFE13" w14:textId="77777777" w:rsidR="002F0133" w:rsidRPr="000B4E2C" w:rsidRDefault="002F0133" w:rsidP="008A7464">
            <w:pPr>
              <w:rPr>
                <w:lang w:eastAsia="en-GB"/>
              </w:rPr>
            </w:pPr>
            <w:r w:rsidRPr="000B4E2C">
              <w:rPr>
                <w:lang w:eastAsia="en-GB"/>
              </w:rPr>
              <w:t>Goldstein</w:t>
            </w:r>
          </w:p>
        </w:tc>
        <w:tc>
          <w:tcPr>
            <w:tcW w:w="0" w:type="auto"/>
            <w:shd w:val="clear" w:color="auto" w:fill="auto"/>
            <w:noWrap/>
            <w:hideMark/>
          </w:tcPr>
          <w:p w14:paraId="24FECE55"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5E3E6BE4" w14:textId="45B7DEE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BBE01F1" w14:textId="77777777" w:rsidR="002F0133" w:rsidRPr="000B4E2C" w:rsidRDefault="002F0133" w:rsidP="008A7464">
            <w:pPr>
              <w:rPr>
                <w:highlight w:val="green"/>
                <w:lang w:eastAsia="en-GB"/>
              </w:rPr>
            </w:pPr>
            <w:r w:rsidRPr="000B4E2C">
              <w:rPr>
                <w:highlight w:val="green"/>
                <w:lang w:eastAsia="en-GB"/>
              </w:rPr>
              <w:t>B. H. Goldstein, S. L. Goldstein, P. Devarajan, F. Zafar, D. M. Kwiatkowski, B. S. Marino, D. L. S. Morales, C. D. Krawczeski and D. S. Cooper. First-stage palliation strategy for univentricular heart disease may impact risk for acute kidney injury. Cardiology in the Young, 28(1), 93-100. [15572]</w:t>
            </w:r>
          </w:p>
        </w:tc>
      </w:tr>
      <w:tr w:rsidR="002F0133" w:rsidRPr="000B4E2C" w14:paraId="72EF727E" w14:textId="77777777" w:rsidTr="000B4E2C">
        <w:trPr>
          <w:cantSplit/>
        </w:trPr>
        <w:tc>
          <w:tcPr>
            <w:tcW w:w="0" w:type="auto"/>
            <w:shd w:val="clear" w:color="auto" w:fill="auto"/>
            <w:noWrap/>
            <w:hideMark/>
          </w:tcPr>
          <w:p w14:paraId="09B5A8F8" w14:textId="77777777" w:rsidR="002F0133" w:rsidRPr="000B4E2C" w:rsidRDefault="002F0133" w:rsidP="008A7464">
            <w:pPr>
              <w:rPr>
                <w:lang w:eastAsia="en-GB"/>
              </w:rPr>
            </w:pPr>
            <w:r w:rsidRPr="000B4E2C">
              <w:rPr>
                <w:lang w:eastAsia="en-GB"/>
              </w:rPr>
              <w:t>Gomaa</w:t>
            </w:r>
          </w:p>
        </w:tc>
        <w:tc>
          <w:tcPr>
            <w:tcW w:w="0" w:type="auto"/>
            <w:shd w:val="clear" w:color="auto" w:fill="auto"/>
            <w:noWrap/>
            <w:hideMark/>
          </w:tcPr>
          <w:p w14:paraId="191FD7DC"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75A8DB60" w14:textId="475730F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9F4E483" w14:textId="77777777" w:rsidR="002F0133" w:rsidRPr="000B4E2C" w:rsidRDefault="002F0133" w:rsidP="008A7464">
            <w:pPr>
              <w:rPr>
                <w:highlight w:val="green"/>
                <w:lang w:eastAsia="en-GB"/>
              </w:rPr>
            </w:pPr>
            <w:r w:rsidRPr="000B4E2C">
              <w:rPr>
                <w:highlight w:val="green"/>
                <w:lang w:eastAsia="en-GB"/>
              </w:rPr>
              <w:t>S. H. Gomaa, M. M. Shamseya and M. A. Madkour. Clinical utility of urinary neutrophil gelatinase-associated lipocalin and serum cystatin C in a cohort of liver cirrhosis patients with renal dysfunction: a challenge in the diagnosis of hepatorenal syndrome. European journal of gastroenterology &amp; hepatology, 31(6), 692-702. [18445]</w:t>
            </w:r>
          </w:p>
        </w:tc>
      </w:tr>
      <w:tr w:rsidR="002F0133" w:rsidRPr="000B4E2C" w14:paraId="4F8C3676" w14:textId="77777777" w:rsidTr="000B4E2C">
        <w:trPr>
          <w:cantSplit/>
        </w:trPr>
        <w:tc>
          <w:tcPr>
            <w:tcW w:w="0" w:type="auto"/>
            <w:shd w:val="clear" w:color="auto" w:fill="auto"/>
            <w:noWrap/>
            <w:hideMark/>
          </w:tcPr>
          <w:p w14:paraId="6708441B" w14:textId="77777777" w:rsidR="002F0133" w:rsidRPr="000B4E2C" w:rsidRDefault="002F0133" w:rsidP="008A7464">
            <w:pPr>
              <w:rPr>
                <w:lang w:eastAsia="en-GB"/>
              </w:rPr>
            </w:pPr>
            <w:r w:rsidRPr="000B4E2C">
              <w:rPr>
                <w:lang w:eastAsia="en-GB"/>
              </w:rPr>
              <w:t>Gombert</w:t>
            </w:r>
          </w:p>
        </w:tc>
        <w:tc>
          <w:tcPr>
            <w:tcW w:w="0" w:type="auto"/>
            <w:shd w:val="clear" w:color="auto" w:fill="auto"/>
            <w:noWrap/>
            <w:hideMark/>
          </w:tcPr>
          <w:p w14:paraId="4329B539"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321A1763" w14:textId="42DE3EF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DFFF5FA" w14:textId="77777777" w:rsidR="002F0133" w:rsidRPr="000B4E2C" w:rsidRDefault="002F0133" w:rsidP="008A7464">
            <w:pPr>
              <w:rPr>
                <w:highlight w:val="green"/>
                <w:lang w:eastAsia="en-GB"/>
              </w:rPr>
            </w:pPr>
            <w:r w:rsidRPr="000B4E2C">
              <w:rPr>
                <w:highlight w:val="green"/>
                <w:lang w:eastAsia="en-GB"/>
              </w:rPr>
              <w:t>A. Gombert, I. Prior, L. Martin, J. Grommes, M. E. Barbati, A. C. Foldenauer, G. Schalte, G. Marx, T. Schurholz, A. Greiner, M. J. Jacobs and J. Kalder. Urine neutrophil gelatinase-associated lipocalin predicts outcome and renal failure in open and endovascular thoracic abdominal aortic aneurysm surgery. Scientific reports, 8(1), 12676. [15578]</w:t>
            </w:r>
          </w:p>
        </w:tc>
      </w:tr>
      <w:tr w:rsidR="002F0133" w:rsidRPr="000B4E2C" w14:paraId="4F18CB6C" w14:textId="77777777" w:rsidTr="000B4E2C">
        <w:trPr>
          <w:cantSplit/>
        </w:trPr>
        <w:tc>
          <w:tcPr>
            <w:tcW w:w="0" w:type="auto"/>
            <w:shd w:val="clear" w:color="auto" w:fill="auto"/>
            <w:noWrap/>
            <w:hideMark/>
          </w:tcPr>
          <w:p w14:paraId="51122103" w14:textId="77777777" w:rsidR="002F0133" w:rsidRPr="000B4E2C" w:rsidRDefault="002F0133" w:rsidP="008A7464">
            <w:pPr>
              <w:rPr>
                <w:lang w:eastAsia="en-GB"/>
              </w:rPr>
            </w:pPr>
            <w:r w:rsidRPr="000B4E2C">
              <w:rPr>
                <w:lang w:eastAsia="en-GB"/>
              </w:rPr>
              <w:t>Gombert</w:t>
            </w:r>
          </w:p>
        </w:tc>
        <w:tc>
          <w:tcPr>
            <w:tcW w:w="0" w:type="auto"/>
            <w:shd w:val="clear" w:color="auto" w:fill="auto"/>
            <w:noWrap/>
            <w:hideMark/>
          </w:tcPr>
          <w:p w14:paraId="3F894941"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10CC224D" w14:textId="69D3D9B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24C95BB" w14:textId="77777777" w:rsidR="002F0133" w:rsidRPr="000B4E2C" w:rsidRDefault="002F0133" w:rsidP="008A7464">
            <w:pPr>
              <w:rPr>
                <w:highlight w:val="green"/>
                <w:lang w:eastAsia="en-GB"/>
              </w:rPr>
            </w:pPr>
            <w:r w:rsidRPr="000B4E2C">
              <w:rPr>
                <w:highlight w:val="green"/>
                <w:lang w:val="da-DK" w:eastAsia="en-GB"/>
              </w:rPr>
              <w:t xml:space="preserve">A. Gombert, L. Martin, A. C. Foldenauer, C. Krajewski, A. Greiner, D. Kotelis, C. Stoppe, G. Marx, J. Grommes, T. Schuerholz, M. J. Jacobs and J. Kalder. </w:t>
            </w:r>
            <w:r w:rsidRPr="000B4E2C">
              <w:rPr>
                <w:highlight w:val="green"/>
                <w:lang w:eastAsia="en-GB"/>
              </w:rPr>
              <w:t>Comparison of urine and serum neutrophil gelatinase-associated lipocalin after open and endovascular thoraco-abdominal aortic surgery and their meaning as indicators of acute kidney injury. Vasa - European Journal of Vascular Medicine, 48(1), 79-87. [15579]</w:t>
            </w:r>
          </w:p>
        </w:tc>
      </w:tr>
      <w:tr w:rsidR="002F0133" w:rsidRPr="000B4E2C" w14:paraId="58C12D2C" w14:textId="77777777" w:rsidTr="000B4E2C">
        <w:trPr>
          <w:cantSplit/>
        </w:trPr>
        <w:tc>
          <w:tcPr>
            <w:tcW w:w="0" w:type="auto"/>
            <w:shd w:val="clear" w:color="auto" w:fill="auto"/>
            <w:noWrap/>
            <w:hideMark/>
          </w:tcPr>
          <w:p w14:paraId="0540D9B0" w14:textId="77777777" w:rsidR="002F0133" w:rsidRPr="000B4E2C" w:rsidRDefault="002F0133" w:rsidP="008A7464">
            <w:pPr>
              <w:rPr>
                <w:lang w:eastAsia="en-GB"/>
              </w:rPr>
            </w:pPr>
            <w:r w:rsidRPr="000B4E2C">
              <w:rPr>
                <w:lang w:eastAsia="en-GB"/>
              </w:rPr>
              <w:lastRenderedPageBreak/>
              <w:t>Gong</w:t>
            </w:r>
          </w:p>
        </w:tc>
        <w:tc>
          <w:tcPr>
            <w:tcW w:w="0" w:type="auto"/>
            <w:shd w:val="clear" w:color="auto" w:fill="auto"/>
            <w:noWrap/>
            <w:hideMark/>
          </w:tcPr>
          <w:p w14:paraId="23EBEB30"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CAA5765" w14:textId="77777777" w:rsidR="002F0133" w:rsidRPr="000B4E2C" w:rsidRDefault="002F0133" w:rsidP="008A7464">
            <w:pPr>
              <w:rPr>
                <w:lang w:eastAsia="en-GB"/>
              </w:rPr>
            </w:pPr>
            <w:r w:rsidRPr="000B4E2C">
              <w:rPr>
                <w:lang w:eastAsia="en-GB"/>
              </w:rPr>
              <w:t>Non-English publication</w:t>
            </w:r>
          </w:p>
        </w:tc>
        <w:tc>
          <w:tcPr>
            <w:tcW w:w="0" w:type="auto"/>
            <w:shd w:val="clear" w:color="auto" w:fill="auto"/>
            <w:noWrap/>
            <w:hideMark/>
          </w:tcPr>
          <w:p w14:paraId="1DE7980F" w14:textId="77777777" w:rsidR="002F0133" w:rsidRPr="000B4E2C" w:rsidRDefault="002F0133" w:rsidP="008A7464">
            <w:pPr>
              <w:rPr>
                <w:highlight w:val="green"/>
                <w:lang w:eastAsia="en-GB"/>
              </w:rPr>
            </w:pPr>
            <w:r w:rsidRPr="000B4E2C">
              <w:rPr>
                <w:highlight w:val="green"/>
                <w:lang w:eastAsia="en-GB"/>
              </w:rPr>
              <w:t>M. Gong, Y. Yang and S. Zhang. Value of acute renal injury associated biomarkers for patients in intensive care unit. Zhong nan da xue xue bao. Yi xue ban = Journal of Central South University. Medical sciences, 40(10), 1083-1088. [15580]</w:t>
            </w:r>
          </w:p>
        </w:tc>
      </w:tr>
      <w:tr w:rsidR="002F0133" w:rsidRPr="000B4E2C" w14:paraId="39C8959C" w14:textId="77777777" w:rsidTr="000B4E2C">
        <w:trPr>
          <w:cantSplit/>
        </w:trPr>
        <w:tc>
          <w:tcPr>
            <w:tcW w:w="0" w:type="auto"/>
            <w:shd w:val="clear" w:color="auto" w:fill="auto"/>
            <w:noWrap/>
            <w:hideMark/>
          </w:tcPr>
          <w:p w14:paraId="05EED3E5" w14:textId="77777777" w:rsidR="002F0133" w:rsidRPr="000B4E2C" w:rsidRDefault="002F0133" w:rsidP="008A7464">
            <w:pPr>
              <w:rPr>
                <w:lang w:eastAsia="en-GB"/>
              </w:rPr>
            </w:pPr>
            <w:r w:rsidRPr="000B4E2C">
              <w:rPr>
                <w:lang w:eastAsia="en-GB"/>
              </w:rPr>
              <w:t>Gordillo</w:t>
            </w:r>
          </w:p>
        </w:tc>
        <w:tc>
          <w:tcPr>
            <w:tcW w:w="0" w:type="auto"/>
            <w:shd w:val="clear" w:color="auto" w:fill="auto"/>
            <w:noWrap/>
            <w:hideMark/>
          </w:tcPr>
          <w:p w14:paraId="3643A2AD"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BC4A050" w14:textId="0D8AB5A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146F242" w14:textId="77777777" w:rsidR="002F0133" w:rsidRPr="000B4E2C" w:rsidRDefault="002F0133" w:rsidP="008A7464">
            <w:pPr>
              <w:rPr>
                <w:highlight w:val="green"/>
                <w:lang w:eastAsia="en-GB"/>
              </w:rPr>
            </w:pPr>
            <w:r w:rsidRPr="000B4E2C">
              <w:rPr>
                <w:highlight w:val="green"/>
                <w:lang w:eastAsia="en-GB"/>
              </w:rPr>
              <w:t>R. Gordillo, T. Ahluwalia and R. Woroniecki. Hyperglycemia and acute kidney injury in critically ill children. International Journal of Nephrology and Renovascular Disease, 9(201-204. [15583]</w:t>
            </w:r>
          </w:p>
        </w:tc>
      </w:tr>
      <w:tr w:rsidR="002F0133" w:rsidRPr="000B4E2C" w14:paraId="1F5C2B1A" w14:textId="77777777" w:rsidTr="000B4E2C">
        <w:trPr>
          <w:cantSplit/>
        </w:trPr>
        <w:tc>
          <w:tcPr>
            <w:tcW w:w="0" w:type="auto"/>
            <w:shd w:val="clear" w:color="auto" w:fill="auto"/>
            <w:noWrap/>
            <w:hideMark/>
          </w:tcPr>
          <w:p w14:paraId="5F204E06" w14:textId="77777777" w:rsidR="002F0133" w:rsidRPr="000B4E2C" w:rsidRDefault="002F0133" w:rsidP="008A7464">
            <w:pPr>
              <w:rPr>
                <w:lang w:eastAsia="en-GB"/>
              </w:rPr>
            </w:pPr>
            <w:r w:rsidRPr="000B4E2C">
              <w:rPr>
                <w:lang w:eastAsia="en-GB"/>
              </w:rPr>
              <w:t>Greenberg</w:t>
            </w:r>
          </w:p>
        </w:tc>
        <w:tc>
          <w:tcPr>
            <w:tcW w:w="0" w:type="auto"/>
            <w:shd w:val="clear" w:color="auto" w:fill="auto"/>
            <w:noWrap/>
            <w:hideMark/>
          </w:tcPr>
          <w:p w14:paraId="755E198A"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3606A969"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389DF8BD" w14:textId="77777777" w:rsidR="002F0133" w:rsidRPr="000B4E2C" w:rsidRDefault="002F0133" w:rsidP="008A7464">
            <w:pPr>
              <w:rPr>
                <w:highlight w:val="green"/>
                <w:lang w:eastAsia="en-GB"/>
              </w:rPr>
            </w:pPr>
            <w:r w:rsidRPr="000B4E2C">
              <w:rPr>
                <w:highlight w:val="green"/>
                <w:lang w:eastAsia="en-GB"/>
              </w:rPr>
              <w:t>J. H. Greenberg, M. Zappitelli, Y. Jia, H. R. Thiessen-Philbrook, C. A. De Fontnouvelle, F. P. Wilson, S. Coca, P. Devarajan and C. R. Parikh. Biomarkers of AKI progression after pediatric cardiac surgery. Journal of the American Society of Nephrology, 29(5), 1549-1556. [15587]</w:t>
            </w:r>
          </w:p>
        </w:tc>
      </w:tr>
      <w:tr w:rsidR="002F0133" w:rsidRPr="000B4E2C" w14:paraId="57AAC638" w14:textId="77777777" w:rsidTr="000B4E2C">
        <w:trPr>
          <w:cantSplit/>
        </w:trPr>
        <w:tc>
          <w:tcPr>
            <w:tcW w:w="0" w:type="auto"/>
            <w:shd w:val="clear" w:color="auto" w:fill="auto"/>
            <w:noWrap/>
            <w:hideMark/>
          </w:tcPr>
          <w:p w14:paraId="2DEE4004" w14:textId="77777777" w:rsidR="002F0133" w:rsidRPr="000B4E2C" w:rsidRDefault="002F0133" w:rsidP="008A7464">
            <w:pPr>
              <w:rPr>
                <w:lang w:eastAsia="en-GB"/>
              </w:rPr>
            </w:pPr>
            <w:r w:rsidRPr="000B4E2C">
              <w:rPr>
                <w:lang w:eastAsia="en-GB"/>
              </w:rPr>
              <w:t>Grosman-Rimon</w:t>
            </w:r>
          </w:p>
        </w:tc>
        <w:tc>
          <w:tcPr>
            <w:tcW w:w="0" w:type="auto"/>
            <w:shd w:val="clear" w:color="auto" w:fill="auto"/>
            <w:noWrap/>
            <w:hideMark/>
          </w:tcPr>
          <w:p w14:paraId="281A9C71"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1FF05D5D" w14:textId="38E9DD2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33A891B" w14:textId="77777777" w:rsidR="002F0133" w:rsidRPr="000B4E2C" w:rsidRDefault="002F0133" w:rsidP="008A7464">
            <w:pPr>
              <w:rPr>
                <w:highlight w:val="green"/>
                <w:lang w:eastAsia="en-GB"/>
              </w:rPr>
            </w:pPr>
            <w:r w:rsidRPr="000B4E2C">
              <w:rPr>
                <w:highlight w:val="green"/>
                <w:lang w:eastAsia="en-GB"/>
              </w:rPr>
              <w:t>L. Grosman-Rimon, S. G. Hui, D. Freedman, G. Elbaz-Greener, D. Cherney and V. Rao. Biomarkers of Inflammation, Fibrosis, and Acute Kidney Injury in Patients with Heart Failure with and without Left Ventricular Assist Device Implantation. CardioRenal Medicine, 9(2), 108-116. [15592]</w:t>
            </w:r>
          </w:p>
        </w:tc>
      </w:tr>
      <w:tr w:rsidR="002F0133" w:rsidRPr="000B4E2C" w14:paraId="11820642" w14:textId="77777777" w:rsidTr="000B4E2C">
        <w:trPr>
          <w:cantSplit/>
        </w:trPr>
        <w:tc>
          <w:tcPr>
            <w:tcW w:w="0" w:type="auto"/>
            <w:shd w:val="clear" w:color="auto" w:fill="auto"/>
            <w:noWrap/>
            <w:hideMark/>
          </w:tcPr>
          <w:p w14:paraId="4D834462" w14:textId="77777777" w:rsidR="002F0133" w:rsidRPr="000B4E2C" w:rsidRDefault="002F0133" w:rsidP="008A7464">
            <w:pPr>
              <w:rPr>
                <w:lang w:eastAsia="en-GB"/>
              </w:rPr>
            </w:pPr>
            <w:r w:rsidRPr="000B4E2C">
              <w:rPr>
                <w:lang w:eastAsia="en-GB"/>
              </w:rPr>
              <w:t>Gubhaju</w:t>
            </w:r>
          </w:p>
        </w:tc>
        <w:tc>
          <w:tcPr>
            <w:tcW w:w="0" w:type="auto"/>
            <w:shd w:val="clear" w:color="auto" w:fill="auto"/>
            <w:noWrap/>
            <w:hideMark/>
          </w:tcPr>
          <w:p w14:paraId="3FE34EF9"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E598B77"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C480204" w14:textId="77777777" w:rsidR="002F0133" w:rsidRPr="000B4E2C" w:rsidRDefault="002F0133" w:rsidP="008A7464">
            <w:pPr>
              <w:rPr>
                <w:highlight w:val="green"/>
                <w:lang w:eastAsia="en-GB"/>
              </w:rPr>
            </w:pPr>
            <w:r w:rsidRPr="000B4E2C">
              <w:rPr>
                <w:highlight w:val="green"/>
                <w:lang w:eastAsia="en-GB"/>
              </w:rPr>
              <w:t>L. Gubhaju, M. R. Sutherland, R. S. C. Horne, A. Medhurst, A. L. Kent, A. Ramsden, L. Moore, G. Singh, W. E. Hoy and M. J. Black. Assessment of renal functional maturation and injury in preterm neonates during the first month of life. American Journal of Physiology - Renal Physiology, 307(2), F149-F158. [15593]</w:t>
            </w:r>
          </w:p>
        </w:tc>
      </w:tr>
      <w:tr w:rsidR="002F0133" w:rsidRPr="000B4E2C" w14:paraId="27FECD2F" w14:textId="77777777" w:rsidTr="000B4E2C">
        <w:trPr>
          <w:cantSplit/>
        </w:trPr>
        <w:tc>
          <w:tcPr>
            <w:tcW w:w="0" w:type="auto"/>
            <w:shd w:val="clear" w:color="auto" w:fill="auto"/>
            <w:noWrap/>
            <w:hideMark/>
          </w:tcPr>
          <w:p w14:paraId="4436CB4C" w14:textId="77777777" w:rsidR="002F0133" w:rsidRPr="000B4E2C" w:rsidRDefault="002F0133" w:rsidP="008A7464">
            <w:pPr>
              <w:rPr>
                <w:lang w:eastAsia="en-GB"/>
              </w:rPr>
            </w:pPr>
            <w:r w:rsidRPr="000B4E2C">
              <w:rPr>
                <w:lang w:eastAsia="en-GB"/>
              </w:rPr>
              <w:t>Guerci</w:t>
            </w:r>
          </w:p>
        </w:tc>
        <w:tc>
          <w:tcPr>
            <w:tcW w:w="0" w:type="auto"/>
            <w:shd w:val="clear" w:color="auto" w:fill="auto"/>
            <w:noWrap/>
            <w:hideMark/>
          </w:tcPr>
          <w:p w14:paraId="0521FABB"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039C7C6D" w14:textId="6DFF7C9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55E26AF" w14:textId="77777777" w:rsidR="002F0133" w:rsidRPr="000B4E2C" w:rsidRDefault="002F0133" w:rsidP="008A7464">
            <w:pPr>
              <w:rPr>
                <w:highlight w:val="green"/>
                <w:lang w:eastAsia="en-GB"/>
              </w:rPr>
            </w:pPr>
            <w:r w:rsidRPr="000B4E2C">
              <w:rPr>
                <w:highlight w:val="green"/>
                <w:lang w:eastAsia="en-GB"/>
              </w:rPr>
              <w:t>P. Guerci, J. L. Claudot, E. Novy, N. Settembre, J. M. Lalot and M. R. Losser. Immediate postoperative plasma neutrophil gelatinase-associated lipocalin to predict acute kidney injury after major open abdominal aortic surgery: A prospective observational study. Anaesthesia Critical Care and Pain Medicine, 37(4), 327-334. [15594]</w:t>
            </w:r>
          </w:p>
        </w:tc>
      </w:tr>
      <w:tr w:rsidR="002F0133" w:rsidRPr="000B4E2C" w14:paraId="4454554A" w14:textId="77777777" w:rsidTr="000B4E2C">
        <w:trPr>
          <w:cantSplit/>
        </w:trPr>
        <w:tc>
          <w:tcPr>
            <w:tcW w:w="0" w:type="auto"/>
            <w:shd w:val="clear" w:color="auto" w:fill="auto"/>
            <w:noWrap/>
            <w:hideMark/>
          </w:tcPr>
          <w:p w14:paraId="75125418" w14:textId="77777777" w:rsidR="002F0133" w:rsidRPr="000B4E2C" w:rsidRDefault="002F0133" w:rsidP="008A7464">
            <w:pPr>
              <w:rPr>
                <w:lang w:eastAsia="en-GB"/>
              </w:rPr>
            </w:pPr>
            <w:r w:rsidRPr="000B4E2C">
              <w:rPr>
                <w:lang w:eastAsia="en-GB"/>
              </w:rPr>
              <w:t>Guerrero-Orriach</w:t>
            </w:r>
          </w:p>
        </w:tc>
        <w:tc>
          <w:tcPr>
            <w:tcW w:w="0" w:type="auto"/>
            <w:shd w:val="clear" w:color="auto" w:fill="auto"/>
            <w:noWrap/>
            <w:hideMark/>
          </w:tcPr>
          <w:p w14:paraId="5B311C9F"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0623DC01" w14:textId="5F331DC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8BBB67B" w14:textId="77777777" w:rsidR="002F0133" w:rsidRPr="000B4E2C" w:rsidRDefault="002F0133" w:rsidP="008A7464">
            <w:pPr>
              <w:rPr>
                <w:highlight w:val="green"/>
                <w:lang w:eastAsia="en-GB"/>
              </w:rPr>
            </w:pPr>
            <w:r w:rsidRPr="000B4E2C">
              <w:rPr>
                <w:highlight w:val="green"/>
                <w:lang w:eastAsia="en-GB"/>
              </w:rPr>
              <w:t>J. L. Guerrero-Orriach, D. Ariza-Villanueva, A. Florez-Vela, L. Garrido-Sanchez, M. I. Moreno-Cortes, M. Galan-Ortega, A. Ramirez-Fernandez, J. A. Torres, C. S. Fernandez, I. N. Arce, J. M. Melero-Tejedor, M. Rubio-Navarro and J. Cruz-Manas. Cardiac, renal, and neurological benefits of preoperative levosimendan administration in patients with right ventricular dysfunction and pulmonary hypertension undergoing cardiac surgery: Evaluation with two biomarkers neutrophil gelatinase-associated lipocalin and neuronal enolase. Therapeutics and Clinical Risk Management, 12(623-630. [15595]</w:t>
            </w:r>
          </w:p>
        </w:tc>
      </w:tr>
      <w:tr w:rsidR="002F0133" w:rsidRPr="000B4E2C" w14:paraId="3243949F" w14:textId="77777777" w:rsidTr="000B4E2C">
        <w:trPr>
          <w:cantSplit/>
        </w:trPr>
        <w:tc>
          <w:tcPr>
            <w:tcW w:w="0" w:type="auto"/>
            <w:shd w:val="clear" w:color="auto" w:fill="auto"/>
            <w:noWrap/>
            <w:hideMark/>
          </w:tcPr>
          <w:p w14:paraId="7258D218" w14:textId="77777777" w:rsidR="002F0133" w:rsidRPr="000B4E2C" w:rsidRDefault="002F0133" w:rsidP="008A7464">
            <w:pPr>
              <w:rPr>
                <w:lang w:eastAsia="en-GB"/>
              </w:rPr>
            </w:pPr>
            <w:r w:rsidRPr="000B4E2C">
              <w:rPr>
                <w:lang w:eastAsia="en-GB"/>
              </w:rPr>
              <w:t>Gunes</w:t>
            </w:r>
          </w:p>
        </w:tc>
        <w:tc>
          <w:tcPr>
            <w:tcW w:w="0" w:type="auto"/>
            <w:shd w:val="clear" w:color="auto" w:fill="auto"/>
            <w:noWrap/>
            <w:hideMark/>
          </w:tcPr>
          <w:p w14:paraId="5480D73B"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DCDDDA7" w14:textId="06DF752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DBD4D1A" w14:textId="77777777" w:rsidR="002F0133" w:rsidRPr="000B4E2C" w:rsidRDefault="002F0133" w:rsidP="008A7464">
            <w:pPr>
              <w:rPr>
                <w:highlight w:val="green"/>
                <w:lang w:eastAsia="en-GB"/>
              </w:rPr>
            </w:pPr>
            <w:r w:rsidRPr="000B4E2C">
              <w:rPr>
                <w:highlight w:val="green"/>
                <w:lang w:eastAsia="en-GB"/>
              </w:rPr>
              <w:t>A. Gunes, A. Ece, H. Akca, F. Aktar, S. Mete, S. Samanci, U. Uluca, V. Sen, I. Tan and I. Kaplan. Urinary kidney injury molecules in children with febrile seizures. Renal failure, 38(9), 1377-1382. [15598]</w:t>
            </w:r>
          </w:p>
        </w:tc>
      </w:tr>
      <w:tr w:rsidR="002F0133" w:rsidRPr="000B4E2C" w14:paraId="4DDCC51F" w14:textId="77777777" w:rsidTr="000B4E2C">
        <w:trPr>
          <w:cantSplit/>
        </w:trPr>
        <w:tc>
          <w:tcPr>
            <w:tcW w:w="0" w:type="auto"/>
            <w:shd w:val="clear" w:color="auto" w:fill="auto"/>
            <w:noWrap/>
            <w:hideMark/>
          </w:tcPr>
          <w:p w14:paraId="65A957C0" w14:textId="77777777" w:rsidR="002F0133" w:rsidRPr="000B4E2C" w:rsidRDefault="002F0133" w:rsidP="008A7464">
            <w:pPr>
              <w:rPr>
                <w:lang w:eastAsia="en-GB"/>
              </w:rPr>
            </w:pPr>
            <w:r w:rsidRPr="000B4E2C">
              <w:rPr>
                <w:lang w:eastAsia="en-GB"/>
              </w:rPr>
              <w:t>Gungor</w:t>
            </w:r>
          </w:p>
        </w:tc>
        <w:tc>
          <w:tcPr>
            <w:tcW w:w="0" w:type="auto"/>
            <w:shd w:val="clear" w:color="auto" w:fill="auto"/>
            <w:noWrap/>
            <w:hideMark/>
          </w:tcPr>
          <w:p w14:paraId="2C983F3C"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67BEBC82" w14:textId="65C4EA7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B52ADA8" w14:textId="77777777" w:rsidR="002F0133" w:rsidRPr="000B4E2C" w:rsidRDefault="002F0133" w:rsidP="008A7464">
            <w:pPr>
              <w:rPr>
                <w:highlight w:val="green"/>
                <w:lang w:eastAsia="en-GB"/>
              </w:rPr>
            </w:pPr>
            <w:r w:rsidRPr="000B4E2C">
              <w:rPr>
                <w:highlight w:val="green"/>
                <w:lang w:eastAsia="en-GB"/>
              </w:rPr>
              <w:t>G. Gungor, H. Ataseven, A. Demir, Y. Solak, A. Gaipov, M. Biyik, B. Ozturk, I. Polat, A. Kiyici, O. O. Cakir and H. Polat. Neutrophil gelatinase-associated lipocalin in prediction of mortality in patients with hepatorenal syndrome: A prospective observational study. Liver International, 34(1), 49-57. [15600]</w:t>
            </w:r>
          </w:p>
        </w:tc>
      </w:tr>
      <w:tr w:rsidR="002F0133" w:rsidRPr="000B4E2C" w14:paraId="7935ACDA" w14:textId="77777777" w:rsidTr="000B4E2C">
        <w:trPr>
          <w:cantSplit/>
        </w:trPr>
        <w:tc>
          <w:tcPr>
            <w:tcW w:w="0" w:type="auto"/>
            <w:shd w:val="clear" w:color="auto" w:fill="auto"/>
            <w:noWrap/>
            <w:hideMark/>
          </w:tcPr>
          <w:p w14:paraId="29830DDB" w14:textId="77777777" w:rsidR="002F0133" w:rsidRPr="000B4E2C" w:rsidRDefault="002F0133" w:rsidP="008A7464">
            <w:pPr>
              <w:rPr>
                <w:lang w:eastAsia="en-GB"/>
              </w:rPr>
            </w:pPr>
            <w:r w:rsidRPr="000B4E2C">
              <w:rPr>
                <w:lang w:eastAsia="en-GB"/>
              </w:rPr>
              <w:t>Gunnerson</w:t>
            </w:r>
          </w:p>
        </w:tc>
        <w:tc>
          <w:tcPr>
            <w:tcW w:w="0" w:type="auto"/>
            <w:shd w:val="clear" w:color="auto" w:fill="auto"/>
            <w:noWrap/>
            <w:hideMark/>
          </w:tcPr>
          <w:p w14:paraId="23B74B00"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49C4FA91" w14:textId="77777777" w:rsidR="002F0133" w:rsidRPr="000B4E2C" w:rsidRDefault="002F0133" w:rsidP="008A7464">
            <w:pPr>
              <w:rPr>
                <w:lang w:eastAsia="en-GB"/>
              </w:rPr>
            </w:pPr>
            <w:r w:rsidRPr="000B4E2C">
              <w:rPr>
                <w:lang w:eastAsia="en-GB"/>
              </w:rPr>
              <w:t>No relevant outcome. Subgroup analysis of already included study.</w:t>
            </w:r>
          </w:p>
        </w:tc>
        <w:tc>
          <w:tcPr>
            <w:tcW w:w="0" w:type="auto"/>
            <w:shd w:val="clear" w:color="auto" w:fill="auto"/>
            <w:noWrap/>
            <w:hideMark/>
          </w:tcPr>
          <w:p w14:paraId="24CD7607" w14:textId="77777777" w:rsidR="002F0133" w:rsidRPr="000B4E2C" w:rsidRDefault="002F0133" w:rsidP="008A7464">
            <w:pPr>
              <w:rPr>
                <w:highlight w:val="green"/>
                <w:lang w:eastAsia="en-GB"/>
              </w:rPr>
            </w:pPr>
            <w:r w:rsidRPr="000B4E2C">
              <w:rPr>
                <w:highlight w:val="green"/>
                <w:lang w:eastAsia="en-GB"/>
              </w:rPr>
              <w:t>K. J. Gunnerson, A. D. Shaw, L. S. Chawla, A. Bihorac, A. Al-Khafaji, K. Kashani, M. Lissauer, J. Shi, M. G. Walker and J. A. Kellum. TIMP2*IGFBP7 biomarker panel accurately predicts acute kidney injury in high-risk surgical patients. Journal of Trauma and Acute Care Surgery, 80(2), 243-249. [15601]</w:t>
            </w:r>
          </w:p>
        </w:tc>
      </w:tr>
      <w:tr w:rsidR="002F0133" w:rsidRPr="000B4E2C" w14:paraId="1F88AB1C" w14:textId="77777777" w:rsidTr="000B4E2C">
        <w:trPr>
          <w:cantSplit/>
        </w:trPr>
        <w:tc>
          <w:tcPr>
            <w:tcW w:w="0" w:type="auto"/>
            <w:shd w:val="clear" w:color="auto" w:fill="auto"/>
            <w:noWrap/>
            <w:hideMark/>
          </w:tcPr>
          <w:p w14:paraId="1B351DE2" w14:textId="77777777" w:rsidR="002F0133" w:rsidRPr="000B4E2C" w:rsidRDefault="002F0133" w:rsidP="008A7464">
            <w:pPr>
              <w:rPr>
                <w:lang w:eastAsia="en-GB"/>
              </w:rPr>
            </w:pPr>
            <w:r w:rsidRPr="000B4E2C">
              <w:rPr>
                <w:lang w:eastAsia="en-GB"/>
              </w:rPr>
              <w:lastRenderedPageBreak/>
              <w:t>Haase</w:t>
            </w:r>
          </w:p>
        </w:tc>
        <w:tc>
          <w:tcPr>
            <w:tcW w:w="0" w:type="auto"/>
            <w:shd w:val="clear" w:color="auto" w:fill="auto"/>
            <w:noWrap/>
            <w:hideMark/>
          </w:tcPr>
          <w:p w14:paraId="5FC83626"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1ED241D9" w14:textId="530026FA"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0334E6D8" w14:textId="77777777" w:rsidR="002F0133" w:rsidRPr="000B4E2C" w:rsidRDefault="002F0133" w:rsidP="008A7464">
            <w:pPr>
              <w:rPr>
                <w:highlight w:val="green"/>
                <w:lang w:eastAsia="en-GB"/>
              </w:rPr>
            </w:pPr>
            <w:r w:rsidRPr="000B4E2C">
              <w:rPr>
                <w:highlight w:val="green"/>
                <w:lang w:eastAsia="en-GB"/>
              </w:rPr>
              <w:t>M. Haase, R. Bellomo, P. Devarajan, P. Schlattmann and A. Haase-Fielitz. Accuracy of Neutrophil Gelatinase-Associated Lipocalin (NGAL) in Diagnosis and Prognosis in Acute Kidney Injury: A Systematic Review and Meta-analysis. American Journal of Kidney Diseases, 54(6), 1012-1024. [15624]</w:t>
            </w:r>
          </w:p>
        </w:tc>
      </w:tr>
      <w:tr w:rsidR="002F0133" w:rsidRPr="000B4E2C" w14:paraId="24D2DF5B" w14:textId="77777777" w:rsidTr="000B4E2C">
        <w:trPr>
          <w:cantSplit/>
        </w:trPr>
        <w:tc>
          <w:tcPr>
            <w:tcW w:w="0" w:type="auto"/>
            <w:shd w:val="clear" w:color="auto" w:fill="auto"/>
            <w:noWrap/>
            <w:hideMark/>
          </w:tcPr>
          <w:p w14:paraId="59192551" w14:textId="77777777" w:rsidR="002F0133" w:rsidRPr="000B4E2C" w:rsidRDefault="002F0133" w:rsidP="008A7464">
            <w:pPr>
              <w:rPr>
                <w:lang w:eastAsia="en-GB"/>
              </w:rPr>
            </w:pPr>
            <w:r w:rsidRPr="000B4E2C">
              <w:rPr>
                <w:lang w:eastAsia="en-GB"/>
              </w:rPr>
              <w:t>Haase</w:t>
            </w:r>
          </w:p>
        </w:tc>
        <w:tc>
          <w:tcPr>
            <w:tcW w:w="0" w:type="auto"/>
            <w:shd w:val="clear" w:color="auto" w:fill="auto"/>
            <w:noWrap/>
            <w:hideMark/>
          </w:tcPr>
          <w:p w14:paraId="34B98498"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4C2091D6"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188797AF" w14:textId="77777777" w:rsidR="002F0133" w:rsidRPr="000B4E2C" w:rsidRDefault="002F0133" w:rsidP="008A7464">
            <w:pPr>
              <w:rPr>
                <w:highlight w:val="green"/>
                <w:lang w:eastAsia="en-GB"/>
              </w:rPr>
            </w:pPr>
            <w:r w:rsidRPr="000B4E2C">
              <w:rPr>
                <w:highlight w:val="green"/>
                <w:lang w:eastAsia="en-GB"/>
              </w:rPr>
              <w:t>M. Haase, R. Bellomo and A. Haase-Fielitz. Neutrophil gelatinase-associated lipocalin: A superior biomarker for detection of subclinical acute kidney injury and poor prognosis. Biomarkers in Medicine, 5(4), 415-417. [15614]</w:t>
            </w:r>
          </w:p>
        </w:tc>
      </w:tr>
      <w:tr w:rsidR="002F0133" w:rsidRPr="000B4E2C" w14:paraId="7979FCF1" w14:textId="77777777" w:rsidTr="000B4E2C">
        <w:trPr>
          <w:cantSplit/>
        </w:trPr>
        <w:tc>
          <w:tcPr>
            <w:tcW w:w="0" w:type="auto"/>
            <w:shd w:val="clear" w:color="auto" w:fill="auto"/>
            <w:noWrap/>
            <w:hideMark/>
          </w:tcPr>
          <w:p w14:paraId="48CF642D" w14:textId="77777777" w:rsidR="002F0133" w:rsidRPr="000B4E2C" w:rsidRDefault="002F0133" w:rsidP="008A7464">
            <w:pPr>
              <w:rPr>
                <w:lang w:eastAsia="en-GB"/>
              </w:rPr>
            </w:pPr>
            <w:r w:rsidRPr="000B4E2C">
              <w:rPr>
                <w:lang w:eastAsia="en-GB"/>
              </w:rPr>
              <w:t xml:space="preserve">Haase </w:t>
            </w:r>
          </w:p>
        </w:tc>
        <w:tc>
          <w:tcPr>
            <w:tcW w:w="0" w:type="auto"/>
            <w:shd w:val="clear" w:color="auto" w:fill="auto"/>
            <w:noWrap/>
            <w:hideMark/>
          </w:tcPr>
          <w:p w14:paraId="5742DC13"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3B01BAEA"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4C6C8011" w14:textId="77777777" w:rsidR="002F0133" w:rsidRPr="000B4E2C" w:rsidRDefault="002F0133" w:rsidP="008A7464">
            <w:pPr>
              <w:rPr>
                <w:highlight w:val="green"/>
                <w:lang w:eastAsia="en-GB"/>
              </w:rPr>
            </w:pPr>
            <w:r w:rsidRPr="000B4E2C">
              <w:rPr>
                <w:highlight w:val="green"/>
                <w:lang w:val="da-DK" w:eastAsia="en-GB"/>
              </w:rPr>
              <w:t xml:space="preserve">Haase M, Bellomo R, Devarajan P, Ma Q, Bennett MR, Möckel M, et al.  . </w:t>
            </w:r>
            <w:r w:rsidRPr="000B4E2C">
              <w:rPr>
                <w:highlight w:val="green"/>
                <w:lang w:eastAsia="en-GB"/>
              </w:rPr>
              <w:t>Novel biomarkers early predict the severity of acute kidney injury after cardiac surgery in adults.. Ann Thorac Surg 2009;88:124–30. https://doi.org/10.1016/j.athoracsur.2009.04.023. [15626]</w:t>
            </w:r>
          </w:p>
        </w:tc>
      </w:tr>
      <w:tr w:rsidR="002F0133" w:rsidRPr="000B4E2C" w14:paraId="3D14D014" w14:textId="77777777" w:rsidTr="000B4E2C">
        <w:trPr>
          <w:cantSplit/>
        </w:trPr>
        <w:tc>
          <w:tcPr>
            <w:tcW w:w="0" w:type="auto"/>
            <w:shd w:val="clear" w:color="auto" w:fill="auto"/>
            <w:noWrap/>
            <w:hideMark/>
          </w:tcPr>
          <w:p w14:paraId="57E9918D" w14:textId="77777777" w:rsidR="002F0133" w:rsidRPr="000B4E2C" w:rsidRDefault="002F0133" w:rsidP="008A7464">
            <w:pPr>
              <w:rPr>
                <w:lang w:eastAsia="en-GB"/>
              </w:rPr>
            </w:pPr>
            <w:r w:rsidRPr="000B4E2C">
              <w:rPr>
                <w:lang w:eastAsia="en-GB"/>
              </w:rPr>
              <w:t>Haase-Fielitz</w:t>
            </w:r>
          </w:p>
        </w:tc>
        <w:tc>
          <w:tcPr>
            <w:tcW w:w="0" w:type="auto"/>
            <w:shd w:val="clear" w:color="auto" w:fill="auto"/>
            <w:noWrap/>
            <w:hideMark/>
          </w:tcPr>
          <w:p w14:paraId="3681AC8F"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27C5B7BA"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72622E0" w14:textId="77777777" w:rsidR="002F0133" w:rsidRPr="000B4E2C" w:rsidRDefault="002F0133" w:rsidP="008A7464">
            <w:pPr>
              <w:rPr>
                <w:highlight w:val="green"/>
                <w:lang w:eastAsia="en-GB"/>
              </w:rPr>
            </w:pPr>
            <w:r w:rsidRPr="000B4E2C">
              <w:rPr>
                <w:highlight w:val="green"/>
                <w:lang w:eastAsia="en-GB"/>
              </w:rPr>
              <w:t>A. Haase-Fielitz, R. Bellomo, P. Devarajan, D. Story, G. Matalanis, D. Dragun and M. Haase. Novel and conventional serum biomarkers predicting acute kidney injury in adult cardiac surgery-A prospective cohort study. Critical Care Medicine, 37(2), 553-560. [15630]</w:t>
            </w:r>
          </w:p>
        </w:tc>
      </w:tr>
      <w:tr w:rsidR="002F0133" w:rsidRPr="000B4E2C" w14:paraId="2EB8D25C" w14:textId="77777777" w:rsidTr="000B4E2C">
        <w:trPr>
          <w:cantSplit/>
        </w:trPr>
        <w:tc>
          <w:tcPr>
            <w:tcW w:w="0" w:type="auto"/>
            <w:shd w:val="clear" w:color="auto" w:fill="auto"/>
            <w:noWrap/>
            <w:hideMark/>
          </w:tcPr>
          <w:p w14:paraId="627F6DE6" w14:textId="77777777" w:rsidR="002F0133" w:rsidRPr="000B4E2C" w:rsidRDefault="002F0133" w:rsidP="008A7464">
            <w:pPr>
              <w:rPr>
                <w:lang w:eastAsia="en-GB"/>
              </w:rPr>
            </w:pPr>
            <w:r w:rsidRPr="000B4E2C">
              <w:rPr>
                <w:lang w:eastAsia="en-GB"/>
              </w:rPr>
              <w:t>Haase-Fielitz</w:t>
            </w:r>
          </w:p>
        </w:tc>
        <w:tc>
          <w:tcPr>
            <w:tcW w:w="0" w:type="auto"/>
            <w:shd w:val="clear" w:color="auto" w:fill="auto"/>
            <w:noWrap/>
            <w:hideMark/>
          </w:tcPr>
          <w:p w14:paraId="4DA7FA34"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40367B13"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051C6E1C" w14:textId="77777777" w:rsidR="002F0133" w:rsidRPr="000B4E2C" w:rsidRDefault="002F0133" w:rsidP="008A7464">
            <w:pPr>
              <w:rPr>
                <w:highlight w:val="green"/>
                <w:lang w:eastAsia="en-GB"/>
              </w:rPr>
            </w:pPr>
            <w:r w:rsidRPr="000B4E2C">
              <w:rPr>
                <w:highlight w:val="green"/>
                <w:lang w:eastAsia="en-GB"/>
              </w:rPr>
              <w:t>A. Haase-Fielitz, R. Bellomo, P. Devarajan, M. Bennett, D. Story, G. Matalanis, U. Frei, D. Dragun and M. Haase. The predictive performance of plasma neutrophil gelatinase-associated lipocalin (NGAL) increases with grade of acute kidney injury. Nephrology Dialysis Transplantation, 24(11), 3349-3354. [15629]</w:t>
            </w:r>
          </w:p>
        </w:tc>
      </w:tr>
      <w:tr w:rsidR="002F0133" w:rsidRPr="000B4E2C" w14:paraId="3F18CD49" w14:textId="77777777" w:rsidTr="000B4E2C">
        <w:trPr>
          <w:cantSplit/>
        </w:trPr>
        <w:tc>
          <w:tcPr>
            <w:tcW w:w="0" w:type="auto"/>
            <w:shd w:val="clear" w:color="auto" w:fill="auto"/>
            <w:noWrap/>
            <w:hideMark/>
          </w:tcPr>
          <w:p w14:paraId="036AD104" w14:textId="77777777" w:rsidR="002F0133" w:rsidRPr="000B4E2C" w:rsidRDefault="002F0133" w:rsidP="008A7464">
            <w:pPr>
              <w:rPr>
                <w:lang w:eastAsia="en-GB"/>
              </w:rPr>
            </w:pPr>
            <w:r w:rsidRPr="000B4E2C">
              <w:rPr>
                <w:lang w:eastAsia="en-GB"/>
              </w:rPr>
              <w:t>Haase-Fielitz</w:t>
            </w:r>
          </w:p>
        </w:tc>
        <w:tc>
          <w:tcPr>
            <w:tcW w:w="0" w:type="auto"/>
            <w:shd w:val="clear" w:color="auto" w:fill="auto"/>
            <w:noWrap/>
            <w:hideMark/>
          </w:tcPr>
          <w:p w14:paraId="33E145C5"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643E5CB3" w14:textId="190B21F2" w:rsidR="002F0133" w:rsidRPr="000B4E2C" w:rsidRDefault="002F0133" w:rsidP="008A7464">
            <w:pPr>
              <w:rPr>
                <w:lang w:eastAsia="en-GB"/>
              </w:rPr>
            </w:pPr>
            <w:r w:rsidRPr="000B4E2C">
              <w:rPr>
                <w:lang w:eastAsia="en-GB"/>
              </w:rPr>
              <w:t>Systematic review</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47771977" w14:textId="77777777" w:rsidR="002F0133" w:rsidRPr="000B4E2C" w:rsidRDefault="002F0133" w:rsidP="008A7464">
            <w:pPr>
              <w:rPr>
                <w:highlight w:val="green"/>
                <w:lang w:eastAsia="en-GB"/>
              </w:rPr>
            </w:pPr>
            <w:r w:rsidRPr="000B4E2C">
              <w:rPr>
                <w:highlight w:val="green"/>
                <w:lang w:eastAsia="en-GB"/>
              </w:rPr>
              <w:t>A. Haase-Fielitz, M. Haase and P. Devarajan. Neutrophil gelatinase-associated lipocalin as a biomarker of acute kidney injury: A critical evaluation of current status. Annals of Clinical Biochemistry, 51(3), 335-351. [15628]</w:t>
            </w:r>
          </w:p>
        </w:tc>
      </w:tr>
      <w:tr w:rsidR="002F0133" w:rsidRPr="000B4E2C" w14:paraId="16A4D750" w14:textId="77777777" w:rsidTr="000B4E2C">
        <w:trPr>
          <w:cantSplit/>
        </w:trPr>
        <w:tc>
          <w:tcPr>
            <w:tcW w:w="0" w:type="auto"/>
            <w:shd w:val="clear" w:color="auto" w:fill="auto"/>
            <w:noWrap/>
            <w:hideMark/>
          </w:tcPr>
          <w:p w14:paraId="3588484E" w14:textId="77777777" w:rsidR="002F0133" w:rsidRPr="000B4E2C" w:rsidRDefault="002F0133" w:rsidP="008A7464">
            <w:pPr>
              <w:rPr>
                <w:lang w:eastAsia="en-GB"/>
              </w:rPr>
            </w:pPr>
            <w:r w:rsidRPr="000B4E2C">
              <w:rPr>
                <w:lang w:eastAsia="en-GB"/>
              </w:rPr>
              <w:t>Hahn</w:t>
            </w:r>
          </w:p>
        </w:tc>
        <w:tc>
          <w:tcPr>
            <w:tcW w:w="0" w:type="auto"/>
            <w:shd w:val="clear" w:color="auto" w:fill="auto"/>
            <w:noWrap/>
            <w:hideMark/>
          </w:tcPr>
          <w:p w14:paraId="484AA98F"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357A8E4"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04F719C9" w14:textId="77777777" w:rsidR="002F0133" w:rsidRPr="000B4E2C" w:rsidRDefault="002F0133" w:rsidP="008A7464">
            <w:pPr>
              <w:rPr>
                <w:highlight w:val="green"/>
                <w:lang w:eastAsia="en-GB"/>
              </w:rPr>
            </w:pPr>
            <w:r w:rsidRPr="000B4E2C">
              <w:rPr>
                <w:highlight w:val="green"/>
                <w:lang w:eastAsia="en-GB"/>
              </w:rPr>
              <w:t>R. G. Hahn and J. Zdolsek. Nephrocheck results should be corrected for dilution. Acta anaesthesiologica Scandinavica, 61(2), 261-262. [15634]</w:t>
            </w:r>
          </w:p>
        </w:tc>
      </w:tr>
      <w:tr w:rsidR="002F0133" w:rsidRPr="000B4E2C" w14:paraId="6F1115C9" w14:textId="77777777" w:rsidTr="000B4E2C">
        <w:trPr>
          <w:cantSplit/>
        </w:trPr>
        <w:tc>
          <w:tcPr>
            <w:tcW w:w="0" w:type="auto"/>
            <w:shd w:val="clear" w:color="auto" w:fill="auto"/>
            <w:noWrap/>
            <w:hideMark/>
          </w:tcPr>
          <w:p w14:paraId="4CE4E0BE" w14:textId="77777777" w:rsidR="002F0133" w:rsidRPr="000B4E2C" w:rsidRDefault="002F0133" w:rsidP="008A7464">
            <w:pPr>
              <w:rPr>
                <w:lang w:eastAsia="en-GB"/>
              </w:rPr>
            </w:pPr>
            <w:r w:rsidRPr="000B4E2C">
              <w:rPr>
                <w:lang w:eastAsia="en-GB"/>
              </w:rPr>
              <w:t>Hall</w:t>
            </w:r>
          </w:p>
        </w:tc>
        <w:tc>
          <w:tcPr>
            <w:tcW w:w="0" w:type="auto"/>
            <w:shd w:val="clear" w:color="auto" w:fill="auto"/>
            <w:noWrap/>
            <w:hideMark/>
          </w:tcPr>
          <w:p w14:paraId="038EBA36"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158A4D49"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5C3AEAD" w14:textId="77777777" w:rsidR="002F0133" w:rsidRPr="000B4E2C" w:rsidRDefault="002F0133" w:rsidP="008A7464">
            <w:pPr>
              <w:rPr>
                <w:highlight w:val="green"/>
                <w:lang w:eastAsia="en-GB"/>
              </w:rPr>
            </w:pPr>
            <w:r w:rsidRPr="000B4E2C">
              <w:rPr>
                <w:highlight w:val="green"/>
                <w:lang w:eastAsia="en-GB"/>
              </w:rPr>
              <w:t>I. E. Hall, M. D. Doshi, P. P. Reese, R. J. Marcus, H. Thiessen-Philbrook and C. R. Parikh. Association between peritransplant kidney injury biomarkers and 1-year allograft outcomes. Clinical Journal of the American Society of Nephrology, 7(8), 1224-1233. [15636]</w:t>
            </w:r>
          </w:p>
        </w:tc>
      </w:tr>
      <w:tr w:rsidR="002F0133" w:rsidRPr="000B4E2C" w14:paraId="55ED1A94" w14:textId="77777777" w:rsidTr="000B4E2C">
        <w:trPr>
          <w:cantSplit/>
        </w:trPr>
        <w:tc>
          <w:tcPr>
            <w:tcW w:w="0" w:type="auto"/>
            <w:shd w:val="clear" w:color="auto" w:fill="auto"/>
            <w:noWrap/>
            <w:hideMark/>
          </w:tcPr>
          <w:p w14:paraId="7D7DB26E" w14:textId="77777777" w:rsidR="002F0133" w:rsidRPr="000B4E2C" w:rsidRDefault="002F0133" w:rsidP="008A7464">
            <w:pPr>
              <w:rPr>
                <w:lang w:eastAsia="en-GB"/>
              </w:rPr>
            </w:pPr>
            <w:r w:rsidRPr="000B4E2C">
              <w:rPr>
                <w:lang w:eastAsia="en-GB"/>
              </w:rPr>
              <w:t>Hall</w:t>
            </w:r>
          </w:p>
        </w:tc>
        <w:tc>
          <w:tcPr>
            <w:tcW w:w="0" w:type="auto"/>
            <w:shd w:val="clear" w:color="auto" w:fill="auto"/>
            <w:noWrap/>
            <w:hideMark/>
          </w:tcPr>
          <w:p w14:paraId="5A333440"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96852B0" w14:textId="3FAC7D62" w:rsidR="002F0133" w:rsidRPr="000B4E2C" w:rsidRDefault="002F0133" w:rsidP="008A7464">
            <w:pPr>
              <w:rPr>
                <w:lang w:eastAsia="en-GB"/>
              </w:rPr>
            </w:pPr>
            <w:r w:rsidRPr="000B4E2C">
              <w:rPr>
                <w:lang w:eastAsia="en-GB"/>
              </w:rPr>
              <w:t>Systematic review</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3239292B" w14:textId="77777777" w:rsidR="002F0133" w:rsidRPr="000B4E2C" w:rsidRDefault="002F0133" w:rsidP="008A7464">
            <w:pPr>
              <w:rPr>
                <w:highlight w:val="green"/>
                <w:lang w:eastAsia="en-GB"/>
              </w:rPr>
            </w:pPr>
            <w:r w:rsidRPr="000B4E2C">
              <w:rPr>
                <w:highlight w:val="green"/>
                <w:lang w:eastAsia="en-GB"/>
              </w:rPr>
              <w:t>P. S. Hall, E. D. Mitchell, A. F. Smith, D. A. Cairns, M. Messenger, M. Hutchinson, J. Wright, K. Vinall-Collier, C. Corps, P. Hamilton, D. Meads and A. Lewington. The future for diagnostic tests of acute kidney injury in critical care: Evidence synthesis, care pathway analysis and research prioritisation. Health Technology Assessment, 22(32), 1-274. [15641]</w:t>
            </w:r>
          </w:p>
        </w:tc>
      </w:tr>
      <w:tr w:rsidR="002F0133" w:rsidRPr="000B4E2C" w14:paraId="6B182990" w14:textId="77777777" w:rsidTr="000B4E2C">
        <w:trPr>
          <w:cantSplit/>
        </w:trPr>
        <w:tc>
          <w:tcPr>
            <w:tcW w:w="0" w:type="auto"/>
            <w:shd w:val="clear" w:color="auto" w:fill="auto"/>
            <w:noWrap/>
            <w:hideMark/>
          </w:tcPr>
          <w:p w14:paraId="0421964E" w14:textId="77777777" w:rsidR="002F0133" w:rsidRPr="000B4E2C" w:rsidRDefault="002F0133" w:rsidP="008A7464">
            <w:pPr>
              <w:rPr>
                <w:lang w:eastAsia="en-GB"/>
              </w:rPr>
            </w:pPr>
            <w:r w:rsidRPr="000B4E2C">
              <w:rPr>
                <w:lang w:eastAsia="en-GB"/>
              </w:rPr>
              <w:t>Hamdy</w:t>
            </w:r>
          </w:p>
        </w:tc>
        <w:tc>
          <w:tcPr>
            <w:tcW w:w="0" w:type="auto"/>
            <w:shd w:val="clear" w:color="auto" w:fill="auto"/>
            <w:noWrap/>
            <w:hideMark/>
          </w:tcPr>
          <w:p w14:paraId="178FEF74"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07E1E2B3" w14:textId="598B1C7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FC2B149" w14:textId="77777777" w:rsidR="002F0133" w:rsidRPr="000B4E2C" w:rsidRDefault="002F0133" w:rsidP="008A7464">
            <w:pPr>
              <w:rPr>
                <w:highlight w:val="green"/>
                <w:lang w:eastAsia="en-GB"/>
              </w:rPr>
            </w:pPr>
            <w:r w:rsidRPr="000B4E2C">
              <w:rPr>
                <w:highlight w:val="green"/>
                <w:lang w:eastAsia="en-GB"/>
              </w:rPr>
              <w:t>H. S. Hamdy, A. El-Ray, M. Salaheldin, M. Lasheen, M. Aboul-Ezz, A. S. Abdel-Moaty and A. Abdel-Rahim. Urinary neutrophil gelatinase-associated lipocalin in cirrhotic patients with acute kidney injury. Annals of Hepatology, 17(4), 624-630. [15642]</w:t>
            </w:r>
          </w:p>
        </w:tc>
      </w:tr>
      <w:tr w:rsidR="002F0133" w:rsidRPr="000B4E2C" w14:paraId="39F8A662" w14:textId="77777777" w:rsidTr="000B4E2C">
        <w:trPr>
          <w:cantSplit/>
        </w:trPr>
        <w:tc>
          <w:tcPr>
            <w:tcW w:w="0" w:type="auto"/>
            <w:shd w:val="clear" w:color="auto" w:fill="auto"/>
            <w:noWrap/>
            <w:hideMark/>
          </w:tcPr>
          <w:p w14:paraId="18FF76D2" w14:textId="77777777" w:rsidR="002F0133" w:rsidRPr="000B4E2C" w:rsidRDefault="002F0133" w:rsidP="008A7464">
            <w:pPr>
              <w:rPr>
                <w:lang w:eastAsia="en-GB"/>
              </w:rPr>
            </w:pPr>
            <w:r w:rsidRPr="000B4E2C">
              <w:rPr>
                <w:lang w:eastAsia="en-GB"/>
              </w:rPr>
              <w:t>Hamishehkar</w:t>
            </w:r>
          </w:p>
        </w:tc>
        <w:tc>
          <w:tcPr>
            <w:tcW w:w="0" w:type="auto"/>
            <w:shd w:val="clear" w:color="auto" w:fill="auto"/>
            <w:noWrap/>
            <w:hideMark/>
          </w:tcPr>
          <w:p w14:paraId="1B7E135C"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EB96552"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970DDC5" w14:textId="77777777" w:rsidR="002F0133" w:rsidRPr="000B4E2C" w:rsidRDefault="002F0133" w:rsidP="008A7464">
            <w:pPr>
              <w:rPr>
                <w:highlight w:val="green"/>
                <w:lang w:eastAsia="en-GB"/>
              </w:rPr>
            </w:pPr>
            <w:r w:rsidRPr="000B4E2C">
              <w:rPr>
                <w:highlight w:val="green"/>
                <w:lang w:eastAsia="en-GB"/>
              </w:rPr>
              <w:t>H. Hamishehkar, S. Sanaie, V. Fattahi, M. Mesgari and A. Mahmoodpoor. The effect of furosemide on the level of neutrophil gelatinase-associated lipocalin in critically hospitalized patients with acute kidney injury. Indian Journal of Critical Care Medicine, 21(7), 442-447. [15643]</w:t>
            </w:r>
          </w:p>
        </w:tc>
      </w:tr>
      <w:tr w:rsidR="002F0133" w:rsidRPr="000B4E2C" w14:paraId="60260EAE" w14:textId="77777777" w:rsidTr="000B4E2C">
        <w:trPr>
          <w:cantSplit/>
        </w:trPr>
        <w:tc>
          <w:tcPr>
            <w:tcW w:w="0" w:type="auto"/>
            <w:shd w:val="clear" w:color="auto" w:fill="auto"/>
            <w:noWrap/>
            <w:hideMark/>
          </w:tcPr>
          <w:p w14:paraId="1313D2F3" w14:textId="77777777" w:rsidR="002F0133" w:rsidRPr="000B4E2C" w:rsidRDefault="002F0133" w:rsidP="008A7464">
            <w:pPr>
              <w:rPr>
                <w:lang w:eastAsia="en-GB"/>
              </w:rPr>
            </w:pPr>
            <w:r w:rsidRPr="000B4E2C">
              <w:rPr>
                <w:lang w:eastAsia="en-GB"/>
              </w:rPr>
              <w:t>Han</w:t>
            </w:r>
          </w:p>
        </w:tc>
        <w:tc>
          <w:tcPr>
            <w:tcW w:w="0" w:type="auto"/>
            <w:shd w:val="clear" w:color="auto" w:fill="auto"/>
            <w:noWrap/>
            <w:hideMark/>
          </w:tcPr>
          <w:p w14:paraId="7A90637B"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10455029" w14:textId="16862CC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E20ECB7" w14:textId="77777777" w:rsidR="002F0133" w:rsidRPr="000B4E2C" w:rsidRDefault="002F0133" w:rsidP="008A7464">
            <w:pPr>
              <w:rPr>
                <w:highlight w:val="green"/>
                <w:lang w:eastAsia="en-GB"/>
              </w:rPr>
            </w:pPr>
            <w:r w:rsidRPr="000B4E2C">
              <w:rPr>
                <w:highlight w:val="green"/>
                <w:lang w:eastAsia="en-GB"/>
              </w:rPr>
              <w:t>W. K. Han, G. Wagener, Y. Zhu, S. Wang and H. T. Lee. Urinary biomarkers in the early detection of acute kidney injury after cardiac surgery. Clinical Journal of the American Society of Nephrology, 4(5), 873-882. [15646]</w:t>
            </w:r>
          </w:p>
        </w:tc>
      </w:tr>
      <w:tr w:rsidR="002F0133" w:rsidRPr="000B4E2C" w14:paraId="59E5727B" w14:textId="77777777" w:rsidTr="000B4E2C">
        <w:trPr>
          <w:cantSplit/>
        </w:trPr>
        <w:tc>
          <w:tcPr>
            <w:tcW w:w="0" w:type="auto"/>
            <w:shd w:val="clear" w:color="auto" w:fill="auto"/>
            <w:noWrap/>
            <w:hideMark/>
          </w:tcPr>
          <w:p w14:paraId="2F0E2020" w14:textId="77777777" w:rsidR="002F0133" w:rsidRPr="000B4E2C" w:rsidRDefault="002F0133" w:rsidP="008A7464">
            <w:pPr>
              <w:rPr>
                <w:lang w:eastAsia="en-GB"/>
              </w:rPr>
            </w:pPr>
            <w:r w:rsidRPr="000B4E2C">
              <w:rPr>
                <w:lang w:eastAsia="en-GB"/>
              </w:rPr>
              <w:lastRenderedPageBreak/>
              <w:t>Hang</w:t>
            </w:r>
          </w:p>
        </w:tc>
        <w:tc>
          <w:tcPr>
            <w:tcW w:w="0" w:type="auto"/>
            <w:shd w:val="clear" w:color="auto" w:fill="auto"/>
            <w:noWrap/>
            <w:hideMark/>
          </w:tcPr>
          <w:p w14:paraId="4BF32937"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A8108A8"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53360187" w14:textId="77777777" w:rsidR="002F0133" w:rsidRPr="000B4E2C" w:rsidRDefault="002F0133" w:rsidP="008A7464">
            <w:pPr>
              <w:rPr>
                <w:highlight w:val="green"/>
                <w:lang w:eastAsia="en-GB"/>
              </w:rPr>
            </w:pPr>
            <w:r w:rsidRPr="000B4E2C">
              <w:rPr>
                <w:highlight w:val="green"/>
                <w:lang w:eastAsia="en-GB"/>
              </w:rPr>
              <w:t>C. C. Hang, J. yang, S. Wang, C. S. Li and Z. R. Tang. Evaluation of serum neutrophil gelatinase-associated lipocalin in predicting acute kidney injury in critically ill patients. Journal of International Medical Research, 45(3), 1231-1244. [15648]</w:t>
            </w:r>
          </w:p>
        </w:tc>
      </w:tr>
      <w:tr w:rsidR="002F0133" w:rsidRPr="000B4E2C" w14:paraId="2336727C" w14:textId="77777777" w:rsidTr="000B4E2C">
        <w:trPr>
          <w:cantSplit/>
        </w:trPr>
        <w:tc>
          <w:tcPr>
            <w:tcW w:w="0" w:type="auto"/>
            <w:shd w:val="clear" w:color="auto" w:fill="auto"/>
            <w:noWrap/>
            <w:hideMark/>
          </w:tcPr>
          <w:p w14:paraId="5265BBBD" w14:textId="77777777" w:rsidR="002F0133" w:rsidRPr="000B4E2C" w:rsidRDefault="002F0133" w:rsidP="008A7464">
            <w:pPr>
              <w:rPr>
                <w:lang w:eastAsia="en-GB"/>
              </w:rPr>
            </w:pPr>
            <w:r w:rsidRPr="000B4E2C">
              <w:rPr>
                <w:lang w:eastAsia="en-GB"/>
              </w:rPr>
              <w:t>Hanna</w:t>
            </w:r>
          </w:p>
        </w:tc>
        <w:tc>
          <w:tcPr>
            <w:tcW w:w="0" w:type="auto"/>
            <w:shd w:val="clear" w:color="auto" w:fill="auto"/>
            <w:noWrap/>
            <w:hideMark/>
          </w:tcPr>
          <w:p w14:paraId="23E02072"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84986A2" w14:textId="1FAD749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7BEF128" w14:textId="77777777" w:rsidR="002F0133" w:rsidRPr="000B4E2C" w:rsidRDefault="002F0133" w:rsidP="008A7464">
            <w:pPr>
              <w:rPr>
                <w:highlight w:val="green"/>
                <w:lang w:eastAsia="en-GB"/>
              </w:rPr>
            </w:pPr>
            <w:r w:rsidRPr="000B4E2C">
              <w:rPr>
                <w:highlight w:val="green"/>
                <w:lang w:eastAsia="en-GB"/>
              </w:rPr>
              <w:t>M. Hanna, P. D. Brophy, P. J. Giannone, M. S. Joshi, J. A. Bauer and S. Ramachandrarao. Early urinary biomarkers of acute kidney injury in preterm infants. Pediatric Research, 80(2), 218-223. [15649]</w:t>
            </w:r>
          </w:p>
        </w:tc>
      </w:tr>
      <w:tr w:rsidR="002F0133" w:rsidRPr="000B4E2C" w14:paraId="6CA34E94" w14:textId="77777777" w:rsidTr="000B4E2C">
        <w:trPr>
          <w:cantSplit/>
        </w:trPr>
        <w:tc>
          <w:tcPr>
            <w:tcW w:w="0" w:type="auto"/>
            <w:shd w:val="clear" w:color="auto" w:fill="auto"/>
            <w:noWrap/>
            <w:hideMark/>
          </w:tcPr>
          <w:p w14:paraId="7AD2C88C" w14:textId="77777777" w:rsidR="002F0133" w:rsidRPr="000B4E2C" w:rsidRDefault="002F0133" w:rsidP="008A7464">
            <w:pPr>
              <w:rPr>
                <w:lang w:eastAsia="en-GB"/>
              </w:rPr>
            </w:pPr>
            <w:r w:rsidRPr="000B4E2C">
              <w:rPr>
                <w:lang w:eastAsia="en-GB"/>
              </w:rPr>
              <w:t>Hassan</w:t>
            </w:r>
          </w:p>
        </w:tc>
        <w:tc>
          <w:tcPr>
            <w:tcW w:w="0" w:type="auto"/>
            <w:shd w:val="clear" w:color="auto" w:fill="auto"/>
            <w:noWrap/>
            <w:hideMark/>
          </w:tcPr>
          <w:p w14:paraId="0364AA55"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7E741F1" w14:textId="14833CC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DD983D6" w14:textId="77777777" w:rsidR="002F0133" w:rsidRPr="000B4E2C" w:rsidRDefault="002F0133" w:rsidP="008A7464">
            <w:pPr>
              <w:rPr>
                <w:highlight w:val="green"/>
                <w:lang w:eastAsia="en-GB"/>
              </w:rPr>
            </w:pPr>
            <w:r w:rsidRPr="000B4E2C">
              <w:rPr>
                <w:highlight w:val="green"/>
                <w:lang w:eastAsia="en-GB"/>
              </w:rPr>
              <w:t>R. H. Hassan, S. M. Kandil, M. S. Zeid, M. E. Zaki and A. E. Fouda. Kidney injury in infants and children with iron-deficiency anemia before and after iron treatment. Hematology, 22(9), 565-570. [15654]</w:t>
            </w:r>
          </w:p>
        </w:tc>
      </w:tr>
      <w:tr w:rsidR="002F0133" w:rsidRPr="000B4E2C" w14:paraId="55ADE3E0" w14:textId="77777777" w:rsidTr="000B4E2C">
        <w:trPr>
          <w:cantSplit/>
        </w:trPr>
        <w:tc>
          <w:tcPr>
            <w:tcW w:w="0" w:type="auto"/>
            <w:shd w:val="clear" w:color="auto" w:fill="auto"/>
            <w:noWrap/>
            <w:hideMark/>
          </w:tcPr>
          <w:p w14:paraId="500A798D" w14:textId="77777777" w:rsidR="002F0133" w:rsidRPr="000B4E2C" w:rsidRDefault="002F0133" w:rsidP="008A7464">
            <w:pPr>
              <w:rPr>
                <w:lang w:eastAsia="en-GB"/>
              </w:rPr>
            </w:pPr>
            <w:r w:rsidRPr="000B4E2C">
              <w:rPr>
                <w:lang w:eastAsia="en-GB"/>
              </w:rPr>
              <w:t>Hayashi</w:t>
            </w:r>
          </w:p>
        </w:tc>
        <w:tc>
          <w:tcPr>
            <w:tcW w:w="0" w:type="auto"/>
            <w:shd w:val="clear" w:color="auto" w:fill="auto"/>
            <w:noWrap/>
            <w:hideMark/>
          </w:tcPr>
          <w:p w14:paraId="3CE604BE"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5F50C3CA" w14:textId="7DCB741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8740343" w14:textId="77777777" w:rsidR="002F0133" w:rsidRPr="000B4E2C" w:rsidRDefault="002F0133" w:rsidP="008A7464">
            <w:pPr>
              <w:rPr>
                <w:highlight w:val="green"/>
                <w:lang w:eastAsia="en-GB"/>
              </w:rPr>
            </w:pPr>
            <w:r w:rsidRPr="000B4E2C">
              <w:rPr>
                <w:highlight w:val="green"/>
                <w:lang w:eastAsia="en-GB"/>
              </w:rPr>
              <w:t>H. Hayashi, W. Sato, T. Kosugi, K. Nishimura, D. Sugiyama, N. Asano, S. Ikematsu, K. Komori, K. Nishiwaki, K. Kadomatsu, S. Matsuo, S. Maruyama and Y. Yuzawa. Efficacy of urinary midkine as a biomarker in patients with acute kidney injury. Clinical and Experimental Nephrology, 21(4), 597-607. [15659]</w:t>
            </w:r>
          </w:p>
        </w:tc>
      </w:tr>
      <w:tr w:rsidR="002F0133" w:rsidRPr="000B4E2C" w14:paraId="66EBFEAF" w14:textId="77777777" w:rsidTr="000B4E2C">
        <w:trPr>
          <w:cantSplit/>
        </w:trPr>
        <w:tc>
          <w:tcPr>
            <w:tcW w:w="0" w:type="auto"/>
            <w:shd w:val="clear" w:color="auto" w:fill="auto"/>
            <w:noWrap/>
            <w:hideMark/>
          </w:tcPr>
          <w:p w14:paraId="0B0BED9B" w14:textId="77777777" w:rsidR="002F0133" w:rsidRPr="000B4E2C" w:rsidRDefault="002F0133" w:rsidP="008A7464">
            <w:pPr>
              <w:rPr>
                <w:lang w:eastAsia="en-GB"/>
              </w:rPr>
            </w:pPr>
            <w:r w:rsidRPr="000B4E2C">
              <w:rPr>
                <w:lang w:eastAsia="en-GB"/>
              </w:rPr>
              <w:t>Hazle</w:t>
            </w:r>
          </w:p>
        </w:tc>
        <w:tc>
          <w:tcPr>
            <w:tcW w:w="0" w:type="auto"/>
            <w:shd w:val="clear" w:color="auto" w:fill="auto"/>
            <w:noWrap/>
            <w:hideMark/>
          </w:tcPr>
          <w:p w14:paraId="63A715FE"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1C03A471" w14:textId="0299082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2C83D7E" w14:textId="77777777" w:rsidR="002F0133" w:rsidRPr="000B4E2C" w:rsidRDefault="002F0133" w:rsidP="008A7464">
            <w:pPr>
              <w:rPr>
                <w:highlight w:val="green"/>
                <w:lang w:eastAsia="en-GB"/>
              </w:rPr>
            </w:pPr>
            <w:r w:rsidRPr="000B4E2C">
              <w:rPr>
                <w:highlight w:val="green"/>
                <w:lang w:eastAsia="en-GB"/>
              </w:rPr>
              <w:t>M. A. Hazle, R. J. Gajarski, R. Aiyagari, S. Yu, A. Abraham, J. Donohue and N. B. Blatt. Urinary biomarkers and renal near-infrared spectroscopy predict intensive care unit outcomes after cardiac surgery in infants younger than 6 months of age. Journal of Thoracic and Cardiovascular Surgery, 146(4), 861. [15660]</w:t>
            </w:r>
          </w:p>
        </w:tc>
      </w:tr>
      <w:tr w:rsidR="002F0133" w:rsidRPr="000B4E2C" w14:paraId="0C5AD9CC" w14:textId="77777777" w:rsidTr="000B4E2C">
        <w:trPr>
          <w:cantSplit/>
        </w:trPr>
        <w:tc>
          <w:tcPr>
            <w:tcW w:w="0" w:type="auto"/>
            <w:shd w:val="clear" w:color="auto" w:fill="auto"/>
            <w:noWrap/>
            <w:hideMark/>
          </w:tcPr>
          <w:p w14:paraId="06967FB5" w14:textId="77777777" w:rsidR="002F0133" w:rsidRPr="000B4E2C" w:rsidRDefault="002F0133" w:rsidP="008A7464">
            <w:pPr>
              <w:rPr>
                <w:lang w:eastAsia="en-GB"/>
              </w:rPr>
            </w:pPr>
            <w:r w:rsidRPr="000B4E2C">
              <w:rPr>
                <w:lang w:eastAsia="en-GB"/>
              </w:rPr>
              <w:t>Heise</w:t>
            </w:r>
          </w:p>
        </w:tc>
        <w:tc>
          <w:tcPr>
            <w:tcW w:w="0" w:type="auto"/>
            <w:shd w:val="clear" w:color="auto" w:fill="auto"/>
            <w:noWrap/>
            <w:hideMark/>
          </w:tcPr>
          <w:p w14:paraId="56ADE718"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6887613A" w14:textId="0408490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CA9E249" w14:textId="77777777" w:rsidR="002F0133" w:rsidRPr="000B4E2C" w:rsidRDefault="002F0133" w:rsidP="008A7464">
            <w:pPr>
              <w:rPr>
                <w:highlight w:val="green"/>
                <w:lang w:eastAsia="en-GB"/>
              </w:rPr>
            </w:pPr>
            <w:r w:rsidRPr="000B4E2C">
              <w:rPr>
                <w:highlight w:val="green"/>
                <w:lang w:eastAsia="en-GB"/>
              </w:rPr>
              <w:t>D. Heise, K. Rentsch, A. Braeuer, M. Friedrich and M. Quintel. Comparison of urinary neutrophil glucosaminidase-associated lipocalin, cystatin C, and alpha1-microglobulin for early detection of acute renal injury after cardiac surgery. European journal of cardio-thoracic surgery : official journal of the European Association for Cardio-thoracic Surgery, 39(1), 38-43. [15661]</w:t>
            </w:r>
          </w:p>
        </w:tc>
      </w:tr>
      <w:tr w:rsidR="002F0133" w:rsidRPr="000B4E2C" w14:paraId="3F6A145E" w14:textId="77777777" w:rsidTr="000B4E2C">
        <w:trPr>
          <w:cantSplit/>
        </w:trPr>
        <w:tc>
          <w:tcPr>
            <w:tcW w:w="0" w:type="auto"/>
            <w:shd w:val="clear" w:color="auto" w:fill="auto"/>
            <w:noWrap/>
            <w:hideMark/>
          </w:tcPr>
          <w:p w14:paraId="14622155" w14:textId="77777777" w:rsidR="002F0133" w:rsidRPr="000B4E2C" w:rsidRDefault="002F0133" w:rsidP="008A7464">
            <w:pPr>
              <w:rPr>
                <w:lang w:eastAsia="en-GB"/>
              </w:rPr>
            </w:pPr>
            <w:r w:rsidRPr="000B4E2C">
              <w:rPr>
                <w:lang w:eastAsia="en-GB"/>
              </w:rPr>
              <w:t>Heise</w:t>
            </w:r>
          </w:p>
        </w:tc>
        <w:tc>
          <w:tcPr>
            <w:tcW w:w="0" w:type="auto"/>
            <w:shd w:val="clear" w:color="auto" w:fill="auto"/>
            <w:noWrap/>
            <w:hideMark/>
          </w:tcPr>
          <w:p w14:paraId="13A57287"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4D2764CE" w14:textId="5731F52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B5322C7" w14:textId="77777777" w:rsidR="002F0133" w:rsidRPr="000B4E2C" w:rsidRDefault="002F0133" w:rsidP="008A7464">
            <w:pPr>
              <w:rPr>
                <w:highlight w:val="green"/>
                <w:lang w:eastAsia="en-GB"/>
              </w:rPr>
            </w:pPr>
            <w:r w:rsidRPr="000B4E2C">
              <w:rPr>
                <w:highlight w:val="green"/>
                <w:lang w:eastAsia="en-GB"/>
              </w:rPr>
              <w:t>D. Heise, K. Rentsch, A. Braeuer, M. Friedrich and M. Quintel. Comparison of urinary neutrophil glucosaminidase-associated lipocalin, cystatin C, and alpha1-microglobulin for early detection of acute renal injury after cardiac surgery. European Journal of Cardio-thoracic Surgery, 39(1), 38-43. [15662]</w:t>
            </w:r>
          </w:p>
        </w:tc>
      </w:tr>
      <w:tr w:rsidR="002F0133" w:rsidRPr="000B4E2C" w14:paraId="7EA9FA04" w14:textId="77777777" w:rsidTr="000B4E2C">
        <w:trPr>
          <w:cantSplit/>
        </w:trPr>
        <w:tc>
          <w:tcPr>
            <w:tcW w:w="0" w:type="auto"/>
            <w:shd w:val="clear" w:color="auto" w:fill="auto"/>
            <w:noWrap/>
            <w:hideMark/>
          </w:tcPr>
          <w:p w14:paraId="639C3F86" w14:textId="77777777" w:rsidR="002F0133" w:rsidRPr="000B4E2C" w:rsidRDefault="002F0133" w:rsidP="008A7464">
            <w:pPr>
              <w:rPr>
                <w:lang w:eastAsia="en-GB"/>
              </w:rPr>
            </w:pPr>
            <w:r w:rsidRPr="000B4E2C">
              <w:rPr>
                <w:lang w:eastAsia="en-GB"/>
              </w:rPr>
              <w:t>Helanova</w:t>
            </w:r>
          </w:p>
        </w:tc>
        <w:tc>
          <w:tcPr>
            <w:tcW w:w="0" w:type="auto"/>
            <w:shd w:val="clear" w:color="auto" w:fill="auto"/>
            <w:noWrap/>
            <w:hideMark/>
          </w:tcPr>
          <w:p w14:paraId="7C3DEEAA"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EF9DAAE"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024726D9" w14:textId="77777777" w:rsidR="002F0133" w:rsidRPr="000B4E2C" w:rsidRDefault="002F0133" w:rsidP="008A7464">
            <w:pPr>
              <w:rPr>
                <w:highlight w:val="green"/>
                <w:lang w:eastAsia="en-GB"/>
              </w:rPr>
            </w:pPr>
            <w:r w:rsidRPr="000B4E2C">
              <w:rPr>
                <w:highlight w:val="green"/>
                <w:lang w:eastAsia="en-GB"/>
              </w:rPr>
              <w:t>K. Helanova, S. Littnerova, P. Kubena, E. Ganovska, M. Pavlusova, L. Kubkova, J. Jarkovsky, M. P. Goldbergova, J. Lipkova, J. Gottwaldova, P. Kala, O. Toman, M. Dastych, J. Spinar and J. Parenica. Prognostic impact of neutrophil gelatinase-associated lipocalin and B-type natriuretic in patients with ST-elevation myocardial infarction treated by primary PCI: a prospective observational cohort study. Bmj Open, 5(10), e006872-e006872. [18456]</w:t>
            </w:r>
          </w:p>
        </w:tc>
      </w:tr>
      <w:tr w:rsidR="002F0133" w:rsidRPr="000B4E2C" w14:paraId="6C657202" w14:textId="77777777" w:rsidTr="000B4E2C">
        <w:trPr>
          <w:cantSplit/>
        </w:trPr>
        <w:tc>
          <w:tcPr>
            <w:tcW w:w="0" w:type="auto"/>
            <w:shd w:val="clear" w:color="auto" w:fill="auto"/>
            <w:noWrap/>
            <w:hideMark/>
          </w:tcPr>
          <w:p w14:paraId="59E96B95" w14:textId="77777777" w:rsidR="002F0133" w:rsidRPr="000B4E2C" w:rsidRDefault="002F0133" w:rsidP="008A7464">
            <w:pPr>
              <w:rPr>
                <w:lang w:eastAsia="en-GB"/>
              </w:rPr>
            </w:pPr>
            <w:r w:rsidRPr="000B4E2C">
              <w:rPr>
                <w:lang w:eastAsia="en-GB"/>
              </w:rPr>
              <w:t>Herbert</w:t>
            </w:r>
          </w:p>
        </w:tc>
        <w:tc>
          <w:tcPr>
            <w:tcW w:w="0" w:type="auto"/>
            <w:shd w:val="clear" w:color="auto" w:fill="auto"/>
            <w:noWrap/>
            <w:hideMark/>
          </w:tcPr>
          <w:p w14:paraId="6AD114E8"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721C0A0E"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38BAAC01" w14:textId="77777777" w:rsidR="002F0133" w:rsidRPr="000B4E2C" w:rsidRDefault="002F0133" w:rsidP="008A7464">
            <w:pPr>
              <w:rPr>
                <w:highlight w:val="green"/>
                <w:lang w:eastAsia="en-GB"/>
              </w:rPr>
            </w:pPr>
            <w:r w:rsidRPr="000B4E2C">
              <w:rPr>
                <w:highlight w:val="green"/>
                <w:lang w:eastAsia="en-GB"/>
              </w:rPr>
              <w:t>C. Herbert, M. Patel, A. Nugent, V. V. Dimas, K. J. Guleserian, R. Quigley and V. Modem. Serum Cystatin C as an Early Marker of Neutrophil Gelatinase-associated Lipocalin-positive Acute Kidney Injury Resulting from Cardiopulmonary Bypass in Infants with Congenital Heart Disease. Congenital Heart Disease, 10(4), E180-E188. [15667]</w:t>
            </w:r>
          </w:p>
        </w:tc>
      </w:tr>
      <w:tr w:rsidR="002F0133" w:rsidRPr="000B4E2C" w14:paraId="6E28F604" w14:textId="77777777" w:rsidTr="000B4E2C">
        <w:trPr>
          <w:cantSplit/>
        </w:trPr>
        <w:tc>
          <w:tcPr>
            <w:tcW w:w="0" w:type="auto"/>
            <w:shd w:val="clear" w:color="auto" w:fill="auto"/>
            <w:noWrap/>
            <w:hideMark/>
          </w:tcPr>
          <w:p w14:paraId="0AD3BA28" w14:textId="77777777" w:rsidR="002F0133" w:rsidRPr="000B4E2C" w:rsidRDefault="002F0133" w:rsidP="008A7464">
            <w:pPr>
              <w:rPr>
                <w:lang w:eastAsia="en-GB"/>
              </w:rPr>
            </w:pPr>
            <w:r w:rsidRPr="000B4E2C">
              <w:rPr>
                <w:lang w:eastAsia="en-GB"/>
              </w:rPr>
              <w:t>Heung</w:t>
            </w:r>
          </w:p>
        </w:tc>
        <w:tc>
          <w:tcPr>
            <w:tcW w:w="0" w:type="auto"/>
            <w:shd w:val="clear" w:color="auto" w:fill="auto"/>
            <w:noWrap/>
            <w:hideMark/>
          </w:tcPr>
          <w:p w14:paraId="779934B8"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4B886CC8" w14:textId="77777777" w:rsidR="002F0133" w:rsidRPr="000B4E2C" w:rsidRDefault="002F0133" w:rsidP="008A7464">
            <w:pPr>
              <w:rPr>
                <w:lang w:eastAsia="en-GB"/>
              </w:rPr>
            </w:pPr>
            <w:r w:rsidRPr="000B4E2C">
              <w:rPr>
                <w:lang w:eastAsia="en-GB"/>
              </w:rPr>
              <w:t>No relevant outcome. Subgroup analysis of already included study.</w:t>
            </w:r>
          </w:p>
        </w:tc>
        <w:tc>
          <w:tcPr>
            <w:tcW w:w="0" w:type="auto"/>
            <w:shd w:val="clear" w:color="auto" w:fill="auto"/>
            <w:noWrap/>
            <w:hideMark/>
          </w:tcPr>
          <w:p w14:paraId="4BC20AE6" w14:textId="77777777" w:rsidR="002F0133" w:rsidRPr="000B4E2C" w:rsidRDefault="002F0133" w:rsidP="008A7464">
            <w:pPr>
              <w:rPr>
                <w:highlight w:val="green"/>
                <w:lang w:eastAsia="en-GB"/>
              </w:rPr>
            </w:pPr>
            <w:r w:rsidRPr="000B4E2C">
              <w:rPr>
                <w:highlight w:val="green"/>
                <w:lang w:eastAsia="en-GB"/>
              </w:rPr>
              <w:t>M. Heung, L. M. Ortega, L. S. Chawla, R. G. Wunderink, W. H. Self, J. L. Koyner, J. Shi and J. A. Kellum. Common chronic conditions do not affect performance of cell cycle arrest biomarkers for risk stratification of acute kidney injury. Nephrology Dialysis Transplantation, 31(10), 1633-1640. [15671]</w:t>
            </w:r>
          </w:p>
        </w:tc>
      </w:tr>
      <w:tr w:rsidR="002F0133" w:rsidRPr="000B4E2C" w14:paraId="68F0EB6F" w14:textId="77777777" w:rsidTr="000B4E2C">
        <w:trPr>
          <w:cantSplit/>
        </w:trPr>
        <w:tc>
          <w:tcPr>
            <w:tcW w:w="0" w:type="auto"/>
            <w:shd w:val="clear" w:color="auto" w:fill="auto"/>
            <w:noWrap/>
            <w:hideMark/>
          </w:tcPr>
          <w:p w14:paraId="3472D6D6" w14:textId="77777777" w:rsidR="002F0133" w:rsidRPr="000B4E2C" w:rsidRDefault="002F0133" w:rsidP="008A7464">
            <w:pPr>
              <w:rPr>
                <w:lang w:eastAsia="en-GB"/>
              </w:rPr>
            </w:pPr>
            <w:r w:rsidRPr="000B4E2C">
              <w:rPr>
                <w:lang w:eastAsia="en-GB"/>
              </w:rPr>
              <w:t>Heydari</w:t>
            </w:r>
          </w:p>
        </w:tc>
        <w:tc>
          <w:tcPr>
            <w:tcW w:w="0" w:type="auto"/>
            <w:shd w:val="clear" w:color="auto" w:fill="auto"/>
            <w:noWrap/>
            <w:hideMark/>
          </w:tcPr>
          <w:p w14:paraId="34A8B26C"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6D1BB8A" w14:textId="453039A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71482F5" w14:textId="77777777" w:rsidR="002F0133" w:rsidRPr="000B4E2C" w:rsidRDefault="002F0133" w:rsidP="008A7464">
            <w:pPr>
              <w:rPr>
                <w:highlight w:val="green"/>
                <w:lang w:eastAsia="en-GB"/>
              </w:rPr>
            </w:pPr>
            <w:r w:rsidRPr="000B4E2C">
              <w:rPr>
                <w:highlight w:val="green"/>
                <w:lang w:eastAsia="en-GB"/>
              </w:rPr>
              <w:t>B. Heydari, H. Khalili, M. T. Beigmohammadi, A. Abdollahi and I. Karimzadeh. Effects of atorvastatin on biomarkers of acute kidney injury in amikacin recipients: A pilot, randomized, placebo-controlled, clinical trial. Journal of Research in Medical Sciences, 22(1), 39. [15672]</w:t>
            </w:r>
          </w:p>
        </w:tc>
      </w:tr>
      <w:tr w:rsidR="002F0133" w:rsidRPr="000B4E2C" w14:paraId="7FA371A9" w14:textId="77777777" w:rsidTr="000B4E2C">
        <w:trPr>
          <w:cantSplit/>
        </w:trPr>
        <w:tc>
          <w:tcPr>
            <w:tcW w:w="0" w:type="auto"/>
            <w:shd w:val="clear" w:color="auto" w:fill="auto"/>
            <w:noWrap/>
            <w:hideMark/>
          </w:tcPr>
          <w:p w14:paraId="7D84FA08" w14:textId="77777777" w:rsidR="002F0133" w:rsidRPr="000B4E2C" w:rsidRDefault="002F0133" w:rsidP="008A7464">
            <w:pPr>
              <w:rPr>
                <w:lang w:eastAsia="en-GB"/>
              </w:rPr>
            </w:pPr>
            <w:r w:rsidRPr="000B4E2C">
              <w:rPr>
                <w:lang w:eastAsia="en-GB"/>
              </w:rPr>
              <w:lastRenderedPageBreak/>
              <w:t>Hinck</w:t>
            </w:r>
          </w:p>
        </w:tc>
        <w:tc>
          <w:tcPr>
            <w:tcW w:w="0" w:type="auto"/>
            <w:shd w:val="clear" w:color="auto" w:fill="auto"/>
            <w:noWrap/>
            <w:hideMark/>
          </w:tcPr>
          <w:p w14:paraId="7178F6A5"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489B0DF4" w14:textId="46674E4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F7326C6" w14:textId="77777777" w:rsidR="002F0133" w:rsidRPr="000B4E2C" w:rsidRDefault="002F0133" w:rsidP="008A7464">
            <w:pPr>
              <w:rPr>
                <w:highlight w:val="green"/>
                <w:lang w:eastAsia="en-GB"/>
              </w:rPr>
            </w:pPr>
            <w:r w:rsidRPr="000B4E2C">
              <w:rPr>
                <w:highlight w:val="green"/>
                <w:lang w:eastAsia="en-GB"/>
              </w:rPr>
              <w:t>B. D. Hinck, R. Miyaoka, J. E. Lingeman, D. G. Assimos, B. R. Matlaga, R. Pramanik, J. Asplin, B. Cohen and M. Monga. Urine kidney injury markers do not increase following gastric bypass: a multi-center cross-sectional study. The Canadian journal of urology, 25(1), 9199-9204. [15674]</w:t>
            </w:r>
          </w:p>
        </w:tc>
      </w:tr>
      <w:tr w:rsidR="002F0133" w:rsidRPr="000B4E2C" w14:paraId="55EB74FE" w14:textId="77777777" w:rsidTr="000B4E2C">
        <w:trPr>
          <w:cantSplit/>
        </w:trPr>
        <w:tc>
          <w:tcPr>
            <w:tcW w:w="0" w:type="auto"/>
            <w:shd w:val="clear" w:color="auto" w:fill="auto"/>
            <w:noWrap/>
            <w:hideMark/>
          </w:tcPr>
          <w:p w14:paraId="3C4C6ACA" w14:textId="77777777" w:rsidR="002F0133" w:rsidRPr="000B4E2C" w:rsidRDefault="002F0133" w:rsidP="008A7464">
            <w:pPr>
              <w:rPr>
                <w:lang w:eastAsia="en-GB"/>
              </w:rPr>
            </w:pPr>
            <w:r w:rsidRPr="000B4E2C">
              <w:rPr>
                <w:lang w:eastAsia="en-GB"/>
              </w:rPr>
              <w:t>Hirsch</w:t>
            </w:r>
          </w:p>
        </w:tc>
        <w:tc>
          <w:tcPr>
            <w:tcW w:w="0" w:type="auto"/>
            <w:shd w:val="clear" w:color="auto" w:fill="auto"/>
            <w:noWrap/>
            <w:hideMark/>
          </w:tcPr>
          <w:p w14:paraId="5AA98DBD"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35AF7B01"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280EAC0F" w14:textId="77777777" w:rsidR="002F0133" w:rsidRPr="000B4E2C" w:rsidRDefault="002F0133" w:rsidP="008A7464">
            <w:pPr>
              <w:rPr>
                <w:highlight w:val="green"/>
                <w:lang w:eastAsia="en-GB"/>
              </w:rPr>
            </w:pPr>
            <w:r w:rsidRPr="000B4E2C">
              <w:rPr>
                <w:highlight w:val="green"/>
                <w:lang w:eastAsia="en-GB"/>
              </w:rPr>
              <w:t>R. Hirsch, C. Dent, H. Pfriem, J. Allen, R. H. Beekman, 3rd, Q. Ma, S. Dastrala, M. Bennett, M. Mitsnefes and P. Devarajan. NGAL is an early predictive biomarker of contrast-induced nephropathy in children. Pediatric Nephrology, 22(12), 2089-95. [4009]</w:t>
            </w:r>
          </w:p>
        </w:tc>
      </w:tr>
      <w:tr w:rsidR="002F0133" w:rsidRPr="000B4E2C" w14:paraId="4838DDD6" w14:textId="77777777" w:rsidTr="000B4E2C">
        <w:trPr>
          <w:cantSplit/>
        </w:trPr>
        <w:tc>
          <w:tcPr>
            <w:tcW w:w="0" w:type="auto"/>
            <w:shd w:val="clear" w:color="auto" w:fill="auto"/>
            <w:noWrap/>
            <w:hideMark/>
          </w:tcPr>
          <w:p w14:paraId="44F4214B" w14:textId="77777777" w:rsidR="002F0133" w:rsidRPr="000B4E2C" w:rsidRDefault="002F0133" w:rsidP="008A7464">
            <w:pPr>
              <w:rPr>
                <w:lang w:eastAsia="en-GB"/>
              </w:rPr>
            </w:pPr>
            <w:r w:rsidRPr="000B4E2C">
              <w:rPr>
                <w:lang w:eastAsia="en-GB"/>
              </w:rPr>
              <w:t>Hjortrup</w:t>
            </w:r>
          </w:p>
        </w:tc>
        <w:tc>
          <w:tcPr>
            <w:tcW w:w="0" w:type="auto"/>
            <w:shd w:val="clear" w:color="auto" w:fill="auto"/>
            <w:noWrap/>
            <w:hideMark/>
          </w:tcPr>
          <w:p w14:paraId="64AE1F19"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06EBEEA8" w14:textId="20F58FB6" w:rsidR="002F0133" w:rsidRPr="000B4E2C" w:rsidRDefault="002F0133" w:rsidP="008A7464">
            <w:pPr>
              <w:rPr>
                <w:lang w:eastAsia="en-GB"/>
              </w:rPr>
            </w:pPr>
            <w:r w:rsidRPr="000B4E2C">
              <w:rPr>
                <w:lang w:eastAsia="en-GB"/>
              </w:rPr>
              <w:t>Systematic review</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242F5E14" w14:textId="77777777" w:rsidR="002F0133" w:rsidRPr="000B4E2C" w:rsidRDefault="002F0133" w:rsidP="008A7464">
            <w:pPr>
              <w:rPr>
                <w:highlight w:val="green"/>
                <w:lang w:eastAsia="en-GB"/>
              </w:rPr>
            </w:pPr>
            <w:r w:rsidRPr="000B4E2C">
              <w:rPr>
                <w:highlight w:val="green"/>
                <w:lang w:val="da-DK" w:eastAsia="en-GB"/>
              </w:rPr>
              <w:t xml:space="preserve">P. B. Hjortrup, N. Haase, M. Wetterslev and A. Perner. </w:t>
            </w:r>
            <w:r w:rsidRPr="000B4E2C">
              <w:rPr>
                <w:highlight w:val="green"/>
                <w:lang w:eastAsia="en-GB"/>
              </w:rPr>
              <w:t>Clinical review: Predictive value of neutrophil gelatinase-associated lipocalin for acute kidney injury in intensive care patients. Critical Care, 17(2), 211. [15677]</w:t>
            </w:r>
          </w:p>
        </w:tc>
      </w:tr>
      <w:tr w:rsidR="002F0133" w:rsidRPr="000B4E2C" w14:paraId="4375EA8B" w14:textId="77777777" w:rsidTr="000B4E2C">
        <w:trPr>
          <w:cantSplit/>
        </w:trPr>
        <w:tc>
          <w:tcPr>
            <w:tcW w:w="0" w:type="auto"/>
            <w:shd w:val="clear" w:color="auto" w:fill="auto"/>
            <w:noWrap/>
            <w:hideMark/>
          </w:tcPr>
          <w:p w14:paraId="48A339E7" w14:textId="77777777" w:rsidR="002F0133" w:rsidRPr="000B4E2C" w:rsidRDefault="002F0133" w:rsidP="008A7464">
            <w:pPr>
              <w:rPr>
                <w:lang w:eastAsia="en-GB"/>
              </w:rPr>
            </w:pPr>
            <w:r w:rsidRPr="000B4E2C">
              <w:rPr>
                <w:lang w:eastAsia="en-GB"/>
              </w:rPr>
              <w:t>Ho</w:t>
            </w:r>
          </w:p>
        </w:tc>
        <w:tc>
          <w:tcPr>
            <w:tcW w:w="0" w:type="auto"/>
            <w:shd w:val="clear" w:color="auto" w:fill="auto"/>
            <w:noWrap/>
            <w:hideMark/>
          </w:tcPr>
          <w:p w14:paraId="38F1209F"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157D351A" w14:textId="27B85CC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F6AE8E7" w14:textId="77777777" w:rsidR="002F0133" w:rsidRPr="000B4E2C" w:rsidRDefault="002F0133" w:rsidP="008A7464">
            <w:pPr>
              <w:rPr>
                <w:highlight w:val="green"/>
                <w:lang w:eastAsia="en-GB"/>
              </w:rPr>
            </w:pPr>
            <w:r w:rsidRPr="000B4E2C">
              <w:rPr>
                <w:highlight w:val="green"/>
                <w:lang w:eastAsia="en-GB"/>
              </w:rPr>
              <w:t>J. Ho, M. Lucy, O. Krokhin, K. Hayglass, E. Pascoe, G. Darroch, D. Rush, P. Nickerson, C. Rigatto and M. Reslerova. Mass Spectrometry-Based Proteomic Analysis of Urine in Acute Kidney Injury Following Cardiopulmonary Bypass: A Nested Case-Control Study. American Journal of Kidney Diseases, 53(4), 584-595. [15683]</w:t>
            </w:r>
          </w:p>
        </w:tc>
      </w:tr>
      <w:tr w:rsidR="002F0133" w:rsidRPr="000B4E2C" w14:paraId="6B65DDEC" w14:textId="77777777" w:rsidTr="000B4E2C">
        <w:trPr>
          <w:cantSplit/>
        </w:trPr>
        <w:tc>
          <w:tcPr>
            <w:tcW w:w="0" w:type="auto"/>
            <w:shd w:val="clear" w:color="auto" w:fill="auto"/>
            <w:noWrap/>
            <w:hideMark/>
          </w:tcPr>
          <w:p w14:paraId="1DB39D75" w14:textId="77777777" w:rsidR="002F0133" w:rsidRPr="000B4E2C" w:rsidRDefault="002F0133" w:rsidP="008A7464">
            <w:pPr>
              <w:rPr>
                <w:lang w:eastAsia="en-GB"/>
              </w:rPr>
            </w:pPr>
            <w:r w:rsidRPr="000B4E2C">
              <w:rPr>
                <w:lang w:eastAsia="en-GB"/>
              </w:rPr>
              <w:t>Ho</w:t>
            </w:r>
          </w:p>
        </w:tc>
        <w:tc>
          <w:tcPr>
            <w:tcW w:w="0" w:type="auto"/>
            <w:shd w:val="clear" w:color="auto" w:fill="auto"/>
            <w:noWrap/>
            <w:hideMark/>
          </w:tcPr>
          <w:p w14:paraId="0EAC4582"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1F341F4" w14:textId="4815A5D1"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6C35EA2E" w14:textId="65BB3937" w:rsidR="002F0133" w:rsidRPr="000B4E2C" w:rsidRDefault="002F0133" w:rsidP="008A7464">
            <w:pPr>
              <w:rPr>
                <w:highlight w:val="green"/>
                <w:lang w:eastAsia="en-GB"/>
              </w:rPr>
            </w:pPr>
            <w:r w:rsidRPr="000B4E2C">
              <w:rPr>
                <w:highlight w:val="green"/>
                <w:lang w:eastAsia="en-GB"/>
              </w:rPr>
              <w:t>J. Ho, N. Tangri, P. Komenda, A. Kaushal, M. Sood, R. Brar, K. Gill, S. Walker, K. Macdonald, B. M. Hiebert, R. C. Arora and C. Rigatto. Urinary, plasma, and serum biomarkers</w:t>
            </w:r>
            <w:r w:rsidR="0072128A" w:rsidRPr="000B4E2C">
              <w:rPr>
                <w:color w:val="00B0F0"/>
                <w:highlight w:val="green"/>
                <w:lang w:eastAsia="en-GB"/>
              </w:rPr>
              <w:t>’</w:t>
            </w:r>
            <w:r w:rsidRPr="000B4E2C">
              <w:rPr>
                <w:highlight w:val="green"/>
                <w:lang w:eastAsia="en-GB"/>
              </w:rPr>
              <w:t xml:space="preserve"> utility for predicting acute kidney injury associated with cardiac surgery in adults: A meta-analysis. American Journal of Kidney Diseases, 66(6), 993-1005. [15679]</w:t>
            </w:r>
          </w:p>
        </w:tc>
      </w:tr>
      <w:tr w:rsidR="002F0133" w:rsidRPr="000B4E2C" w14:paraId="0391CD5A" w14:textId="77777777" w:rsidTr="000B4E2C">
        <w:trPr>
          <w:cantSplit/>
        </w:trPr>
        <w:tc>
          <w:tcPr>
            <w:tcW w:w="0" w:type="auto"/>
            <w:shd w:val="clear" w:color="auto" w:fill="auto"/>
            <w:noWrap/>
            <w:hideMark/>
          </w:tcPr>
          <w:p w14:paraId="3DFF9734" w14:textId="77777777" w:rsidR="002F0133" w:rsidRPr="000B4E2C" w:rsidRDefault="002F0133" w:rsidP="008A7464">
            <w:pPr>
              <w:rPr>
                <w:lang w:eastAsia="en-GB"/>
              </w:rPr>
            </w:pPr>
            <w:r w:rsidRPr="000B4E2C">
              <w:rPr>
                <w:lang w:eastAsia="en-GB"/>
              </w:rPr>
              <w:t>Hodgson</w:t>
            </w:r>
          </w:p>
        </w:tc>
        <w:tc>
          <w:tcPr>
            <w:tcW w:w="0" w:type="auto"/>
            <w:shd w:val="clear" w:color="auto" w:fill="auto"/>
            <w:noWrap/>
            <w:hideMark/>
          </w:tcPr>
          <w:p w14:paraId="11587219"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091DD225" w14:textId="1DCED55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8139D99" w14:textId="77777777" w:rsidR="002F0133" w:rsidRPr="000B4E2C" w:rsidRDefault="002F0133" w:rsidP="008A7464">
            <w:pPr>
              <w:rPr>
                <w:highlight w:val="green"/>
                <w:lang w:eastAsia="en-GB"/>
              </w:rPr>
            </w:pPr>
            <w:r w:rsidRPr="000B4E2C">
              <w:rPr>
                <w:highlight w:val="green"/>
                <w:lang w:eastAsia="en-GB"/>
              </w:rPr>
              <w:t>L. E. Hodgson, R. M. Venn, S. Short, P. J. Roderick, D. Hargreaves, N. Selby and L. G. Forni. Improving clinical prediction rules in acute kidney injury with the use of biomarkers of cell cycle arrest: a pilot study. Biomarkers, 24(1), 23-28. [15685]</w:t>
            </w:r>
          </w:p>
        </w:tc>
      </w:tr>
      <w:tr w:rsidR="002F0133" w:rsidRPr="000B4E2C" w14:paraId="3D7081D3" w14:textId="77777777" w:rsidTr="000B4E2C">
        <w:trPr>
          <w:cantSplit/>
        </w:trPr>
        <w:tc>
          <w:tcPr>
            <w:tcW w:w="0" w:type="auto"/>
            <w:shd w:val="clear" w:color="auto" w:fill="auto"/>
            <w:noWrap/>
            <w:hideMark/>
          </w:tcPr>
          <w:p w14:paraId="0B7FB636" w14:textId="77777777" w:rsidR="002F0133" w:rsidRPr="000B4E2C" w:rsidRDefault="002F0133" w:rsidP="008A7464">
            <w:pPr>
              <w:rPr>
                <w:lang w:eastAsia="en-GB"/>
              </w:rPr>
            </w:pPr>
            <w:r w:rsidRPr="000B4E2C">
              <w:rPr>
                <w:lang w:eastAsia="en-GB"/>
              </w:rPr>
              <w:t>Hoffman</w:t>
            </w:r>
          </w:p>
        </w:tc>
        <w:tc>
          <w:tcPr>
            <w:tcW w:w="0" w:type="auto"/>
            <w:shd w:val="clear" w:color="auto" w:fill="auto"/>
            <w:noWrap/>
            <w:hideMark/>
          </w:tcPr>
          <w:p w14:paraId="3D7DF827"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24A5D566" w14:textId="44AD0B6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8F86CBF" w14:textId="77777777" w:rsidR="002F0133" w:rsidRPr="000B4E2C" w:rsidRDefault="002F0133" w:rsidP="008A7464">
            <w:pPr>
              <w:rPr>
                <w:highlight w:val="green"/>
                <w:lang w:eastAsia="en-GB"/>
              </w:rPr>
            </w:pPr>
            <w:r w:rsidRPr="000B4E2C">
              <w:rPr>
                <w:highlight w:val="green"/>
                <w:lang w:eastAsia="en-GB"/>
              </w:rPr>
              <w:t>S. B. Hoffman, A. N. Massaro, A. A. Soler-Garcia, S. Perazzo and P. E. Ray. A novel urinary biomarker profile to identify acute kidney injury (AKI) in critically ill neonates: A pilot study. Pediatric Nephrology, 28(11), 2179-2188. [15686]</w:t>
            </w:r>
          </w:p>
        </w:tc>
      </w:tr>
      <w:tr w:rsidR="002F0133" w:rsidRPr="000B4E2C" w14:paraId="692F09E1" w14:textId="77777777" w:rsidTr="000B4E2C">
        <w:trPr>
          <w:cantSplit/>
        </w:trPr>
        <w:tc>
          <w:tcPr>
            <w:tcW w:w="0" w:type="auto"/>
            <w:shd w:val="clear" w:color="auto" w:fill="auto"/>
            <w:noWrap/>
            <w:hideMark/>
          </w:tcPr>
          <w:p w14:paraId="20315C76" w14:textId="77777777" w:rsidR="002F0133" w:rsidRPr="000B4E2C" w:rsidRDefault="002F0133" w:rsidP="008A7464">
            <w:pPr>
              <w:rPr>
                <w:lang w:eastAsia="en-GB"/>
              </w:rPr>
            </w:pPr>
            <w:r w:rsidRPr="000B4E2C">
              <w:rPr>
                <w:lang w:eastAsia="en-GB"/>
              </w:rPr>
              <w:t>Holderied</w:t>
            </w:r>
          </w:p>
        </w:tc>
        <w:tc>
          <w:tcPr>
            <w:tcW w:w="0" w:type="auto"/>
            <w:shd w:val="clear" w:color="auto" w:fill="auto"/>
            <w:noWrap/>
            <w:hideMark/>
          </w:tcPr>
          <w:p w14:paraId="20B4E86C"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57452AA2"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38179EC" w14:textId="674572CF" w:rsidR="002F0133" w:rsidRPr="000B4E2C" w:rsidRDefault="002F0133" w:rsidP="008A7464">
            <w:pPr>
              <w:rPr>
                <w:highlight w:val="green"/>
                <w:lang w:eastAsia="en-GB"/>
              </w:rPr>
            </w:pPr>
            <w:r w:rsidRPr="000B4E2C">
              <w:rPr>
                <w:highlight w:val="green"/>
                <w:lang w:eastAsia="en-GB"/>
              </w:rPr>
              <w:t xml:space="preserve">A. Holderied. IGFBP7/TIMP-2 based prevention of acute kidney injury: Does </w:t>
            </w:r>
            <w:r w:rsidR="0072128A" w:rsidRPr="000B4E2C">
              <w:rPr>
                <w:color w:val="00B0F0"/>
                <w:highlight w:val="green"/>
                <w:lang w:eastAsia="en-GB"/>
              </w:rPr>
              <w:t>“</w:t>
            </w:r>
            <w:r w:rsidR="0072128A" w:rsidRPr="000B4E2C">
              <w:rPr>
                <w:highlight w:val="green"/>
                <w:lang w:eastAsia="en-GB"/>
              </w:rPr>
              <w:t>time is nephron</w:t>
            </w:r>
            <w:r w:rsidR="0072128A" w:rsidRPr="000B4E2C">
              <w:rPr>
                <w:color w:val="00B0F0"/>
                <w:highlight w:val="green"/>
                <w:lang w:eastAsia="en-GB"/>
              </w:rPr>
              <w:t>”</w:t>
            </w:r>
            <w:r w:rsidRPr="000B4E2C">
              <w:rPr>
                <w:highlight w:val="green"/>
                <w:lang w:eastAsia="en-GB"/>
              </w:rPr>
              <w:t xml:space="preserve"> apply in AKI?. Nephrologe, 13(3), 192-194. [15687]</w:t>
            </w:r>
          </w:p>
        </w:tc>
      </w:tr>
      <w:tr w:rsidR="002F0133" w:rsidRPr="000B4E2C" w14:paraId="10BE0B49" w14:textId="77777777" w:rsidTr="000B4E2C">
        <w:trPr>
          <w:cantSplit/>
        </w:trPr>
        <w:tc>
          <w:tcPr>
            <w:tcW w:w="0" w:type="auto"/>
            <w:shd w:val="clear" w:color="auto" w:fill="auto"/>
            <w:noWrap/>
            <w:hideMark/>
          </w:tcPr>
          <w:p w14:paraId="4C9AF0F4" w14:textId="77777777" w:rsidR="002F0133" w:rsidRPr="000B4E2C" w:rsidRDefault="002F0133" w:rsidP="008A7464">
            <w:pPr>
              <w:rPr>
                <w:lang w:eastAsia="en-GB"/>
              </w:rPr>
            </w:pPr>
            <w:r w:rsidRPr="000B4E2C">
              <w:rPr>
                <w:lang w:eastAsia="en-GB"/>
              </w:rPr>
              <w:t>Hollmen</w:t>
            </w:r>
          </w:p>
        </w:tc>
        <w:tc>
          <w:tcPr>
            <w:tcW w:w="0" w:type="auto"/>
            <w:shd w:val="clear" w:color="auto" w:fill="auto"/>
            <w:noWrap/>
            <w:hideMark/>
          </w:tcPr>
          <w:p w14:paraId="6F1A8FEA"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690FE497"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21C153F1" w14:textId="77777777" w:rsidR="002F0133" w:rsidRPr="000B4E2C" w:rsidRDefault="002F0133" w:rsidP="008A7464">
            <w:pPr>
              <w:rPr>
                <w:highlight w:val="green"/>
                <w:lang w:eastAsia="en-GB"/>
              </w:rPr>
            </w:pPr>
            <w:r w:rsidRPr="000B4E2C">
              <w:rPr>
                <w:highlight w:val="green"/>
                <w:lang w:eastAsia="en-GB"/>
              </w:rPr>
              <w:t>M. Hollmen. Diagnostic test for early detection of acute kidney injury. Expert Review of Molecular Diagnostics, 11(6), 553-555. [15688]</w:t>
            </w:r>
          </w:p>
        </w:tc>
      </w:tr>
      <w:tr w:rsidR="002F0133" w:rsidRPr="000B4E2C" w14:paraId="69CAE270" w14:textId="77777777" w:rsidTr="000B4E2C">
        <w:trPr>
          <w:cantSplit/>
        </w:trPr>
        <w:tc>
          <w:tcPr>
            <w:tcW w:w="0" w:type="auto"/>
            <w:shd w:val="clear" w:color="auto" w:fill="auto"/>
            <w:noWrap/>
            <w:hideMark/>
          </w:tcPr>
          <w:p w14:paraId="65C3B4FA" w14:textId="77777777" w:rsidR="002F0133" w:rsidRPr="000B4E2C" w:rsidRDefault="002F0133" w:rsidP="008A7464">
            <w:pPr>
              <w:rPr>
                <w:lang w:eastAsia="en-GB"/>
              </w:rPr>
            </w:pPr>
            <w:r w:rsidRPr="000B4E2C">
              <w:rPr>
                <w:lang w:eastAsia="en-GB"/>
              </w:rPr>
              <w:t>Holzscheiter</w:t>
            </w:r>
          </w:p>
        </w:tc>
        <w:tc>
          <w:tcPr>
            <w:tcW w:w="0" w:type="auto"/>
            <w:shd w:val="clear" w:color="auto" w:fill="auto"/>
            <w:noWrap/>
            <w:hideMark/>
          </w:tcPr>
          <w:p w14:paraId="2002C346"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250A0FDA"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0E0ED33F" w14:textId="77777777" w:rsidR="002F0133" w:rsidRPr="000B4E2C" w:rsidRDefault="002F0133" w:rsidP="008A7464">
            <w:pPr>
              <w:rPr>
                <w:highlight w:val="green"/>
                <w:lang w:eastAsia="en-GB"/>
              </w:rPr>
            </w:pPr>
            <w:r w:rsidRPr="000B4E2C">
              <w:rPr>
                <w:highlight w:val="green"/>
                <w:lang w:eastAsia="en-GB"/>
              </w:rPr>
              <w:t>L. Holzscheiter, C. Beck, S. Rutz, E. Manuilova, I. Domke, W. G. Guder and W. Hofmann. NGAL, L-FABP, and KIM-1 in comparison to established markers of renal dysfunction. Clinical Chemistry and Laboratory Medicine, 52(4), 537-546. [18461]</w:t>
            </w:r>
          </w:p>
        </w:tc>
      </w:tr>
      <w:tr w:rsidR="002F0133" w:rsidRPr="000B4E2C" w14:paraId="2CB1054A" w14:textId="77777777" w:rsidTr="000B4E2C">
        <w:trPr>
          <w:cantSplit/>
        </w:trPr>
        <w:tc>
          <w:tcPr>
            <w:tcW w:w="0" w:type="auto"/>
            <w:shd w:val="clear" w:color="auto" w:fill="auto"/>
            <w:noWrap/>
            <w:hideMark/>
          </w:tcPr>
          <w:p w14:paraId="275DD8A0" w14:textId="77777777" w:rsidR="002F0133" w:rsidRPr="000B4E2C" w:rsidRDefault="002F0133" w:rsidP="008A7464">
            <w:pPr>
              <w:rPr>
                <w:lang w:eastAsia="en-GB"/>
              </w:rPr>
            </w:pPr>
            <w:r w:rsidRPr="000B4E2C">
              <w:rPr>
                <w:lang w:eastAsia="en-GB"/>
              </w:rPr>
              <w:t>Hong</w:t>
            </w:r>
          </w:p>
        </w:tc>
        <w:tc>
          <w:tcPr>
            <w:tcW w:w="0" w:type="auto"/>
            <w:shd w:val="clear" w:color="auto" w:fill="auto"/>
            <w:noWrap/>
            <w:hideMark/>
          </w:tcPr>
          <w:p w14:paraId="564C4837"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477B5ADE" w14:textId="2892ECE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259DE46" w14:textId="77777777" w:rsidR="002F0133" w:rsidRPr="000B4E2C" w:rsidRDefault="002F0133" w:rsidP="008A7464">
            <w:pPr>
              <w:rPr>
                <w:highlight w:val="green"/>
                <w:lang w:eastAsia="en-GB"/>
              </w:rPr>
            </w:pPr>
            <w:r w:rsidRPr="000B4E2C">
              <w:rPr>
                <w:highlight w:val="green"/>
                <w:lang w:eastAsia="en-GB"/>
              </w:rPr>
              <w:t>D. Y. Hong, J. H. Lee, S. O. Park, K. J. Baek and K. R. Lee. Plasma neutrophil gelatinase-associated lipocalin as early biomarker for acute kidney injury in burn patients. Journal of Burn Care and Research, 34(6), e326-e332. [15694]</w:t>
            </w:r>
          </w:p>
        </w:tc>
      </w:tr>
      <w:tr w:rsidR="002F0133" w:rsidRPr="000B4E2C" w14:paraId="23DBF0BF" w14:textId="77777777" w:rsidTr="000B4E2C">
        <w:trPr>
          <w:cantSplit/>
        </w:trPr>
        <w:tc>
          <w:tcPr>
            <w:tcW w:w="0" w:type="auto"/>
            <w:shd w:val="clear" w:color="auto" w:fill="auto"/>
            <w:noWrap/>
            <w:hideMark/>
          </w:tcPr>
          <w:p w14:paraId="1E24A3E7" w14:textId="77777777" w:rsidR="002F0133" w:rsidRPr="000B4E2C" w:rsidRDefault="002F0133" w:rsidP="008A7464">
            <w:pPr>
              <w:rPr>
                <w:lang w:eastAsia="en-GB"/>
              </w:rPr>
            </w:pPr>
            <w:r w:rsidRPr="000B4E2C">
              <w:rPr>
                <w:lang w:eastAsia="en-GB"/>
              </w:rPr>
              <w:t>Honore</w:t>
            </w:r>
          </w:p>
        </w:tc>
        <w:tc>
          <w:tcPr>
            <w:tcW w:w="0" w:type="auto"/>
            <w:shd w:val="clear" w:color="auto" w:fill="auto"/>
            <w:noWrap/>
            <w:hideMark/>
          </w:tcPr>
          <w:p w14:paraId="7EB09B59"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8449BA5" w14:textId="77777777" w:rsidR="002F0133" w:rsidRPr="000B4E2C" w:rsidRDefault="002F0133" w:rsidP="008A7464">
            <w:pPr>
              <w:rPr>
                <w:lang w:eastAsia="en-GB"/>
              </w:rPr>
            </w:pPr>
            <w:r w:rsidRPr="000B4E2C">
              <w:rPr>
                <w:lang w:eastAsia="en-GB"/>
              </w:rPr>
              <w:t>No relevant outcome. Subgroup analysis of already included study.</w:t>
            </w:r>
          </w:p>
        </w:tc>
        <w:tc>
          <w:tcPr>
            <w:tcW w:w="0" w:type="auto"/>
            <w:shd w:val="clear" w:color="auto" w:fill="auto"/>
            <w:noWrap/>
            <w:hideMark/>
          </w:tcPr>
          <w:p w14:paraId="5B13DB96" w14:textId="77777777" w:rsidR="002F0133" w:rsidRPr="000B4E2C" w:rsidRDefault="002F0133" w:rsidP="008A7464">
            <w:pPr>
              <w:rPr>
                <w:highlight w:val="green"/>
                <w:lang w:eastAsia="en-GB"/>
              </w:rPr>
            </w:pPr>
            <w:r w:rsidRPr="000B4E2C">
              <w:rPr>
                <w:highlight w:val="green"/>
                <w:lang w:eastAsia="en-GB"/>
              </w:rPr>
              <w:t>P. M. Honore, H. B. Nguyen, M. Gong, L. S. Chawla, S. M. Bagshaw, A. Artigas, J. Shi, O. Joannes-Boyau, J. L. Vincent and J. A. Kellum. Urinary Tissue Inhibitor of Metalloproteinase-2 and Insulin-Like Growth Factor-Binding Protein 7 for Risk Stratification of Acute Kidney Injury in Patients with Sepsis. Critical Care Medicine, 44(10), 1851-1860. [15695]</w:t>
            </w:r>
          </w:p>
        </w:tc>
      </w:tr>
      <w:tr w:rsidR="002F0133" w:rsidRPr="000B4E2C" w14:paraId="43269F19" w14:textId="77777777" w:rsidTr="000B4E2C">
        <w:trPr>
          <w:cantSplit/>
        </w:trPr>
        <w:tc>
          <w:tcPr>
            <w:tcW w:w="0" w:type="auto"/>
            <w:shd w:val="clear" w:color="auto" w:fill="auto"/>
            <w:noWrap/>
            <w:hideMark/>
          </w:tcPr>
          <w:p w14:paraId="47AF8E67" w14:textId="77777777" w:rsidR="002F0133" w:rsidRPr="000B4E2C" w:rsidRDefault="002F0133" w:rsidP="008A7464">
            <w:pPr>
              <w:rPr>
                <w:lang w:eastAsia="en-GB"/>
              </w:rPr>
            </w:pPr>
            <w:r w:rsidRPr="000B4E2C">
              <w:rPr>
                <w:lang w:eastAsia="en-GB"/>
              </w:rPr>
              <w:lastRenderedPageBreak/>
              <w:t>Honore</w:t>
            </w:r>
          </w:p>
        </w:tc>
        <w:tc>
          <w:tcPr>
            <w:tcW w:w="0" w:type="auto"/>
            <w:shd w:val="clear" w:color="auto" w:fill="auto"/>
            <w:noWrap/>
            <w:hideMark/>
          </w:tcPr>
          <w:p w14:paraId="34F6D60B"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C7E288D"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0EE6B125" w14:textId="77777777" w:rsidR="002F0133" w:rsidRPr="000B4E2C" w:rsidRDefault="002F0133" w:rsidP="008A7464">
            <w:pPr>
              <w:rPr>
                <w:highlight w:val="green"/>
                <w:lang w:eastAsia="en-GB"/>
              </w:rPr>
            </w:pPr>
            <w:r w:rsidRPr="000B4E2C">
              <w:rPr>
                <w:highlight w:val="green"/>
                <w:lang w:eastAsia="en-GB"/>
              </w:rPr>
              <w:t>P. M. Honore and H. D. Spapen. Neutrophil gelatinase-associated lipocalin elimination by renal replacement therapy: Minding the membrane!. Critical Care, 20(1), 87. [15696]</w:t>
            </w:r>
          </w:p>
        </w:tc>
      </w:tr>
      <w:tr w:rsidR="002F0133" w:rsidRPr="000B4E2C" w14:paraId="01C8F99E" w14:textId="77777777" w:rsidTr="000B4E2C">
        <w:trPr>
          <w:cantSplit/>
        </w:trPr>
        <w:tc>
          <w:tcPr>
            <w:tcW w:w="0" w:type="auto"/>
            <w:shd w:val="clear" w:color="auto" w:fill="auto"/>
            <w:noWrap/>
            <w:hideMark/>
          </w:tcPr>
          <w:p w14:paraId="3BB266F0" w14:textId="77777777" w:rsidR="002F0133" w:rsidRPr="000B4E2C" w:rsidRDefault="002F0133" w:rsidP="008A7464">
            <w:pPr>
              <w:rPr>
                <w:lang w:eastAsia="en-GB"/>
              </w:rPr>
            </w:pPr>
            <w:r w:rsidRPr="000B4E2C">
              <w:rPr>
                <w:lang w:eastAsia="en-GB"/>
              </w:rPr>
              <w:t>Hoskova</w:t>
            </w:r>
          </w:p>
        </w:tc>
        <w:tc>
          <w:tcPr>
            <w:tcW w:w="0" w:type="auto"/>
            <w:shd w:val="clear" w:color="auto" w:fill="auto"/>
            <w:noWrap/>
            <w:hideMark/>
          </w:tcPr>
          <w:p w14:paraId="4623CB65"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663EC319" w14:textId="06D3BC9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0CF7505" w14:textId="77777777" w:rsidR="002F0133" w:rsidRPr="000B4E2C" w:rsidRDefault="002F0133" w:rsidP="008A7464">
            <w:pPr>
              <w:rPr>
                <w:highlight w:val="green"/>
                <w:lang w:eastAsia="en-GB"/>
              </w:rPr>
            </w:pPr>
            <w:r w:rsidRPr="000B4E2C">
              <w:rPr>
                <w:highlight w:val="green"/>
                <w:lang w:eastAsia="en-GB"/>
              </w:rPr>
              <w:t>L. Hoskova, J. Franekova, I. Malek, P. Secnik Jr, J. Pirk, J. Kautzner, O. Szarszoi and A. Jabor. Relationship of cardiorenal biomarkers for prediction of renal dysfunction in patients after heart transplantation. Cor et Vasa, 55(4), E364-E369. [15707]</w:t>
            </w:r>
          </w:p>
        </w:tc>
      </w:tr>
      <w:tr w:rsidR="002F0133" w:rsidRPr="000B4E2C" w14:paraId="0094BD3C" w14:textId="77777777" w:rsidTr="000B4E2C">
        <w:trPr>
          <w:cantSplit/>
        </w:trPr>
        <w:tc>
          <w:tcPr>
            <w:tcW w:w="0" w:type="auto"/>
            <w:shd w:val="clear" w:color="auto" w:fill="auto"/>
            <w:noWrap/>
            <w:hideMark/>
          </w:tcPr>
          <w:p w14:paraId="161CC9BD" w14:textId="77777777" w:rsidR="002F0133" w:rsidRPr="000B4E2C" w:rsidRDefault="002F0133" w:rsidP="008A7464">
            <w:pPr>
              <w:rPr>
                <w:lang w:eastAsia="en-GB"/>
              </w:rPr>
            </w:pPr>
            <w:r w:rsidRPr="000B4E2C">
              <w:rPr>
                <w:lang w:eastAsia="en-GB"/>
              </w:rPr>
              <w:t>Hoskova</w:t>
            </w:r>
          </w:p>
        </w:tc>
        <w:tc>
          <w:tcPr>
            <w:tcW w:w="0" w:type="auto"/>
            <w:shd w:val="clear" w:color="auto" w:fill="auto"/>
            <w:noWrap/>
            <w:hideMark/>
          </w:tcPr>
          <w:p w14:paraId="697418FF"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25EFEE77"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009C206E" w14:textId="77777777" w:rsidR="002F0133" w:rsidRPr="000B4E2C" w:rsidRDefault="002F0133" w:rsidP="008A7464">
            <w:pPr>
              <w:rPr>
                <w:highlight w:val="green"/>
                <w:lang w:eastAsia="en-GB"/>
              </w:rPr>
            </w:pPr>
            <w:r w:rsidRPr="000B4E2C">
              <w:rPr>
                <w:highlight w:val="green"/>
                <w:lang w:eastAsia="en-GB"/>
              </w:rPr>
              <w:t>L. Hoskova, J. Franekova, I. Malek, J. Kautzner, O. Szarszoi, A. Jabor, M. Pindak, O. Viklicky and V. Melenovsky. Comparison of cystatin C and NGAL in early diagnosis of acute kidney injury after heart transplantation. Annals of Transplantation, 21(239-245. [15706]</w:t>
            </w:r>
          </w:p>
        </w:tc>
      </w:tr>
      <w:tr w:rsidR="002F0133" w:rsidRPr="000B4E2C" w14:paraId="177ECCCF" w14:textId="77777777" w:rsidTr="000B4E2C">
        <w:trPr>
          <w:cantSplit/>
        </w:trPr>
        <w:tc>
          <w:tcPr>
            <w:tcW w:w="0" w:type="auto"/>
            <w:shd w:val="clear" w:color="auto" w:fill="auto"/>
            <w:noWrap/>
            <w:hideMark/>
          </w:tcPr>
          <w:p w14:paraId="652C4CC9" w14:textId="77777777" w:rsidR="002F0133" w:rsidRPr="000B4E2C" w:rsidRDefault="002F0133" w:rsidP="008A7464">
            <w:pPr>
              <w:rPr>
                <w:lang w:eastAsia="en-GB"/>
              </w:rPr>
            </w:pPr>
            <w:r w:rsidRPr="000B4E2C">
              <w:rPr>
                <w:lang w:eastAsia="en-GB"/>
              </w:rPr>
              <w:t>Hosohata</w:t>
            </w:r>
          </w:p>
        </w:tc>
        <w:tc>
          <w:tcPr>
            <w:tcW w:w="0" w:type="auto"/>
            <w:shd w:val="clear" w:color="auto" w:fill="auto"/>
            <w:noWrap/>
            <w:hideMark/>
          </w:tcPr>
          <w:p w14:paraId="6F8AA3E0"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34BDCCB3" w14:textId="6ED3D69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062C079" w14:textId="77777777" w:rsidR="002F0133" w:rsidRPr="000B4E2C" w:rsidRDefault="002F0133" w:rsidP="008A7464">
            <w:pPr>
              <w:rPr>
                <w:highlight w:val="green"/>
                <w:lang w:eastAsia="en-GB"/>
              </w:rPr>
            </w:pPr>
            <w:r w:rsidRPr="000B4E2C">
              <w:rPr>
                <w:highlight w:val="green"/>
                <w:lang w:eastAsia="en-GB"/>
              </w:rPr>
              <w:t>K. Hosohata, S. Washino, T. Kubo, S. Natsui, A. Fujisaki, S. Kurokawa, H. Ando, A. Fujimura and T. Morita. Early prediction of cisplatin-induced nephrotoxicity by urinary vanin-1 in patients with urothelial carcinoma. Toxicology, 359-360(71-5. [15709]</w:t>
            </w:r>
          </w:p>
        </w:tc>
      </w:tr>
      <w:tr w:rsidR="002F0133" w:rsidRPr="000B4E2C" w14:paraId="3CBD774C" w14:textId="77777777" w:rsidTr="000B4E2C">
        <w:trPr>
          <w:cantSplit/>
        </w:trPr>
        <w:tc>
          <w:tcPr>
            <w:tcW w:w="0" w:type="auto"/>
            <w:shd w:val="clear" w:color="auto" w:fill="auto"/>
            <w:noWrap/>
            <w:hideMark/>
          </w:tcPr>
          <w:p w14:paraId="7683D592" w14:textId="77777777" w:rsidR="002F0133" w:rsidRPr="000B4E2C" w:rsidRDefault="002F0133" w:rsidP="008A7464">
            <w:pPr>
              <w:rPr>
                <w:lang w:eastAsia="en-GB"/>
              </w:rPr>
            </w:pPr>
            <w:r w:rsidRPr="000B4E2C">
              <w:rPr>
                <w:lang w:eastAsia="en-GB"/>
              </w:rPr>
              <w:t>Hoste</w:t>
            </w:r>
          </w:p>
        </w:tc>
        <w:tc>
          <w:tcPr>
            <w:tcW w:w="0" w:type="auto"/>
            <w:shd w:val="clear" w:color="auto" w:fill="auto"/>
            <w:noWrap/>
            <w:hideMark/>
          </w:tcPr>
          <w:p w14:paraId="3AA540F8"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0BA388B"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33180D28" w14:textId="77777777" w:rsidR="002F0133" w:rsidRPr="000B4E2C" w:rsidRDefault="002F0133" w:rsidP="008A7464">
            <w:pPr>
              <w:rPr>
                <w:highlight w:val="green"/>
                <w:lang w:eastAsia="en-GB"/>
              </w:rPr>
            </w:pPr>
            <w:r w:rsidRPr="000B4E2C">
              <w:rPr>
                <w:highlight w:val="green"/>
                <w:lang w:eastAsia="en-GB"/>
              </w:rPr>
              <w:t>E. A. Hoste and W. Vandenberghe. Plasma neutrophil gelatinase-associated lipocalin (NGAL) for timing of initiation of renal replacement therapy for acute kidney injury?. Journal of Thoracic Disease, 10(Supplement33), S3989-S3993. [15710]</w:t>
            </w:r>
          </w:p>
        </w:tc>
      </w:tr>
      <w:tr w:rsidR="002F0133" w:rsidRPr="000B4E2C" w14:paraId="522C5A83" w14:textId="77777777" w:rsidTr="000B4E2C">
        <w:trPr>
          <w:cantSplit/>
        </w:trPr>
        <w:tc>
          <w:tcPr>
            <w:tcW w:w="0" w:type="auto"/>
            <w:shd w:val="clear" w:color="auto" w:fill="auto"/>
            <w:noWrap/>
            <w:hideMark/>
          </w:tcPr>
          <w:p w14:paraId="4B966830" w14:textId="77777777" w:rsidR="002F0133" w:rsidRPr="000B4E2C" w:rsidRDefault="002F0133" w:rsidP="008A7464">
            <w:pPr>
              <w:rPr>
                <w:lang w:eastAsia="en-GB"/>
              </w:rPr>
            </w:pPr>
            <w:r w:rsidRPr="000B4E2C">
              <w:rPr>
                <w:lang w:eastAsia="en-GB"/>
              </w:rPr>
              <w:t>Howell</w:t>
            </w:r>
          </w:p>
        </w:tc>
        <w:tc>
          <w:tcPr>
            <w:tcW w:w="0" w:type="auto"/>
            <w:shd w:val="clear" w:color="auto" w:fill="auto"/>
            <w:noWrap/>
            <w:hideMark/>
          </w:tcPr>
          <w:p w14:paraId="6427E183"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90343E4" w14:textId="48BA63C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D5071D9" w14:textId="77777777" w:rsidR="002F0133" w:rsidRPr="000B4E2C" w:rsidRDefault="002F0133" w:rsidP="008A7464">
            <w:pPr>
              <w:rPr>
                <w:highlight w:val="green"/>
                <w:lang w:eastAsia="en-GB"/>
              </w:rPr>
            </w:pPr>
            <w:r w:rsidRPr="000B4E2C">
              <w:rPr>
                <w:highlight w:val="green"/>
                <w:lang w:eastAsia="en-GB"/>
              </w:rPr>
              <w:t>E. Howell, S. Sen, T. Palmieri, Z. Godwin, J. Bockhold, D. Greenhalgh and N. K. Tran. Point-of-care B-type natriuretic peptide and neutrophil gelatinase-Associated lipocalin measurements for acute resuscitation: A pilot study. Journal of Burn Care and Research, 36(2 Supplement 2)), e26-e33. [15714]</w:t>
            </w:r>
          </w:p>
        </w:tc>
      </w:tr>
      <w:tr w:rsidR="002F0133" w:rsidRPr="000B4E2C" w14:paraId="26FC19AB" w14:textId="77777777" w:rsidTr="000B4E2C">
        <w:trPr>
          <w:cantSplit/>
        </w:trPr>
        <w:tc>
          <w:tcPr>
            <w:tcW w:w="0" w:type="auto"/>
            <w:shd w:val="clear" w:color="auto" w:fill="auto"/>
            <w:noWrap/>
            <w:hideMark/>
          </w:tcPr>
          <w:p w14:paraId="0A9934C7" w14:textId="77777777" w:rsidR="002F0133" w:rsidRPr="000B4E2C" w:rsidRDefault="002F0133" w:rsidP="008A7464">
            <w:pPr>
              <w:rPr>
                <w:lang w:eastAsia="en-GB"/>
              </w:rPr>
            </w:pPr>
            <w:r w:rsidRPr="000B4E2C">
              <w:rPr>
                <w:lang w:eastAsia="en-GB"/>
              </w:rPr>
              <w:t>Hryniewiecka</w:t>
            </w:r>
          </w:p>
        </w:tc>
        <w:tc>
          <w:tcPr>
            <w:tcW w:w="0" w:type="auto"/>
            <w:shd w:val="clear" w:color="auto" w:fill="auto"/>
            <w:noWrap/>
            <w:hideMark/>
          </w:tcPr>
          <w:p w14:paraId="328A59F6"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0A9F788"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1389C29F" w14:textId="77777777" w:rsidR="002F0133" w:rsidRPr="000B4E2C" w:rsidRDefault="002F0133" w:rsidP="008A7464">
            <w:pPr>
              <w:rPr>
                <w:highlight w:val="green"/>
                <w:lang w:eastAsia="en-GB"/>
              </w:rPr>
            </w:pPr>
            <w:r w:rsidRPr="000B4E2C">
              <w:rPr>
                <w:highlight w:val="green"/>
                <w:lang w:eastAsia="en-GB"/>
              </w:rPr>
              <w:t>E. Hryniewiecka, K. Gala, M. Krawczyk and L. Paczek. Is neutrophil gelatinase-associated lipocalin an optimal marker of renal function and injury in liver transplant recipients?. Transplantation Proceedings, 46(8), 2782-2785. [15715]</w:t>
            </w:r>
          </w:p>
        </w:tc>
      </w:tr>
      <w:tr w:rsidR="002F0133" w:rsidRPr="000B4E2C" w14:paraId="05B23D1F" w14:textId="77777777" w:rsidTr="000B4E2C">
        <w:trPr>
          <w:cantSplit/>
        </w:trPr>
        <w:tc>
          <w:tcPr>
            <w:tcW w:w="0" w:type="auto"/>
            <w:shd w:val="clear" w:color="auto" w:fill="auto"/>
            <w:noWrap/>
            <w:hideMark/>
          </w:tcPr>
          <w:p w14:paraId="3071742D" w14:textId="77777777" w:rsidR="002F0133" w:rsidRPr="000B4E2C" w:rsidRDefault="002F0133" w:rsidP="008A7464">
            <w:pPr>
              <w:rPr>
                <w:lang w:eastAsia="en-GB"/>
              </w:rPr>
            </w:pPr>
            <w:r w:rsidRPr="000B4E2C">
              <w:rPr>
                <w:lang w:eastAsia="en-GB"/>
              </w:rPr>
              <w:t>Hsiao</w:t>
            </w:r>
          </w:p>
        </w:tc>
        <w:tc>
          <w:tcPr>
            <w:tcW w:w="0" w:type="auto"/>
            <w:shd w:val="clear" w:color="auto" w:fill="auto"/>
            <w:noWrap/>
            <w:hideMark/>
          </w:tcPr>
          <w:p w14:paraId="0B82A347"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2DBE8A1D" w14:textId="5A6915E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1C535EC" w14:textId="77777777" w:rsidR="002F0133" w:rsidRPr="000B4E2C" w:rsidRDefault="002F0133" w:rsidP="008A7464">
            <w:pPr>
              <w:rPr>
                <w:highlight w:val="green"/>
                <w:lang w:eastAsia="en-GB"/>
              </w:rPr>
            </w:pPr>
            <w:r w:rsidRPr="000B4E2C">
              <w:rPr>
                <w:highlight w:val="green"/>
                <w:lang w:eastAsia="en-GB"/>
              </w:rPr>
              <w:t>P. G. Hsiao, C. A. Hsieh, C. F. Yeh, H. H. Wu, T. F. Shiu, Y. C. Chen and P. H. Chu. Early prediction of acute kidney injury in patients with acute myocardial injury. Journal of Critical Care, 27(5), 525. [15716]</w:t>
            </w:r>
          </w:p>
        </w:tc>
      </w:tr>
      <w:tr w:rsidR="002F0133" w:rsidRPr="000B4E2C" w14:paraId="43F6984B" w14:textId="77777777" w:rsidTr="000B4E2C">
        <w:trPr>
          <w:cantSplit/>
        </w:trPr>
        <w:tc>
          <w:tcPr>
            <w:tcW w:w="0" w:type="auto"/>
            <w:shd w:val="clear" w:color="auto" w:fill="auto"/>
            <w:noWrap/>
            <w:hideMark/>
          </w:tcPr>
          <w:p w14:paraId="21DF87B3" w14:textId="77777777" w:rsidR="002F0133" w:rsidRPr="000B4E2C" w:rsidRDefault="002F0133" w:rsidP="008A7464">
            <w:pPr>
              <w:rPr>
                <w:lang w:eastAsia="en-GB"/>
              </w:rPr>
            </w:pPr>
            <w:r w:rsidRPr="000B4E2C">
              <w:rPr>
                <w:lang w:eastAsia="en-GB"/>
              </w:rPr>
              <w:t>Hsu</w:t>
            </w:r>
          </w:p>
        </w:tc>
        <w:tc>
          <w:tcPr>
            <w:tcW w:w="0" w:type="auto"/>
            <w:shd w:val="clear" w:color="auto" w:fill="auto"/>
            <w:noWrap/>
            <w:hideMark/>
          </w:tcPr>
          <w:p w14:paraId="17659E0C"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306CF1E6"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5E88DF97" w14:textId="3BC6FB72" w:rsidR="002F0133" w:rsidRPr="000B4E2C" w:rsidRDefault="002F0133" w:rsidP="008A7464">
            <w:pPr>
              <w:rPr>
                <w:highlight w:val="green"/>
                <w:lang w:eastAsia="en-GB"/>
              </w:rPr>
            </w:pPr>
            <w:r w:rsidRPr="000B4E2C">
              <w:rPr>
                <w:highlight w:val="green"/>
                <w:lang w:eastAsia="en-GB"/>
              </w:rPr>
              <w:t xml:space="preserve">R. K. Hsu and C. Y. Hsu. We can diagnose AKI </w:t>
            </w:r>
            <w:r w:rsidR="0072128A" w:rsidRPr="000B4E2C">
              <w:rPr>
                <w:color w:val="00B0F0"/>
                <w:highlight w:val="green"/>
                <w:lang w:eastAsia="en-GB"/>
              </w:rPr>
              <w:t>“</w:t>
            </w:r>
            <w:r w:rsidR="0072128A" w:rsidRPr="000B4E2C">
              <w:rPr>
                <w:highlight w:val="green"/>
                <w:lang w:eastAsia="en-GB"/>
              </w:rPr>
              <w:t>early</w:t>
            </w:r>
            <w:r w:rsidR="0072128A" w:rsidRPr="000B4E2C">
              <w:rPr>
                <w:color w:val="00B0F0"/>
                <w:highlight w:val="green"/>
                <w:lang w:eastAsia="en-GB"/>
              </w:rPr>
              <w:t>”</w:t>
            </w:r>
            <w:r w:rsidRPr="000B4E2C">
              <w:rPr>
                <w:highlight w:val="green"/>
                <w:lang w:eastAsia="en-GB"/>
              </w:rPr>
              <w:t>. Clinical Journal of the American Society of Nephrology, 7(11), 1741-1742. [15718]</w:t>
            </w:r>
          </w:p>
        </w:tc>
      </w:tr>
      <w:tr w:rsidR="002F0133" w:rsidRPr="000B4E2C" w14:paraId="53A7D294" w14:textId="77777777" w:rsidTr="000B4E2C">
        <w:trPr>
          <w:cantSplit/>
        </w:trPr>
        <w:tc>
          <w:tcPr>
            <w:tcW w:w="0" w:type="auto"/>
            <w:shd w:val="clear" w:color="auto" w:fill="auto"/>
            <w:noWrap/>
            <w:hideMark/>
          </w:tcPr>
          <w:p w14:paraId="663D596C" w14:textId="77777777" w:rsidR="002F0133" w:rsidRPr="000B4E2C" w:rsidRDefault="002F0133" w:rsidP="008A7464">
            <w:pPr>
              <w:rPr>
                <w:lang w:eastAsia="en-GB"/>
              </w:rPr>
            </w:pPr>
            <w:r w:rsidRPr="000B4E2C">
              <w:rPr>
                <w:lang w:eastAsia="en-GB"/>
              </w:rPr>
              <w:t>Huang</w:t>
            </w:r>
          </w:p>
        </w:tc>
        <w:tc>
          <w:tcPr>
            <w:tcW w:w="0" w:type="auto"/>
            <w:shd w:val="clear" w:color="auto" w:fill="auto"/>
            <w:noWrap/>
            <w:hideMark/>
          </w:tcPr>
          <w:p w14:paraId="5A9C7ED1"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40B9F80F" w14:textId="59A9F46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96E3303" w14:textId="77777777" w:rsidR="002F0133" w:rsidRPr="000B4E2C" w:rsidRDefault="002F0133" w:rsidP="008A7464">
            <w:pPr>
              <w:rPr>
                <w:highlight w:val="green"/>
                <w:lang w:eastAsia="en-GB"/>
              </w:rPr>
            </w:pPr>
            <w:r w:rsidRPr="000B4E2C">
              <w:rPr>
                <w:highlight w:val="green"/>
                <w:lang w:eastAsia="en-GB"/>
              </w:rPr>
              <w:t>C. Y. Huang, C. C. Shih, K. Chung, K. C. Kao and H. P. Wu. Predictive value of plasma neutrophil gelatinase-associated lipocalin for acute renal failure in patients with severe sepsis. Journal of the Chinese Medical Association, 79(8), 428-434. [15722]</w:t>
            </w:r>
          </w:p>
        </w:tc>
      </w:tr>
      <w:tr w:rsidR="002F0133" w:rsidRPr="000B4E2C" w14:paraId="71F6FBC3" w14:textId="77777777" w:rsidTr="000B4E2C">
        <w:trPr>
          <w:cantSplit/>
        </w:trPr>
        <w:tc>
          <w:tcPr>
            <w:tcW w:w="0" w:type="auto"/>
            <w:shd w:val="clear" w:color="auto" w:fill="auto"/>
            <w:noWrap/>
            <w:hideMark/>
          </w:tcPr>
          <w:p w14:paraId="68466575" w14:textId="77777777" w:rsidR="002F0133" w:rsidRPr="000B4E2C" w:rsidRDefault="002F0133" w:rsidP="008A7464">
            <w:pPr>
              <w:rPr>
                <w:lang w:eastAsia="en-GB"/>
              </w:rPr>
            </w:pPr>
            <w:r w:rsidRPr="000B4E2C">
              <w:rPr>
                <w:lang w:eastAsia="en-GB"/>
              </w:rPr>
              <w:t>Huelin</w:t>
            </w:r>
          </w:p>
        </w:tc>
        <w:tc>
          <w:tcPr>
            <w:tcW w:w="0" w:type="auto"/>
            <w:shd w:val="clear" w:color="auto" w:fill="auto"/>
            <w:noWrap/>
            <w:hideMark/>
          </w:tcPr>
          <w:p w14:paraId="6FAF36B5"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2FD2AB9A"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00DF183" w14:textId="77777777" w:rsidR="002F0133" w:rsidRPr="000B4E2C" w:rsidRDefault="002F0133" w:rsidP="008A7464">
            <w:pPr>
              <w:rPr>
                <w:highlight w:val="green"/>
                <w:lang w:eastAsia="en-GB"/>
              </w:rPr>
            </w:pPr>
            <w:r w:rsidRPr="000B4E2C">
              <w:rPr>
                <w:highlight w:val="green"/>
                <w:lang w:eastAsia="en-GB"/>
              </w:rPr>
              <w:t>P. Huelin, E. Sola, C. Elia, C. Sole, A. Risso, R. Moreira, M. Carol, N. Fabrellas, O. Bassegoda, A. Juanola, G. de Prada, S. Albertos, S. Piano, I. Graupera, X. Ariza, L. Napoleone, E. Pose, X. Filella, M. Morales-Ruiz, J. Rios, J. Fernandez, W. Jimenez, E. Poch, F. Torres and P. Gines. Neutrophil Gelatinase-Associated Lipocalin for Assessment of Acute Kidney Injury in Cirrhosis: A Prospective Study. Hepatology, . [15727]</w:t>
            </w:r>
          </w:p>
        </w:tc>
      </w:tr>
      <w:tr w:rsidR="002F0133" w:rsidRPr="000B4E2C" w14:paraId="29CDAFEE" w14:textId="77777777" w:rsidTr="000B4E2C">
        <w:trPr>
          <w:cantSplit/>
        </w:trPr>
        <w:tc>
          <w:tcPr>
            <w:tcW w:w="0" w:type="auto"/>
            <w:shd w:val="clear" w:color="auto" w:fill="auto"/>
            <w:noWrap/>
            <w:hideMark/>
          </w:tcPr>
          <w:p w14:paraId="2B256B7E" w14:textId="77777777" w:rsidR="002F0133" w:rsidRPr="000B4E2C" w:rsidRDefault="002F0133" w:rsidP="008A7464">
            <w:pPr>
              <w:rPr>
                <w:lang w:eastAsia="en-GB"/>
              </w:rPr>
            </w:pPr>
            <w:r w:rsidRPr="000B4E2C">
              <w:rPr>
                <w:lang w:eastAsia="en-GB"/>
              </w:rPr>
              <w:t>Hui-Miao</w:t>
            </w:r>
          </w:p>
        </w:tc>
        <w:tc>
          <w:tcPr>
            <w:tcW w:w="0" w:type="auto"/>
            <w:shd w:val="clear" w:color="auto" w:fill="auto"/>
            <w:noWrap/>
            <w:hideMark/>
          </w:tcPr>
          <w:p w14:paraId="559979CB"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BE24359" w14:textId="36C0A460"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323EAF09" w14:textId="77777777" w:rsidR="002F0133" w:rsidRPr="000B4E2C" w:rsidRDefault="002F0133" w:rsidP="008A7464">
            <w:pPr>
              <w:rPr>
                <w:highlight w:val="green"/>
                <w:lang w:eastAsia="en-GB"/>
              </w:rPr>
            </w:pPr>
            <w:r w:rsidRPr="000B4E2C">
              <w:rPr>
                <w:highlight w:val="green"/>
                <w:lang w:eastAsia="en-GB"/>
              </w:rPr>
              <w:t>J. Hui-Miao, H. Li-Feng, Y. Zheng, L. Wen-Xiong, H.-M. Jia, L.-F. Huang, Y. Zheng and W.-X. Li. Diagnostic value of urinary tissue inhibitor of metalloproteinase-2 and insulin-like growth factor binding protein 7 for acute kidney injury: a meta-analysis. Critical Care, 21(1-11. [6130]</w:t>
            </w:r>
          </w:p>
        </w:tc>
      </w:tr>
      <w:tr w:rsidR="002F0133" w:rsidRPr="000B4E2C" w14:paraId="3B23909F" w14:textId="77777777" w:rsidTr="000B4E2C">
        <w:trPr>
          <w:cantSplit/>
        </w:trPr>
        <w:tc>
          <w:tcPr>
            <w:tcW w:w="0" w:type="auto"/>
            <w:shd w:val="clear" w:color="auto" w:fill="auto"/>
            <w:noWrap/>
            <w:hideMark/>
          </w:tcPr>
          <w:p w14:paraId="52E31820" w14:textId="77777777" w:rsidR="002F0133" w:rsidRPr="000B4E2C" w:rsidRDefault="002F0133" w:rsidP="008A7464">
            <w:pPr>
              <w:rPr>
                <w:lang w:eastAsia="en-GB"/>
              </w:rPr>
            </w:pPr>
            <w:r w:rsidRPr="000B4E2C">
              <w:rPr>
                <w:lang w:eastAsia="en-GB"/>
              </w:rPr>
              <w:lastRenderedPageBreak/>
              <w:t>Hunsicker</w:t>
            </w:r>
          </w:p>
        </w:tc>
        <w:tc>
          <w:tcPr>
            <w:tcW w:w="0" w:type="auto"/>
            <w:shd w:val="clear" w:color="auto" w:fill="auto"/>
            <w:noWrap/>
            <w:hideMark/>
          </w:tcPr>
          <w:p w14:paraId="6D215538"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32CF3E21" w14:textId="1921327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38F4A55" w14:textId="77777777" w:rsidR="002F0133" w:rsidRPr="000B4E2C" w:rsidRDefault="002F0133" w:rsidP="008A7464">
            <w:pPr>
              <w:rPr>
                <w:highlight w:val="green"/>
                <w:lang w:eastAsia="en-GB"/>
              </w:rPr>
            </w:pPr>
            <w:r w:rsidRPr="000B4E2C">
              <w:rPr>
                <w:highlight w:val="green"/>
                <w:lang w:eastAsia="en-GB"/>
              </w:rPr>
              <w:t>O. Hunsicker, A. Feldheiser, A. Weimann, D. Liehre, J. Sehouli, K. D. Wernecke and C. Spies. Diagnostic value of plasma NGAL and intraoperative diuresis for AKI after major gynecological surgery in patients treated within an intraoperative goal-directed hemodynamic algorithm. Medicine (United States), 96(28), e7357. [15729]</w:t>
            </w:r>
          </w:p>
        </w:tc>
      </w:tr>
      <w:tr w:rsidR="002F0133" w:rsidRPr="000B4E2C" w14:paraId="265736A8" w14:textId="77777777" w:rsidTr="000B4E2C">
        <w:trPr>
          <w:cantSplit/>
        </w:trPr>
        <w:tc>
          <w:tcPr>
            <w:tcW w:w="0" w:type="auto"/>
            <w:shd w:val="clear" w:color="auto" w:fill="auto"/>
            <w:noWrap/>
            <w:hideMark/>
          </w:tcPr>
          <w:p w14:paraId="5E6FF342" w14:textId="77777777" w:rsidR="002F0133" w:rsidRPr="000B4E2C" w:rsidRDefault="002F0133" w:rsidP="008A7464">
            <w:pPr>
              <w:rPr>
                <w:lang w:eastAsia="en-GB"/>
              </w:rPr>
            </w:pPr>
            <w:r w:rsidRPr="000B4E2C">
              <w:rPr>
                <w:lang w:eastAsia="en-GB"/>
              </w:rPr>
              <w:t>Hur</w:t>
            </w:r>
          </w:p>
        </w:tc>
        <w:tc>
          <w:tcPr>
            <w:tcW w:w="0" w:type="auto"/>
            <w:shd w:val="clear" w:color="auto" w:fill="auto"/>
            <w:noWrap/>
            <w:hideMark/>
          </w:tcPr>
          <w:p w14:paraId="07D42078"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6FEE47E0"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234843A1" w14:textId="77777777" w:rsidR="002F0133" w:rsidRPr="000B4E2C" w:rsidRDefault="002F0133" w:rsidP="008A7464">
            <w:pPr>
              <w:rPr>
                <w:highlight w:val="green"/>
                <w:lang w:eastAsia="en-GB"/>
              </w:rPr>
            </w:pPr>
            <w:r w:rsidRPr="000B4E2C">
              <w:rPr>
                <w:highlight w:val="green"/>
                <w:lang w:eastAsia="en-GB"/>
              </w:rPr>
              <w:t>M. Hur, H. Kim, S. Lee, F. Cristofano, L. Magrini, R. Marino, C. S. Gori, C. Bongiovanni, B. Zancla, P. Cardelli and S. Di Somma. Diagnostic and prognostic utilities of multimarkers approach using procalcitonin, B-type natriuretic peptide, and neutrophil gelatinase-associated lipocalin in critically ill patients with suspected sepsis. Bmc Infectious Diseases, 14(224-224. [18468]</w:t>
            </w:r>
          </w:p>
        </w:tc>
      </w:tr>
      <w:tr w:rsidR="002F0133" w:rsidRPr="000B4E2C" w14:paraId="57154EF8" w14:textId="77777777" w:rsidTr="000B4E2C">
        <w:trPr>
          <w:cantSplit/>
        </w:trPr>
        <w:tc>
          <w:tcPr>
            <w:tcW w:w="0" w:type="auto"/>
            <w:shd w:val="clear" w:color="auto" w:fill="auto"/>
            <w:noWrap/>
            <w:hideMark/>
          </w:tcPr>
          <w:p w14:paraId="7AD88339" w14:textId="77777777" w:rsidR="002F0133" w:rsidRPr="000B4E2C" w:rsidRDefault="002F0133" w:rsidP="008A7464">
            <w:pPr>
              <w:rPr>
                <w:lang w:eastAsia="en-GB"/>
              </w:rPr>
            </w:pPr>
            <w:r w:rsidRPr="000B4E2C">
              <w:rPr>
                <w:lang w:eastAsia="en-GB"/>
              </w:rPr>
              <w:t>Hurry</w:t>
            </w:r>
          </w:p>
        </w:tc>
        <w:tc>
          <w:tcPr>
            <w:tcW w:w="0" w:type="auto"/>
            <w:shd w:val="clear" w:color="auto" w:fill="auto"/>
            <w:noWrap/>
            <w:hideMark/>
          </w:tcPr>
          <w:p w14:paraId="5F2F2AC0"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2F87EA22" w14:textId="3495FE7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C2DE0CA" w14:textId="77777777" w:rsidR="002F0133" w:rsidRPr="000B4E2C" w:rsidRDefault="002F0133" w:rsidP="008A7464">
            <w:pPr>
              <w:rPr>
                <w:highlight w:val="green"/>
                <w:lang w:eastAsia="en-GB"/>
              </w:rPr>
            </w:pPr>
            <w:r w:rsidRPr="000B4E2C">
              <w:rPr>
                <w:highlight w:val="green"/>
                <w:lang w:eastAsia="en-GB"/>
              </w:rPr>
              <w:t>P. K. Hurry, J. H. Poulsen, F. Bendtsen and S. Moller. Neutrophil gelatinase-associated lipocalin and cystatin C in cirrhosis and portal hypertension: Relations to organ extraction and dysfunction. Journal of gastroenterology and hepatology, 32(2), 473-481. [18469]</w:t>
            </w:r>
          </w:p>
        </w:tc>
      </w:tr>
      <w:tr w:rsidR="002F0133" w:rsidRPr="000B4E2C" w14:paraId="162E4907" w14:textId="77777777" w:rsidTr="000B4E2C">
        <w:trPr>
          <w:cantSplit/>
        </w:trPr>
        <w:tc>
          <w:tcPr>
            <w:tcW w:w="0" w:type="auto"/>
            <w:shd w:val="clear" w:color="auto" w:fill="auto"/>
            <w:noWrap/>
            <w:hideMark/>
          </w:tcPr>
          <w:p w14:paraId="678352AA" w14:textId="77777777" w:rsidR="002F0133" w:rsidRPr="000B4E2C" w:rsidRDefault="002F0133" w:rsidP="008A7464">
            <w:pPr>
              <w:rPr>
                <w:lang w:eastAsia="en-GB"/>
              </w:rPr>
            </w:pPr>
            <w:r w:rsidRPr="000B4E2C">
              <w:rPr>
                <w:lang w:eastAsia="en-GB"/>
              </w:rPr>
              <w:t>Hwang</w:t>
            </w:r>
          </w:p>
        </w:tc>
        <w:tc>
          <w:tcPr>
            <w:tcW w:w="0" w:type="auto"/>
            <w:shd w:val="clear" w:color="auto" w:fill="auto"/>
            <w:noWrap/>
            <w:hideMark/>
          </w:tcPr>
          <w:p w14:paraId="3407240B"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10FE7D23" w14:textId="73B6EBB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E13519A" w14:textId="77777777" w:rsidR="002F0133" w:rsidRPr="000B4E2C" w:rsidRDefault="002F0133" w:rsidP="008A7464">
            <w:pPr>
              <w:rPr>
                <w:highlight w:val="green"/>
                <w:lang w:eastAsia="en-GB"/>
              </w:rPr>
            </w:pPr>
            <w:r w:rsidRPr="000B4E2C">
              <w:rPr>
                <w:highlight w:val="green"/>
                <w:lang w:eastAsia="en-GB"/>
              </w:rPr>
              <w:t>Y. J. Hwang, M. C. Hyun, B. S. Choi, S. Y. Chun and M. H. Cho. Acute kidney injury after using contrast during cardiac catheterization in children with heart disease. Journal of Korean medical science, 29(8), 1102-1107. [15733]</w:t>
            </w:r>
          </w:p>
        </w:tc>
      </w:tr>
      <w:tr w:rsidR="002F0133" w:rsidRPr="000B4E2C" w14:paraId="27E3AC43" w14:textId="77777777" w:rsidTr="000B4E2C">
        <w:trPr>
          <w:cantSplit/>
        </w:trPr>
        <w:tc>
          <w:tcPr>
            <w:tcW w:w="0" w:type="auto"/>
            <w:shd w:val="clear" w:color="auto" w:fill="auto"/>
            <w:noWrap/>
            <w:hideMark/>
          </w:tcPr>
          <w:p w14:paraId="08B46158" w14:textId="77777777" w:rsidR="002F0133" w:rsidRPr="000B4E2C" w:rsidRDefault="002F0133" w:rsidP="008A7464">
            <w:pPr>
              <w:rPr>
                <w:lang w:eastAsia="en-GB"/>
              </w:rPr>
            </w:pPr>
            <w:r w:rsidRPr="000B4E2C">
              <w:rPr>
                <w:lang w:eastAsia="en-GB"/>
              </w:rPr>
              <w:t>Ibrahim</w:t>
            </w:r>
          </w:p>
        </w:tc>
        <w:tc>
          <w:tcPr>
            <w:tcW w:w="0" w:type="auto"/>
            <w:shd w:val="clear" w:color="auto" w:fill="auto"/>
            <w:noWrap/>
            <w:hideMark/>
          </w:tcPr>
          <w:p w14:paraId="0B07319B"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2E06C979" w14:textId="07F18DA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56BE958" w14:textId="370BDB28" w:rsidR="002F0133" w:rsidRPr="000B4E2C" w:rsidRDefault="002F0133" w:rsidP="008A7464">
            <w:pPr>
              <w:rPr>
                <w:highlight w:val="green"/>
                <w:lang w:eastAsia="en-GB"/>
              </w:rPr>
            </w:pPr>
            <w:r w:rsidRPr="000B4E2C">
              <w:rPr>
                <w:highlight w:val="green"/>
                <w:lang w:eastAsia="en-GB"/>
              </w:rPr>
              <w:t>M. E. Ibrahim, C. Chang, Y. Hu, S. L. Hogan, N. Mercke, M. Gomez, C. L. O</w:t>
            </w:r>
            <w:r w:rsidR="0072128A" w:rsidRPr="000B4E2C">
              <w:rPr>
                <w:color w:val="00B0F0"/>
                <w:highlight w:val="green"/>
                <w:lang w:eastAsia="en-GB"/>
              </w:rPr>
              <w:t>’</w:t>
            </w:r>
            <w:r w:rsidRPr="000B4E2C">
              <w:rPr>
                <w:highlight w:val="green"/>
                <w:lang w:eastAsia="en-GB"/>
              </w:rPr>
              <w:t>Bryant, D. W. Bowles, B. George, X. Wen, B. Buckley, L. Aleksunes and M. S. Joy. Pharmacokinetic determinants of cisplatin-induced subclinical kidney injury in oncology patients. European Journal of Clinical Pharmacology, 75(1), 51-57. [15734]</w:t>
            </w:r>
          </w:p>
        </w:tc>
      </w:tr>
      <w:tr w:rsidR="002F0133" w:rsidRPr="000B4E2C" w14:paraId="41A1EBD3" w14:textId="77777777" w:rsidTr="000B4E2C">
        <w:trPr>
          <w:cantSplit/>
        </w:trPr>
        <w:tc>
          <w:tcPr>
            <w:tcW w:w="0" w:type="auto"/>
            <w:shd w:val="clear" w:color="auto" w:fill="auto"/>
            <w:noWrap/>
            <w:hideMark/>
          </w:tcPr>
          <w:p w14:paraId="64545144" w14:textId="77777777" w:rsidR="002F0133" w:rsidRPr="000B4E2C" w:rsidRDefault="002F0133" w:rsidP="008A7464">
            <w:pPr>
              <w:rPr>
                <w:lang w:eastAsia="en-GB"/>
              </w:rPr>
            </w:pPr>
            <w:r w:rsidRPr="000B4E2C">
              <w:rPr>
                <w:lang w:eastAsia="en-GB"/>
              </w:rPr>
              <w:t>Iguchi</w:t>
            </w:r>
          </w:p>
        </w:tc>
        <w:tc>
          <w:tcPr>
            <w:tcW w:w="0" w:type="auto"/>
            <w:shd w:val="clear" w:color="auto" w:fill="auto"/>
            <w:noWrap/>
            <w:hideMark/>
          </w:tcPr>
          <w:p w14:paraId="11BE901F"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56ABB6BF" w14:textId="2BBF37B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48EB427" w14:textId="77777777" w:rsidR="002F0133" w:rsidRPr="000B4E2C" w:rsidRDefault="002F0133" w:rsidP="008A7464">
            <w:pPr>
              <w:rPr>
                <w:highlight w:val="green"/>
                <w:lang w:eastAsia="en-GB"/>
              </w:rPr>
            </w:pPr>
            <w:r w:rsidRPr="000B4E2C">
              <w:rPr>
                <w:highlight w:val="green"/>
                <w:lang w:eastAsia="en-GB"/>
              </w:rPr>
              <w:t>N. Iguchi, A. Uchiyama, K. Hosotsubo and Y. Fujino. Plasma neutrophil gelatinase-associated lipocalin clearance during venovenous hemodiafiltration. Clinical and experimental nephrology, 16(2), 356-7. [15735]</w:t>
            </w:r>
          </w:p>
        </w:tc>
      </w:tr>
      <w:tr w:rsidR="002F0133" w:rsidRPr="000B4E2C" w14:paraId="439A5C2F" w14:textId="77777777" w:rsidTr="000B4E2C">
        <w:trPr>
          <w:cantSplit/>
        </w:trPr>
        <w:tc>
          <w:tcPr>
            <w:tcW w:w="0" w:type="auto"/>
            <w:shd w:val="clear" w:color="auto" w:fill="auto"/>
            <w:noWrap/>
            <w:hideMark/>
          </w:tcPr>
          <w:p w14:paraId="7BE0C535" w14:textId="77777777" w:rsidR="002F0133" w:rsidRPr="000B4E2C" w:rsidRDefault="002F0133" w:rsidP="008A7464">
            <w:pPr>
              <w:rPr>
                <w:lang w:eastAsia="en-GB"/>
              </w:rPr>
            </w:pPr>
            <w:r w:rsidRPr="000B4E2C">
              <w:rPr>
                <w:lang w:eastAsia="en-GB"/>
              </w:rPr>
              <w:t>Iguchi</w:t>
            </w:r>
          </w:p>
        </w:tc>
        <w:tc>
          <w:tcPr>
            <w:tcW w:w="0" w:type="auto"/>
            <w:shd w:val="clear" w:color="auto" w:fill="auto"/>
            <w:noWrap/>
            <w:hideMark/>
          </w:tcPr>
          <w:p w14:paraId="78FA6DFF"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3A5AD7A2" w14:textId="31D5F89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A0F2F67" w14:textId="77777777" w:rsidR="002F0133" w:rsidRPr="000B4E2C" w:rsidRDefault="002F0133" w:rsidP="008A7464">
            <w:pPr>
              <w:rPr>
                <w:highlight w:val="green"/>
                <w:lang w:eastAsia="en-GB"/>
              </w:rPr>
            </w:pPr>
            <w:r w:rsidRPr="000B4E2C">
              <w:rPr>
                <w:highlight w:val="green"/>
                <w:lang w:eastAsia="en-GB"/>
              </w:rPr>
              <w:t>N. Iguchi, A. Uchiyama, K. Ueta, Y. Sawa and Y. Fujino. Neutrophil gelatinase-associated lipocalin and liver-type fatty acid-binding protein as biomarkers for acute kidney injury after organ transplantation. Journal of Anesthesia, 29(2), 249-255. [15736]</w:t>
            </w:r>
          </w:p>
        </w:tc>
      </w:tr>
      <w:tr w:rsidR="002F0133" w:rsidRPr="000B4E2C" w14:paraId="7D799332" w14:textId="77777777" w:rsidTr="000B4E2C">
        <w:trPr>
          <w:cantSplit/>
        </w:trPr>
        <w:tc>
          <w:tcPr>
            <w:tcW w:w="0" w:type="auto"/>
            <w:shd w:val="clear" w:color="auto" w:fill="auto"/>
            <w:noWrap/>
            <w:hideMark/>
          </w:tcPr>
          <w:p w14:paraId="13CF41C8" w14:textId="77777777" w:rsidR="002F0133" w:rsidRPr="000B4E2C" w:rsidRDefault="002F0133" w:rsidP="008A7464">
            <w:pPr>
              <w:rPr>
                <w:lang w:eastAsia="en-GB"/>
              </w:rPr>
            </w:pPr>
            <w:r w:rsidRPr="000B4E2C">
              <w:rPr>
                <w:lang w:eastAsia="en-GB"/>
              </w:rPr>
              <w:t>In</w:t>
            </w:r>
          </w:p>
        </w:tc>
        <w:tc>
          <w:tcPr>
            <w:tcW w:w="0" w:type="auto"/>
            <w:shd w:val="clear" w:color="auto" w:fill="auto"/>
            <w:noWrap/>
            <w:hideMark/>
          </w:tcPr>
          <w:p w14:paraId="111B4CCF"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5F5E48AF"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F175736" w14:textId="77777777" w:rsidR="002F0133" w:rsidRPr="000B4E2C" w:rsidRDefault="002F0133" w:rsidP="008A7464">
            <w:pPr>
              <w:rPr>
                <w:highlight w:val="green"/>
                <w:lang w:eastAsia="en-GB"/>
              </w:rPr>
            </w:pPr>
            <w:r w:rsidRPr="000B4E2C">
              <w:rPr>
                <w:highlight w:val="green"/>
                <w:lang w:eastAsia="en-GB"/>
              </w:rPr>
              <w:t>J. W. In, J. E. Kim, J. S. Jeong, S. H. Song and H. K. Kim. Diagnostic and prognostic significance of neutrophil gelatinase-associated lipocalin in disseminated intravascular coagulation. Clinica Chimica Acta, 430(145-149. [15739]</w:t>
            </w:r>
          </w:p>
        </w:tc>
      </w:tr>
      <w:tr w:rsidR="002F0133" w:rsidRPr="000B4E2C" w14:paraId="6A882EA4" w14:textId="77777777" w:rsidTr="000B4E2C">
        <w:trPr>
          <w:cantSplit/>
        </w:trPr>
        <w:tc>
          <w:tcPr>
            <w:tcW w:w="0" w:type="auto"/>
            <w:shd w:val="clear" w:color="auto" w:fill="auto"/>
            <w:noWrap/>
            <w:hideMark/>
          </w:tcPr>
          <w:p w14:paraId="3C10EA89" w14:textId="77777777" w:rsidR="002F0133" w:rsidRPr="000B4E2C" w:rsidRDefault="002F0133" w:rsidP="008A7464">
            <w:pPr>
              <w:rPr>
                <w:lang w:eastAsia="en-GB"/>
              </w:rPr>
            </w:pPr>
            <w:r w:rsidRPr="000B4E2C">
              <w:rPr>
                <w:lang w:eastAsia="en-GB"/>
              </w:rPr>
              <w:t>Innami</w:t>
            </w:r>
          </w:p>
        </w:tc>
        <w:tc>
          <w:tcPr>
            <w:tcW w:w="0" w:type="auto"/>
            <w:shd w:val="clear" w:color="auto" w:fill="auto"/>
            <w:noWrap/>
            <w:hideMark/>
          </w:tcPr>
          <w:p w14:paraId="70026FE5"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288B9423" w14:textId="7A1AF68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DBEC495" w14:textId="77777777" w:rsidR="002F0133" w:rsidRPr="000B4E2C" w:rsidRDefault="002F0133" w:rsidP="008A7464">
            <w:pPr>
              <w:rPr>
                <w:highlight w:val="green"/>
                <w:lang w:eastAsia="en-GB"/>
              </w:rPr>
            </w:pPr>
            <w:r w:rsidRPr="000B4E2C">
              <w:rPr>
                <w:highlight w:val="green"/>
                <w:lang w:eastAsia="en-GB"/>
              </w:rPr>
              <w:t>Y. Innami, N. Katori, K. Mori, S. Kosugi, T. Suzuki, N. Sakurai, H. Nagata, J. Takeda and H. Morisaki. Increased prothrombotic property as a risk factor of acute kidney injury after surgical repair of abdominal aortic aneurysm: A prospective observational study. Journal of Intensive Care, 2(1), 46. [15740]</w:t>
            </w:r>
          </w:p>
        </w:tc>
      </w:tr>
      <w:tr w:rsidR="002F0133" w:rsidRPr="000B4E2C" w14:paraId="7A7FC0AF" w14:textId="77777777" w:rsidTr="000B4E2C">
        <w:trPr>
          <w:cantSplit/>
        </w:trPr>
        <w:tc>
          <w:tcPr>
            <w:tcW w:w="0" w:type="auto"/>
            <w:shd w:val="clear" w:color="auto" w:fill="auto"/>
            <w:noWrap/>
            <w:hideMark/>
          </w:tcPr>
          <w:p w14:paraId="0572315C" w14:textId="77777777" w:rsidR="002F0133" w:rsidRPr="000B4E2C" w:rsidRDefault="002F0133" w:rsidP="008A7464">
            <w:pPr>
              <w:rPr>
                <w:lang w:eastAsia="en-GB"/>
              </w:rPr>
            </w:pPr>
            <w:r w:rsidRPr="000B4E2C">
              <w:rPr>
                <w:lang w:eastAsia="en-GB"/>
              </w:rPr>
              <w:t>Introcaso</w:t>
            </w:r>
          </w:p>
        </w:tc>
        <w:tc>
          <w:tcPr>
            <w:tcW w:w="0" w:type="auto"/>
            <w:shd w:val="clear" w:color="auto" w:fill="auto"/>
            <w:noWrap/>
            <w:hideMark/>
          </w:tcPr>
          <w:p w14:paraId="08DC397E"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03964A8E" w14:textId="5DC3939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7B6CA68" w14:textId="17BCFED2" w:rsidR="002F0133" w:rsidRPr="000B4E2C" w:rsidRDefault="002F0133" w:rsidP="008A7464">
            <w:pPr>
              <w:rPr>
                <w:highlight w:val="green"/>
                <w:lang w:eastAsia="en-GB"/>
              </w:rPr>
            </w:pPr>
            <w:r w:rsidRPr="000B4E2C">
              <w:rPr>
                <w:highlight w:val="green"/>
                <w:lang w:eastAsia="en-GB"/>
              </w:rPr>
              <w:t>G. Introcaso, M. Nafi, A. Bonomi, C. L</w:t>
            </w:r>
            <w:r w:rsidR="0072128A" w:rsidRPr="000B4E2C">
              <w:rPr>
                <w:color w:val="00B0F0"/>
                <w:highlight w:val="green"/>
                <w:lang w:eastAsia="en-GB"/>
              </w:rPr>
              <w:t>’</w:t>
            </w:r>
            <w:r w:rsidRPr="000B4E2C">
              <w:rPr>
                <w:highlight w:val="green"/>
                <w:lang w:eastAsia="en-GB"/>
              </w:rPr>
              <w:t>Acqua, L. Salvi, R. Ceriani, D. Carcione, A. Cattaneo and M. T. Sandri. Improvement of neutrophil gelatinase-associated lipocalin sensitivity and specificity by two plasma measurements in predicting acute kidney injury aftecardiac surgery. Biochemia Medica, 28(3), 030701. [15741]</w:t>
            </w:r>
          </w:p>
        </w:tc>
      </w:tr>
      <w:tr w:rsidR="002F0133" w:rsidRPr="000B4E2C" w14:paraId="126CB85A" w14:textId="77777777" w:rsidTr="000B4E2C">
        <w:trPr>
          <w:cantSplit/>
        </w:trPr>
        <w:tc>
          <w:tcPr>
            <w:tcW w:w="0" w:type="auto"/>
            <w:shd w:val="clear" w:color="auto" w:fill="auto"/>
            <w:noWrap/>
            <w:hideMark/>
          </w:tcPr>
          <w:p w14:paraId="120FEFAA" w14:textId="77777777" w:rsidR="002F0133" w:rsidRPr="000B4E2C" w:rsidRDefault="002F0133" w:rsidP="008A7464">
            <w:pPr>
              <w:rPr>
                <w:lang w:eastAsia="en-GB"/>
              </w:rPr>
            </w:pPr>
            <w:r w:rsidRPr="000B4E2C">
              <w:rPr>
                <w:lang w:eastAsia="en-GB"/>
              </w:rPr>
              <w:t>Isikkent</w:t>
            </w:r>
          </w:p>
        </w:tc>
        <w:tc>
          <w:tcPr>
            <w:tcW w:w="0" w:type="auto"/>
            <w:shd w:val="clear" w:color="auto" w:fill="auto"/>
            <w:noWrap/>
            <w:hideMark/>
          </w:tcPr>
          <w:p w14:paraId="086A0A6D"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671EBDE1" w14:textId="09AA22E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167491E" w14:textId="77777777" w:rsidR="002F0133" w:rsidRPr="000B4E2C" w:rsidRDefault="002F0133" w:rsidP="008A7464">
            <w:pPr>
              <w:rPr>
                <w:highlight w:val="green"/>
                <w:lang w:eastAsia="en-GB"/>
              </w:rPr>
            </w:pPr>
            <w:r w:rsidRPr="000B4E2C">
              <w:rPr>
                <w:highlight w:val="green"/>
                <w:lang w:eastAsia="en-GB"/>
              </w:rPr>
              <w:t>A. Isikkent, S. Yilmaz, I. U. Ozturan, N. O. Dogan, E. Yaka, H. Gultekin, T. Kum and M. Pekdemir. Utility of neutrophil celatinase-associated lipocalin in the management of acute kidney injury: A prospective, observational study. Hong Kong Journal of Emergency Medicine, . [15743]</w:t>
            </w:r>
          </w:p>
        </w:tc>
      </w:tr>
      <w:tr w:rsidR="002F0133" w:rsidRPr="000B4E2C" w14:paraId="4FAA7298" w14:textId="77777777" w:rsidTr="000B4E2C">
        <w:trPr>
          <w:cantSplit/>
        </w:trPr>
        <w:tc>
          <w:tcPr>
            <w:tcW w:w="0" w:type="auto"/>
            <w:shd w:val="clear" w:color="auto" w:fill="auto"/>
            <w:noWrap/>
            <w:hideMark/>
          </w:tcPr>
          <w:p w14:paraId="6FE90DDD" w14:textId="77777777" w:rsidR="002F0133" w:rsidRPr="000B4E2C" w:rsidRDefault="002F0133" w:rsidP="008A7464">
            <w:pPr>
              <w:rPr>
                <w:lang w:eastAsia="en-GB"/>
              </w:rPr>
            </w:pPr>
            <w:r w:rsidRPr="000B4E2C">
              <w:rPr>
                <w:lang w:eastAsia="en-GB"/>
              </w:rPr>
              <w:t>Isler</w:t>
            </w:r>
          </w:p>
        </w:tc>
        <w:tc>
          <w:tcPr>
            <w:tcW w:w="0" w:type="auto"/>
            <w:shd w:val="clear" w:color="auto" w:fill="auto"/>
            <w:noWrap/>
            <w:hideMark/>
          </w:tcPr>
          <w:p w14:paraId="5AC5C7D3"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08FE342" w14:textId="0791C56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B0E539C" w14:textId="77777777" w:rsidR="002F0133" w:rsidRPr="000B4E2C" w:rsidRDefault="002F0133" w:rsidP="008A7464">
            <w:pPr>
              <w:rPr>
                <w:highlight w:val="green"/>
                <w:lang w:eastAsia="en-GB"/>
              </w:rPr>
            </w:pPr>
            <w:r w:rsidRPr="000B4E2C">
              <w:rPr>
                <w:highlight w:val="green"/>
                <w:lang w:eastAsia="en-GB"/>
              </w:rPr>
              <w:t>Y. Isler, S. Ozdinc and H. Kaya. Can ngal be used as an early marker of contrast-induced nephropathy in emergency department. Acta Medica Mediterranea, 34(6), 1889-1894. [15744]</w:t>
            </w:r>
          </w:p>
        </w:tc>
      </w:tr>
      <w:tr w:rsidR="002F0133" w:rsidRPr="000B4E2C" w14:paraId="42D20607" w14:textId="77777777" w:rsidTr="000B4E2C">
        <w:trPr>
          <w:cantSplit/>
        </w:trPr>
        <w:tc>
          <w:tcPr>
            <w:tcW w:w="0" w:type="auto"/>
            <w:shd w:val="clear" w:color="auto" w:fill="auto"/>
            <w:noWrap/>
            <w:hideMark/>
          </w:tcPr>
          <w:p w14:paraId="58FB12C6" w14:textId="77777777" w:rsidR="002F0133" w:rsidRPr="000B4E2C" w:rsidRDefault="002F0133" w:rsidP="008A7464">
            <w:pPr>
              <w:rPr>
                <w:lang w:eastAsia="en-GB"/>
              </w:rPr>
            </w:pPr>
            <w:r w:rsidRPr="000B4E2C">
              <w:rPr>
                <w:lang w:eastAsia="en-GB"/>
              </w:rPr>
              <w:lastRenderedPageBreak/>
              <w:t>Ismail</w:t>
            </w:r>
          </w:p>
        </w:tc>
        <w:tc>
          <w:tcPr>
            <w:tcW w:w="0" w:type="auto"/>
            <w:shd w:val="clear" w:color="auto" w:fill="auto"/>
            <w:noWrap/>
            <w:hideMark/>
          </w:tcPr>
          <w:p w14:paraId="330C22CD"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739FE963" w14:textId="09DC12A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8C96FC7" w14:textId="77777777" w:rsidR="002F0133" w:rsidRPr="000B4E2C" w:rsidRDefault="002F0133" w:rsidP="008A7464">
            <w:pPr>
              <w:rPr>
                <w:highlight w:val="green"/>
                <w:lang w:eastAsia="en-GB"/>
              </w:rPr>
            </w:pPr>
            <w:r w:rsidRPr="000B4E2C">
              <w:rPr>
                <w:highlight w:val="green"/>
                <w:lang w:eastAsia="en-GB"/>
              </w:rPr>
              <w:t>G. Ismail, R. Bobeica, S. Ioanitescu and R. Jurubita. Association of serum and urinary neutrophil gelatinase-associated lipocalin (NGAL) levels with disease severity in patients with early-stage autosomal dominant polycystic kidney disease. Revista Romana De Medicina De Laborator, 20(2), 109-116. [18471]</w:t>
            </w:r>
          </w:p>
        </w:tc>
      </w:tr>
      <w:tr w:rsidR="002F0133" w:rsidRPr="000B4E2C" w14:paraId="00FE2AE1" w14:textId="77777777" w:rsidTr="000B4E2C">
        <w:trPr>
          <w:cantSplit/>
        </w:trPr>
        <w:tc>
          <w:tcPr>
            <w:tcW w:w="0" w:type="auto"/>
            <w:shd w:val="clear" w:color="auto" w:fill="auto"/>
            <w:noWrap/>
            <w:hideMark/>
          </w:tcPr>
          <w:p w14:paraId="0E3E0121" w14:textId="77777777" w:rsidR="002F0133" w:rsidRPr="000B4E2C" w:rsidRDefault="002F0133" w:rsidP="008A7464">
            <w:pPr>
              <w:rPr>
                <w:lang w:eastAsia="en-GB"/>
              </w:rPr>
            </w:pPr>
            <w:r w:rsidRPr="000B4E2C">
              <w:rPr>
                <w:lang w:eastAsia="en-GB"/>
              </w:rPr>
              <w:t>Isshiki</w:t>
            </w:r>
          </w:p>
        </w:tc>
        <w:tc>
          <w:tcPr>
            <w:tcW w:w="0" w:type="auto"/>
            <w:shd w:val="clear" w:color="auto" w:fill="auto"/>
            <w:noWrap/>
            <w:hideMark/>
          </w:tcPr>
          <w:p w14:paraId="7BBE0682"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440C99EB"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3279AD68" w14:textId="77777777" w:rsidR="002F0133" w:rsidRPr="000B4E2C" w:rsidRDefault="002F0133" w:rsidP="008A7464">
            <w:pPr>
              <w:rPr>
                <w:highlight w:val="green"/>
                <w:lang w:eastAsia="en-GB"/>
              </w:rPr>
            </w:pPr>
            <w:r w:rsidRPr="000B4E2C">
              <w:rPr>
                <w:highlight w:val="green"/>
                <w:lang w:eastAsia="en-GB"/>
              </w:rPr>
              <w:t>R. Isshiki, T. Asada, D. Sato, M. Sumida, Y. Hamasaki, R. Inokuchi, T. Matsubara, T. Ishii, N. Yahagi, M. Nangaku, E. Noiri and K. Doi. Association of Urinary Neutrophil Gelatinase-Associated Lipocalin with Long-Term Renal Outcomes in ICU Survivors: A Retrospective Observational Cohort Study. Shock, 46(1), 44-51. [15746]</w:t>
            </w:r>
          </w:p>
        </w:tc>
      </w:tr>
      <w:tr w:rsidR="002F0133" w:rsidRPr="000B4E2C" w14:paraId="19CEB087" w14:textId="77777777" w:rsidTr="000B4E2C">
        <w:trPr>
          <w:cantSplit/>
        </w:trPr>
        <w:tc>
          <w:tcPr>
            <w:tcW w:w="0" w:type="auto"/>
            <w:shd w:val="clear" w:color="auto" w:fill="auto"/>
            <w:noWrap/>
            <w:hideMark/>
          </w:tcPr>
          <w:p w14:paraId="31BFA0C7" w14:textId="77777777" w:rsidR="002F0133" w:rsidRPr="000B4E2C" w:rsidRDefault="002F0133" w:rsidP="008A7464">
            <w:pPr>
              <w:rPr>
                <w:lang w:eastAsia="en-GB"/>
              </w:rPr>
            </w:pPr>
            <w:r w:rsidRPr="000B4E2C">
              <w:rPr>
                <w:lang w:eastAsia="en-GB"/>
              </w:rPr>
              <w:t>Itenov</w:t>
            </w:r>
          </w:p>
        </w:tc>
        <w:tc>
          <w:tcPr>
            <w:tcW w:w="0" w:type="auto"/>
            <w:shd w:val="clear" w:color="auto" w:fill="auto"/>
            <w:noWrap/>
            <w:hideMark/>
          </w:tcPr>
          <w:p w14:paraId="1F87BE20"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59589B6"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44D0D02A" w14:textId="77777777" w:rsidR="002F0133" w:rsidRPr="000B4E2C" w:rsidRDefault="002F0133" w:rsidP="008A7464">
            <w:pPr>
              <w:rPr>
                <w:highlight w:val="green"/>
                <w:lang w:eastAsia="en-GB"/>
              </w:rPr>
            </w:pPr>
            <w:r w:rsidRPr="000B4E2C">
              <w:rPr>
                <w:highlight w:val="green"/>
                <w:lang w:eastAsia="en-GB"/>
              </w:rPr>
              <w:t>T. S. Itenov, K. Bangert, P. H. Christensen, J. U. Jensen, M. H. Bestle, M. L. Jakobsen, S. S. Reilev, M. Kofoed-Djursner, M. B. Rasmussen, C. S. V. Hallas, M. Zacho, J. Iversen, T. Leerbeck, M. Jeppesen, K. S. Hansen, K. B. Jensen, J. D. Knudsen, A. Friis-Moller, K. Schonning, A. Lester, H. Westh, G. Lisby, J. K. Moller, B. Bruun, J. J. Christensen, M. Arpi, K. Astvad, M. D. Bartels, J. Engberg, H. Fjeldsoe-Nielsen, U. S. Jensen, L. Hein, T. Mohr, D. G. Strange, P. L. Petersen, A. O. Lauritsen, S. Hougaard, T. Mantoni, L. Nebrich, A. Bendtsen, L. H. Andersen, F. Baerentzen, A. Eversbusch, B. Bomler, R. Martusevicius, T. Nielsen, BadstolokkenP.M, C. Maschmann, P. Hallas, A. Lindhardt, T. Galle, K. Graeser, E. Hohwu-Christensen, P. Gregersen, H. C. Boesen, L. M. Pedersen, K. Thiesen, L. C. Hallengreen, I. Rye, J. Cordtz, K. R. Madsen, P. R. C. Kirkegaard, L. Findsen, L. H. Nielsen, D. H. Pedersen, J. H. Andersen, C. Albrechtsen, A. Jacobsen, T. Jansen, A. G. Jensen, H. H. Jorgensen, M. Vazin, L. Lipsius, K. Thornberg, J. Nielsen, K. Thormar, M. Skielboe, B. Thage, C. Thoft, M. Uldbjerg, E. Anderlo, M. Engsig, F. Hani, R. B. Jacobsen, L. Mulla, U. Skram, H. Tousi, P. Soe-Jensen, T. Waldau, T. Faber, B. Andersen, I. Gillesberg, A. Christensen, C. Hartmann, R. Albret, D. S. Dinesen, K. Gani, M. Ibsen, N. G. Holler, J. Loken, M. Steensen, J. A. Petersen, P. Carl, E. Gade, D. Solevad, C. Heiring, M. Jorgensen, K. Ekelund, A. Afshari, N. Hammer, M. Bitsch, J. S. Hansen, C. Wamberg, T. D. Clausen, R. Winkel, J. Huusom, D. L. Buck, U. Grevstad, E. Aasvang, K. Lenz, P. Mellado, H. Karacan, J. Hidestal, J. Hogagard, J. Hojbjerg, J. Hojlund, M. Johansen, S. Strande, M. Bestle, S. Hestad, M. Ostergaard, N. Wesche, S. A. Nielsen, H. Christensen, H. Blom, C. H. Jensen, K. Nielsen, I. B. Jensen, K. A. Jeppesen, M. H. Andersen, P. Fjeldborg, A. Vestergaard, O. Viborg, C. D. Rossau, N. Reiter, M. Glaeemose, M. B. Wraner, C. B. Thomsen, B. Rasmussen, C. Lund-Rasmussen, B. Bech, K. Bjerregaard, L. Spliid, L. L. W. Nielsen, N. E. Drenck, K. M. Larsen, M. Goldinger, D. Illum, C. Jessen, A. Christiansen, A. Berg, T. Elkmann, J. A. K. Pedersen, M. Simonsen, H. Joensen, H. Alstrom, C. Svane and A. Engquist. Serum and Plasma Neutrophil Gelatinase Associated Lipocalin (NGAL) Levels are Not Equivalent in Patients Admitted to Intensive Care. Journal of Clinical Laboratory Analysis, 28(2), 163-167. [15748]</w:t>
            </w:r>
          </w:p>
        </w:tc>
      </w:tr>
      <w:tr w:rsidR="002F0133" w:rsidRPr="000B4E2C" w14:paraId="3E580802" w14:textId="77777777" w:rsidTr="000B4E2C">
        <w:trPr>
          <w:cantSplit/>
        </w:trPr>
        <w:tc>
          <w:tcPr>
            <w:tcW w:w="0" w:type="auto"/>
            <w:shd w:val="clear" w:color="auto" w:fill="auto"/>
            <w:noWrap/>
            <w:hideMark/>
          </w:tcPr>
          <w:p w14:paraId="2956F9A5" w14:textId="77777777" w:rsidR="002F0133" w:rsidRPr="000B4E2C" w:rsidRDefault="002F0133" w:rsidP="008A7464">
            <w:pPr>
              <w:rPr>
                <w:lang w:eastAsia="en-GB"/>
              </w:rPr>
            </w:pPr>
            <w:r w:rsidRPr="000B4E2C">
              <w:rPr>
                <w:lang w:eastAsia="en-GB"/>
              </w:rPr>
              <w:t>Izadi</w:t>
            </w:r>
          </w:p>
        </w:tc>
        <w:tc>
          <w:tcPr>
            <w:tcW w:w="0" w:type="auto"/>
            <w:shd w:val="clear" w:color="auto" w:fill="auto"/>
            <w:noWrap/>
            <w:hideMark/>
          </w:tcPr>
          <w:p w14:paraId="08B3F72D"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B1E30B7" w14:textId="128BCB23" w:rsidR="002F0133" w:rsidRPr="000B4E2C" w:rsidRDefault="002F0133" w:rsidP="008A7464">
            <w:pPr>
              <w:rPr>
                <w:lang w:eastAsia="en-GB"/>
              </w:rPr>
            </w:pPr>
            <w:r w:rsidRPr="000B4E2C">
              <w:rPr>
                <w:lang w:eastAsia="en-GB"/>
              </w:rPr>
              <w:t>Systematic review</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503FE599" w14:textId="77777777" w:rsidR="002F0133" w:rsidRPr="000B4E2C" w:rsidRDefault="002F0133" w:rsidP="008A7464">
            <w:pPr>
              <w:rPr>
                <w:highlight w:val="green"/>
                <w:lang w:eastAsia="en-GB"/>
              </w:rPr>
            </w:pPr>
            <w:r w:rsidRPr="000B4E2C">
              <w:rPr>
                <w:highlight w:val="green"/>
                <w:lang w:eastAsia="en-GB"/>
              </w:rPr>
              <w:t>A. Izadi, M. Yousefifard, B. Nakhjavan-Shahraki, M. Baikpour, J. M. Razaz, N. Ataei and M. Hosseini. Value of Plasma/Serum Neutrophil Gelatinase-Associated Lipocalin in Detection of Pediatric Acute Kidney Injury; a Systematic Review and Meta-Analysis. International Journal of Pediatrics-Mashhad, 4(11), 3815-3836. [18472]</w:t>
            </w:r>
          </w:p>
        </w:tc>
      </w:tr>
      <w:tr w:rsidR="002F0133" w:rsidRPr="000B4E2C" w14:paraId="47BA9D87" w14:textId="77777777" w:rsidTr="000B4E2C">
        <w:trPr>
          <w:cantSplit/>
        </w:trPr>
        <w:tc>
          <w:tcPr>
            <w:tcW w:w="0" w:type="auto"/>
            <w:shd w:val="clear" w:color="auto" w:fill="auto"/>
            <w:noWrap/>
            <w:hideMark/>
          </w:tcPr>
          <w:p w14:paraId="5237FE01" w14:textId="77777777" w:rsidR="002F0133" w:rsidRPr="000B4E2C" w:rsidRDefault="002F0133" w:rsidP="008A7464">
            <w:pPr>
              <w:rPr>
                <w:lang w:eastAsia="en-GB"/>
              </w:rPr>
            </w:pPr>
            <w:r w:rsidRPr="000B4E2C">
              <w:rPr>
                <w:lang w:eastAsia="en-GB"/>
              </w:rPr>
              <w:t>Jafari</w:t>
            </w:r>
          </w:p>
        </w:tc>
        <w:tc>
          <w:tcPr>
            <w:tcW w:w="0" w:type="auto"/>
            <w:shd w:val="clear" w:color="auto" w:fill="auto"/>
            <w:noWrap/>
            <w:hideMark/>
          </w:tcPr>
          <w:p w14:paraId="49185EEE"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46FE9FE3" w14:textId="145051C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1488F9F" w14:textId="77777777" w:rsidR="002F0133" w:rsidRPr="000B4E2C" w:rsidRDefault="002F0133" w:rsidP="008A7464">
            <w:pPr>
              <w:rPr>
                <w:highlight w:val="green"/>
                <w:lang w:eastAsia="en-GB"/>
              </w:rPr>
            </w:pPr>
            <w:r w:rsidRPr="000B4E2C">
              <w:rPr>
                <w:highlight w:val="green"/>
                <w:lang w:eastAsia="en-GB"/>
              </w:rPr>
              <w:t>M. Jafari, S. Ala, K. Haddadi, A. Alipour, M. Mojtahedzadeh, S. Ehteshami, S. Abediankenari, M. Shafizad, E. Salehifar and F. Khalili. Cotreatment with furosemide and hypertonic saline decreases serum neutrophil gelatinase-associated lipocalin (NGAL) and serum creatinine concentrations in traumatic brain injury: A randomized, single-blind clinical trial. Iranian Journal of Pharmaceutical Research, 17(3), 1130-1140. [15753]</w:t>
            </w:r>
          </w:p>
        </w:tc>
      </w:tr>
      <w:tr w:rsidR="002F0133" w:rsidRPr="000B4E2C" w14:paraId="7D5F0468" w14:textId="77777777" w:rsidTr="000B4E2C">
        <w:trPr>
          <w:cantSplit/>
        </w:trPr>
        <w:tc>
          <w:tcPr>
            <w:tcW w:w="0" w:type="auto"/>
            <w:shd w:val="clear" w:color="auto" w:fill="auto"/>
            <w:noWrap/>
            <w:hideMark/>
          </w:tcPr>
          <w:p w14:paraId="5D3A2AEB" w14:textId="77777777" w:rsidR="002F0133" w:rsidRPr="000B4E2C" w:rsidRDefault="002F0133" w:rsidP="008A7464">
            <w:pPr>
              <w:rPr>
                <w:lang w:eastAsia="en-GB"/>
              </w:rPr>
            </w:pPr>
            <w:r w:rsidRPr="000B4E2C">
              <w:rPr>
                <w:lang w:eastAsia="en-GB"/>
              </w:rPr>
              <w:lastRenderedPageBreak/>
              <w:t>Jahnukainen</w:t>
            </w:r>
          </w:p>
        </w:tc>
        <w:tc>
          <w:tcPr>
            <w:tcW w:w="0" w:type="auto"/>
            <w:shd w:val="clear" w:color="auto" w:fill="auto"/>
            <w:noWrap/>
            <w:hideMark/>
          </w:tcPr>
          <w:p w14:paraId="1B8D6246"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9FFD64C" w14:textId="7546B94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6CCE44D" w14:textId="77777777" w:rsidR="002F0133" w:rsidRPr="000B4E2C" w:rsidRDefault="002F0133" w:rsidP="008A7464">
            <w:pPr>
              <w:rPr>
                <w:highlight w:val="green"/>
                <w:lang w:eastAsia="en-GB"/>
              </w:rPr>
            </w:pPr>
            <w:r w:rsidRPr="000B4E2C">
              <w:rPr>
                <w:highlight w:val="green"/>
                <w:lang w:eastAsia="en-GB"/>
              </w:rPr>
              <w:t>T. Jahnukainen, J. Keski-Nisula, J. Tainio, H. Valkonen, T. Patila, H. Jalanko and P. Suominen. Efficacy of corticosteroids in prevention of acute kidney injury in neonates undergoing cardiac surgery-A randomized controlled trial. Acta Anaesthesiologica Scandinavica, 62(8), 1072-1079. [15755]</w:t>
            </w:r>
          </w:p>
        </w:tc>
      </w:tr>
      <w:tr w:rsidR="002F0133" w:rsidRPr="000B4E2C" w14:paraId="18D816C0" w14:textId="77777777" w:rsidTr="000B4E2C">
        <w:trPr>
          <w:cantSplit/>
        </w:trPr>
        <w:tc>
          <w:tcPr>
            <w:tcW w:w="0" w:type="auto"/>
            <w:shd w:val="clear" w:color="auto" w:fill="auto"/>
            <w:noWrap/>
            <w:hideMark/>
          </w:tcPr>
          <w:p w14:paraId="413910F4" w14:textId="77777777" w:rsidR="002F0133" w:rsidRPr="000B4E2C" w:rsidRDefault="002F0133" w:rsidP="008A7464">
            <w:pPr>
              <w:rPr>
                <w:lang w:eastAsia="en-GB"/>
              </w:rPr>
            </w:pPr>
            <w:r w:rsidRPr="000B4E2C">
              <w:rPr>
                <w:lang w:eastAsia="en-GB"/>
              </w:rPr>
              <w:t>Jain</w:t>
            </w:r>
          </w:p>
        </w:tc>
        <w:tc>
          <w:tcPr>
            <w:tcW w:w="0" w:type="auto"/>
            <w:shd w:val="clear" w:color="auto" w:fill="auto"/>
            <w:noWrap/>
            <w:hideMark/>
          </w:tcPr>
          <w:p w14:paraId="454C2E31"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1694E791" w14:textId="3375988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9847061" w14:textId="77777777" w:rsidR="002F0133" w:rsidRPr="000B4E2C" w:rsidRDefault="002F0133" w:rsidP="008A7464">
            <w:pPr>
              <w:rPr>
                <w:highlight w:val="green"/>
                <w:lang w:eastAsia="en-GB"/>
              </w:rPr>
            </w:pPr>
            <w:r w:rsidRPr="000B4E2C">
              <w:rPr>
                <w:highlight w:val="green"/>
                <w:lang w:eastAsia="en-GB"/>
              </w:rPr>
              <w:t>V. Jain, Y. Mehta, A. Gupta, R. Sharma, A. Raizada and N. Trehan. The role of neutrophil gelatinase-associated lipocalin in predicting acute kidney injury in patients undergoing off-pump coronary artery bypass graft: A pilot study. Annals of Cardiac Anaesthesia, 19(2), 225-230. [15756]</w:t>
            </w:r>
          </w:p>
        </w:tc>
      </w:tr>
      <w:tr w:rsidR="002F0133" w:rsidRPr="000B4E2C" w14:paraId="72931CEF" w14:textId="77777777" w:rsidTr="000B4E2C">
        <w:trPr>
          <w:cantSplit/>
        </w:trPr>
        <w:tc>
          <w:tcPr>
            <w:tcW w:w="0" w:type="auto"/>
            <w:shd w:val="clear" w:color="auto" w:fill="auto"/>
            <w:noWrap/>
            <w:hideMark/>
          </w:tcPr>
          <w:p w14:paraId="34ED919A" w14:textId="77777777" w:rsidR="002F0133" w:rsidRPr="000B4E2C" w:rsidRDefault="002F0133" w:rsidP="008A7464">
            <w:pPr>
              <w:rPr>
                <w:lang w:eastAsia="en-GB"/>
              </w:rPr>
            </w:pPr>
            <w:r w:rsidRPr="000B4E2C">
              <w:rPr>
                <w:lang w:eastAsia="en-GB"/>
              </w:rPr>
              <w:t>Jayaraman</w:t>
            </w:r>
          </w:p>
        </w:tc>
        <w:tc>
          <w:tcPr>
            <w:tcW w:w="0" w:type="auto"/>
            <w:shd w:val="clear" w:color="auto" w:fill="auto"/>
            <w:noWrap/>
            <w:hideMark/>
          </w:tcPr>
          <w:p w14:paraId="18F79039"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6C6494ED"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9B2271B" w14:textId="77777777" w:rsidR="002F0133" w:rsidRPr="000B4E2C" w:rsidRDefault="002F0133" w:rsidP="008A7464">
            <w:pPr>
              <w:rPr>
                <w:highlight w:val="green"/>
                <w:lang w:eastAsia="en-GB"/>
              </w:rPr>
            </w:pPr>
            <w:r w:rsidRPr="000B4E2C">
              <w:rPr>
                <w:highlight w:val="green"/>
                <w:lang w:eastAsia="en-GB"/>
              </w:rPr>
              <w:t>R. Jayaraman, S. Sunder, S. Sathi, V. K. Gupta, N. Sharma, P. Kanchi, A. Gupta, S. K. Daksh, P. Ram and A. Mohamed. Post cardiac surgery acute kidney injury: A woebegone status rejuvenated by the novel biomarkers. Iranian Red Crescent Medical Journal, 16(7), e19598. [15763]</w:t>
            </w:r>
          </w:p>
        </w:tc>
      </w:tr>
      <w:tr w:rsidR="002F0133" w:rsidRPr="000B4E2C" w14:paraId="4EABC3BF" w14:textId="77777777" w:rsidTr="000B4E2C">
        <w:trPr>
          <w:cantSplit/>
        </w:trPr>
        <w:tc>
          <w:tcPr>
            <w:tcW w:w="0" w:type="auto"/>
            <w:shd w:val="clear" w:color="auto" w:fill="auto"/>
            <w:noWrap/>
            <w:hideMark/>
          </w:tcPr>
          <w:p w14:paraId="10C9ECC5" w14:textId="77777777" w:rsidR="002F0133" w:rsidRPr="000B4E2C" w:rsidRDefault="002F0133" w:rsidP="008A7464">
            <w:pPr>
              <w:rPr>
                <w:lang w:eastAsia="en-GB"/>
              </w:rPr>
            </w:pPr>
            <w:r w:rsidRPr="000B4E2C">
              <w:rPr>
                <w:lang w:eastAsia="en-GB"/>
              </w:rPr>
              <w:t>Jelinek</w:t>
            </w:r>
          </w:p>
        </w:tc>
        <w:tc>
          <w:tcPr>
            <w:tcW w:w="0" w:type="auto"/>
            <w:shd w:val="clear" w:color="auto" w:fill="auto"/>
            <w:noWrap/>
            <w:hideMark/>
          </w:tcPr>
          <w:p w14:paraId="2D8D036E"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5C95FD7"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96E7C84" w14:textId="77777777" w:rsidR="002F0133" w:rsidRPr="000B4E2C" w:rsidRDefault="002F0133" w:rsidP="008A7464">
            <w:pPr>
              <w:rPr>
                <w:highlight w:val="green"/>
                <w:lang w:eastAsia="en-GB"/>
              </w:rPr>
            </w:pPr>
            <w:r w:rsidRPr="000B4E2C">
              <w:rPr>
                <w:highlight w:val="green"/>
                <w:lang w:eastAsia="en-GB"/>
              </w:rPr>
              <w:t>M. J. Jelinek, S. M. Lee, A. Wyche Okpareke, C. Wing, J. L. Koyner, P. T. Murray, W. M. Stadler and O. D. P.H. Predicting Acute Renal Injury in Cancer Patients Receiving Cisplatin Using Urinary Neutrophil Gelatinase-Associated Lipocalin and Cystatin C. Clinical and Translational Science, 11(4), 420-427. [15766]</w:t>
            </w:r>
          </w:p>
        </w:tc>
      </w:tr>
      <w:tr w:rsidR="002F0133" w:rsidRPr="000B4E2C" w14:paraId="4DF18186" w14:textId="77777777" w:rsidTr="000B4E2C">
        <w:trPr>
          <w:cantSplit/>
        </w:trPr>
        <w:tc>
          <w:tcPr>
            <w:tcW w:w="0" w:type="auto"/>
            <w:shd w:val="clear" w:color="auto" w:fill="auto"/>
            <w:noWrap/>
            <w:hideMark/>
          </w:tcPr>
          <w:p w14:paraId="2E815087" w14:textId="77777777" w:rsidR="002F0133" w:rsidRPr="000B4E2C" w:rsidRDefault="002F0133" w:rsidP="008A7464">
            <w:pPr>
              <w:rPr>
                <w:lang w:eastAsia="en-GB"/>
              </w:rPr>
            </w:pPr>
            <w:r w:rsidRPr="000B4E2C">
              <w:rPr>
                <w:lang w:eastAsia="en-GB"/>
              </w:rPr>
              <w:t>Jeong</w:t>
            </w:r>
          </w:p>
        </w:tc>
        <w:tc>
          <w:tcPr>
            <w:tcW w:w="0" w:type="auto"/>
            <w:shd w:val="clear" w:color="auto" w:fill="auto"/>
            <w:noWrap/>
            <w:hideMark/>
          </w:tcPr>
          <w:p w14:paraId="31FB123A"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07F703FB" w14:textId="6913DB0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A605D8C" w14:textId="77777777" w:rsidR="002F0133" w:rsidRPr="000B4E2C" w:rsidRDefault="002F0133" w:rsidP="008A7464">
            <w:pPr>
              <w:rPr>
                <w:highlight w:val="green"/>
                <w:lang w:eastAsia="en-GB"/>
              </w:rPr>
            </w:pPr>
            <w:r w:rsidRPr="000B4E2C">
              <w:rPr>
                <w:highlight w:val="green"/>
                <w:lang w:eastAsia="en-GB"/>
              </w:rPr>
              <w:t>T. D. Jeong, S. Kim, W. Lee, G. W. Song, Y. K. Kim, S. Chun, S. G. Lee and W. K. Min. Neutrophil gelatinase-associated lipocalin as an early biomarker of acute kidney injury in liver transplantation. Clinical Transplantation, 26(5), 775-781. [15768]</w:t>
            </w:r>
          </w:p>
        </w:tc>
      </w:tr>
      <w:tr w:rsidR="002F0133" w:rsidRPr="000B4E2C" w14:paraId="425222E6" w14:textId="77777777" w:rsidTr="000B4E2C">
        <w:trPr>
          <w:cantSplit/>
        </w:trPr>
        <w:tc>
          <w:tcPr>
            <w:tcW w:w="0" w:type="auto"/>
            <w:shd w:val="clear" w:color="auto" w:fill="auto"/>
            <w:noWrap/>
            <w:hideMark/>
          </w:tcPr>
          <w:p w14:paraId="4502DE53" w14:textId="77777777" w:rsidR="002F0133" w:rsidRPr="000B4E2C" w:rsidRDefault="002F0133" w:rsidP="008A7464">
            <w:pPr>
              <w:rPr>
                <w:lang w:eastAsia="en-GB"/>
              </w:rPr>
            </w:pPr>
            <w:r w:rsidRPr="000B4E2C">
              <w:rPr>
                <w:lang w:eastAsia="en-GB"/>
              </w:rPr>
              <w:t>Je-Yeob</w:t>
            </w:r>
          </w:p>
        </w:tc>
        <w:tc>
          <w:tcPr>
            <w:tcW w:w="0" w:type="auto"/>
            <w:shd w:val="clear" w:color="auto" w:fill="auto"/>
            <w:noWrap/>
            <w:hideMark/>
          </w:tcPr>
          <w:p w14:paraId="1A17FE88"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258C5BDC"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14ACC018" w14:textId="77777777" w:rsidR="002F0133" w:rsidRPr="000B4E2C" w:rsidRDefault="002F0133" w:rsidP="008A7464">
            <w:pPr>
              <w:rPr>
                <w:highlight w:val="green"/>
                <w:lang w:eastAsia="en-GB"/>
              </w:rPr>
            </w:pPr>
            <w:r w:rsidRPr="000B4E2C">
              <w:rPr>
                <w:highlight w:val="green"/>
                <w:lang w:eastAsia="en-GB"/>
              </w:rPr>
              <w:t>L. E. E. Je-Yeob, K. I. M. Jin-Young, O. P. Sang, L. E. E. Kyeong-Ryong, B. Kwang-Je and H. Dae-Young. Plasma Neutrophil Gelatinase-associated Lipocalin is an Early Marker of Acute Kidney Injury. Journal of the Korean Society of Emergency Medicine, 157-163. [6172]</w:t>
            </w:r>
          </w:p>
        </w:tc>
      </w:tr>
      <w:tr w:rsidR="002F0133" w:rsidRPr="000B4E2C" w14:paraId="314B27F2" w14:textId="77777777" w:rsidTr="000B4E2C">
        <w:trPr>
          <w:cantSplit/>
        </w:trPr>
        <w:tc>
          <w:tcPr>
            <w:tcW w:w="0" w:type="auto"/>
            <w:shd w:val="clear" w:color="auto" w:fill="auto"/>
            <w:noWrap/>
            <w:hideMark/>
          </w:tcPr>
          <w:p w14:paraId="6411A4A6" w14:textId="77777777" w:rsidR="002F0133" w:rsidRPr="000B4E2C" w:rsidRDefault="002F0133" w:rsidP="008A7464">
            <w:pPr>
              <w:rPr>
                <w:lang w:eastAsia="en-GB"/>
              </w:rPr>
            </w:pPr>
            <w:r w:rsidRPr="000B4E2C">
              <w:rPr>
                <w:lang w:eastAsia="en-GB"/>
              </w:rPr>
              <w:t>Jia</w:t>
            </w:r>
          </w:p>
        </w:tc>
        <w:tc>
          <w:tcPr>
            <w:tcW w:w="0" w:type="auto"/>
            <w:shd w:val="clear" w:color="auto" w:fill="auto"/>
            <w:noWrap/>
            <w:hideMark/>
          </w:tcPr>
          <w:p w14:paraId="13E65F01"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07D77605" w14:textId="52B3A728"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6FD74A52" w14:textId="77777777" w:rsidR="002F0133" w:rsidRPr="000B4E2C" w:rsidRDefault="002F0133" w:rsidP="008A7464">
            <w:pPr>
              <w:rPr>
                <w:highlight w:val="green"/>
                <w:lang w:eastAsia="en-GB"/>
              </w:rPr>
            </w:pPr>
            <w:r w:rsidRPr="000B4E2C">
              <w:rPr>
                <w:highlight w:val="green"/>
                <w:lang w:eastAsia="en-GB"/>
              </w:rPr>
              <w:t>H. M. Jia, L. F. Huang, Y. Zheng and W. X. Li. Diagnostic value of urinary tissue inhibitor of metalloproteinase-2 and insulin-like growth factor binding protein 7 for acute kidney injury: A meta-analysis. Critical Care, 21(1), 77. [15773]</w:t>
            </w:r>
          </w:p>
        </w:tc>
      </w:tr>
      <w:tr w:rsidR="002F0133" w:rsidRPr="000B4E2C" w14:paraId="59F4F1B9" w14:textId="77777777" w:rsidTr="000B4E2C">
        <w:trPr>
          <w:cantSplit/>
        </w:trPr>
        <w:tc>
          <w:tcPr>
            <w:tcW w:w="0" w:type="auto"/>
            <w:shd w:val="clear" w:color="auto" w:fill="auto"/>
            <w:noWrap/>
            <w:hideMark/>
          </w:tcPr>
          <w:p w14:paraId="2B484801" w14:textId="77777777" w:rsidR="002F0133" w:rsidRPr="000B4E2C" w:rsidRDefault="002F0133" w:rsidP="008A7464">
            <w:pPr>
              <w:rPr>
                <w:lang w:eastAsia="en-GB"/>
              </w:rPr>
            </w:pPr>
            <w:r w:rsidRPr="000B4E2C">
              <w:rPr>
                <w:lang w:eastAsia="en-GB"/>
              </w:rPr>
              <w:t>Jia</w:t>
            </w:r>
          </w:p>
        </w:tc>
        <w:tc>
          <w:tcPr>
            <w:tcW w:w="0" w:type="auto"/>
            <w:shd w:val="clear" w:color="auto" w:fill="auto"/>
            <w:noWrap/>
            <w:hideMark/>
          </w:tcPr>
          <w:p w14:paraId="0EFF2715"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6D8B0680" w14:textId="66798F66"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09854D58" w14:textId="77777777" w:rsidR="002F0133" w:rsidRPr="000B4E2C" w:rsidRDefault="002F0133" w:rsidP="008A7464">
            <w:pPr>
              <w:rPr>
                <w:highlight w:val="green"/>
                <w:lang w:eastAsia="en-GB"/>
              </w:rPr>
            </w:pPr>
            <w:r w:rsidRPr="000B4E2C">
              <w:rPr>
                <w:highlight w:val="green"/>
                <w:lang w:eastAsia="en-GB"/>
              </w:rPr>
              <w:t>H. M. Jia, L. F. Huang, Y. Zheng and W. X. Li. Prognostic value of cell cycle arrest biomarkers in patients at high risk for acute kidney injury: A systematic review and meta-analysis. Nephrology, 22(11), 831-837. [15772]</w:t>
            </w:r>
          </w:p>
        </w:tc>
      </w:tr>
      <w:tr w:rsidR="002F0133" w:rsidRPr="000B4E2C" w14:paraId="0FDDFBFA" w14:textId="77777777" w:rsidTr="000B4E2C">
        <w:trPr>
          <w:cantSplit/>
        </w:trPr>
        <w:tc>
          <w:tcPr>
            <w:tcW w:w="0" w:type="auto"/>
            <w:shd w:val="clear" w:color="auto" w:fill="auto"/>
            <w:noWrap/>
            <w:hideMark/>
          </w:tcPr>
          <w:p w14:paraId="24EA2E5C" w14:textId="77777777" w:rsidR="002F0133" w:rsidRPr="000B4E2C" w:rsidRDefault="002F0133" w:rsidP="008A7464">
            <w:pPr>
              <w:rPr>
                <w:lang w:eastAsia="en-GB"/>
              </w:rPr>
            </w:pPr>
            <w:r w:rsidRPr="000B4E2C">
              <w:rPr>
                <w:lang w:eastAsia="en-GB"/>
              </w:rPr>
              <w:t>Jiang</w:t>
            </w:r>
          </w:p>
        </w:tc>
        <w:tc>
          <w:tcPr>
            <w:tcW w:w="0" w:type="auto"/>
            <w:shd w:val="clear" w:color="auto" w:fill="auto"/>
            <w:noWrap/>
            <w:hideMark/>
          </w:tcPr>
          <w:p w14:paraId="47014554"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6CD936A"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79D1290" w14:textId="77777777" w:rsidR="002F0133" w:rsidRPr="000B4E2C" w:rsidRDefault="002F0133" w:rsidP="008A7464">
            <w:pPr>
              <w:rPr>
                <w:highlight w:val="green"/>
                <w:lang w:eastAsia="en-GB"/>
              </w:rPr>
            </w:pPr>
            <w:r w:rsidRPr="000B4E2C">
              <w:rPr>
                <w:highlight w:val="green"/>
                <w:lang w:eastAsia="en-GB"/>
              </w:rPr>
              <w:t>L. Jiang and H. Cui. Could Blood Neutrophil Gelatinase-Associated Lipocalin (NGAL) be a Diagnostic Marker for Acute Kidney Injury in Neonates? A Systemic Review and Meta-Analysis. Clinical laboratory, 61(12), 1815-1820. [15774]</w:t>
            </w:r>
          </w:p>
        </w:tc>
      </w:tr>
      <w:tr w:rsidR="002F0133" w:rsidRPr="000B4E2C" w14:paraId="0DF8A958" w14:textId="77777777" w:rsidTr="000B4E2C">
        <w:trPr>
          <w:cantSplit/>
        </w:trPr>
        <w:tc>
          <w:tcPr>
            <w:tcW w:w="0" w:type="auto"/>
            <w:shd w:val="clear" w:color="auto" w:fill="auto"/>
            <w:noWrap/>
            <w:hideMark/>
          </w:tcPr>
          <w:p w14:paraId="52185B3E" w14:textId="77777777" w:rsidR="002F0133" w:rsidRPr="000B4E2C" w:rsidRDefault="002F0133" w:rsidP="008A7464">
            <w:pPr>
              <w:rPr>
                <w:lang w:eastAsia="en-GB"/>
              </w:rPr>
            </w:pPr>
            <w:r w:rsidRPr="000B4E2C">
              <w:rPr>
                <w:lang w:eastAsia="en-GB"/>
              </w:rPr>
              <w:t>Jiang</w:t>
            </w:r>
          </w:p>
        </w:tc>
        <w:tc>
          <w:tcPr>
            <w:tcW w:w="0" w:type="auto"/>
            <w:shd w:val="clear" w:color="auto" w:fill="auto"/>
            <w:noWrap/>
            <w:hideMark/>
          </w:tcPr>
          <w:p w14:paraId="0B7146EC"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3BA86B5"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75CE7F5A" w14:textId="77777777" w:rsidR="002F0133" w:rsidRPr="000B4E2C" w:rsidRDefault="002F0133" w:rsidP="008A7464">
            <w:pPr>
              <w:rPr>
                <w:highlight w:val="green"/>
                <w:lang w:eastAsia="en-GB"/>
              </w:rPr>
            </w:pPr>
            <w:r w:rsidRPr="000B4E2C">
              <w:rPr>
                <w:highlight w:val="green"/>
                <w:lang w:eastAsia="en-GB"/>
              </w:rPr>
              <w:t>Q. Q. Jiang, M. F. Han, K. Ma, G. Chen, X. Y. Wan, S. B. Kilonzo, W. Y. Wu, Y. L. Wang, J. You and Q. Ning. Acute kidney injury in acute-on-chronic liver failure is different from in decompensated cirrhosis. World Journal of Gastroenterology, 24(21), 2300-2310. [15775]</w:t>
            </w:r>
          </w:p>
        </w:tc>
      </w:tr>
      <w:tr w:rsidR="002F0133" w:rsidRPr="000B4E2C" w14:paraId="1F418A76" w14:textId="77777777" w:rsidTr="000B4E2C">
        <w:trPr>
          <w:cantSplit/>
        </w:trPr>
        <w:tc>
          <w:tcPr>
            <w:tcW w:w="0" w:type="auto"/>
            <w:shd w:val="clear" w:color="auto" w:fill="auto"/>
            <w:noWrap/>
            <w:hideMark/>
          </w:tcPr>
          <w:p w14:paraId="17853C02" w14:textId="77777777" w:rsidR="002F0133" w:rsidRPr="000B4E2C" w:rsidRDefault="002F0133" w:rsidP="008A7464">
            <w:pPr>
              <w:rPr>
                <w:lang w:eastAsia="en-GB"/>
              </w:rPr>
            </w:pPr>
            <w:r w:rsidRPr="000B4E2C">
              <w:rPr>
                <w:lang w:eastAsia="en-GB"/>
              </w:rPr>
              <w:t>Joannes-Boyau</w:t>
            </w:r>
          </w:p>
        </w:tc>
        <w:tc>
          <w:tcPr>
            <w:tcW w:w="0" w:type="auto"/>
            <w:shd w:val="clear" w:color="auto" w:fill="auto"/>
            <w:noWrap/>
            <w:hideMark/>
          </w:tcPr>
          <w:p w14:paraId="6D5BE48D"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795BEE87"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56DAB43E" w14:textId="77777777" w:rsidR="002F0133" w:rsidRPr="000B4E2C" w:rsidRDefault="002F0133" w:rsidP="008A7464">
            <w:pPr>
              <w:rPr>
                <w:highlight w:val="green"/>
                <w:lang w:eastAsia="en-GB"/>
              </w:rPr>
            </w:pPr>
            <w:r w:rsidRPr="000B4E2C">
              <w:rPr>
                <w:highlight w:val="green"/>
                <w:lang w:eastAsia="en-GB"/>
              </w:rPr>
              <w:t>O. Joannes-Boyau and J. Fichet. NGAL and sepsis. Annales Francaises D Anesthesie Et De Reanimation, 31(8-9. [18476]</w:t>
            </w:r>
          </w:p>
        </w:tc>
      </w:tr>
      <w:tr w:rsidR="002F0133" w:rsidRPr="000B4E2C" w14:paraId="2490D07C" w14:textId="77777777" w:rsidTr="000B4E2C">
        <w:trPr>
          <w:cantSplit/>
        </w:trPr>
        <w:tc>
          <w:tcPr>
            <w:tcW w:w="0" w:type="auto"/>
            <w:shd w:val="clear" w:color="auto" w:fill="auto"/>
            <w:noWrap/>
            <w:hideMark/>
          </w:tcPr>
          <w:p w14:paraId="3069A5D6" w14:textId="77777777" w:rsidR="002F0133" w:rsidRPr="000B4E2C" w:rsidRDefault="002F0133" w:rsidP="008A7464">
            <w:pPr>
              <w:rPr>
                <w:lang w:eastAsia="en-GB"/>
              </w:rPr>
            </w:pPr>
            <w:r w:rsidRPr="000B4E2C">
              <w:rPr>
                <w:lang w:eastAsia="en-GB"/>
              </w:rPr>
              <w:t>Jobs</w:t>
            </w:r>
          </w:p>
        </w:tc>
        <w:tc>
          <w:tcPr>
            <w:tcW w:w="0" w:type="auto"/>
            <w:shd w:val="clear" w:color="auto" w:fill="auto"/>
            <w:noWrap/>
            <w:hideMark/>
          </w:tcPr>
          <w:p w14:paraId="600BDBD5"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1FD5318" w14:textId="1143A5D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E699BF5" w14:textId="77777777" w:rsidR="002F0133" w:rsidRPr="000B4E2C" w:rsidRDefault="002F0133" w:rsidP="008A7464">
            <w:pPr>
              <w:rPr>
                <w:highlight w:val="green"/>
                <w:lang w:eastAsia="en-GB"/>
              </w:rPr>
            </w:pPr>
            <w:r w:rsidRPr="000B4E2C">
              <w:rPr>
                <w:highlight w:val="green"/>
                <w:lang w:eastAsia="en-GB"/>
              </w:rPr>
              <w:t>K. Jobs, E. Straz-Zebrowska, M. Placzynska, R. Zdanowski, B. Kalicki, S. Lewicki and A. Jung. Interleukin-18 and NGAL in assessment of ESWL treatment safety in children with urolithiasis. Central European Journal of Immunology, 39(3), 384-391. [15778]</w:t>
            </w:r>
          </w:p>
        </w:tc>
      </w:tr>
      <w:tr w:rsidR="002F0133" w:rsidRPr="000B4E2C" w14:paraId="1ECD1C07" w14:textId="77777777" w:rsidTr="000B4E2C">
        <w:trPr>
          <w:cantSplit/>
        </w:trPr>
        <w:tc>
          <w:tcPr>
            <w:tcW w:w="0" w:type="auto"/>
            <w:shd w:val="clear" w:color="auto" w:fill="auto"/>
            <w:noWrap/>
            <w:hideMark/>
          </w:tcPr>
          <w:p w14:paraId="629AEDA7" w14:textId="77777777" w:rsidR="002F0133" w:rsidRPr="000B4E2C" w:rsidRDefault="002F0133" w:rsidP="008A7464">
            <w:pPr>
              <w:rPr>
                <w:lang w:eastAsia="en-GB"/>
              </w:rPr>
            </w:pPr>
            <w:r w:rsidRPr="000B4E2C">
              <w:rPr>
                <w:lang w:eastAsia="en-GB"/>
              </w:rPr>
              <w:lastRenderedPageBreak/>
              <w:t>Jochmans</w:t>
            </w:r>
          </w:p>
        </w:tc>
        <w:tc>
          <w:tcPr>
            <w:tcW w:w="0" w:type="auto"/>
            <w:shd w:val="clear" w:color="auto" w:fill="auto"/>
            <w:noWrap/>
            <w:hideMark/>
          </w:tcPr>
          <w:p w14:paraId="6C9BF9E1"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36CE2141" w14:textId="3CC9827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CDE7F7A" w14:textId="77777777" w:rsidR="002F0133" w:rsidRPr="000B4E2C" w:rsidRDefault="002F0133" w:rsidP="008A7464">
            <w:pPr>
              <w:rPr>
                <w:highlight w:val="green"/>
                <w:lang w:eastAsia="en-GB"/>
              </w:rPr>
            </w:pPr>
            <w:r w:rsidRPr="000B4E2C">
              <w:rPr>
                <w:highlight w:val="green"/>
                <w:lang w:val="da-DK" w:eastAsia="en-GB"/>
              </w:rPr>
              <w:t xml:space="preserve">I. Jochmans, N. Meurisse, A. Neyrinck, M. Verhaegen, D. Monbaliu and J. Pirenne. </w:t>
            </w:r>
            <w:r w:rsidRPr="000B4E2C">
              <w:rPr>
                <w:highlight w:val="green"/>
                <w:lang w:eastAsia="en-GB"/>
              </w:rPr>
              <w:t>Hepatic ischemia/reperfusion injury associates with acute kidney injury in liver transplantation: Prospective cohort study. Liver Transplantation, 23(5), 634-644. [15780]</w:t>
            </w:r>
          </w:p>
        </w:tc>
      </w:tr>
      <w:tr w:rsidR="002F0133" w:rsidRPr="000B4E2C" w14:paraId="47C27C32" w14:textId="77777777" w:rsidTr="000B4E2C">
        <w:trPr>
          <w:cantSplit/>
        </w:trPr>
        <w:tc>
          <w:tcPr>
            <w:tcW w:w="0" w:type="auto"/>
            <w:shd w:val="clear" w:color="auto" w:fill="auto"/>
            <w:noWrap/>
            <w:hideMark/>
          </w:tcPr>
          <w:p w14:paraId="3DB8EE91" w14:textId="77777777" w:rsidR="002F0133" w:rsidRPr="000B4E2C" w:rsidRDefault="002F0133" w:rsidP="008A7464">
            <w:pPr>
              <w:rPr>
                <w:lang w:eastAsia="en-GB"/>
              </w:rPr>
            </w:pPr>
            <w:r w:rsidRPr="000B4E2C">
              <w:rPr>
                <w:lang w:eastAsia="en-GB"/>
              </w:rPr>
              <w:t>Journois</w:t>
            </w:r>
          </w:p>
        </w:tc>
        <w:tc>
          <w:tcPr>
            <w:tcW w:w="0" w:type="auto"/>
            <w:shd w:val="clear" w:color="auto" w:fill="auto"/>
            <w:noWrap/>
            <w:hideMark/>
          </w:tcPr>
          <w:p w14:paraId="7AA50917"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285A9E15"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376F66AB" w14:textId="36EE4D74" w:rsidR="002F0133" w:rsidRPr="000B4E2C" w:rsidRDefault="002F0133" w:rsidP="008A7464">
            <w:pPr>
              <w:rPr>
                <w:highlight w:val="green"/>
                <w:lang w:eastAsia="en-GB"/>
              </w:rPr>
            </w:pPr>
            <w:r w:rsidRPr="000B4E2C">
              <w:rPr>
                <w:highlight w:val="green"/>
                <w:lang w:eastAsia="en-GB"/>
              </w:rPr>
              <w:t>D. Journois and L. Jacob. [NGAL more or less than a biomarker?]. NGAL plus ou moins qu</w:t>
            </w:r>
            <w:r w:rsidR="0072128A" w:rsidRPr="000B4E2C">
              <w:rPr>
                <w:color w:val="00B0F0"/>
                <w:highlight w:val="green"/>
                <w:lang w:eastAsia="en-GB"/>
              </w:rPr>
              <w:t>’</w:t>
            </w:r>
            <w:r w:rsidRPr="000B4E2C">
              <w:rPr>
                <w:highlight w:val="green"/>
                <w:lang w:eastAsia="en-GB"/>
              </w:rPr>
              <w:t>un biomarqueur ?, 32(3), 134-5. [15785]</w:t>
            </w:r>
          </w:p>
        </w:tc>
      </w:tr>
      <w:tr w:rsidR="002F0133" w:rsidRPr="000B4E2C" w14:paraId="20C97370" w14:textId="77777777" w:rsidTr="000B4E2C">
        <w:trPr>
          <w:cantSplit/>
        </w:trPr>
        <w:tc>
          <w:tcPr>
            <w:tcW w:w="0" w:type="auto"/>
            <w:shd w:val="clear" w:color="auto" w:fill="auto"/>
            <w:noWrap/>
            <w:hideMark/>
          </w:tcPr>
          <w:p w14:paraId="0B236E59" w14:textId="77777777" w:rsidR="002F0133" w:rsidRPr="000B4E2C" w:rsidRDefault="002F0133" w:rsidP="008A7464">
            <w:pPr>
              <w:rPr>
                <w:lang w:eastAsia="en-GB"/>
              </w:rPr>
            </w:pPr>
            <w:r w:rsidRPr="000B4E2C">
              <w:rPr>
                <w:lang w:eastAsia="en-GB"/>
              </w:rPr>
              <w:t>Jungbauer</w:t>
            </w:r>
          </w:p>
        </w:tc>
        <w:tc>
          <w:tcPr>
            <w:tcW w:w="0" w:type="auto"/>
            <w:shd w:val="clear" w:color="auto" w:fill="auto"/>
            <w:noWrap/>
            <w:hideMark/>
          </w:tcPr>
          <w:p w14:paraId="694CFA30"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4926E392"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73F53399" w14:textId="77777777" w:rsidR="002F0133" w:rsidRPr="000B4E2C" w:rsidRDefault="002F0133" w:rsidP="008A7464">
            <w:pPr>
              <w:rPr>
                <w:highlight w:val="green"/>
                <w:lang w:eastAsia="en-GB"/>
              </w:rPr>
            </w:pPr>
            <w:r w:rsidRPr="000B4E2C">
              <w:rPr>
                <w:highlight w:val="green"/>
                <w:lang w:eastAsia="en-GB"/>
              </w:rPr>
              <w:t>C. G. Jungbauer, C. Birner, B. Jung, S. Buchner, M. Lubnow, C. Von Bary, D. Endemann, B. Banas, K. M. Mac, C. A. Boger, G. Riegger and A. Luchner. Kidney injury molecule-1 and N-acetyl-s-d-glucosaminidase in chronic heart failure: Possible biomarkers of cardiorenal syndrome. European Journal of Heart Failure, 13(10), 1104-1110. [15788]</w:t>
            </w:r>
          </w:p>
        </w:tc>
      </w:tr>
      <w:tr w:rsidR="002F0133" w:rsidRPr="000B4E2C" w14:paraId="02AED225" w14:textId="77777777" w:rsidTr="000B4E2C">
        <w:trPr>
          <w:cantSplit/>
        </w:trPr>
        <w:tc>
          <w:tcPr>
            <w:tcW w:w="0" w:type="auto"/>
            <w:shd w:val="clear" w:color="auto" w:fill="auto"/>
            <w:noWrap/>
            <w:hideMark/>
          </w:tcPr>
          <w:p w14:paraId="6B5E5718" w14:textId="77777777" w:rsidR="002F0133" w:rsidRPr="000B4E2C" w:rsidRDefault="002F0133" w:rsidP="008A7464">
            <w:pPr>
              <w:rPr>
                <w:lang w:eastAsia="en-GB"/>
              </w:rPr>
            </w:pPr>
            <w:r w:rsidRPr="000B4E2C">
              <w:rPr>
                <w:lang w:eastAsia="en-GB"/>
              </w:rPr>
              <w:t>Kaddourah</w:t>
            </w:r>
          </w:p>
        </w:tc>
        <w:tc>
          <w:tcPr>
            <w:tcW w:w="0" w:type="auto"/>
            <w:shd w:val="clear" w:color="auto" w:fill="auto"/>
            <w:noWrap/>
            <w:hideMark/>
          </w:tcPr>
          <w:p w14:paraId="1D401188"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3DED51C4" w14:textId="451C630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466B15B" w14:textId="77777777" w:rsidR="002F0133" w:rsidRPr="000B4E2C" w:rsidRDefault="002F0133" w:rsidP="008A7464">
            <w:pPr>
              <w:rPr>
                <w:highlight w:val="green"/>
                <w:lang w:eastAsia="en-GB"/>
              </w:rPr>
            </w:pPr>
            <w:r w:rsidRPr="000B4E2C">
              <w:rPr>
                <w:highlight w:val="green"/>
                <w:lang w:eastAsia="en-GB"/>
              </w:rPr>
              <w:t>A. Kaddourah, S. L. Goldstein, R. Basu, E. J. Nehus, T. C. Terrell, L. Brunner, M. R. Bennett, C. Haffner and J. L. Jefferies. Novel urinary tubular injury markers reveal an evidence of underlying kidney injury in children with reduced left ventricular systolic function: a pilot study. Pediatric nephrology (Berlin, Germany), 31(10), 1637-45. [15791]</w:t>
            </w:r>
          </w:p>
        </w:tc>
      </w:tr>
      <w:tr w:rsidR="002F0133" w:rsidRPr="000B4E2C" w14:paraId="226081C3" w14:textId="77777777" w:rsidTr="000B4E2C">
        <w:trPr>
          <w:cantSplit/>
        </w:trPr>
        <w:tc>
          <w:tcPr>
            <w:tcW w:w="0" w:type="auto"/>
            <w:shd w:val="clear" w:color="auto" w:fill="auto"/>
            <w:noWrap/>
            <w:hideMark/>
          </w:tcPr>
          <w:p w14:paraId="07C08001" w14:textId="77777777" w:rsidR="002F0133" w:rsidRPr="000B4E2C" w:rsidRDefault="002F0133" w:rsidP="008A7464">
            <w:pPr>
              <w:rPr>
                <w:lang w:eastAsia="en-GB"/>
              </w:rPr>
            </w:pPr>
            <w:r w:rsidRPr="000B4E2C">
              <w:rPr>
                <w:lang w:eastAsia="en-GB"/>
              </w:rPr>
              <w:t>Kafkas</w:t>
            </w:r>
          </w:p>
        </w:tc>
        <w:tc>
          <w:tcPr>
            <w:tcW w:w="0" w:type="auto"/>
            <w:shd w:val="clear" w:color="auto" w:fill="auto"/>
            <w:noWrap/>
            <w:hideMark/>
          </w:tcPr>
          <w:p w14:paraId="7EFB606E"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0CAF6A65"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091546C" w14:textId="77777777" w:rsidR="002F0133" w:rsidRPr="000B4E2C" w:rsidRDefault="002F0133" w:rsidP="008A7464">
            <w:pPr>
              <w:rPr>
                <w:highlight w:val="green"/>
                <w:lang w:eastAsia="en-GB"/>
              </w:rPr>
            </w:pPr>
            <w:r w:rsidRPr="000B4E2C">
              <w:rPr>
                <w:highlight w:val="green"/>
                <w:lang w:eastAsia="en-GB"/>
              </w:rPr>
              <w:t>N. Kafkas, C. Demponeras, F. Zoubouloglou, L. Spanou, D. Babalis and K. Makris. Serum levels of gelatinase associated lipocalin as indicator of the inflammatory status in coronary artery disease. International journal of inflammation, . [4711]</w:t>
            </w:r>
          </w:p>
        </w:tc>
      </w:tr>
      <w:tr w:rsidR="002F0133" w:rsidRPr="000B4E2C" w14:paraId="767DE080" w14:textId="77777777" w:rsidTr="000B4E2C">
        <w:trPr>
          <w:cantSplit/>
        </w:trPr>
        <w:tc>
          <w:tcPr>
            <w:tcW w:w="0" w:type="auto"/>
            <w:shd w:val="clear" w:color="auto" w:fill="auto"/>
            <w:noWrap/>
            <w:hideMark/>
          </w:tcPr>
          <w:p w14:paraId="6B5ED71A" w14:textId="77777777" w:rsidR="002F0133" w:rsidRPr="000B4E2C" w:rsidRDefault="002F0133" w:rsidP="008A7464">
            <w:pPr>
              <w:rPr>
                <w:lang w:eastAsia="en-GB"/>
              </w:rPr>
            </w:pPr>
            <w:r w:rsidRPr="000B4E2C">
              <w:rPr>
                <w:lang w:eastAsia="en-GB"/>
              </w:rPr>
              <w:t>Kafkas</w:t>
            </w:r>
          </w:p>
        </w:tc>
        <w:tc>
          <w:tcPr>
            <w:tcW w:w="0" w:type="auto"/>
            <w:shd w:val="clear" w:color="auto" w:fill="auto"/>
            <w:noWrap/>
            <w:hideMark/>
          </w:tcPr>
          <w:p w14:paraId="306EE24E"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28EC8681"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4F0D73C" w14:textId="77777777" w:rsidR="002F0133" w:rsidRPr="000B4E2C" w:rsidRDefault="002F0133" w:rsidP="008A7464">
            <w:pPr>
              <w:rPr>
                <w:highlight w:val="green"/>
                <w:lang w:eastAsia="en-GB"/>
              </w:rPr>
            </w:pPr>
            <w:r w:rsidRPr="000B4E2C">
              <w:rPr>
                <w:highlight w:val="green"/>
                <w:lang w:eastAsia="en-GB"/>
              </w:rPr>
              <w:t>N. Kafkas, C. Liakos, F. Zoubouloglou, O. Dagadaki, S. Dragasis and K. Makris. Neutrophil Gelatinase-Associated Lipocalin as an Early Marker of Contrast-Induced Nephropathy After Elective Invasive Cardiac Procedures. Clinical Cardiology, 39(8), 464-470. [15792]</w:t>
            </w:r>
          </w:p>
        </w:tc>
      </w:tr>
      <w:tr w:rsidR="002F0133" w:rsidRPr="000B4E2C" w14:paraId="6B440A8C" w14:textId="77777777" w:rsidTr="000B4E2C">
        <w:trPr>
          <w:cantSplit/>
        </w:trPr>
        <w:tc>
          <w:tcPr>
            <w:tcW w:w="0" w:type="auto"/>
            <w:shd w:val="clear" w:color="auto" w:fill="auto"/>
            <w:noWrap/>
            <w:hideMark/>
          </w:tcPr>
          <w:p w14:paraId="561A882F" w14:textId="77777777" w:rsidR="002F0133" w:rsidRPr="000B4E2C" w:rsidRDefault="002F0133" w:rsidP="008A7464">
            <w:pPr>
              <w:rPr>
                <w:lang w:eastAsia="en-GB"/>
              </w:rPr>
            </w:pPr>
            <w:r w:rsidRPr="000B4E2C">
              <w:rPr>
                <w:lang w:eastAsia="en-GB"/>
              </w:rPr>
              <w:t>Kahli</w:t>
            </w:r>
          </w:p>
        </w:tc>
        <w:tc>
          <w:tcPr>
            <w:tcW w:w="0" w:type="auto"/>
            <w:shd w:val="clear" w:color="auto" w:fill="auto"/>
            <w:noWrap/>
            <w:hideMark/>
          </w:tcPr>
          <w:p w14:paraId="52E74C50"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E677FB8" w14:textId="6A82D3A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39B637A" w14:textId="77777777" w:rsidR="002F0133" w:rsidRPr="000B4E2C" w:rsidRDefault="002F0133" w:rsidP="008A7464">
            <w:pPr>
              <w:rPr>
                <w:highlight w:val="green"/>
                <w:lang w:eastAsia="en-GB"/>
              </w:rPr>
            </w:pPr>
            <w:r w:rsidRPr="000B4E2C">
              <w:rPr>
                <w:highlight w:val="green"/>
                <w:lang w:eastAsia="en-GB"/>
              </w:rPr>
              <w:t>A. Kahli, C. Guenancia, M. Zeller, S. Grosjean, K. Stamboul, L. Rochette, C. Girard and C. Vergely. Growth Differentiation Factor-15 (GDF-15) levels are associated with cardiac and renal injury in patients undergoing coronary artery bypass grafting with cardiopulmonary bypass. PLoS ONE, 9(8), e105759. [15793]</w:t>
            </w:r>
          </w:p>
        </w:tc>
      </w:tr>
      <w:tr w:rsidR="002F0133" w:rsidRPr="000B4E2C" w14:paraId="0E26B569" w14:textId="77777777" w:rsidTr="000B4E2C">
        <w:trPr>
          <w:cantSplit/>
        </w:trPr>
        <w:tc>
          <w:tcPr>
            <w:tcW w:w="0" w:type="auto"/>
            <w:shd w:val="clear" w:color="auto" w:fill="auto"/>
            <w:noWrap/>
            <w:hideMark/>
          </w:tcPr>
          <w:p w14:paraId="2C5584C9" w14:textId="77777777" w:rsidR="002F0133" w:rsidRPr="000B4E2C" w:rsidRDefault="002F0133" w:rsidP="008A7464">
            <w:pPr>
              <w:rPr>
                <w:lang w:eastAsia="en-GB"/>
              </w:rPr>
            </w:pPr>
            <w:r w:rsidRPr="000B4E2C">
              <w:rPr>
                <w:lang w:eastAsia="en-GB"/>
              </w:rPr>
              <w:t>Kalisnik</w:t>
            </w:r>
          </w:p>
        </w:tc>
        <w:tc>
          <w:tcPr>
            <w:tcW w:w="0" w:type="auto"/>
            <w:shd w:val="clear" w:color="auto" w:fill="auto"/>
            <w:noWrap/>
            <w:hideMark/>
          </w:tcPr>
          <w:p w14:paraId="67D3EA75"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7D689BB" w14:textId="493D50B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C6EB51C" w14:textId="77777777" w:rsidR="002F0133" w:rsidRPr="000B4E2C" w:rsidRDefault="002F0133" w:rsidP="008A7464">
            <w:pPr>
              <w:rPr>
                <w:highlight w:val="green"/>
                <w:lang w:eastAsia="en-GB"/>
              </w:rPr>
            </w:pPr>
            <w:r w:rsidRPr="000B4E2C">
              <w:rPr>
                <w:highlight w:val="green"/>
                <w:lang w:val="da-DK" w:eastAsia="en-GB"/>
              </w:rPr>
              <w:t xml:space="preserve">J. M. Kalisnik, E. Hrovat, A. Hrastovec, J. Zibert, A. Jerin, M. Skitek, G. Santarpino and T. Klokocovnik. </w:t>
            </w:r>
            <w:r w:rsidRPr="000B4E2C">
              <w:rPr>
                <w:highlight w:val="green"/>
                <w:lang w:eastAsia="en-GB"/>
              </w:rPr>
              <w:t>Creatinine, Neutrophil Gelatinase-Associated Lipocalin, and Cystatin C in Determining Acute Kidney Injury After Heart Operations Using Cardiopulmonary Bypass. Artificial Organs, 41(5), 481-489. [15796]</w:t>
            </w:r>
          </w:p>
        </w:tc>
      </w:tr>
      <w:tr w:rsidR="002F0133" w:rsidRPr="000B4E2C" w14:paraId="579B54FB" w14:textId="77777777" w:rsidTr="000B4E2C">
        <w:trPr>
          <w:cantSplit/>
        </w:trPr>
        <w:tc>
          <w:tcPr>
            <w:tcW w:w="0" w:type="auto"/>
            <w:shd w:val="clear" w:color="auto" w:fill="auto"/>
            <w:noWrap/>
            <w:hideMark/>
          </w:tcPr>
          <w:p w14:paraId="7E0A467F" w14:textId="77777777" w:rsidR="002F0133" w:rsidRPr="000B4E2C" w:rsidRDefault="002F0133" w:rsidP="008A7464">
            <w:pPr>
              <w:rPr>
                <w:lang w:eastAsia="en-GB"/>
              </w:rPr>
            </w:pPr>
            <w:r w:rsidRPr="000B4E2C">
              <w:rPr>
                <w:lang w:eastAsia="en-GB"/>
              </w:rPr>
              <w:t>Kalisnik</w:t>
            </w:r>
          </w:p>
        </w:tc>
        <w:tc>
          <w:tcPr>
            <w:tcW w:w="0" w:type="auto"/>
            <w:shd w:val="clear" w:color="auto" w:fill="auto"/>
            <w:noWrap/>
            <w:hideMark/>
          </w:tcPr>
          <w:p w14:paraId="6B3F6FAB"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BABE4EF"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0C7AA1BC" w14:textId="77777777" w:rsidR="002F0133" w:rsidRPr="000B4E2C" w:rsidRDefault="002F0133" w:rsidP="008A7464">
            <w:pPr>
              <w:rPr>
                <w:highlight w:val="green"/>
                <w:lang w:eastAsia="en-GB"/>
              </w:rPr>
            </w:pPr>
            <w:r w:rsidRPr="000B4E2C">
              <w:rPr>
                <w:highlight w:val="green"/>
                <w:lang w:val="da-DK" w:eastAsia="en-GB"/>
              </w:rPr>
              <w:t xml:space="preserve">J. M. Kalisnik, T. Fischlein and G. Santarpino. </w:t>
            </w:r>
            <w:r w:rsidRPr="000B4E2C">
              <w:rPr>
                <w:highlight w:val="green"/>
                <w:lang w:eastAsia="en-GB"/>
              </w:rPr>
              <w:t>Cardiac surgery-associated neutrophil gelatinase-associated lipocalin score for postoperative acute kidney injury: What is the clinical implication?. Journal of Thoracic and Cardiovascular Surgery, 154(3), 938. [15797]</w:t>
            </w:r>
          </w:p>
        </w:tc>
      </w:tr>
      <w:tr w:rsidR="002F0133" w:rsidRPr="000B4E2C" w14:paraId="69A17BEE" w14:textId="77777777" w:rsidTr="000B4E2C">
        <w:trPr>
          <w:cantSplit/>
        </w:trPr>
        <w:tc>
          <w:tcPr>
            <w:tcW w:w="0" w:type="auto"/>
            <w:shd w:val="clear" w:color="auto" w:fill="auto"/>
            <w:noWrap/>
            <w:hideMark/>
          </w:tcPr>
          <w:p w14:paraId="7D17F70C" w14:textId="77777777" w:rsidR="002F0133" w:rsidRPr="000B4E2C" w:rsidRDefault="002F0133" w:rsidP="008A7464">
            <w:pPr>
              <w:rPr>
                <w:lang w:eastAsia="en-GB"/>
              </w:rPr>
            </w:pPr>
            <w:r w:rsidRPr="000B4E2C">
              <w:rPr>
                <w:lang w:eastAsia="en-GB"/>
              </w:rPr>
              <w:t>Kambhampat</w:t>
            </w:r>
          </w:p>
        </w:tc>
        <w:tc>
          <w:tcPr>
            <w:tcW w:w="0" w:type="auto"/>
            <w:shd w:val="clear" w:color="auto" w:fill="auto"/>
            <w:noWrap/>
            <w:hideMark/>
          </w:tcPr>
          <w:p w14:paraId="1B6D8DB5"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54E22674"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02EA17D8" w14:textId="77777777" w:rsidR="002F0133" w:rsidRPr="000B4E2C" w:rsidRDefault="002F0133" w:rsidP="008A7464">
            <w:pPr>
              <w:rPr>
                <w:highlight w:val="green"/>
                <w:lang w:eastAsia="en-GB"/>
              </w:rPr>
            </w:pPr>
            <w:r w:rsidRPr="000B4E2C">
              <w:rPr>
                <w:highlight w:val="green"/>
                <w:lang w:eastAsia="en-GB"/>
              </w:rPr>
              <w:t>G. Kambhampat, N. I. Ejaz, A. Asmar, R. Aiyer, A. A. Arif, N. Pourafshar, V. R. Yalamanchili and A. Ahsan Ejaz. Fluid balance and conventional and novel biomarkers of acute kidney injury in cardiovascular surgery. Journal of Cardiovascular Surgery, 54(5), 639-646. [15798]</w:t>
            </w:r>
          </w:p>
        </w:tc>
      </w:tr>
      <w:tr w:rsidR="002F0133" w:rsidRPr="000B4E2C" w14:paraId="36B3FC95" w14:textId="77777777" w:rsidTr="000B4E2C">
        <w:trPr>
          <w:cantSplit/>
        </w:trPr>
        <w:tc>
          <w:tcPr>
            <w:tcW w:w="0" w:type="auto"/>
            <w:shd w:val="clear" w:color="auto" w:fill="auto"/>
            <w:noWrap/>
            <w:hideMark/>
          </w:tcPr>
          <w:p w14:paraId="731C37B8" w14:textId="77777777" w:rsidR="002F0133" w:rsidRPr="000B4E2C" w:rsidRDefault="002F0133" w:rsidP="008A7464">
            <w:pPr>
              <w:rPr>
                <w:lang w:eastAsia="en-GB"/>
              </w:rPr>
            </w:pPr>
            <w:r w:rsidRPr="000B4E2C">
              <w:rPr>
                <w:lang w:eastAsia="en-GB"/>
              </w:rPr>
              <w:t>Kamis</w:t>
            </w:r>
          </w:p>
        </w:tc>
        <w:tc>
          <w:tcPr>
            <w:tcW w:w="0" w:type="auto"/>
            <w:shd w:val="clear" w:color="auto" w:fill="auto"/>
            <w:noWrap/>
            <w:hideMark/>
          </w:tcPr>
          <w:p w14:paraId="1C929205"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3DF88D2D"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034CDC81" w14:textId="77777777" w:rsidR="002F0133" w:rsidRPr="000B4E2C" w:rsidRDefault="002F0133" w:rsidP="008A7464">
            <w:pPr>
              <w:rPr>
                <w:highlight w:val="green"/>
                <w:lang w:eastAsia="en-GB"/>
              </w:rPr>
            </w:pPr>
            <w:r w:rsidRPr="000B4E2C">
              <w:rPr>
                <w:highlight w:val="green"/>
                <w:lang w:eastAsia="en-GB"/>
              </w:rPr>
              <w:t>F. Kamis, I. Yegenaga, M. Musul, C. Baydemir, S. Bek, B. Kalender and N. Baykara. Neutrophil gelatinase-associated lipocalin levels during the first 48 hours of intensive care may indicate upcoming acute kidney injury. Journal of Critical Care, 34(89-94. [15802]</w:t>
            </w:r>
          </w:p>
        </w:tc>
      </w:tr>
      <w:tr w:rsidR="002F0133" w:rsidRPr="000B4E2C" w14:paraId="63FBFB81" w14:textId="77777777" w:rsidTr="000B4E2C">
        <w:trPr>
          <w:cantSplit/>
        </w:trPr>
        <w:tc>
          <w:tcPr>
            <w:tcW w:w="0" w:type="auto"/>
            <w:shd w:val="clear" w:color="auto" w:fill="auto"/>
            <w:noWrap/>
            <w:hideMark/>
          </w:tcPr>
          <w:p w14:paraId="31EDB10E" w14:textId="77777777" w:rsidR="002F0133" w:rsidRPr="000B4E2C" w:rsidRDefault="002F0133" w:rsidP="008A7464">
            <w:pPr>
              <w:rPr>
                <w:lang w:eastAsia="en-GB"/>
              </w:rPr>
            </w:pPr>
            <w:r w:rsidRPr="000B4E2C">
              <w:rPr>
                <w:lang w:eastAsia="en-GB"/>
              </w:rPr>
              <w:t>Kanchi</w:t>
            </w:r>
          </w:p>
        </w:tc>
        <w:tc>
          <w:tcPr>
            <w:tcW w:w="0" w:type="auto"/>
            <w:shd w:val="clear" w:color="auto" w:fill="auto"/>
            <w:noWrap/>
            <w:hideMark/>
          </w:tcPr>
          <w:p w14:paraId="06AE372A"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6486E7E6" w14:textId="1EDE761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67B51C0" w14:textId="77777777" w:rsidR="002F0133" w:rsidRPr="000B4E2C" w:rsidRDefault="002F0133" w:rsidP="008A7464">
            <w:pPr>
              <w:rPr>
                <w:highlight w:val="green"/>
                <w:lang w:eastAsia="en-GB"/>
              </w:rPr>
            </w:pPr>
            <w:r w:rsidRPr="000B4E2C">
              <w:rPr>
                <w:highlight w:val="green"/>
                <w:lang w:eastAsia="en-GB"/>
              </w:rPr>
              <w:t>M. Kanchi, R. Manjunath, J. Massen, L. Vincent and K. Belani. Neutrophil gelatinase-associated lipocalin as a biomarker for predicting acute kidney injury during off-pump coronary artery bypass grafting. Annals of Cardiac Anaesthesia, 20(3), 297-302. [15804]</w:t>
            </w:r>
          </w:p>
        </w:tc>
      </w:tr>
      <w:tr w:rsidR="002F0133" w:rsidRPr="000B4E2C" w14:paraId="7180EA20" w14:textId="77777777" w:rsidTr="000B4E2C">
        <w:trPr>
          <w:cantSplit/>
        </w:trPr>
        <w:tc>
          <w:tcPr>
            <w:tcW w:w="0" w:type="auto"/>
            <w:shd w:val="clear" w:color="auto" w:fill="auto"/>
            <w:noWrap/>
            <w:hideMark/>
          </w:tcPr>
          <w:p w14:paraId="54EC6C03" w14:textId="77777777" w:rsidR="002F0133" w:rsidRPr="000B4E2C" w:rsidRDefault="002F0133" w:rsidP="008A7464">
            <w:pPr>
              <w:rPr>
                <w:lang w:eastAsia="en-GB"/>
              </w:rPr>
            </w:pPr>
            <w:r w:rsidRPr="000B4E2C">
              <w:rPr>
                <w:lang w:eastAsia="en-GB"/>
              </w:rPr>
              <w:lastRenderedPageBreak/>
              <w:t>Kandil</w:t>
            </w:r>
          </w:p>
        </w:tc>
        <w:tc>
          <w:tcPr>
            <w:tcW w:w="0" w:type="auto"/>
            <w:shd w:val="clear" w:color="auto" w:fill="auto"/>
            <w:noWrap/>
            <w:hideMark/>
          </w:tcPr>
          <w:p w14:paraId="0CF89B5D"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386D0452" w14:textId="59B0A49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94B86D8" w14:textId="77777777" w:rsidR="002F0133" w:rsidRPr="000B4E2C" w:rsidRDefault="002F0133" w:rsidP="008A7464">
            <w:pPr>
              <w:rPr>
                <w:highlight w:val="green"/>
                <w:lang w:eastAsia="en-GB"/>
              </w:rPr>
            </w:pPr>
            <w:r w:rsidRPr="000B4E2C">
              <w:rPr>
                <w:highlight w:val="green"/>
                <w:lang w:eastAsia="en-GB"/>
              </w:rPr>
              <w:t>M. A. Kandil, K. M. Abouelenain, A. Alsebaey, H. S. Rashed, M. H. Afifi, M. A. Mahmoud and K. A. Yassen. Impact of terlipressin infusion during and after live donor liver transplantation on incidence of acute kidney injury and neutrophil gelatinase-associated lipocalin serum levels: A randomized controlled trial. Clinical Transplantation, 31(8), e13019. [15805]</w:t>
            </w:r>
          </w:p>
        </w:tc>
      </w:tr>
      <w:tr w:rsidR="002F0133" w:rsidRPr="000B4E2C" w14:paraId="117A1E69" w14:textId="77777777" w:rsidTr="000B4E2C">
        <w:trPr>
          <w:cantSplit/>
        </w:trPr>
        <w:tc>
          <w:tcPr>
            <w:tcW w:w="0" w:type="auto"/>
            <w:shd w:val="clear" w:color="auto" w:fill="auto"/>
            <w:noWrap/>
            <w:hideMark/>
          </w:tcPr>
          <w:p w14:paraId="79A2CFC6" w14:textId="77777777" w:rsidR="002F0133" w:rsidRPr="000B4E2C" w:rsidRDefault="002F0133" w:rsidP="008A7464">
            <w:pPr>
              <w:rPr>
                <w:lang w:eastAsia="en-GB"/>
              </w:rPr>
            </w:pPr>
            <w:r w:rsidRPr="000B4E2C">
              <w:rPr>
                <w:lang w:eastAsia="en-GB"/>
              </w:rPr>
              <w:t>Kandur</w:t>
            </w:r>
          </w:p>
        </w:tc>
        <w:tc>
          <w:tcPr>
            <w:tcW w:w="0" w:type="auto"/>
            <w:shd w:val="clear" w:color="auto" w:fill="auto"/>
            <w:noWrap/>
            <w:hideMark/>
          </w:tcPr>
          <w:p w14:paraId="7609CC66"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0F34D6D" w14:textId="4B8C323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0EE4FD9" w14:textId="77777777" w:rsidR="002F0133" w:rsidRPr="000B4E2C" w:rsidRDefault="002F0133" w:rsidP="008A7464">
            <w:pPr>
              <w:rPr>
                <w:highlight w:val="green"/>
                <w:lang w:eastAsia="en-GB"/>
              </w:rPr>
            </w:pPr>
            <w:r w:rsidRPr="000B4E2C">
              <w:rPr>
                <w:highlight w:val="green"/>
                <w:lang w:eastAsia="en-GB"/>
              </w:rPr>
              <w:t>Y. Kandur, S. Gonen, K. Fidan and O. Soylemezoglu. Evaluation of urinary KIM-1, NGAL, and IL-18 levels in determining early renal injury in pediatric cases with hypercalciuria and/or renal calculi. Clinical Nephrology, 86(2), 62-69. [15806]</w:t>
            </w:r>
          </w:p>
        </w:tc>
      </w:tr>
      <w:tr w:rsidR="002F0133" w:rsidRPr="000B4E2C" w14:paraId="732ECF13" w14:textId="77777777" w:rsidTr="000B4E2C">
        <w:trPr>
          <w:cantSplit/>
        </w:trPr>
        <w:tc>
          <w:tcPr>
            <w:tcW w:w="0" w:type="auto"/>
            <w:shd w:val="clear" w:color="auto" w:fill="auto"/>
            <w:noWrap/>
            <w:hideMark/>
          </w:tcPr>
          <w:p w14:paraId="14ED6F2C" w14:textId="77777777" w:rsidR="002F0133" w:rsidRPr="000B4E2C" w:rsidRDefault="002F0133" w:rsidP="008A7464">
            <w:pPr>
              <w:rPr>
                <w:lang w:eastAsia="en-GB"/>
              </w:rPr>
            </w:pPr>
            <w:r w:rsidRPr="000B4E2C">
              <w:rPr>
                <w:lang w:eastAsia="en-GB"/>
              </w:rPr>
              <w:t>Karademir</w:t>
            </w:r>
          </w:p>
        </w:tc>
        <w:tc>
          <w:tcPr>
            <w:tcW w:w="0" w:type="auto"/>
            <w:shd w:val="clear" w:color="auto" w:fill="auto"/>
            <w:noWrap/>
            <w:hideMark/>
          </w:tcPr>
          <w:p w14:paraId="73CEBA55"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CCF366E" w14:textId="0EC3935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467F500" w14:textId="77777777" w:rsidR="002F0133" w:rsidRPr="000B4E2C" w:rsidRDefault="002F0133" w:rsidP="008A7464">
            <w:pPr>
              <w:rPr>
                <w:highlight w:val="green"/>
                <w:lang w:eastAsia="en-GB"/>
              </w:rPr>
            </w:pPr>
            <w:r w:rsidRPr="000B4E2C">
              <w:rPr>
                <w:highlight w:val="green"/>
                <w:lang w:eastAsia="en-GB"/>
              </w:rPr>
              <w:t>L. D. Karademir, F. Dogruel, I. Kocyigit, C. Yazici, A. Unal, M. H. Sipahioglu, O. Oymak and B. Tokgoz. The efficacy of theophylline in preventing cisplatin-related nephrotoxicity in patients with cancer. Renal Failure, 38(5), 806-814. [15810]</w:t>
            </w:r>
          </w:p>
        </w:tc>
      </w:tr>
      <w:tr w:rsidR="002F0133" w:rsidRPr="000B4E2C" w14:paraId="5A29B9F0" w14:textId="77777777" w:rsidTr="000B4E2C">
        <w:trPr>
          <w:cantSplit/>
        </w:trPr>
        <w:tc>
          <w:tcPr>
            <w:tcW w:w="0" w:type="auto"/>
            <w:shd w:val="clear" w:color="auto" w:fill="auto"/>
            <w:noWrap/>
            <w:hideMark/>
          </w:tcPr>
          <w:p w14:paraId="65CAF014" w14:textId="77777777" w:rsidR="002F0133" w:rsidRPr="000B4E2C" w:rsidRDefault="002F0133" w:rsidP="008A7464">
            <w:pPr>
              <w:rPr>
                <w:lang w:eastAsia="en-GB"/>
              </w:rPr>
            </w:pPr>
            <w:r w:rsidRPr="000B4E2C">
              <w:rPr>
                <w:lang w:eastAsia="en-GB"/>
              </w:rPr>
              <w:t>Karadeniz</w:t>
            </w:r>
          </w:p>
        </w:tc>
        <w:tc>
          <w:tcPr>
            <w:tcW w:w="0" w:type="auto"/>
            <w:shd w:val="clear" w:color="auto" w:fill="auto"/>
            <w:noWrap/>
            <w:hideMark/>
          </w:tcPr>
          <w:p w14:paraId="356929ED"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1E7A29D7" w14:textId="632990F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FA3CE2F" w14:textId="77777777" w:rsidR="002F0133" w:rsidRPr="000B4E2C" w:rsidRDefault="002F0133" w:rsidP="008A7464">
            <w:pPr>
              <w:rPr>
                <w:highlight w:val="green"/>
                <w:lang w:eastAsia="en-GB"/>
              </w:rPr>
            </w:pPr>
            <w:r w:rsidRPr="000B4E2C">
              <w:rPr>
                <w:highlight w:val="green"/>
                <w:lang w:eastAsia="en-GB"/>
              </w:rPr>
              <w:t>M. S. Karadeniz, I. A. EniÅŸte, H. Å. r. Ã‡iftÃ§i, S. Usta, T. Tefik, Ã. n. ÅžanlÄ±, K. Pembeci and K. M. TuÄŸrul. Neutrophil Gelatinase-associated Lipocalin Significantly Correlates with Ischemic Damage in Patients Undergoing Laparoscopic Partial Nephrectomy. Balkan Medical Journal, 36(2), 121-128. [6131]</w:t>
            </w:r>
          </w:p>
        </w:tc>
      </w:tr>
      <w:tr w:rsidR="002F0133" w:rsidRPr="000B4E2C" w14:paraId="431C71DB" w14:textId="77777777" w:rsidTr="000B4E2C">
        <w:trPr>
          <w:cantSplit/>
        </w:trPr>
        <w:tc>
          <w:tcPr>
            <w:tcW w:w="0" w:type="auto"/>
            <w:shd w:val="clear" w:color="auto" w:fill="auto"/>
            <w:noWrap/>
            <w:hideMark/>
          </w:tcPr>
          <w:p w14:paraId="0DCF165D" w14:textId="77777777" w:rsidR="002F0133" w:rsidRPr="000B4E2C" w:rsidRDefault="002F0133" w:rsidP="008A7464">
            <w:pPr>
              <w:rPr>
                <w:lang w:eastAsia="en-GB"/>
              </w:rPr>
            </w:pPr>
            <w:r w:rsidRPr="000B4E2C">
              <w:rPr>
                <w:lang w:eastAsia="en-GB"/>
              </w:rPr>
              <w:t>Karaolanis</w:t>
            </w:r>
          </w:p>
        </w:tc>
        <w:tc>
          <w:tcPr>
            <w:tcW w:w="0" w:type="auto"/>
            <w:shd w:val="clear" w:color="auto" w:fill="auto"/>
            <w:noWrap/>
            <w:hideMark/>
          </w:tcPr>
          <w:p w14:paraId="5C99B005"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F029F8A" w14:textId="36086A5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2AF1DF0" w14:textId="77777777" w:rsidR="002F0133" w:rsidRPr="000B4E2C" w:rsidRDefault="002F0133" w:rsidP="008A7464">
            <w:pPr>
              <w:rPr>
                <w:highlight w:val="green"/>
                <w:lang w:eastAsia="en-GB"/>
              </w:rPr>
            </w:pPr>
            <w:r w:rsidRPr="000B4E2C">
              <w:rPr>
                <w:highlight w:val="green"/>
                <w:lang w:eastAsia="en-GB"/>
              </w:rPr>
              <w:t>G. Karaolanis, A. Katsaros, V. V. Palla, S. Lionaki, D. Moris, E. Karanikola, M. Kravaritou, V. Drossos, T. Psarros, K. Triantafillou, N. Aleksandropoulos and G. Zografos. Urine NGAL as a biomarker of kidney damage after on- and off-pump coronary artery bypass graft surgery: A prospective pilot study. Hellenic Journal of Cardiology, 56(2), 160-168. [15814]</w:t>
            </w:r>
          </w:p>
        </w:tc>
      </w:tr>
      <w:tr w:rsidR="002F0133" w:rsidRPr="000B4E2C" w14:paraId="3E22651A" w14:textId="77777777" w:rsidTr="000B4E2C">
        <w:trPr>
          <w:cantSplit/>
        </w:trPr>
        <w:tc>
          <w:tcPr>
            <w:tcW w:w="0" w:type="auto"/>
            <w:shd w:val="clear" w:color="auto" w:fill="auto"/>
            <w:noWrap/>
            <w:hideMark/>
          </w:tcPr>
          <w:p w14:paraId="3548A72A" w14:textId="77777777" w:rsidR="002F0133" w:rsidRPr="000B4E2C" w:rsidRDefault="002F0133" w:rsidP="008A7464">
            <w:pPr>
              <w:rPr>
                <w:lang w:eastAsia="en-GB"/>
              </w:rPr>
            </w:pPr>
            <w:r w:rsidRPr="000B4E2C">
              <w:rPr>
                <w:lang w:eastAsia="en-GB"/>
              </w:rPr>
              <w:t>Kardakos</w:t>
            </w:r>
          </w:p>
        </w:tc>
        <w:tc>
          <w:tcPr>
            <w:tcW w:w="0" w:type="auto"/>
            <w:shd w:val="clear" w:color="auto" w:fill="auto"/>
            <w:noWrap/>
            <w:hideMark/>
          </w:tcPr>
          <w:p w14:paraId="3F41D079"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5AE7801B" w14:textId="10B8A8C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E2A76F4" w14:textId="77777777" w:rsidR="002F0133" w:rsidRPr="000B4E2C" w:rsidRDefault="002F0133" w:rsidP="008A7464">
            <w:pPr>
              <w:rPr>
                <w:highlight w:val="green"/>
                <w:lang w:eastAsia="en-GB"/>
              </w:rPr>
            </w:pPr>
            <w:r w:rsidRPr="000B4E2C">
              <w:rPr>
                <w:highlight w:val="green"/>
                <w:lang w:val="da-DK" w:eastAsia="en-GB"/>
              </w:rPr>
              <w:t xml:space="preserve">I. S. Kardakos, D. I. Volanis, A. Kalikaki, V. P. Tzortzis, E. N. Serafetinides, M. D. Melekos and D. S. Delakas. </w:t>
            </w:r>
            <w:r w:rsidRPr="000B4E2C">
              <w:rPr>
                <w:highlight w:val="green"/>
                <w:lang w:eastAsia="en-GB"/>
              </w:rPr>
              <w:t>Evaluation of Neutrophil Gelatinase-associated Lipocalin, Interleukin-18, and Cystatin C as Molecular Markers Before and After Unilateral Shock Wave Lithotripsy. Urology, 84(4), 783-788. [18482]</w:t>
            </w:r>
          </w:p>
        </w:tc>
      </w:tr>
      <w:tr w:rsidR="002F0133" w:rsidRPr="000B4E2C" w14:paraId="1E28F061" w14:textId="77777777" w:rsidTr="000B4E2C">
        <w:trPr>
          <w:cantSplit/>
        </w:trPr>
        <w:tc>
          <w:tcPr>
            <w:tcW w:w="0" w:type="auto"/>
            <w:shd w:val="clear" w:color="auto" w:fill="auto"/>
            <w:noWrap/>
            <w:hideMark/>
          </w:tcPr>
          <w:p w14:paraId="488D7707" w14:textId="77777777" w:rsidR="002F0133" w:rsidRPr="000B4E2C" w:rsidRDefault="002F0133" w:rsidP="008A7464">
            <w:pPr>
              <w:rPr>
                <w:lang w:eastAsia="en-GB"/>
              </w:rPr>
            </w:pPr>
            <w:r w:rsidRPr="000B4E2C">
              <w:rPr>
                <w:lang w:eastAsia="en-GB"/>
              </w:rPr>
              <w:t>Kardakos</w:t>
            </w:r>
          </w:p>
        </w:tc>
        <w:tc>
          <w:tcPr>
            <w:tcW w:w="0" w:type="auto"/>
            <w:shd w:val="clear" w:color="auto" w:fill="auto"/>
            <w:noWrap/>
            <w:hideMark/>
          </w:tcPr>
          <w:p w14:paraId="761C268D"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0FFD55A" w14:textId="7485A7C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1A8A759" w14:textId="77777777" w:rsidR="002F0133" w:rsidRPr="000B4E2C" w:rsidRDefault="002F0133" w:rsidP="008A7464">
            <w:pPr>
              <w:rPr>
                <w:highlight w:val="green"/>
                <w:lang w:eastAsia="en-GB"/>
              </w:rPr>
            </w:pPr>
            <w:r w:rsidRPr="000B4E2C">
              <w:rPr>
                <w:highlight w:val="green"/>
                <w:lang w:val="da-DK" w:eastAsia="en-GB"/>
              </w:rPr>
              <w:t xml:space="preserve">I. S. Kardakos, D. I. Volanis, A. Kalikaki, V. P. Tzortzis, E. N. Serafetinides, M. D. Melekos and D. S. Delakas. </w:t>
            </w:r>
            <w:r w:rsidRPr="000B4E2C">
              <w:rPr>
                <w:highlight w:val="green"/>
                <w:lang w:eastAsia="en-GB"/>
              </w:rPr>
              <w:t>Evaluation of neutrophil gelatinase-associated lipocalin, interleukin-18, and cystatin C as molecular markers before and after unilateral shock wave lithotripsy. Urology, 84(4), 783-788. [6132]</w:t>
            </w:r>
          </w:p>
        </w:tc>
      </w:tr>
      <w:tr w:rsidR="002F0133" w:rsidRPr="000B4E2C" w14:paraId="771A0321" w14:textId="77777777" w:rsidTr="000B4E2C">
        <w:trPr>
          <w:cantSplit/>
        </w:trPr>
        <w:tc>
          <w:tcPr>
            <w:tcW w:w="0" w:type="auto"/>
            <w:shd w:val="clear" w:color="auto" w:fill="auto"/>
            <w:noWrap/>
            <w:hideMark/>
          </w:tcPr>
          <w:p w14:paraId="239A740F" w14:textId="77777777" w:rsidR="002F0133" w:rsidRPr="000B4E2C" w:rsidRDefault="002F0133" w:rsidP="008A7464">
            <w:pPr>
              <w:rPr>
                <w:lang w:eastAsia="en-GB"/>
              </w:rPr>
            </w:pPr>
            <w:r w:rsidRPr="000B4E2C">
              <w:rPr>
                <w:lang w:eastAsia="en-GB"/>
              </w:rPr>
              <w:t>Kari</w:t>
            </w:r>
          </w:p>
        </w:tc>
        <w:tc>
          <w:tcPr>
            <w:tcW w:w="0" w:type="auto"/>
            <w:shd w:val="clear" w:color="auto" w:fill="auto"/>
            <w:noWrap/>
            <w:hideMark/>
          </w:tcPr>
          <w:p w14:paraId="77632D7A"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32D48CD8" w14:textId="65A213B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F2C071F" w14:textId="77777777" w:rsidR="002F0133" w:rsidRPr="000B4E2C" w:rsidRDefault="002F0133" w:rsidP="008A7464">
            <w:pPr>
              <w:rPr>
                <w:highlight w:val="green"/>
                <w:lang w:eastAsia="en-GB"/>
              </w:rPr>
            </w:pPr>
            <w:r w:rsidRPr="000B4E2C">
              <w:rPr>
                <w:highlight w:val="green"/>
                <w:lang w:eastAsia="en-GB"/>
              </w:rPr>
              <w:t>J. A. Kari, M. A. Shalaby, K. Sofyani, A. S. Sanad, A. F. Ossra, R. S. Halabi, M. H. Aljuhani, W. M. Toffaha, F. A. Moria, S. Sabry, H. A. A. Ahmed, K. A. Alhasan, S. Sharief and O. Safdar. Urinary neutrophil gelatinase-associated lipocalin (NGAL) and serum cystatin C measurements for early diagnosis of acute kidney injury in children admitted to PICU. World Journal of Pediatrics, 14(2), 134-142. [15815]</w:t>
            </w:r>
          </w:p>
        </w:tc>
      </w:tr>
      <w:tr w:rsidR="002F0133" w:rsidRPr="000B4E2C" w14:paraId="6DB468FA" w14:textId="77777777" w:rsidTr="000B4E2C">
        <w:trPr>
          <w:cantSplit/>
        </w:trPr>
        <w:tc>
          <w:tcPr>
            <w:tcW w:w="0" w:type="auto"/>
            <w:shd w:val="clear" w:color="auto" w:fill="auto"/>
            <w:noWrap/>
            <w:hideMark/>
          </w:tcPr>
          <w:p w14:paraId="3BF70525" w14:textId="77777777" w:rsidR="002F0133" w:rsidRPr="000B4E2C" w:rsidRDefault="002F0133" w:rsidP="008A7464">
            <w:pPr>
              <w:rPr>
                <w:lang w:eastAsia="en-GB"/>
              </w:rPr>
            </w:pPr>
            <w:r w:rsidRPr="000B4E2C">
              <w:rPr>
                <w:lang w:eastAsia="en-GB"/>
              </w:rPr>
              <w:t>Karimzadeh</w:t>
            </w:r>
          </w:p>
        </w:tc>
        <w:tc>
          <w:tcPr>
            <w:tcW w:w="0" w:type="auto"/>
            <w:shd w:val="clear" w:color="auto" w:fill="auto"/>
            <w:noWrap/>
            <w:hideMark/>
          </w:tcPr>
          <w:p w14:paraId="0E8D3589"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5A4B7B1F" w14:textId="5A398B4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CBF3080" w14:textId="77777777" w:rsidR="002F0133" w:rsidRPr="000B4E2C" w:rsidRDefault="002F0133" w:rsidP="008A7464">
            <w:pPr>
              <w:rPr>
                <w:highlight w:val="green"/>
                <w:lang w:eastAsia="en-GB"/>
              </w:rPr>
            </w:pPr>
            <w:r w:rsidRPr="000B4E2C">
              <w:rPr>
                <w:highlight w:val="green"/>
                <w:lang w:eastAsia="en-GB"/>
              </w:rPr>
              <w:t>I. Karimzadeh, M. Heydari, M. Ramzi, M. M. Sagheb and K. Zomorodian. Urinary neutrophil gelatinase-associated lipocalin as a biomarker of kidney injury in hematologic-oncologic patients receiving amphotericin B. Iranian Journal of Kidney Diseases, 11(3), 201-208. [15816]</w:t>
            </w:r>
          </w:p>
        </w:tc>
      </w:tr>
      <w:tr w:rsidR="002F0133" w:rsidRPr="000B4E2C" w14:paraId="6159FDEE" w14:textId="77777777" w:rsidTr="000B4E2C">
        <w:trPr>
          <w:cantSplit/>
        </w:trPr>
        <w:tc>
          <w:tcPr>
            <w:tcW w:w="0" w:type="auto"/>
            <w:shd w:val="clear" w:color="auto" w:fill="auto"/>
            <w:noWrap/>
            <w:hideMark/>
          </w:tcPr>
          <w:p w14:paraId="3D2C2DCA" w14:textId="77777777" w:rsidR="002F0133" w:rsidRPr="000B4E2C" w:rsidRDefault="002F0133" w:rsidP="008A7464">
            <w:pPr>
              <w:rPr>
                <w:lang w:eastAsia="en-GB"/>
              </w:rPr>
            </w:pPr>
            <w:r w:rsidRPr="000B4E2C">
              <w:rPr>
                <w:lang w:eastAsia="en-GB"/>
              </w:rPr>
              <w:t>Katagiri</w:t>
            </w:r>
          </w:p>
        </w:tc>
        <w:tc>
          <w:tcPr>
            <w:tcW w:w="0" w:type="auto"/>
            <w:shd w:val="clear" w:color="auto" w:fill="auto"/>
            <w:noWrap/>
            <w:hideMark/>
          </w:tcPr>
          <w:p w14:paraId="62E578AB"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1853339B" w14:textId="208AB76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AEF81F9" w14:textId="77777777" w:rsidR="002F0133" w:rsidRPr="000B4E2C" w:rsidRDefault="002F0133" w:rsidP="008A7464">
            <w:pPr>
              <w:rPr>
                <w:highlight w:val="green"/>
                <w:lang w:eastAsia="en-GB"/>
              </w:rPr>
            </w:pPr>
            <w:r w:rsidRPr="000B4E2C">
              <w:rPr>
                <w:highlight w:val="green"/>
                <w:lang w:eastAsia="en-GB"/>
              </w:rPr>
              <w:t>D. Katagiri, K. Doi, K. Honda, K. Negishi, T. Fujita, M. Hisagi, M. Ono, T. Matsubara, N. Yahagi, M. Iwagami, T. Ohtake, S. Kobayashi, T. Sugaya and E. Noiri. Combination of two urinary biomarkers predicts acute kidney injury after adult cardiac surgery. Annals of Thoracic Surgery, 93(2), 577-583. [15825]</w:t>
            </w:r>
          </w:p>
        </w:tc>
      </w:tr>
      <w:tr w:rsidR="002F0133" w:rsidRPr="000B4E2C" w14:paraId="02C9DB10" w14:textId="77777777" w:rsidTr="000B4E2C">
        <w:trPr>
          <w:cantSplit/>
        </w:trPr>
        <w:tc>
          <w:tcPr>
            <w:tcW w:w="0" w:type="auto"/>
            <w:shd w:val="clear" w:color="auto" w:fill="auto"/>
            <w:noWrap/>
            <w:hideMark/>
          </w:tcPr>
          <w:p w14:paraId="546F7072" w14:textId="77777777" w:rsidR="002F0133" w:rsidRPr="000B4E2C" w:rsidRDefault="002F0133" w:rsidP="008A7464">
            <w:pPr>
              <w:rPr>
                <w:lang w:eastAsia="en-GB"/>
              </w:rPr>
            </w:pPr>
            <w:r w:rsidRPr="000B4E2C">
              <w:rPr>
                <w:lang w:eastAsia="en-GB"/>
              </w:rPr>
              <w:t>Katagiri</w:t>
            </w:r>
          </w:p>
        </w:tc>
        <w:tc>
          <w:tcPr>
            <w:tcW w:w="0" w:type="auto"/>
            <w:shd w:val="clear" w:color="auto" w:fill="auto"/>
            <w:noWrap/>
            <w:hideMark/>
          </w:tcPr>
          <w:p w14:paraId="5239AF36"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0A0396BE"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46BAAE9F" w14:textId="77777777" w:rsidR="002F0133" w:rsidRPr="000B4E2C" w:rsidRDefault="002F0133" w:rsidP="008A7464">
            <w:pPr>
              <w:rPr>
                <w:highlight w:val="green"/>
                <w:lang w:eastAsia="en-GB"/>
              </w:rPr>
            </w:pPr>
            <w:r w:rsidRPr="000B4E2C">
              <w:rPr>
                <w:highlight w:val="green"/>
                <w:lang w:eastAsia="en-GB"/>
              </w:rPr>
              <w:t>D. Katagiri, K. Doi, T. Matsubara, K. Negishi, Y. Hamasaki, K. Nakamura, T. Ishii, N. Yahagi and E. Noiri. New biomarker panel of plasma neutrophil gelatinase-associated lipocalin and endotoxin activity assay for detecting sepsis in acute kidney injury. Journal of Critical Care, 28(5), 564-570. [15824]</w:t>
            </w:r>
          </w:p>
        </w:tc>
      </w:tr>
      <w:tr w:rsidR="002F0133" w:rsidRPr="000B4E2C" w14:paraId="02FBF3AE" w14:textId="77777777" w:rsidTr="000B4E2C">
        <w:trPr>
          <w:cantSplit/>
        </w:trPr>
        <w:tc>
          <w:tcPr>
            <w:tcW w:w="0" w:type="auto"/>
            <w:shd w:val="clear" w:color="auto" w:fill="auto"/>
            <w:noWrap/>
            <w:hideMark/>
          </w:tcPr>
          <w:p w14:paraId="14E5AB5D" w14:textId="77777777" w:rsidR="002F0133" w:rsidRPr="000B4E2C" w:rsidRDefault="002F0133" w:rsidP="008A7464">
            <w:pPr>
              <w:rPr>
                <w:lang w:eastAsia="en-GB"/>
              </w:rPr>
            </w:pPr>
            <w:r w:rsidRPr="000B4E2C">
              <w:rPr>
                <w:lang w:eastAsia="en-GB"/>
              </w:rPr>
              <w:lastRenderedPageBreak/>
              <w:t>Katagiri</w:t>
            </w:r>
          </w:p>
        </w:tc>
        <w:tc>
          <w:tcPr>
            <w:tcW w:w="0" w:type="auto"/>
            <w:shd w:val="clear" w:color="auto" w:fill="auto"/>
            <w:noWrap/>
            <w:hideMark/>
          </w:tcPr>
          <w:p w14:paraId="49EBCB41"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5E15D7E"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61CCA5A7" w14:textId="77777777" w:rsidR="002F0133" w:rsidRPr="000B4E2C" w:rsidRDefault="002F0133" w:rsidP="008A7464">
            <w:pPr>
              <w:rPr>
                <w:highlight w:val="green"/>
                <w:lang w:eastAsia="en-GB"/>
              </w:rPr>
            </w:pPr>
            <w:r w:rsidRPr="000B4E2C">
              <w:rPr>
                <w:highlight w:val="green"/>
                <w:lang w:eastAsia="en-GB"/>
              </w:rPr>
              <w:t>M. Katagiri, M. Takahashi, K. Doi, M. Myojo, A. Kiyosue, J. Ando, Y. Hirata and I. Komuro. Serum neutrophil gelatinase-associated lipocalin concentration reflects severity of coronary artery disease in patients without heart failure and chronic kidney disease. Heart and Vessels, 31(10), 1595-1602. [15826]</w:t>
            </w:r>
          </w:p>
        </w:tc>
      </w:tr>
      <w:tr w:rsidR="002F0133" w:rsidRPr="000B4E2C" w14:paraId="2B4C8C21" w14:textId="77777777" w:rsidTr="000B4E2C">
        <w:trPr>
          <w:cantSplit/>
        </w:trPr>
        <w:tc>
          <w:tcPr>
            <w:tcW w:w="0" w:type="auto"/>
            <w:shd w:val="clear" w:color="auto" w:fill="auto"/>
            <w:noWrap/>
            <w:hideMark/>
          </w:tcPr>
          <w:p w14:paraId="16BFFEEE" w14:textId="77777777" w:rsidR="002F0133" w:rsidRPr="000B4E2C" w:rsidRDefault="002F0133" w:rsidP="008A7464">
            <w:pPr>
              <w:rPr>
                <w:lang w:eastAsia="en-GB"/>
              </w:rPr>
            </w:pPr>
            <w:r w:rsidRPr="000B4E2C">
              <w:rPr>
                <w:lang w:eastAsia="en-GB"/>
              </w:rPr>
              <w:t>Kesik</w:t>
            </w:r>
          </w:p>
        </w:tc>
        <w:tc>
          <w:tcPr>
            <w:tcW w:w="0" w:type="auto"/>
            <w:shd w:val="clear" w:color="auto" w:fill="auto"/>
            <w:noWrap/>
            <w:hideMark/>
          </w:tcPr>
          <w:p w14:paraId="5EA3A416"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46DAD69B" w14:textId="582D360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467C064" w14:textId="77777777" w:rsidR="002F0133" w:rsidRPr="000B4E2C" w:rsidRDefault="002F0133" w:rsidP="008A7464">
            <w:pPr>
              <w:rPr>
                <w:highlight w:val="green"/>
                <w:lang w:eastAsia="en-GB"/>
              </w:rPr>
            </w:pPr>
            <w:r w:rsidRPr="000B4E2C">
              <w:rPr>
                <w:highlight w:val="green"/>
                <w:lang w:eastAsia="en-GB"/>
              </w:rPr>
              <w:t>V. Kesik, E. Demirkaya and M. Buyukpamukcu. Urinary neutrophil gelatinase associated lipocalin as a biomarker in ifosfamide induced chronic renal failure. European Review for Medical and Pharmacological Sciences, 19(24), 4851-4857. [15836]</w:t>
            </w:r>
          </w:p>
        </w:tc>
      </w:tr>
      <w:tr w:rsidR="002F0133" w:rsidRPr="000B4E2C" w14:paraId="483D895A" w14:textId="77777777" w:rsidTr="000B4E2C">
        <w:trPr>
          <w:cantSplit/>
        </w:trPr>
        <w:tc>
          <w:tcPr>
            <w:tcW w:w="0" w:type="auto"/>
            <w:shd w:val="clear" w:color="auto" w:fill="auto"/>
            <w:noWrap/>
            <w:hideMark/>
          </w:tcPr>
          <w:p w14:paraId="32A892A0" w14:textId="77777777" w:rsidR="002F0133" w:rsidRPr="000B4E2C" w:rsidRDefault="002F0133" w:rsidP="008A7464">
            <w:pPr>
              <w:rPr>
                <w:lang w:eastAsia="en-GB"/>
              </w:rPr>
            </w:pPr>
            <w:r w:rsidRPr="000B4E2C">
              <w:rPr>
                <w:lang w:eastAsia="en-GB"/>
              </w:rPr>
              <w:t>Khan</w:t>
            </w:r>
          </w:p>
        </w:tc>
        <w:tc>
          <w:tcPr>
            <w:tcW w:w="0" w:type="auto"/>
            <w:shd w:val="clear" w:color="auto" w:fill="auto"/>
            <w:noWrap/>
            <w:hideMark/>
          </w:tcPr>
          <w:p w14:paraId="080DC64A"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137CC746"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34F5795C" w14:textId="77777777" w:rsidR="002F0133" w:rsidRPr="000B4E2C" w:rsidRDefault="002F0133" w:rsidP="008A7464">
            <w:pPr>
              <w:rPr>
                <w:highlight w:val="green"/>
                <w:lang w:eastAsia="en-GB"/>
              </w:rPr>
            </w:pPr>
            <w:r w:rsidRPr="000B4E2C">
              <w:rPr>
                <w:highlight w:val="green"/>
                <w:lang w:eastAsia="en-GB"/>
              </w:rPr>
              <w:t>U. A. Khan, S. G. Coca, K. Hong, J. L. Koyner, A. X. Garg, C. S. Passik, M. Swaminathan, S. Garwood, U. D. Patel, S. Hashim, M. A. Quantz and C. R. Parikh. Blood transfusions are associated with urinary biomarkers of kidney injury in cardiac surgery. Journal of Thoracic and Cardiovascular Surgery, 148(2), 726-732. [15840]</w:t>
            </w:r>
          </w:p>
        </w:tc>
      </w:tr>
      <w:tr w:rsidR="002F0133" w:rsidRPr="000B4E2C" w14:paraId="0FCBF096" w14:textId="77777777" w:rsidTr="000B4E2C">
        <w:trPr>
          <w:cantSplit/>
        </w:trPr>
        <w:tc>
          <w:tcPr>
            <w:tcW w:w="0" w:type="auto"/>
            <w:shd w:val="clear" w:color="auto" w:fill="auto"/>
            <w:noWrap/>
            <w:hideMark/>
          </w:tcPr>
          <w:p w14:paraId="7BCB0DBF" w14:textId="77777777" w:rsidR="002F0133" w:rsidRPr="000B4E2C" w:rsidRDefault="002F0133" w:rsidP="008A7464">
            <w:pPr>
              <w:rPr>
                <w:lang w:eastAsia="en-GB"/>
              </w:rPr>
            </w:pPr>
            <w:r w:rsidRPr="000B4E2C">
              <w:rPr>
                <w:lang w:eastAsia="en-GB"/>
              </w:rPr>
              <w:t>Khan</w:t>
            </w:r>
          </w:p>
        </w:tc>
        <w:tc>
          <w:tcPr>
            <w:tcW w:w="0" w:type="auto"/>
            <w:shd w:val="clear" w:color="auto" w:fill="auto"/>
            <w:noWrap/>
            <w:hideMark/>
          </w:tcPr>
          <w:p w14:paraId="37DB403D"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713C34B5" w14:textId="10C8A5A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DBEE7B6" w14:textId="77777777" w:rsidR="002F0133" w:rsidRPr="000B4E2C" w:rsidRDefault="002F0133" w:rsidP="008A7464">
            <w:pPr>
              <w:rPr>
                <w:highlight w:val="green"/>
                <w:lang w:eastAsia="en-GB"/>
              </w:rPr>
            </w:pPr>
            <w:r w:rsidRPr="000B4E2C">
              <w:rPr>
                <w:highlight w:val="green"/>
                <w:lang w:eastAsia="en-GB"/>
              </w:rPr>
              <w:t>M. Khan, N. Choudhry, M. F. U. Haq, Shahjahan, S. Mahmood, S. Sarmad and R. Yasmin. Evaluation of neutrophil gelatinase associated lipocalin, as a biomarker of renal injury in type 2 diabetic patients. Pakistan Journal of Medical and Health Sciences, 8(3), 612-615. [15839]</w:t>
            </w:r>
          </w:p>
        </w:tc>
      </w:tr>
      <w:tr w:rsidR="002F0133" w:rsidRPr="000B4E2C" w14:paraId="703806C0" w14:textId="77777777" w:rsidTr="000B4E2C">
        <w:trPr>
          <w:cantSplit/>
        </w:trPr>
        <w:tc>
          <w:tcPr>
            <w:tcW w:w="0" w:type="auto"/>
            <w:shd w:val="clear" w:color="auto" w:fill="auto"/>
            <w:noWrap/>
            <w:hideMark/>
          </w:tcPr>
          <w:p w14:paraId="1DD95833" w14:textId="77777777" w:rsidR="002F0133" w:rsidRPr="000B4E2C" w:rsidRDefault="002F0133" w:rsidP="008A7464">
            <w:pPr>
              <w:rPr>
                <w:lang w:eastAsia="en-GB"/>
              </w:rPr>
            </w:pPr>
            <w:r w:rsidRPr="000B4E2C">
              <w:rPr>
                <w:lang w:eastAsia="en-GB"/>
              </w:rPr>
              <w:t>Khatami</w:t>
            </w:r>
          </w:p>
        </w:tc>
        <w:tc>
          <w:tcPr>
            <w:tcW w:w="0" w:type="auto"/>
            <w:shd w:val="clear" w:color="auto" w:fill="auto"/>
            <w:noWrap/>
            <w:hideMark/>
          </w:tcPr>
          <w:p w14:paraId="36196EBA"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8B99304"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249B1D5" w14:textId="77777777" w:rsidR="002F0133" w:rsidRPr="000B4E2C" w:rsidRDefault="002F0133" w:rsidP="008A7464">
            <w:pPr>
              <w:rPr>
                <w:highlight w:val="green"/>
                <w:lang w:eastAsia="en-GB"/>
              </w:rPr>
            </w:pPr>
            <w:r w:rsidRPr="000B4E2C">
              <w:rPr>
                <w:highlight w:val="green"/>
                <w:lang w:eastAsia="en-GB"/>
              </w:rPr>
              <w:t>M. R. Khatami, M. R. P. Sabbagh, N. Nikravan, Z. Khazaeipour, M. A. Boroumand, S. Sadeghian and B. Davoudi. The role of neutrophil-gelatinase-associated lipocalin in early diagnosis of contrast nephropathy. Indian Journal of Nephrology, 25(5), 292-296. [15841]</w:t>
            </w:r>
          </w:p>
        </w:tc>
      </w:tr>
      <w:tr w:rsidR="002F0133" w:rsidRPr="000B4E2C" w14:paraId="46E4465E" w14:textId="77777777" w:rsidTr="000B4E2C">
        <w:trPr>
          <w:cantSplit/>
        </w:trPr>
        <w:tc>
          <w:tcPr>
            <w:tcW w:w="0" w:type="auto"/>
            <w:shd w:val="clear" w:color="auto" w:fill="auto"/>
            <w:noWrap/>
            <w:hideMark/>
          </w:tcPr>
          <w:p w14:paraId="3067F3CE" w14:textId="77777777" w:rsidR="002F0133" w:rsidRPr="000B4E2C" w:rsidRDefault="002F0133" w:rsidP="008A7464">
            <w:pPr>
              <w:rPr>
                <w:lang w:eastAsia="en-GB"/>
              </w:rPr>
            </w:pPr>
            <w:r w:rsidRPr="000B4E2C">
              <w:rPr>
                <w:lang w:eastAsia="en-GB"/>
              </w:rPr>
              <w:t>Khawaja</w:t>
            </w:r>
          </w:p>
        </w:tc>
        <w:tc>
          <w:tcPr>
            <w:tcW w:w="0" w:type="auto"/>
            <w:shd w:val="clear" w:color="auto" w:fill="auto"/>
            <w:noWrap/>
            <w:hideMark/>
          </w:tcPr>
          <w:p w14:paraId="1F00E9A6"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0110478C" w14:textId="1DECDA0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89568D9" w14:textId="77777777" w:rsidR="002F0133" w:rsidRPr="000B4E2C" w:rsidRDefault="002F0133" w:rsidP="008A7464">
            <w:pPr>
              <w:rPr>
                <w:highlight w:val="green"/>
                <w:lang w:eastAsia="en-GB"/>
              </w:rPr>
            </w:pPr>
            <w:r w:rsidRPr="000B4E2C">
              <w:rPr>
                <w:highlight w:val="green"/>
                <w:lang w:eastAsia="en-GB"/>
              </w:rPr>
              <w:t>S. Khawaja, L. Jafri, I. Siddiqui, M. Hashmi and F. Ghani. The utility of neutrophil gelatinase-associated Lipocalin (NGAL) as a marker of acute kidney injury (AKI) in critically ill patients. Biomarker Research, 7(1), 4. [15842]</w:t>
            </w:r>
          </w:p>
        </w:tc>
      </w:tr>
      <w:tr w:rsidR="002F0133" w:rsidRPr="000B4E2C" w14:paraId="16FB571F" w14:textId="77777777" w:rsidTr="000B4E2C">
        <w:trPr>
          <w:cantSplit/>
        </w:trPr>
        <w:tc>
          <w:tcPr>
            <w:tcW w:w="0" w:type="auto"/>
            <w:shd w:val="clear" w:color="auto" w:fill="auto"/>
            <w:noWrap/>
            <w:hideMark/>
          </w:tcPr>
          <w:p w14:paraId="3E6C5AEA" w14:textId="77777777" w:rsidR="002F0133" w:rsidRPr="000B4E2C" w:rsidRDefault="002F0133" w:rsidP="008A7464">
            <w:pPr>
              <w:rPr>
                <w:lang w:eastAsia="en-GB"/>
              </w:rPr>
            </w:pPr>
            <w:r w:rsidRPr="000B4E2C">
              <w:rPr>
                <w:lang w:eastAsia="en-GB"/>
              </w:rPr>
              <w:t>Khosravi</w:t>
            </w:r>
          </w:p>
        </w:tc>
        <w:tc>
          <w:tcPr>
            <w:tcW w:w="0" w:type="auto"/>
            <w:shd w:val="clear" w:color="auto" w:fill="auto"/>
            <w:noWrap/>
            <w:hideMark/>
          </w:tcPr>
          <w:p w14:paraId="5DE8A9E2"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41CA2C00" w14:textId="0C623C4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406E13B" w14:textId="77777777" w:rsidR="002F0133" w:rsidRPr="000B4E2C" w:rsidRDefault="002F0133" w:rsidP="008A7464">
            <w:pPr>
              <w:rPr>
                <w:highlight w:val="green"/>
                <w:lang w:eastAsia="en-GB"/>
              </w:rPr>
            </w:pPr>
            <w:r w:rsidRPr="000B4E2C">
              <w:rPr>
                <w:highlight w:val="green"/>
                <w:lang w:eastAsia="en-GB"/>
              </w:rPr>
              <w:t>M. B. Khosravi, S. Milani and F. Kakaei. Serum neutrophil gelatinase-associated lipocalin versus serum creatinine for the prediction of acute kidney injury after liver transplantation. International Journal of Organ Transplantation Medicine, 4(3), 102-109. [15843]</w:t>
            </w:r>
          </w:p>
        </w:tc>
      </w:tr>
      <w:tr w:rsidR="002F0133" w:rsidRPr="000B4E2C" w14:paraId="1F41B1B9" w14:textId="77777777" w:rsidTr="000B4E2C">
        <w:trPr>
          <w:cantSplit/>
        </w:trPr>
        <w:tc>
          <w:tcPr>
            <w:tcW w:w="0" w:type="auto"/>
            <w:shd w:val="clear" w:color="auto" w:fill="auto"/>
            <w:noWrap/>
            <w:hideMark/>
          </w:tcPr>
          <w:p w14:paraId="434A0D10" w14:textId="77777777" w:rsidR="002F0133" w:rsidRPr="000B4E2C" w:rsidRDefault="002F0133" w:rsidP="008A7464">
            <w:pPr>
              <w:rPr>
                <w:lang w:eastAsia="en-GB"/>
              </w:rPr>
            </w:pPr>
            <w:r w:rsidRPr="000B4E2C">
              <w:rPr>
                <w:lang w:eastAsia="en-GB"/>
              </w:rPr>
              <w:t>Kidher</w:t>
            </w:r>
          </w:p>
        </w:tc>
        <w:tc>
          <w:tcPr>
            <w:tcW w:w="0" w:type="auto"/>
            <w:shd w:val="clear" w:color="auto" w:fill="auto"/>
            <w:noWrap/>
            <w:hideMark/>
          </w:tcPr>
          <w:p w14:paraId="0AE3FFA0"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67D2444F" w14:textId="7E2631A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8938AD5" w14:textId="77777777" w:rsidR="002F0133" w:rsidRPr="000B4E2C" w:rsidRDefault="002F0133" w:rsidP="008A7464">
            <w:pPr>
              <w:rPr>
                <w:highlight w:val="green"/>
                <w:lang w:eastAsia="en-GB"/>
              </w:rPr>
            </w:pPr>
            <w:r w:rsidRPr="000B4E2C">
              <w:rPr>
                <w:highlight w:val="green"/>
                <w:lang w:eastAsia="en-GB"/>
              </w:rPr>
              <w:t>E. Kidher, L. Harling, H. Ashrafian, H. Naase, A. Chukwuemeka, J. Anderson, D. P. Francis and T. Athanasiou. Pulse wave velocity and neutrophil gelatinase-associated lipocalin as predictors of acute kidney injury following aortic valve replacement. Journal of cardiothoracic surgery, 9(1), 89. [15844]</w:t>
            </w:r>
          </w:p>
        </w:tc>
      </w:tr>
      <w:tr w:rsidR="002F0133" w:rsidRPr="000B4E2C" w14:paraId="260588BA" w14:textId="77777777" w:rsidTr="000B4E2C">
        <w:trPr>
          <w:cantSplit/>
        </w:trPr>
        <w:tc>
          <w:tcPr>
            <w:tcW w:w="0" w:type="auto"/>
            <w:shd w:val="clear" w:color="auto" w:fill="auto"/>
            <w:noWrap/>
            <w:hideMark/>
          </w:tcPr>
          <w:p w14:paraId="364BBD5B" w14:textId="77777777" w:rsidR="002F0133" w:rsidRPr="000B4E2C" w:rsidRDefault="002F0133" w:rsidP="008A7464">
            <w:pPr>
              <w:rPr>
                <w:lang w:eastAsia="en-GB"/>
              </w:rPr>
            </w:pPr>
            <w:r w:rsidRPr="000B4E2C">
              <w:rPr>
                <w:lang w:eastAsia="en-GB"/>
              </w:rPr>
              <w:t>Kift</w:t>
            </w:r>
          </w:p>
        </w:tc>
        <w:tc>
          <w:tcPr>
            <w:tcW w:w="0" w:type="auto"/>
            <w:shd w:val="clear" w:color="auto" w:fill="auto"/>
            <w:noWrap/>
            <w:hideMark/>
          </w:tcPr>
          <w:p w14:paraId="12AC19EA"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6F6ACEEB" w14:textId="6D6F1D9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F90EDF3" w14:textId="77777777" w:rsidR="002F0133" w:rsidRPr="000B4E2C" w:rsidRDefault="002F0133" w:rsidP="008A7464">
            <w:pPr>
              <w:rPr>
                <w:highlight w:val="green"/>
                <w:lang w:eastAsia="en-GB"/>
              </w:rPr>
            </w:pPr>
            <w:r w:rsidRPr="000B4E2C">
              <w:rPr>
                <w:highlight w:val="green"/>
                <w:lang w:eastAsia="en-GB"/>
              </w:rPr>
              <w:t>R. L. Kift, M. P. Messenger, T. C. Wind, S. Hepburn, M. Wilson, D. Thompson, M. W. Smith, C. Sturgeon, A. J. Lewington, P. J. Selby and R. E. Banks. A comparison of the analytical performance of five commercially available assays for neutrophil gelatinase-associated lipocalin using urine. Annals of Clinical Biochemistry, 50(3), 236-244. [15845]</w:t>
            </w:r>
          </w:p>
        </w:tc>
      </w:tr>
      <w:tr w:rsidR="002F0133" w:rsidRPr="000B4E2C" w14:paraId="083624B3" w14:textId="77777777" w:rsidTr="000B4E2C">
        <w:trPr>
          <w:cantSplit/>
        </w:trPr>
        <w:tc>
          <w:tcPr>
            <w:tcW w:w="0" w:type="auto"/>
            <w:shd w:val="clear" w:color="auto" w:fill="auto"/>
            <w:noWrap/>
            <w:hideMark/>
          </w:tcPr>
          <w:p w14:paraId="3D5B0E61" w14:textId="77777777" w:rsidR="002F0133" w:rsidRPr="000B4E2C" w:rsidRDefault="002F0133" w:rsidP="008A7464">
            <w:pPr>
              <w:rPr>
                <w:lang w:eastAsia="en-GB"/>
              </w:rPr>
            </w:pPr>
            <w:r w:rsidRPr="000B4E2C">
              <w:rPr>
                <w:lang w:eastAsia="en-GB"/>
              </w:rPr>
              <w:t>Kil</w:t>
            </w:r>
          </w:p>
        </w:tc>
        <w:tc>
          <w:tcPr>
            <w:tcW w:w="0" w:type="auto"/>
            <w:shd w:val="clear" w:color="auto" w:fill="auto"/>
            <w:noWrap/>
            <w:hideMark/>
          </w:tcPr>
          <w:p w14:paraId="69436BAA"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5A863D16" w14:textId="2497FDF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AE25725" w14:textId="77777777" w:rsidR="002F0133" w:rsidRPr="000B4E2C" w:rsidRDefault="002F0133" w:rsidP="008A7464">
            <w:pPr>
              <w:rPr>
                <w:highlight w:val="green"/>
                <w:lang w:eastAsia="en-GB"/>
              </w:rPr>
            </w:pPr>
            <w:r w:rsidRPr="000B4E2C">
              <w:rPr>
                <w:highlight w:val="green"/>
                <w:lang w:eastAsia="en-GB"/>
              </w:rPr>
              <w:t>H. K. Kil, J. Y. Kim, Y. D. Choi, H. S. Lee, T. K. Kim and J. E. Kim. Effect of combined treatment of ketorolac and remote Ischemic preconditioning on renal ischemia-reperfusion injury in patients undergoing partial nephrectomy: Pilot study. Journal of Clinical Medicine, 7(12), 470. [15846]</w:t>
            </w:r>
          </w:p>
        </w:tc>
      </w:tr>
      <w:tr w:rsidR="002F0133" w:rsidRPr="000B4E2C" w14:paraId="1142F3B7" w14:textId="77777777" w:rsidTr="000B4E2C">
        <w:trPr>
          <w:cantSplit/>
        </w:trPr>
        <w:tc>
          <w:tcPr>
            <w:tcW w:w="0" w:type="auto"/>
            <w:shd w:val="clear" w:color="auto" w:fill="auto"/>
            <w:noWrap/>
            <w:hideMark/>
          </w:tcPr>
          <w:p w14:paraId="202A9D0E" w14:textId="77777777" w:rsidR="002F0133" w:rsidRPr="000B4E2C" w:rsidRDefault="002F0133" w:rsidP="008A7464">
            <w:pPr>
              <w:rPr>
                <w:lang w:eastAsia="en-GB"/>
              </w:rPr>
            </w:pPr>
            <w:r w:rsidRPr="000B4E2C">
              <w:rPr>
                <w:lang w:eastAsia="en-GB"/>
              </w:rPr>
              <w:t>Kim</w:t>
            </w:r>
          </w:p>
        </w:tc>
        <w:tc>
          <w:tcPr>
            <w:tcW w:w="0" w:type="auto"/>
            <w:shd w:val="clear" w:color="auto" w:fill="auto"/>
            <w:noWrap/>
            <w:hideMark/>
          </w:tcPr>
          <w:p w14:paraId="1DD7D424"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7BF22970" w14:textId="2E70C80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42CAF04" w14:textId="77777777" w:rsidR="002F0133" w:rsidRPr="000B4E2C" w:rsidRDefault="002F0133" w:rsidP="008A7464">
            <w:pPr>
              <w:rPr>
                <w:highlight w:val="green"/>
                <w:lang w:eastAsia="en-GB"/>
              </w:rPr>
            </w:pPr>
            <w:r w:rsidRPr="000B4E2C">
              <w:rPr>
                <w:highlight w:val="green"/>
                <w:lang w:eastAsia="en-GB"/>
              </w:rPr>
              <w:t>T. Kim, G. J. Arnaoutakis, A. Bihorac, T. D. Martin, P. J. Hess Jr, C. T. Klodell, C. G. Tribble, A. A. Ejaz, L. L. Moldawer and T. M. Beaver. Early blood biomarkers predict organ injury and resource utilization following complex cardiac surgery. Journal of Surgical Research, 168(2), 168-172. [15859]</w:t>
            </w:r>
          </w:p>
        </w:tc>
      </w:tr>
      <w:tr w:rsidR="002F0133" w:rsidRPr="000B4E2C" w14:paraId="3FF10BA4" w14:textId="77777777" w:rsidTr="000B4E2C">
        <w:trPr>
          <w:cantSplit/>
        </w:trPr>
        <w:tc>
          <w:tcPr>
            <w:tcW w:w="0" w:type="auto"/>
            <w:shd w:val="clear" w:color="auto" w:fill="auto"/>
            <w:noWrap/>
            <w:hideMark/>
          </w:tcPr>
          <w:p w14:paraId="508C5CFD" w14:textId="77777777" w:rsidR="002F0133" w:rsidRPr="000B4E2C" w:rsidRDefault="002F0133" w:rsidP="008A7464">
            <w:pPr>
              <w:rPr>
                <w:lang w:eastAsia="en-GB"/>
              </w:rPr>
            </w:pPr>
            <w:r w:rsidRPr="000B4E2C">
              <w:rPr>
                <w:lang w:eastAsia="en-GB"/>
              </w:rPr>
              <w:t>Kim</w:t>
            </w:r>
          </w:p>
        </w:tc>
        <w:tc>
          <w:tcPr>
            <w:tcW w:w="0" w:type="auto"/>
            <w:shd w:val="clear" w:color="auto" w:fill="auto"/>
            <w:noWrap/>
            <w:hideMark/>
          </w:tcPr>
          <w:p w14:paraId="33D847E1"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0B4A40C8"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3AA3FB6B" w14:textId="77777777" w:rsidR="002F0133" w:rsidRPr="000B4E2C" w:rsidRDefault="002F0133" w:rsidP="008A7464">
            <w:pPr>
              <w:rPr>
                <w:highlight w:val="green"/>
                <w:lang w:eastAsia="en-GB"/>
              </w:rPr>
            </w:pPr>
            <w:r w:rsidRPr="000B4E2C">
              <w:rPr>
                <w:highlight w:val="green"/>
                <w:lang w:eastAsia="en-GB"/>
              </w:rPr>
              <w:t>H. Kim, M. Hur, D. N. Cruz, H. W. Moon and Y. M. Yun. Plasma neutrophil gelatinase-associated lipocalin as a biomarker for acute kidney injury in critically ill patients with suspected sepsis. Clinical Biochemistry, 46(15), 1414-1418. [15850]</w:t>
            </w:r>
          </w:p>
        </w:tc>
      </w:tr>
      <w:tr w:rsidR="002F0133" w:rsidRPr="000B4E2C" w14:paraId="6FE3D713" w14:textId="77777777" w:rsidTr="000B4E2C">
        <w:trPr>
          <w:cantSplit/>
        </w:trPr>
        <w:tc>
          <w:tcPr>
            <w:tcW w:w="0" w:type="auto"/>
            <w:shd w:val="clear" w:color="auto" w:fill="auto"/>
            <w:noWrap/>
            <w:hideMark/>
          </w:tcPr>
          <w:p w14:paraId="1D586F44" w14:textId="77777777" w:rsidR="002F0133" w:rsidRPr="000B4E2C" w:rsidRDefault="002F0133" w:rsidP="008A7464">
            <w:pPr>
              <w:rPr>
                <w:lang w:eastAsia="en-GB"/>
              </w:rPr>
            </w:pPr>
            <w:r w:rsidRPr="000B4E2C">
              <w:rPr>
                <w:lang w:eastAsia="en-GB"/>
              </w:rPr>
              <w:lastRenderedPageBreak/>
              <w:t>Kim</w:t>
            </w:r>
          </w:p>
        </w:tc>
        <w:tc>
          <w:tcPr>
            <w:tcW w:w="0" w:type="auto"/>
            <w:shd w:val="clear" w:color="auto" w:fill="auto"/>
            <w:noWrap/>
            <w:hideMark/>
          </w:tcPr>
          <w:p w14:paraId="64B151A0"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019563BC"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B1FD965" w14:textId="77777777" w:rsidR="002F0133" w:rsidRPr="000B4E2C" w:rsidRDefault="002F0133" w:rsidP="008A7464">
            <w:pPr>
              <w:rPr>
                <w:highlight w:val="green"/>
                <w:lang w:eastAsia="en-GB"/>
              </w:rPr>
            </w:pPr>
            <w:r w:rsidRPr="000B4E2C">
              <w:rPr>
                <w:highlight w:val="green"/>
                <w:lang w:eastAsia="en-GB"/>
              </w:rPr>
              <w:t>S. M. Kim, J. S. Park, E. R. Norwitz, H. J. Jung, B. J. Kim, C. W. Park and J. K. Jun. Circulating levels of neutrophil gelatinase-associated lipocalin (NGAL) correlate with the presence and severity of preeclampsia. Reproductive Sciences, 20(9), 1083-1089. [15858]</w:t>
            </w:r>
          </w:p>
        </w:tc>
      </w:tr>
      <w:tr w:rsidR="002F0133" w:rsidRPr="000B4E2C" w14:paraId="1A912EB9" w14:textId="77777777" w:rsidTr="000B4E2C">
        <w:trPr>
          <w:cantSplit/>
        </w:trPr>
        <w:tc>
          <w:tcPr>
            <w:tcW w:w="0" w:type="auto"/>
            <w:shd w:val="clear" w:color="auto" w:fill="auto"/>
            <w:noWrap/>
            <w:hideMark/>
          </w:tcPr>
          <w:p w14:paraId="12BEE1FA" w14:textId="77777777" w:rsidR="002F0133" w:rsidRPr="000B4E2C" w:rsidRDefault="002F0133" w:rsidP="008A7464">
            <w:pPr>
              <w:rPr>
                <w:lang w:eastAsia="en-GB"/>
              </w:rPr>
            </w:pPr>
            <w:r w:rsidRPr="000B4E2C">
              <w:rPr>
                <w:lang w:eastAsia="en-GB"/>
              </w:rPr>
              <w:t>Kim</w:t>
            </w:r>
          </w:p>
        </w:tc>
        <w:tc>
          <w:tcPr>
            <w:tcW w:w="0" w:type="auto"/>
            <w:shd w:val="clear" w:color="auto" w:fill="auto"/>
            <w:noWrap/>
            <w:hideMark/>
          </w:tcPr>
          <w:p w14:paraId="3FEFE0DA"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7091EB67"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2900B0F3" w14:textId="77777777" w:rsidR="002F0133" w:rsidRPr="000B4E2C" w:rsidRDefault="002F0133" w:rsidP="008A7464">
            <w:pPr>
              <w:rPr>
                <w:highlight w:val="green"/>
                <w:lang w:eastAsia="en-GB"/>
              </w:rPr>
            </w:pPr>
            <w:r w:rsidRPr="000B4E2C">
              <w:rPr>
                <w:highlight w:val="green"/>
                <w:lang w:eastAsia="en-GB"/>
              </w:rPr>
              <w:t>B. H. Kim, N. Yu, H. R. Kim, K. W. Yun, I. S. Lim, T. H. Kim and M.-K. Lee. Evaluation of the Optimal Neutrophil Gelatinase-Associated Lipocalin Value as a Screening Biomarker for Urinary Tract Infections in Children. Annals of Laboratory Medicine, 34(5), 354-359. [18485]</w:t>
            </w:r>
          </w:p>
        </w:tc>
      </w:tr>
      <w:tr w:rsidR="002F0133" w:rsidRPr="000B4E2C" w14:paraId="45B06B84" w14:textId="77777777" w:rsidTr="000B4E2C">
        <w:trPr>
          <w:cantSplit/>
        </w:trPr>
        <w:tc>
          <w:tcPr>
            <w:tcW w:w="0" w:type="auto"/>
            <w:shd w:val="clear" w:color="auto" w:fill="auto"/>
            <w:noWrap/>
            <w:hideMark/>
          </w:tcPr>
          <w:p w14:paraId="4EBA3DE2" w14:textId="77777777" w:rsidR="002F0133" w:rsidRPr="000B4E2C" w:rsidRDefault="002F0133" w:rsidP="008A7464">
            <w:pPr>
              <w:rPr>
                <w:lang w:eastAsia="en-GB"/>
              </w:rPr>
            </w:pPr>
            <w:r w:rsidRPr="000B4E2C">
              <w:rPr>
                <w:lang w:eastAsia="en-GB"/>
              </w:rPr>
              <w:t>Kim</w:t>
            </w:r>
          </w:p>
        </w:tc>
        <w:tc>
          <w:tcPr>
            <w:tcW w:w="0" w:type="auto"/>
            <w:shd w:val="clear" w:color="auto" w:fill="auto"/>
            <w:noWrap/>
            <w:hideMark/>
          </w:tcPr>
          <w:p w14:paraId="59E4D64D"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AFE2196" w14:textId="7059322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25B5A9F" w14:textId="77777777" w:rsidR="002F0133" w:rsidRPr="000B4E2C" w:rsidRDefault="002F0133" w:rsidP="008A7464">
            <w:pPr>
              <w:rPr>
                <w:highlight w:val="green"/>
                <w:lang w:eastAsia="en-GB"/>
              </w:rPr>
            </w:pPr>
            <w:r w:rsidRPr="000B4E2C">
              <w:rPr>
                <w:highlight w:val="green"/>
                <w:lang w:eastAsia="en-GB"/>
              </w:rPr>
              <w:t>J. D. Kim, H. K. Chee, J. K. Shin, J. S. Kim, S. A. Lee, Y. H. Kim, W. S. Lee and H. Y. Kim. Novel Early Predictor of Acute Kidney Injury after Open Heart Surgery under Cadiopulmonary Bypass Using Plasma Neutrophil Gelatinase-Associated Lipocalin. The Korean journal of thoracic and cardiovascular surgery, 47(3), 240-8. [15856]</w:t>
            </w:r>
          </w:p>
        </w:tc>
      </w:tr>
      <w:tr w:rsidR="002F0133" w:rsidRPr="000B4E2C" w14:paraId="74091CB2" w14:textId="77777777" w:rsidTr="000B4E2C">
        <w:trPr>
          <w:cantSplit/>
        </w:trPr>
        <w:tc>
          <w:tcPr>
            <w:tcW w:w="0" w:type="auto"/>
            <w:shd w:val="clear" w:color="auto" w:fill="auto"/>
            <w:noWrap/>
            <w:hideMark/>
          </w:tcPr>
          <w:p w14:paraId="1C19740F" w14:textId="77777777" w:rsidR="002F0133" w:rsidRPr="000B4E2C" w:rsidRDefault="002F0133" w:rsidP="008A7464">
            <w:pPr>
              <w:rPr>
                <w:lang w:eastAsia="en-GB"/>
              </w:rPr>
            </w:pPr>
            <w:r w:rsidRPr="000B4E2C">
              <w:rPr>
                <w:lang w:eastAsia="en-GB"/>
              </w:rPr>
              <w:t>Kim</w:t>
            </w:r>
          </w:p>
        </w:tc>
        <w:tc>
          <w:tcPr>
            <w:tcW w:w="0" w:type="auto"/>
            <w:shd w:val="clear" w:color="auto" w:fill="auto"/>
            <w:noWrap/>
            <w:hideMark/>
          </w:tcPr>
          <w:p w14:paraId="17861368"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0DA339DA" w14:textId="09324471"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49EF1518" w14:textId="77777777" w:rsidR="002F0133" w:rsidRPr="000B4E2C" w:rsidRDefault="002F0133" w:rsidP="008A7464">
            <w:pPr>
              <w:rPr>
                <w:highlight w:val="green"/>
                <w:lang w:eastAsia="en-GB"/>
              </w:rPr>
            </w:pPr>
            <w:r w:rsidRPr="000B4E2C">
              <w:rPr>
                <w:highlight w:val="green"/>
                <w:lang w:eastAsia="en-GB"/>
              </w:rPr>
              <w:t>S. Kim, H. J. Kim, H. S. Ahn, J. Y. Song, T. H. Um, C. R. Cho, H. Jung, H. K. Koo, J. H. Park, S. S. Lee and H. K. Park. Is plasma neutrophil gelatinase-associated lipocalin a predictive biomarker for acute kidney injury in sepsis patients? A systematic review and meta-analysis. Journal of Critical Care, 33(213-223. [15857]</w:t>
            </w:r>
          </w:p>
        </w:tc>
      </w:tr>
      <w:tr w:rsidR="002F0133" w:rsidRPr="000B4E2C" w14:paraId="0F0DF6FB" w14:textId="77777777" w:rsidTr="000B4E2C">
        <w:trPr>
          <w:cantSplit/>
        </w:trPr>
        <w:tc>
          <w:tcPr>
            <w:tcW w:w="0" w:type="auto"/>
            <w:shd w:val="clear" w:color="auto" w:fill="auto"/>
            <w:noWrap/>
            <w:hideMark/>
          </w:tcPr>
          <w:p w14:paraId="1C9ED6D9" w14:textId="77777777" w:rsidR="002F0133" w:rsidRPr="000B4E2C" w:rsidRDefault="002F0133" w:rsidP="008A7464">
            <w:pPr>
              <w:rPr>
                <w:lang w:eastAsia="en-GB"/>
              </w:rPr>
            </w:pPr>
            <w:r w:rsidRPr="000B4E2C">
              <w:rPr>
                <w:lang w:eastAsia="en-GB"/>
              </w:rPr>
              <w:t>Kim</w:t>
            </w:r>
          </w:p>
        </w:tc>
        <w:tc>
          <w:tcPr>
            <w:tcW w:w="0" w:type="auto"/>
            <w:shd w:val="clear" w:color="auto" w:fill="auto"/>
            <w:noWrap/>
            <w:hideMark/>
          </w:tcPr>
          <w:p w14:paraId="14A4F1D1"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16DD8E22"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4CA27276" w14:textId="77777777" w:rsidR="002F0133" w:rsidRPr="000B4E2C" w:rsidRDefault="002F0133" w:rsidP="008A7464">
            <w:pPr>
              <w:rPr>
                <w:highlight w:val="green"/>
                <w:lang w:eastAsia="en-GB"/>
              </w:rPr>
            </w:pPr>
            <w:r w:rsidRPr="000B4E2C">
              <w:rPr>
                <w:highlight w:val="green"/>
                <w:lang w:eastAsia="en-GB"/>
              </w:rPr>
              <w:t>J. E. Kim, S. W. Song, J. Y. Kim, H. J. Lee, K. H. Chung and Y. H. Shim. Effect of a Single Bolus of Erythropoietin on Renoprotection in Patients Undergoing Thoracic Aortic Surgery With Moderate Hypothermic Circulatory Arrest. Annals of Thoracic Surgery, 101(2), 690-696. [15855]</w:t>
            </w:r>
          </w:p>
        </w:tc>
      </w:tr>
      <w:tr w:rsidR="002F0133" w:rsidRPr="000B4E2C" w14:paraId="164D783E" w14:textId="77777777" w:rsidTr="000B4E2C">
        <w:trPr>
          <w:cantSplit/>
        </w:trPr>
        <w:tc>
          <w:tcPr>
            <w:tcW w:w="0" w:type="auto"/>
            <w:shd w:val="clear" w:color="auto" w:fill="auto"/>
            <w:noWrap/>
            <w:hideMark/>
          </w:tcPr>
          <w:p w14:paraId="25C8B40E" w14:textId="77777777" w:rsidR="002F0133" w:rsidRPr="000B4E2C" w:rsidRDefault="002F0133" w:rsidP="008A7464">
            <w:pPr>
              <w:rPr>
                <w:lang w:eastAsia="en-GB"/>
              </w:rPr>
            </w:pPr>
            <w:r w:rsidRPr="000B4E2C">
              <w:rPr>
                <w:lang w:eastAsia="en-GB"/>
              </w:rPr>
              <w:t>Kim</w:t>
            </w:r>
          </w:p>
        </w:tc>
        <w:tc>
          <w:tcPr>
            <w:tcW w:w="0" w:type="auto"/>
            <w:shd w:val="clear" w:color="auto" w:fill="auto"/>
            <w:noWrap/>
            <w:hideMark/>
          </w:tcPr>
          <w:p w14:paraId="1FB051C2"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A3D3CB1"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2A4E3B80" w14:textId="77777777" w:rsidR="002F0133" w:rsidRPr="000B4E2C" w:rsidRDefault="002F0133" w:rsidP="008A7464">
            <w:pPr>
              <w:rPr>
                <w:highlight w:val="green"/>
                <w:lang w:eastAsia="en-GB"/>
              </w:rPr>
            </w:pPr>
            <w:r w:rsidRPr="000B4E2C">
              <w:rPr>
                <w:highlight w:val="green"/>
                <w:lang w:eastAsia="en-GB"/>
              </w:rPr>
              <w:t>H. Kim, M. Hur, S. Lee, R. Marino, L. Magrini, P. Cardelli, J. Struck, A. Bergmann, O. Hartmann and S. Di Somma. Proenkephalin, Neutrophil Gelatinase-Associated Lipocalin, and Estimated Glomerular Filtration Rates in Patients With Sepsis. Annals of laboratory medicine, 37(5), 388-397. [15849]</w:t>
            </w:r>
          </w:p>
        </w:tc>
      </w:tr>
      <w:tr w:rsidR="002F0133" w:rsidRPr="000B4E2C" w14:paraId="7FA4776C" w14:textId="77777777" w:rsidTr="000B4E2C">
        <w:trPr>
          <w:cantSplit/>
        </w:trPr>
        <w:tc>
          <w:tcPr>
            <w:tcW w:w="0" w:type="auto"/>
            <w:shd w:val="clear" w:color="auto" w:fill="auto"/>
            <w:noWrap/>
            <w:hideMark/>
          </w:tcPr>
          <w:p w14:paraId="350A94BA" w14:textId="77777777" w:rsidR="002F0133" w:rsidRPr="000B4E2C" w:rsidRDefault="002F0133" w:rsidP="008A7464">
            <w:pPr>
              <w:rPr>
                <w:lang w:eastAsia="en-GB"/>
              </w:rPr>
            </w:pPr>
            <w:r w:rsidRPr="000B4E2C">
              <w:rPr>
                <w:lang w:eastAsia="en-GB"/>
              </w:rPr>
              <w:t>Kim</w:t>
            </w:r>
          </w:p>
        </w:tc>
        <w:tc>
          <w:tcPr>
            <w:tcW w:w="0" w:type="auto"/>
            <w:shd w:val="clear" w:color="auto" w:fill="auto"/>
            <w:noWrap/>
            <w:hideMark/>
          </w:tcPr>
          <w:p w14:paraId="71F871DE"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63354ABB" w14:textId="76837FB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E80D628" w14:textId="77777777" w:rsidR="002F0133" w:rsidRPr="000B4E2C" w:rsidRDefault="002F0133" w:rsidP="008A7464">
            <w:pPr>
              <w:rPr>
                <w:highlight w:val="green"/>
                <w:lang w:eastAsia="en-GB"/>
              </w:rPr>
            </w:pPr>
            <w:r w:rsidRPr="000B4E2C">
              <w:rPr>
                <w:highlight w:val="green"/>
                <w:lang w:eastAsia="en-GB"/>
              </w:rPr>
              <w:t>Y. Kim, Y. S. Cho, D. Kym, J. Yoon, H. Yim, J. Hur and W. Chun. Diagnostic performance of plasma and urine neutrophil gelatinase-associated lipocalin, cystatin C, and creatinine for acute kidney injury in burn patients: A prospective cohort study. PLoS ONE, 13(6), e0199600. [15860]</w:t>
            </w:r>
          </w:p>
        </w:tc>
      </w:tr>
      <w:tr w:rsidR="002F0133" w:rsidRPr="000B4E2C" w14:paraId="710D4EDE" w14:textId="77777777" w:rsidTr="000B4E2C">
        <w:trPr>
          <w:cantSplit/>
        </w:trPr>
        <w:tc>
          <w:tcPr>
            <w:tcW w:w="0" w:type="auto"/>
            <w:shd w:val="clear" w:color="auto" w:fill="auto"/>
            <w:noWrap/>
            <w:hideMark/>
          </w:tcPr>
          <w:p w14:paraId="63866198" w14:textId="77777777" w:rsidR="002F0133" w:rsidRPr="000B4E2C" w:rsidRDefault="002F0133" w:rsidP="008A7464">
            <w:pPr>
              <w:rPr>
                <w:lang w:eastAsia="en-GB"/>
              </w:rPr>
            </w:pPr>
            <w:r w:rsidRPr="000B4E2C">
              <w:rPr>
                <w:lang w:eastAsia="en-GB"/>
              </w:rPr>
              <w:t>Kim</w:t>
            </w:r>
          </w:p>
        </w:tc>
        <w:tc>
          <w:tcPr>
            <w:tcW w:w="0" w:type="auto"/>
            <w:shd w:val="clear" w:color="auto" w:fill="auto"/>
            <w:noWrap/>
            <w:hideMark/>
          </w:tcPr>
          <w:p w14:paraId="355AEBB2"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7C10DF95"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2E5E41C1" w14:textId="77777777" w:rsidR="002F0133" w:rsidRPr="000B4E2C" w:rsidRDefault="002F0133" w:rsidP="008A7464">
            <w:pPr>
              <w:rPr>
                <w:highlight w:val="green"/>
                <w:lang w:eastAsia="en-GB"/>
              </w:rPr>
            </w:pPr>
            <w:r w:rsidRPr="000B4E2C">
              <w:rPr>
                <w:highlight w:val="green"/>
                <w:lang w:eastAsia="en-GB"/>
              </w:rPr>
              <w:t>H. Y. Kim, C. S. Kim, E. H. Bae, S. W. Kim and S. K. Ma. Clinical Significance of the Interval Change of Plasma Neutrophil Gelatinase-Associated Lipocalin in Acute Kidney Injury and Acute Kidney Injury Superimposed on Chronic Kidney Disease. Chonnam medical journal, 55(1), 68-69. [15851]</w:t>
            </w:r>
          </w:p>
        </w:tc>
      </w:tr>
      <w:tr w:rsidR="002F0133" w:rsidRPr="000B4E2C" w14:paraId="4CCE5660" w14:textId="77777777" w:rsidTr="000B4E2C">
        <w:trPr>
          <w:cantSplit/>
        </w:trPr>
        <w:tc>
          <w:tcPr>
            <w:tcW w:w="0" w:type="auto"/>
            <w:shd w:val="clear" w:color="auto" w:fill="auto"/>
            <w:noWrap/>
            <w:hideMark/>
          </w:tcPr>
          <w:p w14:paraId="26979EF9" w14:textId="77777777" w:rsidR="002F0133" w:rsidRPr="000B4E2C" w:rsidRDefault="002F0133" w:rsidP="008A7464">
            <w:pPr>
              <w:rPr>
                <w:lang w:eastAsia="en-GB"/>
              </w:rPr>
            </w:pPr>
            <w:r w:rsidRPr="000B4E2C">
              <w:rPr>
                <w:lang w:eastAsia="en-GB"/>
              </w:rPr>
              <w:t>Kipnis</w:t>
            </w:r>
          </w:p>
        </w:tc>
        <w:tc>
          <w:tcPr>
            <w:tcW w:w="0" w:type="auto"/>
            <w:shd w:val="clear" w:color="auto" w:fill="auto"/>
            <w:noWrap/>
            <w:hideMark/>
          </w:tcPr>
          <w:p w14:paraId="21BA87E8"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0BFC93C5"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73BDA0CA" w14:textId="77777777" w:rsidR="002F0133" w:rsidRPr="000B4E2C" w:rsidRDefault="002F0133" w:rsidP="008A7464">
            <w:pPr>
              <w:rPr>
                <w:highlight w:val="green"/>
                <w:lang w:eastAsia="en-GB"/>
              </w:rPr>
            </w:pPr>
            <w:r w:rsidRPr="000B4E2C">
              <w:rPr>
                <w:highlight w:val="green"/>
                <w:lang w:eastAsia="en-GB"/>
              </w:rPr>
              <w:t>E. Kipnis. Predicting acute kidney injury after hip-fracture surgery: Join the (renal) resistance!. Anaesthesia Critical Care and Pain Medicine, 35(6), 369-370. [15865]</w:t>
            </w:r>
          </w:p>
        </w:tc>
      </w:tr>
      <w:tr w:rsidR="002F0133" w:rsidRPr="000B4E2C" w14:paraId="43E71ADD" w14:textId="77777777" w:rsidTr="000B4E2C">
        <w:trPr>
          <w:cantSplit/>
        </w:trPr>
        <w:tc>
          <w:tcPr>
            <w:tcW w:w="0" w:type="auto"/>
            <w:shd w:val="clear" w:color="auto" w:fill="auto"/>
            <w:noWrap/>
            <w:hideMark/>
          </w:tcPr>
          <w:p w14:paraId="22D4776B" w14:textId="77777777" w:rsidR="002F0133" w:rsidRPr="000B4E2C" w:rsidRDefault="002F0133" w:rsidP="008A7464">
            <w:pPr>
              <w:rPr>
                <w:lang w:eastAsia="en-GB"/>
              </w:rPr>
            </w:pPr>
            <w:r w:rsidRPr="000B4E2C">
              <w:rPr>
                <w:lang w:eastAsia="en-GB"/>
              </w:rPr>
              <w:t>Kirbis</w:t>
            </w:r>
          </w:p>
        </w:tc>
        <w:tc>
          <w:tcPr>
            <w:tcW w:w="0" w:type="auto"/>
            <w:shd w:val="clear" w:color="auto" w:fill="auto"/>
            <w:noWrap/>
            <w:hideMark/>
          </w:tcPr>
          <w:p w14:paraId="4BF615D8"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3AB0CE5E" w14:textId="6AC0E5B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BE9D041" w14:textId="77777777" w:rsidR="002F0133" w:rsidRPr="000B4E2C" w:rsidRDefault="002F0133" w:rsidP="008A7464">
            <w:pPr>
              <w:rPr>
                <w:highlight w:val="green"/>
                <w:lang w:eastAsia="en-GB"/>
              </w:rPr>
            </w:pPr>
            <w:r w:rsidRPr="000B4E2C">
              <w:rPr>
                <w:highlight w:val="green"/>
                <w:lang w:eastAsia="en-GB"/>
              </w:rPr>
              <w:t>S. Kirbis, M. Gorenjak and A. Sinkovic. The role of urine neutrophil gelatinase - associated lipocalin (NGAL) in acute heart failure in patients with ST - elevation myocardial infarction. BMC Cardiovascular Disorders, 15(1), 49. [15866]</w:t>
            </w:r>
          </w:p>
        </w:tc>
      </w:tr>
      <w:tr w:rsidR="002F0133" w:rsidRPr="000B4E2C" w14:paraId="3D10C31D" w14:textId="77777777" w:rsidTr="000B4E2C">
        <w:trPr>
          <w:cantSplit/>
        </w:trPr>
        <w:tc>
          <w:tcPr>
            <w:tcW w:w="0" w:type="auto"/>
            <w:shd w:val="clear" w:color="auto" w:fill="auto"/>
            <w:noWrap/>
            <w:hideMark/>
          </w:tcPr>
          <w:p w14:paraId="13FE748B" w14:textId="77777777" w:rsidR="002F0133" w:rsidRPr="000B4E2C" w:rsidRDefault="002F0133" w:rsidP="008A7464">
            <w:pPr>
              <w:rPr>
                <w:lang w:eastAsia="en-GB"/>
              </w:rPr>
            </w:pPr>
            <w:r w:rsidRPr="000B4E2C">
              <w:rPr>
                <w:lang w:eastAsia="en-GB"/>
              </w:rPr>
              <w:t>Kiseli</w:t>
            </w:r>
          </w:p>
        </w:tc>
        <w:tc>
          <w:tcPr>
            <w:tcW w:w="0" w:type="auto"/>
            <w:shd w:val="clear" w:color="auto" w:fill="auto"/>
            <w:noWrap/>
            <w:hideMark/>
          </w:tcPr>
          <w:p w14:paraId="23C9AD53"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0B0AFECE" w14:textId="17E6DE8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FDDDA69" w14:textId="77777777" w:rsidR="002F0133" w:rsidRPr="000B4E2C" w:rsidRDefault="002F0133" w:rsidP="008A7464">
            <w:pPr>
              <w:rPr>
                <w:highlight w:val="green"/>
                <w:lang w:eastAsia="en-GB"/>
              </w:rPr>
            </w:pPr>
            <w:r w:rsidRPr="000B4E2C">
              <w:rPr>
                <w:highlight w:val="green"/>
                <w:lang w:eastAsia="en-GB"/>
              </w:rPr>
              <w:t>M. Kiseli, G. S. Caglar, H. Yilmaz, A. Y. Gursoy, T. Candar, E. G. Pabuccu, Z. K. Bengisun and F. Tuzuner. Neutrophil Gelatinase-Associated Lipocalin Levels During Pneumoperitoneum. Jsls-Journal of the Society of Laparoendoscopic Surgeons, 21(1), UNSP e2016.00091-UNSP e2016.00091. [18486]</w:t>
            </w:r>
          </w:p>
        </w:tc>
      </w:tr>
      <w:tr w:rsidR="002F0133" w:rsidRPr="000B4E2C" w14:paraId="40132C88" w14:textId="77777777" w:rsidTr="000B4E2C">
        <w:trPr>
          <w:cantSplit/>
        </w:trPr>
        <w:tc>
          <w:tcPr>
            <w:tcW w:w="0" w:type="auto"/>
            <w:shd w:val="clear" w:color="auto" w:fill="auto"/>
            <w:noWrap/>
            <w:hideMark/>
          </w:tcPr>
          <w:p w14:paraId="471A08A0" w14:textId="77777777" w:rsidR="002F0133" w:rsidRPr="000B4E2C" w:rsidRDefault="002F0133" w:rsidP="008A7464">
            <w:pPr>
              <w:rPr>
                <w:lang w:eastAsia="en-GB"/>
              </w:rPr>
            </w:pPr>
            <w:r w:rsidRPr="000B4E2C">
              <w:rPr>
                <w:lang w:eastAsia="en-GB"/>
              </w:rPr>
              <w:t>Kisoon</w:t>
            </w:r>
          </w:p>
        </w:tc>
        <w:tc>
          <w:tcPr>
            <w:tcW w:w="0" w:type="auto"/>
            <w:shd w:val="clear" w:color="auto" w:fill="auto"/>
            <w:noWrap/>
            <w:hideMark/>
          </w:tcPr>
          <w:p w14:paraId="4CC9BAD7"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7211A657" w14:textId="3BC70CA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A274873" w14:textId="77777777" w:rsidR="002F0133" w:rsidRPr="000B4E2C" w:rsidRDefault="002F0133" w:rsidP="008A7464">
            <w:pPr>
              <w:rPr>
                <w:highlight w:val="green"/>
                <w:lang w:eastAsia="en-GB"/>
              </w:rPr>
            </w:pPr>
            <w:r w:rsidRPr="000B4E2C">
              <w:rPr>
                <w:highlight w:val="green"/>
                <w:lang w:eastAsia="en-GB"/>
              </w:rPr>
              <w:t>R. Y. U. Kisoon, A. H. N. Jae-Yun, L. E. E. Mi-Jin, N. H. O. Woo-Young and K. I. M. Seong-Hun. Early Detection and Staging of Acute Kidney Injury in Non-traumatic Rhabdomyolysis in Emergency Department. Journal of the Korean Society of Emergency Medicine, 370-378. [6170]</w:t>
            </w:r>
          </w:p>
        </w:tc>
      </w:tr>
      <w:tr w:rsidR="002F0133" w:rsidRPr="000B4E2C" w14:paraId="54BC719C" w14:textId="77777777" w:rsidTr="000B4E2C">
        <w:trPr>
          <w:cantSplit/>
        </w:trPr>
        <w:tc>
          <w:tcPr>
            <w:tcW w:w="0" w:type="auto"/>
            <w:shd w:val="clear" w:color="auto" w:fill="auto"/>
            <w:noWrap/>
            <w:hideMark/>
          </w:tcPr>
          <w:p w14:paraId="3AA0458F" w14:textId="77777777" w:rsidR="002F0133" w:rsidRPr="000B4E2C" w:rsidRDefault="002F0133" w:rsidP="008A7464">
            <w:pPr>
              <w:rPr>
                <w:lang w:eastAsia="en-GB"/>
              </w:rPr>
            </w:pPr>
            <w:r w:rsidRPr="000B4E2C">
              <w:rPr>
                <w:lang w:eastAsia="en-GB"/>
              </w:rPr>
              <w:lastRenderedPageBreak/>
              <w:t>Kit</w:t>
            </w:r>
          </w:p>
        </w:tc>
        <w:tc>
          <w:tcPr>
            <w:tcW w:w="0" w:type="auto"/>
            <w:shd w:val="clear" w:color="auto" w:fill="auto"/>
            <w:noWrap/>
            <w:hideMark/>
          </w:tcPr>
          <w:p w14:paraId="319944DC"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5FF37174" w14:textId="4B4BB90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9545E90" w14:textId="77777777" w:rsidR="002F0133" w:rsidRPr="000B4E2C" w:rsidRDefault="002F0133" w:rsidP="008A7464">
            <w:pPr>
              <w:rPr>
                <w:highlight w:val="green"/>
                <w:lang w:eastAsia="en-GB"/>
              </w:rPr>
            </w:pPr>
            <w:r w:rsidRPr="000B4E2C">
              <w:rPr>
                <w:highlight w:val="green"/>
                <w:lang w:eastAsia="en-GB"/>
              </w:rPr>
              <w:t>O. I. Kit, E. M. Frantsiyants, S. N. Dimitriadi, I. V. Kaplieva, L. K. Trepitaki, N. D. Cheryarina and Y. A. Pogorelova. Role of markers for acute kidney injury in surgical management of patients with renal cancer. Onkourologiya, 11(3), 34-39. [18487]</w:t>
            </w:r>
          </w:p>
        </w:tc>
      </w:tr>
      <w:tr w:rsidR="002F0133" w:rsidRPr="000B4E2C" w14:paraId="0619453F" w14:textId="77777777" w:rsidTr="000B4E2C">
        <w:trPr>
          <w:cantSplit/>
        </w:trPr>
        <w:tc>
          <w:tcPr>
            <w:tcW w:w="0" w:type="auto"/>
            <w:shd w:val="clear" w:color="auto" w:fill="auto"/>
            <w:noWrap/>
            <w:hideMark/>
          </w:tcPr>
          <w:p w14:paraId="5C5F4975" w14:textId="77777777" w:rsidR="002F0133" w:rsidRPr="000B4E2C" w:rsidRDefault="002F0133" w:rsidP="008A7464">
            <w:pPr>
              <w:rPr>
                <w:lang w:eastAsia="en-GB"/>
              </w:rPr>
            </w:pPr>
            <w:r w:rsidRPr="000B4E2C">
              <w:rPr>
                <w:lang w:eastAsia="en-GB"/>
              </w:rPr>
              <w:t>Kit</w:t>
            </w:r>
          </w:p>
        </w:tc>
        <w:tc>
          <w:tcPr>
            <w:tcW w:w="0" w:type="auto"/>
            <w:shd w:val="clear" w:color="auto" w:fill="auto"/>
            <w:noWrap/>
            <w:hideMark/>
          </w:tcPr>
          <w:p w14:paraId="4E91FAE6"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51532AE3" w14:textId="25156B3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EA11E6D" w14:textId="77777777" w:rsidR="002F0133" w:rsidRPr="000B4E2C" w:rsidRDefault="002F0133" w:rsidP="008A7464">
            <w:pPr>
              <w:rPr>
                <w:highlight w:val="green"/>
                <w:lang w:eastAsia="en-GB"/>
              </w:rPr>
            </w:pPr>
            <w:r w:rsidRPr="000B4E2C">
              <w:rPr>
                <w:highlight w:val="green"/>
                <w:lang w:eastAsia="en-GB"/>
              </w:rPr>
              <w:t>O. I. Kit, E. M. Frantsiyants, D. A. Rozenko, N. D. Ushakova, S. N. Dimitriadi, Y. A. Pogorelova, N. D. Cheryarina, L. S. Kozlova, K. P. Boyko and V. V. Gurnak. Dynamics of markers of markers of acute kidney injury when using epidural block during resection under warm ischemia. Onkourologiya, 13(4), 25-33. [18488]</w:t>
            </w:r>
          </w:p>
        </w:tc>
      </w:tr>
      <w:tr w:rsidR="002F0133" w:rsidRPr="000B4E2C" w14:paraId="65EEA35E" w14:textId="77777777" w:rsidTr="000B4E2C">
        <w:trPr>
          <w:cantSplit/>
        </w:trPr>
        <w:tc>
          <w:tcPr>
            <w:tcW w:w="0" w:type="auto"/>
            <w:shd w:val="clear" w:color="auto" w:fill="auto"/>
            <w:noWrap/>
            <w:hideMark/>
          </w:tcPr>
          <w:p w14:paraId="128228ED" w14:textId="77777777" w:rsidR="002F0133" w:rsidRPr="000B4E2C" w:rsidRDefault="002F0133" w:rsidP="008A7464">
            <w:pPr>
              <w:rPr>
                <w:lang w:eastAsia="en-GB"/>
              </w:rPr>
            </w:pPr>
            <w:r w:rsidRPr="000B4E2C">
              <w:rPr>
                <w:lang w:eastAsia="en-GB"/>
              </w:rPr>
              <w:t>Kitao</w:t>
            </w:r>
          </w:p>
        </w:tc>
        <w:tc>
          <w:tcPr>
            <w:tcW w:w="0" w:type="auto"/>
            <w:shd w:val="clear" w:color="auto" w:fill="auto"/>
            <w:noWrap/>
            <w:hideMark/>
          </w:tcPr>
          <w:p w14:paraId="2668D7ED"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F30720C" w14:textId="7603FF2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093ECC2" w14:textId="77777777" w:rsidR="002F0133" w:rsidRPr="000B4E2C" w:rsidRDefault="002F0133" w:rsidP="008A7464">
            <w:pPr>
              <w:rPr>
                <w:highlight w:val="green"/>
                <w:lang w:eastAsia="en-GB"/>
              </w:rPr>
            </w:pPr>
            <w:r w:rsidRPr="000B4E2C">
              <w:rPr>
                <w:highlight w:val="green"/>
                <w:lang w:eastAsia="en-GB"/>
              </w:rPr>
              <w:t>T. Kitao, T. Kimata, S. Yamanouchi, S. Kato, S. Tsuji and K. Kaneko. Urinary Biomarkers for Screening for Renal Scarring in Children with Febrile Urinary Tract Infection: Pilot Study. Journal of Urology, 194(3), 766-771. [18489]</w:t>
            </w:r>
          </w:p>
        </w:tc>
      </w:tr>
      <w:tr w:rsidR="002F0133" w:rsidRPr="000B4E2C" w14:paraId="4C9A043E" w14:textId="77777777" w:rsidTr="000B4E2C">
        <w:trPr>
          <w:cantSplit/>
        </w:trPr>
        <w:tc>
          <w:tcPr>
            <w:tcW w:w="0" w:type="auto"/>
            <w:shd w:val="clear" w:color="auto" w:fill="auto"/>
            <w:noWrap/>
            <w:hideMark/>
          </w:tcPr>
          <w:p w14:paraId="0EFE45A3" w14:textId="77777777" w:rsidR="002F0133" w:rsidRPr="000B4E2C" w:rsidRDefault="002F0133" w:rsidP="008A7464">
            <w:pPr>
              <w:rPr>
                <w:lang w:eastAsia="en-GB"/>
              </w:rPr>
            </w:pPr>
            <w:r w:rsidRPr="000B4E2C">
              <w:rPr>
                <w:lang w:eastAsia="en-GB"/>
              </w:rPr>
              <w:t>Klein</w:t>
            </w:r>
          </w:p>
        </w:tc>
        <w:tc>
          <w:tcPr>
            <w:tcW w:w="0" w:type="auto"/>
            <w:shd w:val="clear" w:color="auto" w:fill="auto"/>
            <w:noWrap/>
            <w:hideMark/>
          </w:tcPr>
          <w:p w14:paraId="4BC234B0"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46C1FCC" w14:textId="6AF2B258"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730CC978" w14:textId="77777777" w:rsidR="002F0133" w:rsidRPr="000B4E2C" w:rsidRDefault="002F0133" w:rsidP="008A7464">
            <w:pPr>
              <w:rPr>
                <w:highlight w:val="green"/>
                <w:lang w:eastAsia="en-GB"/>
              </w:rPr>
            </w:pPr>
            <w:r w:rsidRPr="000B4E2C">
              <w:rPr>
                <w:highlight w:val="green"/>
                <w:lang w:eastAsia="en-GB"/>
              </w:rPr>
              <w:t>S. J. Klein, A. K. Brandtner, G. F. Lehner, H. Ulmer, S. M. Bagshaw, C. J. Wiedermann and M. Joannidis. Biomarkers for prediction of renal replacement therapy in acute kidney injury: a systematic review and meta-analysis. Intensive Care Medicine, 44(3), 323-336. [15869]</w:t>
            </w:r>
          </w:p>
        </w:tc>
      </w:tr>
      <w:tr w:rsidR="002F0133" w:rsidRPr="000B4E2C" w14:paraId="402D5EEE" w14:textId="77777777" w:rsidTr="000B4E2C">
        <w:trPr>
          <w:cantSplit/>
        </w:trPr>
        <w:tc>
          <w:tcPr>
            <w:tcW w:w="0" w:type="auto"/>
            <w:shd w:val="clear" w:color="auto" w:fill="auto"/>
            <w:noWrap/>
            <w:hideMark/>
          </w:tcPr>
          <w:p w14:paraId="4BA19DE8" w14:textId="77777777" w:rsidR="002F0133" w:rsidRPr="000B4E2C" w:rsidRDefault="002F0133" w:rsidP="008A7464">
            <w:pPr>
              <w:rPr>
                <w:lang w:eastAsia="en-GB"/>
              </w:rPr>
            </w:pPr>
            <w:r w:rsidRPr="000B4E2C">
              <w:rPr>
                <w:lang w:eastAsia="en-GB"/>
              </w:rPr>
              <w:t>Knafl</w:t>
            </w:r>
          </w:p>
        </w:tc>
        <w:tc>
          <w:tcPr>
            <w:tcW w:w="0" w:type="auto"/>
            <w:shd w:val="clear" w:color="auto" w:fill="auto"/>
            <w:noWrap/>
            <w:hideMark/>
          </w:tcPr>
          <w:p w14:paraId="1233AFE4"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63EF72CD" w14:textId="2C6C1E2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4140C6B" w14:textId="77777777" w:rsidR="002F0133" w:rsidRPr="000B4E2C" w:rsidRDefault="002F0133" w:rsidP="008A7464">
            <w:pPr>
              <w:rPr>
                <w:highlight w:val="green"/>
                <w:lang w:eastAsia="en-GB"/>
              </w:rPr>
            </w:pPr>
            <w:r w:rsidRPr="000B4E2C">
              <w:rPr>
                <w:highlight w:val="green"/>
                <w:lang w:eastAsia="en-GB"/>
              </w:rPr>
              <w:t>D. Knafl, M. Muller, S. Pajenda, Z. Genc, M. Hecking and L. Wagner. The urine biomarker panel [IGFBP7]x[TIMP-2] (NephroCheck parameter) does not correlate with IGFBP7 and TIMP-2 gene expression in urinary sediment. PLoS ONE, 12(11), e0188316. [15870]</w:t>
            </w:r>
          </w:p>
        </w:tc>
      </w:tr>
      <w:tr w:rsidR="002F0133" w:rsidRPr="000B4E2C" w14:paraId="7965E4A2" w14:textId="77777777" w:rsidTr="000B4E2C">
        <w:trPr>
          <w:cantSplit/>
        </w:trPr>
        <w:tc>
          <w:tcPr>
            <w:tcW w:w="0" w:type="auto"/>
            <w:shd w:val="clear" w:color="auto" w:fill="auto"/>
            <w:noWrap/>
            <w:hideMark/>
          </w:tcPr>
          <w:p w14:paraId="279FA641" w14:textId="77777777" w:rsidR="002F0133" w:rsidRPr="000B4E2C" w:rsidRDefault="002F0133" w:rsidP="008A7464">
            <w:pPr>
              <w:rPr>
                <w:lang w:eastAsia="en-GB"/>
              </w:rPr>
            </w:pPr>
            <w:r w:rsidRPr="000B4E2C">
              <w:rPr>
                <w:lang w:eastAsia="en-GB"/>
              </w:rPr>
              <w:t>Ko</w:t>
            </w:r>
          </w:p>
        </w:tc>
        <w:tc>
          <w:tcPr>
            <w:tcW w:w="0" w:type="auto"/>
            <w:shd w:val="clear" w:color="auto" w:fill="auto"/>
            <w:noWrap/>
            <w:hideMark/>
          </w:tcPr>
          <w:p w14:paraId="32B9E4A1"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2084C63D"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20B5CC28" w14:textId="77777777" w:rsidR="002F0133" w:rsidRPr="000B4E2C" w:rsidRDefault="002F0133" w:rsidP="008A7464">
            <w:pPr>
              <w:rPr>
                <w:highlight w:val="green"/>
                <w:lang w:eastAsia="en-GB"/>
              </w:rPr>
            </w:pPr>
            <w:r w:rsidRPr="000B4E2C">
              <w:rPr>
                <w:highlight w:val="green"/>
                <w:lang w:eastAsia="en-GB"/>
              </w:rPr>
              <w:t>S. W. Ko, N. H. Chi, C. H. Wu, T. M. Huang, S. C. J. Chueh, C. H. Wang, J. H. Lin, W. J. Wang, J. T. Ting, H. M. Chang, R. Connolly, C. H. Lai, L. J. Tseng, V. C. Wu and T. S. Chu. Hemojuvelin Predicts Acute Kidney Injury and Poor Outcomes Following Cardiac Surgery. Scientific reports, 8(1), 1938. [15871]</w:t>
            </w:r>
          </w:p>
        </w:tc>
      </w:tr>
      <w:tr w:rsidR="002F0133" w:rsidRPr="000B4E2C" w14:paraId="73E41299" w14:textId="77777777" w:rsidTr="000B4E2C">
        <w:trPr>
          <w:cantSplit/>
        </w:trPr>
        <w:tc>
          <w:tcPr>
            <w:tcW w:w="0" w:type="auto"/>
            <w:shd w:val="clear" w:color="auto" w:fill="auto"/>
            <w:noWrap/>
            <w:hideMark/>
          </w:tcPr>
          <w:p w14:paraId="55010D57" w14:textId="77777777" w:rsidR="002F0133" w:rsidRPr="000B4E2C" w:rsidRDefault="002F0133" w:rsidP="008A7464">
            <w:pPr>
              <w:rPr>
                <w:lang w:eastAsia="en-GB"/>
              </w:rPr>
            </w:pPr>
            <w:r w:rsidRPr="000B4E2C">
              <w:rPr>
                <w:lang w:eastAsia="en-GB"/>
              </w:rPr>
              <w:t>Koch</w:t>
            </w:r>
          </w:p>
        </w:tc>
        <w:tc>
          <w:tcPr>
            <w:tcW w:w="0" w:type="auto"/>
            <w:shd w:val="clear" w:color="auto" w:fill="auto"/>
            <w:noWrap/>
            <w:hideMark/>
          </w:tcPr>
          <w:p w14:paraId="2469B16D"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05C86EE1"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75525DC4" w14:textId="77777777" w:rsidR="002F0133" w:rsidRPr="000B4E2C" w:rsidRDefault="002F0133" w:rsidP="008A7464">
            <w:pPr>
              <w:rPr>
                <w:highlight w:val="green"/>
                <w:lang w:eastAsia="en-GB"/>
              </w:rPr>
            </w:pPr>
            <w:r w:rsidRPr="000B4E2C">
              <w:rPr>
                <w:highlight w:val="green"/>
                <w:lang w:eastAsia="en-GB"/>
              </w:rPr>
              <w:t>A. M. Koch, S. Dittrich, R. Cesnjevar, A. Ruffer, C. Breuer and M. Glockler. Plasma neutrophil gelatinase-associated lipocalin measured in consecutive patients after congenital heart surgery using point-of-care technology. Interactive Cardiovascular and Thoracic Surgery, 13(2), 133-136. [15872]</w:t>
            </w:r>
          </w:p>
        </w:tc>
      </w:tr>
      <w:tr w:rsidR="002F0133" w:rsidRPr="000B4E2C" w14:paraId="4AFFFFB7" w14:textId="77777777" w:rsidTr="000B4E2C">
        <w:trPr>
          <w:cantSplit/>
        </w:trPr>
        <w:tc>
          <w:tcPr>
            <w:tcW w:w="0" w:type="auto"/>
            <w:shd w:val="clear" w:color="auto" w:fill="auto"/>
            <w:noWrap/>
            <w:hideMark/>
          </w:tcPr>
          <w:p w14:paraId="0FAA7517" w14:textId="77777777" w:rsidR="002F0133" w:rsidRPr="000B4E2C" w:rsidRDefault="002F0133" w:rsidP="008A7464">
            <w:pPr>
              <w:rPr>
                <w:lang w:eastAsia="en-GB"/>
              </w:rPr>
            </w:pPr>
            <w:r w:rsidRPr="000B4E2C">
              <w:rPr>
                <w:lang w:eastAsia="en-GB"/>
              </w:rPr>
              <w:t>Kohagura</w:t>
            </w:r>
          </w:p>
        </w:tc>
        <w:tc>
          <w:tcPr>
            <w:tcW w:w="0" w:type="auto"/>
            <w:shd w:val="clear" w:color="auto" w:fill="auto"/>
            <w:noWrap/>
            <w:hideMark/>
          </w:tcPr>
          <w:p w14:paraId="195AB06D"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472EFA7F"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704CBD1D" w14:textId="77777777" w:rsidR="002F0133" w:rsidRPr="000B4E2C" w:rsidRDefault="002F0133" w:rsidP="008A7464">
            <w:pPr>
              <w:rPr>
                <w:highlight w:val="green"/>
                <w:lang w:eastAsia="en-GB"/>
              </w:rPr>
            </w:pPr>
            <w:r w:rsidRPr="000B4E2C">
              <w:rPr>
                <w:highlight w:val="green"/>
                <w:lang w:eastAsia="en-GB"/>
              </w:rPr>
              <w:t>K. Kohagura and Y. Ohya. Early detection and prediction by biomarkers of acute kidney injury after cardiac surgery. Circulation Journal, 76(1), 53-54. [15873]</w:t>
            </w:r>
          </w:p>
        </w:tc>
      </w:tr>
      <w:tr w:rsidR="002F0133" w:rsidRPr="000B4E2C" w14:paraId="56514E81" w14:textId="77777777" w:rsidTr="000B4E2C">
        <w:trPr>
          <w:cantSplit/>
        </w:trPr>
        <w:tc>
          <w:tcPr>
            <w:tcW w:w="0" w:type="auto"/>
            <w:shd w:val="clear" w:color="auto" w:fill="auto"/>
            <w:noWrap/>
            <w:hideMark/>
          </w:tcPr>
          <w:p w14:paraId="5A01E4D3" w14:textId="77777777" w:rsidR="002F0133" w:rsidRPr="000B4E2C" w:rsidRDefault="002F0133" w:rsidP="008A7464">
            <w:pPr>
              <w:rPr>
                <w:lang w:eastAsia="en-GB"/>
              </w:rPr>
            </w:pPr>
            <w:r w:rsidRPr="000B4E2C">
              <w:rPr>
                <w:lang w:eastAsia="en-GB"/>
              </w:rPr>
              <w:t>Kokot</w:t>
            </w:r>
          </w:p>
        </w:tc>
        <w:tc>
          <w:tcPr>
            <w:tcW w:w="0" w:type="auto"/>
            <w:shd w:val="clear" w:color="auto" w:fill="auto"/>
            <w:noWrap/>
            <w:hideMark/>
          </w:tcPr>
          <w:p w14:paraId="15B44839"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404376D1" w14:textId="155DD8B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7320E08" w14:textId="77777777" w:rsidR="002F0133" w:rsidRPr="000B4E2C" w:rsidRDefault="002F0133" w:rsidP="008A7464">
            <w:pPr>
              <w:rPr>
                <w:highlight w:val="green"/>
                <w:lang w:eastAsia="en-GB"/>
              </w:rPr>
            </w:pPr>
            <w:r w:rsidRPr="000B4E2C">
              <w:rPr>
                <w:highlight w:val="green"/>
                <w:lang w:eastAsia="en-GB"/>
              </w:rPr>
              <w:t>M. Kokot, G. Biolik, D. Ziaja, T. Fojt, K. Cisak, K. Antoniak, T. Kowalewska-Twardela, K. Pawlicki, K. Ziaja and J. Dulawa. Acute kidney injury after abdominal aortic aneurysm surgery: Detailed assessment of early effects using novel markers. Polskie Archiwum Medycyny Wewnetrznej, 122(7-8), 353-360. [15878]</w:t>
            </w:r>
          </w:p>
        </w:tc>
      </w:tr>
      <w:tr w:rsidR="002F0133" w:rsidRPr="000B4E2C" w14:paraId="28B8DC90" w14:textId="77777777" w:rsidTr="000B4E2C">
        <w:trPr>
          <w:cantSplit/>
        </w:trPr>
        <w:tc>
          <w:tcPr>
            <w:tcW w:w="0" w:type="auto"/>
            <w:shd w:val="clear" w:color="auto" w:fill="auto"/>
            <w:noWrap/>
            <w:hideMark/>
          </w:tcPr>
          <w:p w14:paraId="083D7F9C" w14:textId="77777777" w:rsidR="002F0133" w:rsidRPr="000B4E2C" w:rsidRDefault="002F0133" w:rsidP="008A7464">
            <w:pPr>
              <w:rPr>
                <w:lang w:eastAsia="en-GB"/>
              </w:rPr>
            </w:pPr>
            <w:r w:rsidRPr="000B4E2C">
              <w:rPr>
                <w:lang w:eastAsia="en-GB"/>
              </w:rPr>
              <w:t>Konvalinka</w:t>
            </w:r>
          </w:p>
        </w:tc>
        <w:tc>
          <w:tcPr>
            <w:tcW w:w="0" w:type="auto"/>
            <w:shd w:val="clear" w:color="auto" w:fill="auto"/>
            <w:noWrap/>
            <w:hideMark/>
          </w:tcPr>
          <w:p w14:paraId="3A5547DB"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74B281A2"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7F242553" w14:textId="77777777" w:rsidR="002F0133" w:rsidRPr="000B4E2C" w:rsidRDefault="002F0133" w:rsidP="008A7464">
            <w:pPr>
              <w:rPr>
                <w:highlight w:val="green"/>
                <w:lang w:eastAsia="en-GB"/>
              </w:rPr>
            </w:pPr>
            <w:r w:rsidRPr="000B4E2C">
              <w:rPr>
                <w:highlight w:val="green"/>
                <w:lang w:eastAsia="en-GB"/>
              </w:rPr>
              <w:t>A. Konvalinka. Urine proteomics for acute kidney injury prognosis: Another player and the long road ahead. Kidney International, 85(4), 735-738. [15881]</w:t>
            </w:r>
          </w:p>
        </w:tc>
      </w:tr>
      <w:tr w:rsidR="002F0133" w:rsidRPr="000B4E2C" w14:paraId="09ED879C" w14:textId="77777777" w:rsidTr="000B4E2C">
        <w:trPr>
          <w:cantSplit/>
        </w:trPr>
        <w:tc>
          <w:tcPr>
            <w:tcW w:w="0" w:type="auto"/>
            <w:shd w:val="clear" w:color="auto" w:fill="auto"/>
            <w:noWrap/>
            <w:hideMark/>
          </w:tcPr>
          <w:p w14:paraId="56F23A15" w14:textId="77777777" w:rsidR="002F0133" w:rsidRPr="000B4E2C" w:rsidRDefault="002F0133" w:rsidP="008A7464">
            <w:pPr>
              <w:rPr>
                <w:lang w:eastAsia="en-GB"/>
              </w:rPr>
            </w:pPr>
            <w:r w:rsidRPr="000B4E2C">
              <w:rPr>
                <w:lang w:eastAsia="en-GB"/>
              </w:rPr>
              <w:t>Koo</w:t>
            </w:r>
          </w:p>
        </w:tc>
        <w:tc>
          <w:tcPr>
            <w:tcW w:w="0" w:type="auto"/>
            <w:shd w:val="clear" w:color="auto" w:fill="auto"/>
            <w:noWrap/>
            <w:hideMark/>
          </w:tcPr>
          <w:p w14:paraId="25AB1331"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F0C174B"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7DE65F93" w14:textId="77777777" w:rsidR="002F0133" w:rsidRPr="000B4E2C" w:rsidRDefault="002F0133" w:rsidP="008A7464">
            <w:pPr>
              <w:rPr>
                <w:highlight w:val="green"/>
                <w:lang w:eastAsia="en-GB"/>
              </w:rPr>
            </w:pPr>
            <w:r w:rsidRPr="000B4E2C">
              <w:rPr>
                <w:highlight w:val="green"/>
                <w:lang w:eastAsia="en-GB"/>
              </w:rPr>
              <w:t>K. C. Koo, J. H. Hong, H. S. Lee, S. U. Jeh, Y. D. Choi, K. H. Rha and W. S. Ham. Accuracy of urinary neutrophil gelatinase- Associated lipocalin in quantifying acute kidney injury after partial nephrectomy in patients with normal contralateral kidney. PLoS ONE, 10(7), e0133675. [15882]</w:t>
            </w:r>
          </w:p>
        </w:tc>
      </w:tr>
      <w:tr w:rsidR="002F0133" w:rsidRPr="000B4E2C" w14:paraId="239C5165" w14:textId="77777777" w:rsidTr="000B4E2C">
        <w:trPr>
          <w:cantSplit/>
        </w:trPr>
        <w:tc>
          <w:tcPr>
            <w:tcW w:w="0" w:type="auto"/>
            <w:shd w:val="clear" w:color="auto" w:fill="auto"/>
            <w:noWrap/>
            <w:hideMark/>
          </w:tcPr>
          <w:p w14:paraId="7878333A" w14:textId="77777777" w:rsidR="002F0133" w:rsidRPr="000B4E2C" w:rsidRDefault="002F0133" w:rsidP="008A7464">
            <w:pPr>
              <w:rPr>
                <w:lang w:eastAsia="en-GB"/>
              </w:rPr>
            </w:pPr>
            <w:r w:rsidRPr="000B4E2C">
              <w:rPr>
                <w:lang w:eastAsia="en-GB"/>
              </w:rPr>
              <w:t>Kooiman</w:t>
            </w:r>
          </w:p>
        </w:tc>
        <w:tc>
          <w:tcPr>
            <w:tcW w:w="0" w:type="auto"/>
            <w:shd w:val="clear" w:color="auto" w:fill="auto"/>
            <w:noWrap/>
            <w:hideMark/>
          </w:tcPr>
          <w:p w14:paraId="365223D1"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834EA90"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1173D6C" w14:textId="77777777" w:rsidR="002F0133" w:rsidRPr="000B4E2C" w:rsidRDefault="002F0133" w:rsidP="008A7464">
            <w:pPr>
              <w:rPr>
                <w:highlight w:val="green"/>
                <w:lang w:eastAsia="en-GB"/>
              </w:rPr>
            </w:pPr>
            <w:r w:rsidRPr="000B4E2C">
              <w:rPr>
                <w:highlight w:val="green"/>
                <w:lang w:val="da-DK" w:eastAsia="en-GB"/>
              </w:rPr>
              <w:t xml:space="preserve">J. Kooiman, W. R. van de Peppel, Y. W. J. Sijpkens, H. F. H. Brulez, P. M. de Vries, M. A. Nicolaie, H. Putter, M. V. Huisman, W. van der Kooij, C. van Kooten and T. J. Rabelink. </w:t>
            </w:r>
            <w:r w:rsidRPr="000B4E2C">
              <w:rPr>
                <w:highlight w:val="green"/>
                <w:lang w:eastAsia="en-GB"/>
              </w:rPr>
              <w:t>No increase in Kidney Injury Molecule-1 and Neutrophil Gelatinase-Associated Lipocalin excretion following intravenous contrast enhanced-CT. European Radiology, 25(7), 1926-1934. [15884]</w:t>
            </w:r>
          </w:p>
        </w:tc>
      </w:tr>
      <w:tr w:rsidR="002F0133" w:rsidRPr="000B4E2C" w14:paraId="23405ADC" w14:textId="77777777" w:rsidTr="000B4E2C">
        <w:trPr>
          <w:cantSplit/>
        </w:trPr>
        <w:tc>
          <w:tcPr>
            <w:tcW w:w="0" w:type="auto"/>
            <w:shd w:val="clear" w:color="auto" w:fill="auto"/>
            <w:noWrap/>
            <w:hideMark/>
          </w:tcPr>
          <w:p w14:paraId="3EEB5E97" w14:textId="77777777" w:rsidR="002F0133" w:rsidRPr="000B4E2C" w:rsidRDefault="002F0133" w:rsidP="008A7464">
            <w:pPr>
              <w:rPr>
                <w:lang w:eastAsia="en-GB"/>
              </w:rPr>
            </w:pPr>
            <w:r w:rsidRPr="000B4E2C">
              <w:rPr>
                <w:lang w:eastAsia="en-GB"/>
              </w:rPr>
              <w:lastRenderedPageBreak/>
              <w:t>Kos</w:t>
            </w:r>
          </w:p>
        </w:tc>
        <w:tc>
          <w:tcPr>
            <w:tcW w:w="0" w:type="auto"/>
            <w:shd w:val="clear" w:color="auto" w:fill="auto"/>
            <w:noWrap/>
            <w:hideMark/>
          </w:tcPr>
          <w:p w14:paraId="6698AAF5"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09E36C9F" w14:textId="33A31BB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4CACDA6" w14:textId="77777777" w:rsidR="002F0133" w:rsidRPr="000B4E2C" w:rsidRDefault="002F0133" w:rsidP="008A7464">
            <w:pPr>
              <w:rPr>
                <w:highlight w:val="green"/>
                <w:lang w:eastAsia="en-GB"/>
              </w:rPr>
            </w:pPr>
            <w:r w:rsidRPr="000B4E2C">
              <w:rPr>
                <w:highlight w:val="green"/>
                <w:lang w:eastAsia="en-GB"/>
              </w:rPr>
              <w:t>F. T. Kos, M. A. N. Sendur, S. Aksoy, H. T. Celik, S. Sezer, B. Civelek, S. Yaman and N. Zengin. Evaluation of renal function using the level of neutrophil gelatinase-associated lipocalin is not predictive of nephrotoxicity associated with cisplatin-based chemotherapy. Asian Pacific journal of cancer prevention : APJCP, 14(2), 1111-4. [15887]</w:t>
            </w:r>
          </w:p>
        </w:tc>
      </w:tr>
      <w:tr w:rsidR="002F0133" w:rsidRPr="000B4E2C" w14:paraId="37D7D60B" w14:textId="77777777" w:rsidTr="000B4E2C">
        <w:trPr>
          <w:cantSplit/>
        </w:trPr>
        <w:tc>
          <w:tcPr>
            <w:tcW w:w="0" w:type="auto"/>
            <w:shd w:val="clear" w:color="auto" w:fill="auto"/>
            <w:noWrap/>
            <w:hideMark/>
          </w:tcPr>
          <w:p w14:paraId="76EA5FA4" w14:textId="77777777" w:rsidR="002F0133" w:rsidRPr="000B4E2C" w:rsidRDefault="002F0133" w:rsidP="008A7464">
            <w:pPr>
              <w:rPr>
                <w:lang w:eastAsia="en-GB"/>
              </w:rPr>
            </w:pPr>
            <w:r w:rsidRPr="000B4E2C">
              <w:rPr>
                <w:lang w:eastAsia="en-GB"/>
              </w:rPr>
              <w:t>Kostic</w:t>
            </w:r>
          </w:p>
        </w:tc>
        <w:tc>
          <w:tcPr>
            <w:tcW w:w="0" w:type="auto"/>
            <w:shd w:val="clear" w:color="auto" w:fill="auto"/>
            <w:noWrap/>
            <w:hideMark/>
          </w:tcPr>
          <w:p w14:paraId="18641FD9"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542698AE" w14:textId="2F68096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7BC24AC" w14:textId="77777777" w:rsidR="002F0133" w:rsidRPr="000B4E2C" w:rsidRDefault="002F0133" w:rsidP="008A7464">
            <w:pPr>
              <w:rPr>
                <w:highlight w:val="green"/>
                <w:lang w:eastAsia="en-GB"/>
              </w:rPr>
            </w:pPr>
            <w:r w:rsidRPr="000B4E2C">
              <w:rPr>
                <w:highlight w:val="green"/>
                <w:lang w:eastAsia="en-GB"/>
              </w:rPr>
              <w:t>D. Kostic, G. P. N. dos Santos Beozzo, S. B. do Couto, A. H. T. Kato, L. Lima, P. Palmeira, V. L. J. Krebs, V. Bunduki, R. P. V. Francisco, M. Zugaib, W. B. de Carvalho and V. H. K. Koch. First-year profile of biomarkers for early detection of renal injury in infants with congenital urinary tract obstruction. Pediatric Nephrology, 34(6), 1117-1128. [15888]</w:t>
            </w:r>
          </w:p>
        </w:tc>
      </w:tr>
      <w:tr w:rsidR="002F0133" w:rsidRPr="000B4E2C" w14:paraId="4DEFBF81" w14:textId="77777777" w:rsidTr="000B4E2C">
        <w:trPr>
          <w:cantSplit/>
        </w:trPr>
        <w:tc>
          <w:tcPr>
            <w:tcW w:w="0" w:type="auto"/>
            <w:shd w:val="clear" w:color="auto" w:fill="auto"/>
            <w:noWrap/>
            <w:hideMark/>
          </w:tcPr>
          <w:p w14:paraId="6E3B2BA0" w14:textId="77777777" w:rsidR="002F0133" w:rsidRPr="000B4E2C" w:rsidRDefault="002F0133" w:rsidP="008A7464">
            <w:pPr>
              <w:rPr>
                <w:lang w:eastAsia="en-GB"/>
              </w:rPr>
            </w:pPr>
            <w:r w:rsidRPr="000B4E2C">
              <w:rPr>
                <w:lang w:eastAsia="en-GB"/>
              </w:rPr>
              <w:t>Kostrubiec</w:t>
            </w:r>
          </w:p>
        </w:tc>
        <w:tc>
          <w:tcPr>
            <w:tcW w:w="0" w:type="auto"/>
            <w:shd w:val="clear" w:color="auto" w:fill="auto"/>
            <w:noWrap/>
            <w:hideMark/>
          </w:tcPr>
          <w:p w14:paraId="6F058BD6"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42D2948B"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23995F75" w14:textId="77777777" w:rsidR="002F0133" w:rsidRPr="000B4E2C" w:rsidRDefault="002F0133" w:rsidP="008A7464">
            <w:pPr>
              <w:rPr>
                <w:highlight w:val="green"/>
                <w:lang w:eastAsia="en-GB"/>
              </w:rPr>
            </w:pPr>
            <w:r w:rsidRPr="000B4E2C">
              <w:rPr>
                <w:highlight w:val="green"/>
                <w:lang w:eastAsia="en-GB"/>
              </w:rPr>
              <w:t>M. Kostrubiec, A. Labyk, J. Pedowska-Wloszek, O. Dzikowska-Diduch, A. Wojciechowski, M. Garlinska, M. Ciurzynski and P. Pruszczyk. Neutrophil gelatinase-associated lipocalin, cystatin C and eGFR indicate acute kidney injury and predict prognosis of patients with acute pulmonary embolism. Heart, 98(16), 1221-1228. [15889]</w:t>
            </w:r>
          </w:p>
        </w:tc>
      </w:tr>
      <w:tr w:rsidR="002F0133" w:rsidRPr="000B4E2C" w14:paraId="1AB377C1" w14:textId="77777777" w:rsidTr="000B4E2C">
        <w:trPr>
          <w:cantSplit/>
        </w:trPr>
        <w:tc>
          <w:tcPr>
            <w:tcW w:w="0" w:type="auto"/>
            <w:shd w:val="clear" w:color="auto" w:fill="auto"/>
            <w:noWrap/>
            <w:hideMark/>
          </w:tcPr>
          <w:p w14:paraId="019293F4" w14:textId="77777777" w:rsidR="002F0133" w:rsidRPr="000B4E2C" w:rsidRDefault="002F0133" w:rsidP="008A7464">
            <w:pPr>
              <w:rPr>
                <w:lang w:eastAsia="en-GB"/>
              </w:rPr>
            </w:pPr>
            <w:r w:rsidRPr="000B4E2C">
              <w:rPr>
                <w:lang w:eastAsia="en-GB"/>
              </w:rPr>
              <w:t>Koukoulaki</w:t>
            </w:r>
          </w:p>
        </w:tc>
        <w:tc>
          <w:tcPr>
            <w:tcW w:w="0" w:type="auto"/>
            <w:shd w:val="clear" w:color="auto" w:fill="auto"/>
            <w:noWrap/>
            <w:hideMark/>
          </w:tcPr>
          <w:p w14:paraId="6F42B42E"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6D073FEC" w14:textId="19D58C7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A2C25D0" w14:textId="77777777" w:rsidR="002F0133" w:rsidRPr="000B4E2C" w:rsidRDefault="002F0133" w:rsidP="008A7464">
            <w:pPr>
              <w:rPr>
                <w:highlight w:val="green"/>
                <w:lang w:eastAsia="en-GB"/>
              </w:rPr>
            </w:pPr>
            <w:r w:rsidRPr="000B4E2C">
              <w:rPr>
                <w:highlight w:val="green"/>
                <w:lang w:eastAsia="en-GB"/>
              </w:rPr>
              <w:t>M. Koukoulaki, C. Spyropoulos, P. Hondrogiannis, E. Papachristou, E. Mitsi, F. Kalfarentzos and D. S. Goumenos. Neutrophil Gelatinase-Associated Lipocalin as a Biomarker of Acute Kidney Injury in Patients with Morbid Obesity Who Underwent Bariatric Surgery. Nephron extra, 3(1), 101-105. [15890]</w:t>
            </w:r>
          </w:p>
        </w:tc>
      </w:tr>
      <w:tr w:rsidR="002F0133" w:rsidRPr="000B4E2C" w14:paraId="06ED5492" w14:textId="77777777" w:rsidTr="000B4E2C">
        <w:trPr>
          <w:cantSplit/>
        </w:trPr>
        <w:tc>
          <w:tcPr>
            <w:tcW w:w="0" w:type="auto"/>
            <w:shd w:val="clear" w:color="auto" w:fill="auto"/>
            <w:noWrap/>
            <w:hideMark/>
          </w:tcPr>
          <w:p w14:paraId="7205DCC2" w14:textId="77777777" w:rsidR="002F0133" w:rsidRPr="000B4E2C" w:rsidRDefault="002F0133" w:rsidP="008A7464">
            <w:pPr>
              <w:rPr>
                <w:lang w:eastAsia="en-GB"/>
              </w:rPr>
            </w:pPr>
            <w:r w:rsidRPr="000B4E2C">
              <w:rPr>
                <w:lang w:eastAsia="en-GB"/>
              </w:rPr>
              <w:t>Koyner</w:t>
            </w:r>
          </w:p>
        </w:tc>
        <w:tc>
          <w:tcPr>
            <w:tcW w:w="0" w:type="auto"/>
            <w:shd w:val="clear" w:color="auto" w:fill="auto"/>
            <w:noWrap/>
            <w:hideMark/>
          </w:tcPr>
          <w:p w14:paraId="65F300C6"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3671A756"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412D6E4D" w14:textId="71205E2D" w:rsidR="002F0133" w:rsidRPr="000B4E2C" w:rsidRDefault="002F0133" w:rsidP="008A7464">
            <w:pPr>
              <w:rPr>
                <w:highlight w:val="green"/>
                <w:lang w:eastAsia="en-GB"/>
              </w:rPr>
            </w:pPr>
            <w:r w:rsidRPr="000B4E2C">
              <w:rPr>
                <w:highlight w:val="green"/>
                <w:lang w:eastAsia="en-GB"/>
              </w:rPr>
              <w:t>J. L. Koyner, V. S. Vaidya, M. R. Bennett, Q. Ma, E. Worcester, S. A. Akhter, J. Raman, V. Jeevanandam, M. F. O</w:t>
            </w:r>
            <w:r w:rsidR="0072128A" w:rsidRPr="000B4E2C">
              <w:rPr>
                <w:color w:val="00B0F0"/>
                <w:highlight w:val="green"/>
                <w:lang w:eastAsia="en-GB"/>
              </w:rPr>
              <w:t>’</w:t>
            </w:r>
            <w:r w:rsidRPr="000B4E2C">
              <w:rPr>
                <w:highlight w:val="green"/>
                <w:lang w:eastAsia="en-GB"/>
              </w:rPr>
              <w:t>Connor, P. Devarajan, J. V. Bonventre and P. T. Murray. Urinary biomarkers in the clinical prognosis and early detection of acute kidney injury. Clinical Journal of the American Society of Nephrology, 5(12), 2154-2165. [15899]</w:t>
            </w:r>
          </w:p>
        </w:tc>
      </w:tr>
      <w:tr w:rsidR="002F0133" w:rsidRPr="000B4E2C" w14:paraId="247C4EDC" w14:textId="77777777" w:rsidTr="000B4E2C">
        <w:trPr>
          <w:cantSplit/>
        </w:trPr>
        <w:tc>
          <w:tcPr>
            <w:tcW w:w="0" w:type="auto"/>
            <w:shd w:val="clear" w:color="auto" w:fill="auto"/>
            <w:noWrap/>
            <w:hideMark/>
          </w:tcPr>
          <w:p w14:paraId="59D21B49" w14:textId="77777777" w:rsidR="002F0133" w:rsidRPr="000B4E2C" w:rsidRDefault="002F0133" w:rsidP="008A7464">
            <w:pPr>
              <w:rPr>
                <w:lang w:eastAsia="en-GB"/>
              </w:rPr>
            </w:pPr>
            <w:r w:rsidRPr="000B4E2C">
              <w:rPr>
                <w:lang w:eastAsia="en-GB"/>
              </w:rPr>
              <w:t>Koyner</w:t>
            </w:r>
          </w:p>
        </w:tc>
        <w:tc>
          <w:tcPr>
            <w:tcW w:w="0" w:type="auto"/>
            <w:shd w:val="clear" w:color="auto" w:fill="auto"/>
            <w:noWrap/>
            <w:hideMark/>
          </w:tcPr>
          <w:p w14:paraId="6C6DACD6"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468C8E78" w14:textId="502042D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9426DD5" w14:textId="392F4886" w:rsidR="002F0133" w:rsidRPr="000B4E2C" w:rsidRDefault="002F0133" w:rsidP="008A7464">
            <w:pPr>
              <w:rPr>
                <w:highlight w:val="green"/>
                <w:lang w:eastAsia="en-GB"/>
              </w:rPr>
            </w:pPr>
            <w:r w:rsidRPr="000B4E2C">
              <w:rPr>
                <w:highlight w:val="green"/>
                <w:lang w:eastAsia="en-GB"/>
              </w:rPr>
              <w:t>J. L. Koyner, M. R. Bennett, E. M. Worcester, Q. Ma, J. Raman, V. Jeevanandam, K. E. Kasza, M. F. O</w:t>
            </w:r>
            <w:r w:rsidR="0072128A" w:rsidRPr="000B4E2C">
              <w:rPr>
                <w:color w:val="00B0F0"/>
                <w:highlight w:val="green"/>
                <w:lang w:eastAsia="en-GB"/>
              </w:rPr>
              <w:t>’</w:t>
            </w:r>
            <w:r w:rsidRPr="000B4E2C">
              <w:rPr>
                <w:highlight w:val="green"/>
                <w:lang w:eastAsia="en-GB"/>
              </w:rPr>
              <w:t>Connor, D. J. Konczal, S. Trevino, P. Devarajan and P. T. Murray. Urinary cystatin C as an early biomarker of acute kidney injury following adult cardiothoracic surgery. Kidney International, 74(8), 1059-69. [3972]</w:t>
            </w:r>
          </w:p>
        </w:tc>
      </w:tr>
      <w:tr w:rsidR="002F0133" w:rsidRPr="000B4E2C" w14:paraId="41DCBB07" w14:textId="77777777" w:rsidTr="000B4E2C">
        <w:trPr>
          <w:cantSplit/>
        </w:trPr>
        <w:tc>
          <w:tcPr>
            <w:tcW w:w="0" w:type="auto"/>
            <w:shd w:val="clear" w:color="auto" w:fill="auto"/>
            <w:noWrap/>
            <w:hideMark/>
          </w:tcPr>
          <w:p w14:paraId="4FEA1687" w14:textId="77777777" w:rsidR="002F0133" w:rsidRPr="000B4E2C" w:rsidRDefault="002F0133" w:rsidP="008A7464">
            <w:pPr>
              <w:rPr>
                <w:lang w:eastAsia="en-GB"/>
              </w:rPr>
            </w:pPr>
            <w:r w:rsidRPr="000B4E2C">
              <w:rPr>
                <w:lang w:eastAsia="en-GB"/>
              </w:rPr>
              <w:t>Koyner</w:t>
            </w:r>
          </w:p>
        </w:tc>
        <w:tc>
          <w:tcPr>
            <w:tcW w:w="0" w:type="auto"/>
            <w:shd w:val="clear" w:color="auto" w:fill="auto"/>
            <w:noWrap/>
            <w:hideMark/>
          </w:tcPr>
          <w:p w14:paraId="626F1341"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5A429920" w14:textId="6399192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7F94BC6" w14:textId="77777777" w:rsidR="002F0133" w:rsidRPr="000B4E2C" w:rsidRDefault="002F0133" w:rsidP="008A7464">
            <w:pPr>
              <w:rPr>
                <w:highlight w:val="green"/>
                <w:lang w:eastAsia="en-GB"/>
              </w:rPr>
            </w:pPr>
            <w:r w:rsidRPr="000B4E2C">
              <w:rPr>
                <w:highlight w:val="green"/>
                <w:lang w:eastAsia="en-GB"/>
              </w:rPr>
              <w:t>J. L. Koyner, A. X. Garg, H. Thiessen-Philbrook, S. G. Coca, L. G. Cantley, A. Peixoto, C. S. Passik, K. Hong and C. R. Parikh. Adjudication of etiology of acute kidney injury: Experience from the TRIBE-AKI multi-center study. BMC Nephrology, 15(1), 105. [15895]</w:t>
            </w:r>
          </w:p>
        </w:tc>
      </w:tr>
      <w:tr w:rsidR="002F0133" w:rsidRPr="000B4E2C" w14:paraId="7636D18B" w14:textId="77777777" w:rsidTr="000B4E2C">
        <w:trPr>
          <w:cantSplit/>
        </w:trPr>
        <w:tc>
          <w:tcPr>
            <w:tcW w:w="0" w:type="auto"/>
            <w:shd w:val="clear" w:color="auto" w:fill="auto"/>
            <w:noWrap/>
            <w:hideMark/>
          </w:tcPr>
          <w:p w14:paraId="4BFFDC0D" w14:textId="77777777" w:rsidR="002F0133" w:rsidRPr="000B4E2C" w:rsidRDefault="002F0133" w:rsidP="008A7464">
            <w:pPr>
              <w:rPr>
                <w:lang w:eastAsia="en-GB"/>
              </w:rPr>
            </w:pPr>
            <w:r w:rsidRPr="000B4E2C">
              <w:rPr>
                <w:lang w:eastAsia="en-GB"/>
              </w:rPr>
              <w:t>Krawczeski</w:t>
            </w:r>
          </w:p>
        </w:tc>
        <w:tc>
          <w:tcPr>
            <w:tcW w:w="0" w:type="auto"/>
            <w:shd w:val="clear" w:color="auto" w:fill="auto"/>
            <w:noWrap/>
            <w:hideMark/>
          </w:tcPr>
          <w:p w14:paraId="31A9B6C4"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56D54116"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4E2ED88F" w14:textId="77777777" w:rsidR="002F0133" w:rsidRPr="000B4E2C" w:rsidRDefault="002F0133" w:rsidP="008A7464">
            <w:pPr>
              <w:rPr>
                <w:highlight w:val="green"/>
                <w:lang w:eastAsia="en-GB"/>
              </w:rPr>
            </w:pPr>
            <w:r w:rsidRPr="000B4E2C">
              <w:rPr>
                <w:highlight w:val="green"/>
                <w:lang w:eastAsia="en-GB"/>
              </w:rPr>
              <w:t>C. D. Krawczeski, S. L. Goldstein, J. G. Woo, Y. Wang, N. Piyaphanee, Q. Ma, M. Bennett and P. Devarajan. Temporal relationship and predictive value of urinary acute kidney injury biomarkers after pediatric cardiopulmonary bypass. Journal of the American College of Cardiology, 58(22), 2301-2309. [15902]</w:t>
            </w:r>
          </w:p>
        </w:tc>
      </w:tr>
      <w:tr w:rsidR="002F0133" w:rsidRPr="000B4E2C" w14:paraId="32281C0B" w14:textId="77777777" w:rsidTr="000B4E2C">
        <w:trPr>
          <w:cantSplit/>
        </w:trPr>
        <w:tc>
          <w:tcPr>
            <w:tcW w:w="0" w:type="auto"/>
            <w:shd w:val="clear" w:color="auto" w:fill="auto"/>
            <w:noWrap/>
            <w:hideMark/>
          </w:tcPr>
          <w:p w14:paraId="3011BB68" w14:textId="77777777" w:rsidR="002F0133" w:rsidRPr="000B4E2C" w:rsidRDefault="002F0133" w:rsidP="008A7464">
            <w:pPr>
              <w:rPr>
                <w:lang w:eastAsia="en-GB"/>
              </w:rPr>
            </w:pPr>
            <w:r w:rsidRPr="000B4E2C">
              <w:rPr>
                <w:lang w:eastAsia="en-GB"/>
              </w:rPr>
              <w:t>Krawczeski</w:t>
            </w:r>
          </w:p>
        </w:tc>
        <w:tc>
          <w:tcPr>
            <w:tcW w:w="0" w:type="auto"/>
            <w:shd w:val="clear" w:color="auto" w:fill="auto"/>
            <w:noWrap/>
            <w:hideMark/>
          </w:tcPr>
          <w:p w14:paraId="334F4CA3"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043BEA7A"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099EF4F5" w14:textId="77777777" w:rsidR="002F0133" w:rsidRPr="000B4E2C" w:rsidRDefault="002F0133" w:rsidP="008A7464">
            <w:pPr>
              <w:rPr>
                <w:highlight w:val="green"/>
                <w:lang w:eastAsia="en-GB"/>
              </w:rPr>
            </w:pPr>
            <w:r w:rsidRPr="000B4E2C">
              <w:rPr>
                <w:highlight w:val="green"/>
                <w:lang w:eastAsia="en-GB"/>
              </w:rPr>
              <w:t>C. D. Krawczeski, J. G. Woo, Y. Wang, M. R. Bennett, Q. Ma and P. Devarajan. Neutrophil gelatinase-associated lipocalin concentrations predict development of acute kidney injury in neonates and children after cardiopulmonary bypass. Journal of Pediatrics, 158(6), 1009. [15903]</w:t>
            </w:r>
          </w:p>
        </w:tc>
      </w:tr>
      <w:tr w:rsidR="002F0133" w:rsidRPr="000B4E2C" w14:paraId="79FDDECF" w14:textId="77777777" w:rsidTr="000B4E2C">
        <w:trPr>
          <w:cantSplit/>
        </w:trPr>
        <w:tc>
          <w:tcPr>
            <w:tcW w:w="0" w:type="auto"/>
            <w:shd w:val="clear" w:color="auto" w:fill="auto"/>
            <w:noWrap/>
            <w:hideMark/>
          </w:tcPr>
          <w:p w14:paraId="47C89EF3" w14:textId="77777777" w:rsidR="002F0133" w:rsidRPr="000B4E2C" w:rsidRDefault="002F0133" w:rsidP="008A7464">
            <w:pPr>
              <w:rPr>
                <w:lang w:eastAsia="en-GB"/>
              </w:rPr>
            </w:pPr>
            <w:r w:rsidRPr="000B4E2C">
              <w:rPr>
                <w:lang w:eastAsia="en-GB"/>
              </w:rPr>
              <w:t>Kumar</w:t>
            </w:r>
          </w:p>
        </w:tc>
        <w:tc>
          <w:tcPr>
            <w:tcW w:w="0" w:type="auto"/>
            <w:shd w:val="clear" w:color="auto" w:fill="auto"/>
            <w:noWrap/>
            <w:hideMark/>
          </w:tcPr>
          <w:p w14:paraId="768698A8"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249B50B5"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7573E3FA" w14:textId="77777777" w:rsidR="002F0133" w:rsidRPr="000B4E2C" w:rsidRDefault="002F0133" w:rsidP="008A7464">
            <w:pPr>
              <w:rPr>
                <w:highlight w:val="green"/>
                <w:lang w:eastAsia="en-GB"/>
              </w:rPr>
            </w:pPr>
            <w:r w:rsidRPr="000B4E2C">
              <w:rPr>
                <w:highlight w:val="green"/>
                <w:lang w:eastAsia="en-GB"/>
              </w:rPr>
              <w:t>A. B. Kumar and M. Suneja. Cardiopulmonary bypass-associated acute kidney injury. Anesthesiology, 114(4), 964-970. [15911]</w:t>
            </w:r>
          </w:p>
        </w:tc>
      </w:tr>
      <w:tr w:rsidR="002F0133" w:rsidRPr="000B4E2C" w14:paraId="3086FAD5" w14:textId="77777777" w:rsidTr="000B4E2C">
        <w:trPr>
          <w:cantSplit/>
        </w:trPr>
        <w:tc>
          <w:tcPr>
            <w:tcW w:w="0" w:type="auto"/>
            <w:shd w:val="clear" w:color="auto" w:fill="auto"/>
            <w:noWrap/>
            <w:hideMark/>
          </w:tcPr>
          <w:p w14:paraId="1B59A81B" w14:textId="77777777" w:rsidR="002F0133" w:rsidRPr="000B4E2C" w:rsidRDefault="002F0133" w:rsidP="008A7464">
            <w:pPr>
              <w:rPr>
                <w:lang w:eastAsia="en-GB"/>
              </w:rPr>
            </w:pPr>
            <w:r w:rsidRPr="000B4E2C">
              <w:rPr>
                <w:lang w:eastAsia="en-GB"/>
              </w:rPr>
              <w:t>Kunutsor</w:t>
            </w:r>
          </w:p>
        </w:tc>
        <w:tc>
          <w:tcPr>
            <w:tcW w:w="0" w:type="auto"/>
            <w:shd w:val="clear" w:color="auto" w:fill="auto"/>
            <w:noWrap/>
            <w:hideMark/>
          </w:tcPr>
          <w:p w14:paraId="5992E5DB"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388D86C"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3E3AD94" w14:textId="77777777" w:rsidR="002F0133" w:rsidRPr="000B4E2C" w:rsidRDefault="002F0133" w:rsidP="008A7464">
            <w:pPr>
              <w:rPr>
                <w:highlight w:val="green"/>
                <w:lang w:eastAsia="en-GB"/>
              </w:rPr>
            </w:pPr>
            <w:r w:rsidRPr="000B4E2C">
              <w:rPr>
                <w:highlight w:val="green"/>
                <w:lang w:val="da-DK" w:eastAsia="en-GB"/>
              </w:rPr>
              <w:t xml:space="preserve">S. K. Kunutsor, J. L. Flores-Guerrero, L. M. Kieneker, T. Nilsen, C. Hidden, E. Sundrehagen, S. Seidu, R. P. F. Dullaart and S. J. L. Bakker. </w:t>
            </w:r>
            <w:r w:rsidRPr="000B4E2C">
              <w:rPr>
                <w:highlight w:val="green"/>
                <w:lang w:eastAsia="en-GB"/>
              </w:rPr>
              <w:t>Plasma neutrophil gelatinase-associated lipocalin and risk of cardiovascular disease: Findings from the PREVEND prospective cohort study. Clinica Chimica Acta, 486(66-75. [15913]</w:t>
            </w:r>
          </w:p>
        </w:tc>
      </w:tr>
      <w:tr w:rsidR="002F0133" w:rsidRPr="000B4E2C" w14:paraId="575531C1" w14:textId="77777777" w:rsidTr="000B4E2C">
        <w:trPr>
          <w:cantSplit/>
        </w:trPr>
        <w:tc>
          <w:tcPr>
            <w:tcW w:w="0" w:type="auto"/>
            <w:shd w:val="clear" w:color="auto" w:fill="auto"/>
            <w:noWrap/>
            <w:hideMark/>
          </w:tcPr>
          <w:p w14:paraId="45517EB7" w14:textId="77777777" w:rsidR="002F0133" w:rsidRPr="000B4E2C" w:rsidRDefault="002F0133" w:rsidP="008A7464">
            <w:pPr>
              <w:rPr>
                <w:lang w:eastAsia="en-GB"/>
              </w:rPr>
            </w:pPr>
            <w:r w:rsidRPr="000B4E2C">
              <w:rPr>
                <w:lang w:eastAsia="en-GB"/>
              </w:rPr>
              <w:lastRenderedPageBreak/>
              <w:t>Kuribayashi</w:t>
            </w:r>
          </w:p>
        </w:tc>
        <w:tc>
          <w:tcPr>
            <w:tcW w:w="0" w:type="auto"/>
            <w:shd w:val="clear" w:color="auto" w:fill="auto"/>
            <w:noWrap/>
            <w:hideMark/>
          </w:tcPr>
          <w:p w14:paraId="62771B4E"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0E5F5D99"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B967D63" w14:textId="77777777" w:rsidR="002F0133" w:rsidRPr="000B4E2C" w:rsidRDefault="002F0133" w:rsidP="008A7464">
            <w:pPr>
              <w:rPr>
                <w:highlight w:val="green"/>
                <w:lang w:eastAsia="en-GB"/>
              </w:rPr>
            </w:pPr>
            <w:r w:rsidRPr="000B4E2C">
              <w:rPr>
                <w:highlight w:val="green"/>
                <w:lang w:eastAsia="en-GB"/>
              </w:rPr>
              <w:t>R. Kuribayashi, H. Suzumura, T. Sairenchi, Y. Watabe, Y. Tsuboi, G. Imataka, H. Kurosawa and O. Arisaka. Urinary neutrophil gelatinase-associated lipocalin is an early predictor of acute kidney injury in premature infants. Experimental and Therapeutic Medicine, 12(6), 3706-3710. [15917]</w:t>
            </w:r>
          </w:p>
        </w:tc>
      </w:tr>
      <w:tr w:rsidR="002F0133" w:rsidRPr="000B4E2C" w14:paraId="68F10F57" w14:textId="77777777" w:rsidTr="000B4E2C">
        <w:trPr>
          <w:cantSplit/>
        </w:trPr>
        <w:tc>
          <w:tcPr>
            <w:tcW w:w="0" w:type="auto"/>
            <w:shd w:val="clear" w:color="auto" w:fill="auto"/>
            <w:noWrap/>
            <w:hideMark/>
          </w:tcPr>
          <w:p w14:paraId="7A629D70" w14:textId="77777777" w:rsidR="002F0133" w:rsidRPr="000B4E2C" w:rsidRDefault="002F0133" w:rsidP="008A7464">
            <w:pPr>
              <w:rPr>
                <w:lang w:eastAsia="en-GB"/>
              </w:rPr>
            </w:pPr>
            <w:r w:rsidRPr="000B4E2C">
              <w:rPr>
                <w:lang w:eastAsia="en-GB"/>
              </w:rPr>
              <w:t>Labr</w:t>
            </w:r>
          </w:p>
        </w:tc>
        <w:tc>
          <w:tcPr>
            <w:tcW w:w="0" w:type="auto"/>
            <w:shd w:val="clear" w:color="auto" w:fill="auto"/>
            <w:noWrap/>
            <w:hideMark/>
          </w:tcPr>
          <w:p w14:paraId="343EDA35"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6A45FB4B"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19C6567F" w14:textId="77777777" w:rsidR="002F0133" w:rsidRPr="000B4E2C" w:rsidRDefault="002F0133" w:rsidP="008A7464">
            <w:pPr>
              <w:rPr>
                <w:highlight w:val="green"/>
                <w:lang w:eastAsia="en-GB"/>
              </w:rPr>
            </w:pPr>
            <w:r w:rsidRPr="000B4E2C">
              <w:rPr>
                <w:highlight w:val="green"/>
                <w:lang w:eastAsia="en-GB"/>
              </w:rPr>
              <w:t>K. Labr, J. Spinar, J. Parenica, L. Spinarova, F. Malek, M. Spinarova, O. Ludka, J. Jarkovsky, K. Benesova, M. Goldbergova-Pavkova and R. Labrova. Renal functions and prognosis stratification in chronic heart failure patients and the importance of neutrophil gelatinase-associated lipocalin. Kidney and Blood Pressure Research, 43(6), 1865-1877. [15921]</w:t>
            </w:r>
          </w:p>
        </w:tc>
      </w:tr>
      <w:tr w:rsidR="002F0133" w:rsidRPr="000B4E2C" w14:paraId="08C29A85" w14:textId="77777777" w:rsidTr="000B4E2C">
        <w:trPr>
          <w:cantSplit/>
        </w:trPr>
        <w:tc>
          <w:tcPr>
            <w:tcW w:w="0" w:type="auto"/>
            <w:shd w:val="clear" w:color="auto" w:fill="auto"/>
            <w:noWrap/>
            <w:hideMark/>
          </w:tcPr>
          <w:p w14:paraId="02E66835" w14:textId="77777777" w:rsidR="002F0133" w:rsidRPr="000B4E2C" w:rsidRDefault="002F0133" w:rsidP="008A7464">
            <w:pPr>
              <w:rPr>
                <w:lang w:eastAsia="en-GB"/>
              </w:rPr>
            </w:pPr>
            <w:r w:rsidRPr="000B4E2C">
              <w:rPr>
                <w:lang w:eastAsia="en-GB"/>
              </w:rPr>
              <w:t>Lacquaniti</w:t>
            </w:r>
          </w:p>
        </w:tc>
        <w:tc>
          <w:tcPr>
            <w:tcW w:w="0" w:type="auto"/>
            <w:shd w:val="clear" w:color="auto" w:fill="auto"/>
            <w:noWrap/>
            <w:hideMark/>
          </w:tcPr>
          <w:p w14:paraId="5C38666F"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7ABE9E78"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DD252E2" w14:textId="77777777" w:rsidR="002F0133" w:rsidRPr="000B4E2C" w:rsidRDefault="002F0133" w:rsidP="008A7464">
            <w:pPr>
              <w:rPr>
                <w:highlight w:val="green"/>
                <w:lang w:eastAsia="en-GB"/>
              </w:rPr>
            </w:pPr>
            <w:r w:rsidRPr="000B4E2C">
              <w:rPr>
                <w:highlight w:val="green"/>
                <w:lang w:eastAsia="en-GB"/>
              </w:rPr>
              <w:t>A. Lacquaniti, F. Buemi, R. Lupica, C. Giardina, G. Mure, A. Arena, C. Visalli, S. Baldari, C. Aloisi and M. Buemi. Can neutrophil gelatinase-associated lipocalin help depict early contrast material-induced nephropathy?. Radiology, 267(1), 86-93. [15925]</w:t>
            </w:r>
          </w:p>
        </w:tc>
      </w:tr>
      <w:tr w:rsidR="002F0133" w:rsidRPr="000B4E2C" w14:paraId="1D4FCDCD" w14:textId="77777777" w:rsidTr="000B4E2C">
        <w:trPr>
          <w:cantSplit/>
        </w:trPr>
        <w:tc>
          <w:tcPr>
            <w:tcW w:w="0" w:type="auto"/>
            <w:shd w:val="clear" w:color="auto" w:fill="auto"/>
            <w:noWrap/>
            <w:hideMark/>
          </w:tcPr>
          <w:p w14:paraId="2CAEA1E1" w14:textId="77777777" w:rsidR="002F0133" w:rsidRPr="000B4E2C" w:rsidRDefault="002F0133" w:rsidP="008A7464">
            <w:pPr>
              <w:rPr>
                <w:lang w:eastAsia="en-GB"/>
              </w:rPr>
            </w:pPr>
            <w:r w:rsidRPr="000B4E2C">
              <w:rPr>
                <w:lang w:eastAsia="en-GB"/>
              </w:rPr>
              <w:t>Lacquaniti</w:t>
            </w:r>
          </w:p>
        </w:tc>
        <w:tc>
          <w:tcPr>
            <w:tcW w:w="0" w:type="auto"/>
            <w:shd w:val="clear" w:color="auto" w:fill="auto"/>
            <w:noWrap/>
            <w:hideMark/>
          </w:tcPr>
          <w:p w14:paraId="42850C1B"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052E39B6" w14:textId="6AAEB6D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9689CAF" w14:textId="77777777" w:rsidR="002F0133" w:rsidRPr="000B4E2C" w:rsidRDefault="002F0133" w:rsidP="008A7464">
            <w:pPr>
              <w:rPr>
                <w:highlight w:val="green"/>
                <w:lang w:eastAsia="en-GB"/>
              </w:rPr>
            </w:pPr>
            <w:r w:rsidRPr="000B4E2C">
              <w:rPr>
                <w:highlight w:val="green"/>
                <w:lang w:eastAsia="en-GB"/>
              </w:rPr>
              <w:t>A. Lacquaniti, M. Giardina, S. Lucisano, R. Messina, A. Buemi, C. D. Risitano, V. Chirico, M. Buemi and A. David. Neutrophil gelatinase-associated lipocalin (NGAL) and Endothelial Progenitor Cells (EPCs) evaluation in aortic aneurysm repair. Current Vascular Pharmacology, 11(6), 1001-1010. [15926]</w:t>
            </w:r>
          </w:p>
        </w:tc>
      </w:tr>
      <w:tr w:rsidR="002F0133" w:rsidRPr="000B4E2C" w14:paraId="6180303F" w14:textId="77777777" w:rsidTr="000B4E2C">
        <w:trPr>
          <w:cantSplit/>
        </w:trPr>
        <w:tc>
          <w:tcPr>
            <w:tcW w:w="0" w:type="auto"/>
            <w:shd w:val="clear" w:color="auto" w:fill="auto"/>
            <w:noWrap/>
            <w:hideMark/>
          </w:tcPr>
          <w:p w14:paraId="1996FE5A" w14:textId="77777777" w:rsidR="002F0133" w:rsidRPr="000B4E2C" w:rsidRDefault="002F0133" w:rsidP="008A7464">
            <w:pPr>
              <w:rPr>
                <w:lang w:eastAsia="en-GB"/>
              </w:rPr>
            </w:pPr>
            <w:r w:rsidRPr="000B4E2C">
              <w:rPr>
                <w:lang w:eastAsia="en-GB"/>
              </w:rPr>
              <w:t>Lahoud</w:t>
            </w:r>
          </w:p>
        </w:tc>
        <w:tc>
          <w:tcPr>
            <w:tcW w:w="0" w:type="auto"/>
            <w:shd w:val="clear" w:color="auto" w:fill="auto"/>
            <w:noWrap/>
            <w:hideMark/>
          </w:tcPr>
          <w:p w14:paraId="50A8841B"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BE0EF99" w14:textId="5DA9AD0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F54C116" w14:textId="77777777" w:rsidR="002F0133" w:rsidRPr="000B4E2C" w:rsidRDefault="002F0133" w:rsidP="008A7464">
            <w:pPr>
              <w:rPr>
                <w:highlight w:val="green"/>
                <w:lang w:eastAsia="en-GB"/>
              </w:rPr>
            </w:pPr>
            <w:r w:rsidRPr="000B4E2C">
              <w:rPr>
                <w:highlight w:val="green"/>
                <w:lang w:eastAsia="en-GB"/>
              </w:rPr>
              <w:t>Y. Lahoud, O. Hussein, A. Shalabi, H. Awad, M. Khamaisi, I. Matar, O. Nativ and Z. Abassi. Effects of phosphodiesterase-5 inhibitor on ischemic kidney injury during nephron sparing surgery: quantitative assessment by NGAL and KIM-1. World journal of urology, 33(12), 2053-2062. [15929]</w:t>
            </w:r>
          </w:p>
        </w:tc>
      </w:tr>
      <w:tr w:rsidR="002F0133" w:rsidRPr="000B4E2C" w14:paraId="30E36F66" w14:textId="77777777" w:rsidTr="000B4E2C">
        <w:trPr>
          <w:cantSplit/>
        </w:trPr>
        <w:tc>
          <w:tcPr>
            <w:tcW w:w="0" w:type="auto"/>
            <w:shd w:val="clear" w:color="auto" w:fill="auto"/>
            <w:noWrap/>
            <w:hideMark/>
          </w:tcPr>
          <w:p w14:paraId="0DC7D720" w14:textId="77777777" w:rsidR="002F0133" w:rsidRPr="000B4E2C" w:rsidRDefault="002F0133" w:rsidP="008A7464">
            <w:pPr>
              <w:rPr>
                <w:lang w:eastAsia="en-GB"/>
              </w:rPr>
            </w:pPr>
            <w:r w:rsidRPr="000B4E2C">
              <w:rPr>
                <w:lang w:eastAsia="en-GB"/>
              </w:rPr>
              <w:t>Lane</w:t>
            </w:r>
          </w:p>
        </w:tc>
        <w:tc>
          <w:tcPr>
            <w:tcW w:w="0" w:type="auto"/>
            <w:shd w:val="clear" w:color="auto" w:fill="auto"/>
            <w:noWrap/>
            <w:hideMark/>
          </w:tcPr>
          <w:p w14:paraId="4694B23A"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51863F79" w14:textId="2BF6C9D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63DEE15" w14:textId="77777777" w:rsidR="002F0133" w:rsidRPr="000B4E2C" w:rsidRDefault="002F0133" w:rsidP="008A7464">
            <w:pPr>
              <w:rPr>
                <w:highlight w:val="green"/>
                <w:lang w:eastAsia="en-GB"/>
              </w:rPr>
            </w:pPr>
            <w:r w:rsidRPr="000B4E2C">
              <w:rPr>
                <w:highlight w:val="green"/>
                <w:lang w:val="da-DK" w:eastAsia="en-GB"/>
              </w:rPr>
              <w:t xml:space="preserve">B. R. Lane, S. K. Babitz, K. Vlasakova, A. Wong, S. L. Noyes, W. Boshoven, P. Grady, C. Zimmerman, S. Engerman, M. Gebben, M. Tanen, W. E. Glaab and F. D. Sistare. </w:t>
            </w:r>
            <w:r w:rsidRPr="000B4E2C">
              <w:rPr>
                <w:highlight w:val="green"/>
                <w:lang w:eastAsia="en-GB"/>
              </w:rPr>
              <w:t>Evaluation of Urinary Renal Biomarkers for Early Prediction of Acute Kidney Injury Following Partial Nephrectomy: A Feasibility Study. European Urology Focus, . [15937]</w:t>
            </w:r>
          </w:p>
        </w:tc>
      </w:tr>
      <w:tr w:rsidR="002F0133" w:rsidRPr="000B4E2C" w14:paraId="1168A9AE" w14:textId="77777777" w:rsidTr="000B4E2C">
        <w:trPr>
          <w:cantSplit/>
        </w:trPr>
        <w:tc>
          <w:tcPr>
            <w:tcW w:w="0" w:type="auto"/>
            <w:shd w:val="clear" w:color="auto" w:fill="auto"/>
            <w:noWrap/>
            <w:hideMark/>
          </w:tcPr>
          <w:p w14:paraId="203578BE" w14:textId="77777777" w:rsidR="002F0133" w:rsidRPr="000B4E2C" w:rsidRDefault="002F0133" w:rsidP="008A7464">
            <w:pPr>
              <w:rPr>
                <w:lang w:eastAsia="en-GB"/>
              </w:rPr>
            </w:pPr>
            <w:r w:rsidRPr="000B4E2C">
              <w:rPr>
                <w:lang w:eastAsia="en-GB"/>
              </w:rPr>
              <w:t>Lavery</w:t>
            </w:r>
          </w:p>
        </w:tc>
        <w:tc>
          <w:tcPr>
            <w:tcW w:w="0" w:type="auto"/>
            <w:shd w:val="clear" w:color="auto" w:fill="auto"/>
            <w:noWrap/>
            <w:hideMark/>
          </w:tcPr>
          <w:p w14:paraId="3E65DEF3"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6526E685" w14:textId="41B6A7F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06658C8" w14:textId="77777777" w:rsidR="002F0133" w:rsidRPr="000B4E2C" w:rsidRDefault="002F0133" w:rsidP="008A7464">
            <w:pPr>
              <w:rPr>
                <w:highlight w:val="green"/>
                <w:lang w:eastAsia="en-GB"/>
              </w:rPr>
            </w:pPr>
            <w:r w:rsidRPr="000B4E2C">
              <w:rPr>
                <w:highlight w:val="green"/>
                <w:lang w:eastAsia="en-GB"/>
              </w:rPr>
              <w:t>A. P. Lavery, J. K. Meinzen-Derr, E. Anderson, Q. Ma, M. R. Bennett, P. Devarajan and K. R. Schibler. Urinary NGAL in premature infants. Pediatric Research, 64(4), 423-8. [3977]</w:t>
            </w:r>
          </w:p>
        </w:tc>
      </w:tr>
      <w:tr w:rsidR="002F0133" w:rsidRPr="000B4E2C" w14:paraId="60B6A172" w14:textId="77777777" w:rsidTr="000B4E2C">
        <w:trPr>
          <w:cantSplit/>
        </w:trPr>
        <w:tc>
          <w:tcPr>
            <w:tcW w:w="0" w:type="auto"/>
            <w:shd w:val="clear" w:color="auto" w:fill="auto"/>
            <w:noWrap/>
            <w:hideMark/>
          </w:tcPr>
          <w:p w14:paraId="77423473" w14:textId="77777777" w:rsidR="002F0133" w:rsidRPr="000B4E2C" w:rsidRDefault="002F0133" w:rsidP="008A7464">
            <w:pPr>
              <w:rPr>
                <w:lang w:eastAsia="en-GB"/>
              </w:rPr>
            </w:pPr>
            <w:r w:rsidRPr="000B4E2C">
              <w:rPr>
                <w:lang w:eastAsia="en-GB"/>
              </w:rPr>
              <w:t>Lee</w:t>
            </w:r>
          </w:p>
        </w:tc>
        <w:tc>
          <w:tcPr>
            <w:tcW w:w="0" w:type="auto"/>
            <w:shd w:val="clear" w:color="auto" w:fill="auto"/>
            <w:noWrap/>
            <w:hideMark/>
          </w:tcPr>
          <w:p w14:paraId="41E3217A"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1882F58" w14:textId="051CF10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08D1DA2" w14:textId="77777777" w:rsidR="002F0133" w:rsidRPr="000B4E2C" w:rsidRDefault="002F0133" w:rsidP="008A7464">
            <w:pPr>
              <w:rPr>
                <w:highlight w:val="green"/>
                <w:lang w:eastAsia="en-GB"/>
              </w:rPr>
            </w:pPr>
            <w:r w:rsidRPr="000B4E2C">
              <w:rPr>
                <w:highlight w:val="green"/>
                <w:lang w:eastAsia="en-GB"/>
              </w:rPr>
              <w:t>H. E. Lee, D. K. Kim, H. K. Kang and K. Park. The diagnosis of febrile urinary tract infection in children may be facilitated by urinary biomarkers. Pediatric Nephrology, 30(1), 123-130. [15951]</w:t>
            </w:r>
          </w:p>
        </w:tc>
      </w:tr>
      <w:tr w:rsidR="002F0133" w:rsidRPr="000B4E2C" w14:paraId="36724A29" w14:textId="77777777" w:rsidTr="000B4E2C">
        <w:trPr>
          <w:cantSplit/>
        </w:trPr>
        <w:tc>
          <w:tcPr>
            <w:tcW w:w="0" w:type="auto"/>
            <w:shd w:val="clear" w:color="auto" w:fill="auto"/>
            <w:noWrap/>
            <w:hideMark/>
          </w:tcPr>
          <w:p w14:paraId="595C8B32" w14:textId="77777777" w:rsidR="002F0133" w:rsidRPr="000B4E2C" w:rsidRDefault="002F0133" w:rsidP="008A7464">
            <w:pPr>
              <w:rPr>
                <w:lang w:eastAsia="en-GB"/>
              </w:rPr>
            </w:pPr>
            <w:r w:rsidRPr="000B4E2C">
              <w:rPr>
                <w:lang w:eastAsia="en-GB"/>
              </w:rPr>
              <w:t>Lee</w:t>
            </w:r>
          </w:p>
        </w:tc>
        <w:tc>
          <w:tcPr>
            <w:tcW w:w="0" w:type="auto"/>
            <w:shd w:val="clear" w:color="auto" w:fill="auto"/>
            <w:noWrap/>
            <w:hideMark/>
          </w:tcPr>
          <w:p w14:paraId="4E54F5DF"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2C695DC1" w14:textId="698E898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13E849C" w14:textId="77777777" w:rsidR="002F0133" w:rsidRPr="000B4E2C" w:rsidRDefault="002F0133" w:rsidP="008A7464">
            <w:pPr>
              <w:rPr>
                <w:highlight w:val="green"/>
                <w:lang w:eastAsia="en-GB"/>
              </w:rPr>
            </w:pPr>
            <w:r w:rsidRPr="000B4E2C">
              <w:rPr>
                <w:highlight w:val="green"/>
                <w:lang w:eastAsia="en-GB"/>
              </w:rPr>
              <w:t>S. M. K. Lee, M. A. Lanaspa, L. G. Sanchez-Lozada and R. J. Johnson. Hyponatremia with Persistent Elevated Urinary Fractional Uric Acid Excretion: Evidence for Proximal Tubular Injury?. Kidney &amp; blood pressure research, 41(5), 535-544. [18496]</w:t>
            </w:r>
          </w:p>
        </w:tc>
      </w:tr>
      <w:tr w:rsidR="002F0133" w:rsidRPr="000B4E2C" w14:paraId="5AA9A8C2" w14:textId="77777777" w:rsidTr="000B4E2C">
        <w:trPr>
          <w:cantSplit/>
        </w:trPr>
        <w:tc>
          <w:tcPr>
            <w:tcW w:w="0" w:type="auto"/>
            <w:shd w:val="clear" w:color="auto" w:fill="auto"/>
            <w:noWrap/>
            <w:hideMark/>
          </w:tcPr>
          <w:p w14:paraId="5993D98A" w14:textId="77777777" w:rsidR="002F0133" w:rsidRPr="000B4E2C" w:rsidRDefault="002F0133" w:rsidP="008A7464">
            <w:pPr>
              <w:rPr>
                <w:lang w:eastAsia="en-GB"/>
              </w:rPr>
            </w:pPr>
            <w:r w:rsidRPr="000B4E2C">
              <w:rPr>
                <w:lang w:eastAsia="en-GB"/>
              </w:rPr>
              <w:t>Lee</w:t>
            </w:r>
          </w:p>
        </w:tc>
        <w:tc>
          <w:tcPr>
            <w:tcW w:w="0" w:type="auto"/>
            <w:shd w:val="clear" w:color="auto" w:fill="auto"/>
            <w:noWrap/>
            <w:hideMark/>
          </w:tcPr>
          <w:p w14:paraId="180D6A63"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55B716FB"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BF96BCE" w14:textId="77777777" w:rsidR="002F0133" w:rsidRPr="000B4E2C" w:rsidRDefault="002F0133" w:rsidP="008A7464">
            <w:pPr>
              <w:rPr>
                <w:highlight w:val="green"/>
                <w:lang w:eastAsia="en-GB"/>
              </w:rPr>
            </w:pPr>
            <w:r w:rsidRPr="000B4E2C">
              <w:rPr>
                <w:highlight w:val="green"/>
                <w:lang w:eastAsia="en-GB"/>
              </w:rPr>
              <w:t>C. C. Lee, C. H. Chang, S. W. Chen, P. C. Fan, S. W. Chang, Y. T. Chen, Y. Y. Nan, P. J. Lin and F. C. Tsai. Preoperative risk assessment improves biomarker detection for predicting acute kidney injury after cardiac surgery. PLoS ONE, 13(9), e0203447. [15947]</w:t>
            </w:r>
          </w:p>
        </w:tc>
      </w:tr>
      <w:tr w:rsidR="002F0133" w:rsidRPr="000B4E2C" w14:paraId="5E0DBA12" w14:textId="77777777" w:rsidTr="000B4E2C">
        <w:trPr>
          <w:cantSplit/>
        </w:trPr>
        <w:tc>
          <w:tcPr>
            <w:tcW w:w="0" w:type="auto"/>
            <w:shd w:val="clear" w:color="auto" w:fill="auto"/>
            <w:noWrap/>
            <w:hideMark/>
          </w:tcPr>
          <w:p w14:paraId="39BBFC1C" w14:textId="77777777" w:rsidR="002F0133" w:rsidRPr="000B4E2C" w:rsidRDefault="002F0133" w:rsidP="008A7464">
            <w:pPr>
              <w:rPr>
                <w:lang w:eastAsia="en-GB"/>
              </w:rPr>
            </w:pPr>
            <w:r w:rsidRPr="000B4E2C">
              <w:rPr>
                <w:lang w:eastAsia="en-GB"/>
              </w:rPr>
              <w:t>Lee</w:t>
            </w:r>
          </w:p>
        </w:tc>
        <w:tc>
          <w:tcPr>
            <w:tcW w:w="0" w:type="auto"/>
            <w:shd w:val="clear" w:color="auto" w:fill="auto"/>
            <w:noWrap/>
            <w:hideMark/>
          </w:tcPr>
          <w:p w14:paraId="7BC38BA5"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7D1321A" w14:textId="70C732C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F7BDE58" w14:textId="77777777" w:rsidR="002F0133" w:rsidRPr="000B4E2C" w:rsidRDefault="002F0133" w:rsidP="008A7464">
            <w:pPr>
              <w:rPr>
                <w:highlight w:val="green"/>
                <w:lang w:eastAsia="en-GB"/>
              </w:rPr>
            </w:pPr>
            <w:r w:rsidRPr="000B4E2C">
              <w:rPr>
                <w:highlight w:val="green"/>
                <w:lang w:eastAsia="en-GB"/>
              </w:rPr>
              <w:t>C. W. Lee, H. W. Kou, H. S. Chou, H. H. Chou, S. F. Huang, C. H. Chang, C. H. Wu, M. C. Yu and H. I. Tsai. A combination of SOFA score and biomarkers gives a better prediction of septic AKI and in-hospital mortality in critically ill surgical patients: a pilot study. World journal of emergency surgery : WJES, 13(41. [15948]</w:t>
            </w:r>
          </w:p>
        </w:tc>
      </w:tr>
      <w:tr w:rsidR="002F0133" w:rsidRPr="000B4E2C" w14:paraId="498F89D3" w14:textId="77777777" w:rsidTr="000B4E2C">
        <w:trPr>
          <w:cantSplit/>
        </w:trPr>
        <w:tc>
          <w:tcPr>
            <w:tcW w:w="0" w:type="auto"/>
            <w:shd w:val="clear" w:color="auto" w:fill="auto"/>
            <w:noWrap/>
            <w:hideMark/>
          </w:tcPr>
          <w:p w14:paraId="4FA83827" w14:textId="77777777" w:rsidR="002F0133" w:rsidRPr="000B4E2C" w:rsidRDefault="002F0133" w:rsidP="008A7464">
            <w:pPr>
              <w:rPr>
                <w:lang w:eastAsia="en-GB"/>
              </w:rPr>
            </w:pPr>
            <w:r w:rsidRPr="000B4E2C">
              <w:rPr>
                <w:lang w:eastAsia="en-GB"/>
              </w:rPr>
              <w:t>Lee</w:t>
            </w:r>
          </w:p>
        </w:tc>
        <w:tc>
          <w:tcPr>
            <w:tcW w:w="0" w:type="auto"/>
            <w:shd w:val="clear" w:color="auto" w:fill="auto"/>
            <w:noWrap/>
            <w:hideMark/>
          </w:tcPr>
          <w:p w14:paraId="037F146D"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3D3F4E6C" w14:textId="7163D5A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0B0613F" w14:textId="77777777" w:rsidR="002F0133" w:rsidRPr="000B4E2C" w:rsidRDefault="002F0133" w:rsidP="008A7464">
            <w:pPr>
              <w:rPr>
                <w:highlight w:val="green"/>
                <w:lang w:eastAsia="en-GB"/>
              </w:rPr>
            </w:pPr>
            <w:r w:rsidRPr="000B4E2C">
              <w:rPr>
                <w:highlight w:val="green"/>
                <w:lang w:eastAsia="en-GB"/>
              </w:rPr>
              <w:t>N. M. Lee, L. Deriy, T. R. Petersen, V. O. Shah, M. P. Hutchens and N. S. Gerstein. Impact of Isolyte Versus 0.9% Saline on Postoperative Event of Acute Kidney Injury Assayed by Urinary [TIMP-2]x[IGFBP7] in Patients Undergoing Cardiac Surgery. Journal of Cardiothoracic and Vascular Anesthesia, 33(2), 348-356. [15953]</w:t>
            </w:r>
          </w:p>
        </w:tc>
      </w:tr>
      <w:tr w:rsidR="002F0133" w:rsidRPr="000B4E2C" w14:paraId="44848595" w14:textId="77777777" w:rsidTr="000B4E2C">
        <w:trPr>
          <w:cantSplit/>
        </w:trPr>
        <w:tc>
          <w:tcPr>
            <w:tcW w:w="0" w:type="auto"/>
            <w:shd w:val="clear" w:color="auto" w:fill="auto"/>
            <w:noWrap/>
            <w:hideMark/>
          </w:tcPr>
          <w:p w14:paraId="22A738A0" w14:textId="77777777" w:rsidR="002F0133" w:rsidRPr="000B4E2C" w:rsidRDefault="002F0133" w:rsidP="008A7464">
            <w:pPr>
              <w:rPr>
                <w:lang w:eastAsia="en-GB"/>
              </w:rPr>
            </w:pPr>
            <w:r w:rsidRPr="000B4E2C">
              <w:rPr>
                <w:lang w:eastAsia="en-GB"/>
              </w:rPr>
              <w:lastRenderedPageBreak/>
              <w:t>Legr</w:t>
            </w:r>
          </w:p>
        </w:tc>
        <w:tc>
          <w:tcPr>
            <w:tcW w:w="0" w:type="auto"/>
            <w:shd w:val="clear" w:color="auto" w:fill="auto"/>
            <w:noWrap/>
            <w:hideMark/>
          </w:tcPr>
          <w:p w14:paraId="043404DB"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5AAAF7E9" w14:textId="627F80F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BF581E1" w14:textId="77777777" w:rsidR="002F0133" w:rsidRPr="000B4E2C" w:rsidRDefault="002F0133" w:rsidP="008A7464">
            <w:pPr>
              <w:rPr>
                <w:highlight w:val="green"/>
                <w:lang w:eastAsia="en-GB"/>
              </w:rPr>
            </w:pPr>
            <w:r w:rsidRPr="000B4E2C">
              <w:rPr>
                <w:highlight w:val="green"/>
                <w:lang w:eastAsia="en-GB"/>
              </w:rPr>
              <w:t>M. Legr, B. D. Berardinis, H. K. Gaggin, L. Magrini, A. Belcher, B. Zancla, A. Femia, M. Simon, S. Motiwala, R. Sambhare, S. D. Somma, A. Mebazaa, V. S. Vaidya and J. L. Januzzi. Evidence of uncoupling between renal dysfunction and injury in cardiorenal syndrome: Insights from the BIONICS study. PLoS ONE, 9(11), e112313. [15956]</w:t>
            </w:r>
          </w:p>
        </w:tc>
      </w:tr>
      <w:tr w:rsidR="002F0133" w:rsidRPr="000B4E2C" w14:paraId="29A6EF0A" w14:textId="77777777" w:rsidTr="000B4E2C">
        <w:trPr>
          <w:cantSplit/>
        </w:trPr>
        <w:tc>
          <w:tcPr>
            <w:tcW w:w="0" w:type="auto"/>
            <w:shd w:val="clear" w:color="auto" w:fill="auto"/>
            <w:noWrap/>
            <w:hideMark/>
          </w:tcPr>
          <w:p w14:paraId="2B056DE3" w14:textId="77777777" w:rsidR="002F0133" w:rsidRPr="000B4E2C" w:rsidRDefault="002F0133" w:rsidP="008A7464">
            <w:pPr>
              <w:rPr>
                <w:lang w:eastAsia="en-GB"/>
              </w:rPr>
            </w:pPr>
            <w:r w:rsidRPr="000B4E2C">
              <w:rPr>
                <w:lang w:eastAsia="en-GB"/>
              </w:rPr>
              <w:t>Legrand</w:t>
            </w:r>
          </w:p>
        </w:tc>
        <w:tc>
          <w:tcPr>
            <w:tcW w:w="0" w:type="auto"/>
            <w:shd w:val="clear" w:color="auto" w:fill="auto"/>
            <w:noWrap/>
            <w:hideMark/>
          </w:tcPr>
          <w:p w14:paraId="0A555F41"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08340686" w14:textId="276682C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EEB0836" w14:textId="77777777" w:rsidR="002F0133" w:rsidRPr="000B4E2C" w:rsidRDefault="002F0133" w:rsidP="008A7464">
            <w:pPr>
              <w:rPr>
                <w:highlight w:val="green"/>
                <w:lang w:eastAsia="en-GB"/>
              </w:rPr>
            </w:pPr>
            <w:r w:rsidRPr="000B4E2C">
              <w:rPr>
                <w:highlight w:val="green"/>
                <w:lang w:eastAsia="en-GB"/>
              </w:rPr>
              <w:t>M. Legrand, C. Collet, E. Gayat, J. Henao, V. Giraudeaux, J. Mateo, J.-M. Launay and D. Payen. Accuracy of urine NGAL commercial assays in critically ill patients. Intensive care medicine, 39(3), 541-2. [15958]</w:t>
            </w:r>
          </w:p>
        </w:tc>
      </w:tr>
      <w:tr w:rsidR="002F0133" w:rsidRPr="000B4E2C" w14:paraId="6A167773" w14:textId="77777777" w:rsidTr="000B4E2C">
        <w:trPr>
          <w:cantSplit/>
        </w:trPr>
        <w:tc>
          <w:tcPr>
            <w:tcW w:w="0" w:type="auto"/>
            <w:shd w:val="clear" w:color="auto" w:fill="auto"/>
            <w:noWrap/>
            <w:hideMark/>
          </w:tcPr>
          <w:p w14:paraId="042D09EF" w14:textId="77777777" w:rsidR="002F0133" w:rsidRPr="000B4E2C" w:rsidRDefault="002F0133" w:rsidP="008A7464">
            <w:pPr>
              <w:rPr>
                <w:lang w:eastAsia="en-GB"/>
              </w:rPr>
            </w:pPr>
            <w:r w:rsidRPr="000B4E2C">
              <w:rPr>
                <w:lang w:eastAsia="en-GB"/>
              </w:rPr>
              <w:t>Legrand</w:t>
            </w:r>
          </w:p>
        </w:tc>
        <w:tc>
          <w:tcPr>
            <w:tcW w:w="0" w:type="auto"/>
            <w:shd w:val="clear" w:color="auto" w:fill="auto"/>
            <w:noWrap/>
            <w:hideMark/>
          </w:tcPr>
          <w:p w14:paraId="4EE2CB3F"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6D9C1D48"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191C347E" w14:textId="77777777" w:rsidR="002F0133" w:rsidRPr="000B4E2C" w:rsidRDefault="002F0133" w:rsidP="008A7464">
            <w:pPr>
              <w:rPr>
                <w:highlight w:val="green"/>
                <w:lang w:eastAsia="en-GB"/>
              </w:rPr>
            </w:pPr>
            <w:r w:rsidRPr="000B4E2C">
              <w:rPr>
                <w:highlight w:val="green"/>
                <w:lang w:eastAsia="en-GB"/>
              </w:rPr>
              <w:t>M. Legrand, M. Darmon and M. Joannidis. NGAL and AKI: The end of a myth?. Intensive Care Medicine, 39(10), 1861-1863. [15961]</w:t>
            </w:r>
          </w:p>
        </w:tc>
      </w:tr>
      <w:tr w:rsidR="002F0133" w:rsidRPr="000B4E2C" w14:paraId="63655964" w14:textId="77777777" w:rsidTr="000B4E2C">
        <w:trPr>
          <w:cantSplit/>
        </w:trPr>
        <w:tc>
          <w:tcPr>
            <w:tcW w:w="0" w:type="auto"/>
            <w:shd w:val="clear" w:color="auto" w:fill="auto"/>
            <w:noWrap/>
            <w:hideMark/>
          </w:tcPr>
          <w:p w14:paraId="7AF16106" w14:textId="77777777" w:rsidR="002F0133" w:rsidRPr="000B4E2C" w:rsidRDefault="002F0133" w:rsidP="008A7464">
            <w:pPr>
              <w:rPr>
                <w:lang w:eastAsia="en-GB"/>
              </w:rPr>
            </w:pPr>
            <w:r w:rsidRPr="000B4E2C">
              <w:rPr>
                <w:lang w:eastAsia="en-GB"/>
              </w:rPr>
              <w:t xml:space="preserve">Legrand </w:t>
            </w:r>
          </w:p>
        </w:tc>
        <w:tc>
          <w:tcPr>
            <w:tcW w:w="0" w:type="auto"/>
            <w:shd w:val="clear" w:color="auto" w:fill="auto"/>
            <w:noWrap/>
            <w:hideMark/>
          </w:tcPr>
          <w:p w14:paraId="192412C0"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7F01510"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064BAF6" w14:textId="77777777" w:rsidR="002F0133" w:rsidRPr="000B4E2C" w:rsidRDefault="002F0133" w:rsidP="008A7464">
            <w:pPr>
              <w:rPr>
                <w:highlight w:val="green"/>
                <w:lang w:eastAsia="en-GB"/>
              </w:rPr>
            </w:pPr>
            <w:r w:rsidRPr="000B4E2C">
              <w:rPr>
                <w:highlight w:val="green"/>
                <w:lang w:eastAsia="en-GB"/>
              </w:rPr>
              <w:t>M. Legrand, A. Jacquemod, E. Gayat, C. Collet, V. Giraudeaux, J.-M. Launay and D. Payen. Failure of renal biomarkers to predict worsening renal function in high-risk patients presenting with oliguria. Intensive care medicine, 41(1), 68-76. [18497]</w:t>
            </w:r>
          </w:p>
        </w:tc>
      </w:tr>
      <w:tr w:rsidR="002F0133" w:rsidRPr="000B4E2C" w14:paraId="17D2F23C" w14:textId="77777777" w:rsidTr="000B4E2C">
        <w:trPr>
          <w:cantSplit/>
        </w:trPr>
        <w:tc>
          <w:tcPr>
            <w:tcW w:w="0" w:type="auto"/>
            <w:shd w:val="clear" w:color="auto" w:fill="auto"/>
            <w:noWrap/>
            <w:hideMark/>
          </w:tcPr>
          <w:p w14:paraId="42232C11" w14:textId="77777777" w:rsidR="002F0133" w:rsidRPr="000B4E2C" w:rsidRDefault="002F0133" w:rsidP="008A7464">
            <w:pPr>
              <w:rPr>
                <w:lang w:eastAsia="en-GB"/>
              </w:rPr>
            </w:pPr>
            <w:r w:rsidRPr="000B4E2C">
              <w:rPr>
                <w:lang w:eastAsia="en-GB"/>
              </w:rPr>
              <w:t>Lei</w:t>
            </w:r>
          </w:p>
        </w:tc>
        <w:tc>
          <w:tcPr>
            <w:tcW w:w="0" w:type="auto"/>
            <w:shd w:val="clear" w:color="auto" w:fill="auto"/>
            <w:noWrap/>
            <w:hideMark/>
          </w:tcPr>
          <w:p w14:paraId="5A5E60BD"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1B22752"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5A9B6DDF" w14:textId="77777777" w:rsidR="002F0133" w:rsidRPr="000B4E2C" w:rsidRDefault="002F0133" w:rsidP="008A7464">
            <w:pPr>
              <w:rPr>
                <w:highlight w:val="green"/>
                <w:lang w:eastAsia="en-GB"/>
              </w:rPr>
            </w:pPr>
            <w:r w:rsidRPr="000B4E2C">
              <w:rPr>
                <w:highlight w:val="green"/>
                <w:lang w:eastAsia="en-GB"/>
              </w:rPr>
              <w:t>L. Lei, L. P. Li, Z. Zeng, J. X. Mu, X. Yang, C. Zhou, Z. L. Wang and H. Zhang. Value of urinary KIM-1 and NGAL combined with serum Cys C for predicting acute kidney injury secondary to decompensated cirrhosis. Scientific reports, 8(1), 7962. [15966]</w:t>
            </w:r>
          </w:p>
        </w:tc>
      </w:tr>
      <w:tr w:rsidR="002F0133" w:rsidRPr="000B4E2C" w14:paraId="57528660" w14:textId="77777777" w:rsidTr="000B4E2C">
        <w:trPr>
          <w:cantSplit/>
        </w:trPr>
        <w:tc>
          <w:tcPr>
            <w:tcW w:w="0" w:type="auto"/>
            <w:shd w:val="clear" w:color="auto" w:fill="auto"/>
            <w:noWrap/>
            <w:hideMark/>
          </w:tcPr>
          <w:p w14:paraId="12A3A2B2" w14:textId="77777777" w:rsidR="002F0133" w:rsidRPr="000B4E2C" w:rsidRDefault="002F0133" w:rsidP="008A7464">
            <w:pPr>
              <w:rPr>
                <w:lang w:eastAsia="en-GB"/>
              </w:rPr>
            </w:pPr>
            <w:r w:rsidRPr="000B4E2C">
              <w:rPr>
                <w:lang w:eastAsia="en-GB"/>
              </w:rPr>
              <w:t xml:space="preserve">Lentini </w:t>
            </w:r>
          </w:p>
        </w:tc>
        <w:tc>
          <w:tcPr>
            <w:tcW w:w="0" w:type="auto"/>
            <w:shd w:val="clear" w:color="auto" w:fill="auto"/>
            <w:noWrap/>
            <w:hideMark/>
          </w:tcPr>
          <w:p w14:paraId="2AA5314D"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1E611803" w14:textId="1075129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DE2F80B" w14:textId="5C9698D0" w:rsidR="002F0133" w:rsidRPr="000B4E2C" w:rsidRDefault="002F0133" w:rsidP="008A7464">
            <w:pPr>
              <w:rPr>
                <w:highlight w:val="green"/>
                <w:lang w:eastAsia="en-GB"/>
              </w:rPr>
            </w:pPr>
            <w:r w:rsidRPr="000B4E2C">
              <w:rPr>
                <w:highlight w:val="green"/>
                <w:lang w:eastAsia="en-GB"/>
              </w:rPr>
              <w:t>P. Lentini, M. de Cal, A. Clementi, A. D</w:t>
            </w:r>
            <w:r w:rsidR="0072128A" w:rsidRPr="000B4E2C">
              <w:rPr>
                <w:color w:val="00B0F0"/>
                <w:highlight w:val="green"/>
                <w:lang w:eastAsia="en-GB"/>
              </w:rPr>
              <w:t>’</w:t>
            </w:r>
            <w:r w:rsidRPr="000B4E2C">
              <w:rPr>
                <w:highlight w:val="green"/>
                <w:lang w:eastAsia="en-GB"/>
              </w:rPr>
              <w:t>Angelo and C. Ronco. Sepsis and AKI in ICU Patients: The Role of Plasma Biomarkers. Critical care research and practice, 2012(856401. [15969]</w:t>
            </w:r>
          </w:p>
        </w:tc>
      </w:tr>
      <w:tr w:rsidR="002F0133" w:rsidRPr="000B4E2C" w14:paraId="00B7A8CC" w14:textId="77777777" w:rsidTr="000B4E2C">
        <w:trPr>
          <w:cantSplit/>
        </w:trPr>
        <w:tc>
          <w:tcPr>
            <w:tcW w:w="0" w:type="auto"/>
            <w:shd w:val="clear" w:color="auto" w:fill="auto"/>
            <w:noWrap/>
            <w:hideMark/>
          </w:tcPr>
          <w:p w14:paraId="13F9FC8D" w14:textId="77777777" w:rsidR="002F0133" w:rsidRPr="000B4E2C" w:rsidRDefault="002F0133" w:rsidP="008A7464">
            <w:pPr>
              <w:rPr>
                <w:lang w:eastAsia="en-GB"/>
              </w:rPr>
            </w:pPr>
            <w:r w:rsidRPr="000B4E2C">
              <w:rPr>
                <w:lang w:eastAsia="en-GB"/>
              </w:rPr>
              <w:t>Leoncini</w:t>
            </w:r>
          </w:p>
        </w:tc>
        <w:tc>
          <w:tcPr>
            <w:tcW w:w="0" w:type="auto"/>
            <w:shd w:val="clear" w:color="auto" w:fill="auto"/>
            <w:noWrap/>
            <w:hideMark/>
          </w:tcPr>
          <w:p w14:paraId="785A615F"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3E566389"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3355983" w14:textId="77777777" w:rsidR="002F0133" w:rsidRPr="000B4E2C" w:rsidRDefault="002F0133" w:rsidP="008A7464">
            <w:pPr>
              <w:rPr>
                <w:highlight w:val="green"/>
                <w:lang w:eastAsia="en-GB"/>
              </w:rPr>
            </w:pPr>
            <w:r w:rsidRPr="000B4E2C">
              <w:rPr>
                <w:highlight w:val="green"/>
                <w:lang w:eastAsia="en-GB"/>
              </w:rPr>
              <w:t>G. Leoncini, M. Mussap, F. Viazzi, M. Fravega, R. Degrandi, G. P. Bezante, G. Deferrari and R. Pontremoli. Combined use of urinary neutrophil gelatinase-associated lipocalin (uNGAL) and albumin as markers of early cardiac damage in primary hypertension. Clinica Chimica Acta, 412(21-22), 1951-1956. [15970]</w:t>
            </w:r>
          </w:p>
        </w:tc>
      </w:tr>
      <w:tr w:rsidR="002F0133" w:rsidRPr="000B4E2C" w14:paraId="21465F7D" w14:textId="77777777" w:rsidTr="000B4E2C">
        <w:trPr>
          <w:cantSplit/>
        </w:trPr>
        <w:tc>
          <w:tcPr>
            <w:tcW w:w="0" w:type="auto"/>
            <w:shd w:val="clear" w:color="auto" w:fill="auto"/>
            <w:noWrap/>
            <w:hideMark/>
          </w:tcPr>
          <w:p w14:paraId="20D3420C" w14:textId="77777777" w:rsidR="002F0133" w:rsidRPr="000B4E2C" w:rsidRDefault="002F0133" w:rsidP="008A7464">
            <w:pPr>
              <w:rPr>
                <w:lang w:eastAsia="en-GB"/>
              </w:rPr>
            </w:pPr>
            <w:r w:rsidRPr="000B4E2C">
              <w:rPr>
                <w:lang w:eastAsia="en-GB"/>
              </w:rPr>
              <w:t>Leung</w:t>
            </w:r>
          </w:p>
        </w:tc>
        <w:tc>
          <w:tcPr>
            <w:tcW w:w="0" w:type="auto"/>
            <w:shd w:val="clear" w:color="auto" w:fill="auto"/>
            <w:noWrap/>
            <w:hideMark/>
          </w:tcPr>
          <w:p w14:paraId="63999914"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16928DFD" w14:textId="3D4DF24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F5DEC7E" w14:textId="77777777" w:rsidR="002F0133" w:rsidRPr="000B4E2C" w:rsidRDefault="002F0133" w:rsidP="008A7464">
            <w:pPr>
              <w:rPr>
                <w:highlight w:val="green"/>
                <w:lang w:eastAsia="en-GB"/>
              </w:rPr>
            </w:pPr>
            <w:r w:rsidRPr="000B4E2C">
              <w:rPr>
                <w:highlight w:val="green"/>
                <w:lang w:eastAsia="en-GB"/>
              </w:rPr>
              <w:t>J. C. K. Leung, M. F. Lam, S. C. W. Tang, L. Y. Y. Chan, K. Y. Tam, T. P. S. Yip and K. N. Lai. Roles of Neutrophil Gelatinase-Associated Lipocalin in Continuous Ambulatory Peritoneal Dialysis-Related Peritonitis. Journal of clinical immunology, 29(3), 365-378. [18498]</w:t>
            </w:r>
          </w:p>
        </w:tc>
      </w:tr>
      <w:tr w:rsidR="002F0133" w:rsidRPr="000B4E2C" w14:paraId="0485D57B" w14:textId="77777777" w:rsidTr="000B4E2C">
        <w:trPr>
          <w:cantSplit/>
        </w:trPr>
        <w:tc>
          <w:tcPr>
            <w:tcW w:w="0" w:type="auto"/>
            <w:shd w:val="clear" w:color="auto" w:fill="auto"/>
            <w:noWrap/>
            <w:hideMark/>
          </w:tcPr>
          <w:p w14:paraId="23C9FD5A" w14:textId="77777777" w:rsidR="002F0133" w:rsidRPr="000B4E2C" w:rsidRDefault="002F0133" w:rsidP="008A7464">
            <w:pPr>
              <w:rPr>
                <w:lang w:eastAsia="en-GB"/>
              </w:rPr>
            </w:pPr>
            <w:r w:rsidRPr="000B4E2C">
              <w:rPr>
                <w:lang w:eastAsia="en-GB"/>
              </w:rPr>
              <w:t xml:space="preserve">Levante </w:t>
            </w:r>
          </w:p>
        </w:tc>
        <w:tc>
          <w:tcPr>
            <w:tcW w:w="0" w:type="auto"/>
            <w:shd w:val="clear" w:color="auto" w:fill="auto"/>
            <w:noWrap/>
            <w:hideMark/>
          </w:tcPr>
          <w:p w14:paraId="17092F5A"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566A5860" w14:textId="77777777" w:rsidR="002F0133" w:rsidRPr="000B4E2C" w:rsidRDefault="002F0133" w:rsidP="008A7464">
            <w:pPr>
              <w:rPr>
                <w:lang w:eastAsia="en-GB"/>
              </w:rPr>
            </w:pPr>
            <w:r w:rsidRPr="000B4E2C">
              <w:rPr>
                <w:lang w:eastAsia="en-GB"/>
              </w:rPr>
              <w:t>Pilot study or preliminary analysis only</w:t>
            </w:r>
          </w:p>
        </w:tc>
        <w:tc>
          <w:tcPr>
            <w:tcW w:w="0" w:type="auto"/>
            <w:shd w:val="clear" w:color="auto" w:fill="auto"/>
            <w:noWrap/>
            <w:hideMark/>
          </w:tcPr>
          <w:p w14:paraId="48CD3C0F" w14:textId="77777777" w:rsidR="002F0133" w:rsidRPr="000B4E2C" w:rsidRDefault="002F0133" w:rsidP="008A7464">
            <w:pPr>
              <w:rPr>
                <w:highlight w:val="green"/>
                <w:lang w:eastAsia="en-GB"/>
              </w:rPr>
            </w:pPr>
            <w:r w:rsidRPr="000B4E2C">
              <w:rPr>
                <w:highlight w:val="green"/>
                <w:lang w:eastAsia="en-GB"/>
              </w:rPr>
              <w:t>C. Levante, F. Ferrari, C. Manenti, F. Husain-Syed, M. Scarpa, T. H. Danesi, M. de Cal, V. Corradi, G. M. Virzi, A. Brendolan, F. Nalesso, P. Bezerra, S. Lopez-Giacoman, S. Samoni, M. Senzolo, D. Giavarina, L. Salvador, R. Bonato, S. de Rosa, E. Rettore and C. Ronco. Routine adoption of TIMP2 and IGFBP7 biomarkers in cardiac surgery for early identification of acute kidney injury. International Journal of Artificial Organs, 40(12), 714-718. [15971]</w:t>
            </w:r>
          </w:p>
        </w:tc>
      </w:tr>
      <w:tr w:rsidR="002F0133" w:rsidRPr="000B4E2C" w14:paraId="57B66D41" w14:textId="77777777" w:rsidTr="000B4E2C">
        <w:trPr>
          <w:cantSplit/>
        </w:trPr>
        <w:tc>
          <w:tcPr>
            <w:tcW w:w="0" w:type="auto"/>
            <w:shd w:val="clear" w:color="auto" w:fill="auto"/>
            <w:noWrap/>
            <w:hideMark/>
          </w:tcPr>
          <w:p w14:paraId="1D5B94D8" w14:textId="77777777" w:rsidR="002F0133" w:rsidRPr="000B4E2C" w:rsidRDefault="002F0133" w:rsidP="008A7464">
            <w:pPr>
              <w:rPr>
                <w:lang w:eastAsia="en-GB"/>
              </w:rPr>
            </w:pPr>
            <w:r w:rsidRPr="000B4E2C">
              <w:rPr>
                <w:lang w:eastAsia="en-GB"/>
              </w:rPr>
              <w:t>Levitsky</w:t>
            </w:r>
          </w:p>
        </w:tc>
        <w:tc>
          <w:tcPr>
            <w:tcW w:w="0" w:type="auto"/>
            <w:shd w:val="clear" w:color="auto" w:fill="auto"/>
            <w:noWrap/>
            <w:hideMark/>
          </w:tcPr>
          <w:p w14:paraId="5D69EF0B"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4046B43" w14:textId="7318C5A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893C340" w14:textId="77777777" w:rsidR="002F0133" w:rsidRPr="000B4E2C" w:rsidRDefault="002F0133" w:rsidP="008A7464">
            <w:pPr>
              <w:rPr>
                <w:highlight w:val="green"/>
                <w:lang w:eastAsia="en-GB"/>
              </w:rPr>
            </w:pPr>
            <w:r w:rsidRPr="000B4E2C">
              <w:rPr>
                <w:highlight w:val="green"/>
                <w:lang w:eastAsia="en-GB"/>
              </w:rPr>
              <w:t>J. Levitsky, T. B. Baker, C. Jie, S. Ahya, M. Levin, J. Friedewald, P. Al-Saden, D. R. Salomon and M. M. Abecassis. Plasma protein biomarkers enhance the clinical prediction of kidney injury recovery in patients undergoing liver transplantation. Hepatology (Baltimore, Md.), 60(6), 2017-2026. [15973]</w:t>
            </w:r>
          </w:p>
        </w:tc>
      </w:tr>
      <w:tr w:rsidR="002F0133" w:rsidRPr="000B4E2C" w14:paraId="11720F44" w14:textId="77777777" w:rsidTr="000B4E2C">
        <w:trPr>
          <w:cantSplit/>
        </w:trPr>
        <w:tc>
          <w:tcPr>
            <w:tcW w:w="0" w:type="auto"/>
            <w:shd w:val="clear" w:color="auto" w:fill="auto"/>
            <w:noWrap/>
            <w:hideMark/>
          </w:tcPr>
          <w:p w14:paraId="0C8A2BF6" w14:textId="77777777" w:rsidR="002F0133" w:rsidRPr="000B4E2C" w:rsidRDefault="002F0133" w:rsidP="008A7464">
            <w:pPr>
              <w:rPr>
                <w:lang w:eastAsia="en-GB"/>
              </w:rPr>
            </w:pPr>
            <w:r w:rsidRPr="000B4E2C">
              <w:rPr>
                <w:lang w:eastAsia="en-GB"/>
              </w:rPr>
              <w:t>Lewandowska</w:t>
            </w:r>
          </w:p>
        </w:tc>
        <w:tc>
          <w:tcPr>
            <w:tcW w:w="0" w:type="auto"/>
            <w:shd w:val="clear" w:color="auto" w:fill="auto"/>
            <w:noWrap/>
            <w:hideMark/>
          </w:tcPr>
          <w:p w14:paraId="2BC52B93"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6256A83" w14:textId="1A54EFC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47401B4" w14:textId="77777777" w:rsidR="002F0133" w:rsidRPr="000B4E2C" w:rsidRDefault="002F0133" w:rsidP="008A7464">
            <w:pPr>
              <w:rPr>
                <w:highlight w:val="green"/>
                <w:lang w:eastAsia="en-GB"/>
              </w:rPr>
            </w:pPr>
            <w:r w:rsidRPr="000B4E2C">
              <w:rPr>
                <w:highlight w:val="green"/>
                <w:lang w:eastAsia="en-GB"/>
              </w:rPr>
              <w:t>L. Lewandowska, J. Matuszkiewicz-Rowinska, C. Jayakumar, U. O. Jedynak, S. Looney, M. Galas, M. Dutkiewicz, M. Krawczyk and G. Ramesh. Netrin-1 and semaphorin 3A predict the development of acute kidney injury in liver transplant patients. PLoS ONE, 9(10), e107898. [15974]</w:t>
            </w:r>
          </w:p>
        </w:tc>
      </w:tr>
      <w:tr w:rsidR="002F0133" w:rsidRPr="000B4E2C" w14:paraId="32D4F0CB" w14:textId="77777777" w:rsidTr="000B4E2C">
        <w:trPr>
          <w:cantSplit/>
        </w:trPr>
        <w:tc>
          <w:tcPr>
            <w:tcW w:w="0" w:type="auto"/>
            <w:shd w:val="clear" w:color="auto" w:fill="auto"/>
            <w:noWrap/>
            <w:hideMark/>
          </w:tcPr>
          <w:p w14:paraId="5FC05202" w14:textId="77777777" w:rsidR="002F0133" w:rsidRPr="000B4E2C" w:rsidRDefault="002F0133" w:rsidP="008A7464">
            <w:pPr>
              <w:rPr>
                <w:lang w:eastAsia="en-GB"/>
              </w:rPr>
            </w:pPr>
            <w:r w:rsidRPr="000B4E2C">
              <w:rPr>
                <w:lang w:eastAsia="en-GB"/>
              </w:rPr>
              <w:lastRenderedPageBreak/>
              <w:t>Li</w:t>
            </w:r>
          </w:p>
        </w:tc>
        <w:tc>
          <w:tcPr>
            <w:tcW w:w="0" w:type="auto"/>
            <w:shd w:val="clear" w:color="auto" w:fill="auto"/>
            <w:noWrap/>
            <w:hideMark/>
          </w:tcPr>
          <w:p w14:paraId="7016FA4E"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3C8D6B89" w14:textId="5D585CE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8634183" w14:textId="77777777" w:rsidR="002F0133" w:rsidRPr="000B4E2C" w:rsidRDefault="002F0133" w:rsidP="008A7464">
            <w:pPr>
              <w:rPr>
                <w:highlight w:val="green"/>
                <w:lang w:eastAsia="en-GB"/>
              </w:rPr>
            </w:pPr>
            <w:r w:rsidRPr="000B4E2C">
              <w:rPr>
                <w:highlight w:val="green"/>
                <w:lang w:eastAsia="en-GB"/>
              </w:rPr>
              <w:t>Y. Li, M. Zhu, Q. Xia, S. Wang, J. Qian, R. Lu, M. Che, H. Dai, Q. Wu, Z. Ni, B. Lindholm, J. Axelsson and Y. Yan. Urinary neutrophil gelatinase-associated lipocalin and L-type fatty acid binding protein as diagnostic markers of early acute kidney injury after liver transplantation. Biomarkers, 17(4), 336-342. [15981]</w:t>
            </w:r>
          </w:p>
        </w:tc>
      </w:tr>
      <w:tr w:rsidR="002F0133" w:rsidRPr="000B4E2C" w14:paraId="58081955" w14:textId="77777777" w:rsidTr="000B4E2C">
        <w:trPr>
          <w:cantSplit/>
        </w:trPr>
        <w:tc>
          <w:tcPr>
            <w:tcW w:w="0" w:type="auto"/>
            <w:shd w:val="clear" w:color="auto" w:fill="auto"/>
            <w:noWrap/>
            <w:hideMark/>
          </w:tcPr>
          <w:p w14:paraId="2E266A0C" w14:textId="77777777" w:rsidR="002F0133" w:rsidRPr="000B4E2C" w:rsidRDefault="002F0133" w:rsidP="008A7464">
            <w:pPr>
              <w:rPr>
                <w:lang w:eastAsia="en-GB"/>
              </w:rPr>
            </w:pPr>
            <w:r w:rsidRPr="000B4E2C">
              <w:rPr>
                <w:lang w:eastAsia="en-GB"/>
              </w:rPr>
              <w:t>Li</w:t>
            </w:r>
          </w:p>
        </w:tc>
        <w:tc>
          <w:tcPr>
            <w:tcW w:w="0" w:type="auto"/>
            <w:shd w:val="clear" w:color="auto" w:fill="auto"/>
            <w:noWrap/>
            <w:hideMark/>
          </w:tcPr>
          <w:p w14:paraId="12BF2115"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964EA7C" w14:textId="77777777" w:rsidR="002F0133" w:rsidRPr="000B4E2C" w:rsidRDefault="002F0133" w:rsidP="008A7464">
            <w:pPr>
              <w:rPr>
                <w:lang w:eastAsia="en-GB"/>
              </w:rPr>
            </w:pPr>
            <w:r w:rsidRPr="000B4E2C">
              <w:rPr>
                <w:lang w:eastAsia="en-GB"/>
              </w:rPr>
              <w:t>Non-English publication</w:t>
            </w:r>
          </w:p>
        </w:tc>
        <w:tc>
          <w:tcPr>
            <w:tcW w:w="0" w:type="auto"/>
            <w:shd w:val="clear" w:color="auto" w:fill="auto"/>
            <w:noWrap/>
            <w:hideMark/>
          </w:tcPr>
          <w:p w14:paraId="3F84784E" w14:textId="77777777" w:rsidR="002F0133" w:rsidRPr="000B4E2C" w:rsidRDefault="002F0133" w:rsidP="008A7464">
            <w:pPr>
              <w:rPr>
                <w:highlight w:val="green"/>
                <w:lang w:eastAsia="en-GB"/>
              </w:rPr>
            </w:pPr>
            <w:r w:rsidRPr="000B4E2C">
              <w:rPr>
                <w:highlight w:val="green"/>
                <w:lang w:eastAsia="en-GB"/>
              </w:rPr>
              <w:t>J. Li, H. Zhang, Y. Shang and S. Cao. [The study of early diagnosis and prognostic effect using detection of NGAL in community acquired pneumonia with acute kidney injury]. Zhonghua wei zhong bing ji jiu yi xue, 26(4), 269-71. [15979]</w:t>
            </w:r>
          </w:p>
        </w:tc>
      </w:tr>
      <w:tr w:rsidR="002F0133" w:rsidRPr="000B4E2C" w14:paraId="1E6FD935" w14:textId="77777777" w:rsidTr="000B4E2C">
        <w:trPr>
          <w:cantSplit/>
        </w:trPr>
        <w:tc>
          <w:tcPr>
            <w:tcW w:w="0" w:type="auto"/>
            <w:shd w:val="clear" w:color="auto" w:fill="auto"/>
            <w:noWrap/>
            <w:hideMark/>
          </w:tcPr>
          <w:p w14:paraId="49C0B948" w14:textId="77777777" w:rsidR="002F0133" w:rsidRPr="000B4E2C" w:rsidRDefault="002F0133" w:rsidP="008A7464">
            <w:pPr>
              <w:rPr>
                <w:lang w:eastAsia="en-GB"/>
              </w:rPr>
            </w:pPr>
            <w:r w:rsidRPr="000B4E2C">
              <w:rPr>
                <w:lang w:eastAsia="en-GB"/>
              </w:rPr>
              <w:t>Li</w:t>
            </w:r>
          </w:p>
        </w:tc>
        <w:tc>
          <w:tcPr>
            <w:tcW w:w="0" w:type="auto"/>
            <w:shd w:val="clear" w:color="auto" w:fill="auto"/>
            <w:noWrap/>
            <w:hideMark/>
          </w:tcPr>
          <w:p w14:paraId="0190CC1D"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2AF3168E"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AB50AE5" w14:textId="77777777" w:rsidR="002F0133" w:rsidRPr="000B4E2C" w:rsidRDefault="002F0133" w:rsidP="008A7464">
            <w:pPr>
              <w:rPr>
                <w:highlight w:val="green"/>
                <w:lang w:eastAsia="en-GB"/>
              </w:rPr>
            </w:pPr>
            <w:r w:rsidRPr="000B4E2C">
              <w:rPr>
                <w:highlight w:val="green"/>
                <w:lang w:eastAsia="en-GB"/>
              </w:rPr>
              <w:t>H. Li, Z. Yu, L. Gan, L. Peng and Q. Zhou. Serum NGAL and FGF23 may have certain value in early diagnosis of CIN. Renal failure, 40(1), 547-553. [15977]</w:t>
            </w:r>
          </w:p>
        </w:tc>
      </w:tr>
      <w:tr w:rsidR="002F0133" w:rsidRPr="000B4E2C" w14:paraId="7A77B205" w14:textId="77777777" w:rsidTr="000B4E2C">
        <w:trPr>
          <w:cantSplit/>
        </w:trPr>
        <w:tc>
          <w:tcPr>
            <w:tcW w:w="0" w:type="auto"/>
            <w:shd w:val="clear" w:color="auto" w:fill="auto"/>
            <w:noWrap/>
            <w:hideMark/>
          </w:tcPr>
          <w:p w14:paraId="43EC9886" w14:textId="77777777" w:rsidR="002F0133" w:rsidRPr="000B4E2C" w:rsidRDefault="002F0133" w:rsidP="008A7464">
            <w:pPr>
              <w:rPr>
                <w:lang w:eastAsia="en-GB"/>
              </w:rPr>
            </w:pPr>
            <w:r w:rsidRPr="000B4E2C">
              <w:rPr>
                <w:lang w:eastAsia="en-GB"/>
              </w:rPr>
              <w:t>Liangos</w:t>
            </w:r>
          </w:p>
        </w:tc>
        <w:tc>
          <w:tcPr>
            <w:tcW w:w="0" w:type="auto"/>
            <w:shd w:val="clear" w:color="auto" w:fill="auto"/>
            <w:noWrap/>
            <w:hideMark/>
          </w:tcPr>
          <w:p w14:paraId="66A43773"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44F030C3"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4D8B7797" w14:textId="77777777" w:rsidR="002F0133" w:rsidRPr="000B4E2C" w:rsidRDefault="002F0133" w:rsidP="008A7464">
            <w:pPr>
              <w:rPr>
                <w:highlight w:val="green"/>
                <w:lang w:eastAsia="en-GB"/>
              </w:rPr>
            </w:pPr>
            <w:r w:rsidRPr="000B4E2C">
              <w:rPr>
                <w:highlight w:val="green"/>
                <w:lang w:eastAsia="en-GB"/>
              </w:rPr>
              <w:t>O. Liangos, H. Tighiouart, M. C. Perianayagam, A. Kolyada, W. K. Han, R. Wald, J. V. Bonventre and B. L. Jaber. Comparative analysis of urinary biomarkers for early detection of acute kidney injury following cardiopulmonary bypass. Biomarkers, 14(6), 423-431. [15987]</w:t>
            </w:r>
          </w:p>
        </w:tc>
      </w:tr>
      <w:tr w:rsidR="002F0133" w:rsidRPr="000B4E2C" w14:paraId="00536496" w14:textId="77777777" w:rsidTr="000B4E2C">
        <w:trPr>
          <w:cantSplit/>
        </w:trPr>
        <w:tc>
          <w:tcPr>
            <w:tcW w:w="0" w:type="auto"/>
            <w:shd w:val="clear" w:color="auto" w:fill="auto"/>
            <w:noWrap/>
            <w:hideMark/>
          </w:tcPr>
          <w:p w14:paraId="5CF565AC" w14:textId="77777777" w:rsidR="002F0133" w:rsidRPr="000B4E2C" w:rsidRDefault="002F0133" w:rsidP="008A7464">
            <w:pPr>
              <w:rPr>
                <w:lang w:eastAsia="en-GB"/>
              </w:rPr>
            </w:pPr>
            <w:r w:rsidRPr="000B4E2C">
              <w:rPr>
                <w:lang w:eastAsia="en-GB"/>
              </w:rPr>
              <w:t>Liangos</w:t>
            </w:r>
          </w:p>
        </w:tc>
        <w:tc>
          <w:tcPr>
            <w:tcW w:w="0" w:type="auto"/>
            <w:shd w:val="clear" w:color="auto" w:fill="auto"/>
            <w:noWrap/>
            <w:hideMark/>
          </w:tcPr>
          <w:p w14:paraId="4D4A5B10"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38945E03" w14:textId="77777777" w:rsidR="002F0133" w:rsidRPr="000B4E2C" w:rsidRDefault="002F0133" w:rsidP="008A7464">
            <w:pPr>
              <w:rPr>
                <w:lang w:eastAsia="en-GB"/>
              </w:rPr>
            </w:pPr>
            <w:r w:rsidRPr="000B4E2C">
              <w:rPr>
                <w:lang w:eastAsia="en-GB"/>
              </w:rPr>
              <w:t>Pilot study or preliminary analysis only</w:t>
            </w:r>
          </w:p>
        </w:tc>
        <w:tc>
          <w:tcPr>
            <w:tcW w:w="0" w:type="auto"/>
            <w:shd w:val="clear" w:color="auto" w:fill="auto"/>
            <w:noWrap/>
            <w:hideMark/>
          </w:tcPr>
          <w:p w14:paraId="2EE773D4" w14:textId="77777777" w:rsidR="002F0133" w:rsidRPr="000B4E2C" w:rsidRDefault="002F0133" w:rsidP="008A7464">
            <w:pPr>
              <w:rPr>
                <w:highlight w:val="green"/>
                <w:lang w:eastAsia="en-GB"/>
              </w:rPr>
            </w:pPr>
            <w:r w:rsidRPr="000B4E2C">
              <w:rPr>
                <w:highlight w:val="green"/>
                <w:lang w:eastAsia="en-GB"/>
              </w:rPr>
              <w:t>Liangos O, Tighiouart H, Perianayagam MC, Kolyada A, Han WK, Wald R, et al. . Comparative analysis of urinary biomarkers for early detection of acute kidney injury following cardiopulmonary bypass. . Biomarkers 2009;14:423–31. https://doi.org/10.1080/13547500903067744. [3938]</w:t>
            </w:r>
          </w:p>
        </w:tc>
      </w:tr>
      <w:tr w:rsidR="002F0133" w:rsidRPr="000B4E2C" w14:paraId="09AC2BEC" w14:textId="77777777" w:rsidTr="000B4E2C">
        <w:trPr>
          <w:cantSplit/>
        </w:trPr>
        <w:tc>
          <w:tcPr>
            <w:tcW w:w="0" w:type="auto"/>
            <w:shd w:val="clear" w:color="auto" w:fill="auto"/>
            <w:noWrap/>
            <w:hideMark/>
          </w:tcPr>
          <w:p w14:paraId="1A46766E" w14:textId="77777777" w:rsidR="002F0133" w:rsidRPr="000B4E2C" w:rsidRDefault="002F0133" w:rsidP="008A7464">
            <w:pPr>
              <w:rPr>
                <w:lang w:eastAsia="en-GB"/>
              </w:rPr>
            </w:pPr>
            <w:r w:rsidRPr="000B4E2C">
              <w:rPr>
                <w:lang w:eastAsia="en-GB"/>
              </w:rPr>
              <w:t>Liao</w:t>
            </w:r>
          </w:p>
        </w:tc>
        <w:tc>
          <w:tcPr>
            <w:tcW w:w="0" w:type="auto"/>
            <w:shd w:val="clear" w:color="auto" w:fill="auto"/>
            <w:noWrap/>
            <w:hideMark/>
          </w:tcPr>
          <w:p w14:paraId="1C3A2CB0"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7ED10BCB"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4BE7570" w14:textId="77777777" w:rsidR="002F0133" w:rsidRPr="000B4E2C" w:rsidRDefault="002F0133" w:rsidP="008A7464">
            <w:pPr>
              <w:rPr>
                <w:highlight w:val="green"/>
                <w:lang w:eastAsia="en-GB"/>
              </w:rPr>
            </w:pPr>
            <w:r w:rsidRPr="000B4E2C">
              <w:rPr>
                <w:highlight w:val="green"/>
                <w:lang w:eastAsia="en-GB"/>
              </w:rPr>
              <w:t>B. Liao, W. Nian, A. Xi and M. Zheng. Evaluation of a diagnostic test of serum neutrophil gelatinase-associated lipocalin (NGAL) and urine KIM-1 in contrast-induced nephropathy (CIN). Medical Science Monitor, 25(565-570. [15989]</w:t>
            </w:r>
          </w:p>
        </w:tc>
      </w:tr>
      <w:tr w:rsidR="002F0133" w:rsidRPr="000B4E2C" w14:paraId="554F4281" w14:textId="77777777" w:rsidTr="000B4E2C">
        <w:trPr>
          <w:cantSplit/>
        </w:trPr>
        <w:tc>
          <w:tcPr>
            <w:tcW w:w="0" w:type="auto"/>
            <w:shd w:val="clear" w:color="auto" w:fill="auto"/>
            <w:noWrap/>
            <w:hideMark/>
          </w:tcPr>
          <w:p w14:paraId="2D1DB53B" w14:textId="77777777" w:rsidR="002F0133" w:rsidRPr="000B4E2C" w:rsidRDefault="002F0133" w:rsidP="008A7464">
            <w:pPr>
              <w:rPr>
                <w:lang w:eastAsia="en-GB"/>
              </w:rPr>
            </w:pPr>
            <w:r w:rsidRPr="000B4E2C">
              <w:rPr>
                <w:lang w:eastAsia="en-GB"/>
              </w:rPr>
              <w:t>Liborio</w:t>
            </w:r>
          </w:p>
        </w:tc>
        <w:tc>
          <w:tcPr>
            <w:tcW w:w="0" w:type="auto"/>
            <w:shd w:val="clear" w:color="auto" w:fill="auto"/>
            <w:noWrap/>
            <w:hideMark/>
          </w:tcPr>
          <w:p w14:paraId="67BE709F"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FF37BF3" w14:textId="42A354F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AE6DA3E" w14:textId="77777777" w:rsidR="002F0133" w:rsidRPr="000B4E2C" w:rsidRDefault="002F0133" w:rsidP="008A7464">
            <w:pPr>
              <w:rPr>
                <w:highlight w:val="green"/>
                <w:lang w:eastAsia="en-GB"/>
              </w:rPr>
            </w:pPr>
            <w:r w:rsidRPr="000B4E2C">
              <w:rPr>
                <w:highlight w:val="green"/>
                <w:lang w:eastAsia="en-GB"/>
              </w:rPr>
              <w:t>A. B. Liborio, M. B. M. Braz, A. C. Seguro, G. C. Meneses, F. M. De Oliveira Neves, D. C. Pedrosa, L. P. De Goes Cavalcanti, A. M. C. Martins and E. De Francesco Daher. Endothelial glycocalyx damage is associated with leptospirosis acute kidney injury. American Journal of Tropical Medicine and Hygiene, 92(3), 611-616. [15990]</w:t>
            </w:r>
          </w:p>
        </w:tc>
      </w:tr>
      <w:tr w:rsidR="002F0133" w:rsidRPr="000B4E2C" w14:paraId="7998D2C3" w14:textId="77777777" w:rsidTr="000B4E2C">
        <w:trPr>
          <w:cantSplit/>
        </w:trPr>
        <w:tc>
          <w:tcPr>
            <w:tcW w:w="0" w:type="auto"/>
            <w:shd w:val="clear" w:color="auto" w:fill="auto"/>
            <w:noWrap/>
            <w:hideMark/>
          </w:tcPr>
          <w:p w14:paraId="5CB741BA" w14:textId="77777777" w:rsidR="002F0133" w:rsidRPr="000B4E2C" w:rsidRDefault="002F0133" w:rsidP="008A7464">
            <w:pPr>
              <w:rPr>
                <w:lang w:eastAsia="en-GB"/>
              </w:rPr>
            </w:pPr>
            <w:r w:rsidRPr="000B4E2C">
              <w:rPr>
                <w:lang w:eastAsia="en-GB"/>
              </w:rPr>
              <w:t>Lichosik</w:t>
            </w:r>
          </w:p>
        </w:tc>
        <w:tc>
          <w:tcPr>
            <w:tcW w:w="0" w:type="auto"/>
            <w:shd w:val="clear" w:color="auto" w:fill="auto"/>
            <w:noWrap/>
            <w:hideMark/>
          </w:tcPr>
          <w:p w14:paraId="7D6167DD"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CDA8DB0" w14:textId="712D20A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77A4AEB" w14:textId="77777777" w:rsidR="002F0133" w:rsidRPr="000B4E2C" w:rsidRDefault="002F0133" w:rsidP="008A7464">
            <w:pPr>
              <w:rPr>
                <w:highlight w:val="green"/>
                <w:lang w:eastAsia="en-GB"/>
              </w:rPr>
            </w:pPr>
            <w:r w:rsidRPr="000B4E2C">
              <w:rPr>
                <w:highlight w:val="green"/>
                <w:lang w:eastAsia="en-GB"/>
              </w:rPr>
              <w:t>M. Lichosik, A. Jung, K. Jobs, A. Mierzejewska, R. Zdanowski and B. Kalicki. Interleukin 18 and neutrophil-gelatinase associated lipocalin in assessment of the risk of contrast-induced nephropathy in children. Central European Journal of Immunology, 40(4), 447-453. [15991]</w:t>
            </w:r>
          </w:p>
        </w:tc>
      </w:tr>
      <w:tr w:rsidR="002F0133" w:rsidRPr="000B4E2C" w14:paraId="43E0559A" w14:textId="77777777" w:rsidTr="000B4E2C">
        <w:trPr>
          <w:cantSplit/>
        </w:trPr>
        <w:tc>
          <w:tcPr>
            <w:tcW w:w="0" w:type="auto"/>
            <w:shd w:val="clear" w:color="auto" w:fill="auto"/>
            <w:noWrap/>
            <w:hideMark/>
          </w:tcPr>
          <w:p w14:paraId="76DA8849" w14:textId="77777777" w:rsidR="002F0133" w:rsidRPr="000B4E2C" w:rsidRDefault="002F0133" w:rsidP="008A7464">
            <w:pPr>
              <w:rPr>
                <w:lang w:eastAsia="en-GB"/>
              </w:rPr>
            </w:pPr>
            <w:r w:rsidRPr="000B4E2C">
              <w:rPr>
                <w:lang w:eastAsia="en-GB"/>
              </w:rPr>
              <w:t>Lim</w:t>
            </w:r>
          </w:p>
        </w:tc>
        <w:tc>
          <w:tcPr>
            <w:tcW w:w="0" w:type="auto"/>
            <w:shd w:val="clear" w:color="auto" w:fill="auto"/>
            <w:noWrap/>
            <w:hideMark/>
          </w:tcPr>
          <w:p w14:paraId="38AB45B1"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1D9D63CE"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3A0A9AC5" w14:textId="77777777" w:rsidR="002F0133" w:rsidRPr="000B4E2C" w:rsidRDefault="002F0133" w:rsidP="008A7464">
            <w:pPr>
              <w:rPr>
                <w:highlight w:val="green"/>
                <w:lang w:eastAsia="en-GB"/>
              </w:rPr>
            </w:pPr>
            <w:r w:rsidRPr="000B4E2C">
              <w:rPr>
                <w:highlight w:val="green"/>
                <w:lang w:eastAsia="en-GB"/>
              </w:rPr>
              <w:t>Y.-M. Lim, J. Y. Moon, D. Min, S.-H. Kim, W.-I. Yang, W.-J. Kim, J.-H. Sung, I. J. Kim, S.-W. Lim and D.-H. Cha. Serial measurements of neutrophil gelatinase-associated lipocalin: prognostic value in patients with ST-segment elevation myocardial infarction treated with a primary percutaneous coronary intervention. Coronary artery disease, 28(8), 690-696. [18500]</w:t>
            </w:r>
          </w:p>
        </w:tc>
      </w:tr>
      <w:tr w:rsidR="002F0133" w:rsidRPr="000B4E2C" w14:paraId="02DE550D" w14:textId="77777777" w:rsidTr="000B4E2C">
        <w:trPr>
          <w:cantSplit/>
        </w:trPr>
        <w:tc>
          <w:tcPr>
            <w:tcW w:w="0" w:type="auto"/>
            <w:shd w:val="clear" w:color="auto" w:fill="auto"/>
            <w:noWrap/>
            <w:hideMark/>
          </w:tcPr>
          <w:p w14:paraId="1040CD37" w14:textId="77777777" w:rsidR="002F0133" w:rsidRPr="000B4E2C" w:rsidRDefault="002F0133" w:rsidP="008A7464">
            <w:pPr>
              <w:rPr>
                <w:lang w:eastAsia="en-GB"/>
              </w:rPr>
            </w:pPr>
            <w:r w:rsidRPr="000B4E2C">
              <w:rPr>
                <w:lang w:eastAsia="en-GB"/>
              </w:rPr>
              <w:t>Lin</w:t>
            </w:r>
          </w:p>
        </w:tc>
        <w:tc>
          <w:tcPr>
            <w:tcW w:w="0" w:type="auto"/>
            <w:shd w:val="clear" w:color="auto" w:fill="auto"/>
            <w:noWrap/>
            <w:hideMark/>
          </w:tcPr>
          <w:p w14:paraId="210D6969"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1A919DFD"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F66B944" w14:textId="77777777" w:rsidR="002F0133" w:rsidRPr="000B4E2C" w:rsidRDefault="002F0133" w:rsidP="008A7464">
            <w:pPr>
              <w:rPr>
                <w:highlight w:val="green"/>
                <w:lang w:eastAsia="en-GB"/>
              </w:rPr>
            </w:pPr>
            <w:r w:rsidRPr="000B4E2C">
              <w:rPr>
                <w:highlight w:val="green"/>
                <w:lang w:eastAsia="en-GB"/>
              </w:rPr>
              <w:t>H. Y. H. Lin, S. C. Lee, S. F. Lin, H. H. Hsiao, Y. C. Liu, W. C. Yang, D. Y. Hwang, C. C. Hung, H. C. Chen and J. Y. Guh. Urinary neutrophil gelatinase-associated lipocalin levels predict cisplatin-induced acute kidney injury better than albuminuria or urinary cystatin C levels. Kaohsiung Journal of Medical Sciences, 29(6), 304-311. [16001]</w:t>
            </w:r>
          </w:p>
        </w:tc>
      </w:tr>
      <w:tr w:rsidR="002F0133" w:rsidRPr="000B4E2C" w14:paraId="205C9B04" w14:textId="77777777" w:rsidTr="000B4E2C">
        <w:trPr>
          <w:cantSplit/>
        </w:trPr>
        <w:tc>
          <w:tcPr>
            <w:tcW w:w="0" w:type="auto"/>
            <w:shd w:val="clear" w:color="auto" w:fill="auto"/>
            <w:noWrap/>
            <w:hideMark/>
          </w:tcPr>
          <w:p w14:paraId="2671840E" w14:textId="77777777" w:rsidR="002F0133" w:rsidRPr="000B4E2C" w:rsidRDefault="002F0133" w:rsidP="008A7464">
            <w:pPr>
              <w:rPr>
                <w:lang w:eastAsia="en-GB"/>
              </w:rPr>
            </w:pPr>
            <w:r w:rsidRPr="000B4E2C">
              <w:rPr>
                <w:lang w:eastAsia="en-GB"/>
              </w:rPr>
              <w:t>Lin</w:t>
            </w:r>
          </w:p>
        </w:tc>
        <w:tc>
          <w:tcPr>
            <w:tcW w:w="0" w:type="auto"/>
            <w:shd w:val="clear" w:color="auto" w:fill="auto"/>
            <w:noWrap/>
            <w:hideMark/>
          </w:tcPr>
          <w:p w14:paraId="6BE3C6A1"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C481284"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13FB0788" w14:textId="77777777" w:rsidR="002F0133" w:rsidRPr="000B4E2C" w:rsidRDefault="002F0133" w:rsidP="008A7464">
            <w:pPr>
              <w:rPr>
                <w:highlight w:val="green"/>
                <w:lang w:eastAsia="en-GB"/>
              </w:rPr>
            </w:pPr>
            <w:r w:rsidRPr="000B4E2C">
              <w:rPr>
                <w:highlight w:val="green"/>
                <w:lang w:eastAsia="en-GB"/>
              </w:rPr>
              <w:t>Q. Lin and J. H. Mao. Early prediction of acute kidney injury in children: Known biomarkers but novel combination. World Journal of Pediatrics, 14(6), 617-620. [16002]</w:t>
            </w:r>
          </w:p>
        </w:tc>
      </w:tr>
      <w:tr w:rsidR="002F0133" w:rsidRPr="000B4E2C" w14:paraId="042AF451" w14:textId="77777777" w:rsidTr="000B4E2C">
        <w:trPr>
          <w:cantSplit/>
        </w:trPr>
        <w:tc>
          <w:tcPr>
            <w:tcW w:w="0" w:type="auto"/>
            <w:shd w:val="clear" w:color="auto" w:fill="auto"/>
            <w:noWrap/>
            <w:hideMark/>
          </w:tcPr>
          <w:p w14:paraId="1BB39B2F" w14:textId="77777777" w:rsidR="002F0133" w:rsidRPr="000B4E2C" w:rsidRDefault="002F0133" w:rsidP="008A7464">
            <w:pPr>
              <w:rPr>
                <w:lang w:eastAsia="en-GB"/>
              </w:rPr>
            </w:pPr>
            <w:r w:rsidRPr="000B4E2C">
              <w:rPr>
                <w:lang w:eastAsia="en-GB"/>
              </w:rPr>
              <w:lastRenderedPageBreak/>
              <w:t>Lindberg</w:t>
            </w:r>
          </w:p>
        </w:tc>
        <w:tc>
          <w:tcPr>
            <w:tcW w:w="0" w:type="auto"/>
            <w:shd w:val="clear" w:color="auto" w:fill="auto"/>
            <w:noWrap/>
            <w:hideMark/>
          </w:tcPr>
          <w:p w14:paraId="54550C6D"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DCA8DD5"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EB01539" w14:textId="77777777" w:rsidR="002F0133" w:rsidRPr="000B4E2C" w:rsidRDefault="002F0133" w:rsidP="008A7464">
            <w:pPr>
              <w:rPr>
                <w:highlight w:val="green"/>
                <w:lang w:eastAsia="en-GB"/>
              </w:rPr>
            </w:pPr>
            <w:r w:rsidRPr="000B4E2C">
              <w:rPr>
                <w:highlight w:val="green"/>
                <w:lang w:val="da-DK" w:eastAsia="en-GB"/>
              </w:rPr>
              <w:t xml:space="preserve">S. Lindberg, J. S. Jensen, S. Hoffmann, A. Z. Iversen, S. H. Pedersen, T. Biering-Sorensen, S. Galatius, A. Flyvbjerg, R. Mogelvang and N. E. Magnusson. </w:t>
            </w:r>
            <w:r w:rsidRPr="000B4E2C">
              <w:rPr>
                <w:highlight w:val="green"/>
                <w:lang w:eastAsia="en-GB"/>
              </w:rPr>
              <w:t>Plasma neutrophil gelatinase-associated lipocalin reflects both inflammation and kidney function in patients with myocardial infarction. CardioRenal Medicine, 6(3), 180-190. [16003]</w:t>
            </w:r>
          </w:p>
        </w:tc>
      </w:tr>
      <w:tr w:rsidR="002F0133" w:rsidRPr="000B4E2C" w14:paraId="04D13507" w14:textId="77777777" w:rsidTr="000B4E2C">
        <w:trPr>
          <w:cantSplit/>
        </w:trPr>
        <w:tc>
          <w:tcPr>
            <w:tcW w:w="0" w:type="auto"/>
            <w:shd w:val="clear" w:color="auto" w:fill="auto"/>
            <w:noWrap/>
            <w:hideMark/>
          </w:tcPr>
          <w:p w14:paraId="7EEB7B46" w14:textId="77777777" w:rsidR="002F0133" w:rsidRPr="000B4E2C" w:rsidRDefault="002F0133" w:rsidP="008A7464">
            <w:pPr>
              <w:rPr>
                <w:lang w:eastAsia="en-GB"/>
              </w:rPr>
            </w:pPr>
            <w:r w:rsidRPr="000B4E2C">
              <w:rPr>
                <w:lang w:eastAsia="en-GB"/>
              </w:rPr>
              <w:t xml:space="preserve">Lindberg </w:t>
            </w:r>
          </w:p>
        </w:tc>
        <w:tc>
          <w:tcPr>
            <w:tcW w:w="0" w:type="auto"/>
            <w:shd w:val="clear" w:color="auto" w:fill="auto"/>
            <w:noWrap/>
            <w:hideMark/>
          </w:tcPr>
          <w:p w14:paraId="2AE520F2"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332DA8C6"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9B08AFE" w14:textId="77777777" w:rsidR="002F0133" w:rsidRPr="000B4E2C" w:rsidRDefault="002F0133" w:rsidP="008A7464">
            <w:pPr>
              <w:rPr>
                <w:highlight w:val="green"/>
                <w:lang w:eastAsia="en-GB"/>
              </w:rPr>
            </w:pPr>
            <w:r w:rsidRPr="000B4E2C">
              <w:rPr>
                <w:highlight w:val="green"/>
                <w:lang w:val="da-DK" w:eastAsia="en-GB"/>
              </w:rPr>
              <w:t xml:space="preserve">S. Lindberg, S. H. Pedersen, R. Mogelvang, J. S. Jensen, A. Flyvbjerg, S. Galatius and N. E. Magnusson. </w:t>
            </w:r>
            <w:r w:rsidRPr="000B4E2C">
              <w:rPr>
                <w:highlight w:val="green"/>
                <w:lang w:eastAsia="en-GB"/>
              </w:rPr>
              <w:t>Prognostic utility of neutrophil gelatinase-associated lipocalin in predicting mortality and cardiovascular events in patients with ST-segment elevation myocardial infarction treated with primary percutaneous coronary intervention. Journal of the American College of Cardiology, 60(4), 339-345. [16004]</w:t>
            </w:r>
          </w:p>
        </w:tc>
      </w:tr>
      <w:tr w:rsidR="002F0133" w:rsidRPr="000B4E2C" w14:paraId="613B0223" w14:textId="77777777" w:rsidTr="000B4E2C">
        <w:trPr>
          <w:cantSplit/>
        </w:trPr>
        <w:tc>
          <w:tcPr>
            <w:tcW w:w="0" w:type="auto"/>
            <w:shd w:val="clear" w:color="auto" w:fill="auto"/>
            <w:noWrap/>
            <w:hideMark/>
          </w:tcPr>
          <w:p w14:paraId="68EBFFAB" w14:textId="77777777" w:rsidR="002F0133" w:rsidRPr="000B4E2C" w:rsidRDefault="002F0133" w:rsidP="008A7464">
            <w:pPr>
              <w:rPr>
                <w:lang w:eastAsia="en-GB"/>
              </w:rPr>
            </w:pPr>
            <w:r w:rsidRPr="000B4E2C">
              <w:rPr>
                <w:lang w:eastAsia="en-GB"/>
              </w:rPr>
              <w:t>Lindsey-Yoojin</w:t>
            </w:r>
          </w:p>
        </w:tc>
        <w:tc>
          <w:tcPr>
            <w:tcW w:w="0" w:type="auto"/>
            <w:shd w:val="clear" w:color="auto" w:fill="auto"/>
            <w:noWrap/>
            <w:hideMark/>
          </w:tcPr>
          <w:p w14:paraId="40BC30D1"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0EA998C5"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1B56850D" w14:textId="77777777" w:rsidR="002F0133" w:rsidRPr="000B4E2C" w:rsidRDefault="002F0133" w:rsidP="008A7464">
            <w:pPr>
              <w:rPr>
                <w:highlight w:val="green"/>
                <w:lang w:eastAsia="en-GB"/>
              </w:rPr>
            </w:pPr>
            <w:r w:rsidRPr="000B4E2C">
              <w:rPr>
                <w:highlight w:val="green"/>
                <w:lang w:eastAsia="en-GB"/>
              </w:rPr>
              <w:t>C. Lindsey-Yoojin, C. Won-Sik, C. Eui-Kyung, S. Jeonghee, Y. I. M. Hyung-Eun and C. Byung-Min. Clinical Utility of Rapid Plasma Neutrophil Gelatinase-Associated Lipocalin Assays for Diagnosing Acute Kidney Injury in Critically Ill Newborn Infants. Neonatal Medicine, 164-170. [6167]</w:t>
            </w:r>
          </w:p>
        </w:tc>
      </w:tr>
      <w:tr w:rsidR="002F0133" w:rsidRPr="000B4E2C" w14:paraId="70786B8F" w14:textId="77777777" w:rsidTr="000B4E2C">
        <w:trPr>
          <w:cantSplit/>
        </w:trPr>
        <w:tc>
          <w:tcPr>
            <w:tcW w:w="0" w:type="auto"/>
            <w:shd w:val="clear" w:color="auto" w:fill="auto"/>
            <w:noWrap/>
            <w:hideMark/>
          </w:tcPr>
          <w:p w14:paraId="2FCDDE52" w14:textId="77777777" w:rsidR="002F0133" w:rsidRPr="000B4E2C" w:rsidRDefault="002F0133" w:rsidP="008A7464">
            <w:pPr>
              <w:rPr>
                <w:lang w:eastAsia="en-GB"/>
              </w:rPr>
            </w:pPr>
            <w:r w:rsidRPr="000B4E2C">
              <w:rPr>
                <w:lang w:eastAsia="en-GB"/>
              </w:rPr>
              <w:t>Ling</w:t>
            </w:r>
          </w:p>
        </w:tc>
        <w:tc>
          <w:tcPr>
            <w:tcW w:w="0" w:type="auto"/>
            <w:shd w:val="clear" w:color="auto" w:fill="auto"/>
            <w:noWrap/>
            <w:hideMark/>
          </w:tcPr>
          <w:p w14:paraId="07D6AEF5"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5202A533"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A887835" w14:textId="77777777" w:rsidR="002F0133" w:rsidRPr="000B4E2C" w:rsidRDefault="002F0133" w:rsidP="008A7464">
            <w:pPr>
              <w:rPr>
                <w:highlight w:val="green"/>
                <w:lang w:eastAsia="en-GB"/>
              </w:rPr>
            </w:pPr>
            <w:r w:rsidRPr="000B4E2C">
              <w:rPr>
                <w:highlight w:val="green"/>
                <w:lang w:eastAsia="en-GB"/>
              </w:rPr>
              <w:t>W. Ling, N. Zhaohui, H. Ben, G. Leyi, L. Jianping, D. Huili and Q. Jiaqi. Urinary IL-18 and NGAL as early predictive biomarkers in contrast-induced nephropathy after coronary angiography. Nephron - Clinical Practice, 108(3), c176-c181. [16005]</w:t>
            </w:r>
          </w:p>
        </w:tc>
      </w:tr>
      <w:tr w:rsidR="002F0133" w:rsidRPr="000B4E2C" w14:paraId="50552ADA" w14:textId="77777777" w:rsidTr="000B4E2C">
        <w:trPr>
          <w:cantSplit/>
        </w:trPr>
        <w:tc>
          <w:tcPr>
            <w:tcW w:w="0" w:type="auto"/>
            <w:shd w:val="clear" w:color="auto" w:fill="auto"/>
            <w:noWrap/>
            <w:hideMark/>
          </w:tcPr>
          <w:p w14:paraId="56C332C7" w14:textId="77777777" w:rsidR="002F0133" w:rsidRPr="000B4E2C" w:rsidRDefault="002F0133" w:rsidP="008A7464">
            <w:pPr>
              <w:rPr>
                <w:lang w:eastAsia="en-GB"/>
              </w:rPr>
            </w:pPr>
            <w:r w:rsidRPr="000B4E2C">
              <w:rPr>
                <w:lang w:eastAsia="en-GB"/>
              </w:rPr>
              <w:t>Ling</w:t>
            </w:r>
          </w:p>
        </w:tc>
        <w:tc>
          <w:tcPr>
            <w:tcW w:w="0" w:type="auto"/>
            <w:shd w:val="clear" w:color="auto" w:fill="auto"/>
            <w:noWrap/>
            <w:hideMark/>
          </w:tcPr>
          <w:p w14:paraId="197FD071"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576C31DA"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CC157E0" w14:textId="77777777" w:rsidR="002F0133" w:rsidRPr="000B4E2C" w:rsidRDefault="002F0133" w:rsidP="008A7464">
            <w:pPr>
              <w:rPr>
                <w:highlight w:val="green"/>
                <w:lang w:eastAsia="en-GB"/>
              </w:rPr>
            </w:pPr>
            <w:r w:rsidRPr="000B4E2C">
              <w:rPr>
                <w:highlight w:val="green"/>
                <w:lang w:eastAsia="en-GB"/>
              </w:rPr>
              <w:t>W. Ling, N. Zhaohui, H. Ben, G. Leyi, L. Jianping, D. Huili and Q. Jiaqi. Urinary IL-18 and NGAL as early predictive biomarkers in contrast-induced nephropathy after coronary angiography. Nephron, 108(3), c176-81. [3990]</w:t>
            </w:r>
          </w:p>
        </w:tc>
      </w:tr>
      <w:tr w:rsidR="002F0133" w:rsidRPr="000B4E2C" w14:paraId="04E7BAF5" w14:textId="77777777" w:rsidTr="000B4E2C">
        <w:trPr>
          <w:cantSplit/>
        </w:trPr>
        <w:tc>
          <w:tcPr>
            <w:tcW w:w="0" w:type="auto"/>
            <w:shd w:val="clear" w:color="auto" w:fill="auto"/>
            <w:noWrap/>
            <w:hideMark/>
          </w:tcPr>
          <w:p w14:paraId="6E59DE69" w14:textId="77777777" w:rsidR="002F0133" w:rsidRPr="000B4E2C" w:rsidRDefault="002F0133" w:rsidP="008A7464">
            <w:pPr>
              <w:rPr>
                <w:lang w:eastAsia="en-GB"/>
              </w:rPr>
            </w:pPr>
            <w:r w:rsidRPr="000B4E2C">
              <w:rPr>
                <w:lang w:eastAsia="en-GB"/>
              </w:rPr>
              <w:t xml:space="preserve">Linko </w:t>
            </w:r>
          </w:p>
        </w:tc>
        <w:tc>
          <w:tcPr>
            <w:tcW w:w="0" w:type="auto"/>
            <w:shd w:val="clear" w:color="auto" w:fill="auto"/>
            <w:noWrap/>
            <w:hideMark/>
          </w:tcPr>
          <w:p w14:paraId="08B64D98"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54CB85FA"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1EDFA5C8" w14:textId="77777777" w:rsidR="002F0133" w:rsidRPr="000B4E2C" w:rsidRDefault="002F0133" w:rsidP="008A7464">
            <w:pPr>
              <w:rPr>
                <w:highlight w:val="green"/>
                <w:lang w:eastAsia="en-GB"/>
              </w:rPr>
            </w:pPr>
            <w:r w:rsidRPr="000B4E2C">
              <w:rPr>
                <w:highlight w:val="green"/>
                <w:lang w:eastAsia="en-GB"/>
              </w:rPr>
              <w:t>R. Linko, V. Pettila, A. Kuitunen, A. M. Korhonen, S. Nisula, S. Alila, O. Kiviniemi, R. Laru-Sompa, T. Varpula and S. Karlsson. Plasma neutrophil gelatinase-associated lipocalin and adverse outcome in critically ill patients with ventilatory support. Acta Anaesthesiologica Scandinavica, 57(7), 855-862. [16006]</w:t>
            </w:r>
          </w:p>
        </w:tc>
      </w:tr>
      <w:tr w:rsidR="002F0133" w:rsidRPr="000B4E2C" w14:paraId="7D456A3E" w14:textId="77777777" w:rsidTr="000B4E2C">
        <w:trPr>
          <w:cantSplit/>
        </w:trPr>
        <w:tc>
          <w:tcPr>
            <w:tcW w:w="0" w:type="auto"/>
            <w:shd w:val="clear" w:color="auto" w:fill="auto"/>
            <w:noWrap/>
            <w:hideMark/>
          </w:tcPr>
          <w:p w14:paraId="48FBFF8D" w14:textId="77777777" w:rsidR="002F0133" w:rsidRPr="000B4E2C" w:rsidRDefault="002F0133" w:rsidP="008A7464">
            <w:pPr>
              <w:rPr>
                <w:lang w:eastAsia="en-GB"/>
              </w:rPr>
            </w:pPr>
            <w:r w:rsidRPr="000B4E2C">
              <w:rPr>
                <w:lang w:eastAsia="en-GB"/>
              </w:rPr>
              <w:t>Lipcsey</w:t>
            </w:r>
          </w:p>
        </w:tc>
        <w:tc>
          <w:tcPr>
            <w:tcW w:w="0" w:type="auto"/>
            <w:shd w:val="clear" w:color="auto" w:fill="auto"/>
            <w:noWrap/>
            <w:hideMark/>
          </w:tcPr>
          <w:p w14:paraId="0687A70F"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1D208DF8"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04F31A52" w14:textId="77777777" w:rsidR="002F0133" w:rsidRPr="000B4E2C" w:rsidRDefault="002F0133" w:rsidP="008A7464">
            <w:pPr>
              <w:rPr>
                <w:highlight w:val="green"/>
                <w:lang w:eastAsia="en-GB"/>
              </w:rPr>
            </w:pPr>
            <w:r w:rsidRPr="000B4E2C">
              <w:rPr>
                <w:highlight w:val="green"/>
                <w:lang w:eastAsia="en-GB"/>
              </w:rPr>
              <w:t>M. Lipcsey, P. Hayward, M. Haase, A. Haase-Fielitz, G. Eastwood, L. Peck, G. Matalanis and R. Bellomo. Neutrophil gelatinase-associated lipocalin after off pump versus on pump coronary artery surgery. Biomarkers : biochemical indicators of exposure, response, and susceptibility to chemicals, 19(1), 22-8. [16007]</w:t>
            </w:r>
          </w:p>
        </w:tc>
      </w:tr>
      <w:tr w:rsidR="002F0133" w:rsidRPr="000B4E2C" w14:paraId="3763FE31" w14:textId="77777777" w:rsidTr="000B4E2C">
        <w:trPr>
          <w:cantSplit/>
        </w:trPr>
        <w:tc>
          <w:tcPr>
            <w:tcW w:w="0" w:type="auto"/>
            <w:shd w:val="clear" w:color="auto" w:fill="auto"/>
            <w:noWrap/>
            <w:hideMark/>
          </w:tcPr>
          <w:p w14:paraId="6B09BE0A" w14:textId="77777777" w:rsidR="002F0133" w:rsidRPr="000B4E2C" w:rsidRDefault="002F0133" w:rsidP="008A7464">
            <w:pPr>
              <w:rPr>
                <w:lang w:eastAsia="en-GB"/>
              </w:rPr>
            </w:pPr>
            <w:r w:rsidRPr="000B4E2C">
              <w:rPr>
                <w:lang w:eastAsia="en-GB"/>
              </w:rPr>
              <w:t>Lipinski</w:t>
            </w:r>
          </w:p>
        </w:tc>
        <w:tc>
          <w:tcPr>
            <w:tcW w:w="0" w:type="auto"/>
            <w:shd w:val="clear" w:color="auto" w:fill="auto"/>
            <w:noWrap/>
            <w:hideMark/>
          </w:tcPr>
          <w:p w14:paraId="6FCC66AA"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F8B6A4B"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2796D53" w14:textId="77777777" w:rsidR="002F0133" w:rsidRPr="000B4E2C" w:rsidRDefault="002F0133" w:rsidP="008A7464">
            <w:pPr>
              <w:rPr>
                <w:highlight w:val="green"/>
                <w:lang w:eastAsia="en-GB"/>
              </w:rPr>
            </w:pPr>
            <w:r w:rsidRPr="000B4E2C">
              <w:rPr>
                <w:highlight w:val="green"/>
                <w:lang w:eastAsia="en-GB"/>
              </w:rPr>
              <w:t>M. Lipinski, A. Rydzewska-Rosolowska, A. Rydzewski and G. Rydzewska. Urinary Neutrophil Gelatinase-Associated Lipocalin as an Early Predictor of Disease Severity and Mortality in Acute Pancreatitis. Pancreas, 44(3), 448-452. [18502]</w:t>
            </w:r>
          </w:p>
        </w:tc>
      </w:tr>
      <w:tr w:rsidR="002F0133" w:rsidRPr="000B4E2C" w14:paraId="7C6E2FED" w14:textId="77777777" w:rsidTr="000B4E2C">
        <w:trPr>
          <w:cantSplit/>
        </w:trPr>
        <w:tc>
          <w:tcPr>
            <w:tcW w:w="0" w:type="auto"/>
            <w:shd w:val="clear" w:color="auto" w:fill="auto"/>
            <w:noWrap/>
            <w:hideMark/>
          </w:tcPr>
          <w:p w14:paraId="121B6D27" w14:textId="77777777" w:rsidR="002F0133" w:rsidRPr="000B4E2C" w:rsidRDefault="002F0133" w:rsidP="008A7464">
            <w:pPr>
              <w:rPr>
                <w:lang w:eastAsia="en-GB"/>
              </w:rPr>
            </w:pPr>
            <w:r w:rsidRPr="000B4E2C">
              <w:rPr>
                <w:lang w:eastAsia="en-GB"/>
              </w:rPr>
              <w:t>Lippi</w:t>
            </w:r>
          </w:p>
        </w:tc>
        <w:tc>
          <w:tcPr>
            <w:tcW w:w="0" w:type="auto"/>
            <w:shd w:val="clear" w:color="auto" w:fill="auto"/>
            <w:noWrap/>
            <w:hideMark/>
          </w:tcPr>
          <w:p w14:paraId="4137325B"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7D93A7F1"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249ED56B" w14:textId="77777777" w:rsidR="002F0133" w:rsidRPr="000B4E2C" w:rsidRDefault="002F0133" w:rsidP="008A7464">
            <w:pPr>
              <w:rPr>
                <w:highlight w:val="green"/>
                <w:lang w:eastAsia="en-GB"/>
              </w:rPr>
            </w:pPr>
            <w:r w:rsidRPr="000B4E2C">
              <w:rPr>
                <w:highlight w:val="green"/>
                <w:lang w:eastAsia="en-GB"/>
              </w:rPr>
              <w:t>G. Lippi and G. Cervellin. Neutrophil gelatinase-associated lipocalin: A more specific assay is needed for diagnosing renal injury. Clinica Chimica Acta, 413(13-14), 1160-1161. [16012]</w:t>
            </w:r>
          </w:p>
        </w:tc>
      </w:tr>
      <w:tr w:rsidR="002F0133" w:rsidRPr="000B4E2C" w14:paraId="2201ED9B" w14:textId="77777777" w:rsidTr="000B4E2C">
        <w:trPr>
          <w:cantSplit/>
        </w:trPr>
        <w:tc>
          <w:tcPr>
            <w:tcW w:w="0" w:type="auto"/>
            <w:shd w:val="clear" w:color="auto" w:fill="auto"/>
            <w:noWrap/>
            <w:hideMark/>
          </w:tcPr>
          <w:p w14:paraId="2A3190EF" w14:textId="77777777" w:rsidR="002F0133" w:rsidRPr="000B4E2C" w:rsidRDefault="002F0133" w:rsidP="008A7464">
            <w:pPr>
              <w:rPr>
                <w:lang w:eastAsia="en-GB"/>
              </w:rPr>
            </w:pPr>
            <w:r w:rsidRPr="000B4E2C">
              <w:rPr>
                <w:lang w:eastAsia="en-GB"/>
              </w:rPr>
              <w:t>Liu</w:t>
            </w:r>
          </w:p>
        </w:tc>
        <w:tc>
          <w:tcPr>
            <w:tcW w:w="0" w:type="auto"/>
            <w:shd w:val="clear" w:color="auto" w:fill="auto"/>
            <w:noWrap/>
            <w:hideMark/>
          </w:tcPr>
          <w:p w14:paraId="4A91E1C9"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598FC85D"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7C068AA6" w14:textId="77777777" w:rsidR="002F0133" w:rsidRPr="000B4E2C" w:rsidRDefault="002F0133" w:rsidP="008A7464">
            <w:pPr>
              <w:rPr>
                <w:highlight w:val="green"/>
                <w:lang w:eastAsia="en-GB"/>
              </w:rPr>
            </w:pPr>
            <w:r w:rsidRPr="000B4E2C">
              <w:rPr>
                <w:highlight w:val="green"/>
                <w:lang w:eastAsia="en-GB"/>
              </w:rPr>
              <w:t>Liu S, Che M, Xue S, Xie B, Zhu M, Lu R, et al. . Urinary L-FABP and its combination with urinary NGAL in early diagnosis of acute kidney injury after cardiac surgery in adult patients. . Biomarkers 2013;18:95–101. https://doi.org/10.3109/1354750X.2012.740687. [16022]</w:t>
            </w:r>
          </w:p>
        </w:tc>
      </w:tr>
      <w:tr w:rsidR="002F0133" w:rsidRPr="000B4E2C" w14:paraId="21F8D476" w14:textId="77777777" w:rsidTr="000B4E2C">
        <w:trPr>
          <w:cantSplit/>
        </w:trPr>
        <w:tc>
          <w:tcPr>
            <w:tcW w:w="0" w:type="auto"/>
            <w:shd w:val="clear" w:color="auto" w:fill="auto"/>
            <w:noWrap/>
            <w:hideMark/>
          </w:tcPr>
          <w:p w14:paraId="3F050AFB" w14:textId="77777777" w:rsidR="002F0133" w:rsidRPr="000B4E2C" w:rsidRDefault="002F0133" w:rsidP="008A7464">
            <w:pPr>
              <w:rPr>
                <w:lang w:eastAsia="en-GB"/>
              </w:rPr>
            </w:pPr>
            <w:r w:rsidRPr="000B4E2C">
              <w:rPr>
                <w:lang w:eastAsia="en-GB"/>
              </w:rPr>
              <w:t>Liu</w:t>
            </w:r>
          </w:p>
        </w:tc>
        <w:tc>
          <w:tcPr>
            <w:tcW w:w="0" w:type="auto"/>
            <w:shd w:val="clear" w:color="auto" w:fill="auto"/>
            <w:noWrap/>
            <w:hideMark/>
          </w:tcPr>
          <w:p w14:paraId="3F831773"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23276F92" w14:textId="46CEE86C" w:rsidR="002F0133" w:rsidRPr="000B4E2C" w:rsidRDefault="002F0133" w:rsidP="008A7464">
            <w:pPr>
              <w:rPr>
                <w:lang w:eastAsia="en-GB"/>
              </w:rPr>
            </w:pPr>
            <w:r w:rsidRPr="000B4E2C">
              <w:rPr>
                <w:lang w:eastAsia="en-GB"/>
              </w:rPr>
              <w:t>Compares clinical adjudication between nephrocheck and KDIGO</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3AEFF0E2" w14:textId="77777777" w:rsidR="002F0133" w:rsidRPr="000B4E2C" w:rsidRDefault="002F0133" w:rsidP="008A7464">
            <w:pPr>
              <w:rPr>
                <w:highlight w:val="green"/>
                <w:lang w:eastAsia="en-GB"/>
              </w:rPr>
            </w:pPr>
            <w:r w:rsidRPr="000B4E2C">
              <w:rPr>
                <w:highlight w:val="green"/>
                <w:lang w:eastAsia="en-GB"/>
              </w:rPr>
              <w:t>K. D. Liu, A. Vijayan, M. H. Rosner, J. Shi, L. S. Chawla and J. A. Kellum. Clinical adjudication in acute kidney injury studies: Findings from the pivotal TIMP-2*IGFBP7 biomarker study. Nephrology Dialysis Transplantation, 31(10), 1641-1646. [16019]</w:t>
            </w:r>
          </w:p>
        </w:tc>
      </w:tr>
      <w:tr w:rsidR="002F0133" w:rsidRPr="000B4E2C" w14:paraId="6A11B771" w14:textId="77777777" w:rsidTr="000B4E2C">
        <w:trPr>
          <w:cantSplit/>
        </w:trPr>
        <w:tc>
          <w:tcPr>
            <w:tcW w:w="0" w:type="auto"/>
            <w:shd w:val="clear" w:color="auto" w:fill="auto"/>
            <w:noWrap/>
            <w:hideMark/>
          </w:tcPr>
          <w:p w14:paraId="61FB7BD8" w14:textId="77777777" w:rsidR="002F0133" w:rsidRPr="000B4E2C" w:rsidRDefault="002F0133" w:rsidP="008A7464">
            <w:pPr>
              <w:rPr>
                <w:lang w:eastAsia="en-GB"/>
              </w:rPr>
            </w:pPr>
            <w:r w:rsidRPr="000B4E2C">
              <w:rPr>
                <w:lang w:eastAsia="en-GB"/>
              </w:rPr>
              <w:lastRenderedPageBreak/>
              <w:t>Liu</w:t>
            </w:r>
          </w:p>
        </w:tc>
        <w:tc>
          <w:tcPr>
            <w:tcW w:w="0" w:type="auto"/>
            <w:shd w:val="clear" w:color="auto" w:fill="auto"/>
            <w:noWrap/>
            <w:hideMark/>
          </w:tcPr>
          <w:p w14:paraId="07CB0A87"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135F9697" w14:textId="380F7C28" w:rsidR="002F0133" w:rsidRPr="000B4E2C" w:rsidRDefault="002F0133" w:rsidP="008A7464">
            <w:pPr>
              <w:rPr>
                <w:lang w:eastAsia="en-GB"/>
              </w:rPr>
            </w:pPr>
            <w:r w:rsidRPr="000B4E2C">
              <w:rPr>
                <w:lang w:eastAsia="en-GB"/>
              </w:rPr>
              <w:t>Systematic review</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5520E583" w14:textId="77777777" w:rsidR="002F0133" w:rsidRPr="000B4E2C" w:rsidRDefault="002F0133" w:rsidP="008A7464">
            <w:pPr>
              <w:rPr>
                <w:highlight w:val="green"/>
                <w:lang w:eastAsia="en-GB"/>
              </w:rPr>
            </w:pPr>
            <w:r w:rsidRPr="000B4E2C">
              <w:rPr>
                <w:highlight w:val="green"/>
                <w:lang w:eastAsia="en-GB"/>
              </w:rPr>
              <w:t>C. Liu, X. Lu, Z. Mao, H. Kang, H. Liu, L. Pan, J. Hu, L. Wang and F. Zhou. The diagnostic accuracy of urinary [TIMP-2].[IGFBP7] for acute kidney injury in adults. Medicine (United States), 96(27), e7484. [16017]</w:t>
            </w:r>
          </w:p>
        </w:tc>
      </w:tr>
      <w:tr w:rsidR="002F0133" w:rsidRPr="000B4E2C" w14:paraId="3DD5CA16" w14:textId="77777777" w:rsidTr="000B4E2C">
        <w:trPr>
          <w:cantSplit/>
        </w:trPr>
        <w:tc>
          <w:tcPr>
            <w:tcW w:w="0" w:type="auto"/>
            <w:shd w:val="clear" w:color="auto" w:fill="auto"/>
            <w:noWrap/>
            <w:hideMark/>
          </w:tcPr>
          <w:p w14:paraId="44B7569F" w14:textId="77777777" w:rsidR="002F0133" w:rsidRPr="000B4E2C" w:rsidRDefault="002F0133" w:rsidP="008A7464">
            <w:pPr>
              <w:rPr>
                <w:lang w:eastAsia="en-GB"/>
              </w:rPr>
            </w:pPr>
            <w:r w:rsidRPr="000B4E2C">
              <w:rPr>
                <w:lang w:eastAsia="en-GB"/>
              </w:rPr>
              <w:t>Lu</w:t>
            </w:r>
          </w:p>
        </w:tc>
        <w:tc>
          <w:tcPr>
            <w:tcW w:w="0" w:type="auto"/>
            <w:shd w:val="clear" w:color="auto" w:fill="auto"/>
            <w:noWrap/>
            <w:hideMark/>
          </w:tcPr>
          <w:p w14:paraId="4882F32B"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62B7978E" w14:textId="5D5E757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83E01BF" w14:textId="77777777" w:rsidR="002F0133" w:rsidRPr="000B4E2C" w:rsidRDefault="002F0133" w:rsidP="008A7464">
            <w:pPr>
              <w:rPr>
                <w:highlight w:val="green"/>
                <w:lang w:eastAsia="en-GB"/>
              </w:rPr>
            </w:pPr>
            <w:r w:rsidRPr="000B4E2C">
              <w:rPr>
                <w:highlight w:val="green"/>
                <w:lang w:eastAsia="en-GB"/>
              </w:rPr>
              <w:t>J. Lu, L. Lin, C. Ye, Q. Tao, M. Cui, S. Zheng, D. Zhu, L. Liu and Y. Xue. Serum NGAL Is Superior to Cystatin C in Predicting the Prognosis of Acute-on-Chronic Liver Failure. Annals of Hepatology, 18(1), 155-164. [18506]</w:t>
            </w:r>
          </w:p>
        </w:tc>
      </w:tr>
      <w:tr w:rsidR="002F0133" w:rsidRPr="000B4E2C" w14:paraId="2A614999" w14:textId="77777777" w:rsidTr="000B4E2C">
        <w:trPr>
          <w:cantSplit/>
        </w:trPr>
        <w:tc>
          <w:tcPr>
            <w:tcW w:w="0" w:type="auto"/>
            <w:shd w:val="clear" w:color="auto" w:fill="auto"/>
            <w:noWrap/>
            <w:hideMark/>
          </w:tcPr>
          <w:p w14:paraId="4DB695B1" w14:textId="77777777" w:rsidR="002F0133" w:rsidRPr="000B4E2C" w:rsidRDefault="002F0133" w:rsidP="008A7464">
            <w:pPr>
              <w:rPr>
                <w:lang w:eastAsia="en-GB"/>
              </w:rPr>
            </w:pPr>
            <w:r w:rsidRPr="000B4E2C">
              <w:rPr>
                <w:lang w:eastAsia="en-GB"/>
              </w:rPr>
              <w:t>Lubell</w:t>
            </w:r>
          </w:p>
        </w:tc>
        <w:tc>
          <w:tcPr>
            <w:tcW w:w="0" w:type="auto"/>
            <w:shd w:val="clear" w:color="auto" w:fill="auto"/>
            <w:noWrap/>
            <w:hideMark/>
          </w:tcPr>
          <w:p w14:paraId="7099901F"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E3AF9E2"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4791406C" w14:textId="77777777" w:rsidR="002F0133" w:rsidRPr="000B4E2C" w:rsidRDefault="002F0133" w:rsidP="008A7464">
            <w:pPr>
              <w:rPr>
                <w:highlight w:val="green"/>
                <w:lang w:eastAsia="en-GB"/>
              </w:rPr>
            </w:pPr>
            <w:r w:rsidRPr="000B4E2C">
              <w:rPr>
                <w:highlight w:val="green"/>
                <w:lang w:eastAsia="en-GB"/>
              </w:rPr>
              <w:t>T. R. Lubell, J. M. Barasch, K. Xu, M. Ieni, K. I. Cabrera and P. S. Dayan. Urinary Neutrophil Gelatinase-Associated Lipocalin for the Diagnosis of Urinary Tract Infections. Pediatrics, 140(6), e20171090-e20171090. [18507]</w:t>
            </w:r>
          </w:p>
        </w:tc>
      </w:tr>
      <w:tr w:rsidR="002F0133" w:rsidRPr="000B4E2C" w14:paraId="03CC63F2" w14:textId="77777777" w:rsidTr="000B4E2C">
        <w:trPr>
          <w:cantSplit/>
        </w:trPr>
        <w:tc>
          <w:tcPr>
            <w:tcW w:w="0" w:type="auto"/>
            <w:shd w:val="clear" w:color="auto" w:fill="auto"/>
            <w:noWrap/>
            <w:hideMark/>
          </w:tcPr>
          <w:p w14:paraId="71514EAB" w14:textId="77777777" w:rsidR="002F0133" w:rsidRPr="000B4E2C" w:rsidRDefault="002F0133" w:rsidP="008A7464">
            <w:pPr>
              <w:rPr>
                <w:lang w:eastAsia="en-GB"/>
              </w:rPr>
            </w:pPr>
            <w:r w:rsidRPr="000B4E2C">
              <w:rPr>
                <w:lang w:eastAsia="en-GB"/>
              </w:rPr>
              <w:t>Luka</w:t>
            </w:r>
          </w:p>
        </w:tc>
        <w:tc>
          <w:tcPr>
            <w:tcW w:w="0" w:type="auto"/>
            <w:shd w:val="clear" w:color="auto" w:fill="auto"/>
            <w:noWrap/>
            <w:hideMark/>
          </w:tcPr>
          <w:p w14:paraId="5743D906"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60E9B264" w14:textId="3D3A439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06D7FCC" w14:textId="77777777" w:rsidR="002F0133" w:rsidRPr="000B4E2C" w:rsidRDefault="002F0133" w:rsidP="008A7464">
            <w:pPr>
              <w:rPr>
                <w:highlight w:val="green"/>
                <w:lang w:eastAsia="en-GB"/>
              </w:rPr>
            </w:pPr>
            <w:r w:rsidRPr="000B4E2C">
              <w:rPr>
                <w:highlight w:val="green"/>
                <w:lang w:eastAsia="en-GB"/>
              </w:rPr>
              <w:t>C. C. W. Luka, K. M. Chowa, J. S. S. Kwok, B. C. H. Kwan, M. H. M. Chan, K. B. Lai, F. M. M. Lai, G. Wang, P. K. T. Li and C. C. Szeto. Urinary biomarkers for the prediction of reversibility in acute-on-chronic renal failure. Disease Markers, 34(3), 179-185. [16039]</w:t>
            </w:r>
          </w:p>
        </w:tc>
      </w:tr>
      <w:tr w:rsidR="002F0133" w:rsidRPr="000B4E2C" w14:paraId="161A0EE1" w14:textId="77777777" w:rsidTr="000B4E2C">
        <w:trPr>
          <w:cantSplit/>
        </w:trPr>
        <w:tc>
          <w:tcPr>
            <w:tcW w:w="0" w:type="auto"/>
            <w:shd w:val="clear" w:color="auto" w:fill="auto"/>
            <w:noWrap/>
            <w:hideMark/>
          </w:tcPr>
          <w:p w14:paraId="5322DC2F" w14:textId="77777777" w:rsidR="002F0133" w:rsidRPr="000B4E2C" w:rsidRDefault="002F0133" w:rsidP="008A7464">
            <w:pPr>
              <w:rPr>
                <w:lang w:eastAsia="en-GB"/>
              </w:rPr>
            </w:pPr>
            <w:r w:rsidRPr="000B4E2C">
              <w:rPr>
                <w:lang w:eastAsia="en-GB"/>
              </w:rPr>
              <w:t>Lukasz</w:t>
            </w:r>
          </w:p>
        </w:tc>
        <w:tc>
          <w:tcPr>
            <w:tcW w:w="0" w:type="auto"/>
            <w:shd w:val="clear" w:color="auto" w:fill="auto"/>
            <w:noWrap/>
            <w:hideMark/>
          </w:tcPr>
          <w:p w14:paraId="7B65CEEB"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BC01824" w14:textId="1745BCE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36ADFD6" w14:textId="77777777" w:rsidR="002F0133" w:rsidRPr="000B4E2C" w:rsidRDefault="002F0133" w:rsidP="008A7464">
            <w:pPr>
              <w:rPr>
                <w:highlight w:val="green"/>
                <w:lang w:eastAsia="en-GB"/>
              </w:rPr>
            </w:pPr>
            <w:r w:rsidRPr="000B4E2C">
              <w:rPr>
                <w:highlight w:val="green"/>
                <w:lang w:val="da-DK" w:eastAsia="en-GB"/>
              </w:rPr>
              <w:t xml:space="preserve">A. Lukasz, J. Beneke, J. Menne, F. Vetter, B. M. W. Schmidt, M. Schiffer, H. Haller, P. Kumpers and J. T. Kielstein. </w:t>
            </w:r>
            <w:r w:rsidRPr="000B4E2C">
              <w:rPr>
                <w:highlight w:val="green"/>
                <w:lang w:eastAsia="en-GB"/>
              </w:rPr>
              <w:t>Serum neutrophil gelatinase-associated lipocalin (NGAL) in patients with shiga toxin mediated haemolytic uraemic syndrome (STEC-HUS). Thrombosis and Haemostasis, 111(2), 365-372. [16040]</w:t>
            </w:r>
          </w:p>
        </w:tc>
      </w:tr>
      <w:tr w:rsidR="002F0133" w:rsidRPr="000B4E2C" w14:paraId="42BBB1D6" w14:textId="77777777" w:rsidTr="000B4E2C">
        <w:trPr>
          <w:cantSplit/>
        </w:trPr>
        <w:tc>
          <w:tcPr>
            <w:tcW w:w="0" w:type="auto"/>
            <w:shd w:val="clear" w:color="auto" w:fill="auto"/>
            <w:noWrap/>
            <w:hideMark/>
          </w:tcPr>
          <w:p w14:paraId="00B98411" w14:textId="77777777" w:rsidR="002F0133" w:rsidRPr="000B4E2C" w:rsidRDefault="002F0133" w:rsidP="008A7464">
            <w:pPr>
              <w:rPr>
                <w:lang w:eastAsia="en-GB"/>
              </w:rPr>
            </w:pPr>
            <w:r w:rsidRPr="000B4E2C">
              <w:rPr>
                <w:lang w:eastAsia="en-GB"/>
              </w:rPr>
              <w:t>Luo</w:t>
            </w:r>
          </w:p>
        </w:tc>
        <w:tc>
          <w:tcPr>
            <w:tcW w:w="0" w:type="auto"/>
            <w:shd w:val="clear" w:color="auto" w:fill="auto"/>
            <w:noWrap/>
            <w:hideMark/>
          </w:tcPr>
          <w:p w14:paraId="680C27BC"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355D53E8"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868ACD8" w14:textId="77777777" w:rsidR="002F0133" w:rsidRPr="000B4E2C" w:rsidRDefault="002F0133" w:rsidP="008A7464">
            <w:pPr>
              <w:rPr>
                <w:highlight w:val="green"/>
                <w:lang w:eastAsia="en-GB"/>
              </w:rPr>
            </w:pPr>
            <w:r w:rsidRPr="000B4E2C">
              <w:rPr>
                <w:highlight w:val="green"/>
                <w:lang w:eastAsia="en-GB"/>
              </w:rPr>
              <w:t>Q. Luo, F. Zhou, H. Dong, L. Wu, L. Chai, K. Lan and M. Wu. Implication of combined urinary biomarkers in early diagnosis of acute kidney injury following percutaneous coronary intervention. Clinical Nephrology, 79(2), 85-92. [16041]</w:t>
            </w:r>
          </w:p>
        </w:tc>
      </w:tr>
      <w:tr w:rsidR="002F0133" w:rsidRPr="000B4E2C" w14:paraId="450F463B" w14:textId="77777777" w:rsidTr="000B4E2C">
        <w:trPr>
          <w:cantSplit/>
        </w:trPr>
        <w:tc>
          <w:tcPr>
            <w:tcW w:w="0" w:type="auto"/>
            <w:shd w:val="clear" w:color="auto" w:fill="auto"/>
            <w:noWrap/>
            <w:hideMark/>
          </w:tcPr>
          <w:p w14:paraId="35A230A4" w14:textId="77777777" w:rsidR="002F0133" w:rsidRPr="000B4E2C" w:rsidRDefault="002F0133" w:rsidP="008A7464">
            <w:pPr>
              <w:rPr>
                <w:lang w:eastAsia="en-GB"/>
              </w:rPr>
            </w:pPr>
            <w:r w:rsidRPr="000B4E2C">
              <w:rPr>
                <w:lang w:eastAsia="en-GB"/>
              </w:rPr>
              <w:t>Luthra</w:t>
            </w:r>
          </w:p>
        </w:tc>
        <w:tc>
          <w:tcPr>
            <w:tcW w:w="0" w:type="auto"/>
            <w:shd w:val="clear" w:color="auto" w:fill="auto"/>
            <w:noWrap/>
            <w:hideMark/>
          </w:tcPr>
          <w:p w14:paraId="2A30CB83"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2CFC2274"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5FC28904" w14:textId="77777777" w:rsidR="002F0133" w:rsidRPr="000B4E2C" w:rsidRDefault="002F0133" w:rsidP="008A7464">
            <w:pPr>
              <w:rPr>
                <w:highlight w:val="green"/>
                <w:lang w:eastAsia="en-GB"/>
              </w:rPr>
            </w:pPr>
            <w:r w:rsidRPr="000B4E2C">
              <w:rPr>
                <w:highlight w:val="green"/>
                <w:lang w:eastAsia="en-GB"/>
              </w:rPr>
              <w:t>A. Luthra and A. Tyagi. [TIMP-2]*[IGFBP7] for Predicting Early AKI. Anaesthesia, critical care &amp; pain medicine, . [16042]</w:t>
            </w:r>
          </w:p>
        </w:tc>
      </w:tr>
      <w:tr w:rsidR="002F0133" w:rsidRPr="000B4E2C" w14:paraId="50572CED" w14:textId="77777777" w:rsidTr="000B4E2C">
        <w:trPr>
          <w:cantSplit/>
        </w:trPr>
        <w:tc>
          <w:tcPr>
            <w:tcW w:w="0" w:type="auto"/>
            <w:shd w:val="clear" w:color="auto" w:fill="auto"/>
            <w:noWrap/>
            <w:hideMark/>
          </w:tcPr>
          <w:p w14:paraId="76060EDC" w14:textId="77777777" w:rsidR="002F0133" w:rsidRPr="000B4E2C" w:rsidRDefault="002F0133" w:rsidP="008A7464">
            <w:pPr>
              <w:rPr>
                <w:lang w:eastAsia="en-GB"/>
              </w:rPr>
            </w:pPr>
            <w:r w:rsidRPr="000B4E2C">
              <w:rPr>
                <w:lang w:eastAsia="en-GB"/>
              </w:rPr>
              <w:t xml:space="preserve">MacDonald </w:t>
            </w:r>
          </w:p>
        </w:tc>
        <w:tc>
          <w:tcPr>
            <w:tcW w:w="0" w:type="auto"/>
            <w:shd w:val="clear" w:color="auto" w:fill="auto"/>
            <w:noWrap/>
            <w:hideMark/>
          </w:tcPr>
          <w:p w14:paraId="61750E6C"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62B732DA" w14:textId="1E73E76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926CB6F" w14:textId="77777777" w:rsidR="002F0133" w:rsidRPr="000B4E2C" w:rsidRDefault="002F0133" w:rsidP="008A7464">
            <w:pPr>
              <w:rPr>
                <w:highlight w:val="green"/>
                <w:lang w:eastAsia="en-GB"/>
              </w:rPr>
            </w:pPr>
            <w:r w:rsidRPr="000B4E2C">
              <w:rPr>
                <w:highlight w:val="green"/>
                <w:lang w:eastAsia="en-GB"/>
              </w:rPr>
              <w:t>S. Macdonald, G. Arendts, Y. Nagree and X. F. Xu. Neutrophil Gelatinase-Associated Lipocalin (NGAL) predicts renal injury in acute decompensated cardiac failure: A prospective observational study. BMC Cardiovascular Disorders, 12(8. [16044]</w:t>
            </w:r>
          </w:p>
        </w:tc>
      </w:tr>
      <w:tr w:rsidR="002F0133" w:rsidRPr="000B4E2C" w14:paraId="723CAA67" w14:textId="77777777" w:rsidTr="000B4E2C">
        <w:trPr>
          <w:cantSplit/>
        </w:trPr>
        <w:tc>
          <w:tcPr>
            <w:tcW w:w="0" w:type="auto"/>
            <w:shd w:val="clear" w:color="auto" w:fill="auto"/>
            <w:noWrap/>
            <w:hideMark/>
          </w:tcPr>
          <w:p w14:paraId="3B636481" w14:textId="77777777" w:rsidR="002F0133" w:rsidRPr="000B4E2C" w:rsidRDefault="002F0133" w:rsidP="008A7464">
            <w:pPr>
              <w:rPr>
                <w:lang w:eastAsia="en-GB"/>
              </w:rPr>
            </w:pPr>
            <w:r w:rsidRPr="000B4E2C">
              <w:rPr>
                <w:lang w:eastAsia="en-GB"/>
              </w:rPr>
              <w:t>MacEdo</w:t>
            </w:r>
          </w:p>
        </w:tc>
        <w:tc>
          <w:tcPr>
            <w:tcW w:w="0" w:type="auto"/>
            <w:shd w:val="clear" w:color="auto" w:fill="auto"/>
            <w:noWrap/>
            <w:hideMark/>
          </w:tcPr>
          <w:p w14:paraId="6F136B9F"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5714ACE5"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4F39AA07" w14:textId="77777777" w:rsidR="002F0133" w:rsidRPr="000B4E2C" w:rsidRDefault="002F0133" w:rsidP="008A7464">
            <w:pPr>
              <w:rPr>
                <w:highlight w:val="green"/>
                <w:lang w:eastAsia="en-GB"/>
              </w:rPr>
            </w:pPr>
            <w:r w:rsidRPr="000B4E2C">
              <w:rPr>
                <w:highlight w:val="green"/>
                <w:lang w:eastAsia="en-GB"/>
              </w:rPr>
              <w:t>E. MacEdo and R. L. Mehta. Biomarkers for acute kidney injury: Combining the new silver with the old gold. Nephrology Dialysis Transplantation, 28(5), 1064-1067. [16045]</w:t>
            </w:r>
          </w:p>
        </w:tc>
      </w:tr>
      <w:tr w:rsidR="002F0133" w:rsidRPr="000B4E2C" w14:paraId="25DD2E69" w14:textId="77777777" w:rsidTr="000B4E2C">
        <w:trPr>
          <w:cantSplit/>
        </w:trPr>
        <w:tc>
          <w:tcPr>
            <w:tcW w:w="0" w:type="auto"/>
            <w:shd w:val="clear" w:color="auto" w:fill="auto"/>
            <w:noWrap/>
            <w:hideMark/>
          </w:tcPr>
          <w:p w14:paraId="1C6225C9" w14:textId="77777777" w:rsidR="002F0133" w:rsidRPr="000B4E2C" w:rsidRDefault="002F0133" w:rsidP="008A7464">
            <w:pPr>
              <w:rPr>
                <w:lang w:eastAsia="en-GB"/>
              </w:rPr>
            </w:pPr>
            <w:r w:rsidRPr="000B4E2C">
              <w:rPr>
                <w:lang w:eastAsia="en-GB"/>
              </w:rPr>
              <w:t>Madsen</w:t>
            </w:r>
          </w:p>
        </w:tc>
        <w:tc>
          <w:tcPr>
            <w:tcW w:w="0" w:type="auto"/>
            <w:shd w:val="clear" w:color="auto" w:fill="auto"/>
            <w:noWrap/>
            <w:hideMark/>
          </w:tcPr>
          <w:p w14:paraId="7C5046F0"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2EBE6ADC" w14:textId="4D434B8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A16558F" w14:textId="77777777" w:rsidR="002F0133" w:rsidRPr="000B4E2C" w:rsidRDefault="002F0133" w:rsidP="008A7464">
            <w:pPr>
              <w:rPr>
                <w:highlight w:val="green"/>
                <w:lang w:eastAsia="en-GB"/>
              </w:rPr>
            </w:pPr>
            <w:r w:rsidRPr="000B4E2C">
              <w:rPr>
                <w:highlight w:val="green"/>
                <w:lang w:val="da-DK" w:eastAsia="en-GB"/>
              </w:rPr>
              <w:t xml:space="preserve">M. G. Madsen, R. Norregaard, J. Palmfeldt, L. H. Olsen, J. Frokiaer and T. M. Jorgensen. </w:t>
            </w:r>
            <w:r w:rsidRPr="000B4E2C">
              <w:rPr>
                <w:highlight w:val="green"/>
                <w:lang w:eastAsia="en-GB"/>
              </w:rPr>
              <w:t>Urinary NGAL, cystatin C, beta 2-microglobulin, and osteopontin significance in hydronephrotic children. Pediatric Nephrology, 27(11), 2099-2106. [18508]</w:t>
            </w:r>
          </w:p>
        </w:tc>
      </w:tr>
      <w:tr w:rsidR="002F0133" w:rsidRPr="000B4E2C" w14:paraId="0E50AA00" w14:textId="77777777" w:rsidTr="000B4E2C">
        <w:trPr>
          <w:cantSplit/>
        </w:trPr>
        <w:tc>
          <w:tcPr>
            <w:tcW w:w="0" w:type="auto"/>
            <w:shd w:val="clear" w:color="auto" w:fill="auto"/>
            <w:noWrap/>
            <w:hideMark/>
          </w:tcPr>
          <w:p w14:paraId="314A355B" w14:textId="77777777" w:rsidR="002F0133" w:rsidRPr="000B4E2C" w:rsidRDefault="002F0133" w:rsidP="008A7464">
            <w:pPr>
              <w:rPr>
                <w:lang w:eastAsia="en-GB"/>
              </w:rPr>
            </w:pPr>
            <w:r w:rsidRPr="000B4E2C">
              <w:rPr>
                <w:lang w:eastAsia="en-GB"/>
              </w:rPr>
              <w:t>Maeda</w:t>
            </w:r>
          </w:p>
        </w:tc>
        <w:tc>
          <w:tcPr>
            <w:tcW w:w="0" w:type="auto"/>
            <w:shd w:val="clear" w:color="auto" w:fill="auto"/>
            <w:noWrap/>
            <w:hideMark/>
          </w:tcPr>
          <w:p w14:paraId="06EDBB47"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693656C0" w14:textId="6BDB533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4AAFA49" w14:textId="77777777" w:rsidR="002F0133" w:rsidRPr="000B4E2C" w:rsidRDefault="002F0133" w:rsidP="008A7464">
            <w:pPr>
              <w:rPr>
                <w:highlight w:val="green"/>
                <w:lang w:eastAsia="en-GB"/>
              </w:rPr>
            </w:pPr>
            <w:r w:rsidRPr="000B4E2C">
              <w:rPr>
                <w:highlight w:val="green"/>
                <w:lang w:eastAsia="en-GB"/>
              </w:rPr>
              <w:t>A. Maeda, H. Ando, T. Ura, K. Muro, M. Aoki, K. Saito, E. Kondo, S. Takahashi, Y. Ito, Y. Mizuno and A. Fujimura. Differences in urinary renal failure biomarkers in cancer patients initially treated with cisplatin. Anticancer Research, 37(9), 5235-5239. [16048]</w:t>
            </w:r>
          </w:p>
        </w:tc>
      </w:tr>
      <w:tr w:rsidR="002F0133" w:rsidRPr="000B4E2C" w14:paraId="6C1196E3" w14:textId="77777777" w:rsidTr="000B4E2C">
        <w:trPr>
          <w:cantSplit/>
        </w:trPr>
        <w:tc>
          <w:tcPr>
            <w:tcW w:w="0" w:type="auto"/>
            <w:shd w:val="clear" w:color="auto" w:fill="auto"/>
            <w:noWrap/>
            <w:hideMark/>
          </w:tcPr>
          <w:p w14:paraId="47966F8E" w14:textId="77777777" w:rsidR="002F0133" w:rsidRPr="000B4E2C" w:rsidRDefault="002F0133" w:rsidP="008A7464">
            <w:pPr>
              <w:rPr>
                <w:lang w:eastAsia="en-GB"/>
              </w:rPr>
            </w:pPr>
            <w:r w:rsidRPr="000B4E2C">
              <w:rPr>
                <w:lang w:eastAsia="en-GB"/>
              </w:rPr>
              <w:t>Mahmoodpoor</w:t>
            </w:r>
          </w:p>
        </w:tc>
        <w:tc>
          <w:tcPr>
            <w:tcW w:w="0" w:type="auto"/>
            <w:shd w:val="clear" w:color="auto" w:fill="auto"/>
            <w:noWrap/>
            <w:hideMark/>
          </w:tcPr>
          <w:p w14:paraId="71428535"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FFD2E4E" w14:textId="105989B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EE6171D" w14:textId="77777777" w:rsidR="002F0133" w:rsidRPr="000B4E2C" w:rsidRDefault="002F0133" w:rsidP="008A7464">
            <w:pPr>
              <w:rPr>
                <w:highlight w:val="green"/>
                <w:lang w:eastAsia="en-GB"/>
              </w:rPr>
            </w:pPr>
            <w:r w:rsidRPr="000B4E2C">
              <w:rPr>
                <w:highlight w:val="green"/>
                <w:lang w:eastAsia="en-GB"/>
              </w:rPr>
              <w:t>A. Mahmoodpoor, H. Hamishehkar, V. Fattahi, S. Sanaie, P. Arora and N. D. Nader. Urinary versus plasma neutrophil gelatinase-associated lipocalin (NGAL) as a predictor of mortality for acute kidney injury in intensive care unit patients. Journal of Clinical Anesthesia, 44(12-17. [16052]</w:t>
            </w:r>
          </w:p>
        </w:tc>
      </w:tr>
      <w:tr w:rsidR="002F0133" w:rsidRPr="000B4E2C" w14:paraId="20FC4218" w14:textId="77777777" w:rsidTr="000B4E2C">
        <w:trPr>
          <w:cantSplit/>
        </w:trPr>
        <w:tc>
          <w:tcPr>
            <w:tcW w:w="0" w:type="auto"/>
            <w:shd w:val="clear" w:color="auto" w:fill="auto"/>
            <w:noWrap/>
            <w:hideMark/>
          </w:tcPr>
          <w:p w14:paraId="79D67D1F" w14:textId="77777777" w:rsidR="002F0133" w:rsidRPr="000B4E2C" w:rsidRDefault="002F0133" w:rsidP="008A7464">
            <w:pPr>
              <w:rPr>
                <w:lang w:eastAsia="en-GB"/>
              </w:rPr>
            </w:pPr>
            <w:r w:rsidRPr="000B4E2C">
              <w:rPr>
                <w:lang w:eastAsia="en-GB"/>
              </w:rPr>
              <w:lastRenderedPageBreak/>
              <w:t>Maisel</w:t>
            </w:r>
          </w:p>
        </w:tc>
        <w:tc>
          <w:tcPr>
            <w:tcW w:w="0" w:type="auto"/>
            <w:shd w:val="clear" w:color="auto" w:fill="auto"/>
            <w:noWrap/>
            <w:hideMark/>
          </w:tcPr>
          <w:p w14:paraId="348AF570"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51F6A82C"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7E9E7BB1" w14:textId="77777777" w:rsidR="002F0133" w:rsidRPr="000B4E2C" w:rsidRDefault="002F0133" w:rsidP="008A7464">
            <w:pPr>
              <w:rPr>
                <w:highlight w:val="green"/>
                <w:lang w:eastAsia="en-GB"/>
              </w:rPr>
            </w:pPr>
            <w:r w:rsidRPr="000B4E2C">
              <w:rPr>
                <w:highlight w:val="green"/>
                <w:lang w:eastAsia="en-GB"/>
              </w:rPr>
              <w:t>A. S. Maisel, C. Mueller, R. Fitzgerald, R. Brikhan, B. C. Hiestand, N. Iqbal, P. Clopton and D. J. Van Veldhuisen. Prognostic utility of plasma neutrophil gelatinase-associated lipocalin in patients with acute heart failure: The NGAL EvaLuation Along with B-type NaTriuretic Peptide in acutely decompensated heart failure (GALLANT) trial. European Journal of Heart Failure, 13(8), 846-851. [16057]</w:t>
            </w:r>
          </w:p>
        </w:tc>
      </w:tr>
      <w:tr w:rsidR="002F0133" w:rsidRPr="000B4E2C" w14:paraId="468EF915" w14:textId="77777777" w:rsidTr="000B4E2C">
        <w:trPr>
          <w:cantSplit/>
        </w:trPr>
        <w:tc>
          <w:tcPr>
            <w:tcW w:w="0" w:type="auto"/>
            <w:shd w:val="clear" w:color="auto" w:fill="auto"/>
            <w:noWrap/>
            <w:hideMark/>
          </w:tcPr>
          <w:p w14:paraId="088051E3" w14:textId="77777777" w:rsidR="002F0133" w:rsidRPr="000B4E2C" w:rsidRDefault="002F0133" w:rsidP="008A7464">
            <w:pPr>
              <w:rPr>
                <w:lang w:eastAsia="en-GB"/>
              </w:rPr>
            </w:pPr>
            <w:r w:rsidRPr="000B4E2C">
              <w:rPr>
                <w:lang w:eastAsia="en-GB"/>
              </w:rPr>
              <w:t>Maisel</w:t>
            </w:r>
          </w:p>
        </w:tc>
        <w:tc>
          <w:tcPr>
            <w:tcW w:w="0" w:type="auto"/>
            <w:shd w:val="clear" w:color="auto" w:fill="auto"/>
            <w:noWrap/>
            <w:hideMark/>
          </w:tcPr>
          <w:p w14:paraId="3DD229A9"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42951B13"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D3C8A35" w14:textId="77777777" w:rsidR="002F0133" w:rsidRPr="000B4E2C" w:rsidRDefault="002F0133" w:rsidP="008A7464">
            <w:pPr>
              <w:rPr>
                <w:highlight w:val="green"/>
                <w:lang w:eastAsia="en-GB"/>
              </w:rPr>
            </w:pPr>
            <w:r w:rsidRPr="000B4E2C">
              <w:rPr>
                <w:highlight w:val="green"/>
                <w:lang w:eastAsia="en-GB"/>
              </w:rPr>
              <w:t>A. S. Maisel, N. Wettersten, D. J. van Veldhuisen, C. Mueller, G. Filippatos, R. Nowak, C. Hogan, M. C. Kontos, C. M. Cannon, G. A. Muller, R. Birkhahn, P. Clopton, P. Taub, G. M. Vilke, K. McDonald, N. Mahon, J. Nunez, C. Briguori, C. Passino and P. T. Murray. Neutrophil Gelatinase-Associated Lipocalin for Acute Kidney Injury During Acute Heart Failure Hospitalizations: The AKINESIS Study. Journal of the American College of Cardiology, 68(13), 1420-1431. [16055]</w:t>
            </w:r>
          </w:p>
        </w:tc>
      </w:tr>
      <w:tr w:rsidR="002F0133" w:rsidRPr="000B4E2C" w14:paraId="07329068" w14:textId="77777777" w:rsidTr="000B4E2C">
        <w:trPr>
          <w:cantSplit/>
        </w:trPr>
        <w:tc>
          <w:tcPr>
            <w:tcW w:w="0" w:type="auto"/>
            <w:shd w:val="clear" w:color="auto" w:fill="auto"/>
            <w:noWrap/>
            <w:hideMark/>
          </w:tcPr>
          <w:p w14:paraId="75F66EC5" w14:textId="77777777" w:rsidR="002F0133" w:rsidRPr="000B4E2C" w:rsidRDefault="002F0133" w:rsidP="008A7464">
            <w:pPr>
              <w:rPr>
                <w:lang w:eastAsia="en-GB"/>
              </w:rPr>
            </w:pPr>
            <w:r w:rsidRPr="000B4E2C">
              <w:rPr>
                <w:lang w:eastAsia="en-GB"/>
              </w:rPr>
              <w:t>Maizel</w:t>
            </w:r>
          </w:p>
        </w:tc>
        <w:tc>
          <w:tcPr>
            <w:tcW w:w="0" w:type="auto"/>
            <w:shd w:val="clear" w:color="auto" w:fill="auto"/>
            <w:noWrap/>
            <w:hideMark/>
          </w:tcPr>
          <w:p w14:paraId="0A047B19"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68F3278D"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3413246" w14:textId="77777777" w:rsidR="002F0133" w:rsidRPr="000B4E2C" w:rsidRDefault="002F0133" w:rsidP="008A7464">
            <w:pPr>
              <w:rPr>
                <w:highlight w:val="green"/>
                <w:lang w:eastAsia="en-GB"/>
              </w:rPr>
            </w:pPr>
            <w:r w:rsidRPr="000B4E2C">
              <w:rPr>
                <w:highlight w:val="green"/>
                <w:lang w:eastAsia="en-GB"/>
              </w:rPr>
              <w:t>J. Maizel, D. Daubin, L. Van Vong, D. Titeca-Beauport, M. Wetzstein, L. Kontar, M. Slama, K. Klouche and C. Vinsonneau. Urinary TIMP2 and IGFBP7 identifies high risk patients of short-term progression from mild and moderate to severe acute kidney injury during septic shock: A prospective cohort study. Disease Markers, 2019(3471215. [16060]</w:t>
            </w:r>
          </w:p>
        </w:tc>
      </w:tr>
      <w:tr w:rsidR="002F0133" w:rsidRPr="000B4E2C" w14:paraId="20A318FD" w14:textId="77777777" w:rsidTr="000B4E2C">
        <w:trPr>
          <w:cantSplit/>
        </w:trPr>
        <w:tc>
          <w:tcPr>
            <w:tcW w:w="0" w:type="auto"/>
            <w:shd w:val="clear" w:color="auto" w:fill="auto"/>
            <w:noWrap/>
            <w:hideMark/>
          </w:tcPr>
          <w:p w14:paraId="39DAAB9D" w14:textId="77777777" w:rsidR="002F0133" w:rsidRPr="000B4E2C" w:rsidRDefault="002F0133" w:rsidP="008A7464">
            <w:pPr>
              <w:rPr>
                <w:lang w:eastAsia="en-GB"/>
              </w:rPr>
            </w:pPr>
            <w:r w:rsidRPr="000B4E2C">
              <w:rPr>
                <w:lang w:eastAsia="en-GB"/>
              </w:rPr>
              <w:t>Makris</w:t>
            </w:r>
          </w:p>
        </w:tc>
        <w:tc>
          <w:tcPr>
            <w:tcW w:w="0" w:type="auto"/>
            <w:shd w:val="clear" w:color="auto" w:fill="auto"/>
            <w:noWrap/>
            <w:hideMark/>
          </w:tcPr>
          <w:p w14:paraId="14F68AF7"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513DF2E8" w14:textId="1CDBB9F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09C8B91" w14:textId="77777777" w:rsidR="002F0133" w:rsidRPr="000B4E2C" w:rsidRDefault="002F0133" w:rsidP="008A7464">
            <w:pPr>
              <w:rPr>
                <w:highlight w:val="green"/>
                <w:lang w:eastAsia="en-GB"/>
              </w:rPr>
            </w:pPr>
            <w:r w:rsidRPr="000B4E2C">
              <w:rPr>
                <w:highlight w:val="green"/>
                <w:lang w:eastAsia="en-GB"/>
              </w:rPr>
              <w:t>K. Makris, N. Markou, E. Evodia, E. Dimopoulou, I. Drakopoulos, K. Ntetsika, D. Rizos, G. Baltopoulos and A. Haliassos. Urinary neutrophil gelatinase-associated lipocalin (NGAL) as an early marker of acute kidney injury in critically ill multiple trauma patients. Clinical Chemistry and Laboratory Medicine, 47(1), 79-82. [16065]</w:t>
            </w:r>
          </w:p>
        </w:tc>
      </w:tr>
      <w:tr w:rsidR="002F0133" w:rsidRPr="000B4E2C" w14:paraId="438DEA40" w14:textId="77777777" w:rsidTr="000B4E2C">
        <w:trPr>
          <w:cantSplit/>
        </w:trPr>
        <w:tc>
          <w:tcPr>
            <w:tcW w:w="0" w:type="auto"/>
            <w:shd w:val="clear" w:color="auto" w:fill="auto"/>
            <w:noWrap/>
            <w:hideMark/>
          </w:tcPr>
          <w:p w14:paraId="2C025730" w14:textId="77777777" w:rsidR="002F0133" w:rsidRPr="000B4E2C" w:rsidRDefault="002F0133" w:rsidP="008A7464">
            <w:pPr>
              <w:rPr>
                <w:lang w:eastAsia="en-GB"/>
              </w:rPr>
            </w:pPr>
            <w:r w:rsidRPr="000B4E2C">
              <w:rPr>
                <w:lang w:eastAsia="en-GB"/>
              </w:rPr>
              <w:t>Malyszko</w:t>
            </w:r>
          </w:p>
        </w:tc>
        <w:tc>
          <w:tcPr>
            <w:tcW w:w="0" w:type="auto"/>
            <w:shd w:val="clear" w:color="auto" w:fill="auto"/>
            <w:noWrap/>
            <w:hideMark/>
          </w:tcPr>
          <w:p w14:paraId="70D78588"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172A9BFC"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8AEC379" w14:textId="77777777" w:rsidR="002F0133" w:rsidRPr="000B4E2C" w:rsidRDefault="002F0133" w:rsidP="008A7464">
            <w:pPr>
              <w:rPr>
                <w:highlight w:val="green"/>
                <w:lang w:eastAsia="en-GB"/>
              </w:rPr>
            </w:pPr>
            <w:r w:rsidRPr="000B4E2C">
              <w:rPr>
                <w:highlight w:val="green"/>
                <w:lang w:eastAsia="en-GB"/>
              </w:rPr>
              <w:t>J. Malyszko, H. Bachorzewska-Gajewska, B. Poniatowski, J. S. Malyszko and S. Dobrzycki. Urinary and serum biomarkers after cardiac catheterization in diabetic patients with stable angina and without severe chronic kidney disease. Renal Failure, 31(10), 910-919. [16075]</w:t>
            </w:r>
          </w:p>
        </w:tc>
      </w:tr>
      <w:tr w:rsidR="002F0133" w:rsidRPr="000B4E2C" w14:paraId="2625B995" w14:textId="77777777" w:rsidTr="000B4E2C">
        <w:trPr>
          <w:cantSplit/>
        </w:trPr>
        <w:tc>
          <w:tcPr>
            <w:tcW w:w="0" w:type="auto"/>
            <w:shd w:val="clear" w:color="auto" w:fill="auto"/>
            <w:noWrap/>
            <w:hideMark/>
          </w:tcPr>
          <w:p w14:paraId="3660654E" w14:textId="77777777" w:rsidR="002F0133" w:rsidRPr="000B4E2C" w:rsidRDefault="002F0133" w:rsidP="008A7464">
            <w:pPr>
              <w:rPr>
                <w:lang w:eastAsia="en-GB"/>
              </w:rPr>
            </w:pPr>
            <w:r w:rsidRPr="000B4E2C">
              <w:rPr>
                <w:lang w:eastAsia="en-GB"/>
              </w:rPr>
              <w:t>Malyszko</w:t>
            </w:r>
          </w:p>
        </w:tc>
        <w:tc>
          <w:tcPr>
            <w:tcW w:w="0" w:type="auto"/>
            <w:shd w:val="clear" w:color="auto" w:fill="auto"/>
            <w:noWrap/>
            <w:hideMark/>
          </w:tcPr>
          <w:p w14:paraId="2B1B22D3"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4B13C90D"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114CDBD" w14:textId="77777777" w:rsidR="002F0133" w:rsidRPr="000B4E2C" w:rsidRDefault="002F0133" w:rsidP="008A7464">
            <w:pPr>
              <w:rPr>
                <w:highlight w:val="green"/>
                <w:lang w:eastAsia="en-GB"/>
              </w:rPr>
            </w:pPr>
            <w:r w:rsidRPr="000B4E2C">
              <w:rPr>
                <w:highlight w:val="green"/>
                <w:lang w:eastAsia="en-GB"/>
              </w:rPr>
              <w:t>J. Malyszko, H. Bachorzewska-Gajewska, E. Koc-Zorawska, J. S. Malyszko, G. Kobus and S. Dobrzycki. Midkine: A novel and early biomarker of contrast-induced acute kidney injury in patients undergoing percutaneous coronary interventions. BioMed Research International, 2015(879509. [16068]</w:t>
            </w:r>
          </w:p>
        </w:tc>
      </w:tr>
      <w:tr w:rsidR="002F0133" w:rsidRPr="000B4E2C" w14:paraId="1BCE42E6" w14:textId="77777777" w:rsidTr="000B4E2C">
        <w:trPr>
          <w:cantSplit/>
        </w:trPr>
        <w:tc>
          <w:tcPr>
            <w:tcW w:w="0" w:type="auto"/>
            <w:shd w:val="clear" w:color="auto" w:fill="auto"/>
            <w:noWrap/>
            <w:hideMark/>
          </w:tcPr>
          <w:p w14:paraId="104D4E84" w14:textId="77777777" w:rsidR="002F0133" w:rsidRPr="000B4E2C" w:rsidRDefault="002F0133" w:rsidP="008A7464">
            <w:pPr>
              <w:rPr>
                <w:lang w:eastAsia="en-GB"/>
              </w:rPr>
            </w:pPr>
            <w:r w:rsidRPr="000B4E2C">
              <w:rPr>
                <w:lang w:eastAsia="en-GB"/>
              </w:rPr>
              <w:t>Malyszko</w:t>
            </w:r>
          </w:p>
        </w:tc>
        <w:tc>
          <w:tcPr>
            <w:tcW w:w="0" w:type="auto"/>
            <w:shd w:val="clear" w:color="auto" w:fill="auto"/>
            <w:noWrap/>
            <w:hideMark/>
          </w:tcPr>
          <w:p w14:paraId="00C9D913"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5A996D71"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B086317" w14:textId="77777777" w:rsidR="002F0133" w:rsidRPr="000B4E2C" w:rsidRDefault="002F0133" w:rsidP="008A7464">
            <w:pPr>
              <w:rPr>
                <w:highlight w:val="green"/>
                <w:lang w:eastAsia="en-GB"/>
              </w:rPr>
            </w:pPr>
            <w:r w:rsidRPr="000B4E2C">
              <w:rPr>
                <w:highlight w:val="green"/>
                <w:lang w:eastAsia="en-GB"/>
              </w:rPr>
              <w:t>J. Malyszko, H. Bachorzewska-Gajewska, J. S. Malyszko, E. Koc-Zorawska, J. Matuszkiewicz-Rowinska and S. Dobrzycki. Hepcidin - Potential biomarker of contrast-induced acute kidney injury in patients undergoing percutaneous coronary interventions. Advances in Medical Sciences, 64(2), 211-215. [16067]</w:t>
            </w:r>
          </w:p>
        </w:tc>
      </w:tr>
      <w:tr w:rsidR="002F0133" w:rsidRPr="000B4E2C" w14:paraId="510BD6AB" w14:textId="77777777" w:rsidTr="000B4E2C">
        <w:trPr>
          <w:cantSplit/>
        </w:trPr>
        <w:tc>
          <w:tcPr>
            <w:tcW w:w="0" w:type="auto"/>
            <w:shd w:val="clear" w:color="auto" w:fill="auto"/>
            <w:noWrap/>
            <w:hideMark/>
          </w:tcPr>
          <w:p w14:paraId="52E9275A" w14:textId="77777777" w:rsidR="002F0133" w:rsidRPr="000B4E2C" w:rsidRDefault="002F0133" w:rsidP="008A7464">
            <w:pPr>
              <w:rPr>
                <w:lang w:eastAsia="en-GB"/>
              </w:rPr>
            </w:pPr>
            <w:r w:rsidRPr="000B4E2C">
              <w:rPr>
                <w:lang w:eastAsia="en-GB"/>
              </w:rPr>
              <w:t>Mamikonian</w:t>
            </w:r>
          </w:p>
        </w:tc>
        <w:tc>
          <w:tcPr>
            <w:tcW w:w="0" w:type="auto"/>
            <w:shd w:val="clear" w:color="auto" w:fill="auto"/>
            <w:noWrap/>
            <w:hideMark/>
          </w:tcPr>
          <w:p w14:paraId="55979191"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2B85AC4" w14:textId="7591EE4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57EEB0A" w14:textId="77777777" w:rsidR="002F0133" w:rsidRPr="000B4E2C" w:rsidRDefault="002F0133" w:rsidP="008A7464">
            <w:pPr>
              <w:rPr>
                <w:highlight w:val="green"/>
                <w:lang w:eastAsia="en-GB"/>
              </w:rPr>
            </w:pPr>
            <w:r w:rsidRPr="000B4E2C">
              <w:rPr>
                <w:highlight w:val="green"/>
                <w:lang w:eastAsia="en-GB"/>
              </w:rPr>
              <w:t>L. S. Mamikonian, L. B. Mamo, P. B. Smith, J. Koo, A. J. Lodge and J. L. Turi. Cardiopulmonary bypass is associated with hemolysis and acute kidney injury in neonates, infants, and children*. Pediatric Critical Care Medicine, 15(3), e111-e119. [16077]</w:t>
            </w:r>
          </w:p>
        </w:tc>
      </w:tr>
      <w:tr w:rsidR="002F0133" w:rsidRPr="000B4E2C" w14:paraId="14E7EC79" w14:textId="77777777" w:rsidTr="000B4E2C">
        <w:trPr>
          <w:cantSplit/>
        </w:trPr>
        <w:tc>
          <w:tcPr>
            <w:tcW w:w="0" w:type="auto"/>
            <w:shd w:val="clear" w:color="auto" w:fill="auto"/>
            <w:noWrap/>
            <w:hideMark/>
          </w:tcPr>
          <w:p w14:paraId="4E373783" w14:textId="77777777" w:rsidR="002F0133" w:rsidRPr="000B4E2C" w:rsidRDefault="002F0133" w:rsidP="008A7464">
            <w:pPr>
              <w:rPr>
                <w:lang w:eastAsia="en-GB"/>
              </w:rPr>
            </w:pPr>
            <w:r w:rsidRPr="000B4E2C">
              <w:rPr>
                <w:lang w:eastAsia="en-GB"/>
              </w:rPr>
              <w:t>Mandei</w:t>
            </w:r>
          </w:p>
        </w:tc>
        <w:tc>
          <w:tcPr>
            <w:tcW w:w="0" w:type="auto"/>
            <w:shd w:val="clear" w:color="auto" w:fill="auto"/>
            <w:noWrap/>
            <w:hideMark/>
          </w:tcPr>
          <w:p w14:paraId="37596AD1"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7C639FAD" w14:textId="37BC3E0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4F1A231" w14:textId="77777777" w:rsidR="002F0133" w:rsidRPr="000B4E2C" w:rsidRDefault="002F0133" w:rsidP="008A7464">
            <w:pPr>
              <w:rPr>
                <w:highlight w:val="green"/>
                <w:lang w:eastAsia="en-GB"/>
              </w:rPr>
            </w:pPr>
            <w:r w:rsidRPr="000B4E2C">
              <w:rPr>
                <w:highlight w:val="green"/>
                <w:lang w:eastAsia="en-GB"/>
              </w:rPr>
              <w:t>J. Mandei, E. Iskandar, A. Umboh and H. Lestari. Relationship between serum cystatin-C and urinary neutrophil gelatinase-associated lipocalin in septic children. Paediatrica Indonesiana, 55(2), 83-86. [18509]</w:t>
            </w:r>
          </w:p>
        </w:tc>
      </w:tr>
      <w:tr w:rsidR="002F0133" w:rsidRPr="000B4E2C" w14:paraId="080672D5" w14:textId="77777777" w:rsidTr="000B4E2C">
        <w:trPr>
          <w:cantSplit/>
        </w:trPr>
        <w:tc>
          <w:tcPr>
            <w:tcW w:w="0" w:type="auto"/>
            <w:shd w:val="clear" w:color="auto" w:fill="auto"/>
            <w:noWrap/>
            <w:hideMark/>
          </w:tcPr>
          <w:p w14:paraId="20679A0D" w14:textId="77777777" w:rsidR="002F0133" w:rsidRPr="000B4E2C" w:rsidRDefault="002F0133" w:rsidP="008A7464">
            <w:pPr>
              <w:rPr>
                <w:lang w:eastAsia="en-GB"/>
              </w:rPr>
            </w:pPr>
            <w:r w:rsidRPr="000B4E2C">
              <w:rPr>
                <w:lang w:eastAsia="en-GB"/>
              </w:rPr>
              <w:t>Marcelino</w:t>
            </w:r>
          </w:p>
        </w:tc>
        <w:tc>
          <w:tcPr>
            <w:tcW w:w="0" w:type="auto"/>
            <w:shd w:val="clear" w:color="auto" w:fill="auto"/>
            <w:noWrap/>
            <w:hideMark/>
          </w:tcPr>
          <w:p w14:paraId="418DB220"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73F74173" w14:textId="4EDBB1A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F96D215" w14:textId="77777777" w:rsidR="002F0133" w:rsidRPr="000B4E2C" w:rsidRDefault="002F0133" w:rsidP="008A7464">
            <w:pPr>
              <w:rPr>
                <w:highlight w:val="green"/>
                <w:lang w:eastAsia="en-GB"/>
              </w:rPr>
            </w:pPr>
            <w:r w:rsidRPr="000B4E2C">
              <w:rPr>
                <w:highlight w:val="green"/>
                <w:lang w:eastAsia="en-GB"/>
              </w:rPr>
              <w:t>P. Marcelino, I. Tavares, D. Carvalho, C. Marques, M. J. Silvestre, R. Perdigoto and E. Barroso. Is urinary gamma-glutamyl transpeptidase superior to urinary neutrophil gelatinase-associated lipocalin for early prediction of acute kidney injury after liver transplantation?. Transplantation proceedings, 46(6), 1812-1818. [16080]</w:t>
            </w:r>
          </w:p>
        </w:tc>
      </w:tr>
      <w:tr w:rsidR="002F0133" w:rsidRPr="000B4E2C" w14:paraId="5060089A" w14:textId="77777777" w:rsidTr="000B4E2C">
        <w:trPr>
          <w:cantSplit/>
        </w:trPr>
        <w:tc>
          <w:tcPr>
            <w:tcW w:w="0" w:type="auto"/>
            <w:shd w:val="clear" w:color="auto" w:fill="auto"/>
            <w:noWrap/>
            <w:hideMark/>
          </w:tcPr>
          <w:p w14:paraId="7A700AF3" w14:textId="77777777" w:rsidR="002F0133" w:rsidRPr="000B4E2C" w:rsidRDefault="002F0133" w:rsidP="008A7464">
            <w:pPr>
              <w:rPr>
                <w:lang w:eastAsia="en-GB"/>
              </w:rPr>
            </w:pPr>
            <w:r w:rsidRPr="000B4E2C">
              <w:rPr>
                <w:lang w:eastAsia="en-GB"/>
              </w:rPr>
              <w:lastRenderedPageBreak/>
              <w:t>Martensson</w:t>
            </w:r>
          </w:p>
        </w:tc>
        <w:tc>
          <w:tcPr>
            <w:tcW w:w="0" w:type="auto"/>
            <w:shd w:val="clear" w:color="auto" w:fill="auto"/>
            <w:noWrap/>
            <w:hideMark/>
          </w:tcPr>
          <w:p w14:paraId="3761079C"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206DC4EA"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2E28054C" w14:textId="77777777" w:rsidR="002F0133" w:rsidRPr="000B4E2C" w:rsidRDefault="002F0133" w:rsidP="008A7464">
            <w:pPr>
              <w:rPr>
                <w:highlight w:val="green"/>
                <w:lang w:eastAsia="en-GB"/>
              </w:rPr>
            </w:pPr>
            <w:r w:rsidRPr="000B4E2C">
              <w:rPr>
                <w:highlight w:val="green"/>
                <w:lang w:eastAsia="en-GB"/>
              </w:rPr>
              <w:t>J. Martensson, M. Bell, S. Xu, M. Bottai, B. Ravn, P. Venge and C. R. Martling. Association of plasma neutrophil gelatinase-associated lipocalin (NGAL) with sepsis and acute kidney dysfunction. Biomarkers, 18(4), 349-356. [16089]</w:t>
            </w:r>
          </w:p>
        </w:tc>
      </w:tr>
      <w:tr w:rsidR="002F0133" w:rsidRPr="000B4E2C" w14:paraId="46E766C4" w14:textId="77777777" w:rsidTr="000B4E2C">
        <w:trPr>
          <w:cantSplit/>
        </w:trPr>
        <w:tc>
          <w:tcPr>
            <w:tcW w:w="0" w:type="auto"/>
            <w:shd w:val="clear" w:color="auto" w:fill="auto"/>
            <w:noWrap/>
            <w:hideMark/>
          </w:tcPr>
          <w:p w14:paraId="0F36ED8A" w14:textId="77777777" w:rsidR="002F0133" w:rsidRPr="000B4E2C" w:rsidRDefault="002F0133" w:rsidP="008A7464">
            <w:pPr>
              <w:rPr>
                <w:lang w:eastAsia="en-GB"/>
              </w:rPr>
            </w:pPr>
            <w:r w:rsidRPr="000B4E2C">
              <w:rPr>
                <w:lang w:eastAsia="en-GB"/>
              </w:rPr>
              <w:t>Martensson</w:t>
            </w:r>
          </w:p>
        </w:tc>
        <w:tc>
          <w:tcPr>
            <w:tcW w:w="0" w:type="auto"/>
            <w:shd w:val="clear" w:color="auto" w:fill="auto"/>
            <w:noWrap/>
            <w:hideMark/>
          </w:tcPr>
          <w:p w14:paraId="494388B2"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3EDFEC08" w14:textId="44D394B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F6EC0CE" w14:textId="77777777" w:rsidR="002F0133" w:rsidRPr="000B4E2C" w:rsidRDefault="002F0133" w:rsidP="008A7464">
            <w:pPr>
              <w:rPr>
                <w:highlight w:val="green"/>
                <w:lang w:eastAsia="en-GB"/>
              </w:rPr>
            </w:pPr>
            <w:r w:rsidRPr="000B4E2C">
              <w:rPr>
                <w:highlight w:val="green"/>
                <w:lang w:eastAsia="en-GB"/>
              </w:rPr>
              <w:t>J. Martensson, N. Jonsson, N. J. Glassford, M. Bell, C. R. Martling, R. Bellomo and A. Larsson. Plasma endostatin may improve acute kidney injury risk prediction in critically ill patients. Annals of Intensive Care, 6(1), 1-9. [16085]</w:t>
            </w:r>
          </w:p>
        </w:tc>
      </w:tr>
      <w:tr w:rsidR="002F0133" w:rsidRPr="000B4E2C" w14:paraId="59634286" w14:textId="77777777" w:rsidTr="000B4E2C">
        <w:trPr>
          <w:cantSplit/>
        </w:trPr>
        <w:tc>
          <w:tcPr>
            <w:tcW w:w="0" w:type="auto"/>
            <w:shd w:val="clear" w:color="auto" w:fill="auto"/>
            <w:noWrap/>
            <w:hideMark/>
          </w:tcPr>
          <w:p w14:paraId="365E556E" w14:textId="77777777" w:rsidR="002F0133" w:rsidRPr="000B4E2C" w:rsidRDefault="002F0133" w:rsidP="008A7464">
            <w:pPr>
              <w:rPr>
                <w:lang w:eastAsia="en-GB"/>
              </w:rPr>
            </w:pPr>
            <w:r w:rsidRPr="000B4E2C">
              <w:rPr>
                <w:lang w:eastAsia="en-GB"/>
              </w:rPr>
              <w:t xml:space="preserve">Martensson </w:t>
            </w:r>
          </w:p>
        </w:tc>
        <w:tc>
          <w:tcPr>
            <w:tcW w:w="0" w:type="auto"/>
            <w:shd w:val="clear" w:color="auto" w:fill="auto"/>
            <w:noWrap/>
            <w:hideMark/>
          </w:tcPr>
          <w:p w14:paraId="5C0029D6"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0D51DE85" w14:textId="1C67B0A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8D25DC0" w14:textId="77777777" w:rsidR="002F0133" w:rsidRPr="000B4E2C" w:rsidRDefault="002F0133" w:rsidP="008A7464">
            <w:pPr>
              <w:rPr>
                <w:highlight w:val="green"/>
                <w:lang w:eastAsia="en-GB"/>
              </w:rPr>
            </w:pPr>
            <w:r w:rsidRPr="000B4E2C">
              <w:rPr>
                <w:highlight w:val="green"/>
                <w:lang w:eastAsia="en-GB"/>
              </w:rPr>
              <w:t>J. Martensson, M. Bell, A. Oldner, S. Xu, P. Venge and C. R. Martling. Neutrophil gelatinase-associated lipocalin in adult septic patients with and without acute kidney injury. Intensive Care Medicine, 36(8), 1333-1340. [16092]</w:t>
            </w:r>
          </w:p>
        </w:tc>
      </w:tr>
      <w:tr w:rsidR="002F0133" w:rsidRPr="000B4E2C" w14:paraId="61E7E866" w14:textId="77777777" w:rsidTr="000B4E2C">
        <w:trPr>
          <w:cantSplit/>
        </w:trPr>
        <w:tc>
          <w:tcPr>
            <w:tcW w:w="0" w:type="auto"/>
            <w:shd w:val="clear" w:color="auto" w:fill="auto"/>
            <w:noWrap/>
            <w:hideMark/>
          </w:tcPr>
          <w:p w14:paraId="4FFBFC39" w14:textId="77777777" w:rsidR="002F0133" w:rsidRPr="000B4E2C" w:rsidRDefault="002F0133" w:rsidP="008A7464">
            <w:pPr>
              <w:rPr>
                <w:lang w:eastAsia="en-GB"/>
              </w:rPr>
            </w:pPr>
            <w:r w:rsidRPr="000B4E2C">
              <w:rPr>
                <w:lang w:eastAsia="en-GB"/>
              </w:rPr>
              <w:t>Martin-Moreno</w:t>
            </w:r>
          </w:p>
        </w:tc>
        <w:tc>
          <w:tcPr>
            <w:tcW w:w="0" w:type="auto"/>
            <w:shd w:val="clear" w:color="auto" w:fill="auto"/>
            <w:noWrap/>
            <w:hideMark/>
          </w:tcPr>
          <w:p w14:paraId="110805FB"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7BDA178A"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8C61386" w14:textId="77777777" w:rsidR="002F0133" w:rsidRPr="000B4E2C" w:rsidRDefault="002F0133" w:rsidP="008A7464">
            <w:pPr>
              <w:rPr>
                <w:highlight w:val="green"/>
                <w:lang w:eastAsia="en-GB"/>
              </w:rPr>
            </w:pPr>
            <w:r w:rsidRPr="000B4E2C">
              <w:rPr>
                <w:highlight w:val="green"/>
                <w:lang w:eastAsia="en-GB"/>
              </w:rPr>
              <w:t>P. L. Martin-Moreno, N. Varo, E. Martinez-Anso, N. Martin-Calvo, C. Sayon-Orea, J. I. Bilbao and N. Garcia-Fernandez. Comparison of Intravenous and Oral Hydration in the Prevention of Contrast-Induced Acute Kidney Injury in Low-Risk Patients: A Randomized Trial. Nephron, 131(1), 51-58. [16094]</w:t>
            </w:r>
          </w:p>
        </w:tc>
      </w:tr>
      <w:tr w:rsidR="002F0133" w:rsidRPr="000B4E2C" w14:paraId="727B00EC" w14:textId="77777777" w:rsidTr="000B4E2C">
        <w:trPr>
          <w:cantSplit/>
        </w:trPr>
        <w:tc>
          <w:tcPr>
            <w:tcW w:w="0" w:type="auto"/>
            <w:shd w:val="clear" w:color="auto" w:fill="auto"/>
            <w:noWrap/>
            <w:hideMark/>
          </w:tcPr>
          <w:p w14:paraId="18CB807A" w14:textId="77777777" w:rsidR="002F0133" w:rsidRPr="000B4E2C" w:rsidRDefault="002F0133" w:rsidP="008A7464">
            <w:pPr>
              <w:rPr>
                <w:lang w:eastAsia="en-GB"/>
              </w:rPr>
            </w:pPr>
            <w:r w:rsidRPr="000B4E2C">
              <w:rPr>
                <w:lang w:eastAsia="en-GB"/>
              </w:rPr>
              <w:t>Martino</w:t>
            </w:r>
          </w:p>
        </w:tc>
        <w:tc>
          <w:tcPr>
            <w:tcW w:w="0" w:type="auto"/>
            <w:shd w:val="clear" w:color="auto" w:fill="auto"/>
            <w:noWrap/>
            <w:hideMark/>
          </w:tcPr>
          <w:p w14:paraId="520C7F9E"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4488AC30" w14:textId="77777777" w:rsidR="002F0133" w:rsidRPr="000B4E2C" w:rsidRDefault="002F0133" w:rsidP="008A7464">
            <w:pPr>
              <w:rPr>
                <w:lang w:eastAsia="en-GB"/>
              </w:rPr>
            </w:pPr>
            <w:r w:rsidRPr="000B4E2C">
              <w:rPr>
                <w:lang w:eastAsia="en-GB"/>
              </w:rPr>
              <w:t>Pilot study or preliminary analysis only</w:t>
            </w:r>
          </w:p>
        </w:tc>
        <w:tc>
          <w:tcPr>
            <w:tcW w:w="0" w:type="auto"/>
            <w:shd w:val="clear" w:color="auto" w:fill="auto"/>
            <w:noWrap/>
            <w:hideMark/>
          </w:tcPr>
          <w:p w14:paraId="4A427478" w14:textId="77777777" w:rsidR="002F0133" w:rsidRPr="000B4E2C" w:rsidRDefault="002F0133" w:rsidP="008A7464">
            <w:pPr>
              <w:rPr>
                <w:highlight w:val="green"/>
                <w:lang w:eastAsia="en-GB"/>
              </w:rPr>
            </w:pPr>
            <w:r w:rsidRPr="000B4E2C">
              <w:rPr>
                <w:highlight w:val="green"/>
                <w:lang w:eastAsia="en-GB"/>
              </w:rPr>
              <w:t>F. K. Martino, I. Filippi, D. Giavarina, M. Kaushik, M. P. Rodighiero, C. Crepaldi, C. Teixeira, A. F. Nadal, M. H. Rosner and C. Ronco. Neutrophil gelatinase-associated lipocalin in the early diagnosis of peritonitis: The case of neutrophil gelatinase-associated lipocalin. Peritoneal Dialysis - State-of-the-Art 2012, 178(258-263. [16096]</w:t>
            </w:r>
          </w:p>
        </w:tc>
      </w:tr>
      <w:tr w:rsidR="002F0133" w:rsidRPr="000B4E2C" w14:paraId="1DA591B6" w14:textId="77777777" w:rsidTr="000B4E2C">
        <w:trPr>
          <w:cantSplit/>
        </w:trPr>
        <w:tc>
          <w:tcPr>
            <w:tcW w:w="0" w:type="auto"/>
            <w:shd w:val="clear" w:color="auto" w:fill="auto"/>
            <w:noWrap/>
            <w:hideMark/>
          </w:tcPr>
          <w:p w14:paraId="73DF5C10" w14:textId="77777777" w:rsidR="002F0133" w:rsidRPr="000B4E2C" w:rsidRDefault="002F0133" w:rsidP="008A7464">
            <w:pPr>
              <w:rPr>
                <w:lang w:eastAsia="en-GB"/>
              </w:rPr>
            </w:pPr>
            <w:r w:rsidRPr="000B4E2C">
              <w:rPr>
                <w:lang w:eastAsia="en-GB"/>
              </w:rPr>
              <w:t>Mathew</w:t>
            </w:r>
          </w:p>
        </w:tc>
        <w:tc>
          <w:tcPr>
            <w:tcW w:w="0" w:type="auto"/>
            <w:shd w:val="clear" w:color="auto" w:fill="auto"/>
            <w:noWrap/>
            <w:hideMark/>
          </w:tcPr>
          <w:p w14:paraId="5ADBB53E"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39C4E6DD"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51D96FDF" w14:textId="77777777" w:rsidR="002F0133" w:rsidRPr="000B4E2C" w:rsidRDefault="002F0133" w:rsidP="008A7464">
            <w:pPr>
              <w:rPr>
                <w:highlight w:val="green"/>
                <w:lang w:eastAsia="en-GB"/>
              </w:rPr>
            </w:pPr>
            <w:r w:rsidRPr="000B4E2C">
              <w:rPr>
                <w:highlight w:val="green"/>
                <w:lang w:eastAsia="en-GB"/>
              </w:rPr>
              <w:t>A. Mathew and A. X. Garg. A single measure of urinary neutrophil gelatinase-associated lipocalin was accurate for diagnosing acute kidney injury. ACP Journal Club, 149(6), 13. [2814]</w:t>
            </w:r>
          </w:p>
        </w:tc>
      </w:tr>
      <w:tr w:rsidR="002F0133" w:rsidRPr="000B4E2C" w14:paraId="38DE9D63" w14:textId="77777777" w:rsidTr="000B4E2C">
        <w:trPr>
          <w:cantSplit/>
        </w:trPr>
        <w:tc>
          <w:tcPr>
            <w:tcW w:w="0" w:type="auto"/>
            <w:shd w:val="clear" w:color="auto" w:fill="auto"/>
            <w:noWrap/>
            <w:hideMark/>
          </w:tcPr>
          <w:p w14:paraId="73D3A278" w14:textId="77777777" w:rsidR="002F0133" w:rsidRPr="000B4E2C" w:rsidRDefault="002F0133" w:rsidP="008A7464">
            <w:pPr>
              <w:rPr>
                <w:lang w:eastAsia="en-GB"/>
              </w:rPr>
            </w:pPr>
            <w:r w:rsidRPr="000B4E2C">
              <w:rPr>
                <w:lang w:eastAsia="en-GB"/>
              </w:rPr>
              <w:t>Matsuura</w:t>
            </w:r>
          </w:p>
        </w:tc>
        <w:tc>
          <w:tcPr>
            <w:tcW w:w="0" w:type="auto"/>
            <w:shd w:val="clear" w:color="auto" w:fill="auto"/>
            <w:noWrap/>
            <w:hideMark/>
          </w:tcPr>
          <w:p w14:paraId="190CCE02"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B47D24F" w14:textId="7CDECD1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D5BE14A" w14:textId="77777777" w:rsidR="002F0133" w:rsidRPr="000B4E2C" w:rsidRDefault="002F0133" w:rsidP="008A7464">
            <w:pPr>
              <w:rPr>
                <w:highlight w:val="green"/>
                <w:lang w:eastAsia="en-GB"/>
              </w:rPr>
            </w:pPr>
            <w:r w:rsidRPr="000B4E2C">
              <w:rPr>
                <w:highlight w:val="green"/>
                <w:lang w:eastAsia="en-GB"/>
              </w:rPr>
              <w:t>R. Matsuura, Y. Komaru, Y. Miyamoto, T. Yoshida, K. Yoshimoto, R. Isshiki, K. Mayumi, T. Yamashita, Y. Hamasaki, M. Nangaku, E. Noiri, N. Morimura and K. Doi. Response to different furosemide doses predicts AKI progression in ICU patients with elevated plasma NGAL levels. Annals of Intensive Care, 8(1), 8. [16104]</w:t>
            </w:r>
          </w:p>
        </w:tc>
      </w:tr>
      <w:tr w:rsidR="002F0133" w:rsidRPr="000B4E2C" w14:paraId="70BFABBE" w14:textId="77777777" w:rsidTr="000B4E2C">
        <w:trPr>
          <w:cantSplit/>
        </w:trPr>
        <w:tc>
          <w:tcPr>
            <w:tcW w:w="0" w:type="auto"/>
            <w:shd w:val="clear" w:color="auto" w:fill="auto"/>
            <w:noWrap/>
            <w:hideMark/>
          </w:tcPr>
          <w:p w14:paraId="4F48C012" w14:textId="77777777" w:rsidR="002F0133" w:rsidRPr="000B4E2C" w:rsidRDefault="002F0133" w:rsidP="008A7464">
            <w:pPr>
              <w:rPr>
                <w:lang w:eastAsia="en-GB"/>
              </w:rPr>
            </w:pPr>
            <w:r w:rsidRPr="000B4E2C">
              <w:rPr>
                <w:lang w:eastAsia="en-GB"/>
              </w:rPr>
              <w:t>Matys</w:t>
            </w:r>
          </w:p>
        </w:tc>
        <w:tc>
          <w:tcPr>
            <w:tcW w:w="0" w:type="auto"/>
            <w:shd w:val="clear" w:color="auto" w:fill="auto"/>
            <w:noWrap/>
            <w:hideMark/>
          </w:tcPr>
          <w:p w14:paraId="34FD5BF7"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76BDDC02"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CAE2B4A" w14:textId="77777777" w:rsidR="002F0133" w:rsidRPr="000B4E2C" w:rsidRDefault="002F0133" w:rsidP="008A7464">
            <w:pPr>
              <w:rPr>
                <w:highlight w:val="green"/>
                <w:lang w:eastAsia="en-GB"/>
              </w:rPr>
            </w:pPr>
            <w:r w:rsidRPr="000B4E2C">
              <w:rPr>
                <w:highlight w:val="green"/>
                <w:lang w:eastAsia="en-GB"/>
              </w:rPr>
              <w:t>U. Matys, H. Bachorzewska-Gajewska, J. Malyszko and S. Dobrzycki. Assessment of kidney function in diabetic patients. Is there a role for new biomarkers NGAL, cystatin C and KIM-1?. Advances in Medical Sciences, 58(2), 353-361. [18513]</w:t>
            </w:r>
          </w:p>
        </w:tc>
      </w:tr>
      <w:tr w:rsidR="002F0133" w:rsidRPr="000B4E2C" w14:paraId="6450C5DA" w14:textId="77777777" w:rsidTr="000B4E2C">
        <w:trPr>
          <w:cantSplit/>
        </w:trPr>
        <w:tc>
          <w:tcPr>
            <w:tcW w:w="0" w:type="auto"/>
            <w:shd w:val="clear" w:color="auto" w:fill="auto"/>
            <w:noWrap/>
            <w:hideMark/>
          </w:tcPr>
          <w:p w14:paraId="042C8D97" w14:textId="77777777" w:rsidR="002F0133" w:rsidRPr="000B4E2C" w:rsidRDefault="002F0133" w:rsidP="008A7464">
            <w:pPr>
              <w:rPr>
                <w:lang w:eastAsia="en-GB"/>
              </w:rPr>
            </w:pPr>
            <w:r w:rsidRPr="000B4E2C">
              <w:rPr>
                <w:lang w:eastAsia="en-GB"/>
              </w:rPr>
              <w:t>Mawad</w:t>
            </w:r>
          </w:p>
        </w:tc>
        <w:tc>
          <w:tcPr>
            <w:tcW w:w="0" w:type="auto"/>
            <w:shd w:val="clear" w:color="auto" w:fill="auto"/>
            <w:noWrap/>
            <w:hideMark/>
          </w:tcPr>
          <w:p w14:paraId="3C408D2F"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137507D0" w14:textId="74D0046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BB971D6" w14:textId="77777777" w:rsidR="002F0133" w:rsidRPr="000B4E2C" w:rsidRDefault="002F0133" w:rsidP="008A7464">
            <w:pPr>
              <w:rPr>
                <w:highlight w:val="green"/>
                <w:lang w:eastAsia="en-GB"/>
              </w:rPr>
            </w:pPr>
            <w:r w:rsidRPr="000B4E2C">
              <w:rPr>
                <w:highlight w:val="green"/>
                <w:lang w:eastAsia="en-GB"/>
              </w:rPr>
              <w:t>H. Mawad, L.-P. Laurin, J.-F. Naud, F. A. Leblond, N. Henley, M. Vallee, V. Pichette and M. Leblanc. Changes in Urinary and Serum Levels of Novel Biomarkers after Administration of Gadolinium-based Contrast Agents. Biomarker Insights, 11(91-94. [18514]</w:t>
            </w:r>
          </w:p>
        </w:tc>
      </w:tr>
      <w:tr w:rsidR="002F0133" w:rsidRPr="000B4E2C" w14:paraId="06B6934A" w14:textId="77777777" w:rsidTr="000B4E2C">
        <w:trPr>
          <w:cantSplit/>
        </w:trPr>
        <w:tc>
          <w:tcPr>
            <w:tcW w:w="0" w:type="auto"/>
            <w:shd w:val="clear" w:color="auto" w:fill="auto"/>
            <w:noWrap/>
            <w:hideMark/>
          </w:tcPr>
          <w:p w14:paraId="09C3355C" w14:textId="77777777" w:rsidR="002F0133" w:rsidRPr="000B4E2C" w:rsidRDefault="002F0133" w:rsidP="008A7464">
            <w:pPr>
              <w:rPr>
                <w:lang w:eastAsia="en-GB"/>
              </w:rPr>
            </w:pPr>
            <w:r w:rsidRPr="000B4E2C">
              <w:rPr>
                <w:lang w:eastAsia="en-GB"/>
              </w:rPr>
              <w:t>Mayer</w:t>
            </w:r>
          </w:p>
        </w:tc>
        <w:tc>
          <w:tcPr>
            <w:tcW w:w="0" w:type="auto"/>
            <w:shd w:val="clear" w:color="auto" w:fill="auto"/>
            <w:noWrap/>
            <w:hideMark/>
          </w:tcPr>
          <w:p w14:paraId="20E2B2E3"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33F5653D" w14:textId="77777777" w:rsidR="002F0133" w:rsidRPr="000B4E2C" w:rsidRDefault="002F0133" w:rsidP="008A7464">
            <w:pPr>
              <w:rPr>
                <w:lang w:eastAsia="en-GB"/>
              </w:rPr>
            </w:pPr>
            <w:r w:rsidRPr="000B4E2C">
              <w:rPr>
                <w:lang w:eastAsia="en-GB"/>
              </w:rPr>
              <w:t>Pilot study or preliminary analysis only</w:t>
            </w:r>
          </w:p>
        </w:tc>
        <w:tc>
          <w:tcPr>
            <w:tcW w:w="0" w:type="auto"/>
            <w:shd w:val="clear" w:color="auto" w:fill="auto"/>
            <w:noWrap/>
            <w:hideMark/>
          </w:tcPr>
          <w:p w14:paraId="6839A688" w14:textId="77777777" w:rsidR="002F0133" w:rsidRPr="000B4E2C" w:rsidRDefault="002F0133" w:rsidP="008A7464">
            <w:pPr>
              <w:rPr>
                <w:highlight w:val="green"/>
                <w:lang w:eastAsia="en-GB"/>
              </w:rPr>
            </w:pPr>
            <w:r w:rsidRPr="000B4E2C">
              <w:rPr>
                <w:highlight w:val="green"/>
                <w:lang w:eastAsia="en-GB"/>
              </w:rPr>
              <w:t>T. Mayer, D. Bolliger, M. Scholz, O. Reuthebuch, M. Gregor, P. Meier, M. Grapow, M. D. Seeberger and J. Fassl. Urine Biomarkers of Tubular Renal Cell Damage for the Prediction of Acute Kidney Injury After Cardiac Surgery-A Pilot Study. Journal of Cardiothoracic and Vascular Anesthesia, 31(6), 2072-2079. [16105]</w:t>
            </w:r>
          </w:p>
        </w:tc>
      </w:tr>
      <w:tr w:rsidR="002F0133" w:rsidRPr="000B4E2C" w14:paraId="4E7C4DCB" w14:textId="77777777" w:rsidTr="000B4E2C">
        <w:trPr>
          <w:cantSplit/>
        </w:trPr>
        <w:tc>
          <w:tcPr>
            <w:tcW w:w="0" w:type="auto"/>
            <w:shd w:val="clear" w:color="auto" w:fill="auto"/>
            <w:noWrap/>
            <w:hideMark/>
          </w:tcPr>
          <w:p w14:paraId="253D363B" w14:textId="77777777" w:rsidR="002F0133" w:rsidRPr="000B4E2C" w:rsidRDefault="002F0133" w:rsidP="008A7464">
            <w:pPr>
              <w:rPr>
                <w:lang w:eastAsia="en-GB"/>
              </w:rPr>
            </w:pPr>
            <w:r w:rsidRPr="000B4E2C">
              <w:rPr>
                <w:lang w:eastAsia="en-GB"/>
              </w:rPr>
              <w:t>Mazar</w:t>
            </w:r>
          </w:p>
        </w:tc>
        <w:tc>
          <w:tcPr>
            <w:tcW w:w="0" w:type="auto"/>
            <w:shd w:val="clear" w:color="auto" w:fill="auto"/>
            <w:noWrap/>
            <w:hideMark/>
          </w:tcPr>
          <w:p w14:paraId="38563FB0"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5FD61D00"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34236F94" w14:textId="77777777" w:rsidR="002F0133" w:rsidRPr="000B4E2C" w:rsidRDefault="002F0133" w:rsidP="008A7464">
            <w:pPr>
              <w:rPr>
                <w:highlight w:val="green"/>
                <w:lang w:eastAsia="en-GB"/>
              </w:rPr>
            </w:pPr>
            <w:r w:rsidRPr="000B4E2C">
              <w:rPr>
                <w:highlight w:val="green"/>
                <w:lang w:eastAsia="en-GB"/>
              </w:rPr>
              <w:t>M. Mazar, V. Ivancan, I. Segotic, Z. Colak, R. Gabelica, G. Rajsman, S. Uzun, S. Konosic, V. V. Brozovic and D. Strapajevic. A diagnosis of a renal injury by early biomarkers in patients exposed to cardiopulmonary bypass during cardiac surgery. Signa Vitae, 9(SUPPL. 1), 45-48. [16106]</w:t>
            </w:r>
          </w:p>
        </w:tc>
      </w:tr>
      <w:tr w:rsidR="002F0133" w:rsidRPr="000B4E2C" w14:paraId="6D10F97F" w14:textId="77777777" w:rsidTr="000B4E2C">
        <w:trPr>
          <w:cantSplit/>
        </w:trPr>
        <w:tc>
          <w:tcPr>
            <w:tcW w:w="0" w:type="auto"/>
            <w:shd w:val="clear" w:color="auto" w:fill="auto"/>
            <w:noWrap/>
            <w:hideMark/>
          </w:tcPr>
          <w:p w14:paraId="11C13419" w14:textId="77777777" w:rsidR="002F0133" w:rsidRPr="000B4E2C" w:rsidRDefault="002F0133" w:rsidP="008A7464">
            <w:pPr>
              <w:rPr>
                <w:lang w:eastAsia="en-GB"/>
              </w:rPr>
            </w:pPr>
            <w:r w:rsidRPr="000B4E2C">
              <w:rPr>
                <w:lang w:eastAsia="en-GB"/>
              </w:rPr>
              <w:t>Mazzeffi</w:t>
            </w:r>
          </w:p>
        </w:tc>
        <w:tc>
          <w:tcPr>
            <w:tcW w:w="0" w:type="auto"/>
            <w:shd w:val="clear" w:color="auto" w:fill="auto"/>
            <w:noWrap/>
            <w:hideMark/>
          </w:tcPr>
          <w:p w14:paraId="3BF86445"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432B85F4" w14:textId="33159E0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7BEC824" w14:textId="77777777" w:rsidR="002F0133" w:rsidRPr="000B4E2C" w:rsidRDefault="002F0133" w:rsidP="008A7464">
            <w:pPr>
              <w:rPr>
                <w:highlight w:val="green"/>
                <w:lang w:eastAsia="en-GB"/>
              </w:rPr>
            </w:pPr>
            <w:r w:rsidRPr="000B4E2C">
              <w:rPr>
                <w:highlight w:val="green"/>
                <w:lang w:eastAsia="en-GB"/>
              </w:rPr>
              <w:t>M. A. Mazzeffi, P. Stafford, K. Wallace, W. Bernstein, S. Deshpande, P. Odonkor, A. Grewal, E. Strauss, L. Stubbs, J. Gammie and P. Rock. Intra-abdominal Hypertension and Postoperative Kidney Dysfunction in Cardiac Surgery Patients. Journal of cardiothoracic and vascular anesthesia, 30(6), 1571-1577. [18515]</w:t>
            </w:r>
          </w:p>
        </w:tc>
      </w:tr>
      <w:tr w:rsidR="002F0133" w:rsidRPr="000B4E2C" w14:paraId="0B4E48F0" w14:textId="77777777" w:rsidTr="000B4E2C">
        <w:trPr>
          <w:cantSplit/>
        </w:trPr>
        <w:tc>
          <w:tcPr>
            <w:tcW w:w="0" w:type="auto"/>
            <w:shd w:val="clear" w:color="auto" w:fill="auto"/>
            <w:noWrap/>
            <w:hideMark/>
          </w:tcPr>
          <w:p w14:paraId="3F40770C" w14:textId="77777777" w:rsidR="002F0133" w:rsidRPr="000B4E2C" w:rsidRDefault="002F0133" w:rsidP="008A7464">
            <w:pPr>
              <w:rPr>
                <w:lang w:eastAsia="en-GB"/>
              </w:rPr>
            </w:pPr>
            <w:r w:rsidRPr="000B4E2C">
              <w:rPr>
                <w:lang w:eastAsia="en-GB"/>
              </w:rPr>
              <w:lastRenderedPageBreak/>
              <w:t>McCaffrey</w:t>
            </w:r>
          </w:p>
        </w:tc>
        <w:tc>
          <w:tcPr>
            <w:tcW w:w="0" w:type="auto"/>
            <w:shd w:val="clear" w:color="auto" w:fill="auto"/>
            <w:noWrap/>
            <w:hideMark/>
          </w:tcPr>
          <w:p w14:paraId="2723CF38"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3D1523D" w14:textId="519164F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04CBF29" w14:textId="77777777" w:rsidR="002F0133" w:rsidRPr="000B4E2C" w:rsidRDefault="002F0133" w:rsidP="008A7464">
            <w:pPr>
              <w:rPr>
                <w:highlight w:val="green"/>
                <w:lang w:eastAsia="en-GB"/>
              </w:rPr>
            </w:pPr>
            <w:r w:rsidRPr="000B4E2C">
              <w:rPr>
                <w:highlight w:val="green"/>
                <w:lang w:eastAsia="en-GB"/>
              </w:rPr>
              <w:t>J. McCaffrey, B. Coupes, C. Chaloner, N. J. A. Webb, R. Barber and R. Lennon. Towards a biomarker panel for the assessment of AKI in children receiving intensive care. Pediatric Nephrology, 30(10), 1861-1871. [16108]</w:t>
            </w:r>
          </w:p>
        </w:tc>
      </w:tr>
      <w:tr w:rsidR="002F0133" w:rsidRPr="000B4E2C" w14:paraId="7241FE04" w14:textId="77777777" w:rsidTr="000B4E2C">
        <w:trPr>
          <w:cantSplit/>
        </w:trPr>
        <w:tc>
          <w:tcPr>
            <w:tcW w:w="0" w:type="auto"/>
            <w:shd w:val="clear" w:color="auto" w:fill="auto"/>
            <w:noWrap/>
            <w:hideMark/>
          </w:tcPr>
          <w:p w14:paraId="5550C5C6" w14:textId="77777777" w:rsidR="002F0133" w:rsidRPr="000B4E2C" w:rsidRDefault="002F0133" w:rsidP="008A7464">
            <w:pPr>
              <w:rPr>
                <w:lang w:eastAsia="en-GB"/>
              </w:rPr>
            </w:pPr>
            <w:r w:rsidRPr="000B4E2C">
              <w:rPr>
                <w:lang w:eastAsia="en-GB"/>
              </w:rPr>
              <w:t>McCullough</w:t>
            </w:r>
          </w:p>
        </w:tc>
        <w:tc>
          <w:tcPr>
            <w:tcW w:w="0" w:type="auto"/>
            <w:shd w:val="clear" w:color="auto" w:fill="auto"/>
            <w:noWrap/>
            <w:hideMark/>
          </w:tcPr>
          <w:p w14:paraId="16C02BAD"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65585128"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082E460C" w14:textId="77777777" w:rsidR="002F0133" w:rsidRPr="000B4E2C" w:rsidRDefault="002F0133" w:rsidP="008A7464">
            <w:pPr>
              <w:rPr>
                <w:highlight w:val="green"/>
                <w:lang w:eastAsia="en-GB"/>
              </w:rPr>
            </w:pPr>
            <w:r w:rsidRPr="000B4E2C">
              <w:rPr>
                <w:highlight w:val="green"/>
                <w:lang w:eastAsia="en-GB"/>
              </w:rPr>
              <w:t>P. A. McCullough, M. El-Ghoroury and H. Yamasaki. Early detection of acute kidney injury with neutrophil gelatinase- associated lipocalin. Journal of the American College of Cardiology, 57(17), 1762-1764. [16112]</w:t>
            </w:r>
          </w:p>
        </w:tc>
      </w:tr>
      <w:tr w:rsidR="002F0133" w:rsidRPr="000B4E2C" w14:paraId="29636065" w14:textId="77777777" w:rsidTr="000B4E2C">
        <w:trPr>
          <w:cantSplit/>
        </w:trPr>
        <w:tc>
          <w:tcPr>
            <w:tcW w:w="0" w:type="auto"/>
            <w:shd w:val="clear" w:color="auto" w:fill="auto"/>
            <w:noWrap/>
            <w:hideMark/>
          </w:tcPr>
          <w:p w14:paraId="68BAE07A" w14:textId="77777777" w:rsidR="002F0133" w:rsidRPr="000B4E2C" w:rsidRDefault="002F0133" w:rsidP="008A7464">
            <w:pPr>
              <w:rPr>
                <w:lang w:eastAsia="en-GB"/>
              </w:rPr>
            </w:pPr>
            <w:r w:rsidRPr="000B4E2C">
              <w:rPr>
                <w:lang w:eastAsia="en-GB"/>
              </w:rPr>
              <w:t>McCullough</w:t>
            </w:r>
          </w:p>
        </w:tc>
        <w:tc>
          <w:tcPr>
            <w:tcW w:w="0" w:type="auto"/>
            <w:shd w:val="clear" w:color="auto" w:fill="auto"/>
            <w:noWrap/>
            <w:hideMark/>
          </w:tcPr>
          <w:p w14:paraId="6442A06E"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6B117C51"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8DB1FE5" w14:textId="77777777" w:rsidR="002F0133" w:rsidRPr="000B4E2C" w:rsidRDefault="002F0133" w:rsidP="008A7464">
            <w:pPr>
              <w:rPr>
                <w:highlight w:val="green"/>
                <w:lang w:eastAsia="en-GB"/>
              </w:rPr>
            </w:pPr>
            <w:r w:rsidRPr="000B4E2C">
              <w:rPr>
                <w:highlight w:val="green"/>
                <w:lang w:eastAsia="en-GB"/>
              </w:rPr>
              <w:t>P. A. McCullough, F. J. Williams, D. N. Stivers, L. Cannon, S. Dixon, P. Alexander, D. Runyan and S. David. Neutrophil gelatinase-associated lipocalin: A novel marker of contrast nephropathy risk. American Journal of Nephrology, 35(6), 509-514. [16111]</w:t>
            </w:r>
          </w:p>
        </w:tc>
      </w:tr>
      <w:tr w:rsidR="002F0133" w:rsidRPr="000B4E2C" w14:paraId="0BF32171" w14:textId="77777777" w:rsidTr="000B4E2C">
        <w:trPr>
          <w:cantSplit/>
        </w:trPr>
        <w:tc>
          <w:tcPr>
            <w:tcW w:w="0" w:type="auto"/>
            <w:shd w:val="clear" w:color="auto" w:fill="auto"/>
            <w:noWrap/>
            <w:hideMark/>
          </w:tcPr>
          <w:p w14:paraId="6475D21D" w14:textId="77777777" w:rsidR="002F0133" w:rsidRPr="000B4E2C" w:rsidRDefault="002F0133" w:rsidP="008A7464">
            <w:pPr>
              <w:rPr>
                <w:lang w:eastAsia="en-GB"/>
              </w:rPr>
            </w:pPr>
            <w:r w:rsidRPr="000B4E2C">
              <w:rPr>
                <w:lang w:eastAsia="en-GB"/>
              </w:rPr>
              <w:t>McIlroy</w:t>
            </w:r>
          </w:p>
        </w:tc>
        <w:tc>
          <w:tcPr>
            <w:tcW w:w="0" w:type="auto"/>
            <w:shd w:val="clear" w:color="auto" w:fill="auto"/>
            <w:noWrap/>
            <w:hideMark/>
          </w:tcPr>
          <w:p w14:paraId="170A910F"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0B6B9CDB"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3A6D3E13" w14:textId="77777777" w:rsidR="002F0133" w:rsidRPr="000B4E2C" w:rsidRDefault="002F0133" w:rsidP="008A7464">
            <w:pPr>
              <w:rPr>
                <w:highlight w:val="green"/>
                <w:lang w:eastAsia="en-GB"/>
              </w:rPr>
            </w:pPr>
            <w:r w:rsidRPr="000B4E2C">
              <w:rPr>
                <w:highlight w:val="green"/>
                <w:lang w:eastAsia="en-GB"/>
              </w:rPr>
              <w:t>D. R. McIlroy, G. Wagener and H. T. Lee. Neutrophil gelatinase-associated lipocalin and acute kidney injury after cardiac surgery: The effect of baseline renal function on diagnostic performance. Clinical Journal of the American Society of Nephrology, 5(2), 211-219. [16122]</w:t>
            </w:r>
          </w:p>
        </w:tc>
      </w:tr>
      <w:tr w:rsidR="002F0133" w:rsidRPr="000B4E2C" w14:paraId="661BBCFF" w14:textId="77777777" w:rsidTr="000B4E2C">
        <w:trPr>
          <w:cantSplit/>
        </w:trPr>
        <w:tc>
          <w:tcPr>
            <w:tcW w:w="0" w:type="auto"/>
            <w:shd w:val="clear" w:color="auto" w:fill="auto"/>
            <w:noWrap/>
            <w:hideMark/>
          </w:tcPr>
          <w:p w14:paraId="0956AAEB" w14:textId="77777777" w:rsidR="002F0133" w:rsidRPr="000B4E2C" w:rsidRDefault="002F0133" w:rsidP="008A7464">
            <w:pPr>
              <w:rPr>
                <w:lang w:eastAsia="en-GB"/>
              </w:rPr>
            </w:pPr>
            <w:r w:rsidRPr="000B4E2C">
              <w:rPr>
                <w:lang w:eastAsia="en-GB"/>
              </w:rPr>
              <w:t>McIlroy</w:t>
            </w:r>
          </w:p>
        </w:tc>
        <w:tc>
          <w:tcPr>
            <w:tcW w:w="0" w:type="auto"/>
            <w:shd w:val="clear" w:color="auto" w:fill="auto"/>
            <w:noWrap/>
            <w:hideMark/>
          </w:tcPr>
          <w:p w14:paraId="5CE7BC0E"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41265840"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7714700E" w14:textId="77777777" w:rsidR="002F0133" w:rsidRPr="000B4E2C" w:rsidRDefault="002F0133" w:rsidP="008A7464">
            <w:pPr>
              <w:rPr>
                <w:highlight w:val="green"/>
                <w:lang w:eastAsia="en-GB"/>
              </w:rPr>
            </w:pPr>
            <w:r w:rsidRPr="000B4E2C">
              <w:rPr>
                <w:highlight w:val="green"/>
                <w:lang w:eastAsia="en-GB"/>
              </w:rPr>
              <w:t>D. R. McIlroy, G. Wagener and H. T. Lee. Biomarkers of acute kidney injury: An evolving domain. Anesthesiology, 112(4), 998-1004. [16121]</w:t>
            </w:r>
          </w:p>
        </w:tc>
      </w:tr>
      <w:tr w:rsidR="002F0133" w:rsidRPr="000B4E2C" w14:paraId="0C51AF9D" w14:textId="77777777" w:rsidTr="000B4E2C">
        <w:trPr>
          <w:cantSplit/>
        </w:trPr>
        <w:tc>
          <w:tcPr>
            <w:tcW w:w="0" w:type="auto"/>
            <w:shd w:val="clear" w:color="auto" w:fill="auto"/>
            <w:noWrap/>
            <w:hideMark/>
          </w:tcPr>
          <w:p w14:paraId="512E82D7" w14:textId="77777777" w:rsidR="002F0133" w:rsidRPr="000B4E2C" w:rsidRDefault="002F0133" w:rsidP="008A7464">
            <w:pPr>
              <w:rPr>
                <w:lang w:eastAsia="en-GB"/>
              </w:rPr>
            </w:pPr>
            <w:r w:rsidRPr="000B4E2C">
              <w:rPr>
                <w:lang w:eastAsia="en-GB"/>
              </w:rPr>
              <w:t>McIlroy</w:t>
            </w:r>
          </w:p>
        </w:tc>
        <w:tc>
          <w:tcPr>
            <w:tcW w:w="0" w:type="auto"/>
            <w:shd w:val="clear" w:color="auto" w:fill="auto"/>
            <w:noWrap/>
            <w:hideMark/>
          </w:tcPr>
          <w:p w14:paraId="005E43C8"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3B5B02AF"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2D82C1CD" w14:textId="77777777" w:rsidR="002F0133" w:rsidRPr="000B4E2C" w:rsidRDefault="002F0133" w:rsidP="008A7464">
            <w:pPr>
              <w:rPr>
                <w:highlight w:val="green"/>
                <w:lang w:eastAsia="en-GB"/>
              </w:rPr>
            </w:pPr>
            <w:r w:rsidRPr="000B4E2C">
              <w:rPr>
                <w:highlight w:val="green"/>
                <w:lang w:eastAsia="en-GB"/>
              </w:rPr>
              <w:t>D. R. McIlroy, D. Farkas, M. Matto and H. T. Lee. Neutrophil gelatinase-associated lipocalin combined with delta serum creatinine provides early risk stratification for adverse outcomes after cardiac surgery: A prospective observational study. Critical Care Medicine, 43(5), 1043-1052. [16119]</w:t>
            </w:r>
          </w:p>
        </w:tc>
      </w:tr>
      <w:tr w:rsidR="002F0133" w:rsidRPr="000B4E2C" w14:paraId="5BB30DB1" w14:textId="77777777" w:rsidTr="000B4E2C">
        <w:trPr>
          <w:cantSplit/>
        </w:trPr>
        <w:tc>
          <w:tcPr>
            <w:tcW w:w="0" w:type="auto"/>
            <w:shd w:val="clear" w:color="auto" w:fill="auto"/>
            <w:noWrap/>
            <w:hideMark/>
          </w:tcPr>
          <w:p w14:paraId="34CAE138" w14:textId="77777777" w:rsidR="002F0133" w:rsidRPr="000B4E2C" w:rsidRDefault="002F0133" w:rsidP="008A7464">
            <w:pPr>
              <w:rPr>
                <w:lang w:eastAsia="en-GB"/>
              </w:rPr>
            </w:pPr>
            <w:r w:rsidRPr="000B4E2C">
              <w:rPr>
                <w:lang w:eastAsia="en-GB"/>
              </w:rPr>
              <w:t>McWilliam</w:t>
            </w:r>
          </w:p>
        </w:tc>
        <w:tc>
          <w:tcPr>
            <w:tcW w:w="0" w:type="auto"/>
            <w:shd w:val="clear" w:color="auto" w:fill="auto"/>
            <w:noWrap/>
            <w:hideMark/>
          </w:tcPr>
          <w:p w14:paraId="662EEA3F"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30DD68FA" w14:textId="36D2B79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910FC7D" w14:textId="77777777" w:rsidR="002F0133" w:rsidRPr="000B4E2C" w:rsidRDefault="002F0133" w:rsidP="008A7464">
            <w:pPr>
              <w:rPr>
                <w:highlight w:val="green"/>
                <w:lang w:eastAsia="en-GB"/>
              </w:rPr>
            </w:pPr>
            <w:r w:rsidRPr="000B4E2C">
              <w:rPr>
                <w:highlight w:val="green"/>
                <w:lang w:eastAsia="en-GB"/>
              </w:rPr>
              <w:t>S. J. McWilliam, D. J. Antoine, V. Sabbisetti, M. A. Turner, T. Farragher, J. V. Bonventre, B. K. Park, R. L. Smyth and M. Pirmohamed. Mechanism-based urinary biomarkers to identify the potential for aminoglycoside-induced nephrotoxicity in premature neonates: a proof-of-concept study. PloS one, 7(8), e43809. [16128]</w:t>
            </w:r>
          </w:p>
        </w:tc>
      </w:tr>
      <w:tr w:rsidR="002F0133" w:rsidRPr="000B4E2C" w14:paraId="57DA86AC" w14:textId="77777777" w:rsidTr="000B4E2C">
        <w:trPr>
          <w:cantSplit/>
        </w:trPr>
        <w:tc>
          <w:tcPr>
            <w:tcW w:w="0" w:type="auto"/>
            <w:shd w:val="clear" w:color="auto" w:fill="auto"/>
            <w:noWrap/>
            <w:hideMark/>
          </w:tcPr>
          <w:p w14:paraId="7F2127AC" w14:textId="77777777" w:rsidR="002F0133" w:rsidRPr="000B4E2C" w:rsidRDefault="002F0133" w:rsidP="008A7464">
            <w:pPr>
              <w:rPr>
                <w:lang w:eastAsia="en-GB"/>
              </w:rPr>
            </w:pPr>
            <w:r w:rsidRPr="000B4E2C">
              <w:rPr>
                <w:lang w:eastAsia="en-GB"/>
              </w:rPr>
              <w:t>McWilliam</w:t>
            </w:r>
          </w:p>
        </w:tc>
        <w:tc>
          <w:tcPr>
            <w:tcW w:w="0" w:type="auto"/>
            <w:shd w:val="clear" w:color="auto" w:fill="auto"/>
            <w:noWrap/>
            <w:hideMark/>
          </w:tcPr>
          <w:p w14:paraId="35FBF2A9"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D991CEE"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5F7A0A5" w14:textId="77777777" w:rsidR="002F0133" w:rsidRPr="000B4E2C" w:rsidRDefault="002F0133" w:rsidP="008A7464">
            <w:pPr>
              <w:rPr>
                <w:highlight w:val="green"/>
                <w:lang w:eastAsia="en-GB"/>
              </w:rPr>
            </w:pPr>
            <w:r w:rsidRPr="000B4E2C">
              <w:rPr>
                <w:highlight w:val="green"/>
                <w:lang w:eastAsia="en-GB"/>
              </w:rPr>
              <w:t>S. J. McWilliam, D. J. Antoine, A. L. Jorgensen, R. L. Smyth and M. Pirmohamed. Urinary Biomarkers of Aminoglycoside-Induced Nephrotoxicity in Cystic Fibrosis: Kidney Injury Molecule-1 and Neutrophil Gelatinase-Associated Lipocalin. Scientific reports, 8(1), 5094. [16126]</w:t>
            </w:r>
          </w:p>
        </w:tc>
      </w:tr>
      <w:tr w:rsidR="002F0133" w:rsidRPr="000B4E2C" w14:paraId="769B393E" w14:textId="77777777" w:rsidTr="000B4E2C">
        <w:trPr>
          <w:cantSplit/>
        </w:trPr>
        <w:tc>
          <w:tcPr>
            <w:tcW w:w="0" w:type="auto"/>
            <w:shd w:val="clear" w:color="auto" w:fill="auto"/>
            <w:noWrap/>
            <w:hideMark/>
          </w:tcPr>
          <w:p w14:paraId="756D5F2E" w14:textId="77777777" w:rsidR="002F0133" w:rsidRPr="000B4E2C" w:rsidRDefault="002F0133" w:rsidP="008A7464">
            <w:pPr>
              <w:rPr>
                <w:lang w:eastAsia="en-GB"/>
              </w:rPr>
            </w:pPr>
            <w:r w:rsidRPr="000B4E2C">
              <w:rPr>
                <w:lang w:eastAsia="en-GB"/>
              </w:rPr>
              <w:t>Md Ralib</w:t>
            </w:r>
          </w:p>
        </w:tc>
        <w:tc>
          <w:tcPr>
            <w:tcW w:w="0" w:type="auto"/>
            <w:shd w:val="clear" w:color="auto" w:fill="auto"/>
            <w:noWrap/>
            <w:hideMark/>
          </w:tcPr>
          <w:p w14:paraId="7FE95AB9"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364A6484"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EFEF8CA" w14:textId="77777777" w:rsidR="002F0133" w:rsidRPr="000B4E2C" w:rsidRDefault="002F0133" w:rsidP="008A7464">
            <w:pPr>
              <w:rPr>
                <w:highlight w:val="green"/>
                <w:lang w:eastAsia="en-GB"/>
              </w:rPr>
            </w:pPr>
            <w:r w:rsidRPr="000B4E2C">
              <w:rPr>
                <w:highlight w:val="green"/>
                <w:lang w:eastAsia="en-GB"/>
              </w:rPr>
              <w:t>A. Md Ralib, M. B. Mat Nor and J. W. Pickering. Plasma Neutrophil Gelatinase-Associated Lipocalin diagnosed acute kidney injury in patients with systemic inflammatory disease and sepsis. Nephrology, 22(5), 412-419. [16129]</w:t>
            </w:r>
          </w:p>
        </w:tc>
      </w:tr>
      <w:tr w:rsidR="002F0133" w:rsidRPr="000B4E2C" w14:paraId="4F6F4F86" w14:textId="77777777" w:rsidTr="000B4E2C">
        <w:trPr>
          <w:cantSplit/>
        </w:trPr>
        <w:tc>
          <w:tcPr>
            <w:tcW w:w="0" w:type="auto"/>
            <w:shd w:val="clear" w:color="auto" w:fill="auto"/>
            <w:noWrap/>
            <w:hideMark/>
          </w:tcPr>
          <w:p w14:paraId="3BEFF3E3" w14:textId="77777777" w:rsidR="002F0133" w:rsidRPr="000B4E2C" w:rsidRDefault="002F0133" w:rsidP="008A7464">
            <w:pPr>
              <w:rPr>
                <w:lang w:eastAsia="en-GB"/>
              </w:rPr>
            </w:pPr>
            <w:r w:rsidRPr="000B4E2C">
              <w:rPr>
                <w:lang w:eastAsia="en-GB"/>
              </w:rPr>
              <w:t>Meersch</w:t>
            </w:r>
          </w:p>
        </w:tc>
        <w:tc>
          <w:tcPr>
            <w:tcW w:w="0" w:type="auto"/>
            <w:shd w:val="clear" w:color="auto" w:fill="auto"/>
            <w:noWrap/>
            <w:hideMark/>
          </w:tcPr>
          <w:p w14:paraId="7F6C28BF"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3642D0E"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65217416" w14:textId="1E60586D" w:rsidR="002F0133" w:rsidRPr="000B4E2C" w:rsidRDefault="002F0133" w:rsidP="008A7464">
            <w:pPr>
              <w:rPr>
                <w:highlight w:val="green"/>
                <w:lang w:eastAsia="en-GB"/>
              </w:rPr>
            </w:pPr>
            <w:r w:rsidRPr="000B4E2C">
              <w:rPr>
                <w:highlight w:val="green"/>
                <w:lang w:eastAsia="en-GB"/>
              </w:rPr>
              <w:t>M. Meersch, A. Zarbock and M. KÃ¼llmar. Renal biomarkers for the initiation of renal replacement therapy--is this the future?</w:t>
            </w:r>
            <w:r w:rsidR="000B4E2C" w:rsidRPr="000B4E2C">
              <w:rPr>
                <w:color w:val="00B0F0"/>
                <w:highlight w:val="green"/>
                <w:lang w:eastAsia="en-GB"/>
              </w:rPr>
              <w:t>. . .</w:t>
            </w:r>
            <w:r w:rsidRPr="000B4E2C">
              <w:rPr>
                <w:highlight w:val="green"/>
                <w:lang w:eastAsia="en-GB"/>
              </w:rPr>
              <w:t>Srisawat N, Laoveeravat P, Limphunudom P, et al. The effect of early renal replacement therapy guided by plasma neutrophil gelatinase associated lipocalin on outcome of acute kidney injury: A feasibility study. J Crit Care 2018; 43:36-41. Journal of Thoracic Disease, 10(S3229-S3232. [6134]</w:t>
            </w:r>
          </w:p>
        </w:tc>
      </w:tr>
      <w:tr w:rsidR="002F0133" w:rsidRPr="000B4E2C" w14:paraId="520401FA" w14:textId="77777777" w:rsidTr="000B4E2C">
        <w:trPr>
          <w:cantSplit/>
        </w:trPr>
        <w:tc>
          <w:tcPr>
            <w:tcW w:w="0" w:type="auto"/>
            <w:shd w:val="clear" w:color="auto" w:fill="auto"/>
            <w:noWrap/>
            <w:hideMark/>
          </w:tcPr>
          <w:p w14:paraId="7C4AB838" w14:textId="77777777" w:rsidR="002F0133" w:rsidRPr="000B4E2C" w:rsidRDefault="002F0133" w:rsidP="008A7464">
            <w:pPr>
              <w:rPr>
                <w:lang w:eastAsia="en-GB"/>
              </w:rPr>
            </w:pPr>
            <w:r w:rsidRPr="000B4E2C">
              <w:rPr>
                <w:lang w:eastAsia="en-GB"/>
              </w:rPr>
              <w:t>Meersh</w:t>
            </w:r>
          </w:p>
        </w:tc>
        <w:tc>
          <w:tcPr>
            <w:tcW w:w="0" w:type="auto"/>
            <w:shd w:val="clear" w:color="auto" w:fill="auto"/>
            <w:noWrap/>
            <w:hideMark/>
          </w:tcPr>
          <w:p w14:paraId="598A35CD"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263EE43F" w14:textId="435B43E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5C71881" w14:textId="77777777" w:rsidR="002F0133" w:rsidRPr="000B4E2C" w:rsidRDefault="002F0133" w:rsidP="008A7464">
            <w:pPr>
              <w:rPr>
                <w:highlight w:val="green"/>
                <w:lang w:eastAsia="en-GB"/>
              </w:rPr>
            </w:pPr>
            <w:r w:rsidRPr="000B4E2C">
              <w:rPr>
                <w:highlight w:val="green"/>
                <w:lang w:eastAsia="en-GB"/>
              </w:rPr>
              <w:t>M. Meersch, C. Schmidt, H. Van Aken, S. Martens, J. Rossaint, K. Singbartl, D. Gorlich, J. A. Kellum and A. Zarbock. Urinary TIMP-2 and IGFBP7 as early biomarkers of acute kidney injury and renal recovery following cardiac surgery. PLoS ONE, 9(3), e93460. [16133]</w:t>
            </w:r>
          </w:p>
        </w:tc>
      </w:tr>
      <w:tr w:rsidR="002F0133" w:rsidRPr="000B4E2C" w14:paraId="0A6A457C" w14:textId="77777777" w:rsidTr="000B4E2C">
        <w:trPr>
          <w:cantSplit/>
        </w:trPr>
        <w:tc>
          <w:tcPr>
            <w:tcW w:w="0" w:type="auto"/>
            <w:shd w:val="clear" w:color="auto" w:fill="auto"/>
            <w:noWrap/>
            <w:hideMark/>
          </w:tcPr>
          <w:p w14:paraId="7ECCA9FC" w14:textId="77777777" w:rsidR="002F0133" w:rsidRPr="000B4E2C" w:rsidRDefault="002F0133" w:rsidP="008A7464">
            <w:pPr>
              <w:rPr>
                <w:lang w:eastAsia="en-GB"/>
              </w:rPr>
            </w:pPr>
            <w:r w:rsidRPr="000B4E2C">
              <w:rPr>
                <w:lang w:eastAsia="en-GB"/>
              </w:rPr>
              <w:t>Meersh</w:t>
            </w:r>
          </w:p>
        </w:tc>
        <w:tc>
          <w:tcPr>
            <w:tcW w:w="0" w:type="auto"/>
            <w:shd w:val="clear" w:color="auto" w:fill="auto"/>
            <w:noWrap/>
            <w:hideMark/>
          </w:tcPr>
          <w:p w14:paraId="0CA22468"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35B66FF"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248B2DD7" w14:textId="77777777" w:rsidR="002F0133" w:rsidRPr="000B4E2C" w:rsidRDefault="002F0133" w:rsidP="008A7464">
            <w:pPr>
              <w:rPr>
                <w:highlight w:val="green"/>
                <w:lang w:eastAsia="en-GB"/>
              </w:rPr>
            </w:pPr>
            <w:r w:rsidRPr="000B4E2C">
              <w:rPr>
                <w:highlight w:val="green"/>
                <w:lang w:eastAsia="en-GB"/>
              </w:rPr>
              <w:t>M. Meersch, C. Schmidt, A. Hoffmeier, H. Van Aken, C. Wempe, J. Gerss and A. Zarbock. Prevention of cardiac surgery-associated AKI by implementing the KDIGO guidelines in high risk patients identified by biomarkers: the PrevAKI randomized controlled trial. Intensive Care Medicine, 43(11), 1551-1561. [16131]</w:t>
            </w:r>
          </w:p>
        </w:tc>
      </w:tr>
      <w:tr w:rsidR="002F0133" w:rsidRPr="000B4E2C" w14:paraId="632C01D2" w14:textId="77777777" w:rsidTr="000B4E2C">
        <w:trPr>
          <w:cantSplit/>
        </w:trPr>
        <w:tc>
          <w:tcPr>
            <w:tcW w:w="0" w:type="auto"/>
            <w:shd w:val="clear" w:color="auto" w:fill="auto"/>
            <w:noWrap/>
            <w:hideMark/>
          </w:tcPr>
          <w:p w14:paraId="29F85840" w14:textId="77777777" w:rsidR="002F0133" w:rsidRPr="000B4E2C" w:rsidRDefault="002F0133" w:rsidP="008A7464">
            <w:pPr>
              <w:rPr>
                <w:lang w:eastAsia="en-GB"/>
              </w:rPr>
            </w:pPr>
            <w:r w:rsidRPr="000B4E2C">
              <w:rPr>
                <w:lang w:eastAsia="en-GB"/>
              </w:rPr>
              <w:lastRenderedPageBreak/>
              <w:t xml:space="preserve">Meersh </w:t>
            </w:r>
          </w:p>
        </w:tc>
        <w:tc>
          <w:tcPr>
            <w:tcW w:w="0" w:type="auto"/>
            <w:shd w:val="clear" w:color="auto" w:fill="auto"/>
            <w:noWrap/>
            <w:hideMark/>
          </w:tcPr>
          <w:p w14:paraId="375E5D8D"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A37BCF2" w14:textId="0DBFB22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75857C6" w14:textId="77777777" w:rsidR="002F0133" w:rsidRPr="000B4E2C" w:rsidRDefault="002F0133" w:rsidP="008A7464">
            <w:pPr>
              <w:rPr>
                <w:highlight w:val="green"/>
                <w:lang w:eastAsia="en-GB"/>
              </w:rPr>
            </w:pPr>
            <w:r w:rsidRPr="000B4E2C">
              <w:rPr>
                <w:highlight w:val="green"/>
                <w:lang w:eastAsia="en-GB"/>
              </w:rPr>
              <w:t>M. Meersch, C. Schmidt, H. Van Aken, J. Rossaint, D. Gorlich, D. Stege, E. Malec, K. Januszewska and A. Zarbock. Validation of cell-cycle arrest biomarkers for acute kidney injury after pediatric cardiac surgery. PLoS ONE, 9(10), e110865. [16132]</w:t>
            </w:r>
          </w:p>
        </w:tc>
      </w:tr>
      <w:tr w:rsidR="002F0133" w:rsidRPr="000B4E2C" w14:paraId="13330707" w14:textId="77777777" w:rsidTr="000B4E2C">
        <w:trPr>
          <w:cantSplit/>
        </w:trPr>
        <w:tc>
          <w:tcPr>
            <w:tcW w:w="0" w:type="auto"/>
            <w:shd w:val="clear" w:color="auto" w:fill="auto"/>
            <w:noWrap/>
            <w:hideMark/>
          </w:tcPr>
          <w:p w14:paraId="2A4ECCA7" w14:textId="77777777" w:rsidR="002F0133" w:rsidRPr="000B4E2C" w:rsidRDefault="002F0133" w:rsidP="008A7464">
            <w:pPr>
              <w:rPr>
                <w:lang w:eastAsia="en-GB"/>
              </w:rPr>
            </w:pPr>
            <w:r w:rsidRPr="000B4E2C">
              <w:rPr>
                <w:lang w:eastAsia="en-GB"/>
              </w:rPr>
              <w:t>Meisner</w:t>
            </w:r>
          </w:p>
        </w:tc>
        <w:tc>
          <w:tcPr>
            <w:tcW w:w="0" w:type="auto"/>
            <w:shd w:val="clear" w:color="auto" w:fill="auto"/>
            <w:noWrap/>
            <w:hideMark/>
          </w:tcPr>
          <w:p w14:paraId="2C0DE3B5"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2BE563B5"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1A2EDF23" w14:textId="77777777" w:rsidR="002F0133" w:rsidRPr="000B4E2C" w:rsidRDefault="002F0133" w:rsidP="008A7464">
            <w:pPr>
              <w:rPr>
                <w:highlight w:val="green"/>
                <w:lang w:eastAsia="en-GB"/>
              </w:rPr>
            </w:pPr>
            <w:r w:rsidRPr="000B4E2C">
              <w:rPr>
                <w:highlight w:val="green"/>
                <w:lang w:eastAsia="en-GB"/>
              </w:rPr>
              <w:t>A. Meisner, K. F. Kerr, H. Thiessen-Philbrook, F. P. Wilson, A. X. Garg, M. G. Shlipak, P. Kavsak, R. P. Whitlock, S. G. Coca and C. R. Parikh. Development of biomarker combinations for postoperative acute kidney injury via Bayesian model selection in a multicenter cohort study. Biomarker Research, 6(1), 3. [16135]</w:t>
            </w:r>
          </w:p>
        </w:tc>
      </w:tr>
      <w:tr w:rsidR="002F0133" w:rsidRPr="000B4E2C" w14:paraId="76FEE2EA" w14:textId="77777777" w:rsidTr="000B4E2C">
        <w:trPr>
          <w:cantSplit/>
        </w:trPr>
        <w:tc>
          <w:tcPr>
            <w:tcW w:w="0" w:type="auto"/>
            <w:shd w:val="clear" w:color="auto" w:fill="auto"/>
            <w:noWrap/>
            <w:hideMark/>
          </w:tcPr>
          <w:p w14:paraId="27A14BB2" w14:textId="77777777" w:rsidR="002F0133" w:rsidRPr="000B4E2C" w:rsidRDefault="002F0133" w:rsidP="008A7464">
            <w:pPr>
              <w:rPr>
                <w:lang w:eastAsia="en-GB"/>
              </w:rPr>
            </w:pPr>
            <w:r w:rsidRPr="000B4E2C">
              <w:rPr>
                <w:lang w:eastAsia="en-GB"/>
              </w:rPr>
              <w:t>Mellor</w:t>
            </w:r>
          </w:p>
        </w:tc>
        <w:tc>
          <w:tcPr>
            <w:tcW w:w="0" w:type="auto"/>
            <w:shd w:val="clear" w:color="auto" w:fill="auto"/>
            <w:noWrap/>
            <w:hideMark/>
          </w:tcPr>
          <w:p w14:paraId="71E1AF52"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7A0FDDD0" w14:textId="3B59AE4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DBD6CAC" w14:textId="77777777" w:rsidR="002F0133" w:rsidRPr="000B4E2C" w:rsidRDefault="002F0133" w:rsidP="008A7464">
            <w:pPr>
              <w:rPr>
                <w:highlight w:val="green"/>
                <w:lang w:eastAsia="en-GB"/>
              </w:rPr>
            </w:pPr>
            <w:r w:rsidRPr="000B4E2C">
              <w:rPr>
                <w:highlight w:val="green"/>
                <w:lang w:eastAsia="en-GB"/>
              </w:rPr>
              <w:t>A. J. Mellor and D. Woods. Serum neutrophil gelatinase-associated lipocalin in ballistic injuries: a comparison between blast injuries and gunshot wounds. Journal of critical care, 27(4), 419.e1-5. [16138]</w:t>
            </w:r>
          </w:p>
        </w:tc>
      </w:tr>
      <w:tr w:rsidR="002F0133" w:rsidRPr="000B4E2C" w14:paraId="6E448204" w14:textId="77777777" w:rsidTr="000B4E2C">
        <w:trPr>
          <w:cantSplit/>
        </w:trPr>
        <w:tc>
          <w:tcPr>
            <w:tcW w:w="0" w:type="auto"/>
            <w:shd w:val="clear" w:color="auto" w:fill="auto"/>
            <w:noWrap/>
            <w:hideMark/>
          </w:tcPr>
          <w:p w14:paraId="2B542272" w14:textId="77777777" w:rsidR="002F0133" w:rsidRPr="000B4E2C" w:rsidRDefault="002F0133" w:rsidP="008A7464">
            <w:pPr>
              <w:rPr>
                <w:lang w:eastAsia="en-GB"/>
              </w:rPr>
            </w:pPr>
            <w:r w:rsidRPr="000B4E2C">
              <w:rPr>
                <w:lang w:eastAsia="en-GB"/>
              </w:rPr>
              <w:t>Meneses</w:t>
            </w:r>
          </w:p>
        </w:tc>
        <w:tc>
          <w:tcPr>
            <w:tcW w:w="0" w:type="auto"/>
            <w:shd w:val="clear" w:color="auto" w:fill="auto"/>
            <w:noWrap/>
            <w:hideMark/>
          </w:tcPr>
          <w:p w14:paraId="55BA3792"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63F2B2CE" w14:textId="10C8328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0C26FB6" w14:textId="77777777" w:rsidR="002F0133" w:rsidRPr="000B4E2C" w:rsidRDefault="002F0133" w:rsidP="008A7464">
            <w:pPr>
              <w:rPr>
                <w:highlight w:val="green"/>
                <w:lang w:eastAsia="en-GB"/>
              </w:rPr>
            </w:pPr>
            <w:r w:rsidRPr="000B4E2C">
              <w:rPr>
                <w:highlight w:val="green"/>
                <w:lang w:eastAsia="en-GB"/>
              </w:rPr>
              <w:t>G. C. Meneses, E. De Francesco Daher, G. B. da Silva Junior, G. F. Bezerra, T. P. da Rocha, I. E. P. de Azevedo, A. B. Liborio and A. M. C. Martins. Visceral leishmaniasis-associated nephropathy in hospitalised Brazilian patients: new insights based on kidney injury biomarkers. Tropical Medicine and International Health, 23(10), 1046-1057. [16139]</w:t>
            </w:r>
          </w:p>
        </w:tc>
      </w:tr>
      <w:tr w:rsidR="002F0133" w:rsidRPr="000B4E2C" w14:paraId="6A432637" w14:textId="77777777" w:rsidTr="000B4E2C">
        <w:trPr>
          <w:cantSplit/>
        </w:trPr>
        <w:tc>
          <w:tcPr>
            <w:tcW w:w="0" w:type="auto"/>
            <w:shd w:val="clear" w:color="auto" w:fill="auto"/>
            <w:noWrap/>
            <w:hideMark/>
          </w:tcPr>
          <w:p w14:paraId="553CB8AE" w14:textId="77777777" w:rsidR="002F0133" w:rsidRPr="000B4E2C" w:rsidRDefault="002F0133" w:rsidP="008A7464">
            <w:pPr>
              <w:rPr>
                <w:lang w:eastAsia="en-GB"/>
              </w:rPr>
            </w:pPr>
            <w:r w:rsidRPr="000B4E2C">
              <w:rPr>
                <w:lang w:eastAsia="en-GB"/>
              </w:rPr>
              <w:t>Menon</w:t>
            </w:r>
          </w:p>
        </w:tc>
        <w:tc>
          <w:tcPr>
            <w:tcW w:w="0" w:type="auto"/>
            <w:shd w:val="clear" w:color="auto" w:fill="auto"/>
            <w:noWrap/>
            <w:hideMark/>
          </w:tcPr>
          <w:p w14:paraId="1585D457"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4A2FBB03"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24263EC7" w14:textId="77777777" w:rsidR="002F0133" w:rsidRPr="000B4E2C" w:rsidRDefault="002F0133" w:rsidP="008A7464">
            <w:pPr>
              <w:rPr>
                <w:highlight w:val="green"/>
                <w:lang w:eastAsia="en-GB"/>
              </w:rPr>
            </w:pPr>
            <w:r w:rsidRPr="000B4E2C">
              <w:rPr>
                <w:highlight w:val="green"/>
                <w:lang w:eastAsia="en-GB"/>
              </w:rPr>
              <w:t>S. Menon, S. L. Goldstein, T. Mottes, L. Fei, A. Kaddourah, T. Terrell, P. Arnold, M. R. Bennett and R. K. Basu. Urinary biomarker incorporation into the renal angina index early in intensive care unit admission optimizes acute kidney injury prediction in critically ill children: A prospective cohort study. Nephrology Dialysis Transplantation, 31(4), 586-594. [16140]</w:t>
            </w:r>
          </w:p>
        </w:tc>
      </w:tr>
      <w:tr w:rsidR="002F0133" w:rsidRPr="000B4E2C" w14:paraId="53FDA83A" w14:textId="77777777" w:rsidTr="000B4E2C">
        <w:trPr>
          <w:cantSplit/>
        </w:trPr>
        <w:tc>
          <w:tcPr>
            <w:tcW w:w="0" w:type="auto"/>
            <w:shd w:val="clear" w:color="auto" w:fill="auto"/>
            <w:noWrap/>
            <w:hideMark/>
          </w:tcPr>
          <w:p w14:paraId="2D1E0896" w14:textId="77777777" w:rsidR="002F0133" w:rsidRPr="000B4E2C" w:rsidRDefault="002F0133" w:rsidP="008A7464">
            <w:pPr>
              <w:rPr>
                <w:lang w:eastAsia="en-GB"/>
              </w:rPr>
            </w:pPr>
            <w:r w:rsidRPr="000B4E2C">
              <w:rPr>
                <w:lang w:eastAsia="en-GB"/>
              </w:rPr>
              <w:t>Merrikhi</w:t>
            </w:r>
          </w:p>
        </w:tc>
        <w:tc>
          <w:tcPr>
            <w:tcW w:w="0" w:type="auto"/>
            <w:shd w:val="clear" w:color="auto" w:fill="auto"/>
            <w:noWrap/>
            <w:hideMark/>
          </w:tcPr>
          <w:p w14:paraId="743C3EF3"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647F606" w14:textId="60878A5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1B626DC" w14:textId="77777777" w:rsidR="002F0133" w:rsidRPr="000B4E2C" w:rsidRDefault="002F0133" w:rsidP="008A7464">
            <w:pPr>
              <w:rPr>
                <w:highlight w:val="green"/>
                <w:lang w:eastAsia="en-GB"/>
              </w:rPr>
            </w:pPr>
            <w:r w:rsidRPr="000B4E2C">
              <w:rPr>
                <w:highlight w:val="green"/>
                <w:lang w:eastAsia="en-GB"/>
              </w:rPr>
              <w:t>A. Merrikhi, A. Gheissari and H. Mousazadeh. Urine and serum neutrophil gelatinase-associated lipocalin cut-off point for the prediction of acute kidney injury. Advanced biomedical research, 3(66. [16144]</w:t>
            </w:r>
          </w:p>
        </w:tc>
      </w:tr>
      <w:tr w:rsidR="002F0133" w:rsidRPr="000B4E2C" w14:paraId="6F2998F5" w14:textId="77777777" w:rsidTr="000B4E2C">
        <w:trPr>
          <w:cantSplit/>
        </w:trPr>
        <w:tc>
          <w:tcPr>
            <w:tcW w:w="0" w:type="auto"/>
            <w:shd w:val="clear" w:color="auto" w:fill="auto"/>
            <w:noWrap/>
            <w:hideMark/>
          </w:tcPr>
          <w:p w14:paraId="452B9EE6" w14:textId="77777777" w:rsidR="002F0133" w:rsidRPr="000B4E2C" w:rsidRDefault="002F0133" w:rsidP="008A7464">
            <w:pPr>
              <w:rPr>
                <w:lang w:eastAsia="en-GB"/>
              </w:rPr>
            </w:pPr>
            <w:r w:rsidRPr="000B4E2C">
              <w:rPr>
                <w:lang w:eastAsia="en-GB"/>
              </w:rPr>
              <w:t>Mertoglu</w:t>
            </w:r>
          </w:p>
        </w:tc>
        <w:tc>
          <w:tcPr>
            <w:tcW w:w="0" w:type="auto"/>
            <w:shd w:val="clear" w:color="auto" w:fill="auto"/>
            <w:noWrap/>
            <w:hideMark/>
          </w:tcPr>
          <w:p w14:paraId="357BB1A0"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655A1952" w14:textId="194B1BE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C8A4298" w14:textId="77777777" w:rsidR="002F0133" w:rsidRPr="000B4E2C" w:rsidRDefault="002F0133" w:rsidP="008A7464">
            <w:pPr>
              <w:rPr>
                <w:highlight w:val="green"/>
                <w:lang w:eastAsia="en-GB"/>
              </w:rPr>
            </w:pPr>
            <w:r w:rsidRPr="000B4E2C">
              <w:rPr>
                <w:highlight w:val="green"/>
                <w:lang w:eastAsia="en-GB"/>
              </w:rPr>
              <w:t>C. Mertoglu, M. Gunay, A. Gurel and M. Gungor. Myo-inositol oxygenase as a novel marker in the diagnosis of acute kidney injury. Journal of Medical Biochemistry, 37(1), 1-6. [16145]</w:t>
            </w:r>
          </w:p>
        </w:tc>
      </w:tr>
      <w:tr w:rsidR="002F0133" w:rsidRPr="000B4E2C" w14:paraId="235AD4EB" w14:textId="77777777" w:rsidTr="000B4E2C">
        <w:trPr>
          <w:cantSplit/>
        </w:trPr>
        <w:tc>
          <w:tcPr>
            <w:tcW w:w="0" w:type="auto"/>
            <w:shd w:val="clear" w:color="auto" w:fill="auto"/>
            <w:noWrap/>
            <w:hideMark/>
          </w:tcPr>
          <w:p w14:paraId="29DDE3BE" w14:textId="77777777" w:rsidR="002F0133" w:rsidRPr="000B4E2C" w:rsidRDefault="002F0133" w:rsidP="008A7464">
            <w:pPr>
              <w:rPr>
                <w:lang w:eastAsia="en-GB"/>
              </w:rPr>
            </w:pPr>
            <w:r w:rsidRPr="000B4E2C">
              <w:rPr>
                <w:lang w:eastAsia="en-GB"/>
              </w:rPr>
              <w:t>Metzger</w:t>
            </w:r>
          </w:p>
        </w:tc>
        <w:tc>
          <w:tcPr>
            <w:tcW w:w="0" w:type="auto"/>
            <w:shd w:val="clear" w:color="auto" w:fill="auto"/>
            <w:noWrap/>
            <w:hideMark/>
          </w:tcPr>
          <w:p w14:paraId="4076C9DD"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282AF4F5" w14:textId="5B442E8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3043465" w14:textId="77777777" w:rsidR="002F0133" w:rsidRPr="000B4E2C" w:rsidRDefault="002F0133" w:rsidP="008A7464">
            <w:pPr>
              <w:rPr>
                <w:highlight w:val="green"/>
                <w:lang w:eastAsia="en-GB"/>
              </w:rPr>
            </w:pPr>
            <w:r w:rsidRPr="000B4E2C">
              <w:rPr>
                <w:highlight w:val="green"/>
                <w:lang w:eastAsia="en-GB"/>
              </w:rPr>
              <w:t>J. Metzger, T. Kirsch, E. Schiffer, P. Ulger, E. Mentes, K. Brand, E. M. Weissinger, M. Haubitz, H. Mischak and S. Herget-Rosenthal. Urinary excretion of twenty peptides forms an early and accurate diagnostic pattern of acute kidney injury. Kidney International, 78(12), 1252-1262. [16148]</w:t>
            </w:r>
          </w:p>
        </w:tc>
      </w:tr>
      <w:tr w:rsidR="002F0133" w:rsidRPr="000B4E2C" w14:paraId="00740459" w14:textId="77777777" w:rsidTr="000B4E2C">
        <w:trPr>
          <w:cantSplit/>
        </w:trPr>
        <w:tc>
          <w:tcPr>
            <w:tcW w:w="0" w:type="auto"/>
            <w:shd w:val="clear" w:color="auto" w:fill="auto"/>
            <w:noWrap/>
            <w:hideMark/>
          </w:tcPr>
          <w:p w14:paraId="6EA7071F" w14:textId="77777777" w:rsidR="002F0133" w:rsidRPr="000B4E2C" w:rsidRDefault="002F0133" w:rsidP="008A7464">
            <w:pPr>
              <w:rPr>
                <w:lang w:eastAsia="en-GB"/>
              </w:rPr>
            </w:pPr>
            <w:r w:rsidRPr="000B4E2C">
              <w:rPr>
                <w:lang w:eastAsia="en-GB"/>
              </w:rPr>
              <w:t>Metzger</w:t>
            </w:r>
          </w:p>
        </w:tc>
        <w:tc>
          <w:tcPr>
            <w:tcW w:w="0" w:type="auto"/>
            <w:shd w:val="clear" w:color="auto" w:fill="auto"/>
            <w:noWrap/>
            <w:hideMark/>
          </w:tcPr>
          <w:p w14:paraId="18C9229B"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7414EF9"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1F7FAF47" w14:textId="77777777" w:rsidR="002F0133" w:rsidRPr="000B4E2C" w:rsidRDefault="002F0133" w:rsidP="008A7464">
            <w:pPr>
              <w:rPr>
                <w:highlight w:val="green"/>
                <w:lang w:eastAsia="en-GB"/>
              </w:rPr>
            </w:pPr>
            <w:r w:rsidRPr="000B4E2C">
              <w:rPr>
                <w:highlight w:val="green"/>
                <w:lang w:eastAsia="en-GB"/>
              </w:rPr>
              <w:t>J. Metzger, W. Mullen, H. Husi, A. Stalmach, S. Herget-Rosenthal, H. V. Groesdonk, H. Mischak and M. Klingele. Acute kidney injury prediction in cardiac surgery patients by a urinary peptide pattern: A case-control validation study. Critical Care, 20(1), 157. [16147]</w:t>
            </w:r>
          </w:p>
        </w:tc>
      </w:tr>
      <w:tr w:rsidR="002F0133" w:rsidRPr="000B4E2C" w14:paraId="58419360" w14:textId="77777777" w:rsidTr="000B4E2C">
        <w:trPr>
          <w:cantSplit/>
        </w:trPr>
        <w:tc>
          <w:tcPr>
            <w:tcW w:w="0" w:type="auto"/>
            <w:shd w:val="clear" w:color="auto" w:fill="auto"/>
            <w:noWrap/>
            <w:hideMark/>
          </w:tcPr>
          <w:p w14:paraId="7DD77DBB" w14:textId="77777777" w:rsidR="002F0133" w:rsidRPr="000B4E2C" w:rsidRDefault="002F0133" w:rsidP="008A7464">
            <w:pPr>
              <w:rPr>
                <w:lang w:eastAsia="en-GB"/>
              </w:rPr>
            </w:pPr>
            <w:r w:rsidRPr="000B4E2C">
              <w:rPr>
                <w:lang w:eastAsia="en-GB"/>
              </w:rPr>
              <w:t>Miah</w:t>
            </w:r>
          </w:p>
        </w:tc>
        <w:tc>
          <w:tcPr>
            <w:tcW w:w="0" w:type="auto"/>
            <w:shd w:val="clear" w:color="auto" w:fill="auto"/>
            <w:noWrap/>
            <w:hideMark/>
          </w:tcPr>
          <w:p w14:paraId="4EFF6000"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3612C920"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09BAA466" w14:textId="77777777" w:rsidR="002F0133" w:rsidRPr="000B4E2C" w:rsidRDefault="002F0133" w:rsidP="008A7464">
            <w:pPr>
              <w:rPr>
                <w:highlight w:val="green"/>
                <w:lang w:eastAsia="en-GB"/>
              </w:rPr>
            </w:pPr>
            <w:r w:rsidRPr="000B4E2C">
              <w:rPr>
                <w:highlight w:val="green"/>
                <w:lang w:eastAsia="en-GB"/>
              </w:rPr>
              <w:t>O. F. Miah, F. A. Dowel, A. Latif, A. N. Hai, M. A. Mahmud, M. A. Razzak and T. Ahammod. NGAL (Neutrophil Gelatinase-associated Lipocalin) is an Early Predictor of Acute Kidney Injury after Cardiac Surgery and Variation of NGAL Values in Homogenous Study Subject. Mymensingh medical journal : MMJ, 27(1), 212-215. [16152]</w:t>
            </w:r>
          </w:p>
        </w:tc>
      </w:tr>
      <w:tr w:rsidR="002F0133" w:rsidRPr="000B4E2C" w14:paraId="3BD0915B" w14:textId="77777777" w:rsidTr="000B4E2C">
        <w:trPr>
          <w:cantSplit/>
        </w:trPr>
        <w:tc>
          <w:tcPr>
            <w:tcW w:w="0" w:type="auto"/>
            <w:shd w:val="clear" w:color="auto" w:fill="auto"/>
            <w:noWrap/>
            <w:hideMark/>
          </w:tcPr>
          <w:p w14:paraId="66BFBE29" w14:textId="77777777" w:rsidR="002F0133" w:rsidRPr="000B4E2C" w:rsidRDefault="002F0133" w:rsidP="008A7464">
            <w:pPr>
              <w:rPr>
                <w:lang w:eastAsia="en-GB"/>
              </w:rPr>
            </w:pPr>
            <w:r w:rsidRPr="000B4E2C">
              <w:rPr>
                <w:lang w:eastAsia="en-GB"/>
              </w:rPr>
              <w:t>Miah</w:t>
            </w:r>
          </w:p>
        </w:tc>
        <w:tc>
          <w:tcPr>
            <w:tcW w:w="0" w:type="auto"/>
            <w:shd w:val="clear" w:color="auto" w:fill="auto"/>
            <w:noWrap/>
            <w:hideMark/>
          </w:tcPr>
          <w:p w14:paraId="64EF2780"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45CB35F6" w14:textId="42B223B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FE1FDC1" w14:textId="77777777" w:rsidR="002F0133" w:rsidRPr="000B4E2C" w:rsidRDefault="002F0133" w:rsidP="008A7464">
            <w:pPr>
              <w:rPr>
                <w:highlight w:val="green"/>
                <w:lang w:eastAsia="en-GB"/>
              </w:rPr>
            </w:pPr>
            <w:r w:rsidRPr="000B4E2C">
              <w:rPr>
                <w:highlight w:val="green"/>
                <w:lang w:eastAsia="en-GB"/>
              </w:rPr>
              <w:t>O. F. Miah, D. K. Roy, A. A. Chowdhury, K. S. Alam, M. B. Alam, M. R. Anwar, F. A. Dowel, A. Latif, A. N. Hai, M. A. Mahmud, M. A. Razzak, T. Ahammod, S. U. Ahammed, H. Mahmud and R. S. Paul. Plasma Neutrophil Gelatinase Associated Lipocalin (pNGAL) Level to Identify AKI Early in Patients Undergoing Cardiac Valve Surgery. Mymensingh medical journal : MMJ, 27(2), 263-269. [16151]</w:t>
            </w:r>
          </w:p>
        </w:tc>
      </w:tr>
      <w:tr w:rsidR="002F0133" w:rsidRPr="000B4E2C" w14:paraId="2617F7DB" w14:textId="77777777" w:rsidTr="000B4E2C">
        <w:trPr>
          <w:cantSplit/>
        </w:trPr>
        <w:tc>
          <w:tcPr>
            <w:tcW w:w="0" w:type="auto"/>
            <w:shd w:val="clear" w:color="auto" w:fill="auto"/>
            <w:noWrap/>
            <w:hideMark/>
          </w:tcPr>
          <w:p w14:paraId="4B652B65" w14:textId="77777777" w:rsidR="002F0133" w:rsidRPr="000B4E2C" w:rsidRDefault="002F0133" w:rsidP="008A7464">
            <w:pPr>
              <w:rPr>
                <w:lang w:eastAsia="en-GB"/>
              </w:rPr>
            </w:pPr>
            <w:r w:rsidRPr="000B4E2C">
              <w:rPr>
                <w:lang w:eastAsia="en-GB"/>
              </w:rPr>
              <w:lastRenderedPageBreak/>
              <w:t>Mironova</w:t>
            </w:r>
          </w:p>
        </w:tc>
        <w:tc>
          <w:tcPr>
            <w:tcW w:w="0" w:type="auto"/>
            <w:shd w:val="clear" w:color="auto" w:fill="auto"/>
            <w:noWrap/>
            <w:hideMark/>
          </w:tcPr>
          <w:p w14:paraId="033EABA5"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164B8647" w14:textId="77777777" w:rsidR="002F0133" w:rsidRPr="000B4E2C" w:rsidRDefault="002F0133" w:rsidP="008A7464">
            <w:pPr>
              <w:rPr>
                <w:lang w:eastAsia="en-GB"/>
              </w:rPr>
            </w:pPr>
            <w:r w:rsidRPr="000B4E2C">
              <w:rPr>
                <w:lang w:eastAsia="en-GB"/>
              </w:rPr>
              <w:t>Non-English publication</w:t>
            </w:r>
          </w:p>
        </w:tc>
        <w:tc>
          <w:tcPr>
            <w:tcW w:w="0" w:type="auto"/>
            <w:shd w:val="clear" w:color="auto" w:fill="auto"/>
            <w:noWrap/>
            <w:hideMark/>
          </w:tcPr>
          <w:p w14:paraId="6A6B0126" w14:textId="77777777" w:rsidR="002F0133" w:rsidRPr="000B4E2C" w:rsidRDefault="002F0133" w:rsidP="008A7464">
            <w:pPr>
              <w:rPr>
                <w:highlight w:val="green"/>
                <w:lang w:eastAsia="en-GB"/>
              </w:rPr>
            </w:pPr>
            <w:r w:rsidRPr="000B4E2C">
              <w:rPr>
                <w:highlight w:val="green"/>
                <w:lang w:eastAsia="en-GB"/>
              </w:rPr>
              <w:t>S. A. Mironova, Y. S. Yudina, M. V. Ionov, N. G. Avdonina, I. V. Emelyanov, E. Y. Vasilyeva, E. A. Kitaeva, N. E. Zvartau and A. O. Konradi. Novel biomarkers of kidney injury and fibrosis in patients with different severity of hypertension: Relation to vascular reactivity and stiffness. Russian Journal of Cardiology, 24(1), 44-51. [16159]</w:t>
            </w:r>
          </w:p>
        </w:tc>
      </w:tr>
      <w:tr w:rsidR="002F0133" w:rsidRPr="000B4E2C" w14:paraId="204DCBE1" w14:textId="77777777" w:rsidTr="000B4E2C">
        <w:trPr>
          <w:cantSplit/>
        </w:trPr>
        <w:tc>
          <w:tcPr>
            <w:tcW w:w="0" w:type="auto"/>
            <w:shd w:val="clear" w:color="auto" w:fill="auto"/>
            <w:noWrap/>
            <w:hideMark/>
          </w:tcPr>
          <w:p w14:paraId="008C595D" w14:textId="77777777" w:rsidR="002F0133" w:rsidRPr="000B4E2C" w:rsidRDefault="002F0133" w:rsidP="008A7464">
            <w:pPr>
              <w:rPr>
                <w:lang w:eastAsia="en-GB"/>
              </w:rPr>
            </w:pPr>
            <w:r w:rsidRPr="000B4E2C">
              <w:rPr>
                <w:lang w:eastAsia="en-GB"/>
              </w:rPr>
              <w:t>Mishra</w:t>
            </w:r>
          </w:p>
        </w:tc>
        <w:tc>
          <w:tcPr>
            <w:tcW w:w="0" w:type="auto"/>
            <w:shd w:val="clear" w:color="auto" w:fill="auto"/>
            <w:noWrap/>
            <w:hideMark/>
          </w:tcPr>
          <w:p w14:paraId="234CFF3B"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5BE847FC" w14:textId="449D31A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91E73CF" w14:textId="77777777" w:rsidR="002F0133" w:rsidRPr="000B4E2C" w:rsidRDefault="002F0133" w:rsidP="008A7464">
            <w:pPr>
              <w:rPr>
                <w:highlight w:val="green"/>
                <w:lang w:eastAsia="en-GB"/>
              </w:rPr>
            </w:pPr>
            <w:r w:rsidRPr="000B4E2C">
              <w:rPr>
                <w:highlight w:val="green"/>
                <w:lang w:eastAsia="en-GB"/>
              </w:rPr>
              <w:t>J. Mishra, C. Dent, R. Tarabishi, M. M. Mitsnefes, Q. Ma, C. Kelly, S. M. Ruff, K. Zahedi, M. Shao, J. Bean, K. Mori, J. Barasch and P. Devarajan. Neutrophil gelatinase-associated lipocalin (NGAL) as a biomarker for acute renal injury after cardiac surgery. Lancet, 365(9466), 1231-8. [4031]</w:t>
            </w:r>
          </w:p>
        </w:tc>
      </w:tr>
      <w:tr w:rsidR="002F0133" w:rsidRPr="000B4E2C" w14:paraId="01B40005" w14:textId="77777777" w:rsidTr="000B4E2C">
        <w:trPr>
          <w:cantSplit/>
        </w:trPr>
        <w:tc>
          <w:tcPr>
            <w:tcW w:w="0" w:type="auto"/>
            <w:shd w:val="clear" w:color="auto" w:fill="auto"/>
            <w:noWrap/>
            <w:hideMark/>
          </w:tcPr>
          <w:p w14:paraId="63933DFE" w14:textId="77777777" w:rsidR="002F0133" w:rsidRPr="000B4E2C" w:rsidRDefault="002F0133" w:rsidP="008A7464">
            <w:pPr>
              <w:rPr>
                <w:lang w:eastAsia="en-GB"/>
              </w:rPr>
            </w:pPr>
            <w:r w:rsidRPr="000B4E2C">
              <w:rPr>
                <w:lang w:eastAsia="en-GB"/>
              </w:rPr>
              <w:t>Mishra</w:t>
            </w:r>
          </w:p>
        </w:tc>
        <w:tc>
          <w:tcPr>
            <w:tcW w:w="0" w:type="auto"/>
            <w:shd w:val="clear" w:color="auto" w:fill="auto"/>
            <w:noWrap/>
            <w:hideMark/>
          </w:tcPr>
          <w:p w14:paraId="22BE2F83"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5318031" w14:textId="7CE94EB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70FBC35" w14:textId="77777777" w:rsidR="002F0133" w:rsidRPr="000B4E2C" w:rsidRDefault="002F0133" w:rsidP="008A7464">
            <w:pPr>
              <w:rPr>
                <w:highlight w:val="green"/>
                <w:lang w:eastAsia="en-GB"/>
              </w:rPr>
            </w:pPr>
            <w:r w:rsidRPr="000B4E2C">
              <w:rPr>
                <w:highlight w:val="green"/>
                <w:lang w:eastAsia="en-GB"/>
              </w:rPr>
              <w:t>O. P. Mishra, A. K. Rai, P. Srivastava, K. Pandey, A. Abhinay, R. Prasad, R. N. Mishra and F. Schaefer. Predictive ability of urinary biomarkers for outcome in children with acute kidney injury. Pediatric Nephrology, 32(3), 521-527. [16162]</w:t>
            </w:r>
          </w:p>
        </w:tc>
      </w:tr>
      <w:tr w:rsidR="002F0133" w:rsidRPr="000B4E2C" w14:paraId="1FC3737A" w14:textId="77777777" w:rsidTr="000B4E2C">
        <w:trPr>
          <w:cantSplit/>
        </w:trPr>
        <w:tc>
          <w:tcPr>
            <w:tcW w:w="0" w:type="auto"/>
            <w:shd w:val="clear" w:color="auto" w:fill="auto"/>
            <w:noWrap/>
            <w:hideMark/>
          </w:tcPr>
          <w:p w14:paraId="71716D38" w14:textId="77777777" w:rsidR="002F0133" w:rsidRPr="000B4E2C" w:rsidRDefault="002F0133" w:rsidP="008A7464">
            <w:pPr>
              <w:rPr>
                <w:lang w:eastAsia="en-GB"/>
              </w:rPr>
            </w:pPr>
            <w:r w:rsidRPr="000B4E2C">
              <w:rPr>
                <w:lang w:eastAsia="en-GB"/>
              </w:rPr>
              <w:t>Mitsnefes</w:t>
            </w:r>
          </w:p>
        </w:tc>
        <w:tc>
          <w:tcPr>
            <w:tcW w:w="0" w:type="auto"/>
            <w:shd w:val="clear" w:color="auto" w:fill="auto"/>
            <w:noWrap/>
            <w:hideMark/>
          </w:tcPr>
          <w:p w14:paraId="27780066"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41B4079F" w14:textId="7B89CE4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2952BF0" w14:textId="77777777" w:rsidR="002F0133" w:rsidRPr="000B4E2C" w:rsidRDefault="002F0133" w:rsidP="008A7464">
            <w:pPr>
              <w:rPr>
                <w:highlight w:val="green"/>
                <w:lang w:eastAsia="en-GB"/>
              </w:rPr>
            </w:pPr>
            <w:r w:rsidRPr="000B4E2C">
              <w:rPr>
                <w:highlight w:val="green"/>
                <w:lang w:eastAsia="en-GB"/>
              </w:rPr>
              <w:t>M. M. Mitsnefes, T. S. Kathman, J. Mishra, J. Kartal, P. R. Khoury, T. L. Nickolas, J. Barasch and P. Devarajan. Serum neutrophil gelatinase-associated lipocalin as a marker of renal function in children with chronic kidney disease. Pediatric Nephrology, 22(1), 101-8. [4017]</w:t>
            </w:r>
          </w:p>
        </w:tc>
      </w:tr>
      <w:tr w:rsidR="002F0133" w:rsidRPr="000B4E2C" w14:paraId="39B1D52F" w14:textId="77777777" w:rsidTr="000B4E2C">
        <w:trPr>
          <w:cantSplit/>
        </w:trPr>
        <w:tc>
          <w:tcPr>
            <w:tcW w:w="0" w:type="auto"/>
            <w:shd w:val="clear" w:color="auto" w:fill="auto"/>
            <w:noWrap/>
            <w:hideMark/>
          </w:tcPr>
          <w:p w14:paraId="2831C845" w14:textId="77777777" w:rsidR="002F0133" w:rsidRPr="000B4E2C" w:rsidRDefault="002F0133" w:rsidP="008A7464">
            <w:pPr>
              <w:rPr>
                <w:lang w:eastAsia="en-GB"/>
              </w:rPr>
            </w:pPr>
            <w:r w:rsidRPr="000B4E2C">
              <w:rPr>
                <w:lang w:eastAsia="en-GB"/>
              </w:rPr>
              <w:t>MohamadiSichani</w:t>
            </w:r>
          </w:p>
        </w:tc>
        <w:tc>
          <w:tcPr>
            <w:tcW w:w="0" w:type="auto"/>
            <w:shd w:val="clear" w:color="auto" w:fill="auto"/>
            <w:noWrap/>
            <w:hideMark/>
          </w:tcPr>
          <w:p w14:paraId="18DCB458"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65FF4D10" w14:textId="356B79C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E3C4864" w14:textId="77777777" w:rsidR="002F0133" w:rsidRPr="000B4E2C" w:rsidRDefault="002F0133" w:rsidP="008A7464">
            <w:pPr>
              <w:rPr>
                <w:highlight w:val="green"/>
                <w:lang w:eastAsia="en-GB"/>
              </w:rPr>
            </w:pPr>
            <w:r w:rsidRPr="000B4E2C">
              <w:rPr>
                <w:highlight w:val="green"/>
                <w:lang w:eastAsia="en-GB"/>
              </w:rPr>
              <w:t>M. MohamadiSichani and Z. Tolou Ghamari. Investigation of urinary neutrophil gelatinase associated lipocalin (NGAL) for early diagnosis of acute kidney injury after percutaneous nephrolithotomy. African Journal of Urology, 23(3), 214-218. [16168]</w:t>
            </w:r>
          </w:p>
        </w:tc>
      </w:tr>
      <w:tr w:rsidR="002F0133" w:rsidRPr="000B4E2C" w14:paraId="5411B4EC" w14:textId="77777777" w:rsidTr="000B4E2C">
        <w:trPr>
          <w:cantSplit/>
        </w:trPr>
        <w:tc>
          <w:tcPr>
            <w:tcW w:w="0" w:type="auto"/>
            <w:shd w:val="clear" w:color="auto" w:fill="auto"/>
            <w:noWrap/>
            <w:hideMark/>
          </w:tcPr>
          <w:p w14:paraId="764C3008" w14:textId="77777777" w:rsidR="002F0133" w:rsidRPr="000B4E2C" w:rsidRDefault="002F0133" w:rsidP="008A7464">
            <w:pPr>
              <w:rPr>
                <w:lang w:eastAsia="en-GB"/>
              </w:rPr>
            </w:pPr>
            <w:r w:rsidRPr="000B4E2C">
              <w:rPr>
                <w:lang w:eastAsia="en-GB"/>
              </w:rPr>
              <w:t>Mohamed</w:t>
            </w:r>
          </w:p>
        </w:tc>
        <w:tc>
          <w:tcPr>
            <w:tcW w:w="0" w:type="auto"/>
            <w:shd w:val="clear" w:color="auto" w:fill="auto"/>
            <w:noWrap/>
            <w:hideMark/>
          </w:tcPr>
          <w:p w14:paraId="63DB9971"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7A9A6BAC" w14:textId="0338499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121ADB5" w14:textId="77777777" w:rsidR="002F0133" w:rsidRPr="000B4E2C" w:rsidRDefault="002F0133" w:rsidP="008A7464">
            <w:pPr>
              <w:rPr>
                <w:highlight w:val="green"/>
                <w:lang w:eastAsia="en-GB"/>
              </w:rPr>
            </w:pPr>
            <w:r w:rsidRPr="000B4E2C">
              <w:rPr>
                <w:highlight w:val="green"/>
                <w:lang w:eastAsia="en-GB"/>
              </w:rPr>
              <w:t>F. Mohamed, N. A. Buckley, S. Jayamanne, J. W. Pickering, P. Peake, C. Palangasinghe, T. Wijerathna, I. Ratnayake, F. Shihana and Z. H. Endre. Kidney damage biomarkers detect acute kidney injury but only functional markers predict mortality after paraquat ingestion. Toxicology Letters, 237(2), 140-150. [16169]</w:t>
            </w:r>
          </w:p>
        </w:tc>
      </w:tr>
      <w:tr w:rsidR="002F0133" w:rsidRPr="000B4E2C" w14:paraId="05A423C6" w14:textId="77777777" w:rsidTr="000B4E2C">
        <w:trPr>
          <w:cantSplit/>
        </w:trPr>
        <w:tc>
          <w:tcPr>
            <w:tcW w:w="0" w:type="auto"/>
            <w:shd w:val="clear" w:color="auto" w:fill="auto"/>
            <w:noWrap/>
            <w:hideMark/>
          </w:tcPr>
          <w:p w14:paraId="4656961B" w14:textId="77777777" w:rsidR="002F0133" w:rsidRPr="000B4E2C" w:rsidRDefault="002F0133" w:rsidP="008A7464">
            <w:pPr>
              <w:rPr>
                <w:lang w:eastAsia="en-GB"/>
              </w:rPr>
            </w:pPr>
            <w:r w:rsidRPr="000B4E2C">
              <w:rPr>
                <w:lang w:eastAsia="en-GB"/>
              </w:rPr>
              <w:t>Mohamed</w:t>
            </w:r>
          </w:p>
        </w:tc>
        <w:tc>
          <w:tcPr>
            <w:tcW w:w="0" w:type="auto"/>
            <w:shd w:val="clear" w:color="auto" w:fill="auto"/>
            <w:noWrap/>
            <w:hideMark/>
          </w:tcPr>
          <w:p w14:paraId="02C95185"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00490847" w14:textId="5C24632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CCF3EAD" w14:textId="77777777" w:rsidR="002F0133" w:rsidRPr="000B4E2C" w:rsidRDefault="002F0133" w:rsidP="008A7464">
            <w:pPr>
              <w:rPr>
                <w:highlight w:val="green"/>
                <w:lang w:eastAsia="en-GB"/>
              </w:rPr>
            </w:pPr>
            <w:r w:rsidRPr="000B4E2C">
              <w:rPr>
                <w:highlight w:val="green"/>
                <w:lang w:eastAsia="en-GB"/>
              </w:rPr>
              <w:t>Anonymous. Mechanism-specific injury biomarkers predict nephrotoxicity early following glyphosate surfactant herbicide (GPSH) poisoning. Toxicology letters.258 (pp 1-10), 2016.Date of publication: 06 sep 2016., . [4631]</w:t>
            </w:r>
          </w:p>
        </w:tc>
      </w:tr>
      <w:tr w:rsidR="002F0133" w:rsidRPr="000B4E2C" w14:paraId="251D63E7" w14:textId="77777777" w:rsidTr="000B4E2C">
        <w:trPr>
          <w:cantSplit/>
        </w:trPr>
        <w:tc>
          <w:tcPr>
            <w:tcW w:w="0" w:type="auto"/>
            <w:shd w:val="clear" w:color="auto" w:fill="auto"/>
            <w:noWrap/>
            <w:hideMark/>
          </w:tcPr>
          <w:p w14:paraId="04FD1D9D" w14:textId="77777777" w:rsidR="002F0133" w:rsidRPr="000B4E2C" w:rsidRDefault="002F0133" w:rsidP="008A7464">
            <w:pPr>
              <w:rPr>
                <w:lang w:eastAsia="en-GB"/>
              </w:rPr>
            </w:pPr>
            <w:r w:rsidRPr="000B4E2C">
              <w:rPr>
                <w:lang w:eastAsia="en-GB"/>
              </w:rPr>
              <w:t>Mohtat</w:t>
            </w:r>
          </w:p>
        </w:tc>
        <w:tc>
          <w:tcPr>
            <w:tcW w:w="0" w:type="auto"/>
            <w:shd w:val="clear" w:color="auto" w:fill="auto"/>
            <w:noWrap/>
            <w:hideMark/>
          </w:tcPr>
          <w:p w14:paraId="7D65B505"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41DE6F45" w14:textId="0CDF06A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D5F8927" w14:textId="77777777" w:rsidR="002F0133" w:rsidRPr="000B4E2C" w:rsidRDefault="002F0133" w:rsidP="008A7464">
            <w:pPr>
              <w:rPr>
                <w:highlight w:val="green"/>
                <w:lang w:eastAsia="en-GB"/>
              </w:rPr>
            </w:pPr>
            <w:r w:rsidRPr="000B4E2C">
              <w:rPr>
                <w:highlight w:val="green"/>
                <w:lang w:eastAsia="en-GB"/>
              </w:rPr>
              <w:t>D. Mohtat, R. Thomas, Z. Du, Y. Boakye, T. Moulton, C. Driscoll and R. Woroniecki. Urinary transforming growth factor beta-1 as a marker of renal dysfunction in sickle cell disease. Pediatric Nephrology, 26(2), 275-280. [18523]</w:t>
            </w:r>
          </w:p>
        </w:tc>
      </w:tr>
      <w:tr w:rsidR="002F0133" w:rsidRPr="000B4E2C" w14:paraId="0114C8A6" w14:textId="77777777" w:rsidTr="000B4E2C">
        <w:trPr>
          <w:cantSplit/>
        </w:trPr>
        <w:tc>
          <w:tcPr>
            <w:tcW w:w="0" w:type="auto"/>
            <w:shd w:val="clear" w:color="auto" w:fill="auto"/>
            <w:noWrap/>
            <w:hideMark/>
          </w:tcPr>
          <w:p w14:paraId="738E5A60" w14:textId="77777777" w:rsidR="002F0133" w:rsidRPr="000B4E2C" w:rsidRDefault="002F0133" w:rsidP="008A7464">
            <w:pPr>
              <w:rPr>
                <w:lang w:eastAsia="en-GB"/>
              </w:rPr>
            </w:pPr>
            <w:r w:rsidRPr="000B4E2C">
              <w:rPr>
                <w:lang w:eastAsia="en-GB"/>
              </w:rPr>
              <w:t>Mohtat</w:t>
            </w:r>
          </w:p>
        </w:tc>
        <w:tc>
          <w:tcPr>
            <w:tcW w:w="0" w:type="auto"/>
            <w:shd w:val="clear" w:color="auto" w:fill="auto"/>
            <w:noWrap/>
            <w:hideMark/>
          </w:tcPr>
          <w:p w14:paraId="372DFD53"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7A5C3B15"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F537DFA" w14:textId="77777777" w:rsidR="002F0133" w:rsidRPr="000B4E2C" w:rsidRDefault="002F0133" w:rsidP="008A7464">
            <w:pPr>
              <w:rPr>
                <w:highlight w:val="green"/>
                <w:lang w:eastAsia="en-GB"/>
              </w:rPr>
            </w:pPr>
            <w:r w:rsidRPr="000B4E2C">
              <w:rPr>
                <w:highlight w:val="green"/>
                <w:lang w:eastAsia="en-GB"/>
              </w:rPr>
              <w:t>D. Mohtat, R. Thomas, Z. Du, Y. Boakye, T. Moulton, C. Driscoll and R. Woroniecki. Urinary transforming growth factor beta-1 as a marker of renal dysfunction in sickle cell disease. Pediatric Nephrology, 26(2), 275-280. [16173]</w:t>
            </w:r>
          </w:p>
        </w:tc>
      </w:tr>
      <w:tr w:rsidR="002F0133" w:rsidRPr="000B4E2C" w14:paraId="5EE025E6" w14:textId="77777777" w:rsidTr="000B4E2C">
        <w:trPr>
          <w:cantSplit/>
        </w:trPr>
        <w:tc>
          <w:tcPr>
            <w:tcW w:w="0" w:type="auto"/>
            <w:shd w:val="clear" w:color="auto" w:fill="auto"/>
            <w:noWrap/>
            <w:hideMark/>
          </w:tcPr>
          <w:p w14:paraId="15624034" w14:textId="77777777" w:rsidR="002F0133" w:rsidRPr="000B4E2C" w:rsidRDefault="002F0133" w:rsidP="008A7464">
            <w:pPr>
              <w:rPr>
                <w:lang w:eastAsia="en-GB"/>
              </w:rPr>
            </w:pPr>
            <w:r w:rsidRPr="000B4E2C">
              <w:rPr>
                <w:lang w:eastAsia="en-GB"/>
              </w:rPr>
              <w:t>Moledina</w:t>
            </w:r>
          </w:p>
        </w:tc>
        <w:tc>
          <w:tcPr>
            <w:tcW w:w="0" w:type="auto"/>
            <w:shd w:val="clear" w:color="auto" w:fill="auto"/>
            <w:noWrap/>
            <w:hideMark/>
          </w:tcPr>
          <w:p w14:paraId="7545D1B2"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28A97F5"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9F45EA7" w14:textId="77777777" w:rsidR="002F0133" w:rsidRPr="000B4E2C" w:rsidRDefault="002F0133" w:rsidP="008A7464">
            <w:pPr>
              <w:rPr>
                <w:highlight w:val="green"/>
                <w:lang w:eastAsia="en-GB"/>
              </w:rPr>
            </w:pPr>
            <w:r w:rsidRPr="000B4E2C">
              <w:rPr>
                <w:highlight w:val="green"/>
                <w:lang w:eastAsia="en-GB"/>
              </w:rPr>
              <w:t>D. G. Moledina, C. R. Parikh, A. X. Garg, H. Thiessen-Philbrook, J. L. Koyner, U. D. Patel, P. Devarajan, M. G. Shlipak, S. G. Coca, J. Raman, V. Jeevanandam, S. Akhter, C. Edelstein, C. Passik, J. Nagy, M. Swaminathan, M. Chu, M. Goldbach, L. R. Guo, N. McKenzie, M. L. Myers, R. Novick, M. Quantz, M. Zappitelli, A. Palijan, M. Dewar, U. Darr, S. Hashim, J. Elefteriades, A. Geirsson, S. Garwood, I. Butrymowicz and H. Krumholz. Association of perioperative plasma neutrophil gelatinase-associated lipocalin levels with 3-year mortality after cardiac surgery: A prospective observational cohort study. PLoS ONE, 10(6), e0129619. [16178]</w:t>
            </w:r>
          </w:p>
        </w:tc>
      </w:tr>
      <w:tr w:rsidR="002F0133" w:rsidRPr="000B4E2C" w14:paraId="2544F528" w14:textId="77777777" w:rsidTr="000B4E2C">
        <w:trPr>
          <w:cantSplit/>
        </w:trPr>
        <w:tc>
          <w:tcPr>
            <w:tcW w:w="0" w:type="auto"/>
            <w:shd w:val="clear" w:color="auto" w:fill="auto"/>
            <w:noWrap/>
            <w:hideMark/>
          </w:tcPr>
          <w:p w14:paraId="581AE4B6" w14:textId="77777777" w:rsidR="002F0133" w:rsidRPr="000B4E2C" w:rsidRDefault="002F0133" w:rsidP="008A7464">
            <w:pPr>
              <w:rPr>
                <w:lang w:eastAsia="en-GB"/>
              </w:rPr>
            </w:pPr>
            <w:r w:rsidRPr="000B4E2C">
              <w:rPr>
                <w:lang w:eastAsia="en-GB"/>
              </w:rPr>
              <w:t>Moledina</w:t>
            </w:r>
          </w:p>
        </w:tc>
        <w:tc>
          <w:tcPr>
            <w:tcW w:w="0" w:type="auto"/>
            <w:shd w:val="clear" w:color="auto" w:fill="auto"/>
            <w:noWrap/>
            <w:hideMark/>
          </w:tcPr>
          <w:p w14:paraId="1AC4F322"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10B0311A"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52586C70" w14:textId="77777777" w:rsidR="002F0133" w:rsidRPr="000B4E2C" w:rsidRDefault="002F0133" w:rsidP="008A7464">
            <w:pPr>
              <w:rPr>
                <w:highlight w:val="green"/>
                <w:lang w:eastAsia="en-GB"/>
              </w:rPr>
            </w:pPr>
            <w:r w:rsidRPr="000B4E2C">
              <w:rPr>
                <w:highlight w:val="green"/>
                <w:lang w:eastAsia="en-GB"/>
              </w:rPr>
              <w:t>D. G. Moledina, I. E. Hall, H. Thiessen-Philbrook, P. P. Reese, F. L. Weng, B. Schroppel, M. D. Doshi, F. P. Wilson, S. G. Coca and C. R. Parikh. Performance of Serum Creatinine and Kidney Injury Biomarkers for Diagnosing Histologic Acute Tubular Injury. American Journal of Kidney Diseases, 70(6), 807-816. [16177]</w:t>
            </w:r>
          </w:p>
        </w:tc>
      </w:tr>
      <w:tr w:rsidR="002F0133" w:rsidRPr="000B4E2C" w14:paraId="60EE09CE" w14:textId="77777777" w:rsidTr="000B4E2C">
        <w:trPr>
          <w:cantSplit/>
        </w:trPr>
        <w:tc>
          <w:tcPr>
            <w:tcW w:w="0" w:type="auto"/>
            <w:shd w:val="clear" w:color="auto" w:fill="auto"/>
            <w:noWrap/>
            <w:hideMark/>
          </w:tcPr>
          <w:p w14:paraId="617DCBA8" w14:textId="77777777" w:rsidR="002F0133" w:rsidRPr="000B4E2C" w:rsidRDefault="002F0133" w:rsidP="008A7464">
            <w:pPr>
              <w:rPr>
                <w:lang w:eastAsia="en-GB"/>
              </w:rPr>
            </w:pPr>
            <w:r w:rsidRPr="000B4E2C">
              <w:rPr>
                <w:lang w:eastAsia="en-GB"/>
              </w:rPr>
              <w:lastRenderedPageBreak/>
              <w:t>Moon</w:t>
            </w:r>
          </w:p>
        </w:tc>
        <w:tc>
          <w:tcPr>
            <w:tcW w:w="0" w:type="auto"/>
            <w:shd w:val="clear" w:color="auto" w:fill="auto"/>
            <w:noWrap/>
            <w:hideMark/>
          </w:tcPr>
          <w:p w14:paraId="31FADADA"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7FAAA978"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1345D59" w14:textId="77777777" w:rsidR="002F0133" w:rsidRPr="000B4E2C" w:rsidRDefault="002F0133" w:rsidP="008A7464">
            <w:pPr>
              <w:rPr>
                <w:highlight w:val="green"/>
                <w:lang w:eastAsia="en-GB"/>
              </w:rPr>
            </w:pPr>
            <w:r w:rsidRPr="000B4E2C">
              <w:rPr>
                <w:highlight w:val="green"/>
                <w:lang w:eastAsia="en-GB"/>
              </w:rPr>
              <w:t>J. M. Moon, B. J. Chun, M. H. Shin and Y. S. Cho. Predictive value of plasma neutrophil gelatinase-associated lipocalin in acute charcoal-burning carbon monoxide poisoning. Human &amp; experimental toxicology, 960327119851259. [16180]</w:t>
            </w:r>
          </w:p>
        </w:tc>
      </w:tr>
      <w:tr w:rsidR="002F0133" w:rsidRPr="000B4E2C" w14:paraId="2D3DF80C" w14:textId="77777777" w:rsidTr="000B4E2C">
        <w:trPr>
          <w:cantSplit/>
        </w:trPr>
        <w:tc>
          <w:tcPr>
            <w:tcW w:w="0" w:type="auto"/>
            <w:shd w:val="clear" w:color="auto" w:fill="auto"/>
            <w:noWrap/>
            <w:hideMark/>
          </w:tcPr>
          <w:p w14:paraId="26FB01F3" w14:textId="77777777" w:rsidR="002F0133" w:rsidRPr="000B4E2C" w:rsidRDefault="002F0133" w:rsidP="008A7464">
            <w:pPr>
              <w:rPr>
                <w:lang w:eastAsia="en-GB"/>
              </w:rPr>
            </w:pPr>
            <w:r w:rsidRPr="000B4E2C">
              <w:rPr>
                <w:lang w:eastAsia="en-GB"/>
              </w:rPr>
              <w:t>Morales-Buenrostro</w:t>
            </w:r>
          </w:p>
        </w:tc>
        <w:tc>
          <w:tcPr>
            <w:tcW w:w="0" w:type="auto"/>
            <w:shd w:val="clear" w:color="auto" w:fill="auto"/>
            <w:noWrap/>
            <w:hideMark/>
          </w:tcPr>
          <w:p w14:paraId="06868027"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70EF0679" w14:textId="48F6270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CD8338A" w14:textId="77777777" w:rsidR="002F0133" w:rsidRPr="000B4E2C" w:rsidRDefault="002F0133" w:rsidP="008A7464">
            <w:pPr>
              <w:rPr>
                <w:highlight w:val="green"/>
                <w:lang w:eastAsia="en-GB"/>
              </w:rPr>
            </w:pPr>
            <w:r w:rsidRPr="000B4E2C">
              <w:rPr>
                <w:highlight w:val="green"/>
                <w:lang w:eastAsia="en-GB"/>
              </w:rPr>
              <w:t>L. E. Morales-Buenrostro, O. I. Salas-Nolasco, J. Barrera-Chimal, G. C. Aparicio, S. Irizar-Santana, R. P. Rez-Villalva and N. A. Bobadilla. Hsp72 is a novel biomarker to predict acute kidney injury in critically ill patients. PLoS ONE, 9(10), e109407. [16186]</w:t>
            </w:r>
          </w:p>
        </w:tc>
      </w:tr>
      <w:tr w:rsidR="002F0133" w:rsidRPr="000B4E2C" w14:paraId="2ED0B428" w14:textId="77777777" w:rsidTr="000B4E2C">
        <w:trPr>
          <w:cantSplit/>
        </w:trPr>
        <w:tc>
          <w:tcPr>
            <w:tcW w:w="0" w:type="auto"/>
            <w:shd w:val="clear" w:color="auto" w:fill="auto"/>
            <w:noWrap/>
            <w:hideMark/>
          </w:tcPr>
          <w:p w14:paraId="3D619FB4" w14:textId="77777777" w:rsidR="002F0133" w:rsidRPr="000B4E2C" w:rsidRDefault="002F0133" w:rsidP="008A7464">
            <w:pPr>
              <w:rPr>
                <w:lang w:eastAsia="en-GB"/>
              </w:rPr>
            </w:pPr>
            <w:r w:rsidRPr="000B4E2C">
              <w:rPr>
                <w:lang w:eastAsia="en-GB"/>
              </w:rPr>
              <w:t>Moriyama</w:t>
            </w:r>
          </w:p>
        </w:tc>
        <w:tc>
          <w:tcPr>
            <w:tcW w:w="0" w:type="auto"/>
            <w:shd w:val="clear" w:color="auto" w:fill="auto"/>
            <w:noWrap/>
            <w:hideMark/>
          </w:tcPr>
          <w:p w14:paraId="653890D5"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4619306B" w14:textId="753F0FC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F634812" w14:textId="77777777" w:rsidR="002F0133" w:rsidRPr="000B4E2C" w:rsidRDefault="002F0133" w:rsidP="008A7464">
            <w:pPr>
              <w:rPr>
                <w:highlight w:val="green"/>
                <w:lang w:eastAsia="en-GB"/>
              </w:rPr>
            </w:pPr>
            <w:r w:rsidRPr="000B4E2C">
              <w:rPr>
                <w:highlight w:val="green"/>
                <w:lang w:eastAsia="en-GB"/>
              </w:rPr>
              <w:t>T. Moriyama, S. Hagihara, T. Shiramomo, M. Nagaoka, S. Iwakawa and Y. Kanmura. Comparison of three early biomarkers for acute kidney injury after cardiac surgery under cardiopulmonary bypass. Journal of intensive care, 4(41. [16193]</w:t>
            </w:r>
          </w:p>
        </w:tc>
      </w:tr>
      <w:tr w:rsidR="002F0133" w:rsidRPr="000B4E2C" w14:paraId="5AC56616" w14:textId="77777777" w:rsidTr="000B4E2C">
        <w:trPr>
          <w:cantSplit/>
        </w:trPr>
        <w:tc>
          <w:tcPr>
            <w:tcW w:w="0" w:type="auto"/>
            <w:shd w:val="clear" w:color="auto" w:fill="auto"/>
            <w:noWrap/>
            <w:hideMark/>
          </w:tcPr>
          <w:p w14:paraId="179C1F4D" w14:textId="77777777" w:rsidR="002F0133" w:rsidRPr="000B4E2C" w:rsidRDefault="002F0133" w:rsidP="008A7464">
            <w:pPr>
              <w:rPr>
                <w:lang w:eastAsia="en-GB"/>
              </w:rPr>
            </w:pPr>
            <w:r w:rsidRPr="000B4E2C">
              <w:rPr>
                <w:lang w:eastAsia="en-GB"/>
              </w:rPr>
              <w:t>Moriyama</w:t>
            </w:r>
          </w:p>
        </w:tc>
        <w:tc>
          <w:tcPr>
            <w:tcW w:w="0" w:type="auto"/>
            <w:shd w:val="clear" w:color="auto" w:fill="auto"/>
            <w:noWrap/>
            <w:hideMark/>
          </w:tcPr>
          <w:p w14:paraId="5B698C5C"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B3A98E2" w14:textId="4D407CF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20812C9" w14:textId="77777777" w:rsidR="002F0133" w:rsidRPr="000B4E2C" w:rsidRDefault="002F0133" w:rsidP="008A7464">
            <w:pPr>
              <w:rPr>
                <w:highlight w:val="green"/>
                <w:lang w:eastAsia="en-GB"/>
              </w:rPr>
            </w:pPr>
            <w:r w:rsidRPr="000B4E2C">
              <w:rPr>
                <w:highlight w:val="green"/>
                <w:lang w:eastAsia="en-GB"/>
              </w:rPr>
              <w:t>T. Moriyama, S. Hagihara, T. Shiramomo, M. Nagaoka, S. Iwakawa and Y. Kanmura. The protective effect of human atrial natriuretic peptide on renal damage during cardiac surgery. Journal of Anesthesia, 31(2), 163-169. [16194]</w:t>
            </w:r>
          </w:p>
        </w:tc>
      </w:tr>
      <w:tr w:rsidR="002F0133" w:rsidRPr="000B4E2C" w14:paraId="26734E9B" w14:textId="77777777" w:rsidTr="000B4E2C">
        <w:trPr>
          <w:cantSplit/>
        </w:trPr>
        <w:tc>
          <w:tcPr>
            <w:tcW w:w="0" w:type="auto"/>
            <w:shd w:val="clear" w:color="auto" w:fill="auto"/>
            <w:noWrap/>
            <w:hideMark/>
          </w:tcPr>
          <w:p w14:paraId="61EA3541" w14:textId="77777777" w:rsidR="002F0133" w:rsidRPr="000B4E2C" w:rsidRDefault="002F0133" w:rsidP="008A7464">
            <w:pPr>
              <w:rPr>
                <w:lang w:eastAsia="en-GB"/>
              </w:rPr>
            </w:pPr>
            <w:r w:rsidRPr="000B4E2C">
              <w:rPr>
                <w:lang w:eastAsia="en-GB"/>
              </w:rPr>
              <w:t>Mortara</w:t>
            </w:r>
          </w:p>
        </w:tc>
        <w:tc>
          <w:tcPr>
            <w:tcW w:w="0" w:type="auto"/>
            <w:shd w:val="clear" w:color="auto" w:fill="auto"/>
            <w:noWrap/>
            <w:hideMark/>
          </w:tcPr>
          <w:p w14:paraId="7109E197"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23205C09" w14:textId="2EBB76D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B779A9D" w14:textId="77777777" w:rsidR="002F0133" w:rsidRPr="000B4E2C" w:rsidRDefault="002F0133" w:rsidP="008A7464">
            <w:pPr>
              <w:rPr>
                <w:highlight w:val="green"/>
                <w:lang w:eastAsia="en-GB"/>
              </w:rPr>
            </w:pPr>
            <w:r w:rsidRPr="000B4E2C">
              <w:rPr>
                <w:highlight w:val="green"/>
                <w:lang w:eastAsia="en-GB"/>
              </w:rPr>
              <w:t>A. Mortara, M. Bonadies, S. Mazzetti, I. Fracchioni, P. Delfino, M. Chioffi, C. Bersano and G. Specchia. Neutrophil gelatinase-associated lipocalin predicts worsening of renal function in acute heart failure: methodological and clinical issues. Journal of Cardiovascular Medicine, 14(9), 629-634. [18528]</w:t>
            </w:r>
          </w:p>
        </w:tc>
      </w:tr>
      <w:tr w:rsidR="002F0133" w:rsidRPr="000B4E2C" w14:paraId="3C7748B7" w14:textId="77777777" w:rsidTr="000B4E2C">
        <w:trPr>
          <w:cantSplit/>
        </w:trPr>
        <w:tc>
          <w:tcPr>
            <w:tcW w:w="0" w:type="auto"/>
            <w:shd w:val="clear" w:color="auto" w:fill="auto"/>
            <w:noWrap/>
            <w:hideMark/>
          </w:tcPr>
          <w:p w14:paraId="309B546B" w14:textId="77777777" w:rsidR="002F0133" w:rsidRPr="000B4E2C" w:rsidRDefault="002F0133" w:rsidP="008A7464">
            <w:pPr>
              <w:rPr>
                <w:lang w:eastAsia="en-GB"/>
              </w:rPr>
            </w:pPr>
            <w:r w:rsidRPr="000B4E2C">
              <w:rPr>
                <w:lang w:eastAsia="en-GB"/>
              </w:rPr>
              <w:t>Mosa</w:t>
            </w:r>
          </w:p>
        </w:tc>
        <w:tc>
          <w:tcPr>
            <w:tcW w:w="0" w:type="auto"/>
            <w:shd w:val="clear" w:color="auto" w:fill="auto"/>
            <w:noWrap/>
            <w:hideMark/>
          </w:tcPr>
          <w:p w14:paraId="52026AFB"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41CEFE6B"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3D03238A" w14:textId="77777777" w:rsidR="002F0133" w:rsidRPr="000B4E2C" w:rsidRDefault="002F0133" w:rsidP="008A7464">
            <w:pPr>
              <w:rPr>
                <w:highlight w:val="green"/>
                <w:lang w:eastAsia="en-GB"/>
              </w:rPr>
            </w:pPr>
            <w:r w:rsidRPr="000B4E2C">
              <w:rPr>
                <w:highlight w:val="green"/>
                <w:lang w:eastAsia="en-GB"/>
              </w:rPr>
              <w:t>O. F. Mosa. Prognostic Significance of Serum NGAL and Troponin i against Acute Kidney Injury in Egyptian ICU Patients after Open Heart Surgery: A Pilot Study. Kidney Diseases, 4(4), 246-254. [16197]</w:t>
            </w:r>
          </w:p>
        </w:tc>
      </w:tr>
      <w:tr w:rsidR="002F0133" w:rsidRPr="000B4E2C" w14:paraId="342C1770" w14:textId="77777777" w:rsidTr="000B4E2C">
        <w:trPr>
          <w:cantSplit/>
        </w:trPr>
        <w:tc>
          <w:tcPr>
            <w:tcW w:w="0" w:type="auto"/>
            <w:shd w:val="clear" w:color="auto" w:fill="auto"/>
            <w:noWrap/>
            <w:hideMark/>
          </w:tcPr>
          <w:p w14:paraId="472D5751" w14:textId="77777777" w:rsidR="002F0133" w:rsidRPr="000B4E2C" w:rsidRDefault="002F0133" w:rsidP="008A7464">
            <w:pPr>
              <w:rPr>
                <w:lang w:eastAsia="en-GB"/>
              </w:rPr>
            </w:pPr>
            <w:r w:rsidRPr="000B4E2C">
              <w:rPr>
                <w:lang w:eastAsia="en-GB"/>
              </w:rPr>
              <w:t>Moyake</w:t>
            </w:r>
          </w:p>
        </w:tc>
        <w:tc>
          <w:tcPr>
            <w:tcW w:w="0" w:type="auto"/>
            <w:shd w:val="clear" w:color="auto" w:fill="auto"/>
            <w:noWrap/>
            <w:hideMark/>
          </w:tcPr>
          <w:p w14:paraId="317B992A"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DAFB8D2"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095244F5" w14:textId="77777777" w:rsidR="002F0133" w:rsidRPr="000B4E2C" w:rsidRDefault="002F0133" w:rsidP="008A7464">
            <w:pPr>
              <w:rPr>
                <w:highlight w:val="green"/>
                <w:lang w:eastAsia="en-GB"/>
              </w:rPr>
            </w:pPr>
            <w:r w:rsidRPr="000B4E2C">
              <w:rPr>
                <w:highlight w:val="green"/>
                <w:lang w:eastAsia="en-GB"/>
              </w:rPr>
              <w:t>N. Moyake, E. Buchmann and N. J. Crowther. Neutrophil gelatinase-associated lipocalin as a diagnostic marker of acute kidney injury in pre-eclampsia. Journal of Obstetrics and Gynaecology Research, 42(11), 1483-1488. [16199]</w:t>
            </w:r>
          </w:p>
        </w:tc>
      </w:tr>
      <w:tr w:rsidR="002F0133" w:rsidRPr="000B4E2C" w14:paraId="6DA3EFAB" w14:textId="77777777" w:rsidTr="000B4E2C">
        <w:trPr>
          <w:cantSplit/>
        </w:trPr>
        <w:tc>
          <w:tcPr>
            <w:tcW w:w="0" w:type="auto"/>
            <w:shd w:val="clear" w:color="auto" w:fill="auto"/>
            <w:noWrap/>
            <w:hideMark/>
          </w:tcPr>
          <w:p w14:paraId="1A8BF284" w14:textId="77777777" w:rsidR="002F0133" w:rsidRPr="000B4E2C" w:rsidRDefault="002F0133" w:rsidP="008A7464">
            <w:pPr>
              <w:rPr>
                <w:lang w:eastAsia="en-GB"/>
              </w:rPr>
            </w:pPr>
            <w:r w:rsidRPr="000B4E2C">
              <w:rPr>
                <w:lang w:eastAsia="en-GB"/>
              </w:rPr>
              <w:t>Muhammad Usman</w:t>
            </w:r>
          </w:p>
        </w:tc>
        <w:tc>
          <w:tcPr>
            <w:tcW w:w="0" w:type="auto"/>
            <w:shd w:val="clear" w:color="auto" w:fill="auto"/>
            <w:noWrap/>
            <w:hideMark/>
          </w:tcPr>
          <w:p w14:paraId="05E368BB"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003578F2" w14:textId="5ADB5FF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E6D996F" w14:textId="77777777" w:rsidR="002F0133" w:rsidRPr="000B4E2C" w:rsidRDefault="002F0133" w:rsidP="008A7464">
            <w:pPr>
              <w:rPr>
                <w:highlight w:val="green"/>
                <w:lang w:eastAsia="en-GB"/>
              </w:rPr>
            </w:pPr>
            <w:r w:rsidRPr="000B4E2C">
              <w:rPr>
                <w:highlight w:val="green"/>
                <w:lang w:eastAsia="en-GB"/>
              </w:rPr>
              <w:t>M. Muhammad Usman, K. Dilshad Ahmed, K. Farooq Ahmad and N. Syed Muhammad Shahab. Comparison of urine with plasma neutrophil gelatinase-associated lipocalin in detecting acute kidney injury after cardiopulmonary bypass surgery. Pak. Armed Forces Med. J., 63(2), 179-183. [6175]</w:t>
            </w:r>
          </w:p>
        </w:tc>
      </w:tr>
      <w:tr w:rsidR="002F0133" w:rsidRPr="000B4E2C" w14:paraId="40C5B4C2" w14:textId="77777777" w:rsidTr="000B4E2C">
        <w:trPr>
          <w:cantSplit/>
        </w:trPr>
        <w:tc>
          <w:tcPr>
            <w:tcW w:w="0" w:type="auto"/>
            <w:shd w:val="clear" w:color="auto" w:fill="auto"/>
            <w:noWrap/>
            <w:hideMark/>
          </w:tcPr>
          <w:p w14:paraId="452E7220" w14:textId="77777777" w:rsidR="002F0133" w:rsidRPr="000B4E2C" w:rsidRDefault="002F0133" w:rsidP="008A7464">
            <w:pPr>
              <w:rPr>
                <w:lang w:eastAsia="en-GB"/>
              </w:rPr>
            </w:pPr>
            <w:r w:rsidRPr="000B4E2C">
              <w:rPr>
                <w:lang w:eastAsia="en-GB"/>
              </w:rPr>
              <w:t xml:space="preserve">Munir </w:t>
            </w:r>
          </w:p>
        </w:tc>
        <w:tc>
          <w:tcPr>
            <w:tcW w:w="0" w:type="auto"/>
            <w:shd w:val="clear" w:color="auto" w:fill="auto"/>
            <w:noWrap/>
            <w:hideMark/>
          </w:tcPr>
          <w:p w14:paraId="21DD0AF8"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37FAA1AA" w14:textId="4B9AE52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518BADF" w14:textId="77777777" w:rsidR="002F0133" w:rsidRPr="000B4E2C" w:rsidRDefault="002F0133" w:rsidP="008A7464">
            <w:pPr>
              <w:rPr>
                <w:highlight w:val="green"/>
                <w:lang w:eastAsia="en-GB"/>
              </w:rPr>
            </w:pPr>
            <w:r w:rsidRPr="000B4E2C">
              <w:rPr>
                <w:highlight w:val="green"/>
                <w:lang w:val="da-DK" w:eastAsia="en-GB"/>
              </w:rPr>
              <w:t xml:space="preserve">Munir MU, Khan DA, Khan FA, Shahab Naqvi SM.  . </w:t>
            </w:r>
            <w:r w:rsidRPr="000B4E2C">
              <w:rPr>
                <w:highlight w:val="green"/>
                <w:lang w:eastAsia="en-GB"/>
              </w:rPr>
              <w:t>Rapid detection of acute kidney injury by urinary neutrophil gelatinase-associated lipocalin after cardiopulmonary bypass surgery.. J Coll Physicians Surg Pak 2013;23:103–6. [16206]</w:t>
            </w:r>
          </w:p>
        </w:tc>
      </w:tr>
      <w:tr w:rsidR="002F0133" w:rsidRPr="000B4E2C" w14:paraId="2F43DE2D" w14:textId="77777777" w:rsidTr="000B4E2C">
        <w:trPr>
          <w:cantSplit/>
        </w:trPr>
        <w:tc>
          <w:tcPr>
            <w:tcW w:w="0" w:type="auto"/>
            <w:shd w:val="clear" w:color="auto" w:fill="auto"/>
            <w:noWrap/>
            <w:hideMark/>
          </w:tcPr>
          <w:p w14:paraId="7BB455B5" w14:textId="77777777" w:rsidR="002F0133" w:rsidRPr="000B4E2C" w:rsidRDefault="002F0133" w:rsidP="008A7464">
            <w:pPr>
              <w:rPr>
                <w:lang w:eastAsia="en-GB"/>
              </w:rPr>
            </w:pPr>
            <w:r w:rsidRPr="000B4E2C">
              <w:rPr>
                <w:lang w:eastAsia="en-GB"/>
              </w:rPr>
              <w:t>Munshi</w:t>
            </w:r>
          </w:p>
        </w:tc>
        <w:tc>
          <w:tcPr>
            <w:tcW w:w="0" w:type="auto"/>
            <w:shd w:val="clear" w:color="auto" w:fill="auto"/>
            <w:noWrap/>
            <w:hideMark/>
          </w:tcPr>
          <w:p w14:paraId="5048FBC9"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1AF031C0"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0BB16387" w14:textId="77777777" w:rsidR="002F0133" w:rsidRPr="000B4E2C" w:rsidRDefault="002F0133" w:rsidP="008A7464">
            <w:pPr>
              <w:rPr>
                <w:highlight w:val="green"/>
                <w:lang w:eastAsia="en-GB"/>
              </w:rPr>
            </w:pPr>
            <w:r w:rsidRPr="000B4E2C">
              <w:rPr>
                <w:highlight w:val="green"/>
                <w:lang w:eastAsia="en-GB"/>
              </w:rPr>
              <w:t>R. Munshi and J. J. Zimmerman. Neutrophil gelatinase-associated lipocalin-can it predict the future?*. Pediatric critical care medicine : a journal of the Society of Critical Care Medicine and the World Federation of Pediatric Intensive and Critical Care Societies, 15(2), 173-4. [16207]</w:t>
            </w:r>
          </w:p>
        </w:tc>
      </w:tr>
      <w:tr w:rsidR="002F0133" w:rsidRPr="000B4E2C" w14:paraId="0A058062" w14:textId="77777777" w:rsidTr="000B4E2C">
        <w:trPr>
          <w:cantSplit/>
        </w:trPr>
        <w:tc>
          <w:tcPr>
            <w:tcW w:w="0" w:type="auto"/>
            <w:shd w:val="clear" w:color="auto" w:fill="auto"/>
            <w:noWrap/>
            <w:hideMark/>
          </w:tcPr>
          <w:p w14:paraId="59AF3DA9" w14:textId="77777777" w:rsidR="002F0133" w:rsidRPr="000B4E2C" w:rsidRDefault="002F0133" w:rsidP="008A7464">
            <w:pPr>
              <w:rPr>
                <w:lang w:eastAsia="en-GB"/>
              </w:rPr>
            </w:pPr>
            <w:r w:rsidRPr="000B4E2C">
              <w:rPr>
                <w:lang w:eastAsia="en-GB"/>
              </w:rPr>
              <w:t>Muratoglu</w:t>
            </w:r>
          </w:p>
        </w:tc>
        <w:tc>
          <w:tcPr>
            <w:tcW w:w="0" w:type="auto"/>
            <w:shd w:val="clear" w:color="auto" w:fill="auto"/>
            <w:noWrap/>
            <w:hideMark/>
          </w:tcPr>
          <w:p w14:paraId="32DD6A04"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338EB53"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9A8C11E" w14:textId="77777777" w:rsidR="002F0133" w:rsidRPr="000B4E2C" w:rsidRDefault="002F0133" w:rsidP="008A7464">
            <w:pPr>
              <w:rPr>
                <w:highlight w:val="green"/>
                <w:lang w:eastAsia="en-GB"/>
              </w:rPr>
            </w:pPr>
            <w:r w:rsidRPr="000B4E2C">
              <w:rPr>
                <w:highlight w:val="green"/>
                <w:lang w:eastAsia="en-GB"/>
              </w:rPr>
              <w:t>M. Muratoglu, C. Kavalci, E. Kilicli, M. Findik, A. E. Kayipmaz and P. Durukan. Serum Neutrophil Gelatinase-Associated Lipocalin Levels In Early Detection Of Contrast-Induced Nephropathy. Clinical and investigative medicine. Medecine clinique et experimentale, 39(3), E88-E94. [16208]</w:t>
            </w:r>
          </w:p>
        </w:tc>
      </w:tr>
      <w:tr w:rsidR="002F0133" w:rsidRPr="000B4E2C" w14:paraId="53159D6F" w14:textId="77777777" w:rsidTr="000B4E2C">
        <w:trPr>
          <w:cantSplit/>
        </w:trPr>
        <w:tc>
          <w:tcPr>
            <w:tcW w:w="0" w:type="auto"/>
            <w:shd w:val="clear" w:color="auto" w:fill="auto"/>
            <w:noWrap/>
            <w:hideMark/>
          </w:tcPr>
          <w:p w14:paraId="101AD2F9" w14:textId="77777777" w:rsidR="002F0133" w:rsidRPr="000B4E2C" w:rsidRDefault="002F0133" w:rsidP="008A7464">
            <w:pPr>
              <w:rPr>
                <w:lang w:eastAsia="en-GB"/>
              </w:rPr>
            </w:pPr>
            <w:r w:rsidRPr="000B4E2C">
              <w:rPr>
                <w:lang w:eastAsia="en-GB"/>
              </w:rPr>
              <w:t>Murphy</w:t>
            </w:r>
          </w:p>
        </w:tc>
        <w:tc>
          <w:tcPr>
            <w:tcW w:w="0" w:type="auto"/>
            <w:shd w:val="clear" w:color="auto" w:fill="auto"/>
            <w:noWrap/>
            <w:hideMark/>
          </w:tcPr>
          <w:p w14:paraId="701C43BD"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75FAD17" w14:textId="04F6369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C7FEF8B" w14:textId="4E38C877" w:rsidR="002F0133" w:rsidRPr="000B4E2C" w:rsidRDefault="002F0133" w:rsidP="008A7464">
            <w:pPr>
              <w:rPr>
                <w:highlight w:val="green"/>
                <w:lang w:eastAsia="en-GB"/>
              </w:rPr>
            </w:pPr>
            <w:r w:rsidRPr="000B4E2C">
              <w:rPr>
                <w:highlight w:val="green"/>
                <w:lang w:eastAsia="en-GB"/>
              </w:rPr>
              <w:t>N. Murphy, A. Vijayan, S. Frohlich, F. O</w:t>
            </w:r>
            <w:r w:rsidR="0072128A" w:rsidRPr="000B4E2C">
              <w:rPr>
                <w:color w:val="00B0F0"/>
                <w:highlight w:val="green"/>
                <w:lang w:eastAsia="en-GB"/>
              </w:rPr>
              <w:t>’</w:t>
            </w:r>
            <w:r w:rsidRPr="000B4E2C">
              <w:rPr>
                <w:highlight w:val="green"/>
                <w:lang w:eastAsia="en-GB"/>
              </w:rPr>
              <w:t>Farrell, M. Barry, S. Sheehan, J. Boylan and N. Conlon. Remote ischemic preconditioning does not affect the incidence of acute kidney injury after elective abdominal aortic aneurysm repair. Journal of Cardiothoracic and Vascular Anesthesia, 28(5), 1285-1292. [16209]</w:t>
            </w:r>
          </w:p>
        </w:tc>
      </w:tr>
      <w:tr w:rsidR="002F0133" w:rsidRPr="000B4E2C" w14:paraId="494E5E0E" w14:textId="77777777" w:rsidTr="000B4E2C">
        <w:trPr>
          <w:cantSplit/>
        </w:trPr>
        <w:tc>
          <w:tcPr>
            <w:tcW w:w="0" w:type="auto"/>
            <w:shd w:val="clear" w:color="auto" w:fill="auto"/>
            <w:noWrap/>
            <w:hideMark/>
          </w:tcPr>
          <w:p w14:paraId="7F458190" w14:textId="77777777" w:rsidR="002F0133" w:rsidRPr="000B4E2C" w:rsidRDefault="002F0133" w:rsidP="008A7464">
            <w:pPr>
              <w:rPr>
                <w:lang w:eastAsia="en-GB"/>
              </w:rPr>
            </w:pPr>
            <w:r w:rsidRPr="000B4E2C">
              <w:rPr>
                <w:lang w:eastAsia="en-GB"/>
              </w:rPr>
              <w:lastRenderedPageBreak/>
              <w:t>Musiol</w:t>
            </w:r>
          </w:p>
        </w:tc>
        <w:tc>
          <w:tcPr>
            <w:tcW w:w="0" w:type="auto"/>
            <w:shd w:val="clear" w:color="auto" w:fill="auto"/>
            <w:noWrap/>
            <w:hideMark/>
          </w:tcPr>
          <w:p w14:paraId="28887424"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15DC4240" w14:textId="658DECA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DE65B6E" w14:textId="77777777" w:rsidR="002F0133" w:rsidRPr="000B4E2C" w:rsidRDefault="002F0133" w:rsidP="008A7464">
            <w:pPr>
              <w:rPr>
                <w:highlight w:val="green"/>
                <w:lang w:eastAsia="en-GB"/>
              </w:rPr>
            </w:pPr>
            <w:r w:rsidRPr="000B4E2C">
              <w:rPr>
                <w:highlight w:val="green"/>
                <w:lang w:eastAsia="en-GB"/>
              </w:rPr>
              <w:t>K. Musiol, G. Sobol-Milejska, L. Nowotka, K. Torba, M. Kniazewska and H. Wos. Renal function in children treated for central nervous system malignancies. Childs Nervous System, 32(8), 1431-1440. [18531]</w:t>
            </w:r>
          </w:p>
        </w:tc>
      </w:tr>
      <w:tr w:rsidR="002F0133" w:rsidRPr="000B4E2C" w14:paraId="69584D35" w14:textId="77777777" w:rsidTr="000B4E2C">
        <w:trPr>
          <w:cantSplit/>
        </w:trPr>
        <w:tc>
          <w:tcPr>
            <w:tcW w:w="0" w:type="auto"/>
            <w:shd w:val="clear" w:color="auto" w:fill="auto"/>
            <w:noWrap/>
            <w:hideMark/>
          </w:tcPr>
          <w:p w14:paraId="5E7B29C8" w14:textId="77777777" w:rsidR="002F0133" w:rsidRPr="000B4E2C" w:rsidRDefault="002F0133" w:rsidP="008A7464">
            <w:pPr>
              <w:rPr>
                <w:lang w:eastAsia="en-GB"/>
              </w:rPr>
            </w:pPr>
            <w:r w:rsidRPr="000B4E2C">
              <w:rPr>
                <w:lang w:eastAsia="en-GB"/>
              </w:rPr>
              <w:t>Nadkarni</w:t>
            </w:r>
          </w:p>
        </w:tc>
        <w:tc>
          <w:tcPr>
            <w:tcW w:w="0" w:type="auto"/>
            <w:shd w:val="clear" w:color="auto" w:fill="auto"/>
            <w:noWrap/>
            <w:hideMark/>
          </w:tcPr>
          <w:p w14:paraId="35FED0AC"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0B98295C"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67775DD9" w14:textId="77777777" w:rsidR="002F0133" w:rsidRPr="000B4E2C" w:rsidRDefault="002F0133" w:rsidP="008A7464">
            <w:pPr>
              <w:rPr>
                <w:highlight w:val="green"/>
                <w:lang w:eastAsia="en-GB"/>
              </w:rPr>
            </w:pPr>
            <w:r w:rsidRPr="000B4E2C">
              <w:rPr>
                <w:highlight w:val="green"/>
                <w:lang w:eastAsia="en-GB"/>
              </w:rPr>
              <w:t>G. N. Nadkarni, S. G. Coca, A. Meisner, S. Patel, K. F. Kerr, U. D. Patel, J. L. Koyner, A. X. Garg, H. T. Philbrook, C. L. Edelstein, M. Shlipak, J. El-Khoury, C. R. Parikh, J. Raman, V. Jeevanandam, S. Akhter, C. Passik, J. Nagy, M. Swaminathan, M. Chu, M. Goldbach, L. R. Guo, N. McKenzie, M. L. Myers, R. Novick, M. Quantz, M. Zappitelli, A. Palijan, M. Dewar, U. Darr, S. Hashim, J. Elefteriades, A. Geirsson, S. Garwood, I. Butrymowicz, H. Krumholz and S. Dixon. Urinalysis findings and urinary kidney injury biomarker concentrations. BMC Nephrology, 18(1), 218. [16216]</w:t>
            </w:r>
          </w:p>
        </w:tc>
      </w:tr>
      <w:tr w:rsidR="002F0133" w:rsidRPr="000B4E2C" w14:paraId="50B0C34C" w14:textId="77777777" w:rsidTr="000B4E2C">
        <w:trPr>
          <w:cantSplit/>
        </w:trPr>
        <w:tc>
          <w:tcPr>
            <w:tcW w:w="0" w:type="auto"/>
            <w:shd w:val="clear" w:color="auto" w:fill="auto"/>
            <w:noWrap/>
            <w:hideMark/>
          </w:tcPr>
          <w:p w14:paraId="7B96E25C" w14:textId="77777777" w:rsidR="002F0133" w:rsidRPr="000B4E2C" w:rsidRDefault="002F0133" w:rsidP="008A7464">
            <w:pPr>
              <w:rPr>
                <w:lang w:eastAsia="en-GB"/>
              </w:rPr>
            </w:pPr>
            <w:r w:rsidRPr="000B4E2C">
              <w:rPr>
                <w:lang w:eastAsia="en-GB"/>
              </w:rPr>
              <w:t>Nam</w:t>
            </w:r>
          </w:p>
        </w:tc>
        <w:tc>
          <w:tcPr>
            <w:tcW w:w="0" w:type="auto"/>
            <w:shd w:val="clear" w:color="auto" w:fill="auto"/>
            <w:noWrap/>
            <w:hideMark/>
          </w:tcPr>
          <w:p w14:paraId="6676EA24"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7B0157B1" w14:textId="34F413F5"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7D8E21B9" w14:textId="77777777" w:rsidR="002F0133" w:rsidRPr="000B4E2C" w:rsidRDefault="002F0133" w:rsidP="008A7464">
            <w:pPr>
              <w:rPr>
                <w:highlight w:val="green"/>
                <w:lang w:eastAsia="en-GB"/>
              </w:rPr>
            </w:pPr>
            <w:r w:rsidRPr="000B4E2C">
              <w:rPr>
                <w:highlight w:val="green"/>
                <w:lang w:eastAsia="en-GB"/>
              </w:rPr>
              <w:t>M. J. Nam, C. H. Lim, H. J. Kim, Y. H. Kim, H. Choi, H. S. Son, H. J. Lim and K. Sun. A Meta-Analysis of Renal Function After Adult Cardiac Surgery With Pulsatile Perfusion. Artificial Organs, 39(9), 788-794. [16220]</w:t>
            </w:r>
          </w:p>
        </w:tc>
      </w:tr>
      <w:tr w:rsidR="002F0133" w:rsidRPr="000B4E2C" w14:paraId="269DBB7E" w14:textId="77777777" w:rsidTr="000B4E2C">
        <w:trPr>
          <w:cantSplit/>
        </w:trPr>
        <w:tc>
          <w:tcPr>
            <w:tcW w:w="0" w:type="auto"/>
            <w:shd w:val="clear" w:color="auto" w:fill="auto"/>
            <w:noWrap/>
            <w:hideMark/>
          </w:tcPr>
          <w:p w14:paraId="284115A6" w14:textId="77777777" w:rsidR="002F0133" w:rsidRPr="000B4E2C" w:rsidRDefault="002F0133" w:rsidP="008A7464">
            <w:pPr>
              <w:rPr>
                <w:lang w:eastAsia="en-GB"/>
              </w:rPr>
            </w:pPr>
            <w:r w:rsidRPr="000B4E2C">
              <w:rPr>
                <w:lang w:eastAsia="en-GB"/>
              </w:rPr>
              <w:t>Nasonova</w:t>
            </w:r>
          </w:p>
        </w:tc>
        <w:tc>
          <w:tcPr>
            <w:tcW w:w="0" w:type="auto"/>
            <w:shd w:val="clear" w:color="auto" w:fill="auto"/>
            <w:noWrap/>
            <w:hideMark/>
          </w:tcPr>
          <w:p w14:paraId="63E84F61"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623A206A" w14:textId="77777777" w:rsidR="002F0133" w:rsidRPr="000B4E2C" w:rsidRDefault="002F0133" w:rsidP="008A7464">
            <w:pPr>
              <w:rPr>
                <w:lang w:eastAsia="en-GB"/>
              </w:rPr>
            </w:pPr>
            <w:r w:rsidRPr="000B4E2C">
              <w:rPr>
                <w:lang w:eastAsia="en-GB"/>
              </w:rPr>
              <w:t>Non-English publication</w:t>
            </w:r>
          </w:p>
        </w:tc>
        <w:tc>
          <w:tcPr>
            <w:tcW w:w="0" w:type="auto"/>
            <w:shd w:val="clear" w:color="auto" w:fill="auto"/>
            <w:noWrap/>
            <w:hideMark/>
          </w:tcPr>
          <w:p w14:paraId="6AFA7D17" w14:textId="77777777" w:rsidR="002F0133" w:rsidRPr="000B4E2C" w:rsidRDefault="002F0133" w:rsidP="008A7464">
            <w:pPr>
              <w:rPr>
                <w:highlight w:val="green"/>
                <w:lang w:eastAsia="en-GB"/>
              </w:rPr>
            </w:pPr>
            <w:r w:rsidRPr="000B4E2C">
              <w:rPr>
                <w:highlight w:val="green"/>
                <w:lang w:eastAsia="en-GB"/>
              </w:rPr>
              <w:t>S. N. Nasonova, I. V. Zhirov, M. V. Ledyakhova, T. V. Sharf, E. G. Bosykh, V. P. Masenko and S. N. Tereshchenko. Early diagnosis of acute renal injury in patients with acute decompensation of chronic heart failure. Terapevticheskii arkhiv, 91(4), 67-73. [16223]</w:t>
            </w:r>
          </w:p>
        </w:tc>
      </w:tr>
      <w:tr w:rsidR="002F0133" w:rsidRPr="000B4E2C" w14:paraId="109B17AE" w14:textId="77777777" w:rsidTr="000B4E2C">
        <w:trPr>
          <w:cantSplit/>
        </w:trPr>
        <w:tc>
          <w:tcPr>
            <w:tcW w:w="0" w:type="auto"/>
            <w:shd w:val="clear" w:color="auto" w:fill="auto"/>
            <w:noWrap/>
            <w:hideMark/>
          </w:tcPr>
          <w:p w14:paraId="0C2E860D" w14:textId="77777777" w:rsidR="002F0133" w:rsidRPr="000B4E2C" w:rsidRDefault="002F0133" w:rsidP="008A7464">
            <w:pPr>
              <w:rPr>
                <w:lang w:eastAsia="en-GB"/>
              </w:rPr>
            </w:pPr>
            <w:r w:rsidRPr="000B4E2C">
              <w:rPr>
                <w:lang w:eastAsia="en-GB"/>
              </w:rPr>
              <w:t>Nayak</w:t>
            </w:r>
          </w:p>
        </w:tc>
        <w:tc>
          <w:tcPr>
            <w:tcW w:w="0" w:type="auto"/>
            <w:shd w:val="clear" w:color="auto" w:fill="auto"/>
            <w:noWrap/>
            <w:hideMark/>
          </w:tcPr>
          <w:p w14:paraId="6FD959D1"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00579081"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3A4F55CB" w14:textId="77777777" w:rsidR="002F0133" w:rsidRPr="000B4E2C" w:rsidRDefault="002F0133" w:rsidP="008A7464">
            <w:pPr>
              <w:rPr>
                <w:highlight w:val="green"/>
                <w:lang w:eastAsia="en-GB"/>
              </w:rPr>
            </w:pPr>
            <w:r w:rsidRPr="000B4E2C">
              <w:rPr>
                <w:highlight w:val="green"/>
                <w:lang w:eastAsia="en-GB"/>
              </w:rPr>
              <w:t>N. M. Nayak, S. Madhumitha, R. A. Annigeri, R. Venkataraman, S. Balasubramaian, R. Seshadri, V. Vadamalai, B. S. Rao, P. C. Kowdle, N. Ramakrishnan and M. K. Mani. Clinical utility of urine neutrophil gelatinase-associated lipocalin measured at admission to predict outcomes in heterogeneous population of critically ill patients. Indian Journal of Nephrology, 26(2), 119-124. [16227]</w:t>
            </w:r>
          </w:p>
        </w:tc>
      </w:tr>
      <w:tr w:rsidR="002F0133" w:rsidRPr="000B4E2C" w14:paraId="2E6F3A36" w14:textId="77777777" w:rsidTr="000B4E2C">
        <w:trPr>
          <w:cantSplit/>
        </w:trPr>
        <w:tc>
          <w:tcPr>
            <w:tcW w:w="0" w:type="auto"/>
            <w:shd w:val="clear" w:color="auto" w:fill="auto"/>
            <w:noWrap/>
            <w:hideMark/>
          </w:tcPr>
          <w:p w14:paraId="28E8224A" w14:textId="77777777" w:rsidR="002F0133" w:rsidRPr="000B4E2C" w:rsidRDefault="002F0133" w:rsidP="008A7464">
            <w:pPr>
              <w:rPr>
                <w:lang w:eastAsia="en-GB"/>
              </w:rPr>
            </w:pPr>
            <w:r w:rsidRPr="000B4E2C">
              <w:rPr>
                <w:lang w:eastAsia="en-GB"/>
              </w:rPr>
              <w:t>Negrin</w:t>
            </w:r>
          </w:p>
        </w:tc>
        <w:tc>
          <w:tcPr>
            <w:tcW w:w="0" w:type="auto"/>
            <w:shd w:val="clear" w:color="auto" w:fill="auto"/>
            <w:noWrap/>
            <w:hideMark/>
          </w:tcPr>
          <w:p w14:paraId="6C782D93"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59793F2F" w14:textId="10F074A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B79E5BD" w14:textId="77777777" w:rsidR="002F0133" w:rsidRPr="000B4E2C" w:rsidRDefault="002F0133" w:rsidP="008A7464">
            <w:pPr>
              <w:rPr>
                <w:highlight w:val="green"/>
                <w:lang w:eastAsia="en-GB"/>
              </w:rPr>
            </w:pPr>
            <w:r w:rsidRPr="000B4E2C">
              <w:rPr>
                <w:highlight w:val="green"/>
                <w:lang w:eastAsia="en-GB"/>
              </w:rPr>
              <w:t>L. L. Negrin, R. Hahn, T. Heinz and S. Hajdu. Diagnostic utility of serum neutrophil gelatinase-associated lipocalin in polytraumatized patients suffering acute kidney injury: A prospective study. BioMed Research International, 2018(2687584. [16229]</w:t>
            </w:r>
          </w:p>
        </w:tc>
      </w:tr>
      <w:tr w:rsidR="002F0133" w:rsidRPr="000B4E2C" w14:paraId="58873F5A" w14:textId="77777777" w:rsidTr="000B4E2C">
        <w:trPr>
          <w:cantSplit/>
        </w:trPr>
        <w:tc>
          <w:tcPr>
            <w:tcW w:w="0" w:type="auto"/>
            <w:shd w:val="clear" w:color="auto" w:fill="auto"/>
            <w:noWrap/>
            <w:hideMark/>
          </w:tcPr>
          <w:p w14:paraId="7C18E615" w14:textId="77777777" w:rsidR="002F0133" w:rsidRPr="000B4E2C" w:rsidRDefault="002F0133" w:rsidP="008A7464">
            <w:pPr>
              <w:rPr>
                <w:lang w:eastAsia="en-GB"/>
              </w:rPr>
            </w:pPr>
            <w:r w:rsidRPr="000B4E2C">
              <w:rPr>
                <w:lang w:eastAsia="en-GB"/>
              </w:rPr>
              <w:t>Nehus</w:t>
            </w:r>
          </w:p>
        </w:tc>
        <w:tc>
          <w:tcPr>
            <w:tcW w:w="0" w:type="auto"/>
            <w:shd w:val="clear" w:color="auto" w:fill="auto"/>
            <w:noWrap/>
            <w:hideMark/>
          </w:tcPr>
          <w:p w14:paraId="623FA3DF"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3E7E7FBF"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15F7A525" w14:textId="77777777" w:rsidR="002F0133" w:rsidRPr="000B4E2C" w:rsidRDefault="002F0133" w:rsidP="008A7464">
            <w:pPr>
              <w:rPr>
                <w:highlight w:val="green"/>
                <w:lang w:eastAsia="en-GB"/>
              </w:rPr>
            </w:pPr>
            <w:r w:rsidRPr="000B4E2C">
              <w:rPr>
                <w:highlight w:val="green"/>
                <w:lang w:eastAsia="en-GB"/>
              </w:rPr>
              <w:t>E. Nehus, A. Kaddourah, M. Bennett, O. Pyles and P. Devarajan. Subclinical Kidney Injury in Children Receiving Nonsteroidal Anti-Inflammatory Drugs After Cardiac Surgery. Journal of Pediatrics, 189(175-180. [16230]</w:t>
            </w:r>
          </w:p>
        </w:tc>
      </w:tr>
      <w:tr w:rsidR="002F0133" w:rsidRPr="000B4E2C" w14:paraId="18B7BC4B" w14:textId="77777777" w:rsidTr="000B4E2C">
        <w:trPr>
          <w:cantSplit/>
        </w:trPr>
        <w:tc>
          <w:tcPr>
            <w:tcW w:w="0" w:type="auto"/>
            <w:shd w:val="clear" w:color="auto" w:fill="auto"/>
            <w:noWrap/>
            <w:hideMark/>
          </w:tcPr>
          <w:p w14:paraId="57964167" w14:textId="77777777" w:rsidR="002F0133" w:rsidRPr="000B4E2C" w:rsidRDefault="002F0133" w:rsidP="008A7464">
            <w:pPr>
              <w:rPr>
                <w:lang w:eastAsia="en-GB"/>
              </w:rPr>
            </w:pPr>
            <w:r w:rsidRPr="000B4E2C">
              <w:rPr>
                <w:lang w:eastAsia="en-GB"/>
              </w:rPr>
              <w:t>Nejat</w:t>
            </w:r>
          </w:p>
        </w:tc>
        <w:tc>
          <w:tcPr>
            <w:tcW w:w="0" w:type="auto"/>
            <w:shd w:val="clear" w:color="auto" w:fill="auto"/>
            <w:noWrap/>
            <w:hideMark/>
          </w:tcPr>
          <w:p w14:paraId="3A57E0DD"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585A4CF5"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1B474892" w14:textId="77777777" w:rsidR="002F0133" w:rsidRPr="000B4E2C" w:rsidRDefault="002F0133" w:rsidP="008A7464">
            <w:pPr>
              <w:rPr>
                <w:highlight w:val="green"/>
                <w:lang w:eastAsia="en-GB"/>
              </w:rPr>
            </w:pPr>
            <w:r w:rsidRPr="000B4E2C">
              <w:rPr>
                <w:highlight w:val="green"/>
                <w:lang w:eastAsia="en-GB"/>
              </w:rPr>
              <w:t>M. Nejat, J. W. Pickering, P. Devarajan, J. V. Bonventre, C. L. Edelstein, R. J. Walker and Z. H. Endre. Some biomarkers of acute kidney injury are increased in pre-renal acute injury. Kidney International, 81(12), 1254-1262. [16231]</w:t>
            </w:r>
          </w:p>
        </w:tc>
      </w:tr>
      <w:tr w:rsidR="002F0133" w:rsidRPr="000B4E2C" w14:paraId="7A6BA27C" w14:textId="77777777" w:rsidTr="000B4E2C">
        <w:trPr>
          <w:cantSplit/>
        </w:trPr>
        <w:tc>
          <w:tcPr>
            <w:tcW w:w="0" w:type="auto"/>
            <w:shd w:val="clear" w:color="auto" w:fill="auto"/>
            <w:noWrap/>
            <w:hideMark/>
          </w:tcPr>
          <w:p w14:paraId="5BBF4603" w14:textId="77777777" w:rsidR="002F0133" w:rsidRPr="000B4E2C" w:rsidRDefault="002F0133" w:rsidP="008A7464">
            <w:pPr>
              <w:rPr>
                <w:lang w:eastAsia="en-GB"/>
              </w:rPr>
            </w:pPr>
            <w:r w:rsidRPr="000B4E2C">
              <w:rPr>
                <w:lang w:eastAsia="en-GB"/>
              </w:rPr>
              <w:t>Nguyen</w:t>
            </w:r>
          </w:p>
        </w:tc>
        <w:tc>
          <w:tcPr>
            <w:tcW w:w="0" w:type="auto"/>
            <w:shd w:val="clear" w:color="auto" w:fill="auto"/>
            <w:noWrap/>
            <w:hideMark/>
          </w:tcPr>
          <w:p w14:paraId="53EDC6D7"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63F21991"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9CBCC5B" w14:textId="77777777" w:rsidR="002F0133" w:rsidRPr="000B4E2C" w:rsidRDefault="002F0133" w:rsidP="008A7464">
            <w:pPr>
              <w:rPr>
                <w:highlight w:val="green"/>
                <w:lang w:eastAsia="en-GB"/>
              </w:rPr>
            </w:pPr>
            <w:r w:rsidRPr="000B4E2C">
              <w:rPr>
                <w:highlight w:val="green"/>
                <w:lang w:eastAsia="en-GB"/>
              </w:rPr>
              <w:t>L. S. Nguyen, V. Spagnoli, M. Kerneis, M. Hauguel-Moreau, O. Barthelemy, J. P. Collet, G. Montalescot and J. Silvain. Evaluation of neutrophil gelatinase-associated lipocalin and cystatin C as biomarkers of acute kidney injury after ST-segment elevation myocardial infarction treated by percutaneous coronary intervention. Archives of Cardiovascular Diseases, 112(3), 180-186. [16236]</w:t>
            </w:r>
          </w:p>
        </w:tc>
      </w:tr>
      <w:tr w:rsidR="002F0133" w:rsidRPr="000B4E2C" w14:paraId="434F7E5D" w14:textId="77777777" w:rsidTr="000B4E2C">
        <w:trPr>
          <w:cantSplit/>
        </w:trPr>
        <w:tc>
          <w:tcPr>
            <w:tcW w:w="0" w:type="auto"/>
            <w:shd w:val="clear" w:color="auto" w:fill="auto"/>
            <w:noWrap/>
            <w:hideMark/>
          </w:tcPr>
          <w:p w14:paraId="0E4570AD" w14:textId="77777777" w:rsidR="002F0133" w:rsidRPr="000B4E2C" w:rsidRDefault="002F0133" w:rsidP="008A7464">
            <w:pPr>
              <w:rPr>
                <w:lang w:eastAsia="en-GB"/>
              </w:rPr>
            </w:pPr>
            <w:r w:rsidRPr="000B4E2C">
              <w:rPr>
                <w:lang w:eastAsia="en-GB"/>
              </w:rPr>
              <w:t>Nickavar</w:t>
            </w:r>
          </w:p>
        </w:tc>
        <w:tc>
          <w:tcPr>
            <w:tcW w:w="0" w:type="auto"/>
            <w:shd w:val="clear" w:color="auto" w:fill="auto"/>
            <w:noWrap/>
            <w:hideMark/>
          </w:tcPr>
          <w:p w14:paraId="1900599E"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3D7AC1CA" w14:textId="7F4FDF0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9692F7C" w14:textId="77777777" w:rsidR="002F0133" w:rsidRPr="000B4E2C" w:rsidRDefault="002F0133" w:rsidP="008A7464">
            <w:pPr>
              <w:rPr>
                <w:highlight w:val="green"/>
                <w:lang w:eastAsia="en-GB"/>
              </w:rPr>
            </w:pPr>
            <w:r w:rsidRPr="000B4E2C">
              <w:rPr>
                <w:highlight w:val="green"/>
                <w:lang w:eastAsia="en-GB"/>
              </w:rPr>
              <w:t>A. Nickavar, B. Safaeian, E. Valavi and F. Moradpour. Validity of Neutrophil Gelatinase Associated Lipocaline as a Biomarker for Diagnosis of Children with Acute Pyelonephritis. Urology journal, 13(5), 2860-2863. [16239]</w:t>
            </w:r>
          </w:p>
        </w:tc>
      </w:tr>
      <w:tr w:rsidR="002F0133" w:rsidRPr="000B4E2C" w14:paraId="31E07F6D" w14:textId="77777777" w:rsidTr="000B4E2C">
        <w:trPr>
          <w:cantSplit/>
        </w:trPr>
        <w:tc>
          <w:tcPr>
            <w:tcW w:w="0" w:type="auto"/>
            <w:shd w:val="clear" w:color="auto" w:fill="auto"/>
            <w:noWrap/>
            <w:hideMark/>
          </w:tcPr>
          <w:p w14:paraId="5BAF9937" w14:textId="77777777" w:rsidR="002F0133" w:rsidRPr="000B4E2C" w:rsidRDefault="002F0133" w:rsidP="008A7464">
            <w:pPr>
              <w:rPr>
                <w:lang w:eastAsia="en-GB"/>
              </w:rPr>
            </w:pPr>
            <w:r w:rsidRPr="000B4E2C">
              <w:rPr>
                <w:lang w:eastAsia="en-GB"/>
              </w:rPr>
              <w:t>Niemann</w:t>
            </w:r>
          </w:p>
        </w:tc>
        <w:tc>
          <w:tcPr>
            <w:tcW w:w="0" w:type="auto"/>
            <w:shd w:val="clear" w:color="auto" w:fill="auto"/>
            <w:noWrap/>
            <w:hideMark/>
          </w:tcPr>
          <w:p w14:paraId="7A95AE3D"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5B4A6381" w14:textId="5C66F19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FD823C1" w14:textId="77777777" w:rsidR="002F0133" w:rsidRPr="000B4E2C" w:rsidRDefault="002F0133" w:rsidP="008A7464">
            <w:pPr>
              <w:rPr>
                <w:highlight w:val="green"/>
                <w:lang w:eastAsia="en-GB"/>
              </w:rPr>
            </w:pPr>
            <w:r w:rsidRPr="000B4E2C">
              <w:rPr>
                <w:highlight w:val="green"/>
                <w:lang w:eastAsia="en-GB"/>
              </w:rPr>
              <w:t>C. U. Niemann, A. Walia, J. Waldman, M. Davio, J. P. Roberts, R. Hirose and J. Feiner. Acute kidney injury during liver transplantation as determined by neutrophil gelatinase-associated lipocalin. Liver Transplantation, 15(12), 1852-1860. [16243]</w:t>
            </w:r>
          </w:p>
        </w:tc>
      </w:tr>
      <w:tr w:rsidR="002F0133" w:rsidRPr="000B4E2C" w14:paraId="1CFC52AE" w14:textId="77777777" w:rsidTr="000B4E2C">
        <w:trPr>
          <w:cantSplit/>
        </w:trPr>
        <w:tc>
          <w:tcPr>
            <w:tcW w:w="0" w:type="auto"/>
            <w:shd w:val="clear" w:color="auto" w:fill="auto"/>
            <w:noWrap/>
            <w:hideMark/>
          </w:tcPr>
          <w:p w14:paraId="0C854A0C" w14:textId="77777777" w:rsidR="002F0133" w:rsidRPr="000B4E2C" w:rsidRDefault="002F0133" w:rsidP="008A7464">
            <w:pPr>
              <w:rPr>
                <w:lang w:eastAsia="en-GB"/>
              </w:rPr>
            </w:pPr>
            <w:r w:rsidRPr="000B4E2C">
              <w:rPr>
                <w:lang w:eastAsia="en-GB"/>
              </w:rPr>
              <w:lastRenderedPageBreak/>
              <w:t>Ning</w:t>
            </w:r>
          </w:p>
        </w:tc>
        <w:tc>
          <w:tcPr>
            <w:tcW w:w="0" w:type="auto"/>
            <w:shd w:val="clear" w:color="auto" w:fill="auto"/>
            <w:noWrap/>
            <w:hideMark/>
          </w:tcPr>
          <w:p w14:paraId="707672D7"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0B20A310"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E1C4126" w14:textId="77777777" w:rsidR="002F0133" w:rsidRPr="000B4E2C" w:rsidRDefault="002F0133" w:rsidP="008A7464">
            <w:pPr>
              <w:rPr>
                <w:highlight w:val="green"/>
                <w:lang w:eastAsia="en-GB"/>
              </w:rPr>
            </w:pPr>
            <w:r w:rsidRPr="000B4E2C">
              <w:rPr>
                <w:highlight w:val="green"/>
                <w:lang w:eastAsia="en-GB"/>
              </w:rPr>
              <w:t>L. Ning, Z. Li, D. Wei, H. Chen, C. Yang, D. Wu, Y. Wang and J. Zhang. Urinary semaphorin 3A as an early biomarker to predict contrast-induced acute kidney injury in patients undergoing percutaneous coronary intervention. Brazilian journal of medical and biological research = Revista brasileira de pesquisas medicas e biologicas, 51(4), e6487. [16249]</w:t>
            </w:r>
          </w:p>
        </w:tc>
      </w:tr>
      <w:tr w:rsidR="002F0133" w:rsidRPr="000B4E2C" w14:paraId="0DE84025" w14:textId="77777777" w:rsidTr="000B4E2C">
        <w:trPr>
          <w:cantSplit/>
        </w:trPr>
        <w:tc>
          <w:tcPr>
            <w:tcW w:w="0" w:type="auto"/>
            <w:shd w:val="clear" w:color="auto" w:fill="auto"/>
            <w:noWrap/>
            <w:hideMark/>
          </w:tcPr>
          <w:p w14:paraId="16FCAB10" w14:textId="77777777" w:rsidR="002F0133" w:rsidRPr="000B4E2C" w:rsidRDefault="002F0133" w:rsidP="008A7464">
            <w:pPr>
              <w:rPr>
                <w:lang w:eastAsia="en-GB"/>
              </w:rPr>
            </w:pPr>
            <w:r w:rsidRPr="000B4E2C">
              <w:rPr>
                <w:lang w:eastAsia="en-GB"/>
              </w:rPr>
              <w:t>Nishida</w:t>
            </w:r>
          </w:p>
        </w:tc>
        <w:tc>
          <w:tcPr>
            <w:tcW w:w="0" w:type="auto"/>
            <w:shd w:val="clear" w:color="auto" w:fill="auto"/>
            <w:noWrap/>
            <w:hideMark/>
          </w:tcPr>
          <w:p w14:paraId="763B5415"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5D15B093" w14:textId="51F1DC2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423D67D" w14:textId="77777777" w:rsidR="002F0133" w:rsidRPr="000B4E2C" w:rsidRDefault="002F0133" w:rsidP="008A7464">
            <w:pPr>
              <w:rPr>
                <w:highlight w:val="green"/>
                <w:lang w:eastAsia="en-GB"/>
              </w:rPr>
            </w:pPr>
            <w:r w:rsidRPr="000B4E2C">
              <w:rPr>
                <w:highlight w:val="green"/>
                <w:lang w:eastAsia="en-GB"/>
              </w:rPr>
              <w:t>M. Nishida, H. Kawakatsu, Y. Okumura and K. Hamaoka. Serum and urinary neutrophil gelatinase-associated lipocalin levels in children with chronic renal diseases. Pediatrics International, 52(4), 563-568. [16251]</w:t>
            </w:r>
          </w:p>
        </w:tc>
      </w:tr>
      <w:tr w:rsidR="002F0133" w:rsidRPr="000B4E2C" w14:paraId="1237621E" w14:textId="77777777" w:rsidTr="000B4E2C">
        <w:trPr>
          <w:cantSplit/>
        </w:trPr>
        <w:tc>
          <w:tcPr>
            <w:tcW w:w="0" w:type="auto"/>
            <w:shd w:val="clear" w:color="auto" w:fill="auto"/>
            <w:noWrap/>
            <w:hideMark/>
          </w:tcPr>
          <w:p w14:paraId="21F190E7" w14:textId="77777777" w:rsidR="002F0133" w:rsidRPr="000B4E2C" w:rsidRDefault="002F0133" w:rsidP="008A7464">
            <w:pPr>
              <w:rPr>
                <w:lang w:eastAsia="en-GB"/>
              </w:rPr>
            </w:pPr>
            <w:r w:rsidRPr="000B4E2C">
              <w:rPr>
                <w:lang w:eastAsia="en-GB"/>
              </w:rPr>
              <w:t>Noto</w:t>
            </w:r>
          </w:p>
        </w:tc>
        <w:tc>
          <w:tcPr>
            <w:tcW w:w="0" w:type="auto"/>
            <w:shd w:val="clear" w:color="auto" w:fill="auto"/>
            <w:noWrap/>
            <w:hideMark/>
          </w:tcPr>
          <w:p w14:paraId="4B50B001"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717CF824" w14:textId="04E04BF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2487EDA" w14:textId="77777777" w:rsidR="002F0133" w:rsidRPr="000B4E2C" w:rsidRDefault="002F0133" w:rsidP="008A7464">
            <w:pPr>
              <w:rPr>
                <w:highlight w:val="green"/>
                <w:lang w:eastAsia="en-GB"/>
              </w:rPr>
            </w:pPr>
            <w:r w:rsidRPr="000B4E2C">
              <w:rPr>
                <w:highlight w:val="green"/>
                <w:lang w:eastAsia="en-GB"/>
              </w:rPr>
              <w:t>A. Noto, A. Cortegiani and A. David. Nephrocheck: Should we consider urine osmolality?. Critical Care, 23(1), 23. [16255]</w:t>
            </w:r>
          </w:p>
        </w:tc>
      </w:tr>
      <w:tr w:rsidR="002F0133" w:rsidRPr="000B4E2C" w14:paraId="2813F16A" w14:textId="77777777" w:rsidTr="000B4E2C">
        <w:trPr>
          <w:cantSplit/>
        </w:trPr>
        <w:tc>
          <w:tcPr>
            <w:tcW w:w="0" w:type="auto"/>
            <w:shd w:val="clear" w:color="auto" w:fill="auto"/>
            <w:noWrap/>
            <w:hideMark/>
          </w:tcPr>
          <w:p w14:paraId="71BBC21B" w14:textId="77777777" w:rsidR="002F0133" w:rsidRPr="000B4E2C" w:rsidRDefault="002F0133" w:rsidP="008A7464">
            <w:pPr>
              <w:rPr>
                <w:lang w:eastAsia="en-GB"/>
              </w:rPr>
            </w:pPr>
            <w:r w:rsidRPr="000B4E2C">
              <w:rPr>
                <w:lang w:eastAsia="en-GB"/>
              </w:rPr>
              <w:t>Noyan</w:t>
            </w:r>
          </w:p>
        </w:tc>
        <w:tc>
          <w:tcPr>
            <w:tcW w:w="0" w:type="auto"/>
            <w:shd w:val="clear" w:color="auto" w:fill="auto"/>
            <w:noWrap/>
            <w:hideMark/>
          </w:tcPr>
          <w:p w14:paraId="4B128244"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01C394E" w14:textId="16C4B6C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5CF2D90" w14:textId="77777777" w:rsidR="002F0133" w:rsidRPr="000B4E2C" w:rsidRDefault="002F0133" w:rsidP="008A7464">
            <w:pPr>
              <w:rPr>
                <w:highlight w:val="green"/>
                <w:lang w:eastAsia="en-GB"/>
              </w:rPr>
            </w:pPr>
            <w:r w:rsidRPr="000B4E2C">
              <w:rPr>
                <w:highlight w:val="green"/>
                <w:lang w:eastAsia="en-GB"/>
              </w:rPr>
              <w:t>A. Noyan, G. Parmaksiz, H. Dursun, S. S. Ezer, R. Anarat and N. Cengiz. Urinary NGAL, KIM-1 and L-FABP concentrations in antenatal hydronephrosis. Journal of Pediatric Urology, . [16257]</w:t>
            </w:r>
          </w:p>
        </w:tc>
      </w:tr>
      <w:tr w:rsidR="002F0133" w:rsidRPr="000B4E2C" w14:paraId="495A36B6" w14:textId="77777777" w:rsidTr="000B4E2C">
        <w:trPr>
          <w:cantSplit/>
        </w:trPr>
        <w:tc>
          <w:tcPr>
            <w:tcW w:w="0" w:type="auto"/>
            <w:shd w:val="clear" w:color="auto" w:fill="auto"/>
            <w:noWrap/>
            <w:hideMark/>
          </w:tcPr>
          <w:p w14:paraId="20212BFA" w14:textId="77777777" w:rsidR="002F0133" w:rsidRPr="000B4E2C" w:rsidRDefault="002F0133" w:rsidP="008A7464">
            <w:pPr>
              <w:rPr>
                <w:lang w:eastAsia="en-GB"/>
              </w:rPr>
            </w:pPr>
            <w:r w:rsidRPr="000B4E2C">
              <w:rPr>
                <w:lang w:eastAsia="en-GB"/>
              </w:rPr>
              <w:t>Nusca</w:t>
            </w:r>
          </w:p>
        </w:tc>
        <w:tc>
          <w:tcPr>
            <w:tcW w:w="0" w:type="auto"/>
            <w:shd w:val="clear" w:color="auto" w:fill="auto"/>
            <w:noWrap/>
            <w:hideMark/>
          </w:tcPr>
          <w:p w14:paraId="33A0DFB3"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3DB2B39D"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0BA162DC" w14:textId="5C3DA231" w:rsidR="002F0133" w:rsidRPr="000B4E2C" w:rsidRDefault="002F0133" w:rsidP="008A7464">
            <w:pPr>
              <w:rPr>
                <w:highlight w:val="green"/>
                <w:lang w:eastAsia="en-GB"/>
              </w:rPr>
            </w:pPr>
            <w:r w:rsidRPr="000B4E2C">
              <w:rPr>
                <w:highlight w:val="green"/>
                <w:lang w:eastAsia="en-GB"/>
              </w:rPr>
              <w:t xml:space="preserve">A. Nusca, M. Miglionico, C. Proscia, L. Ragni, M. Carassiti, F. L. Pepe and G. D. Sciascio. Early prediction of contrast-induced acute kidney injury by a </w:t>
            </w:r>
            <w:r w:rsidR="0072128A" w:rsidRPr="000B4E2C">
              <w:rPr>
                <w:color w:val="00B0F0"/>
                <w:highlight w:val="green"/>
                <w:lang w:eastAsia="en-GB"/>
              </w:rPr>
              <w:t>“</w:t>
            </w:r>
            <w:r w:rsidR="0072128A" w:rsidRPr="000B4E2C">
              <w:rPr>
                <w:highlight w:val="green"/>
                <w:lang w:eastAsia="en-GB"/>
              </w:rPr>
              <w:t>bedside</w:t>
            </w:r>
            <w:r w:rsidR="0072128A" w:rsidRPr="000B4E2C">
              <w:rPr>
                <w:color w:val="00B0F0"/>
                <w:highlight w:val="green"/>
                <w:lang w:eastAsia="en-GB"/>
              </w:rPr>
              <w:t>”</w:t>
            </w:r>
            <w:r w:rsidRPr="000B4E2C">
              <w:rPr>
                <w:highlight w:val="green"/>
                <w:lang w:eastAsia="en-GB"/>
              </w:rPr>
              <w:t xml:space="preserve"> assessment of Neutrophil Gelatinase-Associated Lipocalin during elective percutaneous coronary interventions. PLoS ONE, 13(5), e0197833. [16258]</w:t>
            </w:r>
          </w:p>
        </w:tc>
      </w:tr>
      <w:tr w:rsidR="002F0133" w:rsidRPr="000B4E2C" w14:paraId="33EDE2C6" w14:textId="77777777" w:rsidTr="000B4E2C">
        <w:trPr>
          <w:cantSplit/>
        </w:trPr>
        <w:tc>
          <w:tcPr>
            <w:tcW w:w="0" w:type="auto"/>
            <w:shd w:val="clear" w:color="auto" w:fill="auto"/>
            <w:noWrap/>
            <w:hideMark/>
          </w:tcPr>
          <w:p w14:paraId="24F1C514" w14:textId="77777777" w:rsidR="002F0133" w:rsidRPr="000B4E2C" w:rsidRDefault="002F0133" w:rsidP="008A7464">
            <w:pPr>
              <w:rPr>
                <w:lang w:eastAsia="en-GB"/>
              </w:rPr>
            </w:pPr>
            <w:r w:rsidRPr="000B4E2C">
              <w:rPr>
                <w:lang w:eastAsia="en-GB"/>
              </w:rPr>
              <w:t>Nymo</w:t>
            </w:r>
          </w:p>
        </w:tc>
        <w:tc>
          <w:tcPr>
            <w:tcW w:w="0" w:type="auto"/>
            <w:shd w:val="clear" w:color="auto" w:fill="auto"/>
            <w:noWrap/>
            <w:hideMark/>
          </w:tcPr>
          <w:p w14:paraId="6A224563"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3FCCDEDA"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318E1CA6" w14:textId="77777777" w:rsidR="002F0133" w:rsidRPr="000B4E2C" w:rsidRDefault="002F0133" w:rsidP="008A7464">
            <w:pPr>
              <w:rPr>
                <w:highlight w:val="green"/>
                <w:lang w:eastAsia="en-GB"/>
              </w:rPr>
            </w:pPr>
            <w:r w:rsidRPr="000B4E2C">
              <w:rPr>
                <w:highlight w:val="green"/>
                <w:lang w:eastAsia="en-GB"/>
              </w:rPr>
              <w:t>S. H. Nymo, T. Ueland, E. T. Askevold, T. H. Flo, J. Kjekshus, J. Hulthe, J. Wikstrand, J. McMurray, D. J. Van Veldhuisen, L. Gullestad, P. Aukrust and A. Yndestad. The association between neutrophil gelatinase-associated lipocalin and clinical outcome in chronic heart failure: results from CORONA. Journal of internal medicine, 271(5), 436-443. [18537]</w:t>
            </w:r>
          </w:p>
        </w:tc>
      </w:tr>
      <w:tr w:rsidR="002F0133" w:rsidRPr="000B4E2C" w14:paraId="3DC96E78" w14:textId="77777777" w:rsidTr="000B4E2C">
        <w:trPr>
          <w:cantSplit/>
        </w:trPr>
        <w:tc>
          <w:tcPr>
            <w:tcW w:w="0" w:type="auto"/>
            <w:shd w:val="clear" w:color="auto" w:fill="auto"/>
            <w:noWrap/>
            <w:hideMark/>
          </w:tcPr>
          <w:p w14:paraId="482190EF" w14:textId="77777777" w:rsidR="002F0133" w:rsidRPr="000B4E2C" w:rsidRDefault="002F0133" w:rsidP="008A7464">
            <w:pPr>
              <w:rPr>
                <w:lang w:eastAsia="en-GB"/>
              </w:rPr>
            </w:pPr>
            <w:r w:rsidRPr="000B4E2C">
              <w:rPr>
                <w:lang w:eastAsia="en-GB"/>
              </w:rPr>
              <w:t>Odum</w:t>
            </w:r>
          </w:p>
        </w:tc>
        <w:tc>
          <w:tcPr>
            <w:tcW w:w="0" w:type="auto"/>
            <w:shd w:val="clear" w:color="auto" w:fill="auto"/>
            <w:noWrap/>
            <w:hideMark/>
          </w:tcPr>
          <w:p w14:paraId="4AC1F3D8"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DB48934" w14:textId="4CE5A4D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2003A4C" w14:textId="77777777" w:rsidR="002F0133" w:rsidRPr="000B4E2C" w:rsidRDefault="002F0133" w:rsidP="008A7464">
            <w:pPr>
              <w:rPr>
                <w:highlight w:val="green"/>
                <w:lang w:eastAsia="en-GB"/>
              </w:rPr>
            </w:pPr>
            <w:r w:rsidRPr="000B4E2C">
              <w:rPr>
                <w:highlight w:val="green"/>
                <w:lang w:eastAsia="en-GB"/>
              </w:rPr>
              <w:t>L. Odum, A. S. Andersen and T. V. F. Hviid. Urinary neutrophil gelatinase-associated lipocalin (NGAL) excretion increases in normal pregnancy but not in preeclampsia. Clinical Chemistry and Laboratory Medicine, 52(2), 221-225. [18539]</w:t>
            </w:r>
          </w:p>
        </w:tc>
      </w:tr>
      <w:tr w:rsidR="002F0133" w:rsidRPr="000B4E2C" w14:paraId="1DE393A1" w14:textId="77777777" w:rsidTr="000B4E2C">
        <w:trPr>
          <w:cantSplit/>
        </w:trPr>
        <w:tc>
          <w:tcPr>
            <w:tcW w:w="0" w:type="auto"/>
            <w:shd w:val="clear" w:color="auto" w:fill="auto"/>
            <w:noWrap/>
            <w:hideMark/>
          </w:tcPr>
          <w:p w14:paraId="739FCAE8" w14:textId="77777777" w:rsidR="002F0133" w:rsidRPr="000B4E2C" w:rsidRDefault="002F0133" w:rsidP="008A7464">
            <w:pPr>
              <w:rPr>
                <w:lang w:eastAsia="en-GB"/>
              </w:rPr>
            </w:pPr>
            <w:r w:rsidRPr="000B4E2C">
              <w:rPr>
                <w:lang w:eastAsia="en-GB"/>
              </w:rPr>
              <w:t xml:space="preserve">Oh </w:t>
            </w:r>
          </w:p>
        </w:tc>
        <w:tc>
          <w:tcPr>
            <w:tcW w:w="0" w:type="auto"/>
            <w:shd w:val="clear" w:color="auto" w:fill="auto"/>
            <w:noWrap/>
            <w:hideMark/>
          </w:tcPr>
          <w:p w14:paraId="543813E7"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066054DF" w14:textId="27963C9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8A49B38" w14:textId="77777777" w:rsidR="002F0133" w:rsidRPr="000B4E2C" w:rsidRDefault="002F0133" w:rsidP="008A7464">
            <w:pPr>
              <w:rPr>
                <w:highlight w:val="green"/>
                <w:lang w:eastAsia="en-GB"/>
              </w:rPr>
            </w:pPr>
            <w:r w:rsidRPr="000B4E2C">
              <w:rPr>
                <w:highlight w:val="green"/>
                <w:lang w:eastAsia="en-GB"/>
              </w:rPr>
              <w:t>S. W. Oh, H. J. Chin, D. W. Chae and K. Y. Na. Erythropoietin improves long-term outcomes in patients with acute kidney injury after coronary artery bypass grafting. Journal of Korean Medical Science, 27(5), 506-511. [16266]</w:t>
            </w:r>
          </w:p>
        </w:tc>
      </w:tr>
      <w:tr w:rsidR="002F0133" w:rsidRPr="000B4E2C" w14:paraId="5C00A778" w14:textId="77777777" w:rsidTr="000B4E2C">
        <w:trPr>
          <w:cantSplit/>
        </w:trPr>
        <w:tc>
          <w:tcPr>
            <w:tcW w:w="0" w:type="auto"/>
            <w:shd w:val="clear" w:color="auto" w:fill="auto"/>
            <w:noWrap/>
            <w:hideMark/>
          </w:tcPr>
          <w:p w14:paraId="3EA34AA0" w14:textId="77777777" w:rsidR="002F0133" w:rsidRPr="000B4E2C" w:rsidRDefault="002F0133" w:rsidP="008A7464">
            <w:pPr>
              <w:rPr>
                <w:lang w:eastAsia="en-GB"/>
              </w:rPr>
            </w:pPr>
            <w:r w:rsidRPr="000B4E2C">
              <w:rPr>
                <w:lang w:eastAsia="en-GB"/>
              </w:rPr>
              <w:t>Olvera-Posada</w:t>
            </w:r>
          </w:p>
        </w:tc>
        <w:tc>
          <w:tcPr>
            <w:tcW w:w="0" w:type="auto"/>
            <w:shd w:val="clear" w:color="auto" w:fill="auto"/>
            <w:noWrap/>
            <w:hideMark/>
          </w:tcPr>
          <w:p w14:paraId="1972AC60"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5F4BA6F4" w14:textId="3ACE1A4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450D4CD" w14:textId="77777777" w:rsidR="002F0133" w:rsidRPr="000B4E2C" w:rsidRDefault="002F0133" w:rsidP="008A7464">
            <w:pPr>
              <w:rPr>
                <w:highlight w:val="green"/>
                <w:lang w:eastAsia="en-GB"/>
              </w:rPr>
            </w:pPr>
            <w:r w:rsidRPr="000B4E2C">
              <w:rPr>
                <w:highlight w:val="green"/>
                <w:lang w:val="da-DK" w:eastAsia="en-GB"/>
              </w:rPr>
              <w:t xml:space="preserve">D. Olvera-Posada, T. Dayarathna, M. Dion, H. Alenezi, A. Sener, J. D. Denstedt, S. E. Pautler and H. Razvi. </w:t>
            </w:r>
            <w:r w:rsidRPr="000B4E2C">
              <w:rPr>
                <w:highlight w:val="green"/>
                <w:lang w:eastAsia="en-GB"/>
              </w:rPr>
              <w:t>KIM-1 Is a Potential Urinary Biomarker of Obstruction: Results from a Prospective Cohort Study. Journal of Endourology, 31(2), 111-118. [16268]</w:t>
            </w:r>
          </w:p>
        </w:tc>
      </w:tr>
      <w:tr w:rsidR="002F0133" w:rsidRPr="000B4E2C" w14:paraId="3623B6A5" w14:textId="77777777" w:rsidTr="000B4E2C">
        <w:trPr>
          <w:cantSplit/>
        </w:trPr>
        <w:tc>
          <w:tcPr>
            <w:tcW w:w="0" w:type="auto"/>
            <w:shd w:val="clear" w:color="auto" w:fill="auto"/>
            <w:noWrap/>
            <w:hideMark/>
          </w:tcPr>
          <w:p w14:paraId="20258F1F" w14:textId="77777777" w:rsidR="002F0133" w:rsidRPr="000B4E2C" w:rsidRDefault="002F0133" w:rsidP="008A7464">
            <w:pPr>
              <w:rPr>
                <w:lang w:eastAsia="en-GB"/>
              </w:rPr>
            </w:pPr>
            <w:r w:rsidRPr="000B4E2C">
              <w:rPr>
                <w:lang w:eastAsia="en-GB"/>
              </w:rPr>
              <w:t>Omerika</w:t>
            </w:r>
          </w:p>
        </w:tc>
        <w:tc>
          <w:tcPr>
            <w:tcW w:w="0" w:type="auto"/>
            <w:shd w:val="clear" w:color="auto" w:fill="auto"/>
            <w:noWrap/>
            <w:hideMark/>
          </w:tcPr>
          <w:p w14:paraId="5BF05AA6"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2ED26999"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5929DD82" w14:textId="77777777" w:rsidR="002F0133" w:rsidRPr="000B4E2C" w:rsidRDefault="002F0133" w:rsidP="008A7464">
            <w:pPr>
              <w:rPr>
                <w:highlight w:val="green"/>
                <w:lang w:eastAsia="en-GB"/>
              </w:rPr>
            </w:pPr>
            <w:r w:rsidRPr="000B4E2C">
              <w:rPr>
                <w:highlight w:val="green"/>
                <w:lang w:eastAsia="en-GB"/>
              </w:rPr>
              <w:t>L. Omerika, S. Rasic and N. Serdarevic. Importance of determination of urine neutrophile gelatinase associated lipocalin in early detection of acute kidney injury. Collegium Antropologicum, 38(1), 161-166. [16269]</w:t>
            </w:r>
          </w:p>
        </w:tc>
      </w:tr>
      <w:tr w:rsidR="002F0133" w:rsidRPr="000B4E2C" w14:paraId="27FD800F" w14:textId="77777777" w:rsidTr="000B4E2C">
        <w:trPr>
          <w:cantSplit/>
        </w:trPr>
        <w:tc>
          <w:tcPr>
            <w:tcW w:w="0" w:type="auto"/>
            <w:shd w:val="clear" w:color="auto" w:fill="auto"/>
            <w:noWrap/>
            <w:hideMark/>
          </w:tcPr>
          <w:p w14:paraId="1322996F" w14:textId="77777777" w:rsidR="002F0133" w:rsidRPr="000B4E2C" w:rsidRDefault="002F0133" w:rsidP="008A7464">
            <w:pPr>
              <w:rPr>
                <w:lang w:eastAsia="en-GB"/>
              </w:rPr>
            </w:pPr>
            <w:r w:rsidRPr="000B4E2C">
              <w:rPr>
                <w:lang w:eastAsia="en-GB"/>
              </w:rPr>
              <w:t>Oncel</w:t>
            </w:r>
          </w:p>
        </w:tc>
        <w:tc>
          <w:tcPr>
            <w:tcW w:w="0" w:type="auto"/>
            <w:shd w:val="clear" w:color="auto" w:fill="auto"/>
            <w:noWrap/>
            <w:hideMark/>
          </w:tcPr>
          <w:p w14:paraId="3164E15C"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06265C72" w14:textId="0A23821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8B5229C" w14:textId="77777777" w:rsidR="002F0133" w:rsidRPr="000B4E2C" w:rsidRDefault="002F0133" w:rsidP="008A7464">
            <w:pPr>
              <w:rPr>
                <w:highlight w:val="green"/>
                <w:lang w:eastAsia="en-GB"/>
              </w:rPr>
            </w:pPr>
            <w:r w:rsidRPr="000B4E2C">
              <w:rPr>
                <w:highlight w:val="green"/>
                <w:lang w:eastAsia="en-GB"/>
              </w:rPr>
              <w:t>M. Y. Oncel, F. E. Canpolat, S. Arayici, E. Alyamac Dizdar, N. Uras and S. S. Oguz. Urinary markers of acute kidney injury in newborns with perinatal asphyxia (.). Renal failure, 38(6), 882-8. [16271]</w:t>
            </w:r>
          </w:p>
        </w:tc>
      </w:tr>
      <w:tr w:rsidR="002F0133" w:rsidRPr="000B4E2C" w14:paraId="1B2B4CD4" w14:textId="77777777" w:rsidTr="000B4E2C">
        <w:trPr>
          <w:cantSplit/>
        </w:trPr>
        <w:tc>
          <w:tcPr>
            <w:tcW w:w="0" w:type="auto"/>
            <w:shd w:val="clear" w:color="auto" w:fill="auto"/>
            <w:noWrap/>
            <w:hideMark/>
          </w:tcPr>
          <w:p w14:paraId="43267A91" w14:textId="77777777" w:rsidR="002F0133" w:rsidRPr="000B4E2C" w:rsidRDefault="002F0133" w:rsidP="008A7464">
            <w:pPr>
              <w:rPr>
                <w:lang w:eastAsia="en-GB"/>
              </w:rPr>
            </w:pPr>
            <w:r w:rsidRPr="000B4E2C">
              <w:rPr>
                <w:lang w:eastAsia="en-GB"/>
              </w:rPr>
              <w:t>Onk</w:t>
            </w:r>
          </w:p>
        </w:tc>
        <w:tc>
          <w:tcPr>
            <w:tcW w:w="0" w:type="auto"/>
            <w:shd w:val="clear" w:color="auto" w:fill="auto"/>
            <w:noWrap/>
            <w:hideMark/>
          </w:tcPr>
          <w:p w14:paraId="3638F294"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41BEF2CE"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557596E9" w14:textId="77777777" w:rsidR="002F0133" w:rsidRPr="000B4E2C" w:rsidRDefault="002F0133" w:rsidP="008A7464">
            <w:pPr>
              <w:rPr>
                <w:highlight w:val="green"/>
                <w:lang w:eastAsia="en-GB"/>
              </w:rPr>
            </w:pPr>
            <w:r w:rsidRPr="000B4E2C">
              <w:rPr>
                <w:highlight w:val="green"/>
                <w:lang w:eastAsia="en-GB"/>
              </w:rPr>
              <w:t>O. A. Onk, D. Onk, F. Ozcelik, M. Gunay and K. Turkmen. Risk factors for acute kidney injury after coronary artery bypass surgery and its detection using neutrophil gelatinase-associated lipocalin. CardioRenal Medicine, 6(3), 216-229. [16272]</w:t>
            </w:r>
          </w:p>
        </w:tc>
      </w:tr>
      <w:tr w:rsidR="002F0133" w:rsidRPr="000B4E2C" w14:paraId="7CA3A2E3" w14:textId="77777777" w:rsidTr="000B4E2C">
        <w:trPr>
          <w:cantSplit/>
        </w:trPr>
        <w:tc>
          <w:tcPr>
            <w:tcW w:w="0" w:type="auto"/>
            <w:shd w:val="clear" w:color="auto" w:fill="auto"/>
            <w:noWrap/>
            <w:hideMark/>
          </w:tcPr>
          <w:p w14:paraId="672F0EDF" w14:textId="77777777" w:rsidR="002F0133" w:rsidRPr="000B4E2C" w:rsidRDefault="002F0133" w:rsidP="008A7464">
            <w:pPr>
              <w:rPr>
                <w:lang w:eastAsia="en-GB"/>
              </w:rPr>
            </w:pPr>
            <w:r w:rsidRPr="000B4E2C">
              <w:rPr>
                <w:lang w:eastAsia="en-GB"/>
              </w:rPr>
              <w:lastRenderedPageBreak/>
              <w:t>Opotowsky</w:t>
            </w:r>
          </w:p>
        </w:tc>
        <w:tc>
          <w:tcPr>
            <w:tcW w:w="0" w:type="auto"/>
            <w:shd w:val="clear" w:color="auto" w:fill="auto"/>
            <w:noWrap/>
            <w:hideMark/>
          </w:tcPr>
          <w:p w14:paraId="135A6126"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0D4DA402"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769992DA" w14:textId="77777777" w:rsidR="002F0133" w:rsidRPr="000B4E2C" w:rsidRDefault="002F0133" w:rsidP="008A7464">
            <w:pPr>
              <w:rPr>
                <w:highlight w:val="green"/>
                <w:lang w:eastAsia="en-GB"/>
              </w:rPr>
            </w:pPr>
            <w:r w:rsidRPr="000B4E2C">
              <w:rPr>
                <w:highlight w:val="green"/>
                <w:lang w:eastAsia="en-GB"/>
              </w:rPr>
              <w:t>A. R. Opotowsky, F. R. Baraona, F. R. Mc Causland, B. Loukas, E. Landzberg, M. J. Landzberg, V. Sabbisetti and S. S. Waikar. Estimated glomerular filtration rate and urine biomarkers in patients with single-ventricle Fontan circulation. Heart (British Cardiac Society), 103(6), 434-442. [16273]</w:t>
            </w:r>
          </w:p>
        </w:tc>
      </w:tr>
      <w:tr w:rsidR="002F0133" w:rsidRPr="000B4E2C" w14:paraId="541D4E7D" w14:textId="77777777" w:rsidTr="000B4E2C">
        <w:trPr>
          <w:cantSplit/>
        </w:trPr>
        <w:tc>
          <w:tcPr>
            <w:tcW w:w="0" w:type="auto"/>
            <w:shd w:val="clear" w:color="auto" w:fill="auto"/>
            <w:noWrap/>
            <w:hideMark/>
          </w:tcPr>
          <w:p w14:paraId="2CACDBAC" w14:textId="77777777" w:rsidR="002F0133" w:rsidRPr="000B4E2C" w:rsidRDefault="002F0133" w:rsidP="008A7464">
            <w:pPr>
              <w:rPr>
                <w:lang w:eastAsia="en-GB"/>
              </w:rPr>
            </w:pPr>
            <w:r w:rsidRPr="000B4E2C">
              <w:rPr>
                <w:lang w:eastAsia="en-GB"/>
              </w:rPr>
              <w:t xml:space="preserve">Ordooei Javan </w:t>
            </w:r>
          </w:p>
        </w:tc>
        <w:tc>
          <w:tcPr>
            <w:tcW w:w="0" w:type="auto"/>
            <w:shd w:val="clear" w:color="auto" w:fill="auto"/>
            <w:noWrap/>
            <w:hideMark/>
          </w:tcPr>
          <w:p w14:paraId="7E741D0A"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78AF461" w14:textId="69FD060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8CE0EDF" w14:textId="77777777" w:rsidR="002F0133" w:rsidRPr="000B4E2C" w:rsidRDefault="002F0133" w:rsidP="008A7464">
            <w:pPr>
              <w:rPr>
                <w:highlight w:val="green"/>
                <w:lang w:eastAsia="en-GB"/>
              </w:rPr>
            </w:pPr>
            <w:r w:rsidRPr="000B4E2C">
              <w:rPr>
                <w:highlight w:val="green"/>
                <w:lang w:eastAsia="en-GB"/>
              </w:rPr>
              <w:t>Ordooei Javan, J. Salamzadeh, S. Shokouhi and Z. Sahraei. Evaluation of renal toxicity of colistin therapy with neutrophil gelatinase-associated lipocalin: A biomarker of renal tubular damage. Iranian Journal of Kidney Diseases, 11(6): 447-453 . [15762]</w:t>
            </w:r>
          </w:p>
        </w:tc>
      </w:tr>
      <w:tr w:rsidR="002F0133" w:rsidRPr="000B4E2C" w14:paraId="3B840943" w14:textId="77777777" w:rsidTr="000B4E2C">
        <w:trPr>
          <w:cantSplit/>
        </w:trPr>
        <w:tc>
          <w:tcPr>
            <w:tcW w:w="0" w:type="auto"/>
            <w:shd w:val="clear" w:color="auto" w:fill="auto"/>
            <w:noWrap/>
            <w:hideMark/>
          </w:tcPr>
          <w:p w14:paraId="0358E436" w14:textId="77777777" w:rsidR="002F0133" w:rsidRPr="000B4E2C" w:rsidRDefault="002F0133" w:rsidP="008A7464">
            <w:pPr>
              <w:rPr>
                <w:lang w:eastAsia="en-GB"/>
              </w:rPr>
            </w:pPr>
            <w:r w:rsidRPr="000B4E2C">
              <w:rPr>
                <w:lang w:eastAsia="en-GB"/>
              </w:rPr>
              <w:t>Orsolya</w:t>
            </w:r>
          </w:p>
        </w:tc>
        <w:tc>
          <w:tcPr>
            <w:tcW w:w="0" w:type="auto"/>
            <w:shd w:val="clear" w:color="auto" w:fill="auto"/>
            <w:noWrap/>
            <w:hideMark/>
          </w:tcPr>
          <w:p w14:paraId="04379415"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338A066"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0E6E60CB" w14:textId="77777777" w:rsidR="002F0133" w:rsidRPr="000B4E2C" w:rsidRDefault="002F0133" w:rsidP="008A7464">
            <w:pPr>
              <w:rPr>
                <w:highlight w:val="green"/>
                <w:lang w:eastAsia="en-GB"/>
              </w:rPr>
            </w:pPr>
            <w:r w:rsidRPr="000B4E2C">
              <w:rPr>
                <w:highlight w:val="green"/>
                <w:lang w:eastAsia="en-GB"/>
              </w:rPr>
              <w:t>M. Orsolya, M. Attila-Zoltan, V. Gherman, F. Zaharie, S. Bolboaca, C. Chira, C. Bodolea, C. Tomuleasa, A. Irimie, L. Coman and D. Ionescu. The effect of anaesthetic management on neutrophil gelatinase associated lipocalin (NGAL) levels after robotic surgical oncology. Journal of B.U.ON., 20(1), 317-324. [16276]</w:t>
            </w:r>
          </w:p>
        </w:tc>
      </w:tr>
      <w:tr w:rsidR="002F0133" w:rsidRPr="000B4E2C" w14:paraId="3D421E3D" w14:textId="77777777" w:rsidTr="000B4E2C">
        <w:trPr>
          <w:cantSplit/>
        </w:trPr>
        <w:tc>
          <w:tcPr>
            <w:tcW w:w="0" w:type="auto"/>
            <w:shd w:val="clear" w:color="auto" w:fill="auto"/>
            <w:noWrap/>
            <w:hideMark/>
          </w:tcPr>
          <w:p w14:paraId="53642E0C" w14:textId="77777777" w:rsidR="002F0133" w:rsidRPr="000B4E2C" w:rsidRDefault="002F0133" w:rsidP="008A7464">
            <w:pPr>
              <w:rPr>
                <w:lang w:eastAsia="en-GB"/>
              </w:rPr>
            </w:pPr>
            <w:r w:rsidRPr="000B4E2C">
              <w:rPr>
                <w:lang w:eastAsia="en-GB"/>
              </w:rPr>
              <w:t>Osman</w:t>
            </w:r>
          </w:p>
        </w:tc>
        <w:tc>
          <w:tcPr>
            <w:tcW w:w="0" w:type="auto"/>
            <w:shd w:val="clear" w:color="auto" w:fill="auto"/>
            <w:noWrap/>
            <w:hideMark/>
          </w:tcPr>
          <w:p w14:paraId="454772FA"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6112BAE2"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269856AE" w14:textId="77777777" w:rsidR="002F0133" w:rsidRPr="000B4E2C" w:rsidRDefault="002F0133" w:rsidP="008A7464">
            <w:pPr>
              <w:rPr>
                <w:highlight w:val="green"/>
                <w:lang w:eastAsia="en-GB"/>
              </w:rPr>
            </w:pPr>
            <w:r w:rsidRPr="000B4E2C">
              <w:rPr>
                <w:highlight w:val="green"/>
                <w:lang w:eastAsia="en-GB"/>
              </w:rPr>
              <w:t>O. Osman, O. Ayee Deniz, E. Abdulkadir, S. Cihat, S. Husnu Oguz and C. Avse Banu. Cystatin C as biomarker of contrast-induced nephropathy in pediatric cardiac angiography. Turkish journal of medical sciences, 44(2), 178-85. [16280]</w:t>
            </w:r>
          </w:p>
        </w:tc>
      </w:tr>
      <w:tr w:rsidR="002F0133" w:rsidRPr="000B4E2C" w14:paraId="5EC58AE8" w14:textId="77777777" w:rsidTr="000B4E2C">
        <w:trPr>
          <w:cantSplit/>
        </w:trPr>
        <w:tc>
          <w:tcPr>
            <w:tcW w:w="0" w:type="auto"/>
            <w:shd w:val="clear" w:color="auto" w:fill="auto"/>
            <w:noWrap/>
            <w:hideMark/>
          </w:tcPr>
          <w:p w14:paraId="2C8ED983" w14:textId="77777777" w:rsidR="002F0133" w:rsidRPr="000B4E2C" w:rsidRDefault="002F0133" w:rsidP="008A7464">
            <w:pPr>
              <w:rPr>
                <w:lang w:eastAsia="en-GB"/>
              </w:rPr>
            </w:pPr>
            <w:r w:rsidRPr="000B4E2C">
              <w:rPr>
                <w:lang w:eastAsia="en-GB"/>
              </w:rPr>
              <w:t>Ostermann</w:t>
            </w:r>
          </w:p>
        </w:tc>
        <w:tc>
          <w:tcPr>
            <w:tcW w:w="0" w:type="auto"/>
            <w:shd w:val="clear" w:color="auto" w:fill="auto"/>
            <w:noWrap/>
            <w:hideMark/>
          </w:tcPr>
          <w:p w14:paraId="7F3B37C6"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DD7A82F"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755BD349" w14:textId="77777777" w:rsidR="002F0133" w:rsidRPr="000B4E2C" w:rsidRDefault="002F0133" w:rsidP="008A7464">
            <w:pPr>
              <w:rPr>
                <w:highlight w:val="green"/>
                <w:lang w:eastAsia="en-GB"/>
              </w:rPr>
            </w:pPr>
            <w:r w:rsidRPr="000B4E2C">
              <w:rPr>
                <w:highlight w:val="green"/>
                <w:lang w:eastAsia="en-GB"/>
              </w:rPr>
              <w:t>M. Ostermann and M. Joannidis. Biomarkers for AKI improve clinical practice: no. Intensive care medicine, 41(4), 618-22. [16281]</w:t>
            </w:r>
          </w:p>
        </w:tc>
      </w:tr>
      <w:tr w:rsidR="002F0133" w:rsidRPr="000B4E2C" w14:paraId="72249645" w14:textId="77777777" w:rsidTr="000B4E2C">
        <w:trPr>
          <w:cantSplit/>
        </w:trPr>
        <w:tc>
          <w:tcPr>
            <w:tcW w:w="0" w:type="auto"/>
            <w:shd w:val="clear" w:color="auto" w:fill="auto"/>
            <w:noWrap/>
            <w:hideMark/>
          </w:tcPr>
          <w:p w14:paraId="5B6EDBFE" w14:textId="77777777" w:rsidR="002F0133" w:rsidRPr="000B4E2C" w:rsidRDefault="002F0133" w:rsidP="008A7464">
            <w:pPr>
              <w:rPr>
                <w:lang w:eastAsia="en-GB"/>
              </w:rPr>
            </w:pPr>
            <w:r w:rsidRPr="000B4E2C">
              <w:rPr>
                <w:lang w:eastAsia="en-GB"/>
              </w:rPr>
              <w:t>Ostermann</w:t>
            </w:r>
          </w:p>
        </w:tc>
        <w:tc>
          <w:tcPr>
            <w:tcW w:w="0" w:type="auto"/>
            <w:shd w:val="clear" w:color="auto" w:fill="auto"/>
            <w:noWrap/>
            <w:hideMark/>
          </w:tcPr>
          <w:p w14:paraId="46FA86D3"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413278B" w14:textId="4B355FC2" w:rsidR="002F0133" w:rsidRPr="000B4E2C" w:rsidRDefault="002F0133" w:rsidP="008A7464">
            <w:pPr>
              <w:rPr>
                <w:lang w:eastAsia="en-GB"/>
              </w:rPr>
            </w:pPr>
            <w:r w:rsidRPr="000B4E2C">
              <w:rPr>
                <w:lang w:eastAsia="en-GB"/>
              </w:rPr>
              <w:t>Substudy measuring associations in nephrocheck levels and exposure to renal insult</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3DE0BFA3" w14:textId="77777777" w:rsidR="002F0133" w:rsidRPr="000B4E2C" w:rsidRDefault="002F0133" w:rsidP="008A7464">
            <w:pPr>
              <w:rPr>
                <w:highlight w:val="green"/>
                <w:lang w:eastAsia="en-GB"/>
              </w:rPr>
            </w:pPr>
            <w:r w:rsidRPr="000B4E2C">
              <w:rPr>
                <w:highlight w:val="green"/>
                <w:lang w:eastAsia="en-GB"/>
              </w:rPr>
              <w:t>M. Ostermann, P. A. McCullough, L. G. Forni, S. M. Bagshaw, M. Joannidis, J. Shi, K. Kashani, P. M. Honore, L. S. Chawla and J. A. Kellum. Kinetics of urinary cell cycle arrest markers for acute kidney injury following exposure to potential renal insults. Critical Care Medicine, 46(3), 375-383. [16283]</w:t>
            </w:r>
          </w:p>
        </w:tc>
      </w:tr>
      <w:tr w:rsidR="002F0133" w:rsidRPr="000B4E2C" w14:paraId="7891F927" w14:textId="77777777" w:rsidTr="000B4E2C">
        <w:trPr>
          <w:cantSplit/>
        </w:trPr>
        <w:tc>
          <w:tcPr>
            <w:tcW w:w="0" w:type="auto"/>
            <w:shd w:val="clear" w:color="auto" w:fill="auto"/>
            <w:noWrap/>
            <w:hideMark/>
          </w:tcPr>
          <w:p w14:paraId="00A5CEE7" w14:textId="77777777" w:rsidR="002F0133" w:rsidRPr="000B4E2C" w:rsidRDefault="002F0133" w:rsidP="008A7464">
            <w:pPr>
              <w:rPr>
                <w:lang w:eastAsia="en-GB"/>
              </w:rPr>
            </w:pPr>
            <w:r w:rsidRPr="000B4E2C">
              <w:rPr>
                <w:lang w:eastAsia="en-GB"/>
              </w:rPr>
              <w:t>Owens</w:t>
            </w:r>
          </w:p>
        </w:tc>
        <w:tc>
          <w:tcPr>
            <w:tcW w:w="0" w:type="auto"/>
            <w:shd w:val="clear" w:color="auto" w:fill="auto"/>
            <w:noWrap/>
            <w:hideMark/>
          </w:tcPr>
          <w:p w14:paraId="73FF34E1"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209C8817" w14:textId="25AD806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01D8C09" w14:textId="77777777" w:rsidR="002F0133" w:rsidRPr="000B4E2C" w:rsidRDefault="002F0133" w:rsidP="008A7464">
            <w:pPr>
              <w:rPr>
                <w:highlight w:val="green"/>
                <w:lang w:eastAsia="en-GB"/>
              </w:rPr>
            </w:pPr>
            <w:r w:rsidRPr="000B4E2C">
              <w:rPr>
                <w:highlight w:val="green"/>
                <w:lang w:eastAsia="en-GB"/>
              </w:rPr>
              <w:t>G. E. Owens, K. King, J. G. Gurney and J. R. Charpie. Low Renal Oximetry Correlates With Acute Kidney Injury After Infant Cardiac Surgery. Pediatric cardiology, 32(2), 183-188. [18542]</w:t>
            </w:r>
          </w:p>
        </w:tc>
      </w:tr>
      <w:tr w:rsidR="002F0133" w:rsidRPr="000B4E2C" w14:paraId="46F63E8B" w14:textId="77777777" w:rsidTr="000B4E2C">
        <w:trPr>
          <w:cantSplit/>
        </w:trPr>
        <w:tc>
          <w:tcPr>
            <w:tcW w:w="0" w:type="auto"/>
            <w:shd w:val="clear" w:color="auto" w:fill="auto"/>
            <w:noWrap/>
            <w:hideMark/>
          </w:tcPr>
          <w:p w14:paraId="13103CBD" w14:textId="77777777" w:rsidR="002F0133" w:rsidRPr="000B4E2C" w:rsidRDefault="002F0133" w:rsidP="008A7464">
            <w:pPr>
              <w:rPr>
                <w:lang w:eastAsia="en-GB"/>
              </w:rPr>
            </w:pPr>
            <w:r w:rsidRPr="000B4E2C">
              <w:rPr>
                <w:lang w:eastAsia="en-GB"/>
              </w:rPr>
              <w:t>Oz</w:t>
            </w:r>
          </w:p>
        </w:tc>
        <w:tc>
          <w:tcPr>
            <w:tcW w:w="0" w:type="auto"/>
            <w:shd w:val="clear" w:color="auto" w:fill="auto"/>
            <w:noWrap/>
            <w:hideMark/>
          </w:tcPr>
          <w:p w14:paraId="70F6E3F7"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4A947B9B"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3D56D355" w14:textId="77777777" w:rsidR="002F0133" w:rsidRPr="000B4E2C" w:rsidRDefault="002F0133" w:rsidP="008A7464">
            <w:pPr>
              <w:rPr>
                <w:highlight w:val="green"/>
                <w:lang w:eastAsia="en-GB"/>
              </w:rPr>
            </w:pPr>
            <w:r w:rsidRPr="000B4E2C">
              <w:rPr>
                <w:highlight w:val="green"/>
                <w:lang w:val="da-DK" w:eastAsia="en-GB"/>
              </w:rPr>
              <w:t xml:space="preserve">K. Oz, S. Gode, S. Basgoze, M. Koser, A. Oz, O. S. Goksel, M. Yeniterzi and I. Bakir. </w:t>
            </w:r>
            <w:r w:rsidRPr="000B4E2C">
              <w:rPr>
                <w:highlight w:val="green"/>
                <w:lang w:eastAsia="en-GB"/>
              </w:rPr>
              <w:t>Cystatin C and NGAL as Biomarkers for Early Detection of Acute Kidney Injury in Geriatrics. International surgery, 101(7-8), 390-398. [18543]</w:t>
            </w:r>
          </w:p>
        </w:tc>
      </w:tr>
      <w:tr w:rsidR="002F0133" w:rsidRPr="000B4E2C" w14:paraId="2C1B1852" w14:textId="77777777" w:rsidTr="000B4E2C">
        <w:trPr>
          <w:cantSplit/>
        </w:trPr>
        <w:tc>
          <w:tcPr>
            <w:tcW w:w="0" w:type="auto"/>
            <w:shd w:val="clear" w:color="auto" w:fill="auto"/>
            <w:noWrap/>
            <w:hideMark/>
          </w:tcPr>
          <w:p w14:paraId="6FCA2C17" w14:textId="77777777" w:rsidR="002F0133" w:rsidRPr="000B4E2C" w:rsidRDefault="002F0133" w:rsidP="008A7464">
            <w:pPr>
              <w:rPr>
                <w:lang w:eastAsia="en-GB"/>
              </w:rPr>
            </w:pPr>
            <w:r w:rsidRPr="000B4E2C">
              <w:rPr>
                <w:lang w:eastAsia="en-GB"/>
              </w:rPr>
              <w:t>Ozdemir</w:t>
            </w:r>
          </w:p>
        </w:tc>
        <w:tc>
          <w:tcPr>
            <w:tcW w:w="0" w:type="auto"/>
            <w:shd w:val="clear" w:color="auto" w:fill="auto"/>
            <w:noWrap/>
            <w:hideMark/>
          </w:tcPr>
          <w:p w14:paraId="3A0A6724"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C23A26D"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E1AFAFA" w14:textId="77777777" w:rsidR="002F0133" w:rsidRPr="000B4E2C" w:rsidRDefault="002F0133" w:rsidP="008A7464">
            <w:pPr>
              <w:rPr>
                <w:highlight w:val="green"/>
                <w:lang w:eastAsia="en-GB"/>
              </w:rPr>
            </w:pPr>
            <w:r w:rsidRPr="000B4E2C">
              <w:rPr>
                <w:highlight w:val="green"/>
                <w:lang w:eastAsia="en-GB"/>
              </w:rPr>
              <w:t>O. Ozdemir, A. D. Oguz, A. Eren, C. Sanli, H. O. Sylemezoglu and A. B. Cayci. Cystatin C as biomarker of contrast-induced nephropathy in pediatric cardiac angiography. Turkish Journal of Medical Sciences, 44(2), 178-185. [16290]</w:t>
            </w:r>
          </w:p>
        </w:tc>
      </w:tr>
      <w:tr w:rsidR="002F0133" w:rsidRPr="000B4E2C" w14:paraId="10AD1660" w14:textId="77777777" w:rsidTr="000B4E2C">
        <w:trPr>
          <w:cantSplit/>
        </w:trPr>
        <w:tc>
          <w:tcPr>
            <w:tcW w:w="0" w:type="auto"/>
            <w:shd w:val="clear" w:color="auto" w:fill="auto"/>
            <w:noWrap/>
            <w:hideMark/>
          </w:tcPr>
          <w:p w14:paraId="2680D0EA" w14:textId="77777777" w:rsidR="002F0133" w:rsidRPr="000B4E2C" w:rsidRDefault="002F0133" w:rsidP="008A7464">
            <w:pPr>
              <w:rPr>
                <w:lang w:eastAsia="en-GB"/>
              </w:rPr>
            </w:pPr>
            <w:r w:rsidRPr="000B4E2C">
              <w:rPr>
                <w:lang w:eastAsia="en-GB"/>
              </w:rPr>
              <w:t>Ozkan</w:t>
            </w:r>
          </w:p>
        </w:tc>
        <w:tc>
          <w:tcPr>
            <w:tcW w:w="0" w:type="auto"/>
            <w:shd w:val="clear" w:color="auto" w:fill="auto"/>
            <w:noWrap/>
            <w:hideMark/>
          </w:tcPr>
          <w:p w14:paraId="36DB73A8"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1BF0B4EC" w14:textId="6FF929F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C5980BF" w14:textId="77777777" w:rsidR="002F0133" w:rsidRPr="000B4E2C" w:rsidRDefault="002F0133" w:rsidP="008A7464">
            <w:pPr>
              <w:rPr>
                <w:highlight w:val="green"/>
                <w:lang w:eastAsia="en-GB"/>
              </w:rPr>
            </w:pPr>
            <w:r w:rsidRPr="000B4E2C">
              <w:rPr>
                <w:highlight w:val="green"/>
                <w:lang w:val="da-DK" w:eastAsia="en-GB"/>
              </w:rPr>
              <w:t xml:space="preserve">S. Ozkan, P. Durukan, C. Kavalci, A. Duman, M. B. Sayhan, O. Salt and A. Ipekci. </w:t>
            </w:r>
            <w:r w:rsidRPr="000B4E2C">
              <w:rPr>
                <w:highlight w:val="green"/>
                <w:lang w:eastAsia="en-GB"/>
              </w:rPr>
              <w:t>Importance of neutrophil gelatinase-associated lipocalin in differential diagnosis of acute and chronic renal failure. Iranian Red Crescent Medical Journal, 16(8), e14133. [16292]</w:t>
            </w:r>
          </w:p>
        </w:tc>
      </w:tr>
      <w:tr w:rsidR="002F0133" w:rsidRPr="000B4E2C" w14:paraId="7754F24D" w14:textId="77777777" w:rsidTr="000B4E2C">
        <w:trPr>
          <w:cantSplit/>
        </w:trPr>
        <w:tc>
          <w:tcPr>
            <w:tcW w:w="0" w:type="auto"/>
            <w:shd w:val="clear" w:color="auto" w:fill="auto"/>
            <w:noWrap/>
            <w:hideMark/>
          </w:tcPr>
          <w:p w14:paraId="5B40256F" w14:textId="77777777" w:rsidR="002F0133" w:rsidRPr="000B4E2C" w:rsidRDefault="002F0133" w:rsidP="008A7464">
            <w:pPr>
              <w:rPr>
                <w:lang w:eastAsia="en-GB"/>
              </w:rPr>
            </w:pPr>
            <w:r w:rsidRPr="000B4E2C">
              <w:rPr>
                <w:lang w:eastAsia="en-GB"/>
              </w:rPr>
              <w:t>Paapstel</w:t>
            </w:r>
          </w:p>
        </w:tc>
        <w:tc>
          <w:tcPr>
            <w:tcW w:w="0" w:type="auto"/>
            <w:shd w:val="clear" w:color="auto" w:fill="auto"/>
            <w:noWrap/>
            <w:hideMark/>
          </w:tcPr>
          <w:p w14:paraId="46E8F4E1"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207489B" w14:textId="704D74D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C795F97" w14:textId="77777777" w:rsidR="002F0133" w:rsidRPr="000B4E2C" w:rsidRDefault="002F0133" w:rsidP="008A7464">
            <w:pPr>
              <w:rPr>
                <w:highlight w:val="green"/>
                <w:lang w:eastAsia="en-GB"/>
              </w:rPr>
            </w:pPr>
            <w:r w:rsidRPr="000B4E2C">
              <w:rPr>
                <w:highlight w:val="green"/>
                <w:lang w:eastAsia="en-GB"/>
              </w:rPr>
              <w:t>K. Paapstel, M. Zilmer, J. Eha, K. Tootsi, A. Piir and J. Kals. Early biomarkers of renal damage in relation to arterial stiffness and inflammation in male coronary artery disease patients. Kidney and Blood Pressure Research, 41(4), 488-497. [16293]</w:t>
            </w:r>
          </w:p>
        </w:tc>
      </w:tr>
      <w:tr w:rsidR="002F0133" w:rsidRPr="000B4E2C" w14:paraId="6C36716B" w14:textId="77777777" w:rsidTr="000B4E2C">
        <w:trPr>
          <w:cantSplit/>
        </w:trPr>
        <w:tc>
          <w:tcPr>
            <w:tcW w:w="0" w:type="auto"/>
            <w:shd w:val="clear" w:color="auto" w:fill="auto"/>
            <w:noWrap/>
            <w:hideMark/>
          </w:tcPr>
          <w:p w14:paraId="10E07AFF" w14:textId="77777777" w:rsidR="002F0133" w:rsidRPr="000B4E2C" w:rsidRDefault="002F0133" w:rsidP="008A7464">
            <w:pPr>
              <w:rPr>
                <w:lang w:eastAsia="en-GB"/>
              </w:rPr>
            </w:pPr>
            <w:r w:rsidRPr="000B4E2C">
              <w:rPr>
                <w:lang w:eastAsia="en-GB"/>
              </w:rPr>
              <w:t>Paarmann</w:t>
            </w:r>
          </w:p>
        </w:tc>
        <w:tc>
          <w:tcPr>
            <w:tcW w:w="0" w:type="auto"/>
            <w:shd w:val="clear" w:color="auto" w:fill="auto"/>
            <w:noWrap/>
            <w:hideMark/>
          </w:tcPr>
          <w:p w14:paraId="0EDB4867"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0D756100"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B16FEB6" w14:textId="77777777" w:rsidR="002F0133" w:rsidRPr="000B4E2C" w:rsidRDefault="002F0133" w:rsidP="008A7464">
            <w:pPr>
              <w:rPr>
                <w:highlight w:val="green"/>
                <w:lang w:eastAsia="en-GB"/>
              </w:rPr>
            </w:pPr>
            <w:r w:rsidRPr="000B4E2C">
              <w:rPr>
                <w:highlight w:val="green"/>
                <w:lang w:eastAsia="en-GB"/>
              </w:rPr>
              <w:t>H. Paarmann, E. I. Charitos, A. Beilharz, H. Heinze, J. Schon, A. Berggreen and M. Heringlake. Duration of cardiopulmonary bypass is an important confounder when using biomarkers for early diagnosis of acute kidney injury in cardiac surgical patients. Applied Cardiopulmonary Pathophysiology, 17(3), 284-297. [16294]</w:t>
            </w:r>
          </w:p>
        </w:tc>
      </w:tr>
      <w:tr w:rsidR="002F0133" w:rsidRPr="000B4E2C" w14:paraId="36CEFBC0" w14:textId="77777777" w:rsidTr="000B4E2C">
        <w:trPr>
          <w:cantSplit/>
        </w:trPr>
        <w:tc>
          <w:tcPr>
            <w:tcW w:w="0" w:type="auto"/>
            <w:shd w:val="clear" w:color="auto" w:fill="auto"/>
            <w:noWrap/>
            <w:hideMark/>
          </w:tcPr>
          <w:p w14:paraId="7FAA05E3" w14:textId="77777777" w:rsidR="002F0133" w:rsidRPr="000B4E2C" w:rsidRDefault="002F0133" w:rsidP="008A7464">
            <w:pPr>
              <w:rPr>
                <w:lang w:eastAsia="en-GB"/>
              </w:rPr>
            </w:pPr>
            <w:r w:rsidRPr="000B4E2C">
              <w:rPr>
                <w:lang w:eastAsia="en-GB"/>
              </w:rPr>
              <w:lastRenderedPageBreak/>
              <w:t>Padhy</w:t>
            </w:r>
          </w:p>
        </w:tc>
        <w:tc>
          <w:tcPr>
            <w:tcW w:w="0" w:type="auto"/>
            <w:shd w:val="clear" w:color="auto" w:fill="auto"/>
            <w:noWrap/>
            <w:hideMark/>
          </w:tcPr>
          <w:p w14:paraId="38B0C496"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7072705A"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14D1FEF" w14:textId="77777777" w:rsidR="002F0133" w:rsidRPr="000B4E2C" w:rsidRDefault="002F0133" w:rsidP="008A7464">
            <w:pPr>
              <w:rPr>
                <w:highlight w:val="green"/>
                <w:lang w:eastAsia="en-GB"/>
              </w:rPr>
            </w:pPr>
            <w:r w:rsidRPr="000B4E2C">
              <w:rPr>
                <w:highlight w:val="green"/>
                <w:lang w:eastAsia="en-GB"/>
              </w:rPr>
              <w:t>M. Padhy, S. Kaushik, M. P. Girish, S. Mohapatra, S. Shah and B. C. Koner. Serum neutrophil gelatinase associated lipocalin (NGAL) and cystatin C as early predictors of contrast-induced acute kidney injury in patients undergoing percutaneous coronary intervention. Clinica Chimica Acta, 435(48-52. [16296]</w:t>
            </w:r>
          </w:p>
        </w:tc>
      </w:tr>
      <w:tr w:rsidR="002F0133" w:rsidRPr="000B4E2C" w14:paraId="76BCCD2A" w14:textId="77777777" w:rsidTr="000B4E2C">
        <w:trPr>
          <w:cantSplit/>
        </w:trPr>
        <w:tc>
          <w:tcPr>
            <w:tcW w:w="0" w:type="auto"/>
            <w:shd w:val="clear" w:color="auto" w:fill="auto"/>
            <w:noWrap/>
            <w:hideMark/>
          </w:tcPr>
          <w:p w14:paraId="3D9CCC31" w14:textId="77777777" w:rsidR="002F0133" w:rsidRPr="000B4E2C" w:rsidRDefault="002F0133" w:rsidP="008A7464">
            <w:pPr>
              <w:rPr>
                <w:lang w:eastAsia="en-GB"/>
              </w:rPr>
            </w:pPr>
            <w:r w:rsidRPr="000B4E2C">
              <w:rPr>
                <w:lang w:eastAsia="en-GB"/>
              </w:rPr>
              <w:t>Pajenda</w:t>
            </w:r>
          </w:p>
        </w:tc>
        <w:tc>
          <w:tcPr>
            <w:tcW w:w="0" w:type="auto"/>
            <w:shd w:val="clear" w:color="auto" w:fill="auto"/>
            <w:noWrap/>
            <w:hideMark/>
          </w:tcPr>
          <w:p w14:paraId="43524CAA"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4753FFEE" w14:textId="5070FC2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C8E360F" w14:textId="77777777" w:rsidR="002F0133" w:rsidRPr="000B4E2C" w:rsidRDefault="002F0133" w:rsidP="008A7464">
            <w:pPr>
              <w:rPr>
                <w:highlight w:val="green"/>
                <w:lang w:eastAsia="en-GB"/>
              </w:rPr>
            </w:pPr>
            <w:r w:rsidRPr="000B4E2C">
              <w:rPr>
                <w:highlight w:val="green"/>
                <w:lang w:eastAsia="en-GB"/>
              </w:rPr>
              <w:t>S. Pajenda, A. Ilhan-Mutlu, M. Preusser, S. Roka, W. Druml and L. Wagner. NephroCheck data compared to serum creatinine in various clinical settings. BMC Nephrology, 16(1), 0203-5. [16299]</w:t>
            </w:r>
          </w:p>
        </w:tc>
      </w:tr>
      <w:tr w:rsidR="002F0133" w:rsidRPr="000B4E2C" w14:paraId="5D8974C3" w14:textId="77777777" w:rsidTr="000B4E2C">
        <w:trPr>
          <w:cantSplit/>
        </w:trPr>
        <w:tc>
          <w:tcPr>
            <w:tcW w:w="0" w:type="auto"/>
            <w:shd w:val="clear" w:color="auto" w:fill="auto"/>
            <w:noWrap/>
            <w:hideMark/>
          </w:tcPr>
          <w:p w14:paraId="4417BDDE" w14:textId="77777777" w:rsidR="002F0133" w:rsidRPr="000B4E2C" w:rsidRDefault="002F0133" w:rsidP="008A7464">
            <w:pPr>
              <w:rPr>
                <w:lang w:eastAsia="en-GB"/>
              </w:rPr>
            </w:pPr>
            <w:r w:rsidRPr="000B4E2C">
              <w:rPr>
                <w:lang w:eastAsia="en-GB"/>
              </w:rPr>
              <w:t>Palazzuoli</w:t>
            </w:r>
          </w:p>
        </w:tc>
        <w:tc>
          <w:tcPr>
            <w:tcW w:w="0" w:type="auto"/>
            <w:shd w:val="clear" w:color="auto" w:fill="auto"/>
            <w:noWrap/>
            <w:hideMark/>
          </w:tcPr>
          <w:p w14:paraId="5DDBBFFE"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52616504"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7D6D19F3" w14:textId="77777777" w:rsidR="002F0133" w:rsidRPr="000B4E2C" w:rsidRDefault="002F0133" w:rsidP="008A7464">
            <w:pPr>
              <w:rPr>
                <w:highlight w:val="green"/>
                <w:lang w:eastAsia="en-GB"/>
              </w:rPr>
            </w:pPr>
            <w:r w:rsidRPr="000B4E2C">
              <w:rPr>
                <w:highlight w:val="green"/>
                <w:lang w:eastAsia="en-GB"/>
              </w:rPr>
              <w:t>A. Palazzuoli, G. Ruocco, M. Beltrami, B. Franci, M. Pellegrini, B. Lucani, R. Nuti and C. Ronco. Admission plasma neutrophil gelatinase associated lipocalin (NGAL) predicts worsening renal function during hospitalization and post discharge outcome in patients with acute heart failure. Acute cardiac care, 16(3), 93-101. [16300]</w:t>
            </w:r>
          </w:p>
        </w:tc>
      </w:tr>
      <w:tr w:rsidR="002F0133" w:rsidRPr="000B4E2C" w14:paraId="3B4CC209" w14:textId="77777777" w:rsidTr="000B4E2C">
        <w:trPr>
          <w:cantSplit/>
        </w:trPr>
        <w:tc>
          <w:tcPr>
            <w:tcW w:w="0" w:type="auto"/>
            <w:shd w:val="clear" w:color="auto" w:fill="auto"/>
            <w:noWrap/>
            <w:hideMark/>
          </w:tcPr>
          <w:p w14:paraId="7D5155D8" w14:textId="77777777" w:rsidR="002F0133" w:rsidRPr="000B4E2C" w:rsidRDefault="002F0133" w:rsidP="008A7464">
            <w:pPr>
              <w:rPr>
                <w:lang w:eastAsia="en-GB"/>
              </w:rPr>
            </w:pPr>
            <w:r w:rsidRPr="000B4E2C">
              <w:rPr>
                <w:lang w:eastAsia="en-GB"/>
              </w:rPr>
              <w:t>Palazzuoli</w:t>
            </w:r>
          </w:p>
        </w:tc>
        <w:tc>
          <w:tcPr>
            <w:tcW w:w="0" w:type="auto"/>
            <w:shd w:val="clear" w:color="auto" w:fill="auto"/>
            <w:noWrap/>
            <w:hideMark/>
          </w:tcPr>
          <w:p w14:paraId="34574D16"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14350429"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50ED5117" w14:textId="77777777" w:rsidR="002F0133" w:rsidRPr="000B4E2C" w:rsidRDefault="002F0133" w:rsidP="008A7464">
            <w:pPr>
              <w:rPr>
                <w:highlight w:val="green"/>
                <w:lang w:eastAsia="en-GB"/>
              </w:rPr>
            </w:pPr>
            <w:r w:rsidRPr="000B4E2C">
              <w:rPr>
                <w:highlight w:val="green"/>
                <w:lang w:eastAsia="en-GB"/>
              </w:rPr>
              <w:t>A. Palazzuoli, G. Ruocco, M. Pellegrini, S. Martini, G. Del Castillo, M. Beltrami, B. Franci, B. Lucani and R. Nuti. Patients with Cardiorenal Syndrome Revealed Increased Neurohormonal Activity, Tubular and Myocardial Damage Compared to Heart Failure Patients with Preserved Renal Function. Cardiorenal Medicine, 4(3-4), 257-268. [18544]</w:t>
            </w:r>
          </w:p>
        </w:tc>
      </w:tr>
      <w:tr w:rsidR="002F0133" w:rsidRPr="000B4E2C" w14:paraId="0C82F755" w14:textId="77777777" w:rsidTr="000B4E2C">
        <w:trPr>
          <w:cantSplit/>
        </w:trPr>
        <w:tc>
          <w:tcPr>
            <w:tcW w:w="0" w:type="auto"/>
            <w:shd w:val="clear" w:color="auto" w:fill="auto"/>
            <w:noWrap/>
            <w:hideMark/>
          </w:tcPr>
          <w:p w14:paraId="0ABCB594" w14:textId="77777777" w:rsidR="002F0133" w:rsidRPr="000B4E2C" w:rsidRDefault="002F0133" w:rsidP="008A7464">
            <w:pPr>
              <w:rPr>
                <w:lang w:eastAsia="en-GB"/>
              </w:rPr>
            </w:pPr>
            <w:r w:rsidRPr="000B4E2C">
              <w:rPr>
                <w:lang w:eastAsia="en-GB"/>
              </w:rPr>
              <w:t xml:space="preserve">Palazzuoli </w:t>
            </w:r>
          </w:p>
        </w:tc>
        <w:tc>
          <w:tcPr>
            <w:tcW w:w="0" w:type="auto"/>
            <w:shd w:val="clear" w:color="auto" w:fill="auto"/>
            <w:noWrap/>
            <w:hideMark/>
          </w:tcPr>
          <w:p w14:paraId="048EAE3C"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70BEE180"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5DDE40F" w14:textId="77777777" w:rsidR="002F0133" w:rsidRPr="000B4E2C" w:rsidRDefault="002F0133" w:rsidP="008A7464">
            <w:pPr>
              <w:rPr>
                <w:highlight w:val="green"/>
                <w:lang w:eastAsia="en-GB"/>
              </w:rPr>
            </w:pPr>
            <w:r w:rsidRPr="000B4E2C">
              <w:rPr>
                <w:highlight w:val="green"/>
                <w:lang w:eastAsia="en-GB"/>
              </w:rPr>
              <w:t>A. Palazzuoli, G. Ruocco, M. Pellegrini, C. De Gori, G. Del Castillo, B. Franci, R. Nuti and C. Ronco. Comparison of neutrophil gelatinase-associated lipocalin versus B-type natriuretic peptide and cystatin C to predict early acute kidney injury and outcome in patients with acute heart failure. American Journal of Cardiology, 116(1), 104-111. [16301]</w:t>
            </w:r>
          </w:p>
        </w:tc>
      </w:tr>
      <w:tr w:rsidR="002F0133" w:rsidRPr="000B4E2C" w14:paraId="10A6FFFB" w14:textId="77777777" w:rsidTr="000B4E2C">
        <w:trPr>
          <w:cantSplit/>
        </w:trPr>
        <w:tc>
          <w:tcPr>
            <w:tcW w:w="0" w:type="auto"/>
            <w:shd w:val="clear" w:color="auto" w:fill="auto"/>
            <w:noWrap/>
            <w:hideMark/>
          </w:tcPr>
          <w:p w14:paraId="1757303A" w14:textId="77777777" w:rsidR="002F0133" w:rsidRPr="000B4E2C" w:rsidRDefault="002F0133" w:rsidP="008A7464">
            <w:pPr>
              <w:rPr>
                <w:lang w:eastAsia="en-GB"/>
              </w:rPr>
            </w:pPr>
            <w:r w:rsidRPr="000B4E2C">
              <w:rPr>
                <w:lang w:eastAsia="en-GB"/>
              </w:rPr>
              <w:t>Palermo</w:t>
            </w:r>
          </w:p>
        </w:tc>
        <w:tc>
          <w:tcPr>
            <w:tcW w:w="0" w:type="auto"/>
            <w:shd w:val="clear" w:color="auto" w:fill="auto"/>
            <w:noWrap/>
            <w:hideMark/>
          </w:tcPr>
          <w:p w14:paraId="06E1EB54"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240DA938" w14:textId="482B62A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B21898F" w14:textId="77777777" w:rsidR="002F0133" w:rsidRPr="000B4E2C" w:rsidRDefault="002F0133" w:rsidP="008A7464">
            <w:pPr>
              <w:rPr>
                <w:highlight w:val="green"/>
                <w:lang w:eastAsia="en-GB"/>
              </w:rPr>
            </w:pPr>
            <w:r w:rsidRPr="000B4E2C">
              <w:rPr>
                <w:highlight w:val="green"/>
                <w:lang w:eastAsia="en-GB"/>
              </w:rPr>
              <w:t>J. Palermo, A. B. Dart, A. De Mello, P. Devarajan, R. Gottesman, G. Garcia Guerra, G. Hansen, A. R. Joffe, C. Mammen, N. Majesic, C. Morgan, P. Skippen, M. Pizzi, A. Palijan and M. Zappitelli. Biomarkers for Early Acute Kidney Injury Diagnosis and Severity Prediction: A Pilot Multicenter Canadian Study of Children Admitted to the ICU. Pediatric Critical Care Medicine, 18(6), e235-e244. [16303]</w:t>
            </w:r>
          </w:p>
        </w:tc>
      </w:tr>
      <w:tr w:rsidR="002F0133" w:rsidRPr="000B4E2C" w14:paraId="70F146F1" w14:textId="77777777" w:rsidTr="000B4E2C">
        <w:trPr>
          <w:cantSplit/>
        </w:trPr>
        <w:tc>
          <w:tcPr>
            <w:tcW w:w="0" w:type="auto"/>
            <w:shd w:val="clear" w:color="auto" w:fill="auto"/>
            <w:noWrap/>
            <w:hideMark/>
          </w:tcPr>
          <w:p w14:paraId="71B6E92B" w14:textId="77777777" w:rsidR="002F0133" w:rsidRPr="000B4E2C" w:rsidRDefault="002F0133" w:rsidP="008A7464">
            <w:pPr>
              <w:rPr>
                <w:lang w:eastAsia="en-GB"/>
              </w:rPr>
            </w:pPr>
            <w:r w:rsidRPr="000B4E2C">
              <w:rPr>
                <w:lang w:eastAsia="en-GB"/>
              </w:rPr>
              <w:t>Pan</w:t>
            </w:r>
          </w:p>
        </w:tc>
        <w:tc>
          <w:tcPr>
            <w:tcW w:w="0" w:type="auto"/>
            <w:shd w:val="clear" w:color="auto" w:fill="auto"/>
            <w:noWrap/>
            <w:hideMark/>
          </w:tcPr>
          <w:p w14:paraId="111BFE2D"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9F2B905" w14:textId="3A6E4D3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FB0E941" w14:textId="77777777" w:rsidR="002F0133" w:rsidRPr="000B4E2C" w:rsidRDefault="002F0133" w:rsidP="008A7464">
            <w:pPr>
              <w:rPr>
                <w:highlight w:val="green"/>
                <w:lang w:eastAsia="en-GB"/>
              </w:rPr>
            </w:pPr>
            <w:r w:rsidRPr="000B4E2C">
              <w:rPr>
                <w:highlight w:val="green"/>
                <w:lang w:eastAsia="en-GB"/>
              </w:rPr>
              <w:t>J. J. Pan, Z. Y. Sun, X. Y. Zhou, Y. H. Hu, R. Cheng, X. Q. Chen and Y. Yang. Is neutrophil gelatinase-associated lipocalin a good diagnostic marker for renal injury in asphyxiated preterm infants?. Journal of Research in Medical Sciences, 23(1), 90. [16306]</w:t>
            </w:r>
          </w:p>
        </w:tc>
      </w:tr>
      <w:tr w:rsidR="002F0133" w:rsidRPr="000B4E2C" w14:paraId="300E44C3" w14:textId="77777777" w:rsidTr="000B4E2C">
        <w:trPr>
          <w:cantSplit/>
        </w:trPr>
        <w:tc>
          <w:tcPr>
            <w:tcW w:w="0" w:type="auto"/>
            <w:shd w:val="clear" w:color="auto" w:fill="auto"/>
            <w:noWrap/>
            <w:hideMark/>
          </w:tcPr>
          <w:p w14:paraId="733B6DC7" w14:textId="77777777" w:rsidR="002F0133" w:rsidRPr="000B4E2C" w:rsidRDefault="002F0133" w:rsidP="008A7464">
            <w:pPr>
              <w:rPr>
                <w:lang w:eastAsia="en-GB"/>
              </w:rPr>
            </w:pPr>
            <w:r w:rsidRPr="000B4E2C">
              <w:rPr>
                <w:lang w:eastAsia="en-GB"/>
              </w:rPr>
              <w:t>Pang</w:t>
            </w:r>
          </w:p>
        </w:tc>
        <w:tc>
          <w:tcPr>
            <w:tcW w:w="0" w:type="auto"/>
            <w:shd w:val="clear" w:color="auto" w:fill="auto"/>
            <w:noWrap/>
            <w:hideMark/>
          </w:tcPr>
          <w:p w14:paraId="49EF7097"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01BF3018"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EA4B707" w14:textId="77777777" w:rsidR="002F0133" w:rsidRPr="000B4E2C" w:rsidRDefault="002F0133" w:rsidP="008A7464">
            <w:pPr>
              <w:rPr>
                <w:highlight w:val="green"/>
                <w:lang w:eastAsia="en-GB"/>
              </w:rPr>
            </w:pPr>
            <w:r w:rsidRPr="000B4E2C">
              <w:rPr>
                <w:highlight w:val="green"/>
                <w:lang w:eastAsia="en-GB"/>
              </w:rPr>
              <w:t>Y. Pang, Y. Tan, Y. Li, J. Zhang, Y. Guo, Z. Guo, C. Zhang, F. Yu and M. H. Zhao. Pentraxin 3 Is Closely Associated With Tubulointerstitial Injury in Lupus Nephritis: A Large Multicenter Cross-Sectional Study. Medicine, 95(3), e2520. [16309]</w:t>
            </w:r>
          </w:p>
        </w:tc>
      </w:tr>
      <w:tr w:rsidR="002F0133" w:rsidRPr="000B4E2C" w14:paraId="671684C0" w14:textId="77777777" w:rsidTr="000B4E2C">
        <w:trPr>
          <w:cantSplit/>
        </w:trPr>
        <w:tc>
          <w:tcPr>
            <w:tcW w:w="0" w:type="auto"/>
            <w:shd w:val="clear" w:color="auto" w:fill="auto"/>
            <w:noWrap/>
            <w:hideMark/>
          </w:tcPr>
          <w:p w14:paraId="2E70C6AE" w14:textId="77777777" w:rsidR="002F0133" w:rsidRPr="000B4E2C" w:rsidRDefault="002F0133" w:rsidP="008A7464">
            <w:pPr>
              <w:rPr>
                <w:lang w:eastAsia="en-GB"/>
              </w:rPr>
            </w:pPr>
            <w:r w:rsidRPr="000B4E2C">
              <w:rPr>
                <w:lang w:eastAsia="en-GB"/>
              </w:rPr>
              <w:t>Pang</w:t>
            </w:r>
          </w:p>
        </w:tc>
        <w:tc>
          <w:tcPr>
            <w:tcW w:w="0" w:type="auto"/>
            <w:shd w:val="clear" w:color="auto" w:fill="auto"/>
            <w:noWrap/>
            <w:hideMark/>
          </w:tcPr>
          <w:p w14:paraId="3782D2E2"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30E1017E" w14:textId="249D176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3030D00" w14:textId="77777777" w:rsidR="002F0133" w:rsidRPr="000B4E2C" w:rsidRDefault="002F0133" w:rsidP="008A7464">
            <w:pPr>
              <w:rPr>
                <w:highlight w:val="green"/>
                <w:lang w:eastAsia="en-GB"/>
              </w:rPr>
            </w:pPr>
            <w:r w:rsidRPr="000B4E2C">
              <w:rPr>
                <w:highlight w:val="green"/>
                <w:lang w:eastAsia="en-GB"/>
              </w:rPr>
              <w:t>H. M. Pang, X. L. Qin, T. T. Liu, W. X. Wei, D. H. Cheng, H. Lu, Q. Guo and L. Jing. Urinary kidney injury molecule-1 and neutrophil gelatinase-associated lipocalin as early biomarkers for predicting vancomycin-associated acute kidney injury: a prospective study. European review for medical and pharmacological sciences, 21(18), 4203-4213. [16308]</w:t>
            </w:r>
          </w:p>
        </w:tc>
      </w:tr>
      <w:tr w:rsidR="002F0133" w:rsidRPr="000B4E2C" w14:paraId="1B20A7A4" w14:textId="77777777" w:rsidTr="000B4E2C">
        <w:trPr>
          <w:cantSplit/>
        </w:trPr>
        <w:tc>
          <w:tcPr>
            <w:tcW w:w="0" w:type="auto"/>
            <w:shd w:val="clear" w:color="auto" w:fill="auto"/>
            <w:noWrap/>
            <w:hideMark/>
          </w:tcPr>
          <w:p w14:paraId="65EFAC17" w14:textId="77777777" w:rsidR="002F0133" w:rsidRPr="000B4E2C" w:rsidRDefault="002F0133" w:rsidP="008A7464">
            <w:pPr>
              <w:rPr>
                <w:lang w:eastAsia="en-GB"/>
              </w:rPr>
            </w:pPr>
            <w:r w:rsidRPr="000B4E2C">
              <w:rPr>
                <w:lang w:eastAsia="en-GB"/>
              </w:rPr>
              <w:t>Papadopoulou-Marketou</w:t>
            </w:r>
          </w:p>
        </w:tc>
        <w:tc>
          <w:tcPr>
            <w:tcW w:w="0" w:type="auto"/>
            <w:shd w:val="clear" w:color="auto" w:fill="auto"/>
            <w:noWrap/>
            <w:hideMark/>
          </w:tcPr>
          <w:p w14:paraId="36A9CF3D"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B802BAE" w14:textId="5F8F3CA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F1887DA" w14:textId="77777777" w:rsidR="002F0133" w:rsidRPr="000B4E2C" w:rsidRDefault="002F0133" w:rsidP="008A7464">
            <w:pPr>
              <w:rPr>
                <w:highlight w:val="green"/>
                <w:lang w:eastAsia="en-GB"/>
              </w:rPr>
            </w:pPr>
            <w:r w:rsidRPr="000B4E2C">
              <w:rPr>
                <w:highlight w:val="green"/>
                <w:lang w:eastAsia="en-GB"/>
              </w:rPr>
              <w:t>N. Papadopoulou-Marketou, C. Skevaki, I. Kosteria, M. Peppa, G. P. Chrousos, I. Papassotiriou and C. Kanaka-Gantenbein. NGAL and cystatin C: two possible early markers of diabetic nephropathy in young patients with type 1 diabetes mellitus: one year follow up. Hormones-International Journal of Endocrinology and Metabolism, 14(2), 232-240. [18546]</w:t>
            </w:r>
          </w:p>
        </w:tc>
      </w:tr>
      <w:tr w:rsidR="002F0133" w:rsidRPr="000B4E2C" w14:paraId="367BF712" w14:textId="77777777" w:rsidTr="000B4E2C">
        <w:trPr>
          <w:cantSplit/>
        </w:trPr>
        <w:tc>
          <w:tcPr>
            <w:tcW w:w="0" w:type="auto"/>
            <w:shd w:val="clear" w:color="auto" w:fill="auto"/>
            <w:noWrap/>
            <w:hideMark/>
          </w:tcPr>
          <w:p w14:paraId="4ECBF25A" w14:textId="77777777" w:rsidR="002F0133" w:rsidRPr="000B4E2C" w:rsidRDefault="002F0133" w:rsidP="008A7464">
            <w:pPr>
              <w:rPr>
                <w:lang w:eastAsia="en-GB"/>
              </w:rPr>
            </w:pPr>
            <w:r w:rsidRPr="000B4E2C">
              <w:rPr>
                <w:lang w:eastAsia="en-GB"/>
              </w:rPr>
              <w:lastRenderedPageBreak/>
              <w:t>Papassotiriou</w:t>
            </w:r>
          </w:p>
        </w:tc>
        <w:tc>
          <w:tcPr>
            <w:tcW w:w="0" w:type="auto"/>
            <w:shd w:val="clear" w:color="auto" w:fill="auto"/>
            <w:noWrap/>
            <w:hideMark/>
          </w:tcPr>
          <w:p w14:paraId="011D543F"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D35976D" w14:textId="7183CAB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BFF26AF" w14:textId="77777777" w:rsidR="002F0133" w:rsidRPr="000B4E2C" w:rsidRDefault="002F0133" w:rsidP="008A7464">
            <w:pPr>
              <w:rPr>
                <w:highlight w:val="green"/>
                <w:lang w:eastAsia="en-GB"/>
              </w:rPr>
            </w:pPr>
            <w:r w:rsidRPr="000B4E2C">
              <w:rPr>
                <w:highlight w:val="green"/>
                <w:lang w:eastAsia="en-GB"/>
              </w:rPr>
              <w:t>G. P. Papassotiriou, E. Kastritis, M. Gkotzamanidou, D. Christoulas, E. Eleutherakis-Papaiakovou, M. Migkou, M. Gavriatopoulou, M. Roussou, A. Margeli, I. Papassotiriou, M. A. Dimopoulos and E. Terpos. Neutrophil Gelatinase-Associated Lipocalin and Cystatin C Are Sensitive Markers of Renal Injury in Patients with Multiple Myeloma. Clinical Lymphoma, Myeloma and Leukemia, 16(1), 29-35. [16312]</w:t>
            </w:r>
          </w:p>
        </w:tc>
      </w:tr>
      <w:tr w:rsidR="002F0133" w:rsidRPr="000B4E2C" w14:paraId="2313041A" w14:textId="77777777" w:rsidTr="000B4E2C">
        <w:trPr>
          <w:cantSplit/>
        </w:trPr>
        <w:tc>
          <w:tcPr>
            <w:tcW w:w="0" w:type="auto"/>
            <w:shd w:val="clear" w:color="auto" w:fill="auto"/>
            <w:noWrap/>
            <w:hideMark/>
          </w:tcPr>
          <w:p w14:paraId="4CC22BCE" w14:textId="77777777" w:rsidR="002F0133" w:rsidRPr="000B4E2C" w:rsidRDefault="002F0133" w:rsidP="008A7464">
            <w:pPr>
              <w:rPr>
                <w:lang w:eastAsia="en-GB"/>
              </w:rPr>
            </w:pPr>
            <w:r w:rsidRPr="000B4E2C">
              <w:rPr>
                <w:lang w:eastAsia="en-GB"/>
              </w:rPr>
              <w:t>Parekh</w:t>
            </w:r>
          </w:p>
        </w:tc>
        <w:tc>
          <w:tcPr>
            <w:tcW w:w="0" w:type="auto"/>
            <w:shd w:val="clear" w:color="auto" w:fill="auto"/>
            <w:noWrap/>
            <w:hideMark/>
          </w:tcPr>
          <w:p w14:paraId="50175580"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2A37FD46" w14:textId="5078B54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0FC1DE0" w14:textId="77777777" w:rsidR="002F0133" w:rsidRPr="000B4E2C" w:rsidRDefault="002F0133" w:rsidP="008A7464">
            <w:pPr>
              <w:rPr>
                <w:highlight w:val="green"/>
                <w:lang w:eastAsia="en-GB"/>
              </w:rPr>
            </w:pPr>
            <w:r w:rsidRPr="000B4E2C">
              <w:rPr>
                <w:highlight w:val="green"/>
                <w:lang w:eastAsia="en-GB"/>
              </w:rPr>
              <w:t>D. J. Parekh, J. M. Weinberg, B. Ercole, K. C. Torkko, W. Hilton, M. Bennett, P. Devarajan and M. A. Venkatachalam. Tolerance of the human kidney to isolated controlled ischemia. Journal of the American Society of Nephrology, 24(3), 506-517. [16314]</w:t>
            </w:r>
          </w:p>
        </w:tc>
      </w:tr>
      <w:tr w:rsidR="002F0133" w:rsidRPr="000B4E2C" w14:paraId="2A51D82A" w14:textId="77777777" w:rsidTr="000B4E2C">
        <w:trPr>
          <w:cantSplit/>
        </w:trPr>
        <w:tc>
          <w:tcPr>
            <w:tcW w:w="0" w:type="auto"/>
            <w:shd w:val="clear" w:color="auto" w:fill="auto"/>
            <w:noWrap/>
            <w:hideMark/>
          </w:tcPr>
          <w:p w14:paraId="2B91183D" w14:textId="77777777" w:rsidR="002F0133" w:rsidRPr="000B4E2C" w:rsidRDefault="002F0133" w:rsidP="008A7464">
            <w:pPr>
              <w:rPr>
                <w:lang w:eastAsia="en-GB"/>
              </w:rPr>
            </w:pPr>
            <w:r w:rsidRPr="000B4E2C">
              <w:rPr>
                <w:lang w:eastAsia="en-GB"/>
              </w:rPr>
              <w:t>Parikh</w:t>
            </w:r>
          </w:p>
        </w:tc>
        <w:tc>
          <w:tcPr>
            <w:tcW w:w="0" w:type="auto"/>
            <w:shd w:val="clear" w:color="auto" w:fill="auto"/>
            <w:noWrap/>
            <w:hideMark/>
          </w:tcPr>
          <w:p w14:paraId="785B97E0"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6CDE63A9"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2AA22AD4" w14:textId="77777777" w:rsidR="002F0133" w:rsidRPr="000B4E2C" w:rsidRDefault="002F0133" w:rsidP="008A7464">
            <w:pPr>
              <w:rPr>
                <w:highlight w:val="green"/>
                <w:lang w:eastAsia="en-GB"/>
              </w:rPr>
            </w:pPr>
            <w:r w:rsidRPr="000B4E2C">
              <w:rPr>
                <w:highlight w:val="green"/>
                <w:lang w:eastAsia="en-GB"/>
              </w:rPr>
              <w:t>A. Parikh and A. Shaw. The Economics of Renal Failure and Kidney Disease in Critically Ill Patients. Critical Care Clinics, 28(1), 99-111. [16320]</w:t>
            </w:r>
          </w:p>
        </w:tc>
      </w:tr>
      <w:tr w:rsidR="002F0133" w:rsidRPr="000B4E2C" w14:paraId="4DCDA29A" w14:textId="77777777" w:rsidTr="000B4E2C">
        <w:trPr>
          <w:cantSplit/>
        </w:trPr>
        <w:tc>
          <w:tcPr>
            <w:tcW w:w="0" w:type="auto"/>
            <w:shd w:val="clear" w:color="auto" w:fill="auto"/>
            <w:noWrap/>
            <w:hideMark/>
          </w:tcPr>
          <w:p w14:paraId="20DE923C" w14:textId="77777777" w:rsidR="002F0133" w:rsidRPr="000B4E2C" w:rsidRDefault="002F0133" w:rsidP="008A7464">
            <w:pPr>
              <w:rPr>
                <w:lang w:eastAsia="en-GB"/>
              </w:rPr>
            </w:pPr>
            <w:r w:rsidRPr="000B4E2C">
              <w:rPr>
                <w:lang w:eastAsia="en-GB"/>
              </w:rPr>
              <w:t>Parikh</w:t>
            </w:r>
          </w:p>
        </w:tc>
        <w:tc>
          <w:tcPr>
            <w:tcW w:w="0" w:type="auto"/>
            <w:shd w:val="clear" w:color="auto" w:fill="auto"/>
            <w:noWrap/>
            <w:hideMark/>
          </w:tcPr>
          <w:p w14:paraId="159CCC82"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3B5E605B" w14:textId="612650D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EA367B0" w14:textId="77777777" w:rsidR="002F0133" w:rsidRPr="000B4E2C" w:rsidRDefault="002F0133" w:rsidP="008A7464">
            <w:pPr>
              <w:rPr>
                <w:highlight w:val="green"/>
                <w:lang w:eastAsia="en-GB"/>
              </w:rPr>
            </w:pPr>
            <w:r w:rsidRPr="000B4E2C">
              <w:rPr>
                <w:highlight w:val="green"/>
                <w:lang w:eastAsia="en-GB"/>
              </w:rPr>
              <w:t>C. R. Parikh, J. Mishra, H. Thiessen-Philbrook, B. Dursun, Q. Ma, C. Kelly, C. Dent, P. Devarajan and C. L. Edelstein. Urinary IL-18 is an early predictive biomarker of acute kidney injury after cardiac surgery. Kidney International, 70(1), 199-203. [4027]</w:t>
            </w:r>
          </w:p>
        </w:tc>
      </w:tr>
      <w:tr w:rsidR="002F0133" w:rsidRPr="000B4E2C" w14:paraId="3C6C10F3" w14:textId="77777777" w:rsidTr="000B4E2C">
        <w:trPr>
          <w:cantSplit/>
        </w:trPr>
        <w:tc>
          <w:tcPr>
            <w:tcW w:w="0" w:type="auto"/>
            <w:shd w:val="clear" w:color="auto" w:fill="auto"/>
            <w:noWrap/>
            <w:hideMark/>
          </w:tcPr>
          <w:p w14:paraId="64E3DBB7" w14:textId="77777777" w:rsidR="002F0133" w:rsidRPr="000B4E2C" w:rsidRDefault="002F0133" w:rsidP="008A7464">
            <w:pPr>
              <w:rPr>
                <w:lang w:eastAsia="en-GB"/>
              </w:rPr>
            </w:pPr>
            <w:r w:rsidRPr="000B4E2C">
              <w:rPr>
                <w:lang w:eastAsia="en-GB"/>
              </w:rPr>
              <w:t>Parikh</w:t>
            </w:r>
          </w:p>
        </w:tc>
        <w:tc>
          <w:tcPr>
            <w:tcW w:w="0" w:type="auto"/>
            <w:shd w:val="clear" w:color="auto" w:fill="auto"/>
            <w:noWrap/>
            <w:hideMark/>
          </w:tcPr>
          <w:p w14:paraId="1470D94B"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484CD59B"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46AB8076" w14:textId="77777777" w:rsidR="002F0133" w:rsidRPr="000B4E2C" w:rsidRDefault="002F0133" w:rsidP="008A7464">
            <w:pPr>
              <w:rPr>
                <w:highlight w:val="green"/>
                <w:lang w:eastAsia="en-GB"/>
              </w:rPr>
            </w:pPr>
            <w:r w:rsidRPr="000B4E2C">
              <w:rPr>
                <w:highlight w:val="green"/>
                <w:lang w:eastAsia="en-GB"/>
              </w:rPr>
              <w:t>C. R. Parikh and G. Han. Variation in performance of kidney injury biomarkers due to cause of acute kidney injury. American Journal of Kidney Diseases, 62(6), 1023-1026. [16328]</w:t>
            </w:r>
          </w:p>
        </w:tc>
      </w:tr>
      <w:tr w:rsidR="002F0133" w:rsidRPr="000B4E2C" w14:paraId="1FC17019" w14:textId="77777777" w:rsidTr="000B4E2C">
        <w:trPr>
          <w:cantSplit/>
        </w:trPr>
        <w:tc>
          <w:tcPr>
            <w:tcW w:w="0" w:type="auto"/>
            <w:shd w:val="clear" w:color="auto" w:fill="auto"/>
            <w:noWrap/>
            <w:hideMark/>
          </w:tcPr>
          <w:p w14:paraId="18D30B34" w14:textId="77777777" w:rsidR="002F0133" w:rsidRPr="000B4E2C" w:rsidRDefault="002F0133" w:rsidP="008A7464">
            <w:pPr>
              <w:rPr>
                <w:lang w:eastAsia="en-GB"/>
              </w:rPr>
            </w:pPr>
            <w:r w:rsidRPr="000B4E2C">
              <w:rPr>
                <w:lang w:eastAsia="en-GB"/>
              </w:rPr>
              <w:t>Parikh</w:t>
            </w:r>
          </w:p>
        </w:tc>
        <w:tc>
          <w:tcPr>
            <w:tcW w:w="0" w:type="auto"/>
            <w:shd w:val="clear" w:color="auto" w:fill="auto"/>
            <w:noWrap/>
            <w:hideMark/>
          </w:tcPr>
          <w:p w14:paraId="736183F5"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F104570" w14:textId="0A79E4AA" w:rsidR="002F0133" w:rsidRPr="000B4E2C" w:rsidRDefault="002F0133" w:rsidP="008A7464">
            <w:pPr>
              <w:rPr>
                <w:lang w:eastAsia="en-GB"/>
              </w:rPr>
            </w:pPr>
            <w:r w:rsidRPr="000B4E2C">
              <w:rPr>
                <w:lang w:eastAsia="en-GB"/>
              </w:rPr>
              <w:t xml:space="preserve">Uses simulated </w:t>
            </w:r>
            <w:r w:rsidRPr="000B4E2C">
              <w:rPr>
                <w:highlight w:val="magenta"/>
                <w:lang w:eastAsia="en-GB"/>
              </w:rPr>
              <w:t>data</w:t>
            </w:r>
            <w:r w:rsidRPr="000B4E2C">
              <w:rPr>
                <w:lang w:eastAsia="en-GB"/>
              </w:rPr>
              <w:t xml:space="preserve"> from the TRIBE AKI study</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2E44C835" w14:textId="77777777" w:rsidR="002F0133" w:rsidRPr="000B4E2C" w:rsidRDefault="002F0133" w:rsidP="008A7464">
            <w:pPr>
              <w:rPr>
                <w:highlight w:val="green"/>
                <w:lang w:eastAsia="en-GB"/>
              </w:rPr>
            </w:pPr>
            <w:r w:rsidRPr="000B4E2C">
              <w:rPr>
                <w:highlight w:val="green"/>
                <w:lang w:eastAsia="en-GB"/>
              </w:rPr>
              <w:t>C. R. Parikh, D. G. Moledina, S. G. Coca, H. R. Thiessen-Philbrook and A. X. Garg. Application of new acute kidney injury biomarkers in human randomized controlled trials. Kidney International, 89(6), 1372-1379. [16324]</w:t>
            </w:r>
          </w:p>
        </w:tc>
      </w:tr>
      <w:tr w:rsidR="002F0133" w:rsidRPr="000B4E2C" w14:paraId="564EADF7" w14:textId="77777777" w:rsidTr="000B4E2C">
        <w:trPr>
          <w:cantSplit/>
        </w:trPr>
        <w:tc>
          <w:tcPr>
            <w:tcW w:w="0" w:type="auto"/>
            <w:shd w:val="clear" w:color="auto" w:fill="auto"/>
            <w:noWrap/>
            <w:hideMark/>
          </w:tcPr>
          <w:p w14:paraId="5AF63690" w14:textId="77777777" w:rsidR="002F0133" w:rsidRPr="000B4E2C" w:rsidRDefault="002F0133" w:rsidP="008A7464">
            <w:pPr>
              <w:rPr>
                <w:lang w:eastAsia="en-GB"/>
              </w:rPr>
            </w:pPr>
            <w:r w:rsidRPr="000B4E2C">
              <w:rPr>
                <w:lang w:eastAsia="en-GB"/>
              </w:rPr>
              <w:t>Parikh</w:t>
            </w:r>
          </w:p>
        </w:tc>
        <w:tc>
          <w:tcPr>
            <w:tcW w:w="0" w:type="auto"/>
            <w:shd w:val="clear" w:color="auto" w:fill="auto"/>
            <w:noWrap/>
            <w:hideMark/>
          </w:tcPr>
          <w:p w14:paraId="32981718"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0FBAB2F6"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08704689" w14:textId="77777777" w:rsidR="002F0133" w:rsidRPr="000B4E2C" w:rsidRDefault="002F0133" w:rsidP="008A7464">
            <w:pPr>
              <w:rPr>
                <w:highlight w:val="green"/>
                <w:lang w:eastAsia="en-GB"/>
              </w:rPr>
            </w:pPr>
            <w:r w:rsidRPr="000B4E2C">
              <w:rPr>
                <w:highlight w:val="green"/>
                <w:lang w:eastAsia="en-GB"/>
              </w:rPr>
              <w:t>C. R. Parikh, J. Puthumana, M. G. Shlipak, J. L. Koyner, H. Thiessen-Philbrook, E. McArthur, K. Kerr, P. Kavsak, R. P. Whitlock, A. X. Garg and S. G. Coca. Relationship of kidney injury biomarkers with long-term cardiovascular outcomes after cardiac surgery. Journal of the American Society of Nephrology, 28(12), 3699-3707. [16321]</w:t>
            </w:r>
          </w:p>
        </w:tc>
      </w:tr>
      <w:tr w:rsidR="002F0133" w:rsidRPr="000B4E2C" w14:paraId="61755F6F" w14:textId="77777777" w:rsidTr="000B4E2C">
        <w:trPr>
          <w:cantSplit/>
        </w:trPr>
        <w:tc>
          <w:tcPr>
            <w:tcW w:w="0" w:type="auto"/>
            <w:shd w:val="clear" w:color="auto" w:fill="auto"/>
            <w:noWrap/>
            <w:hideMark/>
          </w:tcPr>
          <w:p w14:paraId="2374BF6A" w14:textId="77777777" w:rsidR="002F0133" w:rsidRPr="000B4E2C" w:rsidRDefault="002F0133" w:rsidP="008A7464">
            <w:pPr>
              <w:rPr>
                <w:lang w:eastAsia="en-GB"/>
              </w:rPr>
            </w:pPr>
            <w:r w:rsidRPr="000B4E2C">
              <w:rPr>
                <w:lang w:eastAsia="en-GB"/>
              </w:rPr>
              <w:t>Parikh</w:t>
            </w:r>
          </w:p>
        </w:tc>
        <w:tc>
          <w:tcPr>
            <w:tcW w:w="0" w:type="auto"/>
            <w:shd w:val="clear" w:color="auto" w:fill="auto"/>
            <w:noWrap/>
            <w:hideMark/>
          </w:tcPr>
          <w:p w14:paraId="50E00173"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3CA47E9B"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0D99D462" w14:textId="77777777" w:rsidR="002F0133" w:rsidRPr="000B4E2C" w:rsidRDefault="002F0133" w:rsidP="008A7464">
            <w:pPr>
              <w:rPr>
                <w:highlight w:val="green"/>
                <w:lang w:eastAsia="en-GB"/>
              </w:rPr>
            </w:pPr>
            <w:r w:rsidRPr="000B4E2C">
              <w:rPr>
                <w:highlight w:val="green"/>
                <w:lang w:eastAsia="en-GB"/>
              </w:rPr>
              <w:t>A. Parikh, J. A. Rizzo, P. Canetta, C. Forster, M. Sise, O. Maarouf, E. Singer, A. Elger, S. Elitok, K. Schmidt-Ott, J. Barasch and T. L. Nickolas. Correction: Does NGAL reduce costs? A cost analysis of urine NGAL (uNGAL) &amp; serum creatinine (sCr) for acute kidney injury (AKI) diagnosis. PloS one, 12(9), e0185772. [16317]</w:t>
            </w:r>
          </w:p>
        </w:tc>
      </w:tr>
      <w:tr w:rsidR="002F0133" w:rsidRPr="000B4E2C" w14:paraId="07DED3F5" w14:textId="77777777" w:rsidTr="000B4E2C">
        <w:trPr>
          <w:cantSplit/>
        </w:trPr>
        <w:tc>
          <w:tcPr>
            <w:tcW w:w="0" w:type="auto"/>
            <w:shd w:val="clear" w:color="auto" w:fill="auto"/>
            <w:noWrap/>
            <w:hideMark/>
          </w:tcPr>
          <w:p w14:paraId="6EDB0920" w14:textId="77777777" w:rsidR="002F0133" w:rsidRPr="000B4E2C" w:rsidRDefault="002F0133" w:rsidP="008A7464">
            <w:pPr>
              <w:rPr>
                <w:lang w:eastAsia="en-GB"/>
              </w:rPr>
            </w:pPr>
            <w:r w:rsidRPr="000B4E2C">
              <w:rPr>
                <w:lang w:eastAsia="en-GB"/>
              </w:rPr>
              <w:t>Parikh</w:t>
            </w:r>
          </w:p>
        </w:tc>
        <w:tc>
          <w:tcPr>
            <w:tcW w:w="0" w:type="auto"/>
            <w:shd w:val="clear" w:color="auto" w:fill="auto"/>
            <w:noWrap/>
            <w:hideMark/>
          </w:tcPr>
          <w:p w14:paraId="63FA0EBA"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0B13EA63"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16139243" w14:textId="77777777" w:rsidR="002F0133" w:rsidRPr="000B4E2C" w:rsidRDefault="002F0133" w:rsidP="008A7464">
            <w:pPr>
              <w:rPr>
                <w:highlight w:val="green"/>
                <w:lang w:eastAsia="en-GB"/>
              </w:rPr>
            </w:pPr>
            <w:r w:rsidRPr="000B4E2C">
              <w:rPr>
                <w:highlight w:val="green"/>
                <w:lang w:eastAsia="en-GB"/>
              </w:rPr>
              <w:t>A. Parikh, J. A. Rizzo, P. Canetta, C. Forster, M. Sise, O. Maarouf, E. Singer, A. Elger, S. Elitok, K. Schmidt-Ott, J. Barasch and T. L. Nickolas. Correction: Does NGAL reduce costs? A cost analysis of urine NGAL (uNGAL) &amp; serum creatinine (sCr) for acute kidney injury (AKI) diagnosis (PLoS ONE (2017) 12:5 (e0178091) DOI: 10.1371/journal.pone.0178091). PLoS ONE, 12(9), e0185772. [16319]</w:t>
            </w:r>
          </w:p>
        </w:tc>
      </w:tr>
      <w:tr w:rsidR="002F0133" w:rsidRPr="000B4E2C" w14:paraId="73228413" w14:textId="77777777" w:rsidTr="000B4E2C">
        <w:trPr>
          <w:cantSplit/>
        </w:trPr>
        <w:tc>
          <w:tcPr>
            <w:tcW w:w="0" w:type="auto"/>
            <w:shd w:val="clear" w:color="auto" w:fill="auto"/>
            <w:noWrap/>
            <w:hideMark/>
          </w:tcPr>
          <w:p w14:paraId="0A7619A7" w14:textId="77777777" w:rsidR="002F0133" w:rsidRPr="000B4E2C" w:rsidRDefault="002F0133" w:rsidP="008A7464">
            <w:pPr>
              <w:rPr>
                <w:lang w:eastAsia="en-GB"/>
              </w:rPr>
            </w:pPr>
            <w:r w:rsidRPr="000B4E2C">
              <w:rPr>
                <w:lang w:eastAsia="en-GB"/>
              </w:rPr>
              <w:t>Park</w:t>
            </w:r>
          </w:p>
        </w:tc>
        <w:tc>
          <w:tcPr>
            <w:tcW w:w="0" w:type="auto"/>
            <w:shd w:val="clear" w:color="auto" w:fill="auto"/>
            <w:noWrap/>
            <w:hideMark/>
          </w:tcPr>
          <w:p w14:paraId="6FC2BF42"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1D302B88" w14:textId="7298748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C02D141" w14:textId="77777777" w:rsidR="002F0133" w:rsidRPr="000B4E2C" w:rsidRDefault="002F0133" w:rsidP="008A7464">
            <w:pPr>
              <w:rPr>
                <w:highlight w:val="green"/>
                <w:lang w:eastAsia="en-GB"/>
              </w:rPr>
            </w:pPr>
            <w:r w:rsidRPr="000B4E2C">
              <w:rPr>
                <w:highlight w:val="green"/>
                <w:lang w:eastAsia="en-GB"/>
              </w:rPr>
              <w:t>H. D. Park, J. Y. Seo and S. Y. Lee. The Relationship between serum neutrophil gelatinase-associated lipocalin and renal function in patients with vancomycin treatment. Annals of Clinical and Laboratory Science, 42(1), 7-13. [16341]</w:t>
            </w:r>
          </w:p>
        </w:tc>
      </w:tr>
      <w:tr w:rsidR="002F0133" w:rsidRPr="000B4E2C" w14:paraId="61BAC610" w14:textId="77777777" w:rsidTr="000B4E2C">
        <w:trPr>
          <w:cantSplit/>
        </w:trPr>
        <w:tc>
          <w:tcPr>
            <w:tcW w:w="0" w:type="auto"/>
            <w:shd w:val="clear" w:color="auto" w:fill="auto"/>
            <w:noWrap/>
            <w:hideMark/>
          </w:tcPr>
          <w:p w14:paraId="0E31C876" w14:textId="77777777" w:rsidR="002F0133" w:rsidRPr="000B4E2C" w:rsidRDefault="002F0133" w:rsidP="008A7464">
            <w:pPr>
              <w:rPr>
                <w:lang w:eastAsia="en-GB"/>
              </w:rPr>
            </w:pPr>
            <w:r w:rsidRPr="000B4E2C">
              <w:rPr>
                <w:lang w:eastAsia="en-GB"/>
              </w:rPr>
              <w:t>Park</w:t>
            </w:r>
          </w:p>
        </w:tc>
        <w:tc>
          <w:tcPr>
            <w:tcW w:w="0" w:type="auto"/>
            <w:shd w:val="clear" w:color="auto" w:fill="auto"/>
            <w:noWrap/>
            <w:hideMark/>
          </w:tcPr>
          <w:p w14:paraId="26E41E93"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875C0BA" w14:textId="06210E9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86F5272" w14:textId="77777777" w:rsidR="002F0133" w:rsidRPr="000B4E2C" w:rsidRDefault="002F0133" w:rsidP="008A7464">
            <w:pPr>
              <w:rPr>
                <w:highlight w:val="green"/>
                <w:lang w:eastAsia="en-GB"/>
              </w:rPr>
            </w:pPr>
            <w:r w:rsidRPr="000B4E2C">
              <w:rPr>
                <w:highlight w:val="green"/>
                <w:lang w:eastAsia="en-GB"/>
              </w:rPr>
              <w:t>G. Y. Park, C. H. Yu, J. S. Kim, Y. J. Kang, O. Kwon, J. Y. Choi, J. H. Cho, C. D. Kim, Y. L. Kim and S. H. Park. Plasma neutrophil gelatinase-associated lipocalin as a potential predictor of adverse renal outcomes in immunoglobulin a nephropathy. Korean Journal of Internal Medicine, 30(3), 345-353. [16340]</w:t>
            </w:r>
          </w:p>
        </w:tc>
      </w:tr>
      <w:tr w:rsidR="002F0133" w:rsidRPr="000B4E2C" w14:paraId="4C0391EB" w14:textId="77777777" w:rsidTr="000B4E2C">
        <w:trPr>
          <w:cantSplit/>
        </w:trPr>
        <w:tc>
          <w:tcPr>
            <w:tcW w:w="0" w:type="auto"/>
            <w:shd w:val="clear" w:color="auto" w:fill="auto"/>
            <w:noWrap/>
            <w:hideMark/>
          </w:tcPr>
          <w:p w14:paraId="554D4E52" w14:textId="77777777" w:rsidR="002F0133" w:rsidRPr="000B4E2C" w:rsidRDefault="002F0133" w:rsidP="008A7464">
            <w:pPr>
              <w:rPr>
                <w:lang w:eastAsia="en-GB"/>
              </w:rPr>
            </w:pPr>
            <w:r w:rsidRPr="000B4E2C">
              <w:rPr>
                <w:lang w:eastAsia="en-GB"/>
              </w:rPr>
              <w:lastRenderedPageBreak/>
              <w:t>Park</w:t>
            </w:r>
          </w:p>
        </w:tc>
        <w:tc>
          <w:tcPr>
            <w:tcW w:w="0" w:type="auto"/>
            <w:shd w:val="clear" w:color="auto" w:fill="auto"/>
            <w:noWrap/>
            <w:hideMark/>
          </w:tcPr>
          <w:p w14:paraId="11C278F5"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CA70852" w14:textId="1E5B116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EF73044" w14:textId="77777777" w:rsidR="002F0133" w:rsidRPr="000B4E2C" w:rsidRDefault="002F0133" w:rsidP="008A7464">
            <w:pPr>
              <w:rPr>
                <w:highlight w:val="green"/>
                <w:lang w:eastAsia="en-GB"/>
              </w:rPr>
            </w:pPr>
            <w:r w:rsidRPr="000B4E2C">
              <w:rPr>
                <w:highlight w:val="green"/>
                <w:lang w:eastAsia="en-GB"/>
              </w:rPr>
              <w:t>S. O. Park, J. Y. Ahn, Y. H. Lee, Y. J. Kim, Y. H. Min, H. C. Ahn, Y. D. Sohn, S. M. Park, Y. T. Oh and D. H. Shin. Plasma neutrophil gelatinase-associated lipocalin as an early predicting biomarker of acute kidney injury and clinical outcomes after recovery of spontaneous circulation in out-of-hospital cardiac arrest patients. Resuscitation, 101(84-90. [16345]</w:t>
            </w:r>
          </w:p>
        </w:tc>
      </w:tr>
      <w:tr w:rsidR="002F0133" w:rsidRPr="000B4E2C" w14:paraId="1CAE0680" w14:textId="77777777" w:rsidTr="000B4E2C">
        <w:trPr>
          <w:cantSplit/>
        </w:trPr>
        <w:tc>
          <w:tcPr>
            <w:tcW w:w="0" w:type="auto"/>
            <w:shd w:val="clear" w:color="auto" w:fill="auto"/>
            <w:noWrap/>
            <w:hideMark/>
          </w:tcPr>
          <w:p w14:paraId="4001CFD2" w14:textId="77777777" w:rsidR="002F0133" w:rsidRPr="000B4E2C" w:rsidRDefault="002F0133" w:rsidP="008A7464">
            <w:pPr>
              <w:rPr>
                <w:lang w:eastAsia="en-GB"/>
              </w:rPr>
            </w:pPr>
            <w:r w:rsidRPr="000B4E2C">
              <w:rPr>
                <w:lang w:eastAsia="en-GB"/>
              </w:rPr>
              <w:t>Park</w:t>
            </w:r>
          </w:p>
        </w:tc>
        <w:tc>
          <w:tcPr>
            <w:tcW w:w="0" w:type="auto"/>
            <w:shd w:val="clear" w:color="auto" w:fill="auto"/>
            <w:noWrap/>
            <w:hideMark/>
          </w:tcPr>
          <w:p w14:paraId="208E70E6"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38DF795" w14:textId="143C8E4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85FC24E" w14:textId="77777777" w:rsidR="002F0133" w:rsidRPr="000B4E2C" w:rsidRDefault="002F0133" w:rsidP="008A7464">
            <w:pPr>
              <w:rPr>
                <w:highlight w:val="green"/>
                <w:lang w:eastAsia="en-GB"/>
              </w:rPr>
            </w:pPr>
            <w:r w:rsidRPr="000B4E2C">
              <w:rPr>
                <w:highlight w:val="green"/>
                <w:lang w:eastAsia="en-GB"/>
              </w:rPr>
              <w:t>Y.-R. Park, J. S. Oh, H. Jeong, J. Park, Y. M. Oh, S. Choi and K. H. Choi. Predicting long-term outcomes after cardiac arrest by using serum neutrophil gelatinase-associated lipocalin. American Journal of Emergency Medicine, 36(4), 660-664. [18548]</w:t>
            </w:r>
          </w:p>
        </w:tc>
      </w:tr>
      <w:tr w:rsidR="002F0133" w:rsidRPr="000B4E2C" w14:paraId="3D7EF8C4" w14:textId="77777777" w:rsidTr="000B4E2C">
        <w:trPr>
          <w:cantSplit/>
        </w:trPr>
        <w:tc>
          <w:tcPr>
            <w:tcW w:w="0" w:type="auto"/>
            <w:shd w:val="clear" w:color="auto" w:fill="auto"/>
            <w:noWrap/>
            <w:hideMark/>
          </w:tcPr>
          <w:p w14:paraId="5B3C2002" w14:textId="77777777" w:rsidR="002F0133" w:rsidRPr="000B4E2C" w:rsidRDefault="002F0133" w:rsidP="008A7464">
            <w:pPr>
              <w:rPr>
                <w:lang w:eastAsia="en-GB"/>
              </w:rPr>
            </w:pPr>
            <w:r w:rsidRPr="000B4E2C">
              <w:rPr>
                <w:lang w:eastAsia="en-GB"/>
              </w:rPr>
              <w:t>Park</w:t>
            </w:r>
          </w:p>
        </w:tc>
        <w:tc>
          <w:tcPr>
            <w:tcW w:w="0" w:type="auto"/>
            <w:shd w:val="clear" w:color="auto" w:fill="auto"/>
            <w:noWrap/>
            <w:hideMark/>
          </w:tcPr>
          <w:p w14:paraId="2CA4DFD1"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4C2B2EC4"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2FADE6E0" w14:textId="77777777" w:rsidR="002F0133" w:rsidRPr="000B4E2C" w:rsidRDefault="002F0133" w:rsidP="008A7464">
            <w:pPr>
              <w:rPr>
                <w:highlight w:val="green"/>
                <w:lang w:eastAsia="en-GB"/>
              </w:rPr>
            </w:pPr>
            <w:r w:rsidRPr="000B4E2C">
              <w:rPr>
                <w:highlight w:val="green"/>
                <w:lang w:eastAsia="en-GB"/>
              </w:rPr>
              <w:t>S. Y. Park, J. S. Eom, J. S. Lee, Y. S. Ju and J. Y. Park. Neutrophil gelatinase-associated lipocalin as a predictor of acute kidney injury in patients during treatment with colistimethate sodium. Infection and Chemotherapy, 50(2), 128-137. [16346]</w:t>
            </w:r>
          </w:p>
        </w:tc>
      </w:tr>
      <w:tr w:rsidR="002F0133" w:rsidRPr="000B4E2C" w14:paraId="32E97F7C" w14:textId="77777777" w:rsidTr="000B4E2C">
        <w:trPr>
          <w:cantSplit/>
        </w:trPr>
        <w:tc>
          <w:tcPr>
            <w:tcW w:w="0" w:type="auto"/>
            <w:shd w:val="clear" w:color="auto" w:fill="auto"/>
            <w:noWrap/>
            <w:hideMark/>
          </w:tcPr>
          <w:p w14:paraId="4B1A456E" w14:textId="77777777" w:rsidR="002F0133" w:rsidRPr="000B4E2C" w:rsidRDefault="002F0133" w:rsidP="008A7464">
            <w:pPr>
              <w:rPr>
                <w:lang w:eastAsia="en-GB"/>
              </w:rPr>
            </w:pPr>
            <w:r w:rsidRPr="000B4E2C">
              <w:rPr>
                <w:lang w:eastAsia="en-GB"/>
              </w:rPr>
              <w:t xml:space="preserve">Park </w:t>
            </w:r>
          </w:p>
        </w:tc>
        <w:tc>
          <w:tcPr>
            <w:tcW w:w="0" w:type="auto"/>
            <w:shd w:val="clear" w:color="auto" w:fill="auto"/>
            <w:noWrap/>
            <w:hideMark/>
          </w:tcPr>
          <w:p w14:paraId="49E658B7"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4E63076"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2DDDD963" w14:textId="77777777" w:rsidR="002F0133" w:rsidRPr="000B4E2C" w:rsidRDefault="002F0133" w:rsidP="008A7464">
            <w:pPr>
              <w:rPr>
                <w:highlight w:val="green"/>
                <w:lang w:eastAsia="en-GB"/>
              </w:rPr>
            </w:pPr>
            <w:r w:rsidRPr="000B4E2C">
              <w:rPr>
                <w:highlight w:val="green"/>
                <w:lang w:eastAsia="en-GB"/>
              </w:rPr>
              <w:t>C. M. Park, J. S. Kim, H. W. Moon, S. Park, H. Kim, M. Ji, M. Hur and Y. M. Yun. Usefulness of plasma neutrophil gelatinase-associated lipocalin as an early marker of acute kidney injury after cardiopulmonary bypass in Korean cardiac patients: A prospective observational study. Clinical Biochemistry, 48(1-2), 44-49. [16339]</w:t>
            </w:r>
          </w:p>
        </w:tc>
      </w:tr>
      <w:tr w:rsidR="002F0133" w:rsidRPr="000B4E2C" w14:paraId="7ABAA15B" w14:textId="77777777" w:rsidTr="000B4E2C">
        <w:trPr>
          <w:cantSplit/>
        </w:trPr>
        <w:tc>
          <w:tcPr>
            <w:tcW w:w="0" w:type="auto"/>
            <w:shd w:val="clear" w:color="auto" w:fill="auto"/>
            <w:noWrap/>
            <w:hideMark/>
          </w:tcPr>
          <w:p w14:paraId="42CC8DB1" w14:textId="77777777" w:rsidR="002F0133" w:rsidRPr="000B4E2C" w:rsidRDefault="002F0133" w:rsidP="008A7464">
            <w:pPr>
              <w:rPr>
                <w:lang w:eastAsia="en-GB"/>
              </w:rPr>
            </w:pPr>
            <w:r w:rsidRPr="000B4E2C">
              <w:rPr>
                <w:lang w:eastAsia="en-GB"/>
              </w:rPr>
              <w:t>Parr</w:t>
            </w:r>
          </w:p>
        </w:tc>
        <w:tc>
          <w:tcPr>
            <w:tcW w:w="0" w:type="auto"/>
            <w:shd w:val="clear" w:color="auto" w:fill="auto"/>
            <w:noWrap/>
            <w:hideMark/>
          </w:tcPr>
          <w:p w14:paraId="3C648A61"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781D8539"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F8CE1AE" w14:textId="77777777" w:rsidR="002F0133" w:rsidRPr="000B4E2C" w:rsidRDefault="002F0133" w:rsidP="008A7464">
            <w:pPr>
              <w:rPr>
                <w:highlight w:val="green"/>
                <w:lang w:eastAsia="en-GB"/>
              </w:rPr>
            </w:pPr>
            <w:r w:rsidRPr="000B4E2C">
              <w:rPr>
                <w:highlight w:val="green"/>
                <w:lang w:eastAsia="en-GB"/>
              </w:rPr>
              <w:t>S. K. Parr, A. J. Clark, A. Bian, A. K. Shintani, N. E. Wickersham, L. B. Ware, T. A. Ikizler and E. D. Siew. Urinary L-FABP predicts poor outcomes in critically ill patients with early acute kidney injury. Kidney International, 87(3), 640-648. [16347]</w:t>
            </w:r>
          </w:p>
        </w:tc>
      </w:tr>
      <w:tr w:rsidR="002F0133" w:rsidRPr="000B4E2C" w14:paraId="2B253E4D" w14:textId="77777777" w:rsidTr="000B4E2C">
        <w:trPr>
          <w:cantSplit/>
        </w:trPr>
        <w:tc>
          <w:tcPr>
            <w:tcW w:w="0" w:type="auto"/>
            <w:shd w:val="clear" w:color="auto" w:fill="auto"/>
            <w:noWrap/>
            <w:hideMark/>
          </w:tcPr>
          <w:p w14:paraId="64CD1565" w14:textId="77777777" w:rsidR="002F0133" w:rsidRPr="000B4E2C" w:rsidRDefault="002F0133" w:rsidP="008A7464">
            <w:pPr>
              <w:rPr>
                <w:lang w:eastAsia="en-GB"/>
              </w:rPr>
            </w:pPr>
            <w:r w:rsidRPr="000B4E2C">
              <w:rPr>
                <w:lang w:eastAsia="en-GB"/>
              </w:rPr>
              <w:t>Parravicini</w:t>
            </w:r>
          </w:p>
        </w:tc>
        <w:tc>
          <w:tcPr>
            <w:tcW w:w="0" w:type="auto"/>
            <w:shd w:val="clear" w:color="auto" w:fill="auto"/>
            <w:noWrap/>
            <w:hideMark/>
          </w:tcPr>
          <w:p w14:paraId="2ABAAEEA"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56D51E13" w14:textId="31744BF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8EF9B4A" w14:textId="77777777" w:rsidR="002F0133" w:rsidRPr="000B4E2C" w:rsidRDefault="002F0133" w:rsidP="008A7464">
            <w:pPr>
              <w:rPr>
                <w:highlight w:val="green"/>
                <w:lang w:eastAsia="en-GB"/>
              </w:rPr>
            </w:pPr>
            <w:r w:rsidRPr="000B4E2C">
              <w:rPr>
                <w:highlight w:val="green"/>
                <w:lang w:eastAsia="en-GB"/>
              </w:rPr>
              <w:t>E. Parravicini, S. L. Nemerofsky, K. A. Michelson, T. K. Huynh, M. E. Sise, D. A. Bateman, J. M. Lorenz and J. M. Barasch. Urinary Neutrophil Gelatinase-Associated Lipocalin Is a Promising Biomarker for Late Onset Culture-Positive Sepsis in Very Low Birth Weight Infants. Pediatric research, 67(6), 636-640. [18550]</w:t>
            </w:r>
          </w:p>
        </w:tc>
      </w:tr>
      <w:tr w:rsidR="002F0133" w:rsidRPr="000B4E2C" w14:paraId="12CAD80E" w14:textId="77777777" w:rsidTr="000B4E2C">
        <w:trPr>
          <w:cantSplit/>
        </w:trPr>
        <w:tc>
          <w:tcPr>
            <w:tcW w:w="0" w:type="auto"/>
            <w:shd w:val="clear" w:color="auto" w:fill="auto"/>
            <w:noWrap/>
            <w:hideMark/>
          </w:tcPr>
          <w:p w14:paraId="4ED3D056" w14:textId="77777777" w:rsidR="002F0133" w:rsidRPr="000B4E2C" w:rsidRDefault="002F0133" w:rsidP="008A7464">
            <w:pPr>
              <w:rPr>
                <w:lang w:eastAsia="en-GB"/>
              </w:rPr>
            </w:pPr>
            <w:r w:rsidRPr="000B4E2C">
              <w:rPr>
                <w:lang w:eastAsia="en-GB"/>
              </w:rPr>
              <w:t>Parravicini</w:t>
            </w:r>
          </w:p>
        </w:tc>
        <w:tc>
          <w:tcPr>
            <w:tcW w:w="0" w:type="auto"/>
            <w:shd w:val="clear" w:color="auto" w:fill="auto"/>
            <w:noWrap/>
            <w:hideMark/>
          </w:tcPr>
          <w:p w14:paraId="2EEC4E35"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3A810E5D" w14:textId="074CE4A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410C7BA" w14:textId="77777777" w:rsidR="002F0133" w:rsidRPr="000B4E2C" w:rsidRDefault="002F0133" w:rsidP="008A7464">
            <w:pPr>
              <w:rPr>
                <w:highlight w:val="green"/>
                <w:lang w:eastAsia="en-GB"/>
              </w:rPr>
            </w:pPr>
            <w:r w:rsidRPr="000B4E2C">
              <w:rPr>
                <w:highlight w:val="green"/>
                <w:lang w:eastAsia="en-GB"/>
              </w:rPr>
              <w:t>E. Parravicini, C. Locatelli, J. M. Lorenz, S. L. Nemerofsky and D. A. Bateman. Is urinary neutrophil gelatinase-associated lipocalin able to predict acute kidney injury episodes in very low birth weight infants in clinical settings?. Pediatric Research, 80(5), 663-667. [16348]</w:t>
            </w:r>
          </w:p>
        </w:tc>
      </w:tr>
      <w:tr w:rsidR="002F0133" w:rsidRPr="000B4E2C" w14:paraId="166F6D9A" w14:textId="77777777" w:rsidTr="000B4E2C">
        <w:trPr>
          <w:cantSplit/>
        </w:trPr>
        <w:tc>
          <w:tcPr>
            <w:tcW w:w="0" w:type="auto"/>
            <w:shd w:val="clear" w:color="auto" w:fill="auto"/>
            <w:noWrap/>
            <w:hideMark/>
          </w:tcPr>
          <w:p w14:paraId="0ACF4E61" w14:textId="77777777" w:rsidR="002F0133" w:rsidRPr="000B4E2C" w:rsidRDefault="002F0133" w:rsidP="008A7464">
            <w:pPr>
              <w:rPr>
                <w:lang w:eastAsia="en-GB"/>
              </w:rPr>
            </w:pPr>
            <w:r w:rsidRPr="000B4E2C">
              <w:rPr>
                <w:lang w:eastAsia="en-GB"/>
              </w:rPr>
              <w:t>Passov</w:t>
            </w:r>
          </w:p>
        </w:tc>
        <w:tc>
          <w:tcPr>
            <w:tcW w:w="0" w:type="auto"/>
            <w:shd w:val="clear" w:color="auto" w:fill="auto"/>
            <w:noWrap/>
            <w:hideMark/>
          </w:tcPr>
          <w:p w14:paraId="4DFEA90B"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3DA7E19D"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C871CF9" w14:textId="77777777" w:rsidR="002F0133" w:rsidRPr="000B4E2C" w:rsidRDefault="002F0133" w:rsidP="008A7464">
            <w:pPr>
              <w:rPr>
                <w:highlight w:val="green"/>
                <w:lang w:eastAsia="en-GB"/>
              </w:rPr>
            </w:pPr>
            <w:r w:rsidRPr="000B4E2C">
              <w:rPr>
                <w:highlight w:val="green"/>
                <w:lang w:eastAsia="en-GB"/>
              </w:rPr>
              <w:t>A. Passov, L. Petaja, M. Pihlajoki, U.-S. Salminen, R. Suojaranta, A. Vento, S. Andersson, V. Pettila, A. Schramko and E. Pesonen. The origin of plasma neutrophil gelatinase-associated lipocalin in cardiac surgery. BMC nephrology, 20(1), 182. [16350]</w:t>
            </w:r>
          </w:p>
        </w:tc>
      </w:tr>
      <w:tr w:rsidR="002F0133" w:rsidRPr="000B4E2C" w14:paraId="5AF67FE0" w14:textId="77777777" w:rsidTr="000B4E2C">
        <w:trPr>
          <w:cantSplit/>
        </w:trPr>
        <w:tc>
          <w:tcPr>
            <w:tcW w:w="0" w:type="auto"/>
            <w:shd w:val="clear" w:color="auto" w:fill="auto"/>
            <w:noWrap/>
            <w:hideMark/>
          </w:tcPr>
          <w:p w14:paraId="4BCC6B36" w14:textId="77777777" w:rsidR="002F0133" w:rsidRPr="000B4E2C" w:rsidRDefault="002F0133" w:rsidP="008A7464">
            <w:pPr>
              <w:rPr>
                <w:lang w:eastAsia="en-GB"/>
              </w:rPr>
            </w:pPr>
            <w:r w:rsidRPr="000B4E2C">
              <w:rPr>
                <w:lang w:eastAsia="en-GB"/>
              </w:rPr>
              <w:t>Patel</w:t>
            </w:r>
          </w:p>
        </w:tc>
        <w:tc>
          <w:tcPr>
            <w:tcW w:w="0" w:type="auto"/>
            <w:shd w:val="clear" w:color="auto" w:fill="auto"/>
            <w:noWrap/>
            <w:hideMark/>
          </w:tcPr>
          <w:p w14:paraId="7C39CE48"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50AB8DED"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0709AFB" w14:textId="77777777" w:rsidR="002F0133" w:rsidRPr="000B4E2C" w:rsidRDefault="002F0133" w:rsidP="008A7464">
            <w:pPr>
              <w:rPr>
                <w:highlight w:val="green"/>
                <w:lang w:eastAsia="en-GB"/>
              </w:rPr>
            </w:pPr>
            <w:r w:rsidRPr="000B4E2C">
              <w:rPr>
                <w:highlight w:val="green"/>
                <w:lang w:eastAsia="en-GB"/>
              </w:rPr>
              <w:t>M. L. Patel, R. Sachan, R. Gangwar, P. Sachan and S. M. Natu. Correlation of serum neutrophil gelatinase-associated lipocalin with acute kidney injury in hypertensive disorders of pregnancy. International Journal of Nephrology and Renovascular Disease, 6(181-186. [16352]</w:t>
            </w:r>
          </w:p>
        </w:tc>
      </w:tr>
      <w:tr w:rsidR="002F0133" w:rsidRPr="000B4E2C" w14:paraId="32854E06" w14:textId="77777777" w:rsidTr="000B4E2C">
        <w:trPr>
          <w:cantSplit/>
        </w:trPr>
        <w:tc>
          <w:tcPr>
            <w:tcW w:w="0" w:type="auto"/>
            <w:shd w:val="clear" w:color="auto" w:fill="auto"/>
            <w:noWrap/>
            <w:hideMark/>
          </w:tcPr>
          <w:p w14:paraId="3D949568" w14:textId="77777777" w:rsidR="002F0133" w:rsidRPr="000B4E2C" w:rsidRDefault="002F0133" w:rsidP="008A7464">
            <w:pPr>
              <w:rPr>
                <w:lang w:eastAsia="en-GB"/>
              </w:rPr>
            </w:pPr>
            <w:r w:rsidRPr="000B4E2C">
              <w:rPr>
                <w:lang w:eastAsia="en-GB"/>
              </w:rPr>
              <w:t>Patel</w:t>
            </w:r>
          </w:p>
        </w:tc>
        <w:tc>
          <w:tcPr>
            <w:tcW w:w="0" w:type="auto"/>
            <w:shd w:val="clear" w:color="auto" w:fill="auto"/>
            <w:noWrap/>
            <w:hideMark/>
          </w:tcPr>
          <w:p w14:paraId="0834993E"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4E7868F"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21220E24" w14:textId="77777777" w:rsidR="002F0133" w:rsidRPr="000B4E2C" w:rsidRDefault="002F0133" w:rsidP="008A7464">
            <w:pPr>
              <w:rPr>
                <w:highlight w:val="green"/>
                <w:lang w:eastAsia="en-GB"/>
              </w:rPr>
            </w:pPr>
            <w:r w:rsidRPr="000B4E2C">
              <w:rPr>
                <w:highlight w:val="green"/>
                <w:lang w:eastAsia="en-GB"/>
              </w:rPr>
              <w:t>M. L. Patel, R. Sachan, R. Shyam, S. Kumar, R. Kamal and A. Misra. Diagnostic accuracy of urinary neutrophil gelatinase-associated lipocalin in patients with septic acute kidney injury. International Journal of Nephrology and Renovascular Disease, 9(161-169. [16351]</w:t>
            </w:r>
          </w:p>
        </w:tc>
      </w:tr>
      <w:tr w:rsidR="002F0133" w:rsidRPr="000B4E2C" w14:paraId="6B221B2B" w14:textId="77777777" w:rsidTr="000B4E2C">
        <w:trPr>
          <w:cantSplit/>
        </w:trPr>
        <w:tc>
          <w:tcPr>
            <w:tcW w:w="0" w:type="auto"/>
            <w:shd w:val="clear" w:color="auto" w:fill="auto"/>
            <w:noWrap/>
            <w:hideMark/>
          </w:tcPr>
          <w:p w14:paraId="3F0F18F1" w14:textId="77777777" w:rsidR="002F0133" w:rsidRPr="000B4E2C" w:rsidRDefault="002F0133" w:rsidP="008A7464">
            <w:pPr>
              <w:rPr>
                <w:lang w:eastAsia="en-GB"/>
              </w:rPr>
            </w:pPr>
            <w:r w:rsidRPr="000B4E2C">
              <w:rPr>
                <w:lang w:eastAsia="en-GB"/>
              </w:rPr>
              <w:t>Patschan</w:t>
            </w:r>
          </w:p>
        </w:tc>
        <w:tc>
          <w:tcPr>
            <w:tcW w:w="0" w:type="auto"/>
            <w:shd w:val="clear" w:color="auto" w:fill="auto"/>
            <w:noWrap/>
            <w:hideMark/>
          </w:tcPr>
          <w:p w14:paraId="413CAA72"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F63A989" w14:textId="3217FC4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D6BC99B" w14:textId="77777777" w:rsidR="002F0133" w:rsidRPr="000B4E2C" w:rsidRDefault="002F0133" w:rsidP="008A7464">
            <w:pPr>
              <w:rPr>
                <w:highlight w:val="green"/>
                <w:lang w:eastAsia="en-GB"/>
              </w:rPr>
            </w:pPr>
            <w:r w:rsidRPr="000B4E2C">
              <w:rPr>
                <w:highlight w:val="green"/>
                <w:lang w:eastAsia="en-GB"/>
              </w:rPr>
              <w:t>D. Patschan, M. Heeg, M. Brier, G. Brandhorst, S. Schneider, G. A. Muller and M. J. Koziolek. CD4+ lymphocyte adenosine triphosphate--a new marker in sepsis with acute kidney injury?. BMC nephrology, 15(203. [16353]</w:t>
            </w:r>
          </w:p>
        </w:tc>
      </w:tr>
      <w:tr w:rsidR="002F0133" w:rsidRPr="000B4E2C" w14:paraId="7A4E83EF" w14:textId="77777777" w:rsidTr="000B4E2C">
        <w:trPr>
          <w:cantSplit/>
        </w:trPr>
        <w:tc>
          <w:tcPr>
            <w:tcW w:w="0" w:type="auto"/>
            <w:shd w:val="clear" w:color="auto" w:fill="auto"/>
            <w:noWrap/>
            <w:hideMark/>
          </w:tcPr>
          <w:p w14:paraId="167934FD" w14:textId="77777777" w:rsidR="002F0133" w:rsidRPr="000B4E2C" w:rsidRDefault="002F0133" w:rsidP="008A7464">
            <w:pPr>
              <w:rPr>
                <w:lang w:eastAsia="en-GB"/>
              </w:rPr>
            </w:pPr>
            <w:r w:rsidRPr="000B4E2C">
              <w:rPr>
                <w:lang w:eastAsia="en-GB"/>
              </w:rPr>
              <w:t>Peco-Antic</w:t>
            </w:r>
          </w:p>
        </w:tc>
        <w:tc>
          <w:tcPr>
            <w:tcW w:w="0" w:type="auto"/>
            <w:shd w:val="clear" w:color="auto" w:fill="auto"/>
            <w:noWrap/>
            <w:hideMark/>
          </w:tcPr>
          <w:p w14:paraId="42F284D5"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6CDEBEAF"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38464193" w14:textId="77777777" w:rsidR="002F0133" w:rsidRPr="000B4E2C" w:rsidRDefault="002F0133" w:rsidP="008A7464">
            <w:pPr>
              <w:rPr>
                <w:highlight w:val="green"/>
                <w:lang w:eastAsia="en-GB"/>
              </w:rPr>
            </w:pPr>
            <w:r w:rsidRPr="000B4E2C">
              <w:rPr>
                <w:highlight w:val="green"/>
                <w:lang w:eastAsia="en-GB"/>
              </w:rPr>
              <w:t>A. Peco-Antic, I. Ivanisevic, I. Vulicevic, J. Kotur-Stevuljevic, S. Ilic, J. Ivanisevic, M. Miljkovic and N. Kocev. Biomarkers of acute kidney injury in pediatric cardiac surgery. Clinical Biochemistry, 46(13-14), 1244-1251. [16358]</w:t>
            </w:r>
          </w:p>
        </w:tc>
      </w:tr>
      <w:tr w:rsidR="002F0133" w:rsidRPr="000B4E2C" w14:paraId="4DDA9984" w14:textId="77777777" w:rsidTr="000B4E2C">
        <w:trPr>
          <w:cantSplit/>
        </w:trPr>
        <w:tc>
          <w:tcPr>
            <w:tcW w:w="0" w:type="auto"/>
            <w:shd w:val="clear" w:color="auto" w:fill="auto"/>
            <w:noWrap/>
            <w:hideMark/>
          </w:tcPr>
          <w:p w14:paraId="3128585E" w14:textId="77777777" w:rsidR="002F0133" w:rsidRPr="000B4E2C" w:rsidRDefault="002F0133" w:rsidP="008A7464">
            <w:pPr>
              <w:rPr>
                <w:lang w:eastAsia="en-GB"/>
              </w:rPr>
            </w:pPr>
            <w:r w:rsidRPr="000B4E2C">
              <w:rPr>
                <w:lang w:eastAsia="en-GB"/>
              </w:rPr>
              <w:lastRenderedPageBreak/>
              <w:t>Pedersen</w:t>
            </w:r>
          </w:p>
        </w:tc>
        <w:tc>
          <w:tcPr>
            <w:tcW w:w="0" w:type="auto"/>
            <w:shd w:val="clear" w:color="auto" w:fill="auto"/>
            <w:noWrap/>
            <w:hideMark/>
          </w:tcPr>
          <w:p w14:paraId="73D2E164"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7C1DB1F6" w14:textId="6524F32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A41154B" w14:textId="77777777" w:rsidR="002F0133" w:rsidRPr="000B4E2C" w:rsidRDefault="002F0133" w:rsidP="008A7464">
            <w:pPr>
              <w:rPr>
                <w:highlight w:val="green"/>
                <w:lang w:eastAsia="en-GB"/>
              </w:rPr>
            </w:pPr>
            <w:r w:rsidRPr="000B4E2C">
              <w:rPr>
                <w:highlight w:val="green"/>
                <w:lang w:eastAsia="en-GB"/>
              </w:rPr>
              <w:t>K. R. Pedersen, H. B. Ravn, V. E. Hjortdal, R. Norregaard and J. V. Povlsen. Neutrophil Gelatinase-Associated Lipocalin (NGAL): Validation of commercially available ELISA. Scandinavian Journal of Clinical and Laboratory Investigation, 70(5), 374-382. [16360]</w:t>
            </w:r>
          </w:p>
        </w:tc>
      </w:tr>
      <w:tr w:rsidR="002F0133" w:rsidRPr="000B4E2C" w14:paraId="6201E78B" w14:textId="77777777" w:rsidTr="000B4E2C">
        <w:trPr>
          <w:cantSplit/>
        </w:trPr>
        <w:tc>
          <w:tcPr>
            <w:tcW w:w="0" w:type="auto"/>
            <w:shd w:val="clear" w:color="auto" w:fill="auto"/>
            <w:noWrap/>
            <w:hideMark/>
          </w:tcPr>
          <w:p w14:paraId="56402A6E" w14:textId="77777777" w:rsidR="002F0133" w:rsidRPr="000B4E2C" w:rsidRDefault="002F0133" w:rsidP="008A7464">
            <w:pPr>
              <w:rPr>
                <w:lang w:eastAsia="en-GB"/>
              </w:rPr>
            </w:pPr>
            <w:r w:rsidRPr="000B4E2C">
              <w:rPr>
                <w:lang w:eastAsia="en-GB"/>
              </w:rPr>
              <w:t>Pejovic</w:t>
            </w:r>
          </w:p>
        </w:tc>
        <w:tc>
          <w:tcPr>
            <w:tcW w:w="0" w:type="auto"/>
            <w:shd w:val="clear" w:color="auto" w:fill="auto"/>
            <w:noWrap/>
            <w:hideMark/>
          </w:tcPr>
          <w:p w14:paraId="76A890C1"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3BC6314D"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D5E341C" w14:textId="77777777" w:rsidR="002F0133" w:rsidRPr="000B4E2C" w:rsidRDefault="002F0133" w:rsidP="008A7464">
            <w:pPr>
              <w:rPr>
                <w:highlight w:val="green"/>
                <w:lang w:eastAsia="en-GB"/>
              </w:rPr>
            </w:pPr>
            <w:r w:rsidRPr="000B4E2C">
              <w:rPr>
                <w:highlight w:val="green"/>
                <w:lang w:eastAsia="en-GB"/>
              </w:rPr>
              <w:t>B. Pejovic, J. Eric-Marinkovic, M. Pejovic, J. Kotur-Stevuljevic and A. Peco-Antic. Detection of acute kidney injury in premature asphyxiated neonates by serum neutrophil gelatinase-associated lipocalin (sNGAL) - Sensitivity and specificity of a potential new biomarker. Biochemia Medica, 25(3), 450-459. [16361]</w:t>
            </w:r>
          </w:p>
        </w:tc>
      </w:tr>
      <w:tr w:rsidR="002F0133" w:rsidRPr="000B4E2C" w14:paraId="754FD35A" w14:textId="77777777" w:rsidTr="000B4E2C">
        <w:trPr>
          <w:cantSplit/>
        </w:trPr>
        <w:tc>
          <w:tcPr>
            <w:tcW w:w="0" w:type="auto"/>
            <w:shd w:val="clear" w:color="auto" w:fill="auto"/>
            <w:noWrap/>
            <w:hideMark/>
          </w:tcPr>
          <w:p w14:paraId="7E1CA35F" w14:textId="77777777" w:rsidR="002F0133" w:rsidRPr="000B4E2C" w:rsidRDefault="002F0133" w:rsidP="008A7464">
            <w:pPr>
              <w:rPr>
                <w:lang w:eastAsia="en-GB"/>
              </w:rPr>
            </w:pPr>
            <w:r w:rsidRPr="000B4E2C">
              <w:rPr>
                <w:lang w:eastAsia="en-GB"/>
              </w:rPr>
              <w:t>Peralta</w:t>
            </w:r>
          </w:p>
        </w:tc>
        <w:tc>
          <w:tcPr>
            <w:tcW w:w="0" w:type="auto"/>
            <w:shd w:val="clear" w:color="auto" w:fill="auto"/>
            <w:noWrap/>
            <w:hideMark/>
          </w:tcPr>
          <w:p w14:paraId="2BB47896"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582DCBF"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85B6573" w14:textId="11C25B56" w:rsidR="002F0133" w:rsidRPr="000B4E2C" w:rsidRDefault="002F0133" w:rsidP="008A7464">
            <w:pPr>
              <w:rPr>
                <w:highlight w:val="green"/>
                <w:lang w:eastAsia="en-GB"/>
              </w:rPr>
            </w:pPr>
            <w:r w:rsidRPr="000B4E2C">
              <w:rPr>
                <w:highlight w:val="green"/>
                <w:lang w:eastAsia="en-GB"/>
              </w:rPr>
              <w:t>C. A. Peralta, R. Scherzer, C. Grunfeld, A. Abraham, P. C. Tien, P. Devarajan, M. Bennett, A. W. Butch, K. Anastos, M. H. Cohen, M. Nowicki, A. Sharma, M. A. Young, M. J. Sarnak, C. R. Parikh and M. G. Shlipak. Urinary biomarkers of kidney injury are associated with all-cause mortality in the Women</w:t>
            </w:r>
            <w:r w:rsidR="0072128A" w:rsidRPr="000B4E2C">
              <w:rPr>
                <w:color w:val="00B0F0"/>
                <w:highlight w:val="green"/>
                <w:lang w:eastAsia="en-GB"/>
              </w:rPr>
              <w:t>’</w:t>
            </w:r>
            <w:r w:rsidRPr="000B4E2C">
              <w:rPr>
                <w:highlight w:val="green"/>
                <w:lang w:eastAsia="en-GB"/>
              </w:rPr>
              <w:t>s Interagency HIV Study (WIHS). HIV Medicine, 15(5), 291-300. [16365]</w:t>
            </w:r>
          </w:p>
        </w:tc>
      </w:tr>
      <w:tr w:rsidR="002F0133" w:rsidRPr="000B4E2C" w14:paraId="3F5F4B60" w14:textId="77777777" w:rsidTr="000B4E2C">
        <w:trPr>
          <w:cantSplit/>
        </w:trPr>
        <w:tc>
          <w:tcPr>
            <w:tcW w:w="0" w:type="auto"/>
            <w:shd w:val="clear" w:color="auto" w:fill="auto"/>
            <w:noWrap/>
            <w:hideMark/>
          </w:tcPr>
          <w:p w14:paraId="126C1717" w14:textId="77777777" w:rsidR="002F0133" w:rsidRPr="000B4E2C" w:rsidRDefault="002F0133" w:rsidP="008A7464">
            <w:pPr>
              <w:rPr>
                <w:lang w:eastAsia="en-GB"/>
              </w:rPr>
            </w:pPr>
            <w:r w:rsidRPr="000B4E2C">
              <w:rPr>
                <w:lang w:eastAsia="en-GB"/>
              </w:rPr>
              <w:t>Peres</w:t>
            </w:r>
          </w:p>
        </w:tc>
        <w:tc>
          <w:tcPr>
            <w:tcW w:w="0" w:type="auto"/>
            <w:shd w:val="clear" w:color="auto" w:fill="auto"/>
            <w:noWrap/>
            <w:hideMark/>
          </w:tcPr>
          <w:p w14:paraId="57BE7657"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0CECF28" w14:textId="38843B2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8EE0C6B" w14:textId="61BB4567" w:rsidR="002F0133" w:rsidRPr="000B4E2C" w:rsidRDefault="002F0133" w:rsidP="008A7464">
            <w:pPr>
              <w:rPr>
                <w:highlight w:val="green"/>
                <w:lang w:eastAsia="en-GB"/>
              </w:rPr>
            </w:pPr>
            <w:r w:rsidRPr="000B4E2C">
              <w:rPr>
                <w:highlight w:val="green"/>
                <w:lang w:val="da-DK" w:eastAsia="en-GB"/>
              </w:rPr>
              <w:t xml:space="preserve">L. A. Peres, A. D. da Cunha, R. A. Assumpcao, A. Schafer, A. L. da Silva, A. D. Gaspar, D. F. Scarpari, J. B. Alves, R. Girelli Neto and T. F. de Oliveira. </w:t>
            </w:r>
            <w:r w:rsidRPr="000B4E2C">
              <w:rPr>
                <w:highlight w:val="green"/>
                <w:lang w:eastAsia="en-GB"/>
              </w:rPr>
              <w:t xml:space="preserve">Evaluation of the cisplatin nephrotoxicity using the urinary neutrophil gelatinase-associated lipocalin (NGAL) in patients with head and neck cancer. Jornal brasileiro de nefrologia : </w:t>
            </w:r>
            <w:r w:rsidR="0072128A" w:rsidRPr="000B4E2C">
              <w:rPr>
                <w:color w:val="00B0F0"/>
                <w:highlight w:val="green"/>
                <w:lang w:eastAsia="en-GB"/>
              </w:rPr>
              <w:t>‘</w:t>
            </w:r>
            <w:r w:rsidRPr="000B4E2C">
              <w:rPr>
                <w:highlight w:val="green"/>
                <w:lang w:eastAsia="en-GB"/>
              </w:rPr>
              <w:t>orgao oficial de Sociedades Brasileira e Latino-Americana de Nefrologia, 36(3), 280-288. [16367]</w:t>
            </w:r>
          </w:p>
        </w:tc>
      </w:tr>
      <w:tr w:rsidR="002F0133" w:rsidRPr="000B4E2C" w14:paraId="1BCCD6B0" w14:textId="77777777" w:rsidTr="000B4E2C">
        <w:trPr>
          <w:cantSplit/>
        </w:trPr>
        <w:tc>
          <w:tcPr>
            <w:tcW w:w="0" w:type="auto"/>
            <w:shd w:val="clear" w:color="auto" w:fill="auto"/>
            <w:noWrap/>
            <w:hideMark/>
          </w:tcPr>
          <w:p w14:paraId="45DB67EF" w14:textId="77777777" w:rsidR="002F0133" w:rsidRPr="000B4E2C" w:rsidRDefault="002F0133" w:rsidP="008A7464">
            <w:pPr>
              <w:rPr>
                <w:lang w:eastAsia="en-GB"/>
              </w:rPr>
            </w:pPr>
            <w:r w:rsidRPr="000B4E2C">
              <w:rPr>
                <w:lang w:eastAsia="en-GB"/>
              </w:rPr>
              <w:t>Perrin</w:t>
            </w:r>
          </w:p>
        </w:tc>
        <w:tc>
          <w:tcPr>
            <w:tcW w:w="0" w:type="auto"/>
            <w:shd w:val="clear" w:color="auto" w:fill="auto"/>
            <w:noWrap/>
            <w:hideMark/>
          </w:tcPr>
          <w:p w14:paraId="0D2F0F4C"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616A976C"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13FE8A5" w14:textId="77777777" w:rsidR="002F0133" w:rsidRPr="000B4E2C" w:rsidRDefault="002F0133" w:rsidP="008A7464">
            <w:pPr>
              <w:rPr>
                <w:highlight w:val="green"/>
                <w:lang w:eastAsia="en-GB"/>
              </w:rPr>
            </w:pPr>
            <w:r w:rsidRPr="000B4E2C">
              <w:rPr>
                <w:highlight w:val="green"/>
                <w:lang w:eastAsia="en-GB"/>
              </w:rPr>
              <w:t>T. Perrin, E. Descombes, J. L. Magnin, M. Gachet, O. M. Hemett, D. Hayoz, V. Stolt, G. Baeriswyl, J. C. Stauffer, J. J. Goy, M. Togni and S. Cook. Urinary Neutrophil Gelatinase-Associated Lipocalin (uNGAL) and contrast-induced acute kidney injury after coronary angiogram. Swiss Medical Weekly, 143(13853. [16369]</w:t>
            </w:r>
          </w:p>
        </w:tc>
      </w:tr>
      <w:tr w:rsidR="002F0133" w:rsidRPr="000B4E2C" w14:paraId="7A308785" w14:textId="77777777" w:rsidTr="000B4E2C">
        <w:trPr>
          <w:cantSplit/>
        </w:trPr>
        <w:tc>
          <w:tcPr>
            <w:tcW w:w="0" w:type="auto"/>
            <w:shd w:val="clear" w:color="auto" w:fill="auto"/>
            <w:noWrap/>
            <w:hideMark/>
          </w:tcPr>
          <w:p w14:paraId="1C54E220" w14:textId="77777777" w:rsidR="002F0133" w:rsidRPr="000B4E2C" w:rsidRDefault="002F0133" w:rsidP="008A7464">
            <w:pPr>
              <w:rPr>
                <w:lang w:eastAsia="en-GB"/>
              </w:rPr>
            </w:pPr>
            <w:r w:rsidRPr="000B4E2C">
              <w:rPr>
                <w:lang w:eastAsia="en-GB"/>
              </w:rPr>
              <w:t>Perrotti</w:t>
            </w:r>
          </w:p>
        </w:tc>
        <w:tc>
          <w:tcPr>
            <w:tcW w:w="0" w:type="auto"/>
            <w:shd w:val="clear" w:color="auto" w:fill="auto"/>
            <w:noWrap/>
            <w:hideMark/>
          </w:tcPr>
          <w:p w14:paraId="7F73A456"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27478B9"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1947FFE4" w14:textId="77777777" w:rsidR="002F0133" w:rsidRPr="000B4E2C" w:rsidRDefault="002F0133" w:rsidP="008A7464">
            <w:pPr>
              <w:rPr>
                <w:highlight w:val="green"/>
                <w:lang w:eastAsia="en-GB"/>
              </w:rPr>
            </w:pPr>
            <w:r w:rsidRPr="000B4E2C">
              <w:rPr>
                <w:highlight w:val="green"/>
                <w:lang w:val="da-DK" w:eastAsia="en-GB"/>
              </w:rPr>
              <w:t xml:space="preserve">Perrotti A, Miltgen G, Chevet-Noel A, Durst C, Vernerey D, Bardonnet K, et al. . </w:t>
            </w:r>
            <w:r w:rsidRPr="000B4E2C">
              <w:rPr>
                <w:highlight w:val="green"/>
                <w:lang w:eastAsia="en-GB"/>
              </w:rPr>
              <w:t>Neutrophil gelatinase-associated lipocalin as early predictor of acute kidney injury after cardiac surgery in adults with chronic kidney failure. . Ann Thorac Surg 2015;99:864–9. https://doi.org/10.1016/j.athoracsur.2014.10.011. [16372]</w:t>
            </w:r>
          </w:p>
        </w:tc>
      </w:tr>
      <w:tr w:rsidR="002F0133" w:rsidRPr="000B4E2C" w14:paraId="48B0F3BA" w14:textId="77777777" w:rsidTr="000B4E2C">
        <w:trPr>
          <w:cantSplit/>
        </w:trPr>
        <w:tc>
          <w:tcPr>
            <w:tcW w:w="0" w:type="auto"/>
            <w:shd w:val="clear" w:color="auto" w:fill="auto"/>
            <w:noWrap/>
            <w:hideMark/>
          </w:tcPr>
          <w:p w14:paraId="32CBF446" w14:textId="77777777" w:rsidR="002F0133" w:rsidRPr="000B4E2C" w:rsidRDefault="002F0133" w:rsidP="008A7464">
            <w:pPr>
              <w:rPr>
                <w:lang w:eastAsia="en-GB"/>
              </w:rPr>
            </w:pPr>
            <w:r w:rsidRPr="000B4E2C">
              <w:rPr>
                <w:lang w:eastAsia="en-GB"/>
              </w:rPr>
              <w:t xml:space="preserve">Perry </w:t>
            </w:r>
          </w:p>
        </w:tc>
        <w:tc>
          <w:tcPr>
            <w:tcW w:w="0" w:type="auto"/>
            <w:shd w:val="clear" w:color="auto" w:fill="auto"/>
            <w:noWrap/>
            <w:hideMark/>
          </w:tcPr>
          <w:p w14:paraId="5566FE1D"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6B2F92D2"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1B207EE6" w14:textId="77777777" w:rsidR="002F0133" w:rsidRPr="000B4E2C" w:rsidRDefault="002F0133" w:rsidP="008A7464">
            <w:pPr>
              <w:rPr>
                <w:highlight w:val="green"/>
                <w:lang w:eastAsia="en-GB"/>
              </w:rPr>
            </w:pPr>
            <w:r w:rsidRPr="000B4E2C">
              <w:rPr>
                <w:highlight w:val="green"/>
                <w:lang w:eastAsia="en-GB"/>
              </w:rPr>
              <w:t>T. E. Perry, J. D. Muehlschlegel, K. Y. Liu, A. A. Fox, C. D. Collard, S. K. Shernan and S. C. Body. Plasma neutrophil gelatinase-associated lipocalin and acute postoperative kidney injury in adult cardiac surgical patients. Anesthesia and Analgesia, 110(6), 1541-1547. [16373]</w:t>
            </w:r>
          </w:p>
        </w:tc>
      </w:tr>
      <w:tr w:rsidR="002F0133" w:rsidRPr="000B4E2C" w14:paraId="23FE621F" w14:textId="77777777" w:rsidTr="000B4E2C">
        <w:trPr>
          <w:cantSplit/>
        </w:trPr>
        <w:tc>
          <w:tcPr>
            <w:tcW w:w="0" w:type="auto"/>
            <w:shd w:val="clear" w:color="auto" w:fill="auto"/>
            <w:noWrap/>
            <w:hideMark/>
          </w:tcPr>
          <w:p w14:paraId="47830CEC" w14:textId="77777777" w:rsidR="002F0133" w:rsidRPr="000B4E2C" w:rsidRDefault="002F0133" w:rsidP="008A7464">
            <w:pPr>
              <w:rPr>
                <w:lang w:eastAsia="en-GB"/>
              </w:rPr>
            </w:pPr>
            <w:r w:rsidRPr="000B4E2C">
              <w:rPr>
                <w:lang w:eastAsia="en-GB"/>
              </w:rPr>
              <w:t>Pesonen</w:t>
            </w:r>
          </w:p>
        </w:tc>
        <w:tc>
          <w:tcPr>
            <w:tcW w:w="0" w:type="auto"/>
            <w:shd w:val="clear" w:color="auto" w:fill="auto"/>
            <w:noWrap/>
            <w:hideMark/>
          </w:tcPr>
          <w:p w14:paraId="09939839"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E43780D" w14:textId="6929169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D619782" w14:textId="77777777" w:rsidR="002F0133" w:rsidRPr="000B4E2C" w:rsidRDefault="002F0133" w:rsidP="008A7464">
            <w:pPr>
              <w:rPr>
                <w:highlight w:val="green"/>
                <w:lang w:eastAsia="en-GB"/>
              </w:rPr>
            </w:pPr>
            <w:r w:rsidRPr="000B4E2C">
              <w:rPr>
                <w:highlight w:val="green"/>
                <w:lang w:eastAsia="en-GB"/>
              </w:rPr>
              <w:t>E. J. Pesonen, P. K. Suominen, J. Keski-Nisula, I. P. Mattila, P. Rautiainen and T. Jahnukainen. The Effect of Methylprednisolone on Plasma Concentrations of Neutrophil Gelatinase-Associated Lipocalin in Pediatric Heart Surgery. Pediatric critical care medicine : a journal of the Society of Critical Care Medicine and the World Federation of Pediatric Intensive and Critical Care Societies, 17(2), 121-7. [16375]</w:t>
            </w:r>
          </w:p>
        </w:tc>
      </w:tr>
      <w:tr w:rsidR="002F0133" w:rsidRPr="000B4E2C" w14:paraId="258D3166" w14:textId="77777777" w:rsidTr="000B4E2C">
        <w:trPr>
          <w:cantSplit/>
        </w:trPr>
        <w:tc>
          <w:tcPr>
            <w:tcW w:w="0" w:type="auto"/>
            <w:shd w:val="clear" w:color="auto" w:fill="auto"/>
            <w:noWrap/>
            <w:hideMark/>
          </w:tcPr>
          <w:p w14:paraId="7106F788" w14:textId="77777777" w:rsidR="002F0133" w:rsidRPr="000B4E2C" w:rsidRDefault="002F0133" w:rsidP="008A7464">
            <w:pPr>
              <w:rPr>
                <w:lang w:eastAsia="en-GB"/>
              </w:rPr>
            </w:pPr>
            <w:r w:rsidRPr="000B4E2C">
              <w:rPr>
                <w:lang w:eastAsia="en-GB"/>
              </w:rPr>
              <w:t>Petrovic</w:t>
            </w:r>
          </w:p>
        </w:tc>
        <w:tc>
          <w:tcPr>
            <w:tcW w:w="0" w:type="auto"/>
            <w:shd w:val="clear" w:color="auto" w:fill="auto"/>
            <w:noWrap/>
            <w:hideMark/>
          </w:tcPr>
          <w:p w14:paraId="3353060E"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131C256C" w14:textId="5A1D477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9D46E03" w14:textId="77777777" w:rsidR="002F0133" w:rsidRPr="000B4E2C" w:rsidRDefault="002F0133" w:rsidP="008A7464">
            <w:pPr>
              <w:rPr>
                <w:highlight w:val="green"/>
                <w:lang w:eastAsia="en-GB"/>
              </w:rPr>
            </w:pPr>
            <w:r w:rsidRPr="000B4E2C">
              <w:rPr>
                <w:highlight w:val="green"/>
                <w:lang w:eastAsia="en-GB"/>
              </w:rPr>
              <w:t>S. Petrovic, N. Bogavac-Stanojevic, A. Peco-Antic, I. Ivanisevic, J. Kotur-Stevuljevic, D. Paripovic, M. Sopic and Z. Jelic-Ivanovic. Clinical application neutrophil gelatinase-associated lipocalin and kidney injury molecule-1 as indicators of inflammation persistence and acute kidney injury in children with urinary tract infection. BioMed Research International, 2013(947157. [16378]</w:t>
            </w:r>
          </w:p>
        </w:tc>
      </w:tr>
      <w:tr w:rsidR="002F0133" w:rsidRPr="000B4E2C" w14:paraId="1C948B3C" w14:textId="77777777" w:rsidTr="000B4E2C">
        <w:trPr>
          <w:cantSplit/>
        </w:trPr>
        <w:tc>
          <w:tcPr>
            <w:tcW w:w="0" w:type="auto"/>
            <w:shd w:val="clear" w:color="auto" w:fill="auto"/>
            <w:noWrap/>
            <w:hideMark/>
          </w:tcPr>
          <w:p w14:paraId="34ACD465" w14:textId="77777777" w:rsidR="002F0133" w:rsidRPr="000B4E2C" w:rsidRDefault="002F0133" w:rsidP="008A7464">
            <w:pPr>
              <w:rPr>
                <w:lang w:eastAsia="en-GB"/>
              </w:rPr>
            </w:pPr>
            <w:r w:rsidRPr="000B4E2C">
              <w:rPr>
                <w:lang w:eastAsia="en-GB"/>
              </w:rPr>
              <w:t>Pezeshgi</w:t>
            </w:r>
          </w:p>
        </w:tc>
        <w:tc>
          <w:tcPr>
            <w:tcW w:w="0" w:type="auto"/>
            <w:shd w:val="clear" w:color="auto" w:fill="auto"/>
            <w:noWrap/>
            <w:hideMark/>
          </w:tcPr>
          <w:p w14:paraId="655D0553"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3CA22ACD" w14:textId="782D07F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450D8A9" w14:textId="77777777" w:rsidR="002F0133" w:rsidRPr="000B4E2C" w:rsidRDefault="002F0133" w:rsidP="008A7464">
            <w:pPr>
              <w:rPr>
                <w:highlight w:val="green"/>
                <w:lang w:eastAsia="en-GB"/>
              </w:rPr>
            </w:pPr>
            <w:r w:rsidRPr="000B4E2C">
              <w:rPr>
                <w:highlight w:val="green"/>
                <w:lang w:eastAsia="en-GB"/>
              </w:rPr>
              <w:t>A. Pezeshgi, S. Ghodrati, M. Kiafar, K. Kamali and M. Asadi-Khiavi. Study of neutrophil gelatinase-associated lipocalin in patients with cardiovascular shock. Journal of Renal Injury Prevention, 7(3), 144-147. [18554]</w:t>
            </w:r>
          </w:p>
        </w:tc>
      </w:tr>
      <w:tr w:rsidR="002F0133" w:rsidRPr="000B4E2C" w14:paraId="647F2CE3" w14:textId="77777777" w:rsidTr="000B4E2C">
        <w:trPr>
          <w:cantSplit/>
        </w:trPr>
        <w:tc>
          <w:tcPr>
            <w:tcW w:w="0" w:type="auto"/>
            <w:shd w:val="clear" w:color="auto" w:fill="auto"/>
            <w:noWrap/>
            <w:hideMark/>
          </w:tcPr>
          <w:p w14:paraId="09AE4D59" w14:textId="77777777" w:rsidR="002F0133" w:rsidRPr="000B4E2C" w:rsidRDefault="002F0133" w:rsidP="008A7464">
            <w:pPr>
              <w:rPr>
                <w:lang w:eastAsia="en-GB"/>
              </w:rPr>
            </w:pPr>
            <w:r w:rsidRPr="000B4E2C">
              <w:rPr>
                <w:lang w:eastAsia="en-GB"/>
              </w:rPr>
              <w:lastRenderedPageBreak/>
              <w:t>Piccoli</w:t>
            </w:r>
          </w:p>
        </w:tc>
        <w:tc>
          <w:tcPr>
            <w:tcW w:w="0" w:type="auto"/>
            <w:shd w:val="clear" w:color="auto" w:fill="auto"/>
            <w:noWrap/>
            <w:hideMark/>
          </w:tcPr>
          <w:p w14:paraId="7EDA0CEB"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0E2E9F6A"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2DA66BB8" w14:textId="77777777" w:rsidR="002F0133" w:rsidRPr="000B4E2C" w:rsidRDefault="002F0133" w:rsidP="008A7464">
            <w:pPr>
              <w:rPr>
                <w:highlight w:val="green"/>
                <w:lang w:eastAsia="en-GB"/>
              </w:rPr>
            </w:pPr>
            <w:r w:rsidRPr="000B4E2C">
              <w:rPr>
                <w:highlight w:val="green"/>
                <w:lang w:eastAsia="en-GB"/>
              </w:rPr>
              <w:t>G. B. Piccoli, M. Ferraresi, E. Aroasio, S. Gonella, A. De Pascale and A. Veltri. The search for perfect biomarkers in acute kidney damage: The case of NGAL, from AKI to acute pyelonephritis: Back to the clinic?. Nephrology Dialysis Transplantation, 27(9), 3665-3666. [16384]</w:t>
            </w:r>
          </w:p>
        </w:tc>
      </w:tr>
      <w:tr w:rsidR="002F0133" w:rsidRPr="000B4E2C" w14:paraId="631AF340" w14:textId="77777777" w:rsidTr="000B4E2C">
        <w:trPr>
          <w:cantSplit/>
        </w:trPr>
        <w:tc>
          <w:tcPr>
            <w:tcW w:w="0" w:type="auto"/>
            <w:shd w:val="clear" w:color="auto" w:fill="auto"/>
            <w:noWrap/>
            <w:hideMark/>
          </w:tcPr>
          <w:p w14:paraId="7DE9DF65" w14:textId="77777777" w:rsidR="002F0133" w:rsidRPr="000B4E2C" w:rsidRDefault="002F0133" w:rsidP="008A7464">
            <w:pPr>
              <w:rPr>
                <w:lang w:eastAsia="en-GB"/>
              </w:rPr>
            </w:pPr>
            <w:r w:rsidRPr="000B4E2C">
              <w:rPr>
                <w:lang w:eastAsia="en-GB"/>
              </w:rPr>
              <w:t>Pickering</w:t>
            </w:r>
          </w:p>
        </w:tc>
        <w:tc>
          <w:tcPr>
            <w:tcW w:w="0" w:type="auto"/>
            <w:shd w:val="clear" w:color="auto" w:fill="auto"/>
            <w:noWrap/>
            <w:hideMark/>
          </w:tcPr>
          <w:p w14:paraId="102C2B38"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0982AAD6" w14:textId="24F8197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4E07CA6" w14:textId="77777777" w:rsidR="002F0133" w:rsidRPr="000B4E2C" w:rsidRDefault="002F0133" w:rsidP="008A7464">
            <w:pPr>
              <w:rPr>
                <w:highlight w:val="green"/>
                <w:lang w:eastAsia="en-GB"/>
              </w:rPr>
            </w:pPr>
            <w:r w:rsidRPr="000B4E2C">
              <w:rPr>
                <w:highlight w:val="green"/>
                <w:lang w:eastAsia="en-GB"/>
              </w:rPr>
              <w:t>J. W. Pickering, A. M. Ralib and Z. H. Endre. Combining creatinine and volume kinetics identifies missed cases of acute kidney injury following cardiac arrest. Critical Care, 17(1), R7. [16389]</w:t>
            </w:r>
          </w:p>
        </w:tc>
      </w:tr>
      <w:tr w:rsidR="002F0133" w:rsidRPr="000B4E2C" w14:paraId="1FE8BE75" w14:textId="77777777" w:rsidTr="000B4E2C">
        <w:trPr>
          <w:cantSplit/>
        </w:trPr>
        <w:tc>
          <w:tcPr>
            <w:tcW w:w="0" w:type="auto"/>
            <w:shd w:val="clear" w:color="auto" w:fill="auto"/>
            <w:noWrap/>
            <w:hideMark/>
          </w:tcPr>
          <w:p w14:paraId="1BF2BD56" w14:textId="77777777" w:rsidR="002F0133" w:rsidRPr="000B4E2C" w:rsidRDefault="002F0133" w:rsidP="008A7464">
            <w:pPr>
              <w:rPr>
                <w:lang w:eastAsia="en-GB"/>
              </w:rPr>
            </w:pPr>
            <w:r w:rsidRPr="000B4E2C">
              <w:rPr>
                <w:lang w:eastAsia="en-GB"/>
              </w:rPr>
              <w:t>Pickering</w:t>
            </w:r>
          </w:p>
        </w:tc>
        <w:tc>
          <w:tcPr>
            <w:tcW w:w="0" w:type="auto"/>
            <w:shd w:val="clear" w:color="auto" w:fill="auto"/>
            <w:noWrap/>
            <w:hideMark/>
          </w:tcPr>
          <w:p w14:paraId="4A5652F9"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6CBA0647"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378FBA3E" w14:textId="77777777" w:rsidR="002F0133" w:rsidRPr="000B4E2C" w:rsidRDefault="002F0133" w:rsidP="008A7464">
            <w:pPr>
              <w:rPr>
                <w:highlight w:val="green"/>
                <w:lang w:eastAsia="en-GB"/>
              </w:rPr>
            </w:pPr>
            <w:r w:rsidRPr="000B4E2C">
              <w:rPr>
                <w:highlight w:val="green"/>
                <w:lang w:eastAsia="en-GB"/>
              </w:rPr>
              <w:t>J. W. Pickering and Z. H. Endre. Linking Injury to Outcome in Acute Kidney Injury: A Matter of Sensitivity. PLoS ONE, 8(4), e62691. [16387]</w:t>
            </w:r>
          </w:p>
        </w:tc>
      </w:tr>
      <w:tr w:rsidR="002F0133" w:rsidRPr="000B4E2C" w14:paraId="69134EFF" w14:textId="77777777" w:rsidTr="000B4E2C">
        <w:trPr>
          <w:cantSplit/>
        </w:trPr>
        <w:tc>
          <w:tcPr>
            <w:tcW w:w="0" w:type="auto"/>
            <w:shd w:val="clear" w:color="auto" w:fill="auto"/>
            <w:noWrap/>
            <w:hideMark/>
          </w:tcPr>
          <w:p w14:paraId="3EDF517D" w14:textId="77777777" w:rsidR="002F0133" w:rsidRPr="000B4E2C" w:rsidRDefault="002F0133" w:rsidP="008A7464">
            <w:pPr>
              <w:rPr>
                <w:lang w:eastAsia="en-GB"/>
              </w:rPr>
            </w:pPr>
            <w:r w:rsidRPr="000B4E2C">
              <w:rPr>
                <w:lang w:eastAsia="en-GB"/>
              </w:rPr>
              <w:t>Pickering</w:t>
            </w:r>
          </w:p>
        </w:tc>
        <w:tc>
          <w:tcPr>
            <w:tcW w:w="0" w:type="auto"/>
            <w:shd w:val="clear" w:color="auto" w:fill="auto"/>
            <w:noWrap/>
            <w:hideMark/>
          </w:tcPr>
          <w:p w14:paraId="18461116"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530A4951"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4CAB777A" w14:textId="77777777" w:rsidR="002F0133" w:rsidRPr="000B4E2C" w:rsidRDefault="002F0133" w:rsidP="008A7464">
            <w:pPr>
              <w:rPr>
                <w:highlight w:val="green"/>
                <w:lang w:eastAsia="en-GB"/>
              </w:rPr>
            </w:pPr>
            <w:r w:rsidRPr="000B4E2C">
              <w:rPr>
                <w:highlight w:val="green"/>
                <w:lang w:eastAsia="en-GB"/>
              </w:rPr>
              <w:t>J. W. Pickering and Z. H. Endre. The clinical utility of plasma neutrophil gelatinase-associated lipocalin in acute kidney injury. Blood purification, 35(4), 295-302. [16388]</w:t>
            </w:r>
          </w:p>
        </w:tc>
      </w:tr>
      <w:tr w:rsidR="002F0133" w:rsidRPr="000B4E2C" w14:paraId="2411EAA5" w14:textId="77777777" w:rsidTr="000B4E2C">
        <w:trPr>
          <w:cantSplit/>
        </w:trPr>
        <w:tc>
          <w:tcPr>
            <w:tcW w:w="0" w:type="auto"/>
            <w:shd w:val="clear" w:color="auto" w:fill="auto"/>
            <w:noWrap/>
            <w:hideMark/>
          </w:tcPr>
          <w:p w14:paraId="24CA7803" w14:textId="77777777" w:rsidR="002F0133" w:rsidRPr="000B4E2C" w:rsidRDefault="002F0133" w:rsidP="008A7464">
            <w:pPr>
              <w:rPr>
                <w:lang w:eastAsia="en-GB"/>
              </w:rPr>
            </w:pPr>
            <w:r w:rsidRPr="000B4E2C">
              <w:rPr>
                <w:lang w:eastAsia="en-GB"/>
              </w:rPr>
              <w:t>Piirainen</w:t>
            </w:r>
          </w:p>
        </w:tc>
        <w:tc>
          <w:tcPr>
            <w:tcW w:w="0" w:type="auto"/>
            <w:shd w:val="clear" w:color="auto" w:fill="auto"/>
            <w:noWrap/>
            <w:hideMark/>
          </w:tcPr>
          <w:p w14:paraId="066AC9BC"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49C9DF14" w14:textId="5BFB40A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07FDB6E" w14:textId="77777777" w:rsidR="002F0133" w:rsidRPr="000B4E2C" w:rsidRDefault="002F0133" w:rsidP="008A7464">
            <w:pPr>
              <w:rPr>
                <w:highlight w:val="green"/>
                <w:lang w:eastAsia="en-GB"/>
              </w:rPr>
            </w:pPr>
            <w:r w:rsidRPr="000B4E2C">
              <w:rPr>
                <w:highlight w:val="green"/>
                <w:lang w:val="da-DK" w:eastAsia="en-GB"/>
              </w:rPr>
              <w:t xml:space="preserve">A. Piirainen, J. Huopio, H. Kokki, A. Holopainen, T. Pajunen, K. Pulkki and M. Kokki. </w:t>
            </w:r>
            <w:r w:rsidRPr="000B4E2C">
              <w:rPr>
                <w:highlight w:val="green"/>
                <w:lang w:eastAsia="en-GB"/>
              </w:rPr>
              <w:t>Novel renal markers for the assessment of renal integrity in patients undergoing knee arthroplasty - a pilot study. Journal of Experimental Orthopaedics, 5(1), 40. [16393]</w:t>
            </w:r>
          </w:p>
        </w:tc>
      </w:tr>
      <w:tr w:rsidR="002F0133" w:rsidRPr="000B4E2C" w14:paraId="0571B57F" w14:textId="77777777" w:rsidTr="000B4E2C">
        <w:trPr>
          <w:cantSplit/>
        </w:trPr>
        <w:tc>
          <w:tcPr>
            <w:tcW w:w="0" w:type="auto"/>
            <w:shd w:val="clear" w:color="auto" w:fill="auto"/>
            <w:noWrap/>
            <w:hideMark/>
          </w:tcPr>
          <w:p w14:paraId="5E63940E" w14:textId="77777777" w:rsidR="002F0133" w:rsidRPr="000B4E2C" w:rsidRDefault="002F0133" w:rsidP="008A7464">
            <w:pPr>
              <w:rPr>
                <w:lang w:eastAsia="en-GB"/>
              </w:rPr>
            </w:pPr>
            <w:r w:rsidRPr="000B4E2C">
              <w:rPr>
                <w:lang w:eastAsia="en-GB"/>
              </w:rPr>
              <w:t xml:space="preserve">Pilarczyk </w:t>
            </w:r>
          </w:p>
        </w:tc>
        <w:tc>
          <w:tcPr>
            <w:tcW w:w="0" w:type="auto"/>
            <w:shd w:val="clear" w:color="auto" w:fill="auto"/>
            <w:noWrap/>
            <w:hideMark/>
          </w:tcPr>
          <w:p w14:paraId="2D33CE4E"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377E4B6C" w14:textId="7A06D70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32033D9" w14:textId="77777777" w:rsidR="002F0133" w:rsidRPr="000B4E2C" w:rsidRDefault="002F0133" w:rsidP="008A7464">
            <w:pPr>
              <w:rPr>
                <w:highlight w:val="green"/>
                <w:lang w:eastAsia="en-GB"/>
              </w:rPr>
            </w:pPr>
            <w:r w:rsidRPr="000B4E2C">
              <w:rPr>
                <w:highlight w:val="green"/>
                <w:lang w:eastAsia="en-GB"/>
              </w:rPr>
              <w:t>K. Pilarczyk, M. Edayadiyil-Dudasova, D. Wendt, E. Demircioglu, J. Benedik, D. S. Dohle, H. Jakob and F. Dusse. Urinary [TIMP-2]*[IGFBP7] for early prediction of acute kidney injury after coronary artery bypass surgery. Annals of Intensive Care, 5(1), 1-11. [16394]</w:t>
            </w:r>
          </w:p>
        </w:tc>
      </w:tr>
      <w:tr w:rsidR="002F0133" w:rsidRPr="000B4E2C" w14:paraId="638F5EAC" w14:textId="77777777" w:rsidTr="000B4E2C">
        <w:trPr>
          <w:cantSplit/>
        </w:trPr>
        <w:tc>
          <w:tcPr>
            <w:tcW w:w="0" w:type="auto"/>
            <w:shd w:val="clear" w:color="auto" w:fill="auto"/>
            <w:noWrap/>
            <w:hideMark/>
          </w:tcPr>
          <w:p w14:paraId="764C7C50" w14:textId="77777777" w:rsidR="002F0133" w:rsidRPr="000B4E2C" w:rsidRDefault="002F0133" w:rsidP="008A7464">
            <w:pPr>
              <w:rPr>
                <w:lang w:eastAsia="en-GB"/>
              </w:rPr>
            </w:pPr>
            <w:r w:rsidRPr="000B4E2C">
              <w:rPr>
                <w:lang w:eastAsia="en-GB"/>
              </w:rPr>
              <w:t>Pisano</w:t>
            </w:r>
          </w:p>
        </w:tc>
        <w:tc>
          <w:tcPr>
            <w:tcW w:w="0" w:type="auto"/>
            <w:shd w:val="clear" w:color="auto" w:fill="auto"/>
            <w:noWrap/>
            <w:hideMark/>
          </w:tcPr>
          <w:p w14:paraId="6F49FC37"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045DC1F2"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1BE60D0D" w14:textId="77777777" w:rsidR="002F0133" w:rsidRPr="000B4E2C" w:rsidRDefault="002F0133" w:rsidP="008A7464">
            <w:pPr>
              <w:rPr>
                <w:highlight w:val="green"/>
                <w:lang w:eastAsia="en-GB"/>
              </w:rPr>
            </w:pPr>
            <w:r w:rsidRPr="000B4E2C">
              <w:rPr>
                <w:highlight w:val="green"/>
                <w:lang w:eastAsia="en-GB"/>
              </w:rPr>
              <w:t>D. V. Pisano and M. F. Joyce. Plasma neutrophil gelatinase-associated lipocalin: Biomarker of the future or just another test?. Journal of clinical anesthesia, 45(37-38. [16398]</w:t>
            </w:r>
          </w:p>
        </w:tc>
      </w:tr>
      <w:tr w:rsidR="002F0133" w:rsidRPr="000B4E2C" w14:paraId="7FDEB6DF" w14:textId="77777777" w:rsidTr="000B4E2C">
        <w:trPr>
          <w:cantSplit/>
        </w:trPr>
        <w:tc>
          <w:tcPr>
            <w:tcW w:w="0" w:type="auto"/>
            <w:shd w:val="clear" w:color="auto" w:fill="auto"/>
            <w:noWrap/>
            <w:hideMark/>
          </w:tcPr>
          <w:p w14:paraId="0E2FDA1C" w14:textId="77777777" w:rsidR="002F0133" w:rsidRPr="000B4E2C" w:rsidRDefault="002F0133" w:rsidP="008A7464">
            <w:pPr>
              <w:rPr>
                <w:lang w:eastAsia="en-GB"/>
              </w:rPr>
            </w:pPr>
            <w:r w:rsidRPr="000B4E2C">
              <w:rPr>
                <w:lang w:eastAsia="en-GB"/>
              </w:rPr>
              <w:t>Plebani</w:t>
            </w:r>
          </w:p>
        </w:tc>
        <w:tc>
          <w:tcPr>
            <w:tcW w:w="0" w:type="auto"/>
            <w:shd w:val="clear" w:color="auto" w:fill="auto"/>
            <w:noWrap/>
            <w:hideMark/>
          </w:tcPr>
          <w:p w14:paraId="5CCF0DAE"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0E4CBE2E"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3128A8C1" w14:textId="77777777" w:rsidR="002F0133" w:rsidRPr="000B4E2C" w:rsidRDefault="002F0133" w:rsidP="008A7464">
            <w:pPr>
              <w:rPr>
                <w:highlight w:val="green"/>
                <w:lang w:eastAsia="en-GB"/>
              </w:rPr>
            </w:pPr>
            <w:r w:rsidRPr="000B4E2C">
              <w:rPr>
                <w:highlight w:val="green"/>
                <w:lang w:eastAsia="en-GB"/>
              </w:rPr>
              <w:t>M. Plebani. Biomarkers of acute kidney injury: A step forward. Clinical Chemistry and Laboratory Medicine, 55(8), 1071-1073. [16399]</w:t>
            </w:r>
          </w:p>
        </w:tc>
      </w:tr>
      <w:tr w:rsidR="002F0133" w:rsidRPr="000B4E2C" w14:paraId="394DB0DC" w14:textId="77777777" w:rsidTr="000B4E2C">
        <w:trPr>
          <w:cantSplit/>
        </w:trPr>
        <w:tc>
          <w:tcPr>
            <w:tcW w:w="0" w:type="auto"/>
            <w:shd w:val="clear" w:color="auto" w:fill="auto"/>
            <w:noWrap/>
            <w:hideMark/>
          </w:tcPr>
          <w:p w14:paraId="1E1A8326" w14:textId="77777777" w:rsidR="002F0133" w:rsidRPr="000B4E2C" w:rsidRDefault="002F0133" w:rsidP="008A7464">
            <w:pPr>
              <w:rPr>
                <w:lang w:eastAsia="en-GB"/>
              </w:rPr>
            </w:pPr>
            <w:r w:rsidRPr="000B4E2C">
              <w:rPr>
                <w:lang w:eastAsia="en-GB"/>
              </w:rPr>
              <w:t>Plewes</w:t>
            </w:r>
          </w:p>
        </w:tc>
        <w:tc>
          <w:tcPr>
            <w:tcW w:w="0" w:type="auto"/>
            <w:shd w:val="clear" w:color="auto" w:fill="auto"/>
            <w:noWrap/>
            <w:hideMark/>
          </w:tcPr>
          <w:p w14:paraId="7A25FF46"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1EBF22A8"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25A1552F" w14:textId="77777777" w:rsidR="002F0133" w:rsidRPr="000B4E2C" w:rsidRDefault="002F0133" w:rsidP="008A7464">
            <w:pPr>
              <w:rPr>
                <w:highlight w:val="green"/>
                <w:lang w:eastAsia="en-GB"/>
              </w:rPr>
            </w:pPr>
            <w:r w:rsidRPr="000B4E2C">
              <w:rPr>
                <w:highlight w:val="green"/>
                <w:lang w:eastAsia="en-GB"/>
              </w:rPr>
              <w:t>K. Plewes, A. A. Royakkers, J. Hanson, M. M. U. Hasan, S. Alam, A. Ghose, R. J. Maude, P. M. Stassen, P. Charunwatthana, S. J. Lee, G. D. Turner, A. M. Dondorp and M. J. Schultz. Correlation of biomarkers for parasite burden and immune activation with acute kidney injury in severe falciparum malaria. Malaria Journal, 13(1), 91. [16400]</w:t>
            </w:r>
          </w:p>
        </w:tc>
      </w:tr>
      <w:tr w:rsidR="002F0133" w:rsidRPr="000B4E2C" w14:paraId="7E8375CB" w14:textId="77777777" w:rsidTr="000B4E2C">
        <w:trPr>
          <w:cantSplit/>
        </w:trPr>
        <w:tc>
          <w:tcPr>
            <w:tcW w:w="0" w:type="auto"/>
            <w:shd w:val="clear" w:color="auto" w:fill="auto"/>
            <w:noWrap/>
            <w:hideMark/>
          </w:tcPr>
          <w:p w14:paraId="7486B804" w14:textId="77777777" w:rsidR="002F0133" w:rsidRPr="000B4E2C" w:rsidRDefault="002F0133" w:rsidP="008A7464">
            <w:pPr>
              <w:rPr>
                <w:lang w:eastAsia="en-GB"/>
              </w:rPr>
            </w:pPr>
            <w:r w:rsidRPr="000B4E2C">
              <w:rPr>
                <w:lang w:eastAsia="en-GB"/>
              </w:rPr>
              <w:t>Polat</w:t>
            </w:r>
          </w:p>
        </w:tc>
        <w:tc>
          <w:tcPr>
            <w:tcW w:w="0" w:type="auto"/>
            <w:shd w:val="clear" w:color="auto" w:fill="auto"/>
            <w:noWrap/>
            <w:hideMark/>
          </w:tcPr>
          <w:p w14:paraId="6F4E7852"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306AE032" w14:textId="60402B3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F27A221" w14:textId="77777777" w:rsidR="002F0133" w:rsidRPr="000B4E2C" w:rsidRDefault="002F0133" w:rsidP="008A7464">
            <w:pPr>
              <w:rPr>
                <w:highlight w:val="green"/>
                <w:lang w:eastAsia="en-GB"/>
              </w:rPr>
            </w:pPr>
            <w:r w:rsidRPr="000B4E2C">
              <w:rPr>
                <w:highlight w:val="green"/>
                <w:lang w:eastAsia="en-GB"/>
              </w:rPr>
              <w:t>M. Polat, K. Fidan, O. Derinoz, S. Gonen and O. Soylemezoglu. Neutrophil gelatinase-associated lipocalin as a follow-up marker in critically ill pediatric patients with established acute kidney injury. Renal Failure, 35(3), 352-356. [16402]</w:t>
            </w:r>
          </w:p>
        </w:tc>
      </w:tr>
      <w:tr w:rsidR="002F0133" w:rsidRPr="000B4E2C" w14:paraId="705AF371" w14:textId="77777777" w:rsidTr="000B4E2C">
        <w:trPr>
          <w:cantSplit/>
        </w:trPr>
        <w:tc>
          <w:tcPr>
            <w:tcW w:w="0" w:type="auto"/>
            <w:shd w:val="clear" w:color="auto" w:fill="auto"/>
            <w:noWrap/>
            <w:hideMark/>
          </w:tcPr>
          <w:p w14:paraId="144AFA97" w14:textId="77777777" w:rsidR="002F0133" w:rsidRPr="000B4E2C" w:rsidRDefault="002F0133" w:rsidP="008A7464">
            <w:pPr>
              <w:rPr>
                <w:lang w:eastAsia="en-GB"/>
              </w:rPr>
            </w:pPr>
            <w:r w:rsidRPr="000B4E2C">
              <w:rPr>
                <w:lang w:eastAsia="en-GB"/>
              </w:rPr>
              <w:t>Poorshahbaz</w:t>
            </w:r>
          </w:p>
        </w:tc>
        <w:tc>
          <w:tcPr>
            <w:tcW w:w="0" w:type="auto"/>
            <w:shd w:val="clear" w:color="auto" w:fill="auto"/>
            <w:noWrap/>
            <w:hideMark/>
          </w:tcPr>
          <w:p w14:paraId="1B7C207D"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3F726A4" w14:textId="2D92C9C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B922324" w14:textId="77777777" w:rsidR="002F0133" w:rsidRPr="000B4E2C" w:rsidRDefault="002F0133" w:rsidP="008A7464">
            <w:pPr>
              <w:rPr>
                <w:highlight w:val="green"/>
                <w:lang w:eastAsia="en-GB"/>
              </w:rPr>
            </w:pPr>
            <w:r w:rsidRPr="000B4E2C">
              <w:rPr>
                <w:highlight w:val="green"/>
                <w:lang w:eastAsia="en-GB"/>
              </w:rPr>
              <w:t>F. Poorshahbaz, A. Karami, M. Jozpanahi, A. Pezeshki, S. Fagihzadeh, A. Esmailzadeh, R. Moosazadeh, M. Behmanesh, M. Kiafar and M. Kashkuli. Comparison of Changes in Serum Creatinine and PNGAL in Predicting Renal Damage in Brucellosis Patients Receiving Gentamycin. Crescent Journal of Medical and Biological Sciences, 2(4), 116-120. [18556]</w:t>
            </w:r>
          </w:p>
        </w:tc>
      </w:tr>
      <w:tr w:rsidR="002F0133" w:rsidRPr="000B4E2C" w14:paraId="1B484DBF" w14:textId="77777777" w:rsidTr="000B4E2C">
        <w:trPr>
          <w:cantSplit/>
        </w:trPr>
        <w:tc>
          <w:tcPr>
            <w:tcW w:w="0" w:type="auto"/>
            <w:shd w:val="clear" w:color="auto" w:fill="auto"/>
            <w:noWrap/>
            <w:hideMark/>
          </w:tcPr>
          <w:p w14:paraId="6C3A2E4F" w14:textId="77777777" w:rsidR="002F0133" w:rsidRPr="000B4E2C" w:rsidRDefault="002F0133" w:rsidP="008A7464">
            <w:pPr>
              <w:rPr>
                <w:lang w:eastAsia="en-GB"/>
              </w:rPr>
            </w:pPr>
            <w:r w:rsidRPr="000B4E2C">
              <w:rPr>
                <w:lang w:eastAsia="en-GB"/>
              </w:rPr>
              <w:t>Portal</w:t>
            </w:r>
          </w:p>
        </w:tc>
        <w:tc>
          <w:tcPr>
            <w:tcW w:w="0" w:type="auto"/>
            <w:shd w:val="clear" w:color="auto" w:fill="auto"/>
            <w:noWrap/>
            <w:hideMark/>
          </w:tcPr>
          <w:p w14:paraId="0F0F7B12"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5FF12A71" w14:textId="7FB7892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1F62723" w14:textId="77777777" w:rsidR="002F0133" w:rsidRPr="000B4E2C" w:rsidRDefault="002F0133" w:rsidP="008A7464">
            <w:pPr>
              <w:rPr>
                <w:highlight w:val="green"/>
                <w:lang w:eastAsia="en-GB"/>
              </w:rPr>
            </w:pPr>
            <w:r w:rsidRPr="000B4E2C">
              <w:rPr>
                <w:highlight w:val="green"/>
                <w:lang w:eastAsia="en-GB"/>
              </w:rPr>
              <w:t>A. J. Portal, M. J. W. McPhail, M. Bruce, I. Coltart, A. Slack, R. Sherwood, N. D. Heaton, D. Shawcross, J. A. Wendon and M. A. Heneghan. Neutrophil gelatinase-Associated lipocalin predicts acute kidney injury in patients undergoing liver transplantation. Liver Transplantation, 16(11), 1257-1266. [16405]</w:t>
            </w:r>
          </w:p>
        </w:tc>
      </w:tr>
      <w:tr w:rsidR="002F0133" w:rsidRPr="000B4E2C" w14:paraId="1FB652BE" w14:textId="77777777" w:rsidTr="000B4E2C">
        <w:trPr>
          <w:cantSplit/>
        </w:trPr>
        <w:tc>
          <w:tcPr>
            <w:tcW w:w="0" w:type="auto"/>
            <w:shd w:val="clear" w:color="auto" w:fill="auto"/>
            <w:noWrap/>
            <w:hideMark/>
          </w:tcPr>
          <w:p w14:paraId="3FDB5EAB" w14:textId="77777777" w:rsidR="002F0133" w:rsidRPr="000B4E2C" w:rsidRDefault="002F0133" w:rsidP="008A7464">
            <w:pPr>
              <w:rPr>
                <w:lang w:eastAsia="en-GB"/>
              </w:rPr>
            </w:pPr>
            <w:r w:rsidRPr="000B4E2C">
              <w:rPr>
                <w:lang w:eastAsia="en-GB"/>
              </w:rPr>
              <w:lastRenderedPageBreak/>
              <w:t>Prabhu</w:t>
            </w:r>
          </w:p>
        </w:tc>
        <w:tc>
          <w:tcPr>
            <w:tcW w:w="0" w:type="auto"/>
            <w:shd w:val="clear" w:color="auto" w:fill="auto"/>
            <w:noWrap/>
            <w:hideMark/>
          </w:tcPr>
          <w:p w14:paraId="5DCBAE7F"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69F218F3" w14:textId="25737E0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7B401D1" w14:textId="77777777" w:rsidR="002F0133" w:rsidRPr="000B4E2C" w:rsidRDefault="002F0133" w:rsidP="008A7464">
            <w:pPr>
              <w:rPr>
                <w:highlight w:val="green"/>
                <w:lang w:eastAsia="en-GB"/>
              </w:rPr>
            </w:pPr>
            <w:r w:rsidRPr="000B4E2C">
              <w:rPr>
                <w:highlight w:val="green"/>
                <w:lang w:eastAsia="en-GB"/>
              </w:rPr>
              <w:t>A. Prabhu, D. I. Sujatha, B. Ninan and M. A. Vijayalakshmi. Neutrophil Gelatinase Associated Lipocalin as a Biomarker for Acute Kidney Injury in Patients Undergoing Coronary Artery Bypass Grafting with Cardiopulmonary Bypass. Annals of Vascular Surgery, 24(4), 525-531. [16409]</w:t>
            </w:r>
          </w:p>
        </w:tc>
      </w:tr>
      <w:tr w:rsidR="002F0133" w:rsidRPr="000B4E2C" w14:paraId="16FE12EB" w14:textId="77777777" w:rsidTr="000B4E2C">
        <w:trPr>
          <w:cantSplit/>
        </w:trPr>
        <w:tc>
          <w:tcPr>
            <w:tcW w:w="0" w:type="auto"/>
            <w:shd w:val="clear" w:color="auto" w:fill="auto"/>
            <w:noWrap/>
            <w:hideMark/>
          </w:tcPr>
          <w:p w14:paraId="3091161F" w14:textId="77777777" w:rsidR="002F0133" w:rsidRPr="000B4E2C" w:rsidRDefault="002F0133" w:rsidP="008A7464">
            <w:pPr>
              <w:rPr>
                <w:lang w:eastAsia="en-GB"/>
              </w:rPr>
            </w:pPr>
            <w:r w:rsidRPr="000B4E2C">
              <w:rPr>
                <w:lang w:eastAsia="en-GB"/>
              </w:rPr>
              <w:t>Prasad</w:t>
            </w:r>
          </w:p>
        </w:tc>
        <w:tc>
          <w:tcPr>
            <w:tcW w:w="0" w:type="auto"/>
            <w:shd w:val="clear" w:color="auto" w:fill="auto"/>
            <w:noWrap/>
            <w:hideMark/>
          </w:tcPr>
          <w:p w14:paraId="490A6799"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2F35253C"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24E241AB" w14:textId="77777777" w:rsidR="002F0133" w:rsidRPr="000B4E2C" w:rsidRDefault="002F0133" w:rsidP="008A7464">
            <w:pPr>
              <w:rPr>
                <w:highlight w:val="green"/>
                <w:lang w:eastAsia="en-GB"/>
              </w:rPr>
            </w:pPr>
            <w:r w:rsidRPr="000B4E2C">
              <w:rPr>
                <w:highlight w:val="green"/>
                <w:lang w:eastAsia="en-GB"/>
              </w:rPr>
              <w:t>A. Prasad. Acute kidney injury following contrast administration in pediatric congenital heart disease patients: Time to move beyond the serum creatinine. Catheterization and Cardiovascular Interventions, 84(4), 620-621. [16411]</w:t>
            </w:r>
          </w:p>
        </w:tc>
      </w:tr>
      <w:tr w:rsidR="002F0133" w:rsidRPr="000B4E2C" w14:paraId="0B15C1CD" w14:textId="77777777" w:rsidTr="000B4E2C">
        <w:trPr>
          <w:cantSplit/>
        </w:trPr>
        <w:tc>
          <w:tcPr>
            <w:tcW w:w="0" w:type="auto"/>
            <w:shd w:val="clear" w:color="auto" w:fill="auto"/>
            <w:noWrap/>
            <w:hideMark/>
          </w:tcPr>
          <w:p w14:paraId="2C287406" w14:textId="77777777" w:rsidR="002F0133" w:rsidRPr="000B4E2C" w:rsidRDefault="002F0133" w:rsidP="008A7464">
            <w:pPr>
              <w:rPr>
                <w:lang w:eastAsia="en-GB"/>
              </w:rPr>
            </w:pPr>
            <w:r w:rsidRPr="000B4E2C">
              <w:rPr>
                <w:lang w:eastAsia="en-GB"/>
              </w:rPr>
              <w:t>Prowle</w:t>
            </w:r>
          </w:p>
        </w:tc>
        <w:tc>
          <w:tcPr>
            <w:tcW w:w="0" w:type="auto"/>
            <w:shd w:val="clear" w:color="auto" w:fill="auto"/>
            <w:noWrap/>
            <w:hideMark/>
          </w:tcPr>
          <w:p w14:paraId="26F7DBEE"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DBCF375"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24D4999C" w14:textId="77777777" w:rsidR="002F0133" w:rsidRPr="000B4E2C" w:rsidRDefault="002F0133" w:rsidP="008A7464">
            <w:pPr>
              <w:rPr>
                <w:highlight w:val="green"/>
                <w:lang w:eastAsia="en-GB"/>
              </w:rPr>
            </w:pPr>
            <w:r w:rsidRPr="000B4E2C">
              <w:rPr>
                <w:highlight w:val="green"/>
                <w:lang w:eastAsia="en-GB"/>
              </w:rPr>
              <w:t>J. R. Prowle and C. J. Kirwan. Acute kidney injury after cardiac surgery: The injury that keeps on hurting?. Critical Care Medicine, 42(9), 2142-2143. [16416]</w:t>
            </w:r>
          </w:p>
        </w:tc>
      </w:tr>
      <w:tr w:rsidR="002F0133" w:rsidRPr="000B4E2C" w14:paraId="31E17168" w14:textId="77777777" w:rsidTr="000B4E2C">
        <w:trPr>
          <w:cantSplit/>
        </w:trPr>
        <w:tc>
          <w:tcPr>
            <w:tcW w:w="0" w:type="auto"/>
            <w:shd w:val="clear" w:color="auto" w:fill="auto"/>
            <w:noWrap/>
            <w:hideMark/>
          </w:tcPr>
          <w:p w14:paraId="5CB89DED" w14:textId="77777777" w:rsidR="002F0133" w:rsidRPr="000B4E2C" w:rsidRDefault="002F0133" w:rsidP="008A7464">
            <w:pPr>
              <w:rPr>
                <w:lang w:eastAsia="en-GB"/>
              </w:rPr>
            </w:pPr>
            <w:r w:rsidRPr="000B4E2C">
              <w:rPr>
                <w:lang w:eastAsia="en-GB"/>
              </w:rPr>
              <w:t>Prowle</w:t>
            </w:r>
          </w:p>
        </w:tc>
        <w:tc>
          <w:tcPr>
            <w:tcW w:w="0" w:type="auto"/>
            <w:shd w:val="clear" w:color="auto" w:fill="auto"/>
            <w:noWrap/>
            <w:hideMark/>
          </w:tcPr>
          <w:p w14:paraId="318F7FBD"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9244C0D"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3086791F" w14:textId="77777777" w:rsidR="002F0133" w:rsidRPr="000B4E2C" w:rsidRDefault="002F0133" w:rsidP="008A7464">
            <w:pPr>
              <w:rPr>
                <w:highlight w:val="green"/>
                <w:lang w:eastAsia="en-GB"/>
              </w:rPr>
            </w:pPr>
            <w:r w:rsidRPr="000B4E2C">
              <w:rPr>
                <w:highlight w:val="green"/>
                <w:lang w:eastAsia="en-GB"/>
              </w:rPr>
              <w:t>J. R. Prowle. Measurement of AKI biomarkers in the ICU: still striving for appropriate clinical indications. Intensive Care Medicine, 41(3), 541-543. [16414]</w:t>
            </w:r>
          </w:p>
        </w:tc>
      </w:tr>
      <w:tr w:rsidR="002F0133" w:rsidRPr="000B4E2C" w14:paraId="71A22071" w14:textId="77777777" w:rsidTr="000B4E2C">
        <w:trPr>
          <w:cantSplit/>
        </w:trPr>
        <w:tc>
          <w:tcPr>
            <w:tcW w:w="0" w:type="auto"/>
            <w:shd w:val="clear" w:color="auto" w:fill="auto"/>
            <w:noWrap/>
            <w:hideMark/>
          </w:tcPr>
          <w:p w14:paraId="30C85FC6" w14:textId="77777777" w:rsidR="002F0133" w:rsidRPr="000B4E2C" w:rsidRDefault="002F0133" w:rsidP="008A7464">
            <w:pPr>
              <w:rPr>
                <w:lang w:eastAsia="en-GB"/>
              </w:rPr>
            </w:pPr>
            <w:r w:rsidRPr="000B4E2C">
              <w:rPr>
                <w:lang w:eastAsia="en-GB"/>
              </w:rPr>
              <w:t xml:space="preserve">Prowle </w:t>
            </w:r>
          </w:p>
        </w:tc>
        <w:tc>
          <w:tcPr>
            <w:tcW w:w="0" w:type="auto"/>
            <w:shd w:val="clear" w:color="auto" w:fill="auto"/>
            <w:noWrap/>
            <w:hideMark/>
          </w:tcPr>
          <w:p w14:paraId="120F033A"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4FB88CE" w14:textId="6735E75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0BC44A5" w14:textId="77777777" w:rsidR="002F0133" w:rsidRPr="000B4E2C" w:rsidRDefault="002F0133" w:rsidP="008A7464">
            <w:pPr>
              <w:rPr>
                <w:highlight w:val="green"/>
                <w:lang w:eastAsia="en-GB"/>
              </w:rPr>
            </w:pPr>
            <w:r w:rsidRPr="000B4E2C">
              <w:rPr>
                <w:highlight w:val="green"/>
                <w:lang w:eastAsia="en-GB"/>
              </w:rPr>
              <w:t>J. R. Prowle, P. Calzavacca, E. Licari, E. V. Ligabo, J. E. Echeverri, S. M. Bagshaw, A. Haase-Fielitz, M. Haase, V. Ostland, E. Noiri, M. Westerman, P. Devarajan and R. Bellomo. Combination of biomarkers for diagnosis of acute kidney injury after cardiopulmonary bypass. Renal Failure, 37(3), 408-416. [16415]</w:t>
            </w:r>
          </w:p>
        </w:tc>
      </w:tr>
      <w:tr w:rsidR="002F0133" w:rsidRPr="000B4E2C" w14:paraId="471ACD5F" w14:textId="77777777" w:rsidTr="000B4E2C">
        <w:trPr>
          <w:cantSplit/>
        </w:trPr>
        <w:tc>
          <w:tcPr>
            <w:tcW w:w="0" w:type="auto"/>
            <w:shd w:val="clear" w:color="auto" w:fill="auto"/>
            <w:noWrap/>
            <w:hideMark/>
          </w:tcPr>
          <w:p w14:paraId="73C37939" w14:textId="77777777" w:rsidR="002F0133" w:rsidRPr="000B4E2C" w:rsidRDefault="002F0133" w:rsidP="008A7464">
            <w:pPr>
              <w:rPr>
                <w:lang w:eastAsia="en-GB"/>
              </w:rPr>
            </w:pPr>
            <w:r w:rsidRPr="000B4E2C">
              <w:rPr>
                <w:lang w:eastAsia="en-GB"/>
              </w:rPr>
              <w:t>Przybylowski</w:t>
            </w:r>
          </w:p>
        </w:tc>
        <w:tc>
          <w:tcPr>
            <w:tcW w:w="0" w:type="auto"/>
            <w:shd w:val="clear" w:color="auto" w:fill="auto"/>
            <w:noWrap/>
            <w:hideMark/>
          </w:tcPr>
          <w:p w14:paraId="2D0E6862"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1CC74801"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2421FE05" w14:textId="77777777" w:rsidR="002F0133" w:rsidRPr="000B4E2C" w:rsidRDefault="002F0133" w:rsidP="008A7464">
            <w:pPr>
              <w:rPr>
                <w:highlight w:val="green"/>
                <w:lang w:eastAsia="en-GB"/>
              </w:rPr>
            </w:pPr>
            <w:r w:rsidRPr="000B4E2C">
              <w:rPr>
                <w:highlight w:val="green"/>
                <w:lang w:eastAsia="en-GB"/>
              </w:rPr>
              <w:t>P. Przybylowski, J. Malyszko and J. S. Malyszko. Serum Neutrophil Gelatinase-Associated Lipocalin Correlates With Kidney Function in Heart Allograft Recipients. Transplantation Proceedings, 42(5), 1797-1802. [16421]</w:t>
            </w:r>
          </w:p>
        </w:tc>
      </w:tr>
      <w:tr w:rsidR="002F0133" w:rsidRPr="000B4E2C" w14:paraId="18349E5E" w14:textId="77777777" w:rsidTr="000B4E2C">
        <w:trPr>
          <w:cantSplit/>
        </w:trPr>
        <w:tc>
          <w:tcPr>
            <w:tcW w:w="0" w:type="auto"/>
            <w:shd w:val="clear" w:color="auto" w:fill="auto"/>
            <w:noWrap/>
            <w:hideMark/>
          </w:tcPr>
          <w:p w14:paraId="6A45A142" w14:textId="77777777" w:rsidR="002F0133" w:rsidRPr="000B4E2C" w:rsidRDefault="002F0133" w:rsidP="008A7464">
            <w:pPr>
              <w:rPr>
                <w:lang w:eastAsia="en-GB"/>
              </w:rPr>
            </w:pPr>
            <w:r w:rsidRPr="000B4E2C">
              <w:rPr>
                <w:lang w:eastAsia="en-GB"/>
              </w:rPr>
              <w:t>Przybylowski</w:t>
            </w:r>
          </w:p>
        </w:tc>
        <w:tc>
          <w:tcPr>
            <w:tcW w:w="0" w:type="auto"/>
            <w:shd w:val="clear" w:color="auto" w:fill="auto"/>
            <w:noWrap/>
            <w:hideMark/>
          </w:tcPr>
          <w:p w14:paraId="0C484276"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4B2A6868"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4F438D2" w14:textId="77777777" w:rsidR="002F0133" w:rsidRPr="000B4E2C" w:rsidRDefault="002F0133" w:rsidP="008A7464">
            <w:pPr>
              <w:rPr>
                <w:highlight w:val="green"/>
                <w:lang w:eastAsia="en-GB"/>
              </w:rPr>
            </w:pPr>
            <w:r w:rsidRPr="000B4E2C">
              <w:rPr>
                <w:highlight w:val="green"/>
                <w:lang w:eastAsia="en-GB"/>
              </w:rPr>
              <w:t>P. Przybylowski, E. Koc-Zorawska, J. S. Malyszko, S. Kozlowska, M. Mysliwiec and J. Malyszko. Liver fatty-acid-binding protein in heart and kidney allograft recipients in relation to kidney function. Transplantation Proceedings, 43(8), 3064-3067. [16420]</w:t>
            </w:r>
          </w:p>
        </w:tc>
      </w:tr>
      <w:tr w:rsidR="002F0133" w:rsidRPr="000B4E2C" w14:paraId="0FC4A93F" w14:textId="77777777" w:rsidTr="000B4E2C">
        <w:trPr>
          <w:cantSplit/>
        </w:trPr>
        <w:tc>
          <w:tcPr>
            <w:tcW w:w="0" w:type="auto"/>
            <w:shd w:val="clear" w:color="auto" w:fill="auto"/>
            <w:noWrap/>
            <w:hideMark/>
          </w:tcPr>
          <w:p w14:paraId="35AC39F7" w14:textId="77777777" w:rsidR="002F0133" w:rsidRPr="000B4E2C" w:rsidRDefault="002F0133" w:rsidP="008A7464">
            <w:pPr>
              <w:rPr>
                <w:lang w:eastAsia="en-GB"/>
              </w:rPr>
            </w:pPr>
            <w:r w:rsidRPr="000B4E2C">
              <w:rPr>
                <w:lang w:eastAsia="en-GB"/>
              </w:rPr>
              <w:t>Puiac</w:t>
            </w:r>
          </w:p>
        </w:tc>
        <w:tc>
          <w:tcPr>
            <w:tcW w:w="0" w:type="auto"/>
            <w:shd w:val="clear" w:color="auto" w:fill="auto"/>
            <w:noWrap/>
            <w:hideMark/>
          </w:tcPr>
          <w:p w14:paraId="2B388CF4"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33842669" w14:textId="5905DD4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FC265B4" w14:textId="77777777" w:rsidR="002F0133" w:rsidRPr="000B4E2C" w:rsidRDefault="002F0133" w:rsidP="008A7464">
            <w:pPr>
              <w:rPr>
                <w:highlight w:val="green"/>
                <w:lang w:eastAsia="en-GB"/>
              </w:rPr>
            </w:pPr>
            <w:r w:rsidRPr="000B4E2C">
              <w:rPr>
                <w:highlight w:val="green"/>
                <w:lang w:eastAsia="en-GB"/>
              </w:rPr>
              <w:t>C. Puiac, J. Szederjesi, A. Lazar, C. Bad and L. Puscasiu. Neutrophil Gelatinase-Associated Lipocalin as a Marker for Renal Dysfunction Detection in Critically Ill Patients with Increased Intraabdominal Pressure. Journal of Critical Care Medicine, 3(1), 24-28. [18561]</w:t>
            </w:r>
          </w:p>
        </w:tc>
      </w:tr>
      <w:tr w:rsidR="002F0133" w:rsidRPr="000B4E2C" w14:paraId="5E75A6C6" w14:textId="77777777" w:rsidTr="000B4E2C">
        <w:trPr>
          <w:cantSplit/>
        </w:trPr>
        <w:tc>
          <w:tcPr>
            <w:tcW w:w="0" w:type="auto"/>
            <w:shd w:val="clear" w:color="auto" w:fill="auto"/>
            <w:noWrap/>
            <w:hideMark/>
          </w:tcPr>
          <w:p w14:paraId="069D9D4C" w14:textId="77777777" w:rsidR="002F0133" w:rsidRPr="000B4E2C" w:rsidRDefault="002F0133" w:rsidP="008A7464">
            <w:pPr>
              <w:rPr>
                <w:lang w:eastAsia="en-GB"/>
              </w:rPr>
            </w:pPr>
            <w:r w:rsidRPr="000B4E2C">
              <w:rPr>
                <w:lang w:eastAsia="en-GB"/>
              </w:rPr>
              <w:t>Puthumana</w:t>
            </w:r>
          </w:p>
        </w:tc>
        <w:tc>
          <w:tcPr>
            <w:tcW w:w="0" w:type="auto"/>
            <w:shd w:val="clear" w:color="auto" w:fill="auto"/>
            <w:noWrap/>
            <w:hideMark/>
          </w:tcPr>
          <w:p w14:paraId="67A8240E"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387C16CF" w14:textId="78DA87BD"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0B83E85B" w14:textId="77777777" w:rsidR="002F0133" w:rsidRPr="000B4E2C" w:rsidRDefault="002F0133" w:rsidP="008A7464">
            <w:pPr>
              <w:rPr>
                <w:highlight w:val="green"/>
                <w:lang w:eastAsia="en-GB"/>
              </w:rPr>
            </w:pPr>
            <w:r w:rsidRPr="000B4E2C">
              <w:rPr>
                <w:highlight w:val="green"/>
                <w:lang w:eastAsia="en-GB"/>
              </w:rPr>
              <w:t>J. Puthumana, X. Ariza, J. M. Belcher, I. Graupera, P. Gines and C. R. Parikh. Urine Interleukin 18 and Lipocalin 2 Are Biomarkers of Acute Tubular Necrosis in Patients With Cirrhosis: A Systematic Review and Meta-analysis. Clinical Gastroenterology and Hepatology, 15(7), 1003. [16424]</w:t>
            </w:r>
          </w:p>
        </w:tc>
      </w:tr>
      <w:tr w:rsidR="002F0133" w:rsidRPr="000B4E2C" w14:paraId="56BB158B" w14:textId="77777777" w:rsidTr="000B4E2C">
        <w:trPr>
          <w:cantSplit/>
        </w:trPr>
        <w:tc>
          <w:tcPr>
            <w:tcW w:w="0" w:type="auto"/>
            <w:shd w:val="clear" w:color="auto" w:fill="auto"/>
            <w:noWrap/>
            <w:hideMark/>
          </w:tcPr>
          <w:p w14:paraId="628BF137" w14:textId="77777777" w:rsidR="002F0133" w:rsidRPr="000B4E2C" w:rsidRDefault="002F0133" w:rsidP="008A7464">
            <w:pPr>
              <w:rPr>
                <w:lang w:eastAsia="en-GB"/>
              </w:rPr>
            </w:pPr>
            <w:r w:rsidRPr="000B4E2C">
              <w:rPr>
                <w:lang w:eastAsia="en-GB"/>
              </w:rPr>
              <w:t>Pynn</w:t>
            </w:r>
          </w:p>
        </w:tc>
        <w:tc>
          <w:tcPr>
            <w:tcW w:w="0" w:type="auto"/>
            <w:shd w:val="clear" w:color="auto" w:fill="auto"/>
            <w:noWrap/>
            <w:hideMark/>
          </w:tcPr>
          <w:p w14:paraId="2DB1AB6A"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409D295"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57E06622" w14:textId="77777777" w:rsidR="002F0133" w:rsidRPr="000B4E2C" w:rsidRDefault="002F0133" w:rsidP="008A7464">
            <w:pPr>
              <w:rPr>
                <w:highlight w:val="green"/>
                <w:lang w:eastAsia="en-GB"/>
              </w:rPr>
            </w:pPr>
            <w:r w:rsidRPr="000B4E2C">
              <w:rPr>
                <w:highlight w:val="green"/>
                <w:lang w:eastAsia="en-GB"/>
              </w:rPr>
              <w:t>J. M. Pynn, E. Parravicini, L. Saiman, D. A. Bateman, J. M. Barasch and J. M. Lorenz. Urinary neutrophil gelatinase-associated lipocalin: Potential biomarker for late-onset sepsis. Pediatric Research, 78(1), 76-81. [16425]</w:t>
            </w:r>
          </w:p>
        </w:tc>
      </w:tr>
      <w:tr w:rsidR="002F0133" w:rsidRPr="000B4E2C" w14:paraId="28C59AB5" w14:textId="77777777" w:rsidTr="000B4E2C">
        <w:trPr>
          <w:cantSplit/>
        </w:trPr>
        <w:tc>
          <w:tcPr>
            <w:tcW w:w="0" w:type="auto"/>
            <w:shd w:val="clear" w:color="auto" w:fill="auto"/>
            <w:noWrap/>
            <w:hideMark/>
          </w:tcPr>
          <w:p w14:paraId="6236649D" w14:textId="77777777" w:rsidR="002F0133" w:rsidRPr="000B4E2C" w:rsidRDefault="002F0133" w:rsidP="008A7464">
            <w:pPr>
              <w:rPr>
                <w:lang w:eastAsia="en-GB"/>
              </w:rPr>
            </w:pPr>
            <w:r w:rsidRPr="000B4E2C">
              <w:rPr>
                <w:lang w:eastAsia="en-GB"/>
              </w:rPr>
              <w:t>Qasem</w:t>
            </w:r>
          </w:p>
        </w:tc>
        <w:tc>
          <w:tcPr>
            <w:tcW w:w="0" w:type="auto"/>
            <w:shd w:val="clear" w:color="auto" w:fill="auto"/>
            <w:noWrap/>
            <w:hideMark/>
          </w:tcPr>
          <w:p w14:paraId="5BBEC32F"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052CE59"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43C2F1DE" w14:textId="77777777" w:rsidR="002F0133" w:rsidRPr="000B4E2C" w:rsidRDefault="002F0133" w:rsidP="008A7464">
            <w:pPr>
              <w:rPr>
                <w:highlight w:val="green"/>
                <w:lang w:eastAsia="en-GB"/>
              </w:rPr>
            </w:pPr>
            <w:r w:rsidRPr="000B4E2C">
              <w:rPr>
                <w:highlight w:val="green"/>
                <w:lang w:eastAsia="en-GB"/>
              </w:rPr>
              <w:t>A. A. Qasem, S. E. Farag, E. Hamed, M. Emara, A. Bihery and H. Pasha. Urinary biomarkers of acute kidney injury in patients with liver cirrhosis. ISRN nephrology, 2014(376795. [16426]</w:t>
            </w:r>
          </w:p>
        </w:tc>
      </w:tr>
      <w:tr w:rsidR="002F0133" w:rsidRPr="000B4E2C" w14:paraId="38C6F8AF" w14:textId="77777777" w:rsidTr="000B4E2C">
        <w:trPr>
          <w:cantSplit/>
        </w:trPr>
        <w:tc>
          <w:tcPr>
            <w:tcW w:w="0" w:type="auto"/>
            <w:shd w:val="clear" w:color="auto" w:fill="auto"/>
            <w:noWrap/>
            <w:hideMark/>
          </w:tcPr>
          <w:p w14:paraId="3FCCC90D" w14:textId="77777777" w:rsidR="002F0133" w:rsidRPr="000B4E2C" w:rsidRDefault="002F0133" w:rsidP="008A7464">
            <w:pPr>
              <w:rPr>
                <w:lang w:eastAsia="en-GB"/>
              </w:rPr>
            </w:pPr>
            <w:r w:rsidRPr="000B4E2C">
              <w:rPr>
                <w:lang w:eastAsia="en-GB"/>
              </w:rPr>
              <w:t>Qiao</w:t>
            </w:r>
          </w:p>
        </w:tc>
        <w:tc>
          <w:tcPr>
            <w:tcW w:w="0" w:type="auto"/>
            <w:shd w:val="clear" w:color="auto" w:fill="auto"/>
            <w:noWrap/>
            <w:hideMark/>
          </w:tcPr>
          <w:p w14:paraId="2E49D383"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1440F9F"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0B182819" w14:textId="77777777" w:rsidR="002F0133" w:rsidRPr="000B4E2C" w:rsidRDefault="002F0133" w:rsidP="008A7464">
            <w:pPr>
              <w:rPr>
                <w:highlight w:val="green"/>
                <w:lang w:eastAsia="en-GB"/>
              </w:rPr>
            </w:pPr>
            <w:r w:rsidRPr="000B4E2C">
              <w:rPr>
                <w:highlight w:val="green"/>
                <w:lang w:eastAsia="en-GB"/>
              </w:rPr>
              <w:t>B. Qiao, J. Deng, Y. Li, X. Wang and Y. Han. Rosuvastatin attenuated contrast-induced nephropathy in diabetes patients with renal dysfunction. International Journal of Clinical and Experimental Medicine, 8(2), 2342-2349. [16427]</w:t>
            </w:r>
          </w:p>
        </w:tc>
      </w:tr>
      <w:tr w:rsidR="002F0133" w:rsidRPr="000B4E2C" w14:paraId="17C866BC" w14:textId="77777777" w:rsidTr="000B4E2C">
        <w:trPr>
          <w:cantSplit/>
        </w:trPr>
        <w:tc>
          <w:tcPr>
            <w:tcW w:w="0" w:type="auto"/>
            <w:shd w:val="clear" w:color="auto" w:fill="auto"/>
            <w:noWrap/>
            <w:hideMark/>
          </w:tcPr>
          <w:p w14:paraId="443F34DB" w14:textId="77777777" w:rsidR="002F0133" w:rsidRPr="000B4E2C" w:rsidRDefault="002F0133" w:rsidP="008A7464">
            <w:pPr>
              <w:rPr>
                <w:lang w:eastAsia="en-GB"/>
              </w:rPr>
            </w:pPr>
            <w:r w:rsidRPr="000B4E2C">
              <w:rPr>
                <w:lang w:eastAsia="en-GB"/>
              </w:rPr>
              <w:lastRenderedPageBreak/>
              <w:t>Quartin</w:t>
            </w:r>
          </w:p>
        </w:tc>
        <w:tc>
          <w:tcPr>
            <w:tcW w:w="0" w:type="auto"/>
            <w:shd w:val="clear" w:color="auto" w:fill="auto"/>
            <w:noWrap/>
            <w:hideMark/>
          </w:tcPr>
          <w:p w14:paraId="47DB82E2"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4B390353"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65415E38" w14:textId="77777777" w:rsidR="002F0133" w:rsidRPr="000B4E2C" w:rsidRDefault="002F0133" w:rsidP="008A7464">
            <w:pPr>
              <w:rPr>
                <w:highlight w:val="green"/>
                <w:lang w:eastAsia="en-GB"/>
              </w:rPr>
            </w:pPr>
            <w:r w:rsidRPr="000B4E2C">
              <w:rPr>
                <w:highlight w:val="green"/>
                <w:lang w:eastAsia="en-GB"/>
              </w:rPr>
              <w:t>A. Quartin, R. Schein and C. Cely. Accuracy of plasma neutrophil gelatinase-associated lipocalin in the early diagnosis of contrast-induced acute kidney injury in critical illness. Intensive Care Medicine, 39(9), 1670. [16428]</w:t>
            </w:r>
          </w:p>
        </w:tc>
      </w:tr>
      <w:tr w:rsidR="002F0133" w:rsidRPr="000B4E2C" w14:paraId="1E40853A" w14:textId="77777777" w:rsidTr="000B4E2C">
        <w:trPr>
          <w:cantSplit/>
        </w:trPr>
        <w:tc>
          <w:tcPr>
            <w:tcW w:w="0" w:type="auto"/>
            <w:shd w:val="clear" w:color="auto" w:fill="auto"/>
            <w:noWrap/>
            <w:hideMark/>
          </w:tcPr>
          <w:p w14:paraId="7E19EC58" w14:textId="77777777" w:rsidR="002F0133" w:rsidRPr="000B4E2C" w:rsidRDefault="002F0133" w:rsidP="008A7464">
            <w:pPr>
              <w:rPr>
                <w:lang w:eastAsia="en-GB"/>
              </w:rPr>
            </w:pPr>
            <w:r w:rsidRPr="000B4E2C">
              <w:rPr>
                <w:lang w:eastAsia="en-GB"/>
              </w:rPr>
              <w:t>Quintavalle</w:t>
            </w:r>
          </w:p>
        </w:tc>
        <w:tc>
          <w:tcPr>
            <w:tcW w:w="0" w:type="auto"/>
            <w:shd w:val="clear" w:color="auto" w:fill="auto"/>
            <w:noWrap/>
            <w:hideMark/>
          </w:tcPr>
          <w:p w14:paraId="438CF90F"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23B8F7D"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1FC7C7D" w14:textId="77777777" w:rsidR="002F0133" w:rsidRPr="000B4E2C" w:rsidRDefault="002F0133" w:rsidP="008A7464">
            <w:pPr>
              <w:rPr>
                <w:highlight w:val="green"/>
                <w:lang w:eastAsia="en-GB"/>
              </w:rPr>
            </w:pPr>
            <w:r w:rsidRPr="000B4E2C">
              <w:rPr>
                <w:highlight w:val="green"/>
                <w:lang w:eastAsia="en-GB"/>
              </w:rPr>
              <w:t>C. Quintavalle, C. V. Anselmi, F. De Micco, G. Roscigno, G. Visconti, B. Golia, A. Focaccio, B. Ricciardelli, E. Perna, L. Papa, E. Donnarumma, G. Condorelli and C. Briguori. Neutrophil gelatinase-associated lipocalin and contrast-induced acute kidney injury. Circulation: Cardiovascular Interventions, 8(9), e002673. [16430]</w:t>
            </w:r>
          </w:p>
        </w:tc>
      </w:tr>
      <w:tr w:rsidR="002F0133" w:rsidRPr="000B4E2C" w14:paraId="69B67E3F" w14:textId="77777777" w:rsidTr="000B4E2C">
        <w:trPr>
          <w:cantSplit/>
        </w:trPr>
        <w:tc>
          <w:tcPr>
            <w:tcW w:w="0" w:type="auto"/>
            <w:shd w:val="clear" w:color="auto" w:fill="auto"/>
            <w:noWrap/>
            <w:hideMark/>
          </w:tcPr>
          <w:p w14:paraId="2C43D64B" w14:textId="77777777" w:rsidR="002F0133" w:rsidRPr="000B4E2C" w:rsidRDefault="002F0133" w:rsidP="008A7464">
            <w:pPr>
              <w:rPr>
                <w:lang w:eastAsia="en-GB"/>
              </w:rPr>
            </w:pPr>
            <w:r w:rsidRPr="000B4E2C">
              <w:rPr>
                <w:lang w:eastAsia="en-GB"/>
              </w:rPr>
              <w:t>Radovic</w:t>
            </w:r>
          </w:p>
        </w:tc>
        <w:tc>
          <w:tcPr>
            <w:tcW w:w="0" w:type="auto"/>
            <w:shd w:val="clear" w:color="auto" w:fill="auto"/>
            <w:noWrap/>
            <w:hideMark/>
          </w:tcPr>
          <w:p w14:paraId="4180B504"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01AD3605"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6CFE0FF1" w14:textId="77777777" w:rsidR="002F0133" w:rsidRPr="000B4E2C" w:rsidRDefault="002F0133" w:rsidP="008A7464">
            <w:pPr>
              <w:rPr>
                <w:highlight w:val="green"/>
                <w:lang w:eastAsia="en-GB"/>
              </w:rPr>
            </w:pPr>
            <w:r w:rsidRPr="000B4E2C">
              <w:rPr>
                <w:highlight w:val="green"/>
                <w:lang w:eastAsia="en-GB"/>
              </w:rPr>
              <w:t>M. Radovic, S. Bojic, J. Kotur-Stevuljevic, V. Lezaic, B. Milicic, M. Velinovic, R. Karan and S. Simic-Ogrizovic. Serum lactate as reliable biomarker of acute kidney injury in low-risk cardiac surgery patients. Journal of Medical Biochemistry, 38(2), 118-125. [16433]</w:t>
            </w:r>
          </w:p>
        </w:tc>
      </w:tr>
      <w:tr w:rsidR="002F0133" w:rsidRPr="000B4E2C" w14:paraId="50B44EE7" w14:textId="77777777" w:rsidTr="000B4E2C">
        <w:trPr>
          <w:cantSplit/>
        </w:trPr>
        <w:tc>
          <w:tcPr>
            <w:tcW w:w="0" w:type="auto"/>
            <w:shd w:val="clear" w:color="auto" w:fill="auto"/>
            <w:noWrap/>
            <w:hideMark/>
          </w:tcPr>
          <w:p w14:paraId="191624CF" w14:textId="77777777" w:rsidR="002F0133" w:rsidRPr="000B4E2C" w:rsidRDefault="002F0133" w:rsidP="008A7464">
            <w:pPr>
              <w:rPr>
                <w:lang w:eastAsia="en-GB"/>
              </w:rPr>
            </w:pPr>
            <w:r w:rsidRPr="000B4E2C">
              <w:rPr>
                <w:lang w:eastAsia="en-GB"/>
              </w:rPr>
              <w:t>Rafiei</w:t>
            </w:r>
          </w:p>
        </w:tc>
        <w:tc>
          <w:tcPr>
            <w:tcW w:w="0" w:type="auto"/>
            <w:shd w:val="clear" w:color="auto" w:fill="auto"/>
            <w:noWrap/>
            <w:hideMark/>
          </w:tcPr>
          <w:p w14:paraId="018EDE96"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0FDDB9C" w14:textId="601BD1A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5DED594" w14:textId="77777777" w:rsidR="002F0133" w:rsidRPr="000B4E2C" w:rsidRDefault="002F0133" w:rsidP="008A7464">
            <w:pPr>
              <w:rPr>
                <w:highlight w:val="green"/>
                <w:lang w:eastAsia="en-GB"/>
              </w:rPr>
            </w:pPr>
            <w:r w:rsidRPr="000B4E2C">
              <w:rPr>
                <w:highlight w:val="green"/>
                <w:lang w:eastAsia="en-GB"/>
              </w:rPr>
              <w:t>A. Rafiei, H. Mohammadjafari, S. Bazi and A. M. Mirabi. Urinary neutrophil gelatinase-associated lipocalin (NGAL) might be an independent marker for anticipating scar formation in children with acute pyelonephritis. Journal of Renal Injury Prevention, 4(2), 39-44. [18563]</w:t>
            </w:r>
          </w:p>
        </w:tc>
      </w:tr>
      <w:tr w:rsidR="002F0133" w:rsidRPr="000B4E2C" w14:paraId="0488FB98" w14:textId="77777777" w:rsidTr="000B4E2C">
        <w:trPr>
          <w:cantSplit/>
        </w:trPr>
        <w:tc>
          <w:tcPr>
            <w:tcW w:w="0" w:type="auto"/>
            <w:shd w:val="clear" w:color="auto" w:fill="auto"/>
            <w:noWrap/>
            <w:hideMark/>
          </w:tcPr>
          <w:p w14:paraId="3043E057" w14:textId="77777777" w:rsidR="002F0133" w:rsidRPr="000B4E2C" w:rsidRDefault="002F0133" w:rsidP="008A7464">
            <w:pPr>
              <w:rPr>
                <w:lang w:eastAsia="en-GB"/>
              </w:rPr>
            </w:pPr>
            <w:r w:rsidRPr="000B4E2C">
              <w:rPr>
                <w:lang w:eastAsia="en-GB"/>
              </w:rPr>
              <w:t>Raggal</w:t>
            </w:r>
          </w:p>
        </w:tc>
        <w:tc>
          <w:tcPr>
            <w:tcW w:w="0" w:type="auto"/>
            <w:shd w:val="clear" w:color="auto" w:fill="auto"/>
            <w:noWrap/>
            <w:hideMark/>
          </w:tcPr>
          <w:p w14:paraId="37023D14"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6BEDE914" w14:textId="667A9B5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11382AD" w14:textId="77777777" w:rsidR="002F0133" w:rsidRPr="000B4E2C" w:rsidRDefault="002F0133" w:rsidP="008A7464">
            <w:pPr>
              <w:rPr>
                <w:highlight w:val="green"/>
                <w:lang w:eastAsia="en-GB"/>
              </w:rPr>
            </w:pPr>
            <w:r w:rsidRPr="000B4E2C">
              <w:rPr>
                <w:highlight w:val="green"/>
                <w:lang w:eastAsia="en-GB"/>
              </w:rPr>
              <w:t>N. E. Raggal, S. M. Khafagy, N. H. Mahmoud and S. E. Beltagy. Serum neutrophil gelatinase-associated lipocalin as a marker of acute kidney injury in asphyxiated neonates. Indian pediatrics, 50(5), 459-62. [16434]</w:t>
            </w:r>
          </w:p>
        </w:tc>
      </w:tr>
      <w:tr w:rsidR="002F0133" w:rsidRPr="000B4E2C" w14:paraId="1929124F" w14:textId="77777777" w:rsidTr="000B4E2C">
        <w:trPr>
          <w:cantSplit/>
        </w:trPr>
        <w:tc>
          <w:tcPr>
            <w:tcW w:w="0" w:type="auto"/>
            <w:shd w:val="clear" w:color="auto" w:fill="auto"/>
            <w:noWrap/>
            <w:hideMark/>
          </w:tcPr>
          <w:p w14:paraId="1628BA68" w14:textId="77777777" w:rsidR="002F0133" w:rsidRPr="000B4E2C" w:rsidRDefault="002F0133" w:rsidP="008A7464">
            <w:pPr>
              <w:rPr>
                <w:lang w:eastAsia="en-GB"/>
              </w:rPr>
            </w:pPr>
            <w:r w:rsidRPr="000B4E2C">
              <w:rPr>
                <w:lang w:eastAsia="en-GB"/>
              </w:rPr>
              <w:t>Rakkolainen</w:t>
            </w:r>
          </w:p>
        </w:tc>
        <w:tc>
          <w:tcPr>
            <w:tcW w:w="0" w:type="auto"/>
            <w:shd w:val="clear" w:color="auto" w:fill="auto"/>
            <w:noWrap/>
            <w:hideMark/>
          </w:tcPr>
          <w:p w14:paraId="3383E67F"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62E713F" w14:textId="4D48BF5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EBB794C" w14:textId="77777777" w:rsidR="002F0133" w:rsidRPr="000B4E2C" w:rsidRDefault="002F0133" w:rsidP="008A7464">
            <w:pPr>
              <w:rPr>
                <w:highlight w:val="green"/>
                <w:lang w:eastAsia="en-GB"/>
              </w:rPr>
            </w:pPr>
            <w:r w:rsidRPr="000B4E2C">
              <w:rPr>
                <w:highlight w:val="green"/>
                <w:lang w:eastAsia="en-GB"/>
              </w:rPr>
              <w:t>I. Rakkolainen and J. Vuola. Plasma NGAL predicts early acute kidney injury no earlier than s-creatinine or cystatin C in severely burned patients. Burns, 42(2), 322-328. [16435]</w:t>
            </w:r>
          </w:p>
        </w:tc>
      </w:tr>
      <w:tr w:rsidR="002F0133" w:rsidRPr="000B4E2C" w14:paraId="1357FEC2" w14:textId="77777777" w:rsidTr="000B4E2C">
        <w:trPr>
          <w:cantSplit/>
        </w:trPr>
        <w:tc>
          <w:tcPr>
            <w:tcW w:w="0" w:type="auto"/>
            <w:shd w:val="clear" w:color="auto" w:fill="auto"/>
            <w:noWrap/>
            <w:hideMark/>
          </w:tcPr>
          <w:p w14:paraId="57B00EEE" w14:textId="77777777" w:rsidR="002F0133" w:rsidRPr="000B4E2C" w:rsidRDefault="002F0133" w:rsidP="008A7464">
            <w:pPr>
              <w:rPr>
                <w:lang w:eastAsia="en-GB"/>
              </w:rPr>
            </w:pPr>
            <w:r w:rsidRPr="000B4E2C">
              <w:rPr>
                <w:lang w:eastAsia="en-GB"/>
              </w:rPr>
              <w:t>Ralib</w:t>
            </w:r>
          </w:p>
        </w:tc>
        <w:tc>
          <w:tcPr>
            <w:tcW w:w="0" w:type="auto"/>
            <w:shd w:val="clear" w:color="auto" w:fill="auto"/>
            <w:noWrap/>
            <w:hideMark/>
          </w:tcPr>
          <w:p w14:paraId="18399D13"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754BA8DB"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7299DA48" w14:textId="77777777" w:rsidR="002F0133" w:rsidRPr="000B4E2C" w:rsidRDefault="002F0133" w:rsidP="008A7464">
            <w:pPr>
              <w:rPr>
                <w:highlight w:val="green"/>
                <w:lang w:eastAsia="en-GB"/>
              </w:rPr>
            </w:pPr>
            <w:r w:rsidRPr="000B4E2C">
              <w:rPr>
                <w:highlight w:val="green"/>
                <w:lang w:eastAsia="en-GB"/>
              </w:rPr>
              <w:t>A. M. Ralib, J. W. Pickering and Z. H. Endre. Predictor of early diagnosis, diagnosis, or progression of acute kidney injury. Annals of Emergency Medicine, 57(1), 75-76. [16437]</w:t>
            </w:r>
          </w:p>
        </w:tc>
      </w:tr>
      <w:tr w:rsidR="002F0133" w:rsidRPr="000B4E2C" w14:paraId="59155A8D" w14:textId="77777777" w:rsidTr="000B4E2C">
        <w:trPr>
          <w:cantSplit/>
        </w:trPr>
        <w:tc>
          <w:tcPr>
            <w:tcW w:w="0" w:type="auto"/>
            <w:shd w:val="clear" w:color="auto" w:fill="auto"/>
            <w:noWrap/>
            <w:hideMark/>
          </w:tcPr>
          <w:p w14:paraId="31D52308" w14:textId="77777777" w:rsidR="002F0133" w:rsidRPr="000B4E2C" w:rsidRDefault="002F0133" w:rsidP="008A7464">
            <w:pPr>
              <w:rPr>
                <w:lang w:eastAsia="en-GB"/>
              </w:rPr>
            </w:pPr>
            <w:r w:rsidRPr="000B4E2C">
              <w:rPr>
                <w:lang w:eastAsia="en-GB"/>
              </w:rPr>
              <w:t>Ralib</w:t>
            </w:r>
          </w:p>
        </w:tc>
        <w:tc>
          <w:tcPr>
            <w:tcW w:w="0" w:type="auto"/>
            <w:shd w:val="clear" w:color="auto" w:fill="auto"/>
            <w:noWrap/>
            <w:hideMark/>
          </w:tcPr>
          <w:p w14:paraId="58ADB97B"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1BB179C7"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029995D2" w14:textId="77777777" w:rsidR="002F0133" w:rsidRPr="000B4E2C" w:rsidRDefault="002F0133" w:rsidP="008A7464">
            <w:pPr>
              <w:rPr>
                <w:highlight w:val="green"/>
                <w:lang w:eastAsia="en-GB"/>
              </w:rPr>
            </w:pPr>
            <w:r w:rsidRPr="000B4E2C">
              <w:rPr>
                <w:highlight w:val="green"/>
                <w:lang w:eastAsia="en-GB"/>
              </w:rPr>
              <w:t>A. M. Ralib, J. W. Pickering, G. M. Shaw, P. Devarajan, C. L. Edelstein, J. V. Bonventre and Z. H. Endre. Test characteristics of urinary biomarkers depend on quantitation method in acute kidney injury. Journal of the American Society of Nephrology, 23(2), 322-333. [16438]</w:t>
            </w:r>
          </w:p>
        </w:tc>
      </w:tr>
      <w:tr w:rsidR="002F0133" w:rsidRPr="000B4E2C" w14:paraId="69B03B7D" w14:textId="77777777" w:rsidTr="000B4E2C">
        <w:trPr>
          <w:cantSplit/>
        </w:trPr>
        <w:tc>
          <w:tcPr>
            <w:tcW w:w="0" w:type="auto"/>
            <w:shd w:val="clear" w:color="auto" w:fill="auto"/>
            <w:noWrap/>
            <w:hideMark/>
          </w:tcPr>
          <w:p w14:paraId="233FB515" w14:textId="77777777" w:rsidR="002F0133" w:rsidRPr="000B4E2C" w:rsidRDefault="002F0133" w:rsidP="008A7464">
            <w:pPr>
              <w:rPr>
                <w:lang w:eastAsia="en-GB"/>
              </w:rPr>
            </w:pPr>
            <w:r w:rsidRPr="000B4E2C">
              <w:rPr>
                <w:lang w:eastAsia="en-GB"/>
              </w:rPr>
              <w:t>Ralib</w:t>
            </w:r>
          </w:p>
        </w:tc>
        <w:tc>
          <w:tcPr>
            <w:tcW w:w="0" w:type="auto"/>
            <w:shd w:val="clear" w:color="auto" w:fill="auto"/>
            <w:noWrap/>
            <w:hideMark/>
          </w:tcPr>
          <w:p w14:paraId="5E12B9A6"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F68F90A" w14:textId="1E97A45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9269F0B" w14:textId="77777777" w:rsidR="002F0133" w:rsidRPr="000B4E2C" w:rsidRDefault="002F0133" w:rsidP="008A7464">
            <w:pPr>
              <w:rPr>
                <w:highlight w:val="green"/>
                <w:lang w:eastAsia="en-GB"/>
              </w:rPr>
            </w:pPr>
            <w:r w:rsidRPr="000B4E2C">
              <w:rPr>
                <w:highlight w:val="green"/>
                <w:lang w:eastAsia="en-GB"/>
              </w:rPr>
              <w:t>A. M. Ralib, J. W. Pickering, G. M. Shaw, M. P. Than, P. M. George and Z. H. Endre. The clinical utility window for acute kidney injury biomarkers in the critically ill. Critical Care, 18(6), 601. [16436]</w:t>
            </w:r>
          </w:p>
        </w:tc>
      </w:tr>
      <w:tr w:rsidR="002F0133" w:rsidRPr="000B4E2C" w14:paraId="32ED605E" w14:textId="77777777" w:rsidTr="000B4E2C">
        <w:trPr>
          <w:cantSplit/>
        </w:trPr>
        <w:tc>
          <w:tcPr>
            <w:tcW w:w="0" w:type="auto"/>
            <w:shd w:val="clear" w:color="auto" w:fill="auto"/>
            <w:noWrap/>
            <w:hideMark/>
          </w:tcPr>
          <w:p w14:paraId="28E72A17" w14:textId="77777777" w:rsidR="002F0133" w:rsidRPr="000B4E2C" w:rsidRDefault="002F0133" w:rsidP="008A7464">
            <w:pPr>
              <w:rPr>
                <w:lang w:eastAsia="en-GB"/>
              </w:rPr>
            </w:pPr>
            <w:r w:rsidRPr="000B4E2C">
              <w:rPr>
                <w:lang w:eastAsia="en-GB"/>
              </w:rPr>
              <w:t>Ralib</w:t>
            </w:r>
          </w:p>
        </w:tc>
        <w:tc>
          <w:tcPr>
            <w:tcW w:w="0" w:type="auto"/>
            <w:shd w:val="clear" w:color="auto" w:fill="auto"/>
            <w:noWrap/>
            <w:hideMark/>
          </w:tcPr>
          <w:p w14:paraId="47467B9D"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60105E8"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204C8740" w14:textId="77777777" w:rsidR="002F0133" w:rsidRPr="000B4E2C" w:rsidRDefault="002F0133" w:rsidP="008A7464">
            <w:pPr>
              <w:rPr>
                <w:highlight w:val="green"/>
                <w:lang w:eastAsia="en-GB"/>
              </w:rPr>
            </w:pPr>
            <w:r w:rsidRPr="000B4E2C">
              <w:rPr>
                <w:highlight w:val="green"/>
                <w:lang w:eastAsia="en-GB"/>
              </w:rPr>
              <w:t>A. M. Ralib, S. Nanyan and M. B. M. Nor. Dynamic Changes of Plasma Neutrophil Gelatinase-Associated Lipocalin Predicted Mortality in Critically Ill Patients with Systemic Inflammatory Response Syndrome. Indian Journal of Critical Care Medicine, 21(1), 23-29. [18564]</w:t>
            </w:r>
          </w:p>
        </w:tc>
      </w:tr>
      <w:tr w:rsidR="002F0133" w:rsidRPr="000B4E2C" w14:paraId="752E06FD" w14:textId="77777777" w:rsidTr="000B4E2C">
        <w:trPr>
          <w:cantSplit/>
        </w:trPr>
        <w:tc>
          <w:tcPr>
            <w:tcW w:w="0" w:type="auto"/>
            <w:shd w:val="clear" w:color="auto" w:fill="auto"/>
            <w:noWrap/>
            <w:hideMark/>
          </w:tcPr>
          <w:p w14:paraId="5796BFE0" w14:textId="77777777" w:rsidR="002F0133" w:rsidRPr="000B4E2C" w:rsidRDefault="002F0133" w:rsidP="008A7464">
            <w:pPr>
              <w:rPr>
                <w:lang w:eastAsia="en-GB"/>
              </w:rPr>
            </w:pPr>
            <w:r w:rsidRPr="000B4E2C">
              <w:rPr>
                <w:lang w:eastAsia="en-GB"/>
              </w:rPr>
              <w:t>Ramchandran</w:t>
            </w:r>
          </w:p>
        </w:tc>
        <w:tc>
          <w:tcPr>
            <w:tcW w:w="0" w:type="auto"/>
            <w:shd w:val="clear" w:color="auto" w:fill="auto"/>
            <w:noWrap/>
            <w:hideMark/>
          </w:tcPr>
          <w:p w14:paraId="4D4BEA63"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746BB506"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630C97F2" w14:textId="77777777" w:rsidR="002F0133" w:rsidRPr="000B4E2C" w:rsidRDefault="002F0133" w:rsidP="008A7464">
            <w:pPr>
              <w:rPr>
                <w:highlight w:val="green"/>
                <w:lang w:eastAsia="en-GB"/>
              </w:rPr>
            </w:pPr>
            <w:r w:rsidRPr="000B4E2C">
              <w:rPr>
                <w:highlight w:val="green"/>
                <w:lang w:eastAsia="en-GB"/>
              </w:rPr>
              <w:t>B. Ramchandran. Acute kidney injury in critically ill children: More than just urine output. Indian Journal of Critical Care Medicine, 17(4), 203-204. [16439]</w:t>
            </w:r>
          </w:p>
        </w:tc>
      </w:tr>
      <w:tr w:rsidR="002F0133" w:rsidRPr="000B4E2C" w14:paraId="6F21FC12" w14:textId="77777777" w:rsidTr="000B4E2C">
        <w:trPr>
          <w:cantSplit/>
        </w:trPr>
        <w:tc>
          <w:tcPr>
            <w:tcW w:w="0" w:type="auto"/>
            <w:shd w:val="clear" w:color="auto" w:fill="auto"/>
            <w:noWrap/>
            <w:hideMark/>
          </w:tcPr>
          <w:p w14:paraId="01CEFD38" w14:textId="77777777" w:rsidR="002F0133" w:rsidRPr="000B4E2C" w:rsidRDefault="002F0133" w:rsidP="008A7464">
            <w:pPr>
              <w:rPr>
                <w:lang w:eastAsia="en-GB"/>
              </w:rPr>
            </w:pPr>
            <w:r w:rsidRPr="000B4E2C">
              <w:rPr>
                <w:lang w:eastAsia="en-GB"/>
              </w:rPr>
              <w:t>Rampoldi</w:t>
            </w:r>
          </w:p>
        </w:tc>
        <w:tc>
          <w:tcPr>
            <w:tcW w:w="0" w:type="auto"/>
            <w:shd w:val="clear" w:color="auto" w:fill="auto"/>
            <w:noWrap/>
            <w:hideMark/>
          </w:tcPr>
          <w:p w14:paraId="7CD4F0A2"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02065E7" w14:textId="3209223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5F1FA74" w14:textId="77777777" w:rsidR="002F0133" w:rsidRPr="000B4E2C" w:rsidRDefault="002F0133" w:rsidP="008A7464">
            <w:pPr>
              <w:rPr>
                <w:highlight w:val="green"/>
                <w:lang w:eastAsia="en-GB"/>
              </w:rPr>
            </w:pPr>
            <w:r w:rsidRPr="000B4E2C">
              <w:rPr>
                <w:highlight w:val="green"/>
                <w:lang w:eastAsia="en-GB"/>
              </w:rPr>
              <w:t>B. Rampoldi, S. Tessarolo, P. Giubbilini, P. Gaia, S. D. Corino, S. Mazza, R. Rigolini, M. D. Poli, E. Vianello, M. M. Corsi Romanelli and E. Costa. Neutrophil gelatinase-associated lipocalin and acute kidney injury in endovascular aneurysm repair or open aortic repair: A pilot study. Biochemia Medica, 28(1), 010904. [16443]</w:t>
            </w:r>
          </w:p>
        </w:tc>
      </w:tr>
      <w:tr w:rsidR="002F0133" w:rsidRPr="000B4E2C" w14:paraId="699513F0" w14:textId="77777777" w:rsidTr="000B4E2C">
        <w:trPr>
          <w:cantSplit/>
        </w:trPr>
        <w:tc>
          <w:tcPr>
            <w:tcW w:w="0" w:type="auto"/>
            <w:shd w:val="clear" w:color="auto" w:fill="auto"/>
            <w:noWrap/>
            <w:hideMark/>
          </w:tcPr>
          <w:p w14:paraId="05D026C5" w14:textId="77777777" w:rsidR="002F0133" w:rsidRPr="000B4E2C" w:rsidRDefault="002F0133" w:rsidP="008A7464">
            <w:pPr>
              <w:rPr>
                <w:lang w:eastAsia="en-GB"/>
              </w:rPr>
            </w:pPr>
            <w:r w:rsidRPr="000B4E2C">
              <w:rPr>
                <w:lang w:eastAsia="en-GB"/>
              </w:rPr>
              <w:lastRenderedPageBreak/>
              <w:t>Rauen</w:t>
            </w:r>
          </w:p>
        </w:tc>
        <w:tc>
          <w:tcPr>
            <w:tcW w:w="0" w:type="auto"/>
            <w:shd w:val="clear" w:color="auto" w:fill="auto"/>
            <w:noWrap/>
            <w:hideMark/>
          </w:tcPr>
          <w:p w14:paraId="1D6BFA28"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526898E9"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11BF0E52" w14:textId="77777777" w:rsidR="002F0133" w:rsidRPr="000B4E2C" w:rsidRDefault="002F0133" w:rsidP="008A7464">
            <w:pPr>
              <w:rPr>
                <w:highlight w:val="green"/>
                <w:lang w:eastAsia="en-GB"/>
              </w:rPr>
            </w:pPr>
            <w:r w:rsidRPr="000B4E2C">
              <w:rPr>
                <w:highlight w:val="green"/>
                <w:lang w:eastAsia="en-GB"/>
              </w:rPr>
              <w:t>T. Rauen, R. Weiskirchen and J. Floege. In search of early events in the development of chronic kidney disease: The emerging role for lipocalin-2/NGAL*. Nephrology Dialysis Transplantation, 26(2), 445-447. [16447]</w:t>
            </w:r>
          </w:p>
        </w:tc>
      </w:tr>
      <w:tr w:rsidR="002F0133" w:rsidRPr="000B4E2C" w14:paraId="7E55151D" w14:textId="77777777" w:rsidTr="000B4E2C">
        <w:trPr>
          <w:cantSplit/>
        </w:trPr>
        <w:tc>
          <w:tcPr>
            <w:tcW w:w="0" w:type="auto"/>
            <w:shd w:val="clear" w:color="auto" w:fill="auto"/>
            <w:noWrap/>
            <w:hideMark/>
          </w:tcPr>
          <w:p w14:paraId="172AC837" w14:textId="77777777" w:rsidR="002F0133" w:rsidRPr="000B4E2C" w:rsidRDefault="002F0133" w:rsidP="008A7464">
            <w:pPr>
              <w:rPr>
                <w:lang w:eastAsia="en-GB"/>
              </w:rPr>
            </w:pPr>
            <w:r w:rsidRPr="000B4E2C">
              <w:rPr>
                <w:lang w:eastAsia="en-GB"/>
              </w:rPr>
              <w:t>Redding</w:t>
            </w:r>
          </w:p>
        </w:tc>
        <w:tc>
          <w:tcPr>
            <w:tcW w:w="0" w:type="auto"/>
            <w:shd w:val="clear" w:color="auto" w:fill="auto"/>
            <w:noWrap/>
            <w:hideMark/>
          </w:tcPr>
          <w:p w14:paraId="5F4F9A47"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0BDE8DC2"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73F0F788" w14:textId="77777777" w:rsidR="002F0133" w:rsidRPr="000B4E2C" w:rsidRDefault="002F0133" w:rsidP="008A7464">
            <w:pPr>
              <w:rPr>
                <w:highlight w:val="green"/>
                <w:lang w:eastAsia="en-GB"/>
              </w:rPr>
            </w:pPr>
            <w:r w:rsidRPr="000B4E2C">
              <w:rPr>
                <w:highlight w:val="green"/>
                <w:lang w:eastAsia="en-GB"/>
              </w:rPr>
              <w:t>S. Redding. Distinct injury markers for the early detection and prognosis of incident acute kidney injury in critically ill adults with preserved kidney function. Annals of Clinical Biochemistry, 50(6), 625-626. [16449]</w:t>
            </w:r>
          </w:p>
        </w:tc>
      </w:tr>
      <w:tr w:rsidR="002F0133" w:rsidRPr="000B4E2C" w14:paraId="232D065B" w14:textId="77777777" w:rsidTr="000B4E2C">
        <w:trPr>
          <w:cantSplit/>
        </w:trPr>
        <w:tc>
          <w:tcPr>
            <w:tcW w:w="0" w:type="auto"/>
            <w:shd w:val="clear" w:color="auto" w:fill="auto"/>
            <w:noWrap/>
            <w:hideMark/>
          </w:tcPr>
          <w:p w14:paraId="2117EB5A" w14:textId="77777777" w:rsidR="002F0133" w:rsidRPr="000B4E2C" w:rsidRDefault="002F0133" w:rsidP="008A7464">
            <w:pPr>
              <w:rPr>
                <w:lang w:eastAsia="en-GB"/>
              </w:rPr>
            </w:pPr>
            <w:r w:rsidRPr="000B4E2C">
              <w:rPr>
                <w:lang w:eastAsia="en-GB"/>
              </w:rPr>
              <w:t>Reiter</w:t>
            </w:r>
          </w:p>
        </w:tc>
        <w:tc>
          <w:tcPr>
            <w:tcW w:w="0" w:type="auto"/>
            <w:shd w:val="clear" w:color="auto" w:fill="auto"/>
            <w:noWrap/>
            <w:hideMark/>
          </w:tcPr>
          <w:p w14:paraId="2DACB23D"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553EA021" w14:textId="65C2FBA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E920740" w14:textId="77777777" w:rsidR="002F0133" w:rsidRPr="000B4E2C" w:rsidRDefault="002F0133" w:rsidP="008A7464">
            <w:pPr>
              <w:rPr>
                <w:highlight w:val="green"/>
                <w:lang w:eastAsia="en-GB"/>
              </w:rPr>
            </w:pPr>
            <w:r w:rsidRPr="000B4E2C">
              <w:rPr>
                <w:highlight w:val="green"/>
                <w:lang w:eastAsia="en-GB"/>
              </w:rPr>
              <w:t>K. Reiter, G. Balling, V. Bonelli, J. Pabst Von Ohain, S. L. Braun, P. Ewert and B. Ruf. Neutrophil gelatinase-associated lipocalin reflects inflammation and is not a reliable renal biomarker in neonates and infants after cardiopulmonary bypass: A prospective case-control study. Cardiology in the Young, 28(2), 243-251. [16453]</w:t>
            </w:r>
          </w:p>
        </w:tc>
      </w:tr>
      <w:tr w:rsidR="002F0133" w:rsidRPr="000B4E2C" w14:paraId="647E087A" w14:textId="77777777" w:rsidTr="000B4E2C">
        <w:trPr>
          <w:cantSplit/>
        </w:trPr>
        <w:tc>
          <w:tcPr>
            <w:tcW w:w="0" w:type="auto"/>
            <w:shd w:val="clear" w:color="auto" w:fill="auto"/>
            <w:noWrap/>
            <w:hideMark/>
          </w:tcPr>
          <w:p w14:paraId="11599E50" w14:textId="77777777" w:rsidR="002F0133" w:rsidRPr="000B4E2C" w:rsidRDefault="002F0133" w:rsidP="008A7464">
            <w:pPr>
              <w:rPr>
                <w:lang w:eastAsia="en-GB"/>
              </w:rPr>
            </w:pPr>
            <w:r w:rsidRPr="000B4E2C">
              <w:rPr>
                <w:lang w:eastAsia="en-GB"/>
              </w:rPr>
              <w:t>Renhua</w:t>
            </w:r>
          </w:p>
        </w:tc>
        <w:tc>
          <w:tcPr>
            <w:tcW w:w="0" w:type="auto"/>
            <w:shd w:val="clear" w:color="auto" w:fill="auto"/>
            <w:noWrap/>
            <w:hideMark/>
          </w:tcPr>
          <w:p w14:paraId="361B20F4"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9CC0BD4"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3EEA007" w14:textId="77777777" w:rsidR="002F0133" w:rsidRPr="000B4E2C" w:rsidRDefault="002F0133" w:rsidP="008A7464">
            <w:pPr>
              <w:rPr>
                <w:highlight w:val="green"/>
                <w:lang w:eastAsia="en-GB"/>
              </w:rPr>
            </w:pPr>
            <w:r w:rsidRPr="000B4E2C">
              <w:rPr>
                <w:highlight w:val="green"/>
                <w:lang w:eastAsia="en-GB"/>
              </w:rPr>
              <w:t>L. Renhua, C. Miaolin, W. Junlin, W. Qingwei, X. Xiaoping, D. Huili, Z. Weiming, N. Zhaohui, Q. Jiaqi and Y. Yan. The level of the biomarkers at the time of nephrology consultation might predict the prognosis of acute kidney injury in hospitalized patients. Blood Purification, 38(2), 89-95. [16455]</w:t>
            </w:r>
          </w:p>
        </w:tc>
      </w:tr>
      <w:tr w:rsidR="002F0133" w:rsidRPr="000B4E2C" w14:paraId="16832730" w14:textId="77777777" w:rsidTr="000B4E2C">
        <w:trPr>
          <w:cantSplit/>
        </w:trPr>
        <w:tc>
          <w:tcPr>
            <w:tcW w:w="0" w:type="auto"/>
            <w:shd w:val="clear" w:color="auto" w:fill="auto"/>
            <w:noWrap/>
            <w:hideMark/>
          </w:tcPr>
          <w:p w14:paraId="52182BA7" w14:textId="77777777" w:rsidR="002F0133" w:rsidRPr="000B4E2C" w:rsidRDefault="002F0133" w:rsidP="008A7464">
            <w:pPr>
              <w:rPr>
                <w:lang w:eastAsia="en-GB"/>
              </w:rPr>
            </w:pPr>
            <w:r w:rsidRPr="000B4E2C">
              <w:rPr>
                <w:lang w:eastAsia="en-GB"/>
              </w:rPr>
              <w:t>Rewa</w:t>
            </w:r>
          </w:p>
        </w:tc>
        <w:tc>
          <w:tcPr>
            <w:tcW w:w="0" w:type="auto"/>
            <w:shd w:val="clear" w:color="auto" w:fill="auto"/>
            <w:noWrap/>
            <w:hideMark/>
          </w:tcPr>
          <w:p w14:paraId="044F7EC3"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78BEB130"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46A0810A" w14:textId="77777777" w:rsidR="002F0133" w:rsidRPr="000B4E2C" w:rsidRDefault="002F0133" w:rsidP="008A7464">
            <w:pPr>
              <w:rPr>
                <w:highlight w:val="green"/>
                <w:lang w:eastAsia="en-GB"/>
              </w:rPr>
            </w:pPr>
            <w:r w:rsidRPr="000B4E2C">
              <w:rPr>
                <w:highlight w:val="green"/>
                <w:lang w:eastAsia="en-GB"/>
              </w:rPr>
              <w:t>O. Rewa, R. Wald, N. K. J. Adhikari, M. Hladunewich, S. Lapinsky, J. Muscedere, S. M. Bagshaw, O. M. Smith, G. Lebovic, R. Kuint and D. J. Klein. Whole-blood neutrophil gelatinase-associated lipocalin to predict adverse events in acute kidney injury: A prospective observational cohort study. Journal of Critical Care, 30(6), 1359-1364. [16457]</w:t>
            </w:r>
          </w:p>
        </w:tc>
      </w:tr>
      <w:tr w:rsidR="002F0133" w:rsidRPr="000B4E2C" w14:paraId="1E97051E" w14:textId="77777777" w:rsidTr="000B4E2C">
        <w:trPr>
          <w:cantSplit/>
        </w:trPr>
        <w:tc>
          <w:tcPr>
            <w:tcW w:w="0" w:type="auto"/>
            <w:shd w:val="clear" w:color="auto" w:fill="auto"/>
            <w:noWrap/>
            <w:hideMark/>
          </w:tcPr>
          <w:p w14:paraId="40832C03" w14:textId="77777777" w:rsidR="002F0133" w:rsidRPr="000B4E2C" w:rsidRDefault="002F0133" w:rsidP="008A7464">
            <w:pPr>
              <w:rPr>
                <w:lang w:eastAsia="en-GB"/>
              </w:rPr>
            </w:pPr>
            <w:r w:rsidRPr="000B4E2C">
              <w:rPr>
                <w:lang w:eastAsia="en-GB"/>
              </w:rPr>
              <w:t>Ribitsch</w:t>
            </w:r>
          </w:p>
        </w:tc>
        <w:tc>
          <w:tcPr>
            <w:tcW w:w="0" w:type="auto"/>
            <w:shd w:val="clear" w:color="auto" w:fill="auto"/>
            <w:noWrap/>
            <w:hideMark/>
          </w:tcPr>
          <w:p w14:paraId="033C4530"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3A36EA9A"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67D2D735" w14:textId="77777777" w:rsidR="002F0133" w:rsidRPr="000B4E2C" w:rsidRDefault="002F0133" w:rsidP="008A7464">
            <w:pPr>
              <w:rPr>
                <w:highlight w:val="green"/>
                <w:lang w:eastAsia="en-GB"/>
              </w:rPr>
            </w:pPr>
            <w:r w:rsidRPr="000B4E2C">
              <w:rPr>
                <w:highlight w:val="green"/>
                <w:lang w:eastAsia="en-GB"/>
              </w:rPr>
              <w:t>W. Ribitsch and A. R. Rosenkranz. Biomarkers in acute kidney injury: A never ending story?. Critical Care Medicine, 39(11), 2570-2571. [16460]</w:t>
            </w:r>
          </w:p>
        </w:tc>
      </w:tr>
      <w:tr w:rsidR="002F0133" w:rsidRPr="000B4E2C" w14:paraId="11B8CC91" w14:textId="77777777" w:rsidTr="000B4E2C">
        <w:trPr>
          <w:cantSplit/>
        </w:trPr>
        <w:tc>
          <w:tcPr>
            <w:tcW w:w="0" w:type="auto"/>
            <w:shd w:val="clear" w:color="auto" w:fill="auto"/>
            <w:noWrap/>
            <w:hideMark/>
          </w:tcPr>
          <w:p w14:paraId="22AC02DA" w14:textId="77777777" w:rsidR="002F0133" w:rsidRPr="000B4E2C" w:rsidRDefault="002F0133" w:rsidP="008A7464">
            <w:pPr>
              <w:rPr>
                <w:lang w:eastAsia="en-GB"/>
              </w:rPr>
            </w:pPr>
            <w:r w:rsidRPr="000B4E2C">
              <w:rPr>
                <w:lang w:eastAsia="en-GB"/>
              </w:rPr>
              <w:t>Ribitsch</w:t>
            </w:r>
          </w:p>
        </w:tc>
        <w:tc>
          <w:tcPr>
            <w:tcW w:w="0" w:type="auto"/>
            <w:shd w:val="clear" w:color="auto" w:fill="auto"/>
            <w:noWrap/>
            <w:hideMark/>
          </w:tcPr>
          <w:p w14:paraId="3BF62C74"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6E142E03"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7361B0F" w14:textId="77777777" w:rsidR="002F0133" w:rsidRPr="000B4E2C" w:rsidRDefault="002F0133" w:rsidP="008A7464">
            <w:pPr>
              <w:rPr>
                <w:highlight w:val="green"/>
                <w:lang w:eastAsia="en-GB"/>
              </w:rPr>
            </w:pPr>
            <w:r w:rsidRPr="000B4E2C">
              <w:rPr>
                <w:highlight w:val="green"/>
                <w:lang w:eastAsia="en-GB"/>
              </w:rPr>
              <w:t>W. Ribitsch, G. Schilcher, F. Quehenberger, S. Pilz, R. H. Portugaller, M. Truschnig-Wilders, R. Zweiker, M. Brodmann, P. Stiegler, A. R. Rosenkranz, J. W. Pickering and J. H. Horina. Neutrophil gelatinase-associated lipocalin (NGAL) fails as an early predictor of contrast induced nephropathy in chronic kidney disease (ANTI-CI-AKI study). Scientific reports, 7(41300. [16459]</w:t>
            </w:r>
          </w:p>
        </w:tc>
      </w:tr>
      <w:tr w:rsidR="002F0133" w:rsidRPr="000B4E2C" w14:paraId="06E71006" w14:textId="77777777" w:rsidTr="000B4E2C">
        <w:trPr>
          <w:cantSplit/>
        </w:trPr>
        <w:tc>
          <w:tcPr>
            <w:tcW w:w="0" w:type="auto"/>
            <w:shd w:val="clear" w:color="auto" w:fill="auto"/>
            <w:noWrap/>
            <w:hideMark/>
          </w:tcPr>
          <w:p w14:paraId="798CA067" w14:textId="77777777" w:rsidR="002F0133" w:rsidRPr="000B4E2C" w:rsidRDefault="002F0133" w:rsidP="008A7464">
            <w:pPr>
              <w:rPr>
                <w:lang w:eastAsia="en-GB"/>
              </w:rPr>
            </w:pPr>
            <w:r w:rsidRPr="000B4E2C">
              <w:rPr>
                <w:lang w:eastAsia="en-GB"/>
              </w:rPr>
              <w:t>Ricci</w:t>
            </w:r>
          </w:p>
        </w:tc>
        <w:tc>
          <w:tcPr>
            <w:tcW w:w="0" w:type="auto"/>
            <w:shd w:val="clear" w:color="auto" w:fill="auto"/>
            <w:noWrap/>
            <w:hideMark/>
          </w:tcPr>
          <w:p w14:paraId="22F2856F"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4CF5AA19"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078B5275" w14:textId="77777777" w:rsidR="002F0133" w:rsidRPr="000B4E2C" w:rsidRDefault="002F0133" w:rsidP="008A7464">
            <w:pPr>
              <w:rPr>
                <w:highlight w:val="green"/>
                <w:lang w:eastAsia="en-GB"/>
              </w:rPr>
            </w:pPr>
            <w:r w:rsidRPr="000B4E2C">
              <w:rPr>
                <w:highlight w:val="green"/>
                <w:lang w:eastAsia="en-GB"/>
              </w:rPr>
              <w:t>Z. Ricci, R. Netto, C. Garisto, C. Iacoella, I. Favia and P. Cogo. Whole blood assessment of neutrophil gelatinase-associated lipocalin versus pediatricRIFLE for acute kidney injury diagnosis and prognosis after pediatric cardiac surgery: Cross-sectional study. Pediatric Critical Care Medicine, 13(6), 667-670. [16466]</w:t>
            </w:r>
          </w:p>
        </w:tc>
      </w:tr>
      <w:tr w:rsidR="002F0133" w:rsidRPr="000B4E2C" w14:paraId="1AC1D7D7" w14:textId="77777777" w:rsidTr="000B4E2C">
        <w:trPr>
          <w:cantSplit/>
        </w:trPr>
        <w:tc>
          <w:tcPr>
            <w:tcW w:w="0" w:type="auto"/>
            <w:shd w:val="clear" w:color="auto" w:fill="auto"/>
            <w:noWrap/>
            <w:hideMark/>
          </w:tcPr>
          <w:p w14:paraId="695E6E86" w14:textId="77777777" w:rsidR="002F0133" w:rsidRPr="000B4E2C" w:rsidRDefault="002F0133" w:rsidP="008A7464">
            <w:pPr>
              <w:rPr>
                <w:lang w:eastAsia="en-GB"/>
              </w:rPr>
            </w:pPr>
            <w:r w:rsidRPr="000B4E2C">
              <w:rPr>
                <w:lang w:eastAsia="en-GB"/>
              </w:rPr>
              <w:t>Ricci</w:t>
            </w:r>
          </w:p>
        </w:tc>
        <w:tc>
          <w:tcPr>
            <w:tcW w:w="0" w:type="auto"/>
            <w:shd w:val="clear" w:color="auto" w:fill="auto"/>
            <w:noWrap/>
            <w:hideMark/>
          </w:tcPr>
          <w:p w14:paraId="66C2FB4B"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12F6CAC"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7368E90F" w14:textId="77777777" w:rsidR="002F0133" w:rsidRPr="000B4E2C" w:rsidRDefault="002F0133" w:rsidP="008A7464">
            <w:pPr>
              <w:rPr>
                <w:highlight w:val="green"/>
                <w:lang w:eastAsia="en-GB"/>
              </w:rPr>
            </w:pPr>
            <w:r w:rsidRPr="000B4E2C">
              <w:rPr>
                <w:highlight w:val="green"/>
                <w:lang w:eastAsia="en-GB"/>
              </w:rPr>
              <w:t>Z. Ricci, R. Haiberger, C. Pezzella, C. Garisto, I. Favia and P. Cogo. Furosemide versus ethacrynic acid in pediatric patients undergoing cardiac surgery: A randomized controlled trial. Critical Care, 19(1), 2. [16465]</w:t>
            </w:r>
          </w:p>
        </w:tc>
      </w:tr>
      <w:tr w:rsidR="002F0133" w:rsidRPr="000B4E2C" w14:paraId="7AFA969B" w14:textId="77777777" w:rsidTr="000B4E2C">
        <w:trPr>
          <w:cantSplit/>
        </w:trPr>
        <w:tc>
          <w:tcPr>
            <w:tcW w:w="0" w:type="auto"/>
            <w:shd w:val="clear" w:color="auto" w:fill="auto"/>
            <w:noWrap/>
            <w:hideMark/>
          </w:tcPr>
          <w:p w14:paraId="19822275" w14:textId="77777777" w:rsidR="002F0133" w:rsidRPr="000B4E2C" w:rsidRDefault="002F0133" w:rsidP="008A7464">
            <w:pPr>
              <w:rPr>
                <w:lang w:eastAsia="en-GB"/>
              </w:rPr>
            </w:pPr>
            <w:r w:rsidRPr="000B4E2C">
              <w:rPr>
                <w:lang w:eastAsia="en-GB"/>
              </w:rPr>
              <w:t>Roberts</w:t>
            </w:r>
          </w:p>
        </w:tc>
        <w:tc>
          <w:tcPr>
            <w:tcW w:w="0" w:type="auto"/>
            <w:shd w:val="clear" w:color="auto" w:fill="auto"/>
            <w:noWrap/>
            <w:hideMark/>
          </w:tcPr>
          <w:p w14:paraId="3070A3B1"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6C449830"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E8F4FF1" w14:textId="77777777" w:rsidR="002F0133" w:rsidRPr="000B4E2C" w:rsidRDefault="002F0133" w:rsidP="008A7464">
            <w:pPr>
              <w:rPr>
                <w:highlight w:val="green"/>
                <w:lang w:eastAsia="en-GB"/>
              </w:rPr>
            </w:pPr>
            <w:r w:rsidRPr="000B4E2C">
              <w:rPr>
                <w:highlight w:val="green"/>
                <w:lang w:eastAsia="en-GB"/>
              </w:rPr>
              <w:t>D. M. Roberts, M. F. Wilks, M. S. Roberts, R. Swaminathan, F. Mohamed, A. H. Dawson and N. A. Buckley. Changes in the concentrations of creatinine, cystatin C and NGAL in patients with acute paraquat self-poisoning. Toxicology Letters, 202(1), 69-74. [16478]</w:t>
            </w:r>
          </w:p>
        </w:tc>
      </w:tr>
      <w:tr w:rsidR="002F0133" w:rsidRPr="000B4E2C" w14:paraId="4BEF2E94" w14:textId="77777777" w:rsidTr="000B4E2C">
        <w:trPr>
          <w:cantSplit/>
        </w:trPr>
        <w:tc>
          <w:tcPr>
            <w:tcW w:w="0" w:type="auto"/>
            <w:shd w:val="clear" w:color="auto" w:fill="auto"/>
            <w:noWrap/>
            <w:hideMark/>
          </w:tcPr>
          <w:p w14:paraId="7A70B224" w14:textId="77777777" w:rsidR="002F0133" w:rsidRPr="000B4E2C" w:rsidRDefault="002F0133" w:rsidP="008A7464">
            <w:pPr>
              <w:rPr>
                <w:lang w:eastAsia="en-GB"/>
              </w:rPr>
            </w:pPr>
            <w:r w:rsidRPr="000B4E2C">
              <w:rPr>
                <w:lang w:eastAsia="en-GB"/>
              </w:rPr>
              <w:t>Robertson</w:t>
            </w:r>
          </w:p>
        </w:tc>
        <w:tc>
          <w:tcPr>
            <w:tcW w:w="0" w:type="auto"/>
            <w:shd w:val="clear" w:color="auto" w:fill="auto"/>
            <w:noWrap/>
            <w:hideMark/>
          </w:tcPr>
          <w:p w14:paraId="506EF667"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4BEFB9D7" w14:textId="5DB241F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6B94093" w14:textId="77777777" w:rsidR="002F0133" w:rsidRPr="000B4E2C" w:rsidRDefault="002F0133" w:rsidP="008A7464">
            <w:pPr>
              <w:rPr>
                <w:highlight w:val="green"/>
                <w:lang w:eastAsia="en-GB"/>
              </w:rPr>
            </w:pPr>
            <w:r w:rsidRPr="000B4E2C">
              <w:rPr>
                <w:highlight w:val="green"/>
                <w:lang w:eastAsia="en-GB"/>
              </w:rPr>
              <w:t>F. P. Robertson, A. C. Yeung, V. Male, S. Rahman, S. Mallett, B. J. Fuller and B. R. Davidson. Urinary Neutrophil Gelatinase Associated Lipocalins (NGALs) predict acute kidney injury post liver transplant. HPB, 21(4), 473-481. [16479]</w:t>
            </w:r>
          </w:p>
        </w:tc>
      </w:tr>
      <w:tr w:rsidR="002F0133" w:rsidRPr="000B4E2C" w14:paraId="7365C8BF" w14:textId="77777777" w:rsidTr="000B4E2C">
        <w:trPr>
          <w:cantSplit/>
        </w:trPr>
        <w:tc>
          <w:tcPr>
            <w:tcW w:w="0" w:type="auto"/>
            <w:shd w:val="clear" w:color="auto" w:fill="auto"/>
            <w:noWrap/>
            <w:hideMark/>
          </w:tcPr>
          <w:p w14:paraId="31DAC22D" w14:textId="77777777" w:rsidR="002F0133" w:rsidRPr="000B4E2C" w:rsidRDefault="002F0133" w:rsidP="008A7464">
            <w:pPr>
              <w:rPr>
                <w:lang w:eastAsia="en-GB"/>
              </w:rPr>
            </w:pPr>
            <w:r w:rsidRPr="000B4E2C">
              <w:rPr>
                <w:lang w:eastAsia="en-GB"/>
              </w:rPr>
              <w:lastRenderedPageBreak/>
              <w:t>Rocha</w:t>
            </w:r>
          </w:p>
        </w:tc>
        <w:tc>
          <w:tcPr>
            <w:tcW w:w="0" w:type="auto"/>
            <w:shd w:val="clear" w:color="auto" w:fill="auto"/>
            <w:noWrap/>
            <w:hideMark/>
          </w:tcPr>
          <w:p w14:paraId="30580D18"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3CFB15E7" w14:textId="6EFCE97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7842400" w14:textId="77777777" w:rsidR="002F0133" w:rsidRPr="000B4E2C" w:rsidRDefault="002F0133" w:rsidP="008A7464">
            <w:pPr>
              <w:rPr>
                <w:highlight w:val="green"/>
                <w:lang w:eastAsia="en-GB"/>
              </w:rPr>
            </w:pPr>
            <w:r w:rsidRPr="000B4E2C">
              <w:rPr>
                <w:highlight w:val="green"/>
                <w:lang w:eastAsia="en-GB"/>
              </w:rPr>
              <w:t>P. N. Rocha, M. N. Macedo, C. D. Kobayashi, L. Moreno, L. H. S. Guimaraes, P. R. L. Machado, R. Badaro, E. M. Carvalho and M. J. Glesby. Role of urine neutrophil gelatinase-associated lipocalin in the early diagnosis of amphotericin B-induced acute kidney injury. Antimicrobial Agents and Chemotherapy, 59(11), 6913-6921. [16481]</w:t>
            </w:r>
          </w:p>
        </w:tc>
      </w:tr>
      <w:tr w:rsidR="002F0133" w:rsidRPr="000B4E2C" w14:paraId="5215FAA3" w14:textId="77777777" w:rsidTr="000B4E2C">
        <w:trPr>
          <w:cantSplit/>
        </w:trPr>
        <w:tc>
          <w:tcPr>
            <w:tcW w:w="0" w:type="auto"/>
            <w:shd w:val="clear" w:color="auto" w:fill="auto"/>
            <w:noWrap/>
            <w:hideMark/>
          </w:tcPr>
          <w:p w14:paraId="22D342CC" w14:textId="77777777" w:rsidR="002F0133" w:rsidRPr="000B4E2C" w:rsidRDefault="002F0133" w:rsidP="008A7464">
            <w:pPr>
              <w:rPr>
                <w:lang w:eastAsia="en-GB"/>
              </w:rPr>
            </w:pPr>
            <w:r w:rsidRPr="000B4E2C">
              <w:rPr>
                <w:lang w:eastAsia="en-GB"/>
              </w:rPr>
              <w:t>Ronco</w:t>
            </w:r>
          </w:p>
        </w:tc>
        <w:tc>
          <w:tcPr>
            <w:tcW w:w="0" w:type="auto"/>
            <w:shd w:val="clear" w:color="auto" w:fill="auto"/>
            <w:noWrap/>
            <w:hideMark/>
          </w:tcPr>
          <w:p w14:paraId="1DB645E2"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74A3A44C"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44E2F677" w14:textId="77777777" w:rsidR="002F0133" w:rsidRPr="000B4E2C" w:rsidRDefault="002F0133" w:rsidP="008A7464">
            <w:pPr>
              <w:rPr>
                <w:highlight w:val="green"/>
                <w:lang w:eastAsia="en-GB"/>
              </w:rPr>
            </w:pPr>
            <w:r w:rsidRPr="000B4E2C">
              <w:rPr>
                <w:highlight w:val="green"/>
                <w:lang w:eastAsia="en-GB"/>
              </w:rPr>
              <w:t>C. Ronco. NGAL: an emerging biomarker of acute kidney injury. International Journal of Artificial Organs, 31(3), 199-200. [3983]</w:t>
            </w:r>
          </w:p>
        </w:tc>
      </w:tr>
      <w:tr w:rsidR="002F0133" w:rsidRPr="000B4E2C" w14:paraId="6F56FBAF" w14:textId="77777777" w:rsidTr="000B4E2C">
        <w:trPr>
          <w:cantSplit/>
        </w:trPr>
        <w:tc>
          <w:tcPr>
            <w:tcW w:w="0" w:type="auto"/>
            <w:shd w:val="clear" w:color="auto" w:fill="auto"/>
            <w:noWrap/>
            <w:hideMark/>
          </w:tcPr>
          <w:p w14:paraId="303D1D07" w14:textId="77777777" w:rsidR="002F0133" w:rsidRPr="000B4E2C" w:rsidRDefault="002F0133" w:rsidP="008A7464">
            <w:pPr>
              <w:rPr>
                <w:lang w:eastAsia="en-GB"/>
              </w:rPr>
            </w:pPr>
            <w:r w:rsidRPr="000B4E2C">
              <w:rPr>
                <w:lang w:eastAsia="en-GB"/>
              </w:rPr>
              <w:t>Ronco</w:t>
            </w:r>
          </w:p>
        </w:tc>
        <w:tc>
          <w:tcPr>
            <w:tcW w:w="0" w:type="auto"/>
            <w:shd w:val="clear" w:color="auto" w:fill="auto"/>
            <w:noWrap/>
            <w:hideMark/>
          </w:tcPr>
          <w:p w14:paraId="338F58E8"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1D527B13"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004843A0" w14:textId="77777777" w:rsidR="002F0133" w:rsidRPr="000B4E2C" w:rsidRDefault="002F0133" w:rsidP="008A7464">
            <w:pPr>
              <w:rPr>
                <w:highlight w:val="green"/>
                <w:lang w:eastAsia="en-GB"/>
              </w:rPr>
            </w:pPr>
            <w:r w:rsidRPr="000B4E2C">
              <w:rPr>
                <w:highlight w:val="green"/>
                <w:lang w:eastAsia="en-GB"/>
              </w:rPr>
              <w:t>C. Ronco. Kidney attack: Overdiagnosis of acute kidney injury or comprehensive definition of acute kidney syndromes?. Blood Purification, 36(2), 65-68. [16493]</w:t>
            </w:r>
          </w:p>
        </w:tc>
      </w:tr>
      <w:tr w:rsidR="002F0133" w:rsidRPr="000B4E2C" w14:paraId="563E16E2" w14:textId="77777777" w:rsidTr="000B4E2C">
        <w:trPr>
          <w:cantSplit/>
        </w:trPr>
        <w:tc>
          <w:tcPr>
            <w:tcW w:w="0" w:type="auto"/>
            <w:shd w:val="clear" w:color="auto" w:fill="auto"/>
            <w:noWrap/>
            <w:hideMark/>
          </w:tcPr>
          <w:p w14:paraId="77024901" w14:textId="77777777" w:rsidR="002F0133" w:rsidRPr="000B4E2C" w:rsidRDefault="002F0133" w:rsidP="008A7464">
            <w:pPr>
              <w:rPr>
                <w:lang w:eastAsia="en-GB"/>
              </w:rPr>
            </w:pPr>
            <w:r w:rsidRPr="000B4E2C">
              <w:rPr>
                <w:lang w:eastAsia="en-GB"/>
              </w:rPr>
              <w:t>Ronco</w:t>
            </w:r>
          </w:p>
        </w:tc>
        <w:tc>
          <w:tcPr>
            <w:tcW w:w="0" w:type="auto"/>
            <w:shd w:val="clear" w:color="auto" w:fill="auto"/>
            <w:noWrap/>
            <w:hideMark/>
          </w:tcPr>
          <w:p w14:paraId="2DB7B143"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B182197"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67CD9E48" w14:textId="77777777" w:rsidR="002F0133" w:rsidRPr="000B4E2C" w:rsidRDefault="002F0133" w:rsidP="008A7464">
            <w:pPr>
              <w:rPr>
                <w:highlight w:val="green"/>
                <w:lang w:eastAsia="en-GB"/>
              </w:rPr>
            </w:pPr>
            <w:r w:rsidRPr="000B4E2C">
              <w:rPr>
                <w:highlight w:val="green"/>
                <w:lang w:eastAsia="en-GB"/>
              </w:rPr>
              <w:t>C. Ronco, L. Rizo-Topete, M. Serrano-Soto and K. Kashani. Pro: Prevention of acute kidney injury: Time for teamwork and new biomarkers. Nephrology Dialysis Transplantation, 32(3), 408-413. [16487]</w:t>
            </w:r>
          </w:p>
        </w:tc>
      </w:tr>
      <w:tr w:rsidR="002F0133" w:rsidRPr="000B4E2C" w14:paraId="73296DFC" w14:textId="77777777" w:rsidTr="000B4E2C">
        <w:trPr>
          <w:cantSplit/>
        </w:trPr>
        <w:tc>
          <w:tcPr>
            <w:tcW w:w="0" w:type="auto"/>
            <w:shd w:val="clear" w:color="auto" w:fill="auto"/>
            <w:noWrap/>
            <w:hideMark/>
          </w:tcPr>
          <w:p w14:paraId="2700B711" w14:textId="77777777" w:rsidR="002F0133" w:rsidRPr="000B4E2C" w:rsidRDefault="002F0133" w:rsidP="008A7464">
            <w:pPr>
              <w:rPr>
                <w:lang w:eastAsia="en-GB"/>
              </w:rPr>
            </w:pPr>
            <w:r w:rsidRPr="000B4E2C">
              <w:rPr>
                <w:lang w:eastAsia="en-GB"/>
              </w:rPr>
              <w:t>Rostami</w:t>
            </w:r>
          </w:p>
        </w:tc>
        <w:tc>
          <w:tcPr>
            <w:tcW w:w="0" w:type="auto"/>
            <w:shd w:val="clear" w:color="auto" w:fill="auto"/>
            <w:noWrap/>
            <w:hideMark/>
          </w:tcPr>
          <w:p w14:paraId="617BCE48"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65A58874"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1A70C45A" w14:textId="77777777" w:rsidR="002F0133" w:rsidRPr="000B4E2C" w:rsidRDefault="002F0133" w:rsidP="008A7464">
            <w:pPr>
              <w:rPr>
                <w:highlight w:val="green"/>
                <w:lang w:eastAsia="en-GB"/>
              </w:rPr>
            </w:pPr>
            <w:r w:rsidRPr="000B4E2C">
              <w:rPr>
                <w:highlight w:val="green"/>
                <w:lang w:eastAsia="en-GB"/>
              </w:rPr>
              <w:t>Z. Rostami and M. Lessan-Pezeshki. Role of NGAL for the early detection of acute kidney injury. International Journal of Nephrology &amp; Urology, 2(3), 387-389. [6136]</w:t>
            </w:r>
          </w:p>
        </w:tc>
      </w:tr>
      <w:tr w:rsidR="002F0133" w:rsidRPr="000B4E2C" w14:paraId="31C68EB0" w14:textId="77777777" w:rsidTr="000B4E2C">
        <w:trPr>
          <w:cantSplit/>
        </w:trPr>
        <w:tc>
          <w:tcPr>
            <w:tcW w:w="0" w:type="auto"/>
            <w:shd w:val="clear" w:color="auto" w:fill="auto"/>
            <w:noWrap/>
            <w:hideMark/>
          </w:tcPr>
          <w:p w14:paraId="176D4CB8" w14:textId="77777777" w:rsidR="002F0133" w:rsidRPr="000B4E2C" w:rsidRDefault="002F0133" w:rsidP="008A7464">
            <w:pPr>
              <w:rPr>
                <w:lang w:eastAsia="en-GB"/>
              </w:rPr>
            </w:pPr>
            <w:r w:rsidRPr="000B4E2C">
              <w:rPr>
                <w:lang w:eastAsia="en-GB"/>
              </w:rPr>
              <w:t>Roudkenar</w:t>
            </w:r>
          </w:p>
        </w:tc>
        <w:tc>
          <w:tcPr>
            <w:tcW w:w="0" w:type="auto"/>
            <w:shd w:val="clear" w:color="auto" w:fill="auto"/>
            <w:noWrap/>
            <w:hideMark/>
          </w:tcPr>
          <w:p w14:paraId="5724DF2C"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3C927AE5" w14:textId="41DC7D6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A8169D9" w14:textId="77777777" w:rsidR="002F0133" w:rsidRPr="000B4E2C" w:rsidRDefault="002F0133" w:rsidP="008A7464">
            <w:pPr>
              <w:rPr>
                <w:highlight w:val="green"/>
                <w:lang w:eastAsia="en-GB"/>
              </w:rPr>
            </w:pPr>
            <w:r w:rsidRPr="000B4E2C">
              <w:rPr>
                <w:highlight w:val="green"/>
                <w:lang w:eastAsia="en-GB"/>
              </w:rPr>
              <w:t>M. H. Roudkenar, R. Halabian, A. Odi, A. M. Roushandeh, P. Yaghmai, M. R. Najar, N. Amirizadeh and M. A. Shokrgozar. Upregulation of neutrophil gelatinase-associated lipocalin, NGAL/Lcn2, in beta-thalassemia patients. Archives of Medical Research, 39(4), 402-407. [18572]</w:t>
            </w:r>
          </w:p>
        </w:tc>
      </w:tr>
      <w:tr w:rsidR="002F0133" w:rsidRPr="000B4E2C" w14:paraId="7876967C" w14:textId="77777777" w:rsidTr="000B4E2C">
        <w:trPr>
          <w:cantSplit/>
        </w:trPr>
        <w:tc>
          <w:tcPr>
            <w:tcW w:w="0" w:type="auto"/>
            <w:shd w:val="clear" w:color="auto" w:fill="auto"/>
            <w:noWrap/>
            <w:hideMark/>
          </w:tcPr>
          <w:p w14:paraId="295CBC26" w14:textId="77777777" w:rsidR="002F0133" w:rsidRPr="000B4E2C" w:rsidRDefault="002F0133" w:rsidP="008A7464">
            <w:pPr>
              <w:rPr>
                <w:lang w:eastAsia="en-GB"/>
              </w:rPr>
            </w:pPr>
            <w:r w:rsidRPr="000B4E2C">
              <w:rPr>
                <w:lang w:eastAsia="en-GB"/>
              </w:rPr>
              <w:t>Roudkenar</w:t>
            </w:r>
          </w:p>
        </w:tc>
        <w:tc>
          <w:tcPr>
            <w:tcW w:w="0" w:type="auto"/>
            <w:shd w:val="clear" w:color="auto" w:fill="auto"/>
            <w:noWrap/>
            <w:hideMark/>
          </w:tcPr>
          <w:p w14:paraId="65AAB8D9"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61823BC4"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5C3BAD5C" w14:textId="77777777" w:rsidR="002F0133" w:rsidRPr="000B4E2C" w:rsidRDefault="002F0133" w:rsidP="008A7464">
            <w:pPr>
              <w:rPr>
                <w:highlight w:val="green"/>
                <w:lang w:eastAsia="en-GB"/>
              </w:rPr>
            </w:pPr>
            <w:r w:rsidRPr="000B4E2C">
              <w:rPr>
                <w:highlight w:val="green"/>
                <w:lang w:eastAsia="en-GB"/>
              </w:rPr>
              <w:t>M. H. Roudkenar, R. Halabian, Z. Ghasemipour, A. M. Roushandeh, M. Rouhbakhsh, M. Nekogoftar, Y. Kuwahara, M. Fukumoto and M. A. Shokrgozar. Neutrophil gelatinase-associated lipocalin acts as a protective factor against H2O2 toxicity. Archives of Medical Research, 39(6), 560-566. [18571]</w:t>
            </w:r>
          </w:p>
        </w:tc>
      </w:tr>
      <w:tr w:rsidR="002F0133" w:rsidRPr="000B4E2C" w14:paraId="48EE162D" w14:textId="77777777" w:rsidTr="000B4E2C">
        <w:trPr>
          <w:cantSplit/>
        </w:trPr>
        <w:tc>
          <w:tcPr>
            <w:tcW w:w="0" w:type="auto"/>
            <w:shd w:val="clear" w:color="auto" w:fill="auto"/>
            <w:noWrap/>
            <w:hideMark/>
          </w:tcPr>
          <w:p w14:paraId="7877FABF" w14:textId="77777777" w:rsidR="002F0133" w:rsidRPr="000B4E2C" w:rsidRDefault="002F0133" w:rsidP="008A7464">
            <w:pPr>
              <w:rPr>
                <w:lang w:eastAsia="en-GB"/>
              </w:rPr>
            </w:pPr>
            <w:r w:rsidRPr="000B4E2C">
              <w:rPr>
                <w:lang w:eastAsia="en-GB"/>
              </w:rPr>
              <w:t>Rouve</w:t>
            </w:r>
          </w:p>
        </w:tc>
        <w:tc>
          <w:tcPr>
            <w:tcW w:w="0" w:type="auto"/>
            <w:shd w:val="clear" w:color="auto" w:fill="auto"/>
            <w:noWrap/>
            <w:hideMark/>
          </w:tcPr>
          <w:p w14:paraId="2DDB5A36"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5320A7F3" w14:textId="0B9E775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6D8096B" w14:textId="77777777" w:rsidR="002F0133" w:rsidRPr="000B4E2C" w:rsidRDefault="002F0133" w:rsidP="008A7464">
            <w:pPr>
              <w:rPr>
                <w:highlight w:val="green"/>
                <w:lang w:eastAsia="en-GB"/>
              </w:rPr>
            </w:pPr>
            <w:r w:rsidRPr="000B4E2C">
              <w:rPr>
                <w:highlight w:val="green"/>
                <w:lang w:eastAsia="en-GB"/>
              </w:rPr>
              <w:t>E. Rouve, K. Lakhal, C. Salmon Gandonniere, Y. Jouan, L. Bodet-Contentin and S. Ehrmann. Lack of impact of iodinated contrast media on kidney cell-cycle arrest biomarkers in critically ill patients 11 Medical and Health Sciences 1103 Clinical Sciences. BMC Nephrology, 19(1), 308. [16510]</w:t>
            </w:r>
          </w:p>
        </w:tc>
      </w:tr>
      <w:tr w:rsidR="002F0133" w:rsidRPr="000B4E2C" w14:paraId="3B81A248" w14:textId="77777777" w:rsidTr="000B4E2C">
        <w:trPr>
          <w:cantSplit/>
        </w:trPr>
        <w:tc>
          <w:tcPr>
            <w:tcW w:w="0" w:type="auto"/>
            <w:shd w:val="clear" w:color="auto" w:fill="auto"/>
            <w:noWrap/>
            <w:hideMark/>
          </w:tcPr>
          <w:p w14:paraId="70D5A10C" w14:textId="77777777" w:rsidR="002F0133" w:rsidRPr="000B4E2C" w:rsidRDefault="002F0133" w:rsidP="008A7464">
            <w:pPr>
              <w:rPr>
                <w:lang w:eastAsia="en-GB"/>
              </w:rPr>
            </w:pPr>
            <w:r w:rsidRPr="000B4E2C">
              <w:rPr>
                <w:lang w:eastAsia="en-GB"/>
              </w:rPr>
              <w:t>Royakkers</w:t>
            </w:r>
          </w:p>
        </w:tc>
        <w:tc>
          <w:tcPr>
            <w:tcW w:w="0" w:type="auto"/>
            <w:shd w:val="clear" w:color="auto" w:fill="auto"/>
            <w:noWrap/>
            <w:hideMark/>
          </w:tcPr>
          <w:p w14:paraId="4E904E5B"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111AE2C9"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4F7AF7CF" w14:textId="77777777" w:rsidR="002F0133" w:rsidRPr="000B4E2C" w:rsidRDefault="002F0133" w:rsidP="008A7464">
            <w:pPr>
              <w:rPr>
                <w:highlight w:val="green"/>
                <w:lang w:eastAsia="en-GB"/>
              </w:rPr>
            </w:pPr>
            <w:r w:rsidRPr="000B4E2C">
              <w:rPr>
                <w:highlight w:val="green"/>
                <w:lang w:val="da-DK" w:eastAsia="en-GB"/>
              </w:rPr>
              <w:t xml:space="preserve">A. A. Royakkers, C. S. Bouman, P. M. Stassen, J. C. Korevaar, J. M. Binnekade, W. van de Hoek, M. A. Kuiper, P. E. Spronk and M. J. Schultz. </w:t>
            </w:r>
            <w:r w:rsidRPr="000B4E2C">
              <w:rPr>
                <w:highlight w:val="green"/>
                <w:lang w:eastAsia="en-GB"/>
              </w:rPr>
              <w:t>Systemic and urinary neutrophil gelatinase-associated lipocalins are poor predictors of acute kidney injury in unselected critically ill patients. Critical care research and practice, 2012(712695. [16514]</w:t>
            </w:r>
          </w:p>
        </w:tc>
      </w:tr>
      <w:tr w:rsidR="002F0133" w:rsidRPr="000B4E2C" w14:paraId="687A11DC" w14:textId="77777777" w:rsidTr="000B4E2C">
        <w:trPr>
          <w:cantSplit/>
        </w:trPr>
        <w:tc>
          <w:tcPr>
            <w:tcW w:w="0" w:type="auto"/>
            <w:shd w:val="clear" w:color="auto" w:fill="auto"/>
            <w:noWrap/>
            <w:hideMark/>
          </w:tcPr>
          <w:p w14:paraId="773B7513" w14:textId="77777777" w:rsidR="002F0133" w:rsidRPr="000B4E2C" w:rsidRDefault="002F0133" w:rsidP="008A7464">
            <w:pPr>
              <w:rPr>
                <w:lang w:eastAsia="en-GB"/>
              </w:rPr>
            </w:pPr>
            <w:r w:rsidRPr="000B4E2C">
              <w:rPr>
                <w:lang w:eastAsia="en-GB"/>
              </w:rPr>
              <w:t>Ruf</w:t>
            </w:r>
          </w:p>
        </w:tc>
        <w:tc>
          <w:tcPr>
            <w:tcW w:w="0" w:type="auto"/>
            <w:shd w:val="clear" w:color="auto" w:fill="auto"/>
            <w:noWrap/>
            <w:hideMark/>
          </w:tcPr>
          <w:p w14:paraId="3F0760B3"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915842D" w14:textId="01F75F3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97C8152" w14:textId="77777777" w:rsidR="002F0133" w:rsidRPr="000B4E2C" w:rsidRDefault="002F0133" w:rsidP="008A7464">
            <w:pPr>
              <w:rPr>
                <w:highlight w:val="green"/>
                <w:lang w:eastAsia="en-GB"/>
              </w:rPr>
            </w:pPr>
            <w:r w:rsidRPr="000B4E2C">
              <w:rPr>
                <w:highlight w:val="green"/>
                <w:lang w:eastAsia="en-GB"/>
              </w:rPr>
              <w:t>B. Ruf, V. Bonelli, G. Balling, J. Horer, N. Nagdyman, S. L. Braun, P. Ewert and K. Reiter. Intraoperative renal near-infrared spectroscopy indicates developing acute kidney injury in infants undergoing cardiac surgery with cardiopulmonary bypass: A case-control study. Critical Care, 19(1), 27. [16517]</w:t>
            </w:r>
          </w:p>
        </w:tc>
      </w:tr>
      <w:tr w:rsidR="002F0133" w:rsidRPr="000B4E2C" w14:paraId="0912E28A" w14:textId="77777777" w:rsidTr="000B4E2C">
        <w:trPr>
          <w:cantSplit/>
        </w:trPr>
        <w:tc>
          <w:tcPr>
            <w:tcW w:w="0" w:type="auto"/>
            <w:shd w:val="clear" w:color="auto" w:fill="auto"/>
            <w:noWrap/>
            <w:hideMark/>
          </w:tcPr>
          <w:p w14:paraId="2E0C146B" w14:textId="77777777" w:rsidR="002F0133" w:rsidRPr="000B4E2C" w:rsidRDefault="002F0133" w:rsidP="008A7464">
            <w:pPr>
              <w:rPr>
                <w:lang w:eastAsia="en-GB"/>
              </w:rPr>
            </w:pPr>
            <w:r w:rsidRPr="000B4E2C">
              <w:rPr>
                <w:lang w:eastAsia="en-GB"/>
              </w:rPr>
              <w:t>Saad</w:t>
            </w:r>
          </w:p>
        </w:tc>
        <w:tc>
          <w:tcPr>
            <w:tcW w:w="0" w:type="auto"/>
            <w:shd w:val="clear" w:color="auto" w:fill="auto"/>
            <w:noWrap/>
            <w:hideMark/>
          </w:tcPr>
          <w:p w14:paraId="20780B24"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38501562" w14:textId="4E7A144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3511801" w14:textId="77777777" w:rsidR="002F0133" w:rsidRPr="000B4E2C" w:rsidRDefault="002F0133" w:rsidP="008A7464">
            <w:pPr>
              <w:rPr>
                <w:highlight w:val="green"/>
                <w:lang w:eastAsia="en-GB"/>
              </w:rPr>
            </w:pPr>
            <w:r w:rsidRPr="000B4E2C">
              <w:rPr>
                <w:highlight w:val="green"/>
                <w:lang w:eastAsia="en-GB"/>
              </w:rPr>
              <w:t>A. Saad, W. Wang, S. M. S. Herrmann, J. F. Glockner, M. A. McKusick, S. Misra, H. Bjarnason, L. O. Lerman and S. C. Textor. Atherosclerotic renal artery stenosis is associated with elevated cell cycle arrest markers related to reduced renal blood flow and postcontrast hypoxia. Nephrology Dialysis Transplantation, 31(11), 1855-1863. [16523]</w:t>
            </w:r>
          </w:p>
        </w:tc>
      </w:tr>
      <w:tr w:rsidR="002F0133" w:rsidRPr="000B4E2C" w14:paraId="34005749" w14:textId="77777777" w:rsidTr="000B4E2C">
        <w:trPr>
          <w:cantSplit/>
        </w:trPr>
        <w:tc>
          <w:tcPr>
            <w:tcW w:w="0" w:type="auto"/>
            <w:shd w:val="clear" w:color="auto" w:fill="auto"/>
            <w:noWrap/>
            <w:hideMark/>
          </w:tcPr>
          <w:p w14:paraId="34898B7F" w14:textId="77777777" w:rsidR="002F0133" w:rsidRPr="000B4E2C" w:rsidRDefault="002F0133" w:rsidP="008A7464">
            <w:pPr>
              <w:rPr>
                <w:lang w:eastAsia="en-GB"/>
              </w:rPr>
            </w:pPr>
            <w:r w:rsidRPr="000B4E2C">
              <w:rPr>
                <w:lang w:eastAsia="en-GB"/>
              </w:rPr>
              <w:t>Sagatov</w:t>
            </w:r>
          </w:p>
        </w:tc>
        <w:tc>
          <w:tcPr>
            <w:tcW w:w="0" w:type="auto"/>
            <w:shd w:val="clear" w:color="auto" w:fill="auto"/>
            <w:noWrap/>
            <w:hideMark/>
          </w:tcPr>
          <w:p w14:paraId="1BB945EE"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2DBC772E"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3234F0A2" w14:textId="77777777" w:rsidR="002F0133" w:rsidRPr="000B4E2C" w:rsidRDefault="002F0133" w:rsidP="008A7464">
            <w:pPr>
              <w:rPr>
                <w:highlight w:val="green"/>
                <w:lang w:eastAsia="en-GB"/>
              </w:rPr>
            </w:pPr>
            <w:r w:rsidRPr="000B4E2C">
              <w:rPr>
                <w:highlight w:val="green"/>
                <w:lang w:val="da-DK" w:eastAsia="en-GB"/>
              </w:rPr>
              <w:t xml:space="preserve">I. Y. Sagatov and U. S. Medeubekov. </w:t>
            </w:r>
            <w:r w:rsidRPr="000B4E2C">
              <w:rPr>
                <w:highlight w:val="green"/>
                <w:lang w:eastAsia="en-GB"/>
              </w:rPr>
              <w:t>Dynamics of urine neutrophil gelatinase-associated lipocalin in cardiac surgery patients in the near term after surgery. Chirurgia (Turin), 32(2), 59-61. [16525]</w:t>
            </w:r>
          </w:p>
        </w:tc>
      </w:tr>
      <w:tr w:rsidR="002F0133" w:rsidRPr="000B4E2C" w14:paraId="695DA4A2" w14:textId="77777777" w:rsidTr="000B4E2C">
        <w:trPr>
          <w:cantSplit/>
        </w:trPr>
        <w:tc>
          <w:tcPr>
            <w:tcW w:w="0" w:type="auto"/>
            <w:shd w:val="clear" w:color="auto" w:fill="auto"/>
            <w:noWrap/>
            <w:hideMark/>
          </w:tcPr>
          <w:p w14:paraId="0C215C98" w14:textId="77777777" w:rsidR="002F0133" w:rsidRPr="000B4E2C" w:rsidRDefault="002F0133" w:rsidP="008A7464">
            <w:pPr>
              <w:rPr>
                <w:lang w:eastAsia="en-GB"/>
              </w:rPr>
            </w:pPr>
            <w:r w:rsidRPr="000B4E2C">
              <w:rPr>
                <w:lang w:eastAsia="en-GB"/>
              </w:rPr>
              <w:lastRenderedPageBreak/>
              <w:t>Saleena</w:t>
            </w:r>
          </w:p>
        </w:tc>
        <w:tc>
          <w:tcPr>
            <w:tcW w:w="0" w:type="auto"/>
            <w:shd w:val="clear" w:color="auto" w:fill="auto"/>
            <w:noWrap/>
            <w:hideMark/>
          </w:tcPr>
          <w:p w14:paraId="76E9FB39"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957A8E7"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02F76EAD" w14:textId="77777777" w:rsidR="002F0133" w:rsidRPr="000B4E2C" w:rsidRDefault="002F0133" w:rsidP="008A7464">
            <w:pPr>
              <w:rPr>
                <w:highlight w:val="green"/>
                <w:lang w:eastAsia="en-GB"/>
              </w:rPr>
            </w:pPr>
            <w:r w:rsidRPr="000B4E2C">
              <w:rPr>
                <w:highlight w:val="green"/>
                <w:lang w:eastAsia="en-GB"/>
              </w:rPr>
              <w:t>U. V. Saleena, K. Nalini, K. Gopalakrishna, R. Prabhu, B. M. Vadhiraja, M. S. Athiyamaan, A. Kamath and M. S. Vidyasagar. Early prediction of cisplatin nephrotoxicity in head and neck cancer patients - an evaluation with urinary biomarkers. International Journal of Pharmaceutical Sciences and Research, 6(7), 2893-2901. [16529]</w:t>
            </w:r>
          </w:p>
        </w:tc>
      </w:tr>
      <w:tr w:rsidR="002F0133" w:rsidRPr="000B4E2C" w14:paraId="5B9F2D39" w14:textId="77777777" w:rsidTr="000B4E2C">
        <w:trPr>
          <w:cantSplit/>
        </w:trPr>
        <w:tc>
          <w:tcPr>
            <w:tcW w:w="0" w:type="auto"/>
            <w:shd w:val="clear" w:color="auto" w:fill="auto"/>
            <w:noWrap/>
            <w:hideMark/>
          </w:tcPr>
          <w:p w14:paraId="4881C720" w14:textId="77777777" w:rsidR="002F0133" w:rsidRPr="000B4E2C" w:rsidRDefault="002F0133" w:rsidP="008A7464">
            <w:pPr>
              <w:rPr>
                <w:lang w:eastAsia="en-GB"/>
              </w:rPr>
            </w:pPr>
            <w:r w:rsidRPr="000B4E2C">
              <w:rPr>
                <w:lang w:eastAsia="en-GB"/>
              </w:rPr>
              <w:t>Saleh</w:t>
            </w:r>
          </w:p>
        </w:tc>
        <w:tc>
          <w:tcPr>
            <w:tcW w:w="0" w:type="auto"/>
            <w:shd w:val="clear" w:color="auto" w:fill="auto"/>
            <w:noWrap/>
            <w:hideMark/>
          </w:tcPr>
          <w:p w14:paraId="35C0F32A"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63D523F"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3989195F" w14:textId="77777777" w:rsidR="002F0133" w:rsidRPr="000B4E2C" w:rsidRDefault="002F0133" w:rsidP="008A7464">
            <w:pPr>
              <w:rPr>
                <w:highlight w:val="green"/>
                <w:lang w:eastAsia="en-GB"/>
              </w:rPr>
            </w:pPr>
            <w:r w:rsidRPr="000B4E2C">
              <w:rPr>
                <w:highlight w:val="green"/>
                <w:lang w:eastAsia="en-GB"/>
              </w:rPr>
              <w:t>N. Y. Saleh, W. M. M. A. El Fotoh and M. A. El-Hawy. Serum Neutrophil Gelatinase-Associated Lipocalin: A Diagnostic Marker in Pediatric Sepsis. Pediatric Critical Care Medicine, 18(6), E245-E252. [18577]</w:t>
            </w:r>
          </w:p>
        </w:tc>
      </w:tr>
      <w:tr w:rsidR="002F0133" w:rsidRPr="000B4E2C" w14:paraId="76B5B7FC" w14:textId="77777777" w:rsidTr="000B4E2C">
        <w:trPr>
          <w:cantSplit/>
        </w:trPr>
        <w:tc>
          <w:tcPr>
            <w:tcW w:w="0" w:type="auto"/>
            <w:shd w:val="clear" w:color="auto" w:fill="auto"/>
            <w:noWrap/>
            <w:hideMark/>
          </w:tcPr>
          <w:p w14:paraId="0496CA23" w14:textId="77777777" w:rsidR="002F0133" w:rsidRPr="000B4E2C" w:rsidRDefault="002F0133" w:rsidP="008A7464">
            <w:pPr>
              <w:rPr>
                <w:lang w:eastAsia="en-GB"/>
              </w:rPr>
            </w:pPr>
            <w:r w:rsidRPr="000B4E2C">
              <w:rPr>
                <w:lang w:eastAsia="en-GB"/>
              </w:rPr>
              <w:t>Sarafidis</w:t>
            </w:r>
          </w:p>
        </w:tc>
        <w:tc>
          <w:tcPr>
            <w:tcW w:w="0" w:type="auto"/>
            <w:shd w:val="clear" w:color="auto" w:fill="auto"/>
            <w:noWrap/>
            <w:hideMark/>
          </w:tcPr>
          <w:p w14:paraId="27D55FCE"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3FC9396D" w14:textId="251C6E4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5ACF167" w14:textId="77777777" w:rsidR="002F0133" w:rsidRPr="000B4E2C" w:rsidRDefault="002F0133" w:rsidP="008A7464">
            <w:pPr>
              <w:rPr>
                <w:highlight w:val="green"/>
                <w:lang w:eastAsia="en-GB"/>
              </w:rPr>
            </w:pPr>
            <w:r w:rsidRPr="000B4E2C">
              <w:rPr>
                <w:highlight w:val="green"/>
                <w:lang w:eastAsia="en-GB"/>
              </w:rPr>
              <w:t>K. Sarafidis, E. Tsepkentzi, E. Agakidou, E. Diamanti, A. Taparkou, V. Soubasi, F. Papachristou and V. Drossou. Serum and urine acute kidney injury biomarkers in asphyxiated neonates. Pediatric Nephrology, 27(9), 1575-1582. [16535]</w:t>
            </w:r>
          </w:p>
        </w:tc>
      </w:tr>
      <w:tr w:rsidR="002F0133" w:rsidRPr="000B4E2C" w14:paraId="751ED24F" w14:textId="77777777" w:rsidTr="000B4E2C">
        <w:trPr>
          <w:cantSplit/>
        </w:trPr>
        <w:tc>
          <w:tcPr>
            <w:tcW w:w="0" w:type="auto"/>
            <w:shd w:val="clear" w:color="auto" w:fill="auto"/>
            <w:noWrap/>
            <w:hideMark/>
          </w:tcPr>
          <w:p w14:paraId="346027E6" w14:textId="77777777" w:rsidR="002F0133" w:rsidRPr="000B4E2C" w:rsidRDefault="002F0133" w:rsidP="008A7464">
            <w:pPr>
              <w:rPr>
                <w:lang w:eastAsia="en-GB"/>
              </w:rPr>
            </w:pPr>
            <w:r w:rsidRPr="000B4E2C">
              <w:rPr>
                <w:lang w:eastAsia="en-GB"/>
              </w:rPr>
              <w:t>Sarafidis</w:t>
            </w:r>
          </w:p>
        </w:tc>
        <w:tc>
          <w:tcPr>
            <w:tcW w:w="0" w:type="auto"/>
            <w:shd w:val="clear" w:color="auto" w:fill="auto"/>
            <w:noWrap/>
            <w:hideMark/>
          </w:tcPr>
          <w:p w14:paraId="67E76504"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31B28B7" w14:textId="5D8BD2C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3F5BB4A" w14:textId="77777777" w:rsidR="002F0133" w:rsidRPr="000B4E2C" w:rsidRDefault="002F0133" w:rsidP="008A7464">
            <w:pPr>
              <w:rPr>
                <w:highlight w:val="green"/>
                <w:lang w:eastAsia="en-GB"/>
              </w:rPr>
            </w:pPr>
            <w:r w:rsidRPr="000B4E2C">
              <w:rPr>
                <w:highlight w:val="green"/>
                <w:lang w:eastAsia="en-GB"/>
              </w:rPr>
              <w:t>K. Sarafidis, E. Tsepkentzi, E. Diamanti, E. Agakidou, A. Taparkou, V. Soubasi, F. Papachristou and V. Drossou. Urine neutrophil gelatinase-associated lipocalin to predict acute kidney injury in preterm neonates. A pilot study. Pediatric Nephrology, 29(2), 305-310. [16534]</w:t>
            </w:r>
          </w:p>
        </w:tc>
      </w:tr>
      <w:tr w:rsidR="002F0133" w:rsidRPr="000B4E2C" w14:paraId="63C68E38" w14:textId="77777777" w:rsidTr="000B4E2C">
        <w:trPr>
          <w:cantSplit/>
        </w:trPr>
        <w:tc>
          <w:tcPr>
            <w:tcW w:w="0" w:type="auto"/>
            <w:shd w:val="clear" w:color="auto" w:fill="auto"/>
            <w:noWrap/>
            <w:hideMark/>
          </w:tcPr>
          <w:p w14:paraId="3A770507" w14:textId="77777777" w:rsidR="002F0133" w:rsidRPr="000B4E2C" w:rsidRDefault="002F0133" w:rsidP="008A7464">
            <w:pPr>
              <w:rPr>
                <w:lang w:eastAsia="en-GB"/>
              </w:rPr>
            </w:pPr>
            <w:r w:rsidRPr="000B4E2C">
              <w:rPr>
                <w:lang w:eastAsia="en-GB"/>
              </w:rPr>
              <w:t>Sargentini</w:t>
            </w:r>
          </w:p>
        </w:tc>
        <w:tc>
          <w:tcPr>
            <w:tcW w:w="0" w:type="auto"/>
            <w:shd w:val="clear" w:color="auto" w:fill="auto"/>
            <w:noWrap/>
            <w:hideMark/>
          </w:tcPr>
          <w:p w14:paraId="0308BFC7"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01B1EDCB" w14:textId="7EF6CBE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1FC3694" w14:textId="1227650A" w:rsidR="002F0133" w:rsidRPr="000B4E2C" w:rsidRDefault="002F0133" w:rsidP="008A7464">
            <w:pPr>
              <w:rPr>
                <w:highlight w:val="green"/>
                <w:lang w:eastAsia="en-GB"/>
              </w:rPr>
            </w:pPr>
            <w:r w:rsidRPr="000B4E2C">
              <w:rPr>
                <w:highlight w:val="green"/>
                <w:lang w:eastAsia="en-GB"/>
              </w:rPr>
              <w:t>Sargentini V, Mariani P, D</w:t>
            </w:r>
            <w:r w:rsidR="0072128A" w:rsidRPr="000B4E2C">
              <w:rPr>
                <w:color w:val="00B0F0"/>
                <w:highlight w:val="green"/>
                <w:lang w:eastAsia="en-GB"/>
              </w:rPr>
              <w:t>’</w:t>
            </w:r>
            <w:r w:rsidRPr="000B4E2C">
              <w:rPr>
                <w:highlight w:val="green"/>
                <w:lang w:eastAsia="en-GB"/>
              </w:rPr>
              <w:t>Alessandro M, Pistolesi V, Lauretta MP, Pacini F, et al. x. Assessment of NGAL as an early biomarker of acute kidney injury in adult cardiac surgery patients. . Assessment of NGAL as an early biomarker of acute kidney injury in adult cardiac surgery patients. . [16536]</w:t>
            </w:r>
          </w:p>
        </w:tc>
      </w:tr>
      <w:tr w:rsidR="002F0133" w:rsidRPr="000B4E2C" w14:paraId="65DAC1DE" w14:textId="77777777" w:rsidTr="000B4E2C">
        <w:trPr>
          <w:cantSplit/>
        </w:trPr>
        <w:tc>
          <w:tcPr>
            <w:tcW w:w="0" w:type="auto"/>
            <w:shd w:val="clear" w:color="auto" w:fill="auto"/>
            <w:noWrap/>
            <w:hideMark/>
          </w:tcPr>
          <w:p w14:paraId="534AF753" w14:textId="77777777" w:rsidR="002F0133" w:rsidRPr="000B4E2C" w:rsidRDefault="002F0133" w:rsidP="008A7464">
            <w:pPr>
              <w:rPr>
                <w:lang w:eastAsia="en-GB"/>
              </w:rPr>
            </w:pPr>
            <w:r w:rsidRPr="000B4E2C">
              <w:rPr>
                <w:lang w:eastAsia="en-GB"/>
              </w:rPr>
              <w:t>Sarlak</w:t>
            </w:r>
          </w:p>
        </w:tc>
        <w:tc>
          <w:tcPr>
            <w:tcW w:w="0" w:type="auto"/>
            <w:shd w:val="clear" w:color="auto" w:fill="auto"/>
            <w:noWrap/>
            <w:hideMark/>
          </w:tcPr>
          <w:p w14:paraId="7DFF0417"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B4CD77F"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0DF407C5" w14:textId="77777777" w:rsidR="002F0133" w:rsidRPr="000B4E2C" w:rsidRDefault="002F0133" w:rsidP="008A7464">
            <w:pPr>
              <w:rPr>
                <w:highlight w:val="green"/>
                <w:lang w:eastAsia="en-GB"/>
              </w:rPr>
            </w:pPr>
            <w:r w:rsidRPr="000B4E2C">
              <w:rPr>
                <w:highlight w:val="green"/>
                <w:lang w:eastAsia="en-GB"/>
              </w:rPr>
              <w:t>H. Sarlak, M. Dinc, S. Balta, M. Cakar, E. Arslan and S. Demirbas. Early detection of urinary NGAL and plasma CysC may prevent progression to overt acute renal failure. Swiss Medical Weekly, 144(w13949. [16537]</w:t>
            </w:r>
          </w:p>
        </w:tc>
      </w:tr>
      <w:tr w:rsidR="002F0133" w:rsidRPr="000B4E2C" w14:paraId="27BFF30E" w14:textId="77777777" w:rsidTr="000B4E2C">
        <w:trPr>
          <w:cantSplit/>
        </w:trPr>
        <w:tc>
          <w:tcPr>
            <w:tcW w:w="0" w:type="auto"/>
            <w:shd w:val="clear" w:color="auto" w:fill="auto"/>
            <w:noWrap/>
            <w:hideMark/>
          </w:tcPr>
          <w:p w14:paraId="144C4F6C" w14:textId="77777777" w:rsidR="002F0133" w:rsidRPr="000B4E2C" w:rsidRDefault="002F0133" w:rsidP="008A7464">
            <w:pPr>
              <w:rPr>
                <w:lang w:eastAsia="en-GB"/>
              </w:rPr>
            </w:pPr>
            <w:r w:rsidRPr="000B4E2C">
              <w:rPr>
                <w:lang w:eastAsia="en-GB"/>
              </w:rPr>
              <w:t>Sarnak</w:t>
            </w:r>
          </w:p>
        </w:tc>
        <w:tc>
          <w:tcPr>
            <w:tcW w:w="0" w:type="auto"/>
            <w:shd w:val="clear" w:color="auto" w:fill="auto"/>
            <w:noWrap/>
            <w:hideMark/>
          </w:tcPr>
          <w:p w14:paraId="4E8F99AE"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760791EF"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B7662FB" w14:textId="77777777" w:rsidR="002F0133" w:rsidRPr="000B4E2C" w:rsidRDefault="002F0133" w:rsidP="008A7464">
            <w:pPr>
              <w:rPr>
                <w:highlight w:val="green"/>
                <w:lang w:eastAsia="en-GB"/>
              </w:rPr>
            </w:pPr>
            <w:r w:rsidRPr="000B4E2C">
              <w:rPr>
                <w:highlight w:val="green"/>
                <w:lang w:eastAsia="en-GB"/>
              </w:rPr>
              <w:t>M. J. Sarnak, R. Katz, A. Newman, T. Harris, C. A. Peralta, P. Devarajan, M. R. Bennett, L. Fried, J. H. Ix, S. Satterfield, E. M. Simonsick, C. R. Parikh, M. G. Shlipak and A. B. C. S. Hlth. Association of Urinary Injury Biomarkers with Mortality and Cardiovascular Events. Journal of the American Society of Nephrology, 25(7), 1545-1553. [18578]</w:t>
            </w:r>
          </w:p>
        </w:tc>
      </w:tr>
      <w:tr w:rsidR="002F0133" w:rsidRPr="000B4E2C" w14:paraId="2EF794FC" w14:textId="77777777" w:rsidTr="000B4E2C">
        <w:trPr>
          <w:cantSplit/>
        </w:trPr>
        <w:tc>
          <w:tcPr>
            <w:tcW w:w="0" w:type="auto"/>
            <w:shd w:val="clear" w:color="auto" w:fill="auto"/>
            <w:noWrap/>
            <w:hideMark/>
          </w:tcPr>
          <w:p w14:paraId="09DC1896" w14:textId="77777777" w:rsidR="002F0133" w:rsidRPr="000B4E2C" w:rsidRDefault="002F0133" w:rsidP="008A7464">
            <w:pPr>
              <w:rPr>
                <w:lang w:eastAsia="en-GB"/>
              </w:rPr>
            </w:pPr>
            <w:r w:rsidRPr="000B4E2C">
              <w:rPr>
                <w:lang w:eastAsia="en-GB"/>
              </w:rPr>
              <w:t>Satirapoj</w:t>
            </w:r>
          </w:p>
        </w:tc>
        <w:tc>
          <w:tcPr>
            <w:tcW w:w="0" w:type="auto"/>
            <w:shd w:val="clear" w:color="auto" w:fill="auto"/>
            <w:noWrap/>
            <w:hideMark/>
          </w:tcPr>
          <w:p w14:paraId="5BA7E451"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2EEEF9C"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36B1B00" w14:textId="77777777" w:rsidR="002F0133" w:rsidRPr="000B4E2C" w:rsidRDefault="002F0133" w:rsidP="008A7464">
            <w:pPr>
              <w:rPr>
                <w:highlight w:val="green"/>
                <w:lang w:eastAsia="en-GB"/>
              </w:rPr>
            </w:pPr>
            <w:r w:rsidRPr="000B4E2C">
              <w:rPr>
                <w:highlight w:val="green"/>
                <w:lang w:eastAsia="en-GB"/>
              </w:rPr>
              <w:t>B. Satirapoj, K. Aramsaowapak, T. Tangwonglert and O. Supasyndh. Novel Tubular Biomarkers Predict Renal Progression in Type 2 Diabetes Mellitus: A Prospective Cohort Study. Journal of Diabetes Research, 2016(3102962. [16540]</w:t>
            </w:r>
          </w:p>
        </w:tc>
      </w:tr>
      <w:tr w:rsidR="002F0133" w:rsidRPr="000B4E2C" w14:paraId="1FE7E5D8" w14:textId="77777777" w:rsidTr="000B4E2C">
        <w:trPr>
          <w:cantSplit/>
        </w:trPr>
        <w:tc>
          <w:tcPr>
            <w:tcW w:w="0" w:type="auto"/>
            <w:shd w:val="clear" w:color="auto" w:fill="auto"/>
            <w:noWrap/>
            <w:hideMark/>
          </w:tcPr>
          <w:p w14:paraId="6B1B540C" w14:textId="77777777" w:rsidR="002F0133" w:rsidRPr="000B4E2C" w:rsidRDefault="002F0133" w:rsidP="008A7464">
            <w:pPr>
              <w:rPr>
                <w:lang w:eastAsia="en-GB"/>
              </w:rPr>
            </w:pPr>
            <w:r w:rsidRPr="000B4E2C">
              <w:rPr>
                <w:lang w:eastAsia="en-GB"/>
              </w:rPr>
              <w:t>Savran Karadeniz</w:t>
            </w:r>
          </w:p>
        </w:tc>
        <w:tc>
          <w:tcPr>
            <w:tcW w:w="0" w:type="auto"/>
            <w:shd w:val="clear" w:color="auto" w:fill="auto"/>
            <w:noWrap/>
            <w:hideMark/>
          </w:tcPr>
          <w:p w14:paraId="12743BA9"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10217A12" w14:textId="417940D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F54B670" w14:textId="77777777" w:rsidR="002F0133" w:rsidRPr="000B4E2C" w:rsidRDefault="002F0133" w:rsidP="008A7464">
            <w:pPr>
              <w:rPr>
                <w:highlight w:val="green"/>
                <w:lang w:eastAsia="en-GB"/>
              </w:rPr>
            </w:pPr>
            <w:r w:rsidRPr="000B4E2C">
              <w:rPr>
                <w:highlight w:val="green"/>
                <w:lang w:eastAsia="en-GB"/>
              </w:rPr>
              <w:t>M. Savran Karadeniz, I. Alp Eniste, H. Senturk Ciftci, S. Usta, T. Tefik, O. Sanli, K. Pembeci and K. M. Tugrul. Neutrophil gelatinase-associated lipocalin significantly correlates with ischemic damage in patients undergoing laparoscopic partial nephrectomy. Balkan Medical Journal, 36(2), 121-128. [16541]</w:t>
            </w:r>
          </w:p>
        </w:tc>
      </w:tr>
      <w:tr w:rsidR="002F0133" w:rsidRPr="000B4E2C" w14:paraId="189D54C4" w14:textId="77777777" w:rsidTr="000B4E2C">
        <w:trPr>
          <w:cantSplit/>
        </w:trPr>
        <w:tc>
          <w:tcPr>
            <w:tcW w:w="0" w:type="auto"/>
            <w:shd w:val="clear" w:color="auto" w:fill="auto"/>
            <w:noWrap/>
            <w:hideMark/>
          </w:tcPr>
          <w:p w14:paraId="1E694C63" w14:textId="77777777" w:rsidR="002F0133" w:rsidRPr="000B4E2C" w:rsidRDefault="002F0133" w:rsidP="008A7464">
            <w:pPr>
              <w:rPr>
                <w:lang w:eastAsia="en-GB"/>
              </w:rPr>
            </w:pPr>
            <w:r w:rsidRPr="000B4E2C">
              <w:rPr>
                <w:lang w:eastAsia="en-GB"/>
              </w:rPr>
              <w:t>Saydam</w:t>
            </w:r>
          </w:p>
        </w:tc>
        <w:tc>
          <w:tcPr>
            <w:tcW w:w="0" w:type="auto"/>
            <w:shd w:val="clear" w:color="auto" w:fill="auto"/>
            <w:noWrap/>
            <w:hideMark/>
          </w:tcPr>
          <w:p w14:paraId="48A43F4A"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601CE51B" w14:textId="53F49F6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F8E13E0" w14:textId="77777777" w:rsidR="002F0133" w:rsidRPr="000B4E2C" w:rsidRDefault="002F0133" w:rsidP="008A7464">
            <w:pPr>
              <w:rPr>
                <w:highlight w:val="green"/>
                <w:lang w:eastAsia="en-GB"/>
              </w:rPr>
            </w:pPr>
            <w:r w:rsidRPr="000B4E2C">
              <w:rPr>
                <w:highlight w:val="green"/>
                <w:lang w:eastAsia="en-GB"/>
              </w:rPr>
              <w:t>O. Saydam, E. Turkmen, O. Portakal, M. Arici, R. Dogan, M. Demircin, I. Pasaoglu and M. Yilmaz. Emerging biomarker for predicting acute kidney injury after cardiac surgery: Cystatin c. Turkish Journal of Medical Sciences, 48(6), 1096-1103. [16542]</w:t>
            </w:r>
          </w:p>
        </w:tc>
      </w:tr>
      <w:tr w:rsidR="002F0133" w:rsidRPr="000B4E2C" w14:paraId="255858BF" w14:textId="77777777" w:rsidTr="000B4E2C">
        <w:trPr>
          <w:cantSplit/>
        </w:trPr>
        <w:tc>
          <w:tcPr>
            <w:tcW w:w="0" w:type="auto"/>
            <w:shd w:val="clear" w:color="auto" w:fill="auto"/>
            <w:noWrap/>
            <w:hideMark/>
          </w:tcPr>
          <w:p w14:paraId="66C99541" w14:textId="77777777" w:rsidR="002F0133" w:rsidRPr="000B4E2C" w:rsidRDefault="002F0133" w:rsidP="008A7464">
            <w:pPr>
              <w:rPr>
                <w:lang w:eastAsia="en-GB"/>
              </w:rPr>
            </w:pPr>
            <w:r w:rsidRPr="000B4E2C">
              <w:rPr>
                <w:lang w:eastAsia="en-GB"/>
              </w:rPr>
              <w:t>Sayed</w:t>
            </w:r>
          </w:p>
        </w:tc>
        <w:tc>
          <w:tcPr>
            <w:tcW w:w="0" w:type="auto"/>
            <w:shd w:val="clear" w:color="auto" w:fill="auto"/>
            <w:noWrap/>
            <w:hideMark/>
          </w:tcPr>
          <w:p w14:paraId="5E6FC557"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0F27593" w14:textId="7C44B38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0952925" w14:textId="77777777" w:rsidR="002F0133" w:rsidRPr="000B4E2C" w:rsidRDefault="002F0133" w:rsidP="008A7464">
            <w:pPr>
              <w:rPr>
                <w:highlight w:val="green"/>
                <w:lang w:eastAsia="en-GB"/>
              </w:rPr>
            </w:pPr>
            <w:r w:rsidRPr="000B4E2C">
              <w:rPr>
                <w:highlight w:val="green"/>
                <w:lang w:eastAsia="en-GB"/>
              </w:rPr>
              <w:t>S. Sayed, N. K. Idriss, A. Blann, H. G. Sayyed, D. M. Raafat, D. Fouad and M. S. K. Tawfeek. The Number of GT(n) Repeats in the Hemeoxygenase-1 Gene Promoter is Increased in Pediatric Heart Failure but is Unrelated to Renal, Antioxidant and Anti-inflammatory Markers. Pediatric cardiology, 36(6), 1204-1211. [18579]</w:t>
            </w:r>
          </w:p>
        </w:tc>
      </w:tr>
      <w:tr w:rsidR="002F0133" w:rsidRPr="000B4E2C" w14:paraId="1D6F9995" w14:textId="77777777" w:rsidTr="000B4E2C">
        <w:trPr>
          <w:cantSplit/>
        </w:trPr>
        <w:tc>
          <w:tcPr>
            <w:tcW w:w="0" w:type="auto"/>
            <w:shd w:val="clear" w:color="auto" w:fill="auto"/>
            <w:noWrap/>
            <w:hideMark/>
          </w:tcPr>
          <w:p w14:paraId="49515068" w14:textId="77777777" w:rsidR="002F0133" w:rsidRPr="000B4E2C" w:rsidRDefault="002F0133" w:rsidP="008A7464">
            <w:pPr>
              <w:rPr>
                <w:lang w:eastAsia="en-GB"/>
              </w:rPr>
            </w:pPr>
            <w:r w:rsidRPr="000B4E2C">
              <w:rPr>
                <w:lang w:eastAsia="en-GB"/>
              </w:rPr>
              <w:t>Scazzochio</w:t>
            </w:r>
          </w:p>
        </w:tc>
        <w:tc>
          <w:tcPr>
            <w:tcW w:w="0" w:type="auto"/>
            <w:shd w:val="clear" w:color="auto" w:fill="auto"/>
            <w:noWrap/>
            <w:hideMark/>
          </w:tcPr>
          <w:p w14:paraId="4F868863"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772B194D" w14:textId="1B897CB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B7688EC" w14:textId="77777777" w:rsidR="002F0133" w:rsidRPr="000B4E2C" w:rsidRDefault="002F0133" w:rsidP="008A7464">
            <w:pPr>
              <w:rPr>
                <w:highlight w:val="green"/>
                <w:lang w:eastAsia="en-GB"/>
              </w:rPr>
            </w:pPr>
            <w:r w:rsidRPr="000B4E2C">
              <w:rPr>
                <w:highlight w:val="green"/>
                <w:lang w:eastAsia="en-GB"/>
              </w:rPr>
              <w:t>E. Scazzochio, M. Munmany, L. Garcia, E. Meler, F. Crispi, E. Gratacos and F. Figueras. Prognostic role of maternal neutrophil gelatinase-associated lipocalin in women with severe early-onset preeclampsia. Fetal Diagnosis and Therapy, 35(2), 127-132. [16543]</w:t>
            </w:r>
          </w:p>
        </w:tc>
      </w:tr>
      <w:tr w:rsidR="002F0133" w:rsidRPr="000B4E2C" w14:paraId="3FD7BB95" w14:textId="77777777" w:rsidTr="000B4E2C">
        <w:trPr>
          <w:cantSplit/>
        </w:trPr>
        <w:tc>
          <w:tcPr>
            <w:tcW w:w="0" w:type="auto"/>
            <w:shd w:val="clear" w:color="auto" w:fill="auto"/>
            <w:noWrap/>
            <w:hideMark/>
          </w:tcPr>
          <w:p w14:paraId="5D63A66B" w14:textId="77777777" w:rsidR="002F0133" w:rsidRPr="000B4E2C" w:rsidRDefault="002F0133" w:rsidP="008A7464">
            <w:pPr>
              <w:rPr>
                <w:lang w:eastAsia="en-GB"/>
              </w:rPr>
            </w:pPr>
            <w:r w:rsidRPr="000B4E2C">
              <w:rPr>
                <w:lang w:eastAsia="en-GB"/>
              </w:rPr>
              <w:lastRenderedPageBreak/>
              <w:t>Schanz</w:t>
            </w:r>
          </w:p>
        </w:tc>
        <w:tc>
          <w:tcPr>
            <w:tcW w:w="0" w:type="auto"/>
            <w:shd w:val="clear" w:color="auto" w:fill="auto"/>
            <w:noWrap/>
            <w:hideMark/>
          </w:tcPr>
          <w:p w14:paraId="52F4470A"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00562141" w14:textId="154A872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3466D32" w14:textId="77777777" w:rsidR="002F0133" w:rsidRPr="000B4E2C" w:rsidRDefault="002F0133" w:rsidP="008A7464">
            <w:pPr>
              <w:rPr>
                <w:highlight w:val="green"/>
                <w:lang w:eastAsia="en-GB"/>
              </w:rPr>
            </w:pPr>
            <w:r w:rsidRPr="000B4E2C">
              <w:rPr>
                <w:highlight w:val="green"/>
                <w:lang w:eastAsia="en-GB"/>
              </w:rPr>
              <w:t>M. Schanz, J. Shi, C. Wasser, M. D. Alscher and M. Kimmel. Urinary [TIMP-2] x [IGFBP7] for risk prediction of acute kidney injury in decompensated heart failure. Clinical Cardiology, 40(7), 485-491. [16545]</w:t>
            </w:r>
          </w:p>
        </w:tc>
      </w:tr>
      <w:tr w:rsidR="002F0133" w:rsidRPr="000B4E2C" w14:paraId="2A2D1651" w14:textId="77777777" w:rsidTr="000B4E2C">
        <w:trPr>
          <w:cantSplit/>
        </w:trPr>
        <w:tc>
          <w:tcPr>
            <w:tcW w:w="0" w:type="auto"/>
            <w:shd w:val="clear" w:color="auto" w:fill="auto"/>
            <w:noWrap/>
            <w:hideMark/>
          </w:tcPr>
          <w:p w14:paraId="52440F9E" w14:textId="77777777" w:rsidR="002F0133" w:rsidRPr="000B4E2C" w:rsidRDefault="002F0133" w:rsidP="008A7464">
            <w:pPr>
              <w:rPr>
                <w:lang w:eastAsia="en-GB"/>
              </w:rPr>
            </w:pPr>
            <w:r w:rsidRPr="000B4E2C">
              <w:rPr>
                <w:lang w:eastAsia="en-GB"/>
              </w:rPr>
              <w:t>Schanz</w:t>
            </w:r>
          </w:p>
        </w:tc>
        <w:tc>
          <w:tcPr>
            <w:tcW w:w="0" w:type="auto"/>
            <w:shd w:val="clear" w:color="auto" w:fill="auto"/>
            <w:noWrap/>
            <w:hideMark/>
          </w:tcPr>
          <w:p w14:paraId="18180BC6"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6D886991"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2546DA2F" w14:textId="77777777" w:rsidR="002F0133" w:rsidRPr="000B4E2C" w:rsidRDefault="002F0133" w:rsidP="008A7464">
            <w:pPr>
              <w:rPr>
                <w:highlight w:val="green"/>
                <w:lang w:eastAsia="en-GB"/>
              </w:rPr>
            </w:pPr>
            <w:r w:rsidRPr="000B4E2C">
              <w:rPr>
                <w:highlight w:val="green"/>
                <w:lang w:eastAsia="en-GB"/>
              </w:rPr>
              <w:t>M. Schanz, C. Wasser, S. Allgaeuer, S. Schricker, J. Dippon, M. D. Alscher and M. Kimmel. Urinary [TIMP-2].[IGFBP7]-guided randomized controlled intervention trial to prevent acute kidney injury in the emergency department. Nephrology, dialysis, transplantation, . [16544]</w:t>
            </w:r>
          </w:p>
        </w:tc>
      </w:tr>
      <w:tr w:rsidR="002F0133" w:rsidRPr="000B4E2C" w14:paraId="3FC7EC63" w14:textId="77777777" w:rsidTr="000B4E2C">
        <w:trPr>
          <w:cantSplit/>
        </w:trPr>
        <w:tc>
          <w:tcPr>
            <w:tcW w:w="0" w:type="auto"/>
            <w:shd w:val="clear" w:color="auto" w:fill="auto"/>
            <w:noWrap/>
            <w:hideMark/>
          </w:tcPr>
          <w:p w14:paraId="1EBDE1B7" w14:textId="77777777" w:rsidR="002F0133" w:rsidRPr="000B4E2C" w:rsidRDefault="002F0133" w:rsidP="008A7464">
            <w:pPr>
              <w:rPr>
                <w:lang w:eastAsia="en-GB"/>
              </w:rPr>
            </w:pPr>
            <w:r w:rsidRPr="000B4E2C">
              <w:rPr>
                <w:lang w:eastAsia="en-GB"/>
              </w:rPr>
              <w:t xml:space="preserve">Schanz </w:t>
            </w:r>
          </w:p>
        </w:tc>
        <w:tc>
          <w:tcPr>
            <w:tcW w:w="0" w:type="auto"/>
            <w:shd w:val="clear" w:color="auto" w:fill="auto"/>
            <w:noWrap/>
            <w:hideMark/>
          </w:tcPr>
          <w:p w14:paraId="7588FD79"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2370FC8D" w14:textId="7B5AB0B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0956EC9" w14:textId="77777777" w:rsidR="002F0133" w:rsidRPr="000B4E2C" w:rsidRDefault="002F0133" w:rsidP="008A7464">
            <w:pPr>
              <w:rPr>
                <w:highlight w:val="green"/>
                <w:lang w:eastAsia="en-GB"/>
              </w:rPr>
            </w:pPr>
            <w:r w:rsidRPr="000B4E2C">
              <w:rPr>
                <w:highlight w:val="green"/>
                <w:lang w:eastAsia="en-GB"/>
              </w:rPr>
              <w:t>M. Schanz, A. Hoferer, J. Shi, M. D. Alscher and M. Kimmel. Urinary TIMP2.IGFBP7 for the prediction of platinum-induced acute renal injury. International Journal of Nephrology and Renovascular Disease, 10(175-181. [16546]</w:t>
            </w:r>
          </w:p>
        </w:tc>
      </w:tr>
      <w:tr w:rsidR="002F0133" w:rsidRPr="000B4E2C" w14:paraId="1D3706C4" w14:textId="77777777" w:rsidTr="000B4E2C">
        <w:trPr>
          <w:cantSplit/>
        </w:trPr>
        <w:tc>
          <w:tcPr>
            <w:tcW w:w="0" w:type="auto"/>
            <w:shd w:val="clear" w:color="auto" w:fill="auto"/>
            <w:noWrap/>
            <w:hideMark/>
          </w:tcPr>
          <w:p w14:paraId="73C463DC" w14:textId="77777777" w:rsidR="002F0133" w:rsidRPr="000B4E2C" w:rsidRDefault="002F0133" w:rsidP="008A7464">
            <w:pPr>
              <w:rPr>
                <w:lang w:eastAsia="en-GB"/>
              </w:rPr>
            </w:pPr>
            <w:r w:rsidRPr="000B4E2C">
              <w:rPr>
                <w:lang w:eastAsia="en-GB"/>
              </w:rPr>
              <w:t>Schaub</w:t>
            </w:r>
          </w:p>
        </w:tc>
        <w:tc>
          <w:tcPr>
            <w:tcW w:w="0" w:type="auto"/>
            <w:shd w:val="clear" w:color="auto" w:fill="auto"/>
            <w:noWrap/>
            <w:hideMark/>
          </w:tcPr>
          <w:p w14:paraId="5037DD37"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A2E6F36"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326D1122" w14:textId="77777777" w:rsidR="002F0133" w:rsidRPr="000B4E2C" w:rsidRDefault="002F0133" w:rsidP="008A7464">
            <w:pPr>
              <w:rPr>
                <w:highlight w:val="green"/>
                <w:lang w:eastAsia="en-GB"/>
              </w:rPr>
            </w:pPr>
            <w:r w:rsidRPr="000B4E2C">
              <w:rPr>
                <w:highlight w:val="green"/>
                <w:lang w:eastAsia="en-GB"/>
              </w:rPr>
              <w:t>J. A. Schaub, A. X. Garg, S. G. Coca, J. M. Testani, M. G. Shlipak, J. Eikelboom, P. Kavsak, E. McArthur, C. Shortt, R. Whitlock and C. R. Parikh. Perioperative heart-type fatty acid binding protein is associated with acute kidney injury after cardiac surgery. Kidney International, 88(3), 576-583. [16549]</w:t>
            </w:r>
          </w:p>
        </w:tc>
      </w:tr>
      <w:tr w:rsidR="002F0133" w:rsidRPr="000B4E2C" w14:paraId="56609DDE" w14:textId="77777777" w:rsidTr="000B4E2C">
        <w:trPr>
          <w:cantSplit/>
        </w:trPr>
        <w:tc>
          <w:tcPr>
            <w:tcW w:w="0" w:type="auto"/>
            <w:shd w:val="clear" w:color="auto" w:fill="auto"/>
            <w:noWrap/>
            <w:hideMark/>
          </w:tcPr>
          <w:p w14:paraId="630B56A2" w14:textId="77777777" w:rsidR="002F0133" w:rsidRPr="000B4E2C" w:rsidRDefault="002F0133" w:rsidP="008A7464">
            <w:pPr>
              <w:rPr>
                <w:lang w:eastAsia="en-GB"/>
              </w:rPr>
            </w:pPr>
            <w:r w:rsidRPr="000B4E2C">
              <w:rPr>
                <w:lang w:eastAsia="en-GB"/>
              </w:rPr>
              <w:t>Schetz</w:t>
            </w:r>
          </w:p>
        </w:tc>
        <w:tc>
          <w:tcPr>
            <w:tcW w:w="0" w:type="auto"/>
            <w:shd w:val="clear" w:color="auto" w:fill="auto"/>
            <w:noWrap/>
            <w:hideMark/>
          </w:tcPr>
          <w:p w14:paraId="45075EFE"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46D3FD75"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4DAF3A69" w14:textId="77777777" w:rsidR="002F0133" w:rsidRPr="000B4E2C" w:rsidRDefault="002F0133" w:rsidP="008A7464">
            <w:pPr>
              <w:rPr>
                <w:highlight w:val="green"/>
                <w:lang w:eastAsia="en-GB"/>
              </w:rPr>
            </w:pPr>
            <w:r w:rsidRPr="000B4E2C">
              <w:rPr>
                <w:highlight w:val="green"/>
                <w:lang w:eastAsia="en-GB"/>
              </w:rPr>
              <w:t>M. Schetz and J. Prowle. Focus on acute kidney injury 2017. Intensive Care Medicine, 44(11), 1992-1994. [16550]</w:t>
            </w:r>
          </w:p>
        </w:tc>
      </w:tr>
      <w:tr w:rsidR="002F0133" w:rsidRPr="000B4E2C" w14:paraId="4B8F40EE" w14:textId="77777777" w:rsidTr="000B4E2C">
        <w:trPr>
          <w:cantSplit/>
        </w:trPr>
        <w:tc>
          <w:tcPr>
            <w:tcW w:w="0" w:type="auto"/>
            <w:shd w:val="clear" w:color="auto" w:fill="auto"/>
            <w:noWrap/>
            <w:hideMark/>
          </w:tcPr>
          <w:p w14:paraId="539531AD" w14:textId="77777777" w:rsidR="002F0133" w:rsidRPr="000B4E2C" w:rsidRDefault="002F0133" w:rsidP="008A7464">
            <w:pPr>
              <w:rPr>
                <w:lang w:eastAsia="en-GB"/>
              </w:rPr>
            </w:pPr>
            <w:r w:rsidRPr="000B4E2C">
              <w:rPr>
                <w:lang w:eastAsia="en-GB"/>
              </w:rPr>
              <w:t>Schilcher</w:t>
            </w:r>
          </w:p>
        </w:tc>
        <w:tc>
          <w:tcPr>
            <w:tcW w:w="0" w:type="auto"/>
            <w:shd w:val="clear" w:color="auto" w:fill="auto"/>
            <w:noWrap/>
            <w:hideMark/>
          </w:tcPr>
          <w:p w14:paraId="1D9FA67F"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10C31827"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2782449F" w14:textId="77777777" w:rsidR="002F0133" w:rsidRPr="000B4E2C" w:rsidRDefault="002F0133" w:rsidP="008A7464">
            <w:pPr>
              <w:rPr>
                <w:highlight w:val="green"/>
                <w:lang w:eastAsia="en-GB"/>
              </w:rPr>
            </w:pPr>
            <w:r w:rsidRPr="000B4E2C">
              <w:rPr>
                <w:highlight w:val="green"/>
                <w:lang w:eastAsia="en-GB"/>
              </w:rPr>
              <w:t>G. Schilcher, W. Ribitsch, R. Otto, R. H. Portugaller, F. Quehenberger, M. Truschnig-Wilders, R. Zweiker, P. Stiegler, M. Brodmann, K. Weinhandl and J. H. Horina. Early detection and intervention using neutrophil gelatinase-associated lipocalin (NGAL) may improve renal outcome of acute contrast media induced nephropathy: A randomized controlled trial in patients undergoing intra-arterial angiography (ANTI-CIN Study). BMC Nephrology, 12(1), 39. [16554]</w:t>
            </w:r>
          </w:p>
        </w:tc>
      </w:tr>
      <w:tr w:rsidR="002F0133" w:rsidRPr="000B4E2C" w14:paraId="3F48755E" w14:textId="77777777" w:rsidTr="000B4E2C">
        <w:trPr>
          <w:cantSplit/>
        </w:trPr>
        <w:tc>
          <w:tcPr>
            <w:tcW w:w="0" w:type="auto"/>
            <w:shd w:val="clear" w:color="auto" w:fill="auto"/>
            <w:noWrap/>
            <w:hideMark/>
          </w:tcPr>
          <w:p w14:paraId="51BADB01" w14:textId="77777777" w:rsidR="002F0133" w:rsidRPr="000B4E2C" w:rsidRDefault="002F0133" w:rsidP="008A7464">
            <w:pPr>
              <w:rPr>
                <w:lang w:eastAsia="en-GB"/>
              </w:rPr>
            </w:pPr>
            <w:r w:rsidRPr="000B4E2C">
              <w:rPr>
                <w:lang w:eastAsia="en-GB"/>
              </w:rPr>
              <w:t>Schinstock</w:t>
            </w:r>
          </w:p>
        </w:tc>
        <w:tc>
          <w:tcPr>
            <w:tcW w:w="0" w:type="auto"/>
            <w:shd w:val="clear" w:color="auto" w:fill="auto"/>
            <w:noWrap/>
            <w:hideMark/>
          </w:tcPr>
          <w:p w14:paraId="08708876"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602FDB33"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26F9268B" w14:textId="77777777" w:rsidR="002F0133" w:rsidRPr="000B4E2C" w:rsidRDefault="002F0133" w:rsidP="008A7464">
            <w:pPr>
              <w:rPr>
                <w:highlight w:val="green"/>
                <w:lang w:eastAsia="en-GB"/>
              </w:rPr>
            </w:pPr>
            <w:r w:rsidRPr="000B4E2C">
              <w:rPr>
                <w:highlight w:val="green"/>
                <w:lang w:eastAsia="en-GB"/>
              </w:rPr>
              <w:t>C. A. Schinstock, M. H. Semret, S. J. Wagner, T. M. Borland, S. C. Bryant, K. B. Kashani, T. S. Larson and J. C. Lieske. Urinalysis is more specific and urinary neutrophil gelatinase-associated lipocalin is more sensitive for early detection of acute kidney injury. Nephrology Dialysis Transplantation, 28(5), 1175-1185. [16556]</w:t>
            </w:r>
          </w:p>
        </w:tc>
      </w:tr>
      <w:tr w:rsidR="002F0133" w:rsidRPr="000B4E2C" w14:paraId="3A16CA32" w14:textId="77777777" w:rsidTr="000B4E2C">
        <w:trPr>
          <w:cantSplit/>
        </w:trPr>
        <w:tc>
          <w:tcPr>
            <w:tcW w:w="0" w:type="auto"/>
            <w:shd w:val="clear" w:color="auto" w:fill="auto"/>
            <w:noWrap/>
            <w:hideMark/>
          </w:tcPr>
          <w:p w14:paraId="59CB6CF1" w14:textId="77777777" w:rsidR="002F0133" w:rsidRPr="000B4E2C" w:rsidRDefault="002F0133" w:rsidP="008A7464">
            <w:pPr>
              <w:rPr>
                <w:lang w:eastAsia="en-GB"/>
              </w:rPr>
            </w:pPr>
            <w:r w:rsidRPr="000B4E2C">
              <w:rPr>
                <w:lang w:eastAsia="en-GB"/>
              </w:rPr>
              <w:t>Schley</w:t>
            </w:r>
          </w:p>
        </w:tc>
        <w:tc>
          <w:tcPr>
            <w:tcW w:w="0" w:type="auto"/>
            <w:shd w:val="clear" w:color="auto" w:fill="auto"/>
            <w:noWrap/>
            <w:hideMark/>
          </w:tcPr>
          <w:p w14:paraId="6C1F3290"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3E3B66D" w14:textId="0A9F26FA" w:rsidR="002F0133" w:rsidRPr="000B4E2C" w:rsidRDefault="002F0133" w:rsidP="008A7464">
            <w:pPr>
              <w:rPr>
                <w:lang w:eastAsia="en-GB"/>
              </w:rPr>
            </w:pPr>
            <w:r w:rsidRPr="000B4E2C">
              <w:rPr>
                <w:lang w:eastAsia="en-GB"/>
              </w:rPr>
              <w:t>Poster presentation</w:t>
            </w:r>
            <w:r w:rsidR="000B4E2C" w:rsidRPr="000B4E2C">
              <w:rPr>
                <w:color w:val="00B0F0"/>
                <w:lang w:eastAsia="en-GB"/>
              </w:rPr>
              <w:t xml:space="preserve"> – </w:t>
            </w:r>
            <w:r w:rsidRPr="000B4E2C">
              <w:rPr>
                <w:lang w:eastAsia="en-GB"/>
              </w:rPr>
              <w:t>may be the same study as Schley 16558</w:t>
            </w:r>
          </w:p>
        </w:tc>
        <w:tc>
          <w:tcPr>
            <w:tcW w:w="0" w:type="auto"/>
            <w:shd w:val="clear" w:color="auto" w:fill="auto"/>
            <w:noWrap/>
            <w:hideMark/>
          </w:tcPr>
          <w:p w14:paraId="51DA2DAB" w14:textId="77777777" w:rsidR="002F0133" w:rsidRPr="000B4E2C" w:rsidRDefault="002F0133" w:rsidP="008A7464">
            <w:pPr>
              <w:rPr>
                <w:highlight w:val="green"/>
                <w:lang w:eastAsia="en-GB"/>
              </w:rPr>
            </w:pPr>
            <w:r w:rsidRPr="000B4E2C">
              <w:rPr>
                <w:highlight w:val="green"/>
                <w:lang w:eastAsia="en-GB"/>
              </w:rPr>
              <w:t>G. Schley, C. Koberle, E. Manuilova, S. Rutz, R. Kientsch-Engel, K. U. Eckardt and C. Willam. Comparative analysis of diagnostic and predictive performance of novel renal biomarkers in plasma and urine of acute kidney injury patients. Intensive Care Medicine Experimental, 3(Supplement 1), A258. [16559]</w:t>
            </w:r>
          </w:p>
        </w:tc>
      </w:tr>
      <w:tr w:rsidR="002F0133" w:rsidRPr="000B4E2C" w14:paraId="29E156B2" w14:textId="77777777" w:rsidTr="000B4E2C">
        <w:trPr>
          <w:cantSplit/>
        </w:trPr>
        <w:tc>
          <w:tcPr>
            <w:tcW w:w="0" w:type="auto"/>
            <w:shd w:val="clear" w:color="auto" w:fill="auto"/>
            <w:noWrap/>
            <w:hideMark/>
          </w:tcPr>
          <w:p w14:paraId="1757A82C" w14:textId="77777777" w:rsidR="002F0133" w:rsidRPr="000B4E2C" w:rsidRDefault="002F0133" w:rsidP="008A7464">
            <w:pPr>
              <w:rPr>
                <w:lang w:eastAsia="en-GB"/>
              </w:rPr>
            </w:pPr>
            <w:r w:rsidRPr="000B4E2C">
              <w:rPr>
                <w:lang w:eastAsia="en-GB"/>
              </w:rPr>
              <w:t>Schneider</w:t>
            </w:r>
          </w:p>
        </w:tc>
        <w:tc>
          <w:tcPr>
            <w:tcW w:w="0" w:type="auto"/>
            <w:shd w:val="clear" w:color="auto" w:fill="auto"/>
            <w:noWrap/>
            <w:hideMark/>
          </w:tcPr>
          <w:p w14:paraId="18DB68D1"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3450E2AF"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1E15155D" w14:textId="77777777" w:rsidR="002F0133" w:rsidRPr="000B4E2C" w:rsidRDefault="002F0133" w:rsidP="008A7464">
            <w:pPr>
              <w:rPr>
                <w:highlight w:val="green"/>
                <w:lang w:eastAsia="en-GB"/>
              </w:rPr>
            </w:pPr>
            <w:r w:rsidRPr="000B4E2C">
              <w:rPr>
                <w:highlight w:val="green"/>
                <w:lang w:eastAsia="en-GB"/>
              </w:rPr>
              <w:t>A. G. Schneider and R. Bellomo. Acute kidney injury: New studies. Intensive Care Medicine, 39(4), 569-571. [16565]</w:t>
            </w:r>
          </w:p>
        </w:tc>
      </w:tr>
      <w:tr w:rsidR="002F0133" w:rsidRPr="000B4E2C" w14:paraId="0BD7A605" w14:textId="77777777" w:rsidTr="000B4E2C">
        <w:trPr>
          <w:cantSplit/>
        </w:trPr>
        <w:tc>
          <w:tcPr>
            <w:tcW w:w="0" w:type="auto"/>
            <w:shd w:val="clear" w:color="auto" w:fill="auto"/>
            <w:noWrap/>
            <w:hideMark/>
          </w:tcPr>
          <w:p w14:paraId="44C7B033" w14:textId="77777777" w:rsidR="002F0133" w:rsidRPr="000B4E2C" w:rsidRDefault="002F0133" w:rsidP="008A7464">
            <w:pPr>
              <w:rPr>
                <w:lang w:eastAsia="en-GB"/>
              </w:rPr>
            </w:pPr>
            <w:r w:rsidRPr="000B4E2C">
              <w:rPr>
                <w:lang w:eastAsia="en-GB"/>
              </w:rPr>
              <w:t>Schneider</w:t>
            </w:r>
          </w:p>
        </w:tc>
        <w:tc>
          <w:tcPr>
            <w:tcW w:w="0" w:type="auto"/>
            <w:shd w:val="clear" w:color="auto" w:fill="auto"/>
            <w:noWrap/>
            <w:hideMark/>
          </w:tcPr>
          <w:p w14:paraId="3BBF5D95"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3775FACA"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4422F32C" w14:textId="77777777" w:rsidR="002F0133" w:rsidRPr="000B4E2C" w:rsidRDefault="002F0133" w:rsidP="008A7464">
            <w:pPr>
              <w:rPr>
                <w:highlight w:val="green"/>
                <w:lang w:eastAsia="en-GB"/>
              </w:rPr>
            </w:pPr>
            <w:r w:rsidRPr="000B4E2C">
              <w:rPr>
                <w:highlight w:val="green"/>
                <w:lang w:eastAsia="en-GB"/>
              </w:rPr>
              <w:t>A. G. Schneider, N. Mongardon and L. Muller. Biomarkers of renal injury, time for a grey-zone approach?. Anaesthesia Critical Care and Pain Medicine, 37(4), 307-309. [16564]</w:t>
            </w:r>
          </w:p>
        </w:tc>
      </w:tr>
      <w:tr w:rsidR="002F0133" w:rsidRPr="000B4E2C" w14:paraId="52803E9C" w14:textId="77777777" w:rsidTr="000B4E2C">
        <w:trPr>
          <w:cantSplit/>
        </w:trPr>
        <w:tc>
          <w:tcPr>
            <w:tcW w:w="0" w:type="auto"/>
            <w:shd w:val="clear" w:color="auto" w:fill="auto"/>
            <w:noWrap/>
            <w:hideMark/>
          </w:tcPr>
          <w:p w14:paraId="6B08C8C8" w14:textId="77777777" w:rsidR="002F0133" w:rsidRPr="000B4E2C" w:rsidRDefault="002F0133" w:rsidP="008A7464">
            <w:pPr>
              <w:rPr>
                <w:lang w:eastAsia="en-GB"/>
              </w:rPr>
            </w:pPr>
            <w:r w:rsidRPr="000B4E2C">
              <w:rPr>
                <w:lang w:eastAsia="en-GB"/>
              </w:rPr>
              <w:t>Schutz</w:t>
            </w:r>
          </w:p>
        </w:tc>
        <w:tc>
          <w:tcPr>
            <w:tcW w:w="0" w:type="auto"/>
            <w:shd w:val="clear" w:color="auto" w:fill="auto"/>
            <w:noWrap/>
            <w:hideMark/>
          </w:tcPr>
          <w:p w14:paraId="4B0B9EFC"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17DF0CFB"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301AE15" w14:textId="77777777" w:rsidR="002F0133" w:rsidRPr="000B4E2C" w:rsidRDefault="002F0133" w:rsidP="008A7464">
            <w:pPr>
              <w:rPr>
                <w:highlight w:val="green"/>
                <w:lang w:eastAsia="en-GB"/>
              </w:rPr>
            </w:pPr>
            <w:r w:rsidRPr="000B4E2C">
              <w:rPr>
                <w:highlight w:val="green"/>
                <w:lang w:eastAsia="en-GB"/>
              </w:rPr>
              <w:t>C. Schutz, D. R. Boulware, K. Huppler-Hullsiek, M. von Hohenberg, J. Rhein, K. Taseera, F. Thienemann, C. Muzoora, D. B. Meya and G. Meintjes. Acute Kidney Injury and Urinary Biomarkers in Human Immunodeficiency Virus-Associated Cryptococcal Meningitis. Open forum infectious diseases, 4(3), ofx127. [16573]</w:t>
            </w:r>
          </w:p>
        </w:tc>
      </w:tr>
      <w:tr w:rsidR="002F0133" w:rsidRPr="000B4E2C" w14:paraId="359D77AF" w14:textId="77777777" w:rsidTr="000B4E2C">
        <w:trPr>
          <w:cantSplit/>
        </w:trPr>
        <w:tc>
          <w:tcPr>
            <w:tcW w:w="0" w:type="auto"/>
            <w:shd w:val="clear" w:color="auto" w:fill="auto"/>
            <w:noWrap/>
            <w:hideMark/>
          </w:tcPr>
          <w:p w14:paraId="1CEEBE7E" w14:textId="77777777" w:rsidR="002F0133" w:rsidRPr="000B4E2C" w:rsidRDefault="002F0133" w:rsidP="008A7464">
            <w:pPr>
              <w:rPr>
                <w:lang w:eastAsia="en-GB"/>
              </w:rPr>
            </w:pPr>
            <w:r w:rsidRPr="000B4E2C">
              <w:rPr>
                <w:lang w:eastAsia="en-GB"/>
              </w:rPr>
              <w:lastRenderedPageBreak/>
              <w:t>Seibert</w:t>
            </w:r>
          </w:p>
        </w:tc>
        <w:tc>
          <w:tcPr>
            <w:tcW w:w="0" w:type="auto"/>
            <w:shd w:val="clear" w:color="auto" w:fill="auto"/>
            <w:noWrap/>
            <w:hideMark/>
          </w:tcPr>
          <w:p w14:paraId="0E0E96C2"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60BA3FAE" w14:textId="4100395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429E0AF" w14:textId="77777777" w:rsidR="002F0133" w:rsidRPr="000B4E2C" w:rsidRDefault="002F0133" w:rsidP="008A7464">
            <w:pPr>
              <w:rPr>
                <w:highlight w:val="green"/>
                <w:lang w:eastAsia="en-GB"/>
              </w:rPr>
            </w:pPr>
            <w:r w:rsidRPr="000B4E2C">
              <w:rPr>
                <w:highlight w:val="green"/>
                <w:lang w:eastAsia="en-GB"/>
              </w:rPr>
              <w:t>F. S. Seibert, N. Pagonas, R. Arndt, F. Heller, D. Dragun, P. Persson, K. Schmidt-Ott, W. Zidek and T. H. Westhoff. Calprotectin and neutrophil gelatinase-associated lipocalin in the differentiation of pre-renal and intrinsic acute kidney injury. Acta Physiologica, 207(4), 700-708. [16578]</w:t>
            </w:r>
          </w:p>
        </w:tc>
      </w:tr>
      <w:tr w:rsidR="002F0133" w:rsidRPr="000B4E2C" w14:paraId="783F5F95" w14:textId="77777777" w:rsidTr="000B4E2C">
        <w:trPr>
          <w:cantSplit/>
        </w:trPr>
        <w:tc>
          <w:tcPr>
            <w:tcW w:w="0" w:type="auto"/>
            <w:shd w:val="clear" w:color="auto" w:fill="auto"/>
            <w:noWrap/>
            <w:hideMark/>
          </w:tcPr>
          <w:p w14:paraId="750553CE" w14:textId="77777777" w:rsidR="002F0133" w:rsidRPr="000B4E2C" w:rsidRDefault="002F0133" w:rsidP="008A7464">
            <w:pPr>
              <w:rPr>
                <w:lang w:eastAsia="en-GB"/>
              </w:rPr>
            </w:pPr>
            <w:r w:rsidRPr="000B4E2C">
              <w:rPr>
                <w:lang w:eastAsia="en-GB"/>
              </w:rPr>
              <w:t>Seibert</w:t>
            </w:r>
          </w:p>
        </w:tc>
        <w:tc>
          <w:tcPr>
            <w:tcW w:w="0" w:type="auto"/>
            <w:shd w:val="clear" w:color="auto" w:fill="auto"/>
            <w:noWrap/>
            <w:hideMark/>
          </w:tcPr>
          <w:p w14:paraId="686D00DE"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38C72861"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4B64E203" w14:textId="77777777" w:rsidR="002F0133" w:rsidRPr="000B4E2C" w:rsidRDefault="002F0133" w:rsidP="008A7464">
            <w:pPr>
              <w:rPr>
                <w:highlight w:val="green"/>
                <w:lang w:eastAsia="en-GB"/>
              </w:rPr>
            </w:pPr>
            <w:r w:rsidRPr="000B4E2C">
              <w:rPr>
                <w:highlight w:val="green"/>
                <w:lang w:eastAsia="en-GB"/>
              </w:rPr>
              <w:t>F. S. Seibert, M. Sitz, J. Passfall, M. Haesner, P. Laschinski, M. Buhl, F. Bauer, N. Babel, N. Pagonas and T. H. Westhoff. Prognostic value of urinary calprotectin, NGAL and KIM-1 in chronic kidney disease. Kidney and Blood Pressure Research, 43(4), 1255-1262. [16577]</w:t>
            </w:r>
          </w:p>
        </w:tc>
      </w:tr>
      <w:tr w:rsidR="002F0133" w:rsidRPr="000B4E2C" w14:paraId="6C436A95" w14:textId="77777777" w:rsidTr="000B4E2C">
        <w:trPr>
          <w:cantSplit/>
        </w:trPr>
        <w:tc>
          <w:tcPr>
            <w:tcW w:w="0" w:type="auto"/>
            <w:shd w:val="clear" w:color="auto" w:fill="auto"/>
            <w:noWrap/>
            <w:hideMark/>
          </w:tcPr>
          <w:p w14:paraId="3242D6CF" w14:textId="77777777" w:rsidR="002F0133" w:rsidRPr="000B4E2C" w:rsidRDefault="002F0133" w:rsidP="008A7464">
            <w:pPr>
              <w:rPr>
                <w:lang w:eastAsia="en-GB"/>
              </w:rPr>
            </w:pPr>
            <w:r w:rsidRPr="000B4E2C">
              <w:rPr>
                <w:lang w:eastAsia="en-GB"/>
              </w:rPr>
              <w:t>Se-Jun</w:t>
            </w:r>
          </w:p>
        </w:tc>
        <w:tc>
          <w:tcPr>
            <w:tcW w:w="0" w:type="auto"/>
            <w:shd w:val="clear" w:color="auto" w:fill="auto"/>
            <w:noWrap/>
            <w:hideMark/>
          </w:tcPr>
          <w:p w14:paraId="49378A75"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2C77A60" w14:textId="46D6D3B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9AEA6D7" w14:textId="77777777" w:rsidR="002F0133" w:rsidRPr="000B4E2C" w:rsidRDefault="002F0133" w:rsidP="008A7464">
            <w:pPr>
              <w:rPr>
                <w:highlight w:val="green"/>
                <w:lang w:eastAsia="en-GB"/>
              </w:rPr>
            </w:pPr>
            <w:r w:rsidRPr="000B4E2C">
              <w:rPr>
                <w:highlight w:val="green"/>
                <w:lang w:eastAsia="en-GB"/>
              </w:rPr>
              <w:t>P. Se-Jun, K. O. O. Hoseok, L. E. E. Kyoung-Jin, K. I. M. Seo-Hyun, Y. U. N. Seo-Young, K. I. M. Seunghyup, W. Dong-Hee, J. O. O. Shin-Young, L. E. E. Byungmo, C. HoJun and P. Sihyung. Usefulness of neutrophil gelatinase-associated lipocalin(NGAL) to confirm subclinical acute kidney injury and renal prognosis in patients following surgery. Kosin Medical Journal, 212-220. [6166]</w:t>
            </w:r>
          </w:p>
        </w:tc>
      </w:tr>
      <w:tr w:rsidR="002F0133" w:rsidRPr="000B4E2C" w14:paraId="51AD06A6" w14:textId="77777777" w:rsidTr="000B4E2C">
        <w:trPr>
          <w:cantSplit/>
        </w:trPr>
        <w:tc>
          <w:tcPr>
            <w:tcW w:w="0" w:type="auto"/>
            <w:shd w:val="clear" w:color="auto" w:fill="auto"/>
            <w:noWrap/>
            <w:hideMark/>
          </w:tcPr>
          <w:p w14:paraId="715CC638" w14:textId="77777777" w:rsidR="002F0133" w:rsidRPr="000B4E2C" w:rsidRDefault="002F0133" w:rsidP="008A7464">
            <w:pPr>
              <w:rPr>
                <w:lang w:eastAsia="en-GB"/>
              </w:rPr>
            </w:pPr>
            <w:r w:rsidRPr="000B4E2C">
              <w:rPr>
                <w:lang w:eastAsia="en-GB"/>
              </w:rPr>
              <w:t>Seker</w:t>
            </w:r>
          </w:p>
        </w:tc>
        <w:tc>
          <w:tcPr>
            <w:tcW w:w="0" w:type="auto"/>
            <w:shd w:val="clear" w:color="auto" w:fill="auto"/>
            <w:noWrap/>
            <w:hideMark/>
          </w:tcPr>
          <w:p w14:paraId="0F2D485C"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573DA832" w14:textId="4E96B8E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36A5789" w14:textId="77777777" w:rsidR="002F0133" w:rsidRPr="000B4E2C" w:rsidRDefault="002F0133" w:rsidP="008A7464">
            <w:pPr>
              <w:rPr>
                <w:highlight w:val="green"/>
                <w:lang w:eastAsia="en-GB"/>
              </w:rPr>
            </w:pPr>
            <w:r w:rsidRPr="000B4E2C">
              <w:rPr>
                <w:highlight w:val="green"/>
                <w:lang w:eastAsia="en-GB"/>
              </w:rPr>
              <w:t>M. M. Seker, K. Deveci, A. Seker, E. Sancakdar, A. Yilmaz, A. K. Turesin, T. Kacan and N. A. Babacan. Predictive role of neutrophil gelatinase-associated lipocalin in early diagnosis of platin-induced renal injury. Asian Pacific journal of cancer prevention : APJCP, 16(2), 407-410. [16580]</w:t>
            </w:r>
          </w:p>
        </w:tc>
      </w:tr>
      <w:tr w:rsidR="002F0133" w:rsidRPr="000B4E2C" w14:paraId="3E343E42" w14:textId="77777777" w:rsidTr="000B4E2C">
        <w:trPr>
          <w:cantSplit/>
        </w:trPr>
        <w:tc>
          <w:tcPr>
            <w:tcW w:w="0" w:type="auto"/>
            <w:shd w:val="clear" w:color="auto" w:fill="auto"/>
            <w:noWrap/>
            <w:hideMark/>
          </w:tcPr>
          <w:p w14:paraId="75E4ED16" w14:textId="77777777" w:rsidR="002F0133" w:rsidRPr="000B4E2C" w:rsidRDefault="002F0133" w:rsidP="008A7464">
            <w:pPr>
              <w:rPr>
                <w:lang w:eastAsia="en-GB"/>
              </w:rPr>
            </w:pPr>
            <w:r w:rsidRPr="000B4E2C">
              <w:rPr>
                <w:lang w:eastAsia="en-GB"/>
              </w:rPr>
              <w:t>Self</w:t>
            </w:r>
          </w:p>
        </w:tc>
        <w:tc>
          <w:tcPr>
            <w:tcW w:w="0" w:type="auto"/>
            <w:shd w:val="clear" w:color="auto" w:fill="auto"/>
            <w:noWrap/>
            <w:hideMark/>
          </w:tcPr>
          <w:p w14:paraId="6A685C93"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40B46FB5"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652E59B4" w14:textId="77777777" w:rsidR="002F0133" w:rsidRPr="000B4E2C" w:rsidRDefault="002F0133" w:rsidP="008A7464">
            <w:pPr>
              <w:rPr>
                <w:highlight w:val="green"/>
                <w:lang w:eastAsia="en-GB"/>
              </w:rPr>
            </w:pPr>
            <w:r w:rsidRPr="000B4E2C">
              <w:rPr>
                <w:highlight w:val="green"/>
                <w:lang w:eastAsia="en-GB"/>
              </w:rPr>
              <w:t>W. H. Self and T. W. Barrett. Novel Biomarkers: Help or Hindrance to Patient Care in the Emergency Department?. Annals of Emergency Medicine, 56(1), 60-61. [16581]</w:t>
            </w:r>
          </w:p>
        </w:tc>
      </w:tr>
      <w:tr w:rsidR="002F0133" w:rsidRPr="000B4E2C" w14:paraId="2804A7E3" w14:textId="77777777" w:rsidTr="000B4E2C">
        <w:trPr>
          <w:cantSplit/>
        </w:trPr>
        <w:tc>
          <w:tcPr>
            <w:tcW w:w="0" w:type="auto"/>
            <w:shd w:val="clear" w:color="auto" w:fill="auto"/>
            <w:noWrap/>
            <w:hideMark/>
          </w:tcPr>
          <w:p w14:paraId="75454B15" w14:textId="77777777" w:rsidR="002F0133" w:rsidRPr="000B4E2C" w:rsidRDefault="002F0133" w:rsidP="008A7464">
            <w:pPr>
              <w:rPr>
                <w:lang w:eastAsia="en-GB"/>
              </w:rPr>
            </w:pPr>
            <w:r w:rsidRPr="000B4E2C">
              <w:rPr>
                <w:lang w:eastAsia="en-GB"/>
              </w:rPr>
              <w:t>Sellmer</w:t>
            </w:r>
          </w:p>
        </w:tc>
        <w:tc>
          <w:tcPr>
            <w:tcW w:w="0" w:type="auto"/>
            <w:shd w:val="clear" w:color="auto" w:fill="auto"/>
            <w:noWrap/>
            <w:hideMark/>
          </w:tcPr>
          <w:p w14:paraId="7E5E4E0D"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02E53872"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2EB31A4C" w14:textId="77777777" w:rsidR="002F0133" w:rsidRPr="000B4E2C" w:rsidRDefault="002F0133" w:rsidP="008A7464">
            <w:pPr>
              <w:rPr>
                <w:highlight w:val="green"/>
                <w:lang w:eastAsia="en-GB"/>
              </w:rPr>
            </w:pPr>
            <w:r w:rsidRPr="000B4E2C">
              <w:rPr>
                <w:highlight w:val="green"/>
                <w:lang w:val="da-DK" w:eastAsia="en-GB"/>
              </w:rPr>
              <w:t xml:space="preserve">A. Sellmer, B. H. Bech, J. V. Bjerre, M. R. Schmidt, V. E. Hjortdal, G. Esberg, S. Rittig and T. B. Henriksen. </w:t>
            </w:r>
            <w:r w:rsidRPr="000B4E2C">
              <w:rPr>
                <w:highlight w:val="green"/>
                <w:lang w:eastAsia="en-GB"/>
              </w:rPr>
              <w:t>Urinary Neutrophil Gelatinase-associated Lipocalin in the evaluation of Patent Ductus Arteriosus and AKI in Very Preterm Neonates: A cohort study. BMC Pediatrics, 17(1), 7. [16582]</w:t>
            </w:r>
          </w:p>
        </w:tc>
      </w:tr>
      <w:tr w:rsidR="002F0133" w:rsidRPr="000B4E2C" w14:paraId="303EB734" w14:textId="77777777" w:rsidTr="000B4E2C">
        <w:trPr>
          <w:cantSplit/>
        </w:trPr>
        <w:tc>
          <w:tcPr>
            <w:tcW w:w="0" w:type="auto"/>
            <w:shd w:val="clear" w:color="auto" w:fill="auto"/>
            <w:noWrap/>
            <w:hideMark/>
          </w:tcPr>
          <w:p w14:paraId="55A96483" w14:textId="77777777" w:rsidR="002F0133" w:rsidRPr="000B4E2C" w:rsidRDefault="002F0133" w:rsidP="008A7464">
            <w:pPr>
              <w:rPr>
                <w:lang w:eastAsia="en-GB"/>
              </w:rPr>
            </w:pPr>
            <w:r w:rsidRPr="000B4E2C">
              <w:rPr>
                <w:lang w:eastAsia="en-GB"/>
              </w:rPr>
              <w:t>Sen</w:t>
            </w:r>
          </w:p>
        </w:tc>
        <w:tc>
          <w:tcPr>
            <w:tcW w:w="0" w:type="auto"/>
            <w:shd w:val="clear" w:color="auto" w:fill="auto"/>
            <w:noWrap/>
            <w:hideMark/>
          </w:tcPr>
          <w:p w14:paraId="5E81E681"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3874D8CD" w14:textId="6A7D8EF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5AE0690" w14:textId="77777777" w:rsidR="002F0133" w:rsidRPr="000B4E2C" w:rsidRDefault="002F0133" w:rsidP="008A7464">
            <w:pPr>
              <w:rPr>
                <w:highlight w:val="green"/>
                <w:lang w:eastAsia="en-GB"/>
              </w:rPr>
            </w:pPr>
            <w:r w:rsidRPr="000B4E2C">
              <w:rPr>
                <w:highlight w:val="green"/>
                <w:lang w:eastAsia="en-GB"/>
              </w:rPr>
              <w:t>S. Sen, Z. R. Godwin, T. Palmieri, D. Greenhalgh, A. N. Steele and N. K. Tran. Whole blood neutrophil gelatinase-associated lipocalin predicts acute kidney injury in burn patients. Journal of Surgical Research, 196(2), 382-387. [16583]</w:t>
            </w:r>
          </w:p>
        </w:tc>
      </w:tr>
      <w:tr w:rsidR="002F0133" w:rsidRPr="000B4E2C" w14:paraId="0042561F" w14:textId="77777777" w:rsidTr="000B4E2C">
        <w:trPr>
          <w:cantSplit/>
        </w:trPr>
        <w:tc>
          <w:tcPr>
            <w:tcW w:w="0" w:type="auto"/>
            <w:shd w:val="clear" w:color="auto" w:fill="auto"/>
            <w:noWrap/>
            <w:hideMark/>
          </w:tcPr>
          <w:p w14:paraId="71070727" w14:textId="77777777" w:rsidR="002F0133" w:rsidRPr="000B4E2C" w:rsidRDefault="002F0133" w:rsidP="008A7464">
            <w:pPr>
              <w:rPr>
                <w:lang w:eastAsia="en-GB"/>
              </w:rPr>
            </w:pPr>
            <w:r w:rsidRPr="000B4E2C">
              <w:rPr>
                <w:lang w:eastAsia="en-GB"/>
              </w:rPr>
              <w:t>Sen</w:t>
            </w:r>
          </w:p>
        </w:tc>
        <w:tc>
          <w:tcPr>
            <w:tcW w:w="0" w:type="auto"/>
            <w:shd w:val="clear" w:color="auto" w:fill="auto"/>
            <w:noWrap/>
            <w:hideMark/>
          </w:tcPr>
          <w:p w14:paraId="35AA4506"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026D9B5"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D7AEF7C" w14:textId="77777777" w:rsidR="002F0133" w:rsidRPr="000B4E2C" w:rsidRDefault="002F0133" w:rsidP="008A7464">
            <w:pPr>
              <w:rPr>
                <w:highlight w:val="green"/>
                <w:lang w:eastAsia="en-GB"/>
              </w:rPr>
            </w:pPr>
            <w:r w:rsidRPr="000B4E2C">
              <w:rPr>
                <w:highlight w:val="green"/>
                <w:lang w:eastAsia="en-GB"/>
              </w:rPr>
              <w:t>V. Sen, A. Ece, U. Uluca, M. Soker, A. Gunes, I. Kaplan, I. Tan, S. Yel, N. Mete and C. Sahin. Urinary early kidney injury molecules in children with beta-thalassemia major. Renal failure, 37(4), 607-13. [16584]</w:t>
            </w:r>
          </w:p>
        </w:tc>
      </w:tr>
      <w:tr w:rsidR="002F0133" w:rsidRPr="000B4E2C" w14:paraId="313FC2B7" w14:textId="77777777" w:rsidTr="000B4E2C">
        <w:trPr>
          <w:cantSplit/>
        </w:trPr>
        <w:tc>
          <w:tcPr>
            <w:tcW w:w="0" w:type="auto"/>
            <w:shd w:val="clear" w:color="auto" w:fill="auto"/>
            <w:noWrap/>
            <w:hideMark/>
          </w:tcPr>
          <w:p w14:paraId="0BEE9039" w14:textId="77777777" w:rsidR="002F0133" w:rsidRPr="000B4E2C" w:rsidRDefault="002F0133" w:rsidP="008A7464">
            <w:pPr>
              <w:rPr>
                <w:lang w:eastAsia="en-GB"/>
              </w:rPr>
            </w:pPr>
            <w:r w:rsidRPr="000B4E2C">
              <w:rPr>
                <w:lang w:eastAsia="en-GB"/>
              </w:rPr>
              <w:t>Seo</w:t>
            </w:r>
          </w:p>
        </w:tc>
        <w:tc>
          <w:tcPr>
            <w:tcW w:w="0" w:type="auto"/>
            <w:shd w:val="clear" w:color="auto" w:fill="auto"/>
            <w:noWrap/>
            <w:hideMark/>
          </w:tcPr>
          <w:p w14:paraId="5A1F8D95"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7878229" w14:textId="1F4418B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4991ECE" w14:textId="77777777" w:rsidR="002F0133" w:rsidRPr="000B4E2C" w:rsidRDefault="002F0133" w:rsidP="008A7464">
            <w:pPr>
              <w:rPr>
                <w:highlight w:val="green"/>
                <w:lang w:eastAsia="en-GB"/>
              </w:rPr>
            </w:pPr>
            <w:r w:rsidRPr="000B4E2C">
              <w:rPr>
                <w:highlight w:val="green"/>
                <w:lang w:eastAsia="en-GB"/>
              </w:rPr>
              <w:t>W. H. Seo, S. W. Nam, E. H. Lee, B. K. Je, H. E. Yim and B. M. Choi. A rapid plasma neutrophil gelatinase-associated lipocalin assay for diagnosis of acute pyelonephritis in infants with acute febrile urinary tract infections: A preliminary study. European Journal of Pediatrics, 173(2), 229-232. [16586]</w:t>
            </w:r>
          </w:p>
        </w:tc>
      </w:tr>
      <w:tr w:rsidR="002F0133" w:rsidRPr="000B4E2C" w14:paraId="591250D0" w14:textId="77777777" w:rsidTr="000B4E2C">
        <w:trPr>
          <w:cantSplit/>
        </w:trPr>
        <w:tc>
          <w:tcPr>
            <w:tcW w:w="0" w:type="auto"/>
            <w:shd w:val="clear" w:color="auto" w:fill="auto"/>
            <w:noWrap/>
            <w:hideMark/>
          </w:tcPr>
          <w:p w14:paraId="761DC650" w14:textId="77777777" w:rsidR="002F0133" w:rsidRPr="000B4E2C" w:rsidRDefault="002F0133" w:rsidP="008A7464">
            <w:pPr>
              <w:rPr>
                <w:lang w:eastAsia="en-GB"/>
              </w:rPr>
            </w:pPr>
            <w:r w:rsidRPr="000B4E2C">
              <w:rPr>
                <w:lang w:eastAsia="en-GB"/>
              </w:rPr>
              <w:t>Shahbazi</w:t>
            </w:r>
          </w:p>
        </w:tc>
        <w:tc>
          <w:tcPr>
            <w:tcW w:w="0" w:type="auto"/>
            <w:shd w:val="clear" w:color="auto" w:fill="auto"/>
            <w:noWrap/>
            <w:hideMark/>
          </w:tcPr>
          <w:p w14:paraId="6F4DD11D"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75C2EAA"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676DD3D" w14:textId="77777777" w:rsidR="002F0133" w:rsidRPr="000B4E2C" w:rsidRDefault="002F0133" w:rsidP="008A7464">
            <w:pPr>
              <w:rPr>
                <w:highlight w:val="green"/>
                <w:lang w:eastAsia="en-GB"/>
              </w:rPr>
            </w:pPr>
            <w:r w:rsidRPr="000B4E2C">
              <w:rPr>
                <w:highlight w:val="green"/>
                <w:lang w:eastAsia="en-GB"/>
              </w:rPr>
              <w:t>F. Shahbazi, S. Sadighi, S. Dashti-Khavidaki, F. Shahi, M. Mirzania, A. Abdollahi and M. H. Ghahremani. Effect of Silymarin Administration on Cisplatin Nephrotoxicity: Report from A Pilot, Randomized, Double-Blinded, Placebo-Controlled Clinical Trial. Phytotherapy Research, 29(7), 1046-1053. [16591]</w:t>
            </w:r>
          </w:p>
        </w:tc>
      </w:tr>
      <w:tr w:rsidR="002F0133" w:rsidRPr="000B4E2C" w14:paraId="0DBFECC0" w14:textId="77777777" w:rsidTr="000B4E2C">
        <w:trPr>
          <w:cantSplit/>
        </w:trPr>
        <w:tc>
          <w:tcPr>
            <w:tcW w:w="0" w:type="auto"/>
            <w:shd w:val="clear" w:color="auto" w:fill="auto"/>
            <w:noWrap/>
            <w:hideMark/>
          </w:tcPr>
          <w:p w14:paraId="2EB32BBB" w14:textId="77777777" w:rsidR="002F0133" w:rsidRPr="000B4E2C" w:rsidRDefault="002F0133" w:rsidP="008A7464">
            <w:pPr>
              <w:rPr>
                <w:lang w:eastAsia="en-GB"/>
              </w:rPr>
            </w:pPr>
            <w:r w:rsidRPr="000B4E2C">
              <w:rPr>
                <w:lang w:eastAsia="en-GB"/>
              </w:rPr>
              <w:t>Shahbazi</w:t>
            </w:r>
          </w:p>
        </w:tc>
        <w:tc>
          <w:tcPr>
            <w:tcW w:w="0" w:type="auto"/>
            <w:shd w:val="clear" w:color="auto" w:fill="auto"/>
            <w:noWrap/>
            <w:hideMark/>
          </w:tcPr>
          <w:p w14:paraId="2AA17B8D"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00DA92A"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71F7B09" w14:textId="77777777" w:rsidR="002F0133" w:rsidRPr="000B4E2C" w:rsidRDefault="002F0133" w:rsidP="008A7464">
            <w:pPr>
              <w:rPr>
                <w:highlight w:val="green"/>
                <w:lang w:eastAsia="en-GB"/>
              </w:rPr>
            </w:pPr>
            <w:r w:rsidRPr="000B4E2C">
              <w:rPr>
                <w:highlight w:val="green"/>
                <w:lang w:eastAsia="en-GB"/>
              </w:rPr>
              <w:t>F. Shahbazi, S. Sadighi, S. Dashti-Khavidaki, F. Shahi and M. Mirzania. Urine ratio of neutrophil gelatinase-associated lipocalin to creatinine as a marker for early detection of cisplatinassociated nephrotoxicity. Iranian Journal of Kidney Diseases, 9(4), 305-310. [16592]</w:t>
            </w:r>
          </w:p>
        </w:tc>
      </w:tr>
      <w:tr w:rsidR="002F0133" w:rsidRPr="000B4E2C" w14:paraId="7C6ECD28" w14:textId="77777777" w:rsidTr="000B4E2C">
        <w:trPr>
          <w:cantSplit/>
        </w:trPr>
        <w:tc>
          <w:tcPr>
            <w:tcW w:w="0" w:type="auto"/>
            <w:shd w:val="clear" w:color="auto" w:fill="auto"/>
            <w:noWrap/>
            <w:hideMark/>
          </w:tcPr>
          <w:p w14:paraId="16EA4B8F" w14:textId="77777777" w:rsidR="002F0133" w:rsidRPr="000B4E2C" w:rsidRDefault="002F0133" w:rsidP="008A7464">
            <w:pPr>
              <w:rPr>
                <w:lang w:eastAsia="en-GB"/>
              </w:rPr>
            </w:pPr>
            <w:r w:rsidRPr="000B4E2C">
              <w:rPr>
                <w:lang w:eastAsia="en-GB"/>
              </w:rPr>
              <w:t>Shaker</w:t>
            </w:r>
          </w:p>
        </w:tc>
        <w:tc>
          <w:tcPr>
            <w:tcW w:w="0" w:type="auto"/>
            <w:shd w:val="clear" w:color="auto" w:fill="auto"/>
            <w:noWrap/>
            <w:hideMark/>
          </w:tcPr>
          <w:p w14:paraId="35615D34"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73416CD4" w14:textId="524D409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FF8F229" w14:textId="77777777" w:rsidR="002F0133" w:rsidRPr="000B4E2C" w:rsidRDefault="002F0133" w:rsidP="008A7464">
            <w:pPr>
              <w:rPr>
                <w:highlight w:val="green"/>
                <w:lang w:eastAsia="en-GB"/>
              </w:rPr>
            </w:pPr>
            <w:r w:rsidRPr="000B4E2C">
              <w:rPr>
                <w:highlight w:val="green"/>
                <w:lang w:eastAsia="en-GB"/>
              </w:rPr>
              <w:t>O. Shaker, A. El-Shehaby and M. El-Khatib. Early Diagnostic Markers for Contrast Nephropathy in Patients Undergoing Coronary Angiography. Angiology, 61(8), 731-736. [18581]</w:t>
            </w:r>
          </w:p>
        </w:tc>
      </w:tr>
      <w:tr w:rsidR="002F0133" w:rsidRPr="000B4E2C" w14:paraId="6253EDE3" w14:textId="77777777" w:rsidTr="000B4E2C">
        <w:trPr>
          <w:cantSplit/>
        </w:trPr>
        <w:tc>
          <w:tcPr>
            <w:tcW w:w="0" w:type="auto"/>
            <w:shd w:val="clear" w:color="auto" w:fill="auto"/>
            <w:noWrap/>
            <w:hideMark/>
          </w:tcPr>
          <w:p w14:paraId="41C17590" w14:textId="77777777" w:rsidR="002F0133" w:rsidRPr="000B4E2C" w:rsidRDefault="002F0133" w:rsidP="008A7464">
            <w:pPr>
              <w:rPr>
                <w:lang w:eastAsia="en-GB"/>
              </w:rPr>
            </w:pPr>
            <w:r w:rsidRPr="000B4E2C">
              <w:rPr>
                <w:lang w:eastAsia="en-GB"/>
              </w:rPr>
              <w:lastRenderedPageBreak/>
              <w:t>Shaker</w:t>
            </w:r>
          </w:p>
        </w:tc>
        <w:tc>
          <w:tcPr>
            <w:tcW w:w="0" w:type="auto"/>
            <w:shd w:val="clear" w:color="auto" w:fill="auto"/>
            <w:noWrap/>
            <w:hideMark/>
          </w:tcPr>
          <w:p w14:paraId="35C7DCDF"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4F711C65" w14:textId="760D28E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15B302C" w14:textId="77777777" w:rsidR="002F0133" w:rsidRPr="000B4E2C" w:rsidRDefault="002F0133" w:rsidP="008A7464">
            <w:pPr>
              <w:rPr>
                <w:highlight w:val="green"/>
                <w:lang w:eastAsia="en-GB"/>
              </w:rPr>
            </w:pPr>
            <w:r w:rsidRPr="000B4E2C">
              <w:rPr>
                <w:highlight w:val="green"/>
                <w:lang w:eastAsia="en-GB"/>
              </w:rPr>
              <w:t>A. M. Shaker, E. El Mohamed, H. H. Samir, M. M. Elnokeety, H. A. Sayed and T. A. Ramzy. Fibroblast growth factor-23 as a predictor biomarker of acute kidney injury after cardiac surgery. Saudi journal of kidney diseases and transplantation, 29(3), 531-539. [16593]</w:t>
            </w:r>
          </w:p>
        </w:tc>
      </w:tr>
      <w:tr w:rsidR="002F0133" w:rsidRPr="000B4E2C" w14:paraId="1797ED28" w14:textId="77777777" w:rsidTr="000B4E2C">
        <w:trPr>
          <w:cantSplit/>
        </w:trPr>
        <w:tc>
          <w:tcPr>
            <w:tcW w:w="0" w:type="auto"/>
            <w:shd w:val="clear" w:color="auto" w:fill="auto"/>
            <w:noWrap/>
            <w:hideMark/>
          </w:tcPr>
          <w:p w14:paraId="48D9F881" w14:textId="77777777" w:rsidR="002F0133" w:rsidRPr="000B4E2C" w:rsidRDefault="002F0133" w:rsidP="008A7464">
            <w:pPr>
              <w:rPr>
                <w:lang w:eastAsia="en-GB"/>
              </w:rPr>
            </w:pPr>
            <w:r w:rsidRPr="000B4E2C">
              <w:rPr>
                <w:lang w:eastAsia="en-GB"/>
              </w:rPr>
              <w:t xml:space="preserve">Shao </w:t>
            </w:r>
          </w:p>
        </w:tc>
        <w:tc>
          <w:tcPr>
            <w:tcW w:w="0" w:type="auto"/>
            <w:shd w:val="clear" w:color="auto" w:fill="auto"/>
            <w:noWrap/>
            <w:hideMark/>
          </w:tcPr>
          <w:p w14:paraId="6D1F3AF0"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6224ED5D"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DB30371" w14:textId="77777777" w:rsidR="002F0133" w:rsidRPr="000B4E2C" w:rsidRDefault="002F0133" w:rsidP="008A7464">
            <w:pPr>
              <w:rPr>
                <w:highlight w:val="green"/>
                <w:lang w:eastAsia="en-GB"/>
              </w:rPr>
            </w:pPr>
            <w:r w:rsidRPr="000B4E2C">
              <w:rPr>
                <w:highlight w:val="green"/>
                <w:lang w:eastAsia="en-GB"/>
              </w:rPr>
              <w:t>Y. Shao, Y. Fan, Y. Xie, L. Yin, Y. Zhang, L. Deng, X. Sun, X. Shao, X. Tan, J. He and S. Zhao. Effect of continuous renal replacement therapy on kidney injury molecule-1 and neutrophil gelatinase-associated lipocalin in patients with septic acute kidney injury. Experimental and Therapeutic Medicine, 13(6): 3594-3602. [16597]</w:t>
            </w:r>
          </w:p>
        </w:tc>
      </w:tr>
      <w:tr w:rsidR="002F0133" w:rsidRPr="000B4E2C" w14:paraId="5D0DED85" w14:textId="77777777" w:rsidTr="000B4E2C">
        <w:trPr>
          <w:cantSplit/>
        </w:trPr>
        <w:tc>
          <w:tcPr>
            <w:tcW w:w="0" w:type="auto"/>
            <w:shd w:val="clear" w:color="auto" w:fill="auto"/>
            <w:noWrap/>
            <w:hideMark/>
          </w:tcPr>
          <w:p w14:paraId="3A71C89C" w14:textId="77777777" w:rsidR="002F0133" w:rsidRPr="000B4E2C" w:rsidRDefault="002F0133" w:rsidP="008A7464">
            <w:pPr>
              <w:rPr>
                <w:lang w:eastAsia="en-GB"/>
              </w:rPr>
            </w:pPr>
            <w:r w:rsidRPr="000B4E2C">
              <w:rPr>
                <w:lang w:eastAsia="en-GB"/>
              </w:rPr>
              <w:t xml:space="preserve">Shapiro </w:t>
            </w:r>
          </w:p>
        </w:tc>
        <w:tc>
          <w:tcPr>
            <w:tcW w:w="0" w:type="auto"/>
            <w:shd w:val="clear" w:color="auto" w:fill="auto"/>
            <w:noWrap/>
            <w:hideMark/>
          </w:tcPr>
          <w:p w14:paraId="3A29E18A"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73BE2EF1"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21BBC26" w14:textId="77777777" w:rsidR="002F0133" w:rsidRPr="000B4E2C" w:rsidRDefault="002F0133" w:rsidP="008A7464">
            <w:pPr>
              <w:rPr>
                <w:highlight w:val="green"/>
                <w:lang w:eastAsia="en-GB"/>
              </w:rPr>
            </w:pPr>
            <w:r w:rsidRPr="000B4E2C">
              <w:rPr>
                <w:highlight w:val="green"/>
                <w:lang w:eastAsia="en-GB"/>
              </w:rPr>
              <w:t>N. I. Shapiro, S. Trzeciak, J. E. Hollander, R. Birkhahn, R. Otero, T. M. Osborn, E. Moretti, H. B. Nguyen, K. Gunnerson, D. Milzman, D. F. Gaieski, M. Goyal, C. B. Cairns, K. Kupfer, S. W. Lee and E. P. Rivers. The Diagnostic Accuracy of Plasma Neutrophil Gelatinase-Associated Lipocalin in the Prediction of Acute Kidney Injury in Emergency Department Patients With Suspected Sepsis. Annals of Emergency Medicine, 56(1), 52. [16598]</w:t>
            </w:r>
          </w:p>
        </w:tc>
      </w:tr>
      <w:tr w:rsidR="002F0133" w:rsidRPr="000B4E2C" w14:paraId="279A9656" w14:textId="77777777" w:rsidTr="000B4E2C">
        <w:trPr>
          <w:cantSplit/>
        </w:trPr>
        <w:tc>
          <w:tcPr>
            <w:tcW w:w="0" w:type="auto"/>
            <w:shd w:val="clear" w:color="auto" w:fill="auto"/>
            <w:noWrap/>
            <w:hideMark/>
          </w:tcPr>
          <w:p w14:paraId="7A5E00D9" w14:textId="77777777" w:rsidR="002F0133" w:rsidRPr="000B4E2C" w:rsidRDefault="002F0133" w:rsidP="008A7464">
            <w:pPr>
              <w:rPr>
                <w:lang w:eastAsia="en-GB"/>
              </w:rPr>
            </w:pPr>
            <w:r w:rsidRPr="000B4E2C">
              <w:rPr>
                <w:lang w:eastAsia="en-GB"/>
              </w:rPr>
              <w:t>Sharma</w:t>
            </w:r>
          </w:p>
        </w:tc>
        <w:tc>
          <w:tcPr>
            <w:tcW w:w="0" w:type="auto"/>
            <w:shd w:val="clear" w:color="auto" w:fill="auto"/>
            <w:noWrap/>
            <w:hideMark/>
          </w:tcPr>
          <w:p w14:paraId="03537681"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33F5D51B"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8FD4705" w14:textId="3B989FDD" w:rsidR="002F0133" w:rsidRPr="000B4E2C" w:rsidRDefault="002F0133" w:rsidP="008A7464">
            <w:pPr>
              <w:rPr>
                <w:highlight w:val="green"/>
                <w:lang w:eastAsia="en-GB"/>
              </w:rPr>
            </w:pPr>
            <w:r w:rsidRPr="000B4E2C">
              <w:rPr>
                <w:highlight w:val="green"/>
                <w:lang w:eastAsia="en-GB"/>
              </w:rPr>
              <w:t>A. Sharma, B. G. Demissei, J. Tromp, H. L. Hillege, J. G. Cleland, C. M. O</w:t>
            </w:r>
            <w:r w:rsidR="0072128A" w:rsidRPr="000B4E2C">
              <w:rPr>
                <w:color w:val="00B0F0"/>
                <w:highlight w:val="green"/>
                <w:lang w:eastAsia="en-GB"/>
              </w:rPr>
              <w:t>’</w:t>
            </w:r>
            <w:r w:rsidRPr="000B4E2C">
              <w:rPr>
                <w:highlight w:val="green"/>
                <w:lang w:eastAsia="en-GB"/>
              </w:rPr>
              <w:t>Connor, M. Metra, P. Ponikowski, J. R. Teerlink and B. A. Davison. A network analysis to compare biomarker profiles in patients with and without diabetes mellitus in acute heart failure. European journal of heart failure, 19(10), 1310â€1320. [4794]</w:t>
            </w:r>
          </w:p>
        </w:tc>
      </w:tr>
      <w:tr w:rsidR="002F0133" w:rsidRPr="000B4E2C" w14:paraId="660C4E2C" w14:textId="77777777" w:rsidTr="000B4E2C">
        <w:trPr>
          <w:cantSplit/>
        </w:trPr>
        <w:tc>
          <w:tcPr>
            <w:tcW w:w="0" w:type="auto"/>
            <w:shd w:val="clear" w:color="auto" w:fill="auto"/>
            <w:noWrap/>
            <w:hideMark/>
          </w:tcPr>
          <w:p w14:paraId="70861D1B" w14:textId="77777777" w:rsidR="002F0133" w:rsidRPr="000B4E2C" w:rsidRDefault="002F0133" w:rsidP="008A7464">
            <w:pPr>
              <w:rPr>
                <w:lang w:eastAsia="en-GB"/>
              </w:rPr>
            </w:pPr>
            <w:r w:rsidRPr="000B4E2C">
              <w:rPr>
                <w:lang w:eastAsia="en-GB"/>
              </w:rPr>
              <w:t>Shavit</w:t>
            </w:r>
          </w:p>
        </w:tc>
        <w:tc>
          <w:tcPr>
            <w:tcW w:w="0" w:type="auto"/>
            <w:shd w:val="clear" w:color="auto" w:fill="auto"/>
            <w:noWrap/>
            <w:hideMark/>
          </w:tcPr>
          <w:p w14:paraId="64179A07"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787CFD3E" w14:textId="31D7F08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E0C39A5" w14:textId="77777777" w:rsidR="002F0133" w:rsidRPr="000B4E2C" w:rsidRDefault="002F0133" w:rsidP="008A7464">
            <w:pPr>
              <w:rPr>
                <w:highlight w:val="green"/>
                <w:lang w:eastAsia="en-GB"/>
              </w:rPr>
            </w:pPr>
            <w:r w:rsidRPr="000B4E2C">
              <w:rPr>
                <w:highlight w:val="green"/>
                <w:lang w:eastAsia="en-GB"/>
              </w:rPr>
              <w:t>L. Shavit, I. Dolgoker, H. Ivgi, M. Assous and I. Slotki. Neutrophil gelatinase-associated lipocalin as a predictor of complications and mortality in patients undergoing non-cardiac major surgery. Kidney and Blood Pressure Research, 34(2), 116-124. [16603]</w:t>
            </w:r>
          </w:p>
        </w:tc>
      </w:tr>
      <w:tr w:rsidR="002F0133" w:rsidRPr="000B4E2C" w14:paraId="0139AB03" w14:textId="77777777" w:rsidTr="000B4E2C">
        <w:trPr>
          <w:cantSplit/>
        </w:trPr>
        <w:tc>
          <w:tcPr>
            <w:tcW w:w="0" w:type="auto"/>
            <w:shd w:val="clear" w:color="auto" w:fill="auto"/>
            <w:noWrap/>
            <w:hideMark/>
          </w:tcPr>
          <w:p w14:paraId="011FE919" w14:textId="77777777" w:rsidR="002F0133" w:rsidRPr="000B4E2C" w:rsidRDefault="002F0133" w:rsidP="008A7464">
            <w:pPr>
              <w:rPr>
                <w:lang w:eastAsia="en-GB"/>
              </w:rPr>
            </w:pPr>
            <w:r w:rsidRPr="000B4E2C">
              <w:rPr>
                <w:lang w:eastAsia="en-GB"/>
              </w:rPr>
              <w:t>Shavit</w:t>
            </w:r>
          </w:p>
        </w:tc>
        <w:tc>
          <w:tcPr>
            <w:tcW w:w="0" w:type="auto"/>
            <w:shd w:val="clear" w:color="auto" w:fill="auto"/>
            <w:noWrap/>
            <w:hideMark/>
          </w:tcPr>
          <w:p w14:paraId="403E01E7"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25DBE000"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F2D2036" w14:textId="77777777" w:rsidR="002F0133" w:rsidRPr="000B4E2C" w:rsidRDefault="002F0133" w:rsidP="008A7464">
            <w:pPr>
              <w:rPr>
                <w:highlight w:val="green"/>
                <w:lang w:eastAsia="en-GB"/>
              </w:rPr>
            </w:pPr>
            <w:r w:rsidRPr="000B4E2C">
              <w:rPr>
                <w:highlight w:val="green"/>
                <w:lang w:eastAsia="en-GB"/>
              </w:rPr>
              <w:t>L. Shavit, R. Manilov, Y. Wiener-Well, N. Algur and I. Slotki. Urinary neutrophil gelatinase-associated lipocalin for early detection of acute kidney injury in geriatric patients with urinary tract infection treated by colistin. Clinical Nephrology, 80(6), 405-416. [16602]</w:t>
            </w:r>
          </w:p>
        </w:tc>
      </w:tr>
      <w:tr w:rsidR="002F0133" w:rsidRPr="000B4E2C" w14:paraId="68737770" w14:textId="77777777" w:rsidTr="000B4E2C">
        <w:trPr>
          <w:cantSplit/>
        </w:trPr>
        <w:tc>
          <w:tcPr>
            <w:tcW w:w="0" w:type="auto"/>
            <w:shd w:val="clear" w:color="auto" w:fill="auto"/>
            <w:noWrap/>
            <w:hideMark/>
          </w:tcPr>
          <w:p w14:paraId="1C623B14" w14:textId="77777777" w:rsidR="002F0133" w:rsidRPr="000B4E2C" w:rsidRDefault="002F0133" w:rsidP="008A7464">
            <w:pPr>
              <w:rPr>
                <w:lang w:eastAsia="en-GB"/>
              </w:rPr>
            </w:pPr>
            <w:r w:rsidRPr="000B4E2C">
              <w:rPr>
                <w:lang w:eastAsia="en-GB"/>
              </w:rPr>
              <w:t>Shaw</w:t>
            </w:r>
          </w:p>
        </w:tc>
        <w:tc>
          <w:tcPr>
            <w:tcW w:w="0" w:type="auto"/>
            <w:shd w:val="clear" w:color="auto" w:fill="auto"/>
            <w:noWrap/>
            <w:hideMark/>
          </w:tcPr>
          <w:p w14:paraId="7F812F73"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1A065B88" w14:textId="1CF25FE8" w:rsidR="002F0133" w:rsidRPr="000B4E2C" w:rsidRDefault="002F0133" w:rsidP="008A7464">
            <w:pPr>
              <w:rPr>
                <w:lang w:eastAsia="en-GB"/>
              </w:rPr>
            </w:pPr>
            <w:r w:rsidRPr="000B4E2C">
              <w:rPr>
                <w:lang w:eastAsia="en-GB"/>
              </w:rPr>
              <w:t>Cost-effectiveness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00F23F4F" w14:textId="77777777" w:rsidR="002F0133" w:rsidRPr="000B4E2C" w:rsidRDefault="002F0133" w:rsidP="008A7464">
            <w:pPr>
              <w:rPr>
                <w:highlight w:val="green"/>
                <w:lang w:eastAsia="en-GB"/>
              </w:rPr>
            </w:pPr>
            <w:r w:rsidRPr="000B4E2C">
              <w:rPr>
                <w:highlight w:val="green"/>
                <w:lang w:eastAsia="en-GB"/>
              </w:rPr>
              <w:t>A. D. Shaw, D. B. Chalfin and J. Kleintjens. The economic impact and cost-effectiveness of urinary neutrophil gelatinase-associated lipocalin after cardiac surgery. Clinical Therapeutics, 33(11), 1713-1725. [16605]</w:t>
            </w:r>
          </w:p>
        </w:tc>
      </w:tr>
      <w:tr w:rsidR="002F0133" w:rsidRPr="000B4E2C" w14:paraId="2D50D0F2" w14:textId="77777777" w:rsidTr="000B4E2C">
        <w:trPr>
          <w:cantSplit/>
        </w:trPr>
        <w:tc>
          <w:tcPr>
            <w:tcW w:w="0" w:type="auto"/>
            <w:shd w:val="clear" w:color="auto" w:fill="auto"/>
            <w:noWrap/>
            <w:hideMark/>
          </w:tcPr>
          <w:p w14:paraId="30B9F74E" w14:textId="77777777" w:rsidR="002F0133" w:rsidRPr="000B4E2C" w:rsidRDefault="002F0133" w:rsidP="008A7464">
            <w:pPr>
              <w:rPr>
                <w:lang w:eastAsia="en-GB"/>
              </w:rPr>
            </w:pPr>
            <w:r w:rsidRPr="000B4E2C">
              <w:rPr>
                <w:lang w:eastAsia="en-GB"/>
              </w:rPr>
              <w:t>Shema-Didi</w:t>
            </w:r>
          </w:p>
        </w:tc>
        <w:tc>
          <w:tcPr>
            <w:tcW w:w="0" w:type="auto"/>
            <w:shd w:val="clear" w:color="auto" w:fill="auto"/>
            <w:noWrap/>
            <w:hideMark/>
          </w:tcPr>
          <w:p w14:paraId="695134B0"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B5F3D78"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FC61643" w14:textId="77777777" w:rsidR="002F0133" w:rsidRPr="000B4E2C" w:rsidRDefault="002F0133" w:rsidP="008A7464">
            <w:pPr>
              <w:rPr>
                <w:highlight w:val="green"/>
                <w:lang w:eastAsia="en-GB"/>
              </w:rPr>
            </w:pPr>
            <w:r w:rsidRPr="000B4E2C">
              <w:rPr>
                <w:highlight w:val="green"/>
                <w:lang w:eastAsia="en-GB"/>
              </w:rPr>
              <w:t>L. Shema-Didi, B. Kristal, S. Eizenberg, N. Marzuq, M. Sussan, Y. Feldman-Idov, P. Ofir and S. Atar. Prevention of contrast-induced nephropathy with single bolus erythropoietin in patients with diabetic kidney disease: A randomized controlled trial. Nephrology, 21(4), 295-300. [16607]</w:t>
            </w:r>
          </w:p>
        </w:tc>
      </w:tr>
      <w:tr w:rsidR="002F0133" w:rsidRPr="000B4E2C" w14:paraId="14BB051D" w14:textId="77777777" w:rsidTr="000B4E2C">
        <w:trPr>
          <w:cantSplit/>
        </w:trPr>
        <w:tc>
          <w:tcPr>
            <w:tcW w:w="0" w:type="auto"/>
            <w:shd w:val="clear" w:color="auto" w:fill="auto"/>
            <w:noWrap/>
            <w:hideMark/>
          </w:tcPr>
          <w:p w14:paraId="106CAE22" w14:textId="77777777" w:rsidR="002F0133" w:rsidRPr="000B4E2C" w:rsidRDefault="002F0133" w:rsidP="008A7464">
            <w:pPr>
              <w:rPr>
                <w:lang w:eastAsia="en-GB"/>
              </w:rPr>
            </w:pPr>
            <w:r w:rsidRPr="000B4E2C">
              <w:rPr>
                <w:lang w:eastAsia="en-GB"/>
              </w:rPr>
              <w:t>Shen</w:t>
            </w:r>
          </w:p>
        </w:tc>
        <w:tc>
          <w:tcPr>
            <w:tcW w:w="0" w:type="auto"/>
            <w:shd w:val="clear" w:color="auto" w:fill="auto"/>
            <w:noWrap/>
            <w:hideMark/>
          </w:tcPr>
          <w:p w14:paraId="3460F624"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6CF87DE" w14:textId="39ACDA3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29BF962" w14:textId="77777777" w:rsidR="002F0133" w:rsidRPr="000B4E2C" w:rsidRDefault="002F0133" w:rsidP="008A7464">
            <w:pPr>
              <w:rPr>
                <w:highlight w:val="green"/>
                <w:lang w:eastAsia="en-GB"/>
              </w:rPr>
            </w:pPr>
            <w:r w:rsidRPr="000B4E2C">
              <w:rPr>
                <w:highlight w:val="green"/>
                <w:lang w:eastAsia="en-GB"/>
              </w:rPr>
              <w:t>S. J. Shen, Z. X. Hu, Q. H. Li, S. M. Wang, C. J. Song, D. D. Wu, J. L. He, J. C. Guan and J. P. Shan. Implications of the changes in serum neutrophil gelatinase-associated lipocalin and cystatin C in patients with chronic kidney disease. Nephrology, 19(3), 129-135. [16609]</w:t>
            </w:r>
          </w:p>
        </w:tc>
      </w:tr>
      <w:tr w:rsidR="002F0133" w:rsidRPr="000B4E2C" w14:paraId="2EAFC24B" w14:textId="77777777" w:rsidTr="000B4E2C">
        <w:trPr>
          <w:cantSplit/>
        </w:trPr>
        <w:tc>
          <w:tcPr>
            <w:tcW w:w="0" w:type="auto"/>
            <w:shd w:val="clear" w:color="auto" w:fill="auto"/>
            <w:noWrap/>
            <w:hideMark/>
          </w:tcPr>
          <w:p w14:paraId="65BFDB36" w14:textId="77777777" w:rsidR="002F0133" w:rsidRPr="000B4E2C" w:rsidRDefault="002F0133" w:rsidP="008A7464">
            <w:pPr>
              <w:rPr>
                <w:lang w:eastAsia="en-GB"/>
              </w:rPr>
            </w:pPr>
            <w:r w:rsidRPr="000B4E2C">
              <w:rPr>
                <w:lang w:eastAsia="en-GB"/>
              </w:rPr>
              <w:t>Shin</w:t>
            </w:r>
          </w:p>
        </w:tc>
        <w:tc>
          <w:tcPr>
            <w:tcW w:w="0" w:type="auto"/>
            <w:shd w:val="clear" w:color="auto" w:fill="auto"/>
            <w:noWrap/>
            <w:hideMark/>
          </w:tcPr>
          <w:p w14:paraId="0C4990DE"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D475DDA" w14:textId="084630D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5E85FCB" w14:textId="77777777" w:rsidR="002F0133" w:rsidRPr="000B4E2C" w:rsidRDefault="002F0133" w:rsidP="008A7464">
            <w:pPr>
              <w:rPr>
                <w:highlight w:val="green"/>
                <w:lang w:eastAsia="en-GB"/>
              </w:rPr>
            </w:pPr>
            <w:r w:rsidRPr="000B4E2C">
              <w:rPr>
                <w:highlight w:val="green"/>
                <w:lang w:eastAsia="en-GB"/>
              </w:rPr>
              <w:t>S. Shin, J. Ha, S. Lee, W. Lee and J. Park. Increased urinary neutrophil gelatinase-associated lipocalin in very-low-birth-weight infants with oliguria and normal serum creatinine. Pediatric Nephrology, 32(6), 1059-1065. [6138]</w:t>
            </w:r>
          </w:p>
        </w:tc>
      </w:tr>
      <w:tr w:rsidR="002F0133" w:rsidRPr="000B4E2C" w14:paraId="57CCDBBB" w14:textId="77777777" w:rsidTr="000B4E2C">
        <w:trPr>
          <w:cantSplit/>
        </w:trPr>
        <w:tc>
          <w:tcPr>
            <w:tcW w:w="0" w:type="auto"/>
            <w:shd w:val="clear" w:color="auto" w:fill="auto"/>
            <w:noWrap/>
            <w:hideMark/>
          </w:tcPr>
          <w:p w14:paraId="27BD7F07" w14:textId="77777777" w:rsidR="002F0133" w:rsidRPr="000B4E2C" w:rsidRDefault="002F0133" w:rsidP="008A7464">
            <w:pPr>
              <w:rPr>
                <w:lang w:eastAsia="en-GB"/>
              </w:rPr>
            </w:pPr>
            <w:r w:rsidRPr="000B4E2C">
              <w:rPr>
                <w:lang w:eastAsia="en-GB"/>
              </w:rPr>
              <w:t>Shinke</w:t>
            </w:r>
          </w:p>
        </w:tc>
        <w:tc>
          <w:tcPr>
            <w:tcW w:w="0" w:type="auto"/>
            <w:shd w:val="clear" w:color="auto" w:fill="auto"/>
            <w:noWrap/>
            <w:hideMark/>
          </w:tcPr>
          <w:p w14:paraId="2BBF09D5"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5AE9057F"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884C02A" w14:textId="77777777" w:rsidR="002F0133" w:rsidRPr="000B4E2C" w:rsidRDefault="002F0133" w:rsidP="008A7464">
            <w:pPr>
              <w:rPr>
                <w:highlight w:val="green"/>
                <w:lang w:eastAsia="en-GB"/>
              </w:rPr>
            </w:pPr>
            <w:r w:rsidRPr="000B4E2C">
              <w:rPr>
                <w:highlight w:val="green"/>
                <w:lang w:eastAsia="en-GB"/>
              </w:rPr>
              <w:t>H. Shinke, S. Masuda, Y. Togashi, Y. Ikemi, A. Ozawa, T. Sato, Y. H. Kim, M. Mishima, T. Ichimura, J. V. Bonventre and K. Matsubara. Urinary kidney injury molecule-1 and monocyte chemotactic protein-1 are noninvasive biomarkers of cisplatin-induced nephrotoxicity in lung cancer patients. Cancer Chemotherapy and Pharmacology, 76(5), 989-996. [16613]</w:t>
            </w:r>
          </w:p>
        </w:tc>
      </w:tr>
      <w:tr w:rsidR="002F0133" w:rsidRPr="000B4E2C" w14:paraId="5459BDD8" w14:textId="77777777" w:rsidTr="000B4E2C">
        <w:trPr>
          <w:cantSplit/>
        </w:trPr>
        <w:tc>
          <w:tcPr>
            <w:tcW w:w="0" w:type="auto"/>
            <w:shd w:val="clear" w:color="auto" w:fill="auto"/>
            <w:noWrap/>
            <w:hideMark/>
          </w:tcPr>
          <w:p w14:paraId="691671EB" w14:textId="77777777" w:rsidR="002F0133" w:rsidRPr="000B4E2C" w:rsidRDefault="002F0133" w:rsidP="008A7464">
            <w:pPr>
              <w:rPr>
                <w:lang w:eastAsia="en-GB"/>
              </w:rPr>
            </w:pPr>
            <w:r w:rsidRPr="000B4E2C">
              <w:rPr>
                <w:lang w:eastAsia="en-GB"/>
              </w:rPr>
              <w:lastRenderedPageBreak/>
              <w:t>Shirakabe</w:t>
            </w:r>
          </w:p>
        </w:tc>
        <w:tc>
          <w:tcPr>
            <w:tcW w:w="0" w:type="auto"/>
            <w:shd w:val="clear" w:color="auto" w:fill="auto"/>
            <w:noWrap/>
            <w:hideMark/>
          </w:tcPr>
          <w:p w14:paraId="1D1D2E2C"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38113BF"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09DF3DFD" w14:textId="77777777" w:rsidR="002F0133" w:rsidRPr="000B4E2C" w:rsidRDefault="002F0133" w:rsidP="008A7464">
            <w:pPr>
              <w:rPr>
                <w:highlight w:val="green"/>
                <w:lang w:eastAsia="en-GB"/>
              </w:rPr>
            </w:pPr>
            <w:r w:rsidRPr="000B4E2C">
              <w:rPr>
                <w:highlight w:val="green"/>
                <w:lang w:eastAsia="en-GB"/>
              </w:rPr>
              <w:t>A. Shirakabe, N. Hata, N. Kobayashi, H. Okazaki, T. Shinada, K. Tomita, M. Yamamoto, M. Tsurumi, M. Matsushita, Y. Yamamoto, S. Yokoyama, K. Asai and W. Shimizu. Serum heart-type fatty acid-binding protein level can be used to detect acute kidney injury on admission and predict an adverse outcome in patients with acute heart failure. Circulation Journal, 79(1), 119-128. [16616]</w:t>
            </w:r>
          </w:p>
        </w:tc>
      </w:tr>
      <w:tr w:rsidR="002F0133" w:rsidRPr="000B4E2C" w14:paraId="1EE98753" w14:textId="77777777" w:rsidTr="000B4E2C">
        <w:trPr>
          <w:cantSplit/>
        </w:trPr>
        <w:tc>
          <w:tcPr>
            <w:tcW w:w="0" w:type="auto"/>
            <w:shd w:val="clear" w:color="auto" w:fill="auto"/>
            <w:noWrap/>
            <w:hideMark/>
          </w:tcPr>
          <w:p w14:paraId="11D4E462" w14:textId="77777777" w:rsidR="002F0133" w:rsidRPr="000B4E2C" w:rsidRDefault="002F0133" w:rsidP="008A7464">
            <w:pPr>
              <w:rPr>
                <w:lang w:eastAsia="en-GB"/>
              </w:rPr>
            </w:pPr>
            <w:r w:rsidRPr="000B4E2C">
              <w:rPr>
                <w:lang w:eastAsia="en-GB"/>
              </w:rPr>
              <w:t>Shirakabe</w:t>
            </w:r>
          </w:p>
        </w:tc>
        <w:tc>
          <w:tcPr>
            <w:tcW w:w="0" w:type="auto"/>
            <w:shd w:val="clear" w:color="auto" w:fill="auto"/>
            <w:noWrap/>
            <w:hideMark/>
          </w:tcPr>
          <w:p w14:paraId="2F4A4012"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4E88BC6B"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EB13274" w14:textId="77777777" w:rsidR="002F0133" w:rsidRPr="000B4E2C" w:rsidRDefault="002F0133" w:rsidP="008A7464">
            <w:pPr>
              <w:rPr>
                <w:highlight w:val="green"/>
                <w:lang w:eastAsia="en-GB"/>
              </w:rPr>
            </w:pPr>
            <w:r w:rsidRPr="000B4E2C">
              <w:rPr>
                <w:highlight w:val="green"/>
                <w:lang w:eastAsia="en-GB"/>
              </w:rPr>
              <w:t>A. Shirakabe, N. Hata, N. Kobayashi, H. Okazaki, M. Matsushita, Y. Shibata, S. Uchiyama, T. Sawatani, K. Asai and W. Shimizu. Worsening renal failure in patients with acute heart failure: the importance of cardiac biomarkers. ESC Heart Failure, 6(2), 416-427. [16614]</w:t>
            </w:r>
          </w:p>
        </w:tc>
      </w:tr>
      <w:tr w:rsidR="002F0133" w:rsidRPr="000B4E2C" w14:paraId="243CD386" w14:textId="77777777" w:rsidTr="000B4E2C">
        <w:trPr>
          <w:cantSplit/>
        </w:trPr>
        <w:tc>
          <w:tcPr>
            <w:tcW w:w="0" w:type="auto"/>
            <w:shd w:val="clear" w:color="auto" w:fill="auto"/>
            <w:noWrap/>
            <w:hideMark/>
          </w:tcPr>
          <w:p w14:paraId="7FF9464D" w14:textId="77777777" w:rsidR="002F0133" w:rsidRPr="000B4E2C" w:rsidRDefault="002F0133" w:rsidP="008A7464">
            <w:pPr>
              <w:rPr>
                <w:lang w:eastAsia="en-GB"/>
              </w:rPr>
            </w:pPr>
            <w:r w:rsidRPr="000B4E2C">
              <w:rPr>
                <w:lang w:eastAsia="en-GB"/>
              </w:rPr>
              <w:t>Shlipak</w:t>
            </w:r>
          </w:p>
        </w:tc>
        <w:tc>
          <w:tcPr>
            <w:tcW w:w="0" w:type="auto"/>
            <w:shd w:val="clear" w:color="auto" w:fill="auto"/>
            <w:noWrap/>
            <w:hideMark/>
          </w:tcPr>
          <w:p w14:paraId="190AFF4C"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55F0BBE2"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0F64AC90" w14:textId="77777777" w:rsidR="002F0133" w:rsidRPr="000B4E2C" w:rsidRDefault="002F0133" w:rsidP="008A7464">
            <w:pPr>
              <w:rPr>
                <w:highlight w:val="green"/>
                <w:lang w:eastAsia="en-GB"/>
              </w:rPr>
            </w:pPr>
            <w:r w:rsidRPr="000B4E2C">
              <w:rPr>
                <w:highlight w:val="green"/>
                <w:lang w:eastAsia="en-GB"/>
              </w:rPr>
              <w:t>M. G. Shlipak, R. Scherzer, A. Abraham, P. C. Tien, C. Grunfeld, C. A. Peralta, P. Devarajan, M. Bennett, A. W. Butch, K. Anastos, M. H. Cohen, M. Nowicki, A. Sharma, M. A. Young, M. J. Sarnak and C. R. Parikh. Urinary markers of kidney injury and kidney function decline in HIV-infected women. Journal of Acquired Immune Deficiency Syndromes, 61(5), 565-573. [16618]</w:t>
            </w:r>
          </w:p>
        </w:tc>
      </w:tr>
      <w:tr w:rsidR="002F0133" w:rsidRPr="000B4E2C" w14:paraId="4A94715D" w14:textId="77777777" w:rsidTr="000B4E2C">
        <w:trPr>
          <w:cantSplit/>
        </w:trPr>
        <w:tc>
          <w:tcPr>
            <w:tcW w:w="0" w:type="auto"/>
            <w:shd w:val="clear" w:color="auto" w:fill="auto"/>
            <w:noWrap/>
            <w:hideMark/>
          </w:tcPr>
          <w:p w14:paraId="4C8B92E5" w14:textId="77777777" w:rsidR="002F0133" w:rsidRPr="000B4E2C" w:rsidRDefault="002F0133" w:rsidP="008A7464">
            <w:pPr>
              <w:rPr>
                <w:lang w:eastAsia="en-GB"/>
              </w:rPr>
            </w:pPr>
            <w:r w:rsidRPr="000B4E2C">
              <w:rPr>
                <w:lang w:eastAsia="en-GB"/>
              </w:rPr>
              <w:t>Shoaib</w:t>
            </w:r>
          </w:p>
        </w:tc>
        <w:tc>
          <w:tcPr>
            <w:tcW w:w="0" w:type="auto"/>
            <w:shd w:val="clear" w:color="auto" w:fill="auto"/>
            <w:noWrap/>
            <w:hideMark/>
          </w:tcPr>
          <w:p w14:paraId="218F4584"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106AA921" w14:textId="0191A88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6E71819" w14:textId="77777777" w:rsidR="002F0133" w:rsidRPr="000B4E2C" w:rsidRDefault="002F0133" w:rsidP="008A7464">
            <w:pPr>
              <w:rPr>
                <w:highlight w:val="green"/>
                <w:lang w:eastAsia="en-GB"/>
              </w:rPr>
            </w:pPr>
            <w:r w:rsidRPr="000B4E2C">
              <w:rPr>
                <w:highlight w:val="green"/>
                <w:lang w:eastAsia="en-GB"/>
              </w:rPr>
              <w:t>M. Shoaib, S. N. Mahmud and M. Safdar. Early Diagnosis Of Acute Kidney Injury By Urinary Neutrophil Gelatinase Associated Lipocalin In Adult Critically Ill Patients. Journal of Ayub Medical College, Abbottabad : JAMC, 31(1), 12-15. [16619]</w:t>
            </w:r>
          </w:p>
        </w:tc>
      </w:tr>
      <w:tr w:rsidR="002F0133" w:rsidRPr="000B4E2C" w14:paraId="357759FB" w14:textId="77777777" w:rsidTr="000B4E2C">
        <w:trPr>
          <w:cantSplit/>
        </w:trPr>
        <w:tc>
          <w:tcPr>
            <w:tcW w:w="0" w:type="auto"/>
            <w:shd w:val="clear" w:color="auto" w:fill="auto"/>
            <w:noWrap/>
            <w:hideMark/>
          </w:tcPr>
          <w:p w14:paraId="3BCDE769" w14:textId="77777777" w:rsidR="002F0133" w:rsidRPr="000B4E2C" w:rsidRDefault="002F0133" w:rsidP="008A7464">
            <w:pPr>
              <w:rPr>
                <w:lang w:eastAsia="en-GB"/>
              </w:rPr>
            </w:pPr>
            <w:r w:rsidRPr="000B4E2C">
              <w:rPr>
                <w:lang w:eastAsia="en-GB"/>
              </w:rPr>
              <w:t>Shrestha</w:t>
            </w:r>
          </w:p>
        </w:tc>
        <w:tc>
          <w:tcPr>
            <w:tcW w:w="0" w:type="auto"/>
            <w:shd w:val="clear" w:color="auto" w:fill="auto"/>
            <w:noWrap/>
            <w:hideMark/>
          </w:tcPr>
          <w:p w14:paraId="65336CD3"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00E2D803"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19859A26" w14:textId="77777777" w:rsidR="002F0133" w:rsidRPr="000B4E2C" w:rsidRDefault="002F0133" w:rsidP="008A7464">
            <w:pPr>
              <w:rPr>
                <w:highlight w:val="green"/>
                <w:lang w:eastAsia="en-GB"/>
              </w:rPr>
            </w:pPr>
            <w:r w:rsidRPr="000B4E2C">
              <w:rPr>
                <w:highlight w:val="green"/>
                <w:lang w:eastAsia="en-GB"/>
              </w:rPr>
              <w:t>K. Shrestha, A. G. Borowski, R. W. Troughton, J. D. Thomas, A. L. Klein and W. H. W. Tang. Renal dysfunction is a stronger determinant of systemic neutrophil gelatinase-associated lipocalin levels than myocardial dysfunction in systolic heart failure. Journal of cardiac failure, 17(6), 472-8. [16621]</w:t>
            </w:r>
          </w:p>
        </w:tc>
      </w:tr>
      <w:tr w:rsidR="002F0133" w:rsidRPr="000B4E2C" w14:paraId="020FE635" w14:textId="77777777" w:rsidTr="000B4E2C">
        <w:trPr>
          <w:cantSplit/>
        </w:trPr>
        <w:tc>
          <w:tcPr>
            <w:tcW w:w="0" w:type="auto"/>
            <w:shd w:val="clear" w:color="auto" w:fill="auto"/>
            <w:noWrap/>
            <w:hideMark/>
          </w:tcPr>
          <w:p w14:paraId="3EC3BDAD" w14:textId="77777777" w:rsidR="002F0133" w:rsidRPr="000B4E2C" w:rsidRDefault="002F0133" w:rsidP="008A7464">
            <w:pPr>
              <w:rPr>
                <w:lang w:eastAsia="en-GB"/>
              </w:rPr>
            </w:pPr>
            <w:r w:rsidRPr="000B4E2C">
              <w:rPr>
                <w:lang w:eastAsia="en-GB"/>
              </w:rPr>
              <w:t>Shrestha</w:t>
            </w:r>
          </w:p>
        </w:tc>
        <w:tc>
          <w:tcPr>
            <w:tcW w:w="0" w:type="auto"/>
            <w:shd w:val="clear" w:color="auto" w:fill="auto"/>
            <w:noWrap/>
            <w:hideMark/>
          </w:tcPr>
          <w:p w14:paraId="76505C94"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03FC8597" w14:textId="03722F8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99DB405" w14:textId="77777777" w:rsidR="002F0133" w:rsidRPr="000B4E2C" w:rsidRDefault="002F0133" w:rsidP="008A7464">
            <w:pPr>
              <w:rPr>
                <w:highlight w:val="green"/>
                <w:lang w:eastAsia="en-GB"/>
              </w:rPr>
            </w:pPr>
            <w:r w:rsidRPr="000B4E2C">
              <w:rPr>
                <w:highlight w:val="green"/>
                <w:lang w:eastAsia="en-GB"/>
              </w:rPr>
              <w:t>K. Shrestha, Z. Shao, D. Singh, M. Dupont and W. H. W. Tang. Relation of systemic and urinary neutrophil gelatinase-associated lipocalin levels to different aspects of impaired renal function in patients with acute decompensated heart failure. American Journal of Cardiology, 110(9), 1329-1335. [16622]</w:t>
            </w:r>
          </w:p>
        </w:tc>
      </w:tr>
      <w:tr w:rsidR="002F0133" w:rsidRPr="000B4E2C" w14:paraId="4E1017FF" w14:textId="77777777" w:rsidTr="000B4E2C">
        <w:trPr>
          <w:cantSplit/>
        </w:trPr>
        <w:tc>
          <w:tcPr>
            <w:tcW w:w="0" w:type="auto"/>
            <w:shd w:val="clear" w:color="auto" w:fill="auto"/>
            <w:noWrap/>
            <w:hideMark/>
          </w:tcPr>
          <w:p w14:paraId="36FF302F" w14:textId="77777777" w:rsidR="002F0133" w:rsidRPr="000B4E2C" w:rsidRDefault="002F0133" w:rsidP="008A7464">
            <w:pPr>
              <w:rPr>
                <w:lang w:eastAsia="en-GB"/>
              </w:rPr>
            </w:pPr>
            <w:r w:rsidRPr="000B4E2C">
              <w:rPr>
                <w:lang w:eastAsia="en-GB"/>
              </w:rPr>
              <w:t xml:space="preserve">Shukla </w:t>
            </w:r>
          </w:p>
        </w:tc>
        <w:tc>
          <w:tcPr>
            <w:tcW w:w="0" w:type="auto"/>
            <w:shd w:val="clear" w:color="auto" w:fill="auto"/>
            <w:noWrap/>
            <w:hideMark/>
          </w:tcPr>
          <w:p w14:paraId="76E84600"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7D2776B"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03C22CD" w14:textId="77777777" w:rsidR="002F0133" w:rsidRPr="000B4E2C" w:rsidRDefault="002F0133" w:rsidP="008A7464">
            <w:pPr>
              <w:rPr>
                <w:highlight w:val="green"/>
                <w:lang w:eastAsia="en-GB"/>
              </w:rPr>
            </w:pPr>
            <w:r w:rsidRPr="000B4E2C">
              <w:rPr>
                <w:highlight w:val="green"/>
                <w:lang w:eastAsia="en-GB"/>
              </w:rPr>
              <w:t>A Shukla, MK Rai, N Prasad, V Agarwal. Short-Term Non-Steroid Anti-Inflammatory Drug Use in Spondyloarthritis Patients Induces Subclinical Acute Kidney Injury: Biomarkers Study. Nephron, 135(4), 277-286. [16624]</w:t>
            </w:r>
          </w:p>
        </w:tc>
      </w:tr>
      <w:tr w:rsidR="002F0133" w:rsidRPr="000B4E2C" w14:paraId="30288843" w14:textId="77777777" w:rsidTr="000B4E2C">
        <w:trPr>
          <w:cantSplit/>
        </w:trPr>
        <w:tc>
          <w:tcPr>
            <w:tcW w:w="0" w:type="auto"/>
            <w:shd w:val="clear" w:color="auto" w:fill="auto"/>
            <w:noWrap/>
            <w:hideMark/>
          </w:tcPr>
          <w:p w14:paraId="5A755F7C" w14:textId="77777777" w:rsidR="002F0133" w:rsidRPr="000B4E2C" w:rsidRDefault="002F0133" w:rsidP="008A7464">
            <w:pPr>
              <w:rPr>
                <w:lang w:eastAsia="en-GB"/>
              </w:rPr>
            </w:pPr>
            <w:r w:rsidRPr="000B4E2C">
              <w:rPr>
                <w:lang w:eastAsia="en-GB"/>
              </w:rPr>
              <w:t>Shulkina</w:t>
            </w:r>
          </w:p>
        </w:tc>
        <w:tc>
          <w:tcPr>
            <w:tcW w:w="0" w:type="auto"/>
            <w:shd w:val="clear" w:color="auto" w:fill="auto"/>
            <w:noWrap/>
            <w:hideMark/>
          </w:tcPr>
          <w:p w14:paraId="63DD0DAF"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3262D328" w14:textId="5F7EC30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44B848B" w14:textId="77777777" w:rsidR="002F0133" w:rsidRPr="000B4E2C" w:rsidRDefault="002F0133" w:rsidP="008A7464">
            <w:pPr>
              <w:rPr>
                <w:highlight w:val="green"/>
                <w:lang w:eastAsia="en-GB"/>
              </w:rPr>
            </w:pPr>
            <w:r w:rsidRPr="000B4E2C">
              <w:rPr>
                <w:highlight w:val="green"/>
                <w:lang w:eastAsia="en-GB"/>
              </w:rPr>
              <w:t>S. G. Shulkina, V. V. Schekotov, E. N. Smirnova and A. A. Antipova. Vascular endothelial growth factor and lipocalin-2 as markers of early nephron damage in patients with hypertension and obesity. Sovremennye Tehnologii v Medicine, 8(1), 148-151. [16627]</w:t>
            </w:r>
          </w:p>
        </w:tc>
      </w:tr>
      <w:tr w:rsidR="002F0133" w:rsidRPr="000B4E2C" w14:paraId="0BA2732F" w14:textId="77777777" w:rsidTr="000B4E2C">
        <w:trPr>
          <w:cantSplit/>
        </w:trPr>
        <w:tc>
          <w:tcPr>
            <w:tcW w:w="0" w:type="auto"/>
            <w:shd w:val="clear" w:color="auto" w:fill="auto"/>
            <w:noWrap/>
            <w:hideMark/>
          </w:tcPr>
          <w:p w14:paraId="1E003BEC" w14:textId="77777777" w:rsidR="002F0133" w:rsidRPr="000B4E2C" w:rsidRDefault="002F0133" w:rsidP="008A7464">
            <w:pPr>
              <w:rPr>
                <w:lang w:eastAsia="en-GB"/>
              </w:rPr>
            </w:pPr>
            <w:r w:rsidRPr="000B4E2C">
              <w:rPr>
                <w:lang w:eastAsia="en-GB"/>
              </w:rPr>
              <w:t xml:space="preserve">Shum </w:t>
            </w:r>
          </w:p>
        </w:tc>
        <w:tc>
          <w:tcPr>
            <w:tcW w:w="0" w:type="auto"/>
            <w:shd w:val="clear" w:color="auto" w:fill="auto"/>
            <w:noWrap/>
            <w:hideMark/>
          </w:tcPr>
          <w:p w14:paraId="0A078E73"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5EF090B7"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4DECAC7F" w14:textId="77777777" w:rsidR="002F0133" w:rsidRPr="000B4E2C" w:rsidRDefault="002F0133" w:rsidP="008A7464">
            <w:pPr>
              <w:rPr>
                <w:highlight w:val="green"/>
                <w:lang w:eastAsia="en-GB"/>
              </w:rPr>
            </w:pPr>
            <w:r w:rsidRPr="000B4E2C">
              <w:rPr>
                <w:highlight w:val="green"/>
                <w:lang w:eastAsia="en-GB"/>
              </w:rPr>
              <w:t>H. P. Shum, N. Y. W. Leung, L. L. Chang, O. Y. Tam, A. M. C. Kwan, K. C. Chan, W. W. Yan and T. M. Chan. Predictive value of plasma neutrophil gelatinase-associated lipocalin for acute kidney injury in intensive care unit patients after major non-cardiac surgery. Nephrology, 20(5), 375-382. [16628]</w:t>
            </w:r>
          </w:p>
        </w:tc>
      </w:tr>
      <w:tr w:rsidR="002F0133" w:rsidRPr="000B4E2C" w14:paraId="42A883F9" w14:textId="77777777" w:rsidTr="000B4E2C">
        <w:trPr>
          <w:cantSplit/>
        </w:trPr>
        <w:tc>
          <w:tcPr>
            <w:tcW w:w="0" w:type="auto"/>
            <w:shd w:val="clear" w:color="auto" w:fill="auto"/>
            <w:noWrap/>
            <w:hideMark/>
          </w:tcPr>
          <w:p w14:paraId="72298CE4" w14:textId="77777777" w:rsidR="002F0133" w:rsidRPr="000B4E2C" w:rsidRDefault="002F0133" w:rsidP="008A7464">
            <w:pPr>
              <w:rPr>
                <w:lang w:eastAsia="en-GB"/>
              </w:rPr>
            </w:pPr>
            <w:r w:rsidRPr="000B4E2C">
              <w:rPr>
                <w:lang w:eastAsia="en-GB"/>
              </w:rPr>
              <w:t>Shyam</w:t>
            </w:r>
          </w:p>
        </w:tc>
        <w:tc>
          <w:tcPr>
            <w:tcW w:w="0" w:type="auto"/>
            <w:shd w:val="clear" w:color="auto" w:fill="auto"/>
            <w:noWrap/>
            <w:hideMark/>
          </w:tcPr>
          <w:p w14:paraId="3F0EF739"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3C2F0ADE" w14:textId="0F3B475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3C0B339" w14:textId="77777777" w:rsidR="002F0133" w:rsidRPr="000B4E2C" w:rsidRDefault="002F0133" w:rsidP="008A7464">
            <w:pPr>
              <w:rPr>
                <w:highlight w:val="green"/>
                <w:lang w:eastAsia="en-GB"/>
              </w:rPr>
            </w:pPr>
            <w:r w:rsidRPr="000B4E2C">
              <w:rPr>
                <w:highlight w:val="green"/>
                <w:lang w:eastAsia="en-GB"/>
              </w:rPr>
              <w:t>R. Shyam, M. L. Patel, R. Sachan, S. Kumar and D. K. Pushkar. Role of urinary neutrophil gelatinase-associated lipocalin as a biomarker of acute kidney injury in patients with circulatory shock. Indian Journal of Critical Care Medicine, 21(11), 740-745. [16630]</w:t>
            </w:r>
          </w:p>
        </w:tc>
      </w:tr>
      <w:tr w:rsidR="002F0133" w:rsidRPr="000B4E2C" w14:paraId="2044607C" w14:textId="77777777" w:rsidTr="000B4E2C">
        <w:trPr>
          <w:cantSplit/>
        </w:trPr>
        <w:tc>
          <w:tcPr>
            <w:tcW w:w="0" w:type="auto"/>
            <w:shd w:val="clear" w:color="auto" w:fill="auto"/>
            <w:noWrap/>
            <w:hideMark/>
          </w:tcPr>
          <w:p w14:paraId="55DBC172" w14:textId="77777777" w:rsidR="002F0133" w:rsidRPr="000B4E2C" w:rsidRDefault="002F0133" w:rsidP="008A7464">
            <w:pPr>
              <w:rPr>
                <w:lang w:eastAsia="en-GB"/>
              </w:rPr>
            </w:pPr>
            <w:r w:rsidRPr="000B4E2C">
              <w:rPr>
                <w:lang w:eastAsia="en-GB"/>
              </w:rPr>
              <w:t>Si Nga</w:t>
            </w:r>
          </w:p>
        </w:tc>
        <w:tc>
          <w:tcPr>
            <w:tcW w:w="0" w:type="auto"/>
            <w:shd w:val="clear" w:color="auto" w:fill="auto"/>
            <w:noWrap/>
            <w:hideMark/>
          </w:tcPr>
          <w:p w14:paraId="6A991205"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D554155"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1AB8027E" w14:textId="77777777" w:rsidR="002F0133" w:rsidRPr="000B4E2C" w:rsidRDefault="002F0133" w:rsidP="008A7464">
            <w:pPr>
              <w:rPr>
                <w:highlight w:val="green"/>
                <w:lang w:eastAsia="en-GB"/>
              </w:rPr>
            </w:pPr>
            <w:r w:rsidRPr="000B4E2C">
              <w:rPr>
                <w:highlight w:val="green"/>
                <w:lang w:val="da-DK" w:eastAsia="en-GB"/>
              </w:rPr>
              <w:t xml:space="preserve">H. Si Nga, P. Medeiros, P. Menezes, R. Bridi, A. Balbi and D. Ponce. </w:t>
            </w:r>
            <w:r w:rsidRPr="000B4E2C">
              <w:rPr>
                <w:highlight w:val="green"/>
                <w:lang w:eastAsia="en-GB"/>
              </w:rPr>
              <w:t>Sepsis and AKI in Clinical Emergency Room Patients: The Role of Urinary NGAL. BioMed Research International, 2015(1-8. [6139]</w:t>
            </w:r>
          </w:p>
        </w:tc>
      </w:tr>
      <w:tr w:rsidR="002F0133" w:rsidRPr="000B4E2C" w14:paraId="7E72D9A0" w14:textId="77777777" w:rsidTr="000B4E2C">
        <w:trPr>
          <w:cantSplit/>
        </w:trPr>
        <w:tc>
          <w:tcPr>
            <w:tcW w:w="0" w:type="auto"/>
            <w:shd w:val="clear" w:color="auto" w:fill="auto"/>
            <w:noWrap/>
            <w:hideMark/>
          </w:tcPr>
          <w:p w14:paraId="7A363E2C" w14:textId="77777777" w:rsidR="002F0133" w:rsidRPr="000B4E2C" w:rsidRDefault="002F0133" w:rsidP="008A7464">
            <w:pPr>
              <w:rPr>
                <w:lang w:eastAsia="en-GB"/>
              </w:rPr>
            </w:pPr>
            <w:r w:rsidRPr="000B4E2C">
              <w:rPr>
                <w:lang w:eastAsia="en-GB"/>
              </w:rPr>
              <w:lastRenderedPageBreak/>
              <w:t xml:space="preserve">Si Nga </w:t>
            </w:r>
          </w:p>
        </w:tc>
        <w:tc>
          <w:tcPr>
            <w:tcW w:w="0" w:type="auto"/>
            <w:shd w:val="clear" w:color="auto" w:fill="auto"/>
            <w:noWrap/>
            <w:hideMark/>
          </w:tcPr>
          <w:p w14:paraId="0DFC28FB"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DBCD690"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708020AF" w14:textId="77777777" w:rsidR="002F0133" w:rsidRPr="000B4E2C" w:rsidRDefault="002F0133" w:rsidP="008A7464">
            <w:pPr>
              <w:rPr>
                <w:highlight w:val="green"/>
                <w:lang w:eastAsia="en-GB"/>
              </w:rPr>
            </w:pPr>
            <w:r w:rsidRPr="000B4E2C">
              <w:rPr>
                <w:highlight w:val="green"/>
                <w:lang w:val="da-DK" w:eastAsia="en-GB"/>
              </w:rPr>
              <w:t xml:space="preserve">H. Si Nga, P. Medeiros, P. Menezes, R. Bridi, A. Balbi and D. Ponce. </w:t>
            </w:r>
            <w:r w:rsidRPr="000B4E2C">
              <w:rPr>
                <w:highlight w:val="green"/>
                <w:lang w:eastAsia="en-GB"/>
              </w:rPr>
              <w:t>Sepsis and AKI in Clinical Emergency Room Patients: The Role of Urinary NGAL. BioMed Research International, 2015(413751. [16631]</w:t>
            </w:r>
          </w:p>
        </w:tc>
      </w:tr>
      <w:tr w:rsidR="002F0133" w:rsidRPr="000B4E2C" w14:paraId="4B0057FE" w14:textId="77777777" w:rsidTr="000B4E2C">
        <w:trPr>
          <w:cantSplit/>
        </w:trPr>
        <w:tc>
          <w:tcPr>
            <w:tcW w:w="0" w:type="auto"/>
            <w:shd w:val="clear" w:color="auto" w:fill="auto"/>
            <w:noWrap/>
            <w:hideMark/>
          </w:tcPr>
          <w:p w14:paraId="1713B94D" w14:textId="77777777" w:rsidR="002F0133" w:rsidRPr="000B4E2C" w:rsidRDefault="002F0133" w:rsidP="008A7464">
            <w:pPr>
              <w:rPr>
                <w:lang w:eastAsia="en-GB"/>
              </w:rPr>
            </w:pPr>
            <w:r w:rsidRPr="000B4E2C">
              <w:rPr>
                <w:lang w:eastAsia="en-GB"/>
              </w:rPr>
              <w:t>Siddappa</w:t>
            </w:r>
          </w:p>
        </w:tc>
        <w:tc>
          <w:tcPr>
            <w:tcW w:w="0" w:type="auto"/>
            <w:shd w:val="clear" w:color="auto" w:fill="auto"/>
            <w:noWrap/>
            <w:hideMark/>
          </w:tcPr>
          <w:p w14:paraId="6AB88148"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43449DD8" w14:textId="12617B3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A683685" w14:textId="77777777" w:rsidR="002F0133" w:rsidRPr="000B4E2C" w:rsidRDefault="002F0133" w:rsidP="008A7464">
            <w:pPr>
              <w:rPr>
                <w:highlight w:val="green"/>
                <w:lang w:eastAsia="en-GB"/>
              </w:rPr>
            </w:pPr>
            <w:r w:rsidRPr="000B4E2C">
              <w:rPr>
                <w:highlight w:val="green"/>
                <w:lang w:eastAsia="en-GB"/>
              </w:rPr>
              <w:t>P. K. Siddappa, R. Kochhar, P. Sarotra, B. Medhi, V. Jha and V. Gupta. Neutrophil gelatinase-associated lipocalin: An early biomarker for predicting acute kidney injury and severity in patients with acute pancreatitis. JGH Open, 3(2), 105-110. [16632]</w:t>
            </w:r>
          </w:p>
        </w:tc>
      </w:tr>
      <w:tr w:rsidR="002F0133" w:rsidRPr="000B4E2C" w14:paraId="3B7082B8" w14:textId="77777777" w:rsidTr="000B4E2C">
        <w:trPr>
          <w:cantSplit/>
        </w:trPr>
        <w:tc>
          <w:tcPr>
            <w:tcW w:w="0" w:type="auto"/>
            <w:shd w:val="clear" w:color="auto" w:fill="auto"/>
            <w:noWrap/>
            <w:hideMark/>
          </w:tcPr>
          <w:p w14:paraId="673C96A5" w14:textId="77777777" w:rsidR="002F0133" w:rsidRPr="000B4E2C" w:rsidRDefault="002F0133" w:rsidP="008A7464">
            <w:pPr>
              <w:rPr>
                <w:lang w:eastAsia="en-GB"/>
              </w:rPr>
            </w:pPr>
            <w:r w:rsidRPr="000B4E2C">
              <w:rPr>
                <w:lang w:eastAsia="en-GB"/>
              </w:rPr>
              <w:t>Sidoti</w:t>
            </w:r>
          </w:p>
        </w:tc>
        <w:tc>
          <w:tcPr>
            <w:tcW w:w="0" w:type="auto"/>
            <w:shd w:val="clear" w:color="auto" w:fill="auto"/>
            <w:noWrap/>
            <w:hideMark/>
          </w:tcPr>
          <w:p w14:paraId="1A6C1CF3"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09F440F" w14:textId="5A7725B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902CC9D" w14:textId="77777777" w:rsidR="002F0133" w:rsidRPr="000B4E2C" w:rsidRDefault="002F0133" w:rsidP="008A7464">
            <w:pPr>
              <w:rPr>
                <w:highlight w:val="green"/>
                <w:lang w:eastAsia="en-GB"/>
              </w:rPr>
            </w:pPr>
            <w:r w:rsidRPr="000B4E2C">
              <w:rPr>
                <w:highlight w:val="green"/>
                <w:lang w:eastAsia="en-GB"/>
              </w:rPr>
              <w:t>A. Sidoti, M. Giacalone, A. Abramo, M. Anselmino, C. Donadio, C. D. Salvo, F. Giunta and F. Forfori. Early identification of acute kidney injury after bariatric surgery: Role of NGAL and cystatin C. Open Obesity Journal, 6(1), 50-59. [16634]</w:t>
            </w:r>
          </w:p>
        </w:tc>
      </w:tr>
      <w:tr w:rsidR="002F0133" w:rsidRPr="000B4E2C" w14:paraId="4F9C7315" w14:textId="77777777" w:rsidTr="000B4E2C">
        <w:trPr>
          <w:cantSplit/>
        </w:trPr>
        <w:tc>
          <w:tcPr>
            <w:tcW w:w="0" w:type="auto"/>
            <w:shd w:val="clear" w:color="auto" w:fill="auto"/>
            <w:noWrap/>
            <w:hideMark/>
          </w:tcPr>
          <w:p w14:paraId="6653A4F5" w14:textId="77777777" w:rsidR="002F0133" w:rsidRPr="000B4E2C" w:rsidRDefault="002F0133" w:rsidP="008A7464">
            <w:pPr>
              <w:rPr>
                <w:lang w:eastAsia="en-GB"/>
              </w:rPr>
            </w:pPr>
            <w:r w:rsidRPr="000B4E2C">
              <w:rPr>
                <w:lang w:eastAsia="en-GB"/>
              </w:rPr>
              <w:t>Siew</w:t>
            </w:r>
          </w:p>
        </w:tc>
        <w:tc>
          <w:tcPr>
            <w:tcW w:w="0" w:type="auto"/>
            <w:shd w:val="clear" w:color="auto" w:fill="auto"/>
            <w:noWrap/>
            <w:hideMark/>
          </w:tcPr>
          <w:p w14:paraId="31EC3C39"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4ECF1BCA"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7A6A005A" w14:textId="77777777" w:rsidR="002F0133" w:rsidRPr="000B4E2C" w:rsidRDefault="002F0133" w:rsidP="008A7464">
            <w:pPr>
              <w:rPr>
                <w:highlight w:val="green"/>
                <w:lang w:eastAsia="en-GB"/>
              </w:rPr>
            </w:pPr>
            <w:r w:rsidRPr="000B4E2C">
              <w:rPr>
                <w:highlight w:val="green"/>
                <w:lang w:eastAsia="en-GB"/>
              </w:rPr>
              <w:t>E. D. Siew, L. B. Ware, T. Gebretsadik, A. Shintani, K. G. M. Moons, N. Wickersham, F. Bossert and T. A. Ikizler. Urine neutrophil gelatinase-associated lipocalin moderately predicts acute kidney injury in critically ill adults. Journal of the American Society of Nephrology, 20(8), 1823-1832. [16639]</w:t>
            </w:r>
          </w:p>
        </w:tc>
      </w:tr>
      <w:tr w:rsidR="002F0133" w:rsidRPr="000B4E2C" w14:paraId="3AF44131" w14:textId="77777777" w:rsidTr="000B4E2C">
        <w:trPr>
          <w:cantSplit/>
        </w:trPr>
        <w:tc>
          <w:tcPr>
            <w:tcW w:w="0" w:type="auto"/>
            <w:shd w:val="clear" w:color="auto" w:fill="auto"/>
            <w:noWrap/>
            <w:hideMark/>
          </w:tcPr>
          <w:p w14:paraId="3FF7C62B" w14:textId="77777777" w:rsidR="002F0133" w:rsidRPr="000B4E2C" w:rsidRDefault="002F0133" w:rsidP="008A7464">
            <w:pPr>
              <w:rPr>
                <w:lang w:eastAsia="en-GB"/>
              </w:rPr>
            </w:pPr>
            <w:r w:rsidRPr="000B4E2C">
              <w:rPr>
                <w:lang w:eastAsia="en-GB"/>
              </w:rPr>
              <w:t>Siew</w:t>
            </w:r>
          </w:p>
        </w:tc>
        <w:tc>
          <w:tcPr>
            <w:tcW w:w="0" w:type="auto"/>
            <w:shd w:val="clear" w:color="auto" w:fill="auto"/>
            <w:noWrap/>
            <w:hideMark/>
          </w:tcPr>
          <w:p w14:paraId="1F7A3BC9"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2F545188"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50C89B22" w14:textId="77777777" w:rsidR="002F0133" w:rsidRPr="000B4E2C" w:rsidRDefault="002F0133" w:rsidP="008A7464">
            <w:pPr>
              <w:rPr>
                <w:highlight w:val="green"/>
                <w:lang w:eastAsia="en-GB"/>
              </w:rPr>
            </w:pPr>
            <w:r w:rsidRPr="000B4E2C">
              <w:rPr>
                <w:highlight w:val="green"/>
                <w:lang w:eastAsia="en-GB"/>
              </w:rPr>
              <w:t>E. D. Siew, T. A. Ikizler, T. Gebretsadik, A. Shintani, N. Wickersham, F. Bossert, J. F. Peterson, C. R. Parikh, A. K. May and L. B. Ware. Elevated urinary IL-18 levels at the time of ICU admission predict adverse clinical outcomes. Clinical Journal of the American Society of Nephrology, 5(8), 1497-1505. [16638]</w:t>
            </w:r>
          </w:p>
        </w:tc>
      </w:tr>
      <w:tr w:rsidR="002F0133" w:rsidRPr="000B4E2C" w14:paraId="11AA4B5F" w14:textId="77777777" w:rsidTr="000B4E2C">
        <w:trPr>
          <w:cantSplit/>
        </w:trPr>
        <w:tc>
          <w:tcPr>
            <w:tcW w:w="0" w:type="auto"/>
            <w:shd w:val="clear" w:color="auto" w:fill="auto"/>
            <w:noWrap/>
            <w:hideMark/>
          </w:tcPr>
          <w:p w14:paraId="4775C679" w14:textId="77777777" w:rsidR="002F0133" w:rsidRPr="000B4E2C" w:rsidRDefault="002F0133" w:rsidP="008A7464">
            <w:pPr>
              <w:rPr>
                <w:lang w:eastAsia="en-GB"/>
              </w:rPr>
            </w:pPr>
            <w:r w:rsidRPr="000B4E2C">
              <w:rPr>
                <w:lang w:eastAsia="en-GB"/>
              </w:rPr>
              <w:t>Siew</w:t>
            </w:r>
          </w:p>
        </w:tc>
        <w:tc>
          <w:tcPr>
            <w:tcW w:w="0" w:type="auto"/>
            <w:shd w:val="clear" w:color="auto" w:fill="auto"/>
            <w:noWrap/>
            <w:hideMark/>
          </w:tcPr>
          <w:p w14:paraId="0C4BE95A"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5743C98E"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5E983EB3" w14:textId="77777777" w:rsidR="002F0133" w:rsidRPr="000B4E2C" w:rsidRDefault="002F0133" w:rsidP="008A7464">
            <w:pPr>
              <w:rPr>
                <w:highlight w:val="green"/>
                <w:lang w:eastAsia="en-GB"/>
              </w:rPr>
            </w:pPr>
            <w:r w:rsidRPr="000B4E2C">
              <w:rPr>
                <w:highlight w:val="green"/>
                <w:lang w:eastAsia="en-GB"/>
              </w:rPr>
              <w:t>E. D. Siew, L. B. Ware, A. Bian, A. Shintani, S. K. Eden, N. Wickersham, B. Cripps and T. A. Ikizler. Distinct injury markers for the early detection and prognosis of incident acute kidney injury in critically ill adults with preserved kidney function. Kidney International, 84(4), 786-794. [16635]</w:t>
            </w:r>
          </w:p>
        </w:tc>
      </w:tr>
      <w:tr w:rsidR="002F0133" w:rsidRPr="000B4E2C" w14:paraId="20CB9670" w14:textId="77777777" w:rsidTr="000B4E2C">
        <w:trPr>
          <w:cantSplit/>
        </w:trPr>
        <w:tc>
          <w:tcPr>
            <w:tcW w:w="0" w:type="auto"/>
            <w:shd w:val="clear" w:color="auto" w:fill="auto"/>
            <w:noWrap/>
            <w:hideMark/>
          </w:tcPr>
          <w:p w14:paraId="4D1A3608" w14:textId="77777777" w:rsidR="002F0133" w:rsidRPr="000B4E2C" w:rsidRDefault="002F0133" w:rsidP="008A7464">
            <w:pPr>
              <w:rPr>
                <w:lang w:eastAsia="en-GB"/>
              </w:rPr>
            </w:pPr>
            <w:r w:rsidRPr="000B4E2C">
              <w:rPr>
                <w:lang w:eastAsia="en-GB"/>
              </w:rPr>
              <w:t>Silvetti</w:t>
            </w:r>
          </w:p>
        </w:tc>
        <w:tc>
          <w:tcPr>
            <w:tcW w:w="0" w:type="auto"/>
            <w:shd w:val="clear" w:color="auto" w:fill="auto"/>
            <w:noWrap/>
            <w:hideMark/>
          </w:tcPr>
          <w:p w14:paraId="0197A56E"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1B21C3E" w14:textId="656F79C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8F2419B" w14:textId="77777777" w:rsidR="002F0133" w:rsidRPr="000B4E2C" w:rsidRDefault="002F0133" w:rsidP="008A7464">
            <w:pPr>
              <w:rPr>
                <w:highlight w:val="green"/>
                <w:lang w:eastAsia="en-GB"/>
              </w:rPr>
            </w:pPr>
            <w:r w:rsidRPr="000B4E2C">
              <w:rPr>
                <w:highlight w:val="green"/>
                <w:lang w:eastAsia="en-GB"/>
              </w:rPr>
              <w:t>S. Silvetti, R. Meroni, E. Bignami, T. Bove, G. Landoni, A. Zangrillo, R. Bellomo and F. Pappalardo. Preoperative urinary neutrophil gelatinase-associated lipocalin and outcome in high-risk heart failure patients undergoing cardiac surgery. Journal of Cardiothoracic and Vascular Anesthesia, 28(2), 323-327. [16640]</w:t>
            </w:r>
          </w:p>
        </w:tc>
      </w:tr>
      <w:tr w:rsidR="002F0133" w:rsidRPr="000B4E2C" w14:paraId="4295E5FC" w14:textId="77777777" w:rsidTr="000B4E2C">
        <w:trPr>
          <w:cantSplit/>
        </w:trPr>
        <w:tc>
          <w:tcPr>
            <w:tcW w:w="0" w:type="auto"/>
            <w:shd w:val="clear" w:color="auto" w:fill="auto"/>
            <w:noWrap/>
            <w:hideMark/>
          </w:tcPr>
          <w:p w14:paraId="3D570E95" w14:textId="77777777" w:rsidR="002F0133" w:rsidRPr="000B4E2C" w:rsidRDefault="002F0133" w:rsidP="008A7464">
            <w:pPr>
              <w:rPr>
                <w:lang w:eastAsia="en-GB"/>
              </w:rPr>
            </w:pPr>
            <w:r w:rsidRPr="000B4E2C">
              <w:rPr>
                <w:lang w:eastAsia="en-GB"/>
              </w:rPr>
              <w:t>Sim</w:t>
            </w:r>
          </w:p>
        </w:tc>
        <w:tc>
          <w:tcPr>
            <w:tcW w:w="0" w:type="auto"/>
            <w:shd w:val="clear" w:color="auto" w:fill="auto"/>
            <w:noWrap/>
            <w:hideMark/>
          </w:tcPr>
          <w:p w14:paraId="4FD73BB0"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F19B119"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67ABBD9C" w14:textId="77777777" w:rsidR="002F0133" w:rsidRPr="000B4E2C" w:rsidRDefault="002F0133" w:rsidP="008A7464">
            <w:pPr>
              <w:rPr>
                <w:highlight w:val="green"/>
                <w:lang w:eastAsia="en-GB"/>
              </w:rPr>
            </w:pPr>
            <w:r w:rsidRPr="000B4E2C">
              <w:rPr>
                <w:highlight w:val="green"/>
                <w:lang w:eastAsia="en-GB"/>
              </w:rPr>
              <w:t>J. H. Sim, H. E. Yim, B. M. Choi, J. H. Lee and K. H. Yoo. Plasma neutrophil gelatinase-associated lipocalin predicts acute pyelonephritis in children with urinary tract infections. Pediatric research, 78(1), 48-55. [16641]</w:t>
            </w:r>
          </w:p>
        </w:tc>
      </w:tr>
      <w:tr w:rsidR="002F0133" w:rsidRPr="000B4E2C" w14:paraId="506C6932" w14:textId="77777777" w:rsidTr="000B4E2C">
        <w:trPr>
          <w:cantSplit/>
        </w:trPr>
        <w:tc>
          <w:tcPr>
            <w:tcW w:w="0" w:type="auto"/>
            <w:shd w:val="clear" w:color="auto" w:fill="auto"/>
            <w:noWrap/>
            <w:hideMark/>
          </w:tcPr>
          <w:p w14:paraId="0BA4C5FF" w14:textId="77777777" w:rsidR="002F0133" w:rsidRPr="000B4E2C" w:rsidRDefault="002F0133" w:rsidP="008A7464">
            <w:pPr>
              <w:rPr>
                <w:lang w:eastAsia="en-GB"/>
              </w:rPr>
            </w:pPr>
            <w:r w:rsidRPr="000B4E2C">
              <w:rPr>
                <w:lang w:eastAsia="en-GB"/>
              </w:rPr>
              <w:t>Simonazzi</w:t>
            </w:r>
          </w:p>
        </w:tc>
        <w:tc>
          <w:tcPr>
            <w:tcW w:w="0" w:type="auto"/>
            <w:shd w:val="clear" w:color="auto" w:fill="auto"/>
            <w:noWrap/>
            <w:hideMark/>
          </w:tcPr>
          <w:p w14:paraId="4B4C8C1F"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52A85BD9" w14:textId="55F6C82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FD884D4" w14:textId="77777777" w:rsidR="002F0133" w:rsidRPr="000B4E2C" w:rsidRDefault="002F0133" w:rsidP="008A7464">
            <w:pPr>
              <w:rPr>
                <w:highlight w:val="green"/>
                <w:lang w:eastAsia="en-GB"/>
              </w:rPr>
            </w:pPr>
            <w:r w:rsidRPr="000B4E2C">
              <w:rPr>
                <w:highlight w:val="green"/>
                <w:lang w:eastAsia="en-GB"/>
              </w:rPr>
              <w:t>G. Simonazzi, I. Capelli, A. Curti, G. Comai, N. Rizzo and G. La Manna. Serum and Urinary Neutrophil Gelatinase-associated Lipocalin Monitoring in Normal Pregnancy Versus Pregnancies Complicated by Pre-eclampsia. In Vivo, 29(1), 117-121. [18587]</w:t>
            </w:r>
          </w:p>
        </w:tc>
      </w:tr>
      <w:tr w:rsidR="002F0133" w:rsidRPr="000B4E2C" w14:paraId="3B796DC5" w14:textId="77777777" w:rsidTr="000B4E2C">
        <w:trPr>
          <w:cantSplit/>
        </w:trPr>
        <w:tc>
          <w:tcPr>
            <w:tcW w:w="0" w:type="auto"/>
            <w:shd w:val="clear" w:color="auto" w:fill="auto"/>
            <w:noWrap/>
            <w:hideMark/>
          </w:tcPr>
          <w:p w14:paraId="6A0C7522" w14:textId="77777777" w:rsidR="002F0133" w:rsidRPr="000B4E2C" w:rsidRDefault="002F0133" w:rsidP="008A7464">
            <w:pPr>
              <w:rPr>
                <w:lang w:eastAsia="en-GB"/>
              </w:rPr>
            </w:pPr>
            <w:r w:rsidRPr="000B4E2C">
              <w:rPr>
                <w:lang w:eastAsia="en-GB"/>
              </w:rPr>
              <w:t>Singal</w:t>
            </w:r>
          </w:p>
        </w:tc>
        <w:tc>
          <w:tcPr>
            <w:tcW w:w="0" w:type="auto"/>
            <w:shd w:val="clear" w:color="auto" w:fill="auto"/>
            <w:noWrap/>
            <w:hideMark/>
          </w:tcPr>
          <w:p w14:paraId="7AF68E9C"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5FCA0123"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639A8F54" w14:textId="77777777" w:rsidR="002F0133" w:rsidRPr="000B4E2C" w:rsidRDefault="002F0133" w:rsidP="008A7464">
            <w:pPr>
              <w:rPr>
                <w:highlight w:val="green"/>
                <w:lang w:eastAsia="en-GB"/>
              </w:rPr>
            </w:pPr>
            <w:r w:rsidRPr="000B4E2C">
              <w:rPr>
                <w:highlight w:val="green"/>
                <w:lang w:eastAsia="en-GB"/>
              </w:rPr>
              <w:t>A. K. Singal, B. Jackson, G. B. Pereira, K. B. Russ, P. S. Fitzmorris, D. Kakati, P. Axley, S. Ravi, T. Seay, S. P. Ramachandra Rao, R. Mehta, Y. F. Kuo, K. P. Singh and A. Agarwal. Biomarkers of Renal Injury in Cirrhosis: Association with Acute Kidney Injury and Recovery after Liver Transplantation. Nephron, 138(1), 1-12. [16644]</w:t>
            </w:r>
          </w:p>
        </w:tc>
      </w:tr>
      <w:tr w:rsidR="002F0133" w:rsidRPr="000B4E2C" w14:paraId="0416F81F" w14:textId="77777777" w:rsidTr="000B4E2C">
        <w:trPr>
          <w:cantSplit/>
        </w:trPr>
        <w:tc>
          <w:tcPr>
            <w:tcW w:w="0" w:type="auto"/>
            <w:shd w:val="clear" w:color="auto" w:fill="auto"/>
            <w:noWrap/>
            <w:hideMark/>
          </w:tcPr>
          <w:p w14:paraId="3C74F9C1" w14:textId="77777777" w:rsidR="002F0133" w:rsidRPr="000B4E2C" w:rsidRDefault="002F0133" w:rsidP="008A7464">
            <w:pPr>
              <w:rPr>
                <w:lang w:eastAsia="en-GB"/>
              </w:rPr>
            </w:pPr>
            <w:r w:rsidRPr="000B4E2C">
              <w:rPr>
                <w:lang w:eastAsia="en-GB"/>
              </w:rPr>
              <w:t>Singer</w:t>
            </w:r>
          </w:p>
        </w:tc>
        <w:tc>
          <w:tcPr>
            <w:tcW w:w="0" w:type="auto"/>
            <w:shd w:val="clear" w:color="auto" w:fill="auto"/>
            <w:noWrap/>
            <w:hideMark/>
          </w:tcPr>
          <w:p w14:paraId="6E9E3D1F"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479BD090"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F9CF95B" w14:textId="77777777" w:rsidR="002F0133" w:rsidRPr="000B4E2C" w:rsidRDefault="002F0133" w:rsidP="008A7464">
            <w:pPr>
              <w:rPr>
                <w:highlight w:val="green"/>
                <w:lang w:eastAsia="en-GB"/>
              </w:rPr>
            </w:pPr>
            <w:r w:rsidRPr="000B4E2C">
              <w:rPr>
                <w:highlight w:val="green"/>
                <w:lang w:eastAsia="en-GB"/>
              </w:rPr>
              <w:t>E. Singer, E. V. Schrezenmeier, A. Elger, E. R. Seelow, A. Krannich, F. C. Luft and K. M. Schmidt-Ott. Urinary NGAL-Positive Acute Kidney Injury and Poor Long-term Outcomes in Hospitalized Patients. Kidney international reports, 1(3), 114-124. [16645]</w:t>
            </w:r>
          </w:p>
        </w:tc>
      </w:tr>
      <w:tr w:rsidR="002F0133" w:rsidRPr="000B4E2C" w14:paraId="4BE26757" w14:textId="77777777" w:rsidTr="000B4E2C">
        <w:trPr>
          <w:cantSplit/>
        </w:trPr>
        <w:tc>
          <w:tcPr>
            <w:tcW w:w="0" w:type="auto"/>
            <w:shd w:val="clear" w:color="auto" w:fill="auto"/>
            <w:noWrap/>
            <w:hideMark/>
          </w:tcPr>
          <w:p w14:paraId="00396B7F" w14:textId="77777777" w:rsidR="002F0133" w:rsidRPr="000B4E2C" w:rsidRDefault="002F0133" w:rsidP="008A7464">
            <w:pPr>
              <w:rPr>
                <w:lang w:eastAsia="en-GB"/>
              </w:rPr>
            </w:pPr>
            <w:r w:rsidRPr="000B4E2C">
              <w:rPr>
                <w:lang w:eastAsia="en-GB"/>
              </w:rPr>
              <w:t>Singh</w:t>
            </w:r>
          </w:p>
        </w:tc>
        <w:tc>
          <w:tcPr>
            <w:tcW w:w="0" w:type="auto"/>
            <w:shd w:val="clear" w:color="auto" w:fill="auto"/>
            <w:noWrap/>
            <w:hideMark/>
          </w:tcPr>
          <w:p w14:paraId="35DD9D63"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11EBA5ED"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849377D" w14:textId="77777777" w:rsidR="002F0133" w:rsidRPr="000B4E2C" w:rsidRDefault="002F0133" w:rsidP="008A7464">
            <w:pPr>
              <w:rPr>
                <w:highlight w:val="green"/>
                <w:lang w:eastAsia="en-GB"/>
              </w:rPr>
            </w:pPr>
            <w:r w:rsidRPr="000B4E2C">
              <w:rPr>
                <w:highlight w:val="green"/>
                <w:lang w:eastAsia="en-GB"/>
              </w:rPr>
              <w:t>G. B. Singh, S. H. Ann, J. Park, H. C. Chung, J. S. Lee, E. S. Kim, J. I. Choi, J. Lee, S. J. Kim and E. S. Shin. Remote ischemic preconditioning for the prevention of contrast-induced acute kidney injury in diabetics receiving elective percutaneous coronary intervention. PLoS ONE, 11(10), e0164256. [16650]</w:t>
            </w:r>
          </w:p>
        </w:tc>
      </w:tr>
      <w:tr w:rsidR="002F0133" w:rsidRPr="000B4E2C" w14:paraId="616FCD56" w14:textId="77777777" w:rsidTr="000B4E2C">
        <w:trPr>
          <w:cantSplit/>
        </w:trPr>
        <w:tc>
          <w:tcPr>
            <w:tcW w:w="0" w:type="auto"/>
            <w:shd w:val="clear" w:color="auto" w:fill="auto"/>
            <w:noWrap/>
            <w:hideMark/>
          </w:tcPr>
          <w:p w14:paraId="47A33F89" w14:textId="77777777" w:rsidR="002F0133" w:rsidRPr="000B4E2C" w:rsidRDefault="002F0133" w:rsidP="008A7464">
            <w:pPr>
              <w:rPr>
                <w:lang w:eastAsia="en-GB"/>
              </w:rPr>
            </w:pPr>
            <w:r w:rsidRPr="000B4E2C">
              <w:rPr>
                <w:lang w:eastAsia="en-GB"/>
              </w:rPr>
              <w:lastRenderedPageBreak/>
              <w:t>Singh</w:t>
            </w:r>
          </w:p>
        </w:tc>
        <w:tc>
          <w:tcPr>
            <w:tcW w:w="0" w:type="auto"/>
            <w:shd w:val="clear" w:color="auto" w:fill="auto"/>
            <w:noWrap/>
            <w:hideMark/>
          </w:tcPr>
          <w:p w14:paraId="5CC936D2"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2E48FE24"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14A7B7A" w14:textId="77777777" w:rsidR="002F0133" w:rsidRPr="000B4E2C" w:rsidRDefault="002F0133" w:rsidP="008A7464">
            <w:pPr>
              <w:rPr>
                <w:highlight w:val="green"/>
                <w:lang w:eastAsia="en-GB"/>
              </w:rPr>
            </w:pPr>
            <w:r w:rsidRPr="000B4E2C">
              <w:rPr>
                <w:highlight w:val="green"/>
                <w:lang w:eastAsia="en-GB"/>
              </w:rPr>
              <w:t>A. Singh, R. Kamal, R. Tiwari, V. K. Gaur, V. Bihari, G. N. V. Satyanarayana, D. K. Patel, P. A. Azeez, V. Srivastava, A. Ansari and C. N. Kesavachandran. Association between PAHs biomarkers and kidney injury biomarkers among kitchen workers with microalbuminuria: A cross-sectional pilot study. Clinica Chimica Acta, 487(349-356. [16649]</w:t>
            </w:r>
          </w:p>
        </w:tc>
      </w:tr>
      <w:tr w:rsidR="002F0133" w:rsidRPr="000B4E2C" w14:paraId="55F95FBB" w14:textId="77777777" w:rsidTr="000B4E2C">
        <w:trPr>
          <w:cantSplit/>
        </w:trPr>
        <w:tc>
          <w:tcPr>
            <w:tcW w:w="0" w:type="auto"/>
            <w:shd w:val="clear" w:color="auto" w:fill="auto"/>
            <w:noWrap/>
            <w:hideMark/>
          </w:tcPr>
          <w:p w14:paraId="19254A2A" w14:textId="77777777" w:rsidR="002F0133" w:rsidRPr="000B4E2C" w:rsidRDefault="002F0133" w:rsidP="008A7464">
            <w:pPr>
              <w:rPr>
                <w:lang w:eastAsia="en-GB"/>
              </w:rPr>
            </w:pPr>
            <w:r w:rsidRPr="000B4E2C">
              <w:rPr>
                <w:lang w:eastAsia="en-GB"/>
              </w:rPr>
              <w:t>Sinna</w:t>
            </w:r>
          </w:p>
        </w:tc>
        <w:tc>
          <w:tcPr>
            <w:tcW w:w="0" w:type="auto"/>
            <w:shd w:val="clear" w:color="auto" w:fill="auto"/>
            <w:noWrap/>
            <w:hideMark/>
          </w:tcPr>
          <w:p w14:paraId="469AF2A4"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415B5F0F" w14:textId="03B2079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95AA859" w14:textId="77777777" w:rsidR="002F0133" w:rsidRPr="000B4E2C" w:rsidRDefault="002F0133" w:rsidP="008A7464">
            <w:pPr>
              <w:rPr>
                <w:highlight w:val="green"/>
                <w:lang w:eastAsia="en-GB"/>
              </w:rPr>
            </w:pPr>
            <w:r w:rsidRPr="000B4E2C">
              <w:rPr>
                <w:highlight w:val="green"/>
                <w:lang w:eastAsia="en-GB"/>
              </w:rPr>
              <w:t>M. M. Sinna, F. M. Altaf and O. F. Mosa. The study of Serum and urinary NGAL and Cystatin C levels as biomarker tools for diagnosis of both AKI and CKD: A histobiochemical comparative study. Current pharmaceutical design, . [16655]</w:t>
            </w:r>
          </w:p>
        </w:tc>
      </w:tr>
      <w:tr w:rsidR="002F0133" w:rsidRPr="000B4E2C" w14:paraId="27274457" w14:textId="77777777" w:rsidTr="000B4E2C">
        <w:trPr>
          <w:cantSplit/>
        </w:trPr>
        <w:tc>
          <w:tcPr>
            <w:tcW w:w="0" w:type="auto"/>
            <w:shd w:val="clear" w:color="auto" w:fill="auto"/>
            <w:noWrap/>
            <w:hideMark/>
          </w:tcPr>
          <w:p w14:paraId="5ADA7D5F" w14:textId="77777777" w:rsidR="002F0133" w:rsidRPr="000B4E2C" w:rsidRDefault="002F0133" w:rsidP="008A7464">
            <w:pPr>
              <w:rPr>
                <w:lang w:eastAsia="en-GB"/>
              </w:rPr>
            </w:pPr>
            <w:r w:rsidRPr="000B4E2C">
              <w:rPr>
                <w:lang w:eastAsia="en-GB"/>
              </w:rPr>
              <w:t>Sirisopha</w:t>
            </w:r>
          </w:p>
        </w:tc>
        <w:tc>
          <w:tcPr>
            <w:tcW w:w="0" w:type="auto"/>
            <w:shd w:val="clear" w:color="auto" w:fill="auto"/>
            <w:noWrap/>
            <w:hideMark/>
          </w:tcPr>
          <w:p w14:paraId="0B0889B2"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1971F85" w14:textId="2BF24CE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DA11172" w14:textId="77777777" w:rsidR="002F0133" w:rsidRPr="000B4E2C" w:rsidRDefault="002F0133" w:rsidP="008A7464">
            <w:pPr>
              <w:rPr>
                <w:highlight w:val="green"/>
                <w:lang w:eastAsia="en-GB"/>
              </w:rPr>
            </w:pPr>
            <w:r w:rsidRPr="000B4E2C">
              <w:rPr>
                <w:highlight w:val="green"/>
                <w:lang w:eastAsia="en-GB"/>
              </w:rPr>
              <w:t>A. Sirisopha, S. Vanavanan, A. Chittamma, B. Phakdeekitcharoen, A. Thakkinstian, A. Lertrit, N. Sathirapongsasuti and C. Kitiyakara. Effects of Therapy on Urine Neutrophil Gelatinase-Associated Lipocalin in Nondiabetic Glomerular Diseases with Proteinuria. International journal of nephrology, 2016(4904502. [16656]</w:t>
            </w:r>
          </w:p>
        </w:tc>
      </w:tr>
      <w:tr w:rsidR="002F0133" w:rsidRPr="000B4E2C" w14:paraId="65765ADD" w14:textId="77777777" w:rsidTr="000B4E2C">
        <w:trPr>
          <w:cantSplit/>
        </w:trPr>
        <w:tc>
          <w:tcPr>
            <w:tcW w:w="0" w:type="auto"/>
            <w:shd w:val="clear" w:color="auto" w:fill="auto"/>
            <w:noWrap/>
            <w:hideMark/>
          </w:tcPr>
          <w:p w14:paraId="2875963F" w14:textId="77777777" w:rsidR="002F0133" w:rsidRPr="000B4E2C" w:rsidRDefault="002F0133" w:rsidP="008A7464">
            <w:pPr>
              <w:rPr>
                <w:lang w:eastAsia="en-GB"/>
              </w:rPr>
            </w:pPr>
            <w:r w:rsidRPr="000B4E2C">
              <w:rPr>
                <w:lang w:eastAsia="en-GB"/>
              </w:rPr>
              <w:t>Sirota</w:t>
            </w:r>
          </w:p>
        </w:tc>
        <w:tc>
          <w:tcPr>
            <w:tcW w:w="0" w:type="auto"/>
            <w:shd w:val="clear" w:color="auto" w:fill="auto"/>
            <w:noWrap/>
            <w:hideMark/>
          </w:tcPr>
          <w:p w14:paraId="4211C428"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3E9F0122" w14:textId="23BD5A9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4FB3D94" w14:textId="77777777" w:rsidR="002F0133" w:rsidRPr="000B4E2C" w:rsidRDefault="002F0133" w:rsidP="008A7464">
            <w:pPr>
              <w:rPr>
                <w:highlight w:val="green"/>
                <w:lang w:eastAsia="en-GB"/>
              </w:rPr>
            </w:pPr>
            <w:r w:rsidRPr="000B4E2C">
              <w:rPr>
                <w:highlight w:val="green"/>
                <w:lang w:eastAsia="en-GB"/>
              </w:rPr>
              <w:t>J. C. Sirota, A. Walcher, S. Faubel, A. Jani, K. McFann, P. Devarajan, C. L. Davis and C. L. Edelstein. Urine IL-18, NGAL, IL-8 and serum IL-8 are biomarkers of acute kidney injury following liver transplantation. BMC Nephrology, 14(1), 17. [16657]</w:t>
            </w:r>
          </w:p>
        </w:tc>
      </w:tr>
      <w:tr w:rsidR="002F0133" w:rsidRPr="000B4E2C" w14:paraId="03C1E6FA" w14:textId="77777777" w:rsidTr="000B4E2C">
        <w:trPr>
          <w:cantSplit/>
        </w:trPr>
        <w:tc>
          <w:tcPr>
            <w:tcW w:w="0" w:type="auto"/>
            <w:shd w:val="clear" w:color="auto" w:fill="auto"/>
            <w:noWrap/>
            <w:hideMark/>
          </w:tcPr>
          <w:p w14:paraId="0888B31F" w14:textId="77777777" w:rsidR="002F0133" w:rsidRPr="000B4E2C" w:rsidRDefault="002F0133" w:rsidP="008A7464">
            <w:pPr>
              <w:rPr>
                <w:lang w:eastAsia="en-GB"/>
              </w:rPr>
            </w:pPr>
            <w:r w:rsidRPr="000B4E2C">
              <w:rPr>
                <w:lang w:eastAsia="en-GB"/>
              </w:rPr>
              <w:t>Sise</w:t>
            </w:r>
          </w:p>
        </w:tc>
        <w:tc>
          <w:tcPr>
            <w:tcW w:w="0" w:type="auto"/>
            <w:shd w:val="clear" w:color="auto" w:fill="auto"/>
            <w:noWrap/>
            <w:hideMark/>
          </w:tcPr>
          <w:p w14:paraId="7F4C4FC6"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2D9D62E1"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09E726A3" w14:textId="77777777" w:rsidR="002F0133" w:rsidRPr="000B4E2C" w:rsidRDefault="002F0133" w:rsidP="008A7464">
            <w:pPr>
              <w:rPr>
                <w:highlight w:val="green"/>
                <w:lang w:eastAsia="en-GB"/>
              </w:rPr>
            </w:pPr>
            <w:r w:rsidRPr="000B4E2C">
              <w:rPr>
                <w:highlight w:val="green"/>
                <w:lang w:eastAsia="en-GB"/>
              </w:rPr>
              <w:t>M. E. Sise, J. Barasch, P. Devarajan and T. L. Nickolas. Elevated urine neutrophil gelatinase-associated lipocalin can diagnose acute kidney injury in patients with chronic kidney diseases. Kidney International, 75(1), 115-116. [16659]</w:t>
            </w:r>
          </w:p>
        </w:tc>
      </w:tr>
      <w:tr w:rsidR="002F0133" w:rsidRPr="000B4E2C" w14:paraId="4F58FF81" w14:textId="77777777" w:rsidTr="000B4E2C">
        <w:trPr>
          <w:cantSplit/>
        </w:trPr>
        <w:tc>
          <w:tcPr>
            <w:tcW w:w="0" w:type="auto"/>
            <w:shd w:val="clear" w:color="auto" w:fill="auto"/>
            <w:noWrap/>
            <w:hideMark/>
          </w:tcPr>
          <w:p w14:paraId="40C6BB4B" w14:textId="77777777" w:rsidR="002F0133" w:rsidRPr="000B4E2C" w:rsidRDefault="002F0133" w:rsidP="008A7464">
            <w:pPr>
              <w:rPr>
                <w:lang w:eastAsia="en-GB"/>
              </w:rPr>
            </w:pPr>
            <w:r w:rsidRPr="000B4E2C">
              <w:rPr>
                <w:lang w:eastAsia="en-GB"/>
              </w:rPr>
              <w:t>Slack</w:t>
            </w:r>
          </w:p>
        </w:tc>
        <w:tc>
          <w:tcPr>
            <w:tcW w:w="0" w:type="auto"/>
            <w:shd w:val="clear" w:color="auto" w:fill="auto"/>
            <w:noWrap/>
            <w:hideMark/>
          </w:tcPr>
          <w:p w14:paraId="230C081C"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1F9FE82D" w14:textId="42FBCA5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49ABD32" w14:textId="64C72393" w:rsidR="002F0133" w:rsidRPr="000B4E2C" w:rsidRDefault="002F0133" w:rsidP="008A7464">
            <w:pPr>
              <w:rPr>
                <w:highlight w:val="green"/>
                <w:lang w:eastAsia="en-GB"/>
              </w:rPr>
            </w:pPr>
            <w:r w:rsidRPr="000B4E2C">
              <w:rPr>
                <w:highlight w:val="green"/>
                <w:lang w:eastAsia="en-GB"/>
              </w:rPr>
              <w:t>A. J. Slack, M. J. W. McPhail, M. Ostermann, M. Bruce, R. Sherwood, R. Musto, T. Dew, G. Auzinger, W. Bernal, J. O</w:t>
            </w:r>
            <w:r w:rsidR="0072128A" w:rsidRPr="000B4E2C">
              <w:rPr>
                <w:color w:val="00B0F0"/>
                <w:highlight w:val="green"/>
                <w:lang w:eastAsia="en-GB"/>
              </w:rPr>
              <w:t>’</w:t>
            </w:r>
            <w:r w:rsidRPr="000B4E2C">
              <w:rPr>
                <w:highlight w:val="green"/>
                <w:lang w:eastAsia="en-GB"/>
              </w:rPr>
              <w:t>Grady, M. A. Heneghan, K. Moore and J. A. Wendon. Predicting the development of acute kidney injury in liver cirrhosis - An analysis of glomerular filtration rate, proteinuria and kidney injury biomarkers. Alimentary Pharmacology and Therapeutics, 37(10), 989-997. [16662]</w:t>
            </w:r>
          </w:p>
        </w:tc>
      </w:tr>
      <w:tr w:rsidR="002F0133" w:rsidRPr="000B4E2C" w14:paraId="772F64CC" w14:textId="77777777" w:rsidTr="000B4E2C">
        <w:trPr>
          <w:cantSplit/>
        </w:trPr>
        <w:tc>
          <w:tcPr>
            <w:tcW w:w="0" w:type="auto"/>
            <w:shd w:val="clear" w:color="auto" w:fill="auto"/>
            <w:noWrap/>
            <w:hideMark/>
          </w:tcPr>
          <w:p w14:paraId="244ED7A0" w14:textId="77777777" w:rsidR="002F0133" w:rsidRPr="000B4E2C" w:rsidRDefault="002F0133" w:rsidP="008A7464">
            <w:pPr>
              <w:rPr>
                <w:lang w:eastAsia="en-GB"/>
              </w:rPr>
            </w:pPr>
            <w:r w:rsidRPr="000B4E2C">
              <w:rPr>
                <w:lang w:eastAsia="en-GB"/>
              </w:rPr>
              <w:t>Smertka</w:t>
            </w:r>
          </w:p>
        </w:tc>
        <w:tc>
          <w:tcPr>
            <w:tcW w:w="0" w:type="auto"/>
            <w:shd w:val="clear" w:color="auto" w:fill="auto"/>
            <w:noWrap/>
            <w:hideMark/>
          </w:tcPr>
          <w:p w14:paraId="7FB2CDD8"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98FC491" w14:textId="345329E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B74B422" w14:textId="77777777" w:rsidR="002F0133" w:rsidRPr="000B4E2C" w:rsidRDefault="002F0133" w:rsidP="008A7464">
            <w:pPr>
              <w:rPr>
                <w:highlight w:val="green"/>
                <w:lang w:eastAsia="en-GB"/>
              </w:rPr>
            </w:pPr>
            <w:r w:rsidRPr="000B4E2C">
              <w:rPr>
                <w:highlight w:val="green"/>
                <w:lang w:eastAsia="en-GB"/>
              </w:rPr>
              <w:t>M. Smertka, J. Wroblewska, A. Suchojad, M. Majcherczyk, D. Jadamus-Niebroj, T. Owsianka-Podlesny, A. Brzozowska and I. Maruniak-Chudek. Serum and urinary NGAL in septic newborns. BioMed Research International, 2014(717318. [16665]</w:t>
            </w:r>
          </w:p>
        </w:tc>
      </w:tr>
      <w:tr w:rsidR="002F0133" w:rsidRPr="000B4E2C" w14:paraId="22821BF5" w14:textId="77777777" w:rsidTr="000B4E2C">
        <w:trPr>
          <w:cantSplit/>
        </w:trPr>
        <w:tc>
          <w:tcPr>
            <w:tcW w:w="0" w:type="auto"/>
            <w:shd w:val="clear" w:color="auto" w:fill="auto"/>
            <w:noWrap/>
            <w:hideMark/>
          </w:tcPr>
          <w:p w14:paraId="703AEE67" w14:textId="77777777" w:rsidR="002F0133" w:rsidRPr="000B4E2C" w:rsidRDefault="002F0133" w:rsidP="008A7464">
            <w:pPr>
              <w:rPr>
                <w:lang w:eastAsia="en-GB"/>
              </w:rPr>
            </w:pPr>
            <w:r w:rsidRPr="000B4E2C">
              <w:rPr>
                <w:lang w:eastAsia="en-GB"/>
              </w:rPr>
              <w:t>Sokolski</w:t>
            </w:r>
          </w:p>
        </w:tc>
        <w:tc>
          <w:tcPr>
            <w:tcW w:w="0" w:type="auto"/>
            <w:shd w:val="clear" w:color="auto" w:fill="auto"/>
            <w:noWrap/>
            <w:hideMark/>
          </w:tcPr>
          <w:p w14:paraId="1FD8CED8"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5B83FDD2"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71AD5AD2" w14:textId="77777777" w:rsidR="002F0133" w:rsidRPr="000B4E2C" w:rsidRDefault="002F0133" w:rsidP="008A7464">
            <w:pPr>
              <w:rPr>
                <w:highlight w:val="green"/>
                <w:lang w:eastAsia="en-GB"/>
              </w:rPr>
            </w:pPr>
            <w:r w:rsidRPr="000B4E2C">
              <w:rPr>
                <w:highlight w:val="green"/>
                <w:lang w:eastAsia="en-GB"/>
              </w:rPr>
              <w:t>M. Sokolski, R. Zymlinski, J. Biegus, P. Siwolowski, S. Nawrocka-Millward, J. Todd, M. R. Yerramilli, J. Estis, E. A. Jankowska, W. Banasiak and P. Ponikowski. Urinary levels of novel kidney biomarkers and risk of true worsening renal function and mortality in patients with acute heart failure. European journal of heart failure, 19(6), 760-767. [16670]</w:t>
            </w:r>
          </w:p>
        </w:tc>
      </w:tr>
      <w:tr w:rsidR="002F0133" w:rsidRPr="000B4E2C" w14:paraId="6FD7F72C" w14:textId="77777777" w:rsidTr="000B4E2C">
        <w:trPr>
          <w:cantSplit/>
        </w:trPr>
        <w:tc>
          <w:tcPr>
            <w:tcW w:w="0" w:type="auto"/>
            <w:shd w:val="clear" w:color="auto" w:fill="auto"/>
            <w:noWrap/>
            <w:hideMark/>
          </w:tcPr>
          <w:p w14:paraId="74774E9B" w14:textId="77777777" w:rsidR="002F0133" w:rsidRPr="000B4E2C" w:rsidRDefault="002F0133" w:rsidP="008A7464">
            <w:pPr>
              <w:rPr>
                <w:lang w:eastAsia="en-GB"/>
              </w:rPr>
            </w:pPr>
            <w:r w:rsidRPr="000B4E2C">
              <w:rPr>
                <w:lang w:eastAsia="en-GB"/>
              </w:rPr>
              <w:t>Solak</w:t>
            </w:r>
          </w:p>
        </w:tc>
        <w:tc>
          <w:tcPr>
            <w:tcW w:w="0" w:type="auto"/>
            <w:shd w:val="clear" w:color="auto" w:fill="auto"/>
            <w:noWrap/>
            <w:hideMark/>
          </w:tcPr>
          <w:p w14:paraId="200F90E3"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036229E"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07DACC30" w14:textId="77777777" w:rsidR="002F0133" w:rsidRPr="000B4E2C" w:rsidRDefault="002F0133" w:rsidP="008A7464">
            <w:pPr>
              <w:rPr>
                <w:highlight w:val="green"/>
                <w:lang w:eastAsia="en-GB"/>
              </w:rPr>
            </w:pPr>
            <w:r w:rsidRPr="000B4E2C">
              <w:rPr>
                <w:highlight w:val="green"/>
                <w:lang w:eastAsia="en-GB"/>
              </w:rPr>
              <w:t>Y. Solak, M. I. Yilmaz, D. Siriopol, M. Saglam, H. U. Unal, H. Yaman, M. Gok, H. Cetinkaya, A. Gaipov, T. Eyileten, S. Sari, A. O. Yildirim, H. Z. Tonbul, S. Turk, A. Covic and M. Kanbay. Serum neutrophil gelatinase-associated lipocalin is associated with cardiovascular events in patients with chronic kidney disease. International Urology and Nephrology, 47(12), 1993-2001. [16671]</w:t>
            </w:r>
          </w:p>
        </w:tc>
      </w:tr>
      <w:tr w:rsidR="002F0133" w:rsidRPr="000B4E2C" w14:paraId="4E1EABCD" w14:textId="77777777" w:rsidTr="000B4E2C">
        <w:trPr>
          <w:cantSplit/>
        </w:trPr>
        <w:tc>
          <w:tcPr>
            <w:tcW w:w="0" w:type="auto"/>
            <w:shd w:val="clear" w:color="auto" w:fill="auto"/>
            <w:noWrap/>
            <w:hideMark/>
          </w:tcPr>
          <w:p w14:paraId="4B32337E" w14:textId="77777777" w:rsidR="002F0133" w:rsidRPr="000B4E2C" w:rsidRDefault="002F0133" w:rsidP="008A7464">
            <w:pPr>
              <w:rPr>
                <w:lang w:eastAsia="en-GB"/>
              </w:rPr>
            </w:pPr>
            <w:r w:rsidRPr="000B4E2C">
              <w:rPr>
                <w:lang w:eastAsia="en-GB"/>
              </w:rPr>
              <w:t>Song</w:t>
            </w:r>
          </w:p>
        </w:tc>
        <w:tc>
          <w:tcPr>
            <w:tcW w:w="0" w:type="auto"/>
            <w:shd w:val="clear" w:color="auto" w:fill="auto"/>
            <w:noWrap/>
            <w:hideMark/>
          </w:tcPr>
          <w:p w14:paraId="5FEE40D0"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523955CF" w14:textId="152257E4"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7C9DD5C4" w14:textId="77777777" w:rsidR="002F0133" w:rsidRPr="000B4E2C" w:rsidRDefault="002F0133" w:rsidP="008A7464">
            <w:pPr>
              <w:rPr>
                <w:highlight w:val="green"/>
                <w:lang w:eastAsia="en-GB"/>
              </w:rPr>
            </w:pPr>
            <w:r w:rsidRPr="000B4E2C">
              <w:rPr>
                <w:highlight w:val="green"/>
                <w:lang w:eastAsia="en-GB"/>
              </w:rPr>
              <w:t>Z. Song, Z. Ma, K. Qu, S. Liu, W. Niu and T. Lin. Diagnostic prediction of urinary [TIMP-2] x [IGFBP7] for acute kidney injury: A meta-analysis exploring detection time and cutoff levels. Oncotarget, 8(59), 100631-100639. [16676]</w:t>
            </w:r>
          </w:p>
        </w:tc>
      </w:tr>
      <w:tr w:rsidR="002F0133" w:rsidRPr="000B4E2C" w14:paraId="2DF975E3" w14:textId="77777777" w:rsidTr="000B4E2C">
        <w:trPr>
          <w:cantSplit/>
        </w:trPr>
        <w:tc>
          <w:tcPr>
            <w:tcW w:w="0" w:type="auto"/>
            <w:shd w:val="clear" w:color="auto" w:fill="auto"/>
            <w:noWrap/>
            <w:hideMark/>
          </w:tcPr>
          <w:p w14:paraId="09B1AB05" w14:textId="77777777" w:rsidR="002F0133" w:rsidRPr="000B4E2C" w:rsidRDefault="002F0133" w:rsidP="008A7464">
            <w:pPr>
              <w:rPr>
                <w:lang w:eastAsia="en-GB"/>
              </w:rPr>
            </w:pPr>
            <w:r w:rsidRPr="000B4E2C">
              <w:rPr>
                <w:lang w:eastAsia="en-GB"/>
              </w:rPr>
              <w:t>Song</w:t>
            </w:r>
          </w:p>
        </w:tc>
        <w:tc>
          <w:tcPr>
            <w:tcW w:w="0" w:type="auto"/>
            <w:shd w:val="clear" w:color="auto" w:fill="auto"/>
            <w:noWrap/>
            <w:hideMark/>
          </w:tcPr>
          <w:p w14:paraId="7FFAA698"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DD615DF"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2911E135" w14:textId="77777777" w:rsidR="002F0133" w:rsidRPr="000B4E2C" w:rsidRDefault="002F0133" w:rsidP="008A7464">
            <w:pPr>
              <w:rPr>
                <w:highlight w:val="green"/>
                <w:lang w:eastAsia="en-GB"/>
              </w:rPr>
            </w:pPr>
            <w:r w:rsidRPr="000B4E2C">
              <w:rPr>
                <w:highlight w:val="green"/>
                <w:lang w:eastAsia="en-GB"/>
              </w:rPr>
              <w:t>Y. Song, S. Sun, Y. Yu, G. Li, J. Song, H. Zhang and C. Yan. Diagnostic value of neutrophil gelatinase-associated lipocalin for renal injury in asphyxiated preterm infants. Experimental and Therapeutic Medicine, 13(4), 1245-1248. [16675]</w:t>
            </w:r>
          </w:p>
        </w:tc>
      </w:tr>
      <w:tr w:rsidR="002F0133" w:rsidRPr="000B4E2C" w14:paraId="0C91F0D5" w14:textId="77777777" w:rsidTr="000B4E2C">
        <w:trPr>
          <w:cantSplit/>
        </w:trPr>
        <w:tc>
          <w:tcPr>
            <w:tcW w:w="0" w:type="auto"/>
            <w:shd w:val="clear" w:color="auto" w:fill="auto"/>
            <w:noWrap/>
            <w:hideMark/>
          </w:tcPr>
          <w:p w14:paraId="562C51D1" w14:textId="77777777" w:rsidR="002F0133" w:rsidRPr="000B4E2C" w:rsidRDefault="002F0133" w:rsidP="008A7464">
            <w:pPr>
              <w:rPr>
                <w:lang w:eastAsia="en-GB"/>
              </w:rPr>
            </w:pPr>
            <w:r w:rsidRPr="000B4E2C">
              <w:rPr>
                <w:lang w:eastAsia="en-GB"/>
              </w:rPr>
              <w:lastRenderedPageBreak/>
              <w:t>Song</w:t>
            </w:r>
          </w:p>
        </w:tc>
        <w:tc>
          <w:tcPr>
            <w:tcW w:w="0" w:type="auto"/>
            <w:shd w:val="clear" w:color="auto" w:fill="auto"/>
            <w:noWrap/>
            <w:hideMark/>
          </w:tcPr>
          <w:p w14:paraId="7D4B9C48"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58B782CC"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1321A3B4" w14:textId="77777777" w:rsidR="002F0133" w:rsidRPr="000B4E2C" w:rsidRDefault="002F0133" w:rsidP="008A7464">
            <w:pPr>
              <w:rPr>
                <w:highlight w:val="green"/>
                <w:lang w:eastAsia="en-GB"/>
              </w:rPr>
            </w:pPr>
            <w:r w:rsidRPr="000B4E2C">
              <w:rPr>
                <w:highlight w:val="green"/>
                <w:lang w:eastAsia="en-GB"/>
              </w:rPr>
              <w:t>Y. Song, D. H. Kim, T. D. Kwon, D. W. Han, S. H. Baik, H. H. Jung and J. Y. Kim. Effect of intraoperative dexmedetomidine on renal function after cytoreductive surgery and hyperthermic intraperitoneal chemotherapy: a randomized, placebo-controlled trial. International Journal of Hyperthermia, . [16674]</w:t>
            </w:r>
          </w:p>
        </w:tc>
      </w:tr>
      <w:tr w:rsidR="002F0133" w:rsidRPr="000B4E2C" w14:paraId="4FC22858" w14:textId="77777777" w:rsidTr="000B4E2C">
        <w:trPr>
          <w:cantSplit/>
        </w:trPr>
        <w:tc>
          <w:tcPr>
            <w:tcW w:w="0" w:type="auto"/>
            <w:shd w:val="clear" w:color="auto" w:fill="auto"/>
            <w:noWrap/>
            <w:hideMark/>
          </w:tcPr>
          <w:p w14:paraId="55D0D6F2" w14:textId="77777777" w:rsidR="002F0133" w:rsidRPr="000B4E2C" w:rsidRDefault="002F0133" w:rsidP="008A7464">
            <w:pPr>
              <w:rPr>
                <w:lang w:eastAsia="en-GB"/>
              </w:rPr>
            </w:pPr>
            <w:r w:rsidRPr="000B4E2C">
              <w:rPr>
                <w:lang w:eastAsia="en-GB"/>
              </w:rPr>
              <w:t>Soto</w:t>
            </w:r>
          </w:p>
        </w:tc>
        <w:tc>
          <w:tcPr>
            <w:tcW w:w="0" w:type="auto"/>
            <w:shd w:val="clear" w:color="auto" w:fill="auto"/>
            <w:noWrap/>
            <w:hideMark/>
          </w:tcPr>
          <w:p w14:paraId="47D2EB43"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01985205"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4B8F33C7" w14:textId="77777777" w:rsidR="002F0133" w:rsidRPr="000B4E2C" w:rsidRDefault="002F0133" w:rsidP="008A7464">
            <w:pPr>
              <w:rPr>
                <w:highlight w:val="green"/>
                <w:lang w:eastAsia="en-GB"/>
              </w:rPr>
            </w:pPr>
            <w:r w:rsidRPr="000B4E2C">
              <w:rPr>
                <w:highlight w:val="green"/>
                <w:lang w:eastAsia="en-GB"/>
              </w:rPr>
              <w:t>K. Soto, A. L. Papoila, S. Coelho, M. Bennett, Q. Ma, B. Rodrigues, P. Fidalgo, F. Frade and P. Devarajan. Plasma NGAL for the diagnosis of AKI in patients admitted from the emergency department setting. Clinical Journal of the American Society of Nephrology, 8(12), 2053-2063. [16681]</w:t>
            </w:r>
          </w:p>
        </w:tc>
      </w:tr>
      <w:tr w:rsidR="002F0133" w:rsidRPr="000B4E2C" w14:paraId="71695868" w14:textId="77777777" w:rsidTr="000B4E2C">
        <w:trPr>
          <w:cantSplit/>
        </w:trPr>
        <w:tc>
          <w:tcPr>
            <w:tcW w:w="0" w:type="auto"/>
            <w:shd w:val="clear" w:color="auto" w:fill="auto"/>
            <w:noWrap/>
            <w:hideMark/>
          </w:tcPr>
          <w:p w14:paraId="66928F1C" w14:textId="77777777" w:rsidR="002F0133" w:rsidRPr="000B4E2C" w:rsidRDefault="002F0133" w:rsidP="008A7464">
            <w:pPr>
              <w:rPr>
                <w:lang w:eastAsia="en-GB"/>
              </w:rPr>
            </w:pPr>
            <w:r w:rsidRPr="000B4E2C">
              <w:rPr>
                <w:lang w:eastAsia="en-GB"/>
              </w:rPr>
              <w:t>Soto</w:t>
            </w:r>
          </w:p>
        </w:tc>
        <w:tc>
          <w:tcPr>
            <w:tcW w:w="0" w:type="auto"/>
            <w:shd w:val="clear" w:color="auto" w:fill="auto"/>
            <w:noWrap/>
            <w:hideMark/>
          </w:tcPr>
          <w:p w14:paraId="1F890887"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718F756"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43D58558" w14:textId="77777777" w:rsidR="002F0133" w:rsidRPr="000B4E2C" w:rsidRDefault="002F0133" w:rsidP="008A7464">
            <w:pPr>
              <w:rPr>
                <w:highlight w:val="green"/>
                <w:lang w:eastAsia="en-GB"/>
              </w:rPr>
            </w:pPr>
            <w:r w:rsidRPr="000B4E2C">
              <w:rPr>
                <w:highlight w:val="green"/>
                <w:lang w:eastAsia="en-GB"/>
              </w:rPr>
              <w:t>K. Soto, P. Campos, I. Pinto, B. Rodrigues, F. Frade, A. L. Papoila and P. Devarajan. The risk of chronic kidney disease and mortality are increased after community-acquired acute kidney injury. Kidney International, 90(5), 1090-1099. [16680]</w:t>
            </w:r>
          </w:p>
        </w:tc>
      </w:tr>
      <w:tr w:rsidR="002F0133" w:rsidRPr="000B4E2C" w14:paraId="6A5DB814" w14:textId="77777777" w:rsidTr="000B4E2C">
        <w:trPr>
          <w:cantSplit/>
        </w:trPr>
        <w:tc>
          <w:tcPr>
            <w:tcW w:w="0" w:type="auto"/>
            <w:shd w:val="clear" w:color="auto" w:fill="auto"/>
            <w:noWrap/>
            <w:hideMark/>
          </w:tcPr>
          <w:p w14:paraId="71718D02" w14:textId="77777777" w:rsidR="002F0133" w:rsidRPr="000B4E2C" w:rsidRDefault="002F0133" w:rsidP="008A7464">
            <w:pPr>
              <w:rPr>
                <w:lang w:eastAsia="en-GB"/>
              </w:rPr>
            </w:pPr>
            <w:r w:rsidRPr="000B4E2C">
              <w:rPr>
                <w:lang w:eastAsia="en-GB"/>
              </w:rPr>
              <w:t>Souza</w:t>
            </w:r>
          </w:p>
        </w:tc>
        <w:tc>
          <w:tcPr>
            <w:tcW w:w="0" w:type="auto"/>
            <w:shd w:val="clear" w:color="auto" w:fill="auto"/>
            <w:noWrap/>
            <w:hideMark/>
          </w:tcPr>
          <w:p w14:paraId="2C3B700D"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7F4672F8"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CB5828A" w14:textId="77777777" w:rsidR="002F0133" w:rsidRPr="000B4E2C" w:rsidRDefault="002F0133" w:rsidP="008A7464">
            <w:pPr>
              <w:rPr>
                <w:highlight w:val="green"/>
                <w:lang w:eastAsia="en-GB"/>
              </w:rPr>
            </w:pPr>
            <w:r w:rsidRPr="000B4E2C">
              <w:rPr>
                <w:highlight w:val="green"/>
                <w:lang w:eastAsia="en-GB"/>
              </w:rPr>
              <w:t>D. F. Souza, S. S. A. Reis, R. V. Botelho and S. R. Ferreira-Filho. Relative and Absolute Changes in Urinary Neutrophil Gelatinase-Associated Lipocalin and Correlation with Small Increases in Serum Creatinine Levels after Coronary Angiography: An Observational Study. Nephron, 129(2), 84-90. [16682]</w:t>
            </w:r>
          </w:p>
        </w:tc>
      </w:tr>
      <w:tr w:rsidR="002F0133" w:rsidRPr="000B4E2C" w14:paraId="6C1EE4E0" w14:textId="77777777" w:rsidTr="000B4E2C">
        <w:trPr>
          <w:cantSplit/>
        </w:trPr>
        <w:tc>
          <w:tcPr>
            <w:tcW w:w="0" w:type="auto"/>
            <w:shd w:val="clear" w:color="auto" w:fill="auto"/>
            <w:noWrap/>
            <w:hideMark/>
          </w:tcPr>
          <w:p w14:paraId="286BD034" w14:textId="77777777" w:rsidR="002F0133" w:rsidRPr="000B4E2C" w:rsidRDefault="002F0133" w:rsidP="008A7464">
            <w:pPr>
              <w:rPr>
                <w:lang w:eastAsia="en-GB"/>
              </w:rPr>
            </w:pPr>
            <w:r w:rsidRPr="000B4E2C">
              <w:rPr>
                <w:lang w:eastAsia="en-GB"/>
              </w:rPr>
              <w:t>Soyler</w:t>
            </w:r>
          </w:p>
        </w:tc>
        <w:tc>
          <w:tcPr>
            <w:tcW w:w="0" w:type="auto"/>
            <w:shd w:val="clear" w:color="auto" w:fill="auto"/>
            <w:noWrap/>
            <w:hideMark/>
          </w:tcPr>
          <w:p w14:paraId="4B1F14CF"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26E32B4"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589BCD46" w14:textId="77777777" w:rsidR="002F0133" w:rsidRPr="000B4E2C" w:rsidRDefault="002F0133" w:rsidP="008A7464">
            <w:pPr>
              <w:rPr>
                <w:highlight w:val="green"/>
                <w:lang w:eastAsia="en-GB"/>
              </w:rPr>
            </w:pPr>
            <w:r w:rsidRPr="000B4E2C">
              <w:rPr>
                <w:highlight w:val="green"/>
                <w:lang w:eastAsia="en-GB"/>
              </w:rPr>
              <w:t>C. Soyler, M. D. Tanriover, S. Ascioglu, N. M. Aksu and M. Arici. Urine neutrophil gelatinase-associated lipocalin levels predict acute kidney injury in acute decompensated heart failure patients. Renal Failure, 37(5), 772-776. [16683]</w:t>
            </w:r>
          </w:p>
        </w:tc>
      </w:tr>
      <w:tr w:rsidR="002F0133" w:rsidRPr="000B4E2C" w14:paraId="51BE0054" w14:textId="77777777" w:rsidTr="000B4E2C">
        <w:trPr>
          <w:cantSplit/>
        </w:trPr>
        <w:tc>
          <w:tcPr>
            <w:tcW w:w="0" w:type="auto"/>
            <w:shd w:val="clear" w:color="auto" w:fill="auto"/>
            <w:noWrap/>
            <w:hideMark/>
          </w:tcPr>
          <w:p w14:paraId="783F4C2C" w14:textId="77777777" w:rsidR="002F0133" w:rsidRPr="000B4E2C" w:rsidRDefault="002F0133" w:rsidP="008A7464">
            <w:pPr>
              <w:rPr>
                <w:lang w:eastAsia="en-GB"/>
              </w:rPr>
            </w:pPr>
            <w:r w:rsidRPr="000B4E2C">
              <w:rPr>
                <w:lang w:eastAsia="en-GB"/>
              </w:rPr>
              <w:t>Spasojevic-Dimitrijeva</w:t>
            </w:r>
          </w:p>
        </w:tc>
        <w:tc>
          <w:tcPr>
            <w:tcW w:w="0" w:type="auto"/>
            <w:shd w:val="clear" w:color="auto" w:fill="auto"/>
            <w:noWrap/>
            <w:hideMark/>
          </w:tcPr>
          <w:p w14:paraId="2F5A3C48"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33C75938"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01B682A1" w14:textId="77777777" w:rsidR="002F0133" w:rsidRPr="000B4E2C" w:rsidRDefault="002F0133" w:rsidP="008A7464">
            <w:pPr>
              <w:rPr>
                <w:highlight w:val="green"/>
                <w:lang w:eastAsia="en-GB"/>
              </w:rPr>
            </w:pPr>
            <w:r w:rsidRPr="000B4E2C">
              <w:rPr>
                <w:highlight w:val="green"/>
                <w:lang w:eastAsia="en-GB"/>
              </w:rPr>
              <w:t>B. Spasojevic-Dimitrijeva, J. Kotur-Stevuljevic, M. Dukic, D. Paripovic, G. Milosevski-Lomic, V. Spasojevic-Kalimanovska, P. Pavicevic, J. Mitrovic and M. Kostic. Serum neutrophil gelatinase-associated lipocalin and urinary kidney injury molecule-1 as potential biomarkers of subclinical nephrotoxicity after gadolinium-based and iodinated-based contrast media exposure in pediatric patients with normal kidney function. Medical Science Monitor, 23(4299-4305. [16685]</w:t>
            </w:r>
          </w:p>
        </w:tc>
      </w:tr>
      <w:tr w:rsidR="002F0133" w:rsidRPr="000B4E2C" w14:paraId="4EFC2019" w14:textId="77777777" w:rsidTr="000B4E2C">
        <w:trPr>
          <w:cantSplit/>
        </w:trPr>
        <w:tc>
          <w:tcPr>
            <w:tcW w:w="0" w:type="auto"/>
            <w:shd w:val="clear" w:color="auto" w:fill="auto"/>
            <w:noWrap/>
            <w:hideMark/>
          </w:tcPr>
          <w:p w14:paraId="011F65F2" w14:textId="77777777" w:rsidR="002F0133" w:rsidRPr="000B4E2C" w:rsidRDefault="002F0133" w:rsidP="008A7464">
            <w:pPr>
              <w:rPr>
                <w:lang w:eastAsia="en-GB"/>
              </w:rPr>
            </w:pPr>
            <w:r w:rsidRPr="000B4E2C">
              <w:rPr>
                <w:lang w:eastAsia="en-GB"/>
              </w:rPr>
              <w:t>Sporek</w:t>
            </w:r>
          </w:p>
        </w:tc>
        <w:tc>
          <w:tcPr>
            <w:tcW w:w="0" w:type="auto"/>
            <w:shd w:val="clear" w:color="auto" w:fill="auto"/>
            <w:noWrap/>
            <w:hideMark/>
          </w:tcPr>
          <w:p w14:paraId="2C96ADB6"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2B92ECD2" w14:textId="5608BB0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E940121" w14:textId="77777777" w:rsidR="002F0133" w:rsidRPr="000B4E2C" w:rsidRDefault="002F0133" w:rsidP="008A7464">
            <w:pPr>
              <w:rPr>
                <w:highlight w:val="green"/>
                <w:lang w:eastAsia="en-GB"/>
              </w:rPr>
            </w:pPr>
            <w:r w:rsidRPr="000B4E2C">
              <w:rPr>
                <w:highlight w:val="green"/>
                <w:lang w:eastAsia="en-GB"/>
              </w:rPr>
              <w:t>M. Sporek, A. Gala-Bladzinska, P. Dumnicka, M. Mazur-Laskowska, S. Kielczewski, J. Walocha, P. Ceranowicz, M. Kuzniewski, J. Mitus and B. Kusnierz-Cabala. Urine NGAL is useful in the clinical evaluation of renal function in the early course of acute pancreatitis. Folia medica Cracoviensia, 56(1), 13-25. [16688]</w:t>
            </w:r>
          </w:p>
        </w:tc>
      </w:tr>
      <w:tr w:rsidR="002F0133" w:rsidRPr="000B4E2C" w14:paraId="4FAE2A2C" w14:textId="77777777" w:rsidTr="000B4E2C">
        <w:trPr>
          <w:cantSplit/>
        </w:trPr>
        <w:tc>
          <w:tcPr>
            <w:tcW w:w="0" w:type="auto"/>
            <w:shd w:val="clear" w:color="auto" w:fill="auto"/>
            <w:noWrap/>
            <w:hideMark/>
          </w:tcPr>
          <w:p w14:paraId="39683DCB" w14:textId="77777777" w:rsidR="002F0133" w:rsidRPr="000B4E2C" w:rsidRDefault="002F0133" w:rsidP="008A7464">
            <w:pPr>
              <w:rPr>
                <w:lang w:eastAsia="en-GB"/>
              </w:rPr>
            </w:pPr>
            <w:r w:rsidRPr="000B4E2C">
              <w:rPr>
                <w:lang w:eastAsia="en-GB"/>
              </w:rPr>
              <w:t>Sprenkle</w:t>
            </w:r>
          </w:p>
        </w:tc>
        <w:tc>
          <w:tcPr>
            <w:tcW w:w="0" w:type="auto"/>
            <w:shd w:val="clear" w:color="auto" w:fill="auto"/>
            <w:noWrap/>
            <w:hideMark/>
          </w:tcPr>
          <w:p w14:paraId="6F175EFF"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6EA45D10"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3293158A" w14:textId="77777777" w:rsidR="002F0133" w:rsidRPr="000B4E2C" w:rsidRDefault="002F0133" w:rsidP="008A7464">
            <w:pPr>
              <w:rPr>
                <w:highlight w:val="green"/>
                <w:lang w:eastAsia="en-GB"/>
              </w:rPr>
            </w:pPr>
            <w:r w:rsidRPr="000B4E2C">
              <w:rPr>
                <w:highlight w:val="green"/>
                <w:lang w:eastAsia="en-GB"/>
              </w:rPr>
              <w:t>P. C. Sprenkle, J. Wren, A. C. Maschino, A. Feifer, N. Power, T. Ghoneim, I. Sternberg, M. Fleisher and P. Russo. Urine neutrophil gelatinase-associated lipocalin as a marker of acute kidney injury after kidney surgery. Journal of Urology, 190(1), 159-164. [16690]</w:t>
            </w:r>
          </w:p>
        </w:tc>
      </w:tr>
      <w:tr w:rsidR="002F0133" w:rsidRPr="000B4E2C" w14:paraId="2050EE08" w14:textId="77777777" w:rsidTr="000B4E2C">
        <w:trPr>
          <w:cantSplit/>
        </w:trPr>
        <w:tc>
          <w:tcPr>
            <w:tcW w:w="0" w:type="auto"/>
            <w:shd w:val="clear" w:color="auto" w:fill="auto"/>
            <w:noWrap/>
            <w:hideMark/>
          </w:tcPr>
          <w:p w14:paraId="6794A80F" w14:textId="77777777" w:rsidR="002F0133" w:rsidRPr="000B4E2C" w:rsidRDefault="002F0133" w:rsidP="008A7464">
            <w:pPr>
              <w:rPr>
                <w:lang w:eastAsia="en-GB"/>
              </w:rPr>
            </w:pPr>
            <w:r w:rsidRPr="000B4E2C">
              <w:rPr>
                <w:lang w:eastAsia="en-GB"/>
              </w:rPr>
              <w:t>Srisawat</w:t>
            </w:r>
          </w:p>
        </w:tc>
        <w:tc>
          <w:tcPr>
            <w:tcW w:w="0" w:type="auto"/>
            <w:shd w:val="clear" w:color="auto" w:fill="auto"/>
            <w:noWrap/>
            <w:hideMark/>
          </w:tcPr>
          <w:p w14:paraId="4D002BA1"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1A9693B6"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DAD66E4" w14:textId="77777777" w:rsidR="002F0133" w:rsidRPr="000B4E2C" w:rsidRDefault="002F0133" w:rsidP="008A7464">
            <w:pPr>
              <w:rPr>
                <w:highlight w:val="green"/>
                <w:lang w:eastAsia="en-GB"/>
              </w:rPr>
            </w:pPr>
            <w:r w:rsidRPr="000B4E2C">
              <w:rPr>
                <w:highlight w:val="green"/>
                <w:lang w:eastAsia="en-GB"/>
              </w:rPr>
              <w:t>N. Srisawat, R. Murugan, M. Lee, L. Kong, M. Carter, D. C. Angus and J. A. Kellum. Plasma neutrophil gelatinase-associated lipocalin predicts recovery from acute kidney injury following community-acquired pneumonia. Kidney International, 80(5), 545-552. [16696]</w:t>
            </w:r>
          </w:p>
        </w:tc>
      </w:tr>
      <w:tr w:rsidR="002F0133" w:rsidRPr="000B4E2C" w14:paraId="22040411" w14:textId="77777777" w:rsidTr="000B4E2C">
        <w:trPr>
          <w:cantSplit/>
        </w:trPr>
        <w:tc>
          <w:tcPr>
            <w:tcW w:w="0" w:type="auto"/>
            <w:shd w:val="clear" w:color="auto" w:fill="auto"/>
            <w:noWrap/>
            <w:hideMark/>
          </w:tcPr>
          <w:p w14:paraId="5BC85B08" w14:textId="77777777" w:rsidR="002F0133" w:rsidRPr="000B4E2C" w:rsidRDefault="002F0133" w:rsidP="008A7464">
            <w:pPr>
              <w:rPr>
                <w:lang w:eastAsia="en-GB"/>
              </w:rPr>
            </w:pPr>
            <w:r w:rsidRPr="000B4E2C">
              <w:rPr>
                <w:lang w:eastAsia="en-GB"/>
              </w:rPr>
              <w:t>Srisawat</w:t>
            </w:r>
          </w:p>
        </w:tc>
        <w:tc>
          <w:tcPr>
            <w:tcW w:w="0" w:type="auto"/>
            <w:shd w:val="clear" w:color="auto" w:fill="auto"/>
            <w:noWrap/>
            <w:hideMark/>
          </w:tcPr>
          <w:p w14:paraId="30592F9A"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883FDC9"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2AABF5DE" w14:textId="77777777" w:rsidR="002F0133" w:rsidRPr="000B4E2C" w:rsidRDefault="002F0133" w:rsidP="008A7464">
            <w:pPr>
              <w:rPr>
                <w:highlight w:val="green"/>
                <w:lang w:eastAsia="en-GB"/>
              </w:rPr>
            </w:pPr>
            <w:r w:rsidRPr="000B4E2C">
              <w:rPr>
                <w:highlight w:val="green"/>
                <w:lang w:eastAsia="en-GB"/>
              </w:rPr>
              <w:t>N. Srisawat, K. Praditpornsilpa, K. Patarakul, M. Techapornrung, T. Daraswang, T. Sukmark, K. Khositrangsikun, A. Fakthongyoo, P. Oranrigsupak, L. Praderm, U. Suwattanasilpa, S. Peerapornratana, P. Loahaveeravat, N. Suwachittanont, T. O. Wirotwan, C. Phonork, S. Kumpunya, K. Tiranathanagul, C. Chirathaworn, S. Eiam-Ong, K. Tungsanga, V. Sitprija, J. A. Kellum and N. Townamchai. Neutrophil gelatinase associated lipocalin (NGAL) in leptospirosis acute kidney injury: A multicenter study in Thailand. PLoS ONE, 10(12), e0143367. [16694]</w:t>
            </w:r>
          </w:p>
        </w:tc>
      </w:tr>
      <w:tr w:rsidR="002F0133" w:rsidRPr="000B4E2C" w14:paraId="040F3FF9" w14:textId="77777777" w:rsidTr="000B4E2C">
        <w:trPr>
          <w:cantSplit/>
        </w:trPr>
        <w:tc>
          <w:tcPr>
            <w:tcW w:w="0" w:type="auto"/>
            <w:shd w:val="clear" w:color="auto" w:fill="auto"/>
            <w:noWrap/>
            <w:hideMark/>
          </w:tcPr>
          <w:p w14:paraId="0F1CBF6B" w14:textId="77777777" w:rsidR="002F0133" w:rsidRPr="000B4E2C" w:rsidRDefault="002F0133" w:rsidP="008A7464">
            <w:pPr>
              <w:rPr>
                <w:lang w:eastAsia="en-GB"/>
              </w:rPr>
            </w:pPr>
            <w:r w:rsidRPr="000B4E2C">
              <w:rPr>
                <w:lang w:eastAsia="en-GB"/>
              </w:rPr>
              <w:lastRenderedPageBreak/>
              <w:t>Srisawat</w:t>
            </w:r>
          </w:p>
        </w:tc>
        <w:tc>
          <w:tcPr>
            <w:tcW w:w="0" w:type="auto"/>
            <w:shd w:val="clear" w:color="auto" w:fill="auto"/>
            <w:noWrap/>
            <w:hideMark/>
          </w:tcPr>
          <w:p w14:paraId="5CE82B09"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51C7D6D4" w14:textId="079D501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A8965B1" w14:textId="77777777" w:rsidR="002F0133" w:rsidRPr="000B4E2C" w:rsidRDefault="002F0133" w:rsidP="008A7464">
            <w:pPr>
              <w:rPr>
                <w:highlight w:val="green"/>
                <w:lang w:eastAsia="en-GB"/>
              </w:rPr>
            </w:pPr>
            <w:r w:rsidRPr="000B4E2C">
              <w:rPr>
                <w:highlight w:val="green"/>
                <w:lang w:eastAsia="en-GB"/>
              </w:rPr>
              <w:t>N. Srisawat, P. Laoveeravat, P. Limphunudom, N. Lumlertgul, S. Peerapornratana, K. Tiranathanagul, P. Susantitaphong, K. Praditpornsilpa, K. Tungsanga and S. Eiam-Ong. The effect of early renal replacement therapy guided by plasma neutrophil gelatinase associated lipocalin on outcome of acute kidney injury: a feasibility study. Journal of critical care, 43(36-41). [4627]</w:t>
            </w:r>
          </w:p>
        </w:tc>
      </w:tr>
      <w:tr w:rsidR="002F0133" w:rsidRPr="000B4E2C" w14:paraId="3C069BDC" w14:textId="77777777" w:rsidTr="000B4E2C">
        <w:trPr>
          <w:cantSplit/>
        </w:trPr>
        <w:tc>
          <w:tcPr>
            <w:tcW w:w="0" w:type="auto"/>
            <w:shd w:val="clear" w:color="auto" w:fill="auto"/>
            <w:noWrap/>
            <w:hideMark/>
          </w:tcPr>
          <w:p w14:paraId="5815F2EC" w14:textId="77777777" w:rsidR="002F0133" w:rsidRPr="000B4E2C" w:rsidRDefault="002F0133" w:rsidP="008A7464">
            <w:pPr>
              <w:rPr>
                <w:lang w:eastAsia="en-GB"/>
              </w:rPr>
            </w:pPr>
            <w:r w:rsidRPr="000B4E2C">
              <w:rPr>
                <w:lang w:eastAsia="en-GB"/>
              </w:rPr>
              <w:t>Srisawat</w:t>
            </w:r>
          </w:p>
        </w:tc>
        <w:tc>
          <w:tcPr>
            <w:tcW w:w="0" w:type="auto"/>
            <w:shd w:val="clear" w:color="auto" w:fill="auto"/>
            <w:noWrap/>
            <w:hideMark/>
          </w:tcPr>
          <w:p w14:paraId="5D151BCD"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0DD88009" w14:textId="34D9535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5B496B6" w14:textId="77777777" w:rsidR="002F0133" w:rsidRPr="000B4E2C" w:rsidRDefault="002F0133" w:rsidP="008A7464">
            <w:pPr>
              <w:rPr>
                <w:highlight w:val="green"/>
                <w:lang w:eastAsia="en-GB"/>
              </w:rPr>
            </w:pPr>
            <w:r w:rsidRPr="000B4E2C">
              <w:rPr>
                <w:highlight w:val="green"/>
                <w:lang w:eastAsia="en-GB"/>
              </w:rPr>
              <w:t>N. Srisawat, M. Kongwibulwut, P. Laoveeravat, N. Lumplertgul, P. Chatkaew, P. Saeyub, K. Latthaprecha, S. Peerapornratana, K. Tiranathanagul, S. Eiam-Ong and K. Tungsanga. The role of intraoperative parameters on predicting laparoscopic abdominal surgery associated acute kidney injury. BMC Nephrology, 19(1), 289. [16692]</w:t>
            </w:r>
          </w:p>
        </w:tc>
      </w:tr>
      <w:tr w:rsidR="002F0133" w:rsidRPr="000B4E2C" w14:paraId="71D2CB83" w14:textId="77777777" w:rsidTr="000B4E2C">
        <w:trPr>
          <w:cantSplit/>
        </w:trPr>
        <w:tc>
          <w:tcPr>
            <w:tcW w:w="0" w:type="auto"/>
            <w:shd w:val="clear" w:color="auto" w:fill="auto"/>
            <w:noWrap/>
            <w:hideMark/>
          </w:tcPr>
          <w:p w14:paraId="6496154C" w14:textId="77777777" w:rsidR="002F0133" w:rsidRPr="000B4E2C" w:rsidRDefault="002F0133" w:rsidP="008A7464">
            <w:pPr>
              <w:rPr>
                <w:lang w:eastAsia="en-GB"/>
              </w:rPr>
            </w:pPr>
            <w:r w:rsidRPr="000B4E2C">
              <w:rPr>
                <w:lang w:eastAsia="en-GB"/>
              </w:rPr>
              <w:t>Srisawat</w:t>
            </w:r>
          </w:p>
        </w:tc>
        <w:tc>
          <w:tcPr>
            <w:tcW w:w="0" w:type="auto"/>
            <w:shd w:val="clear" w:color="auto" w:fill="auto"/>
            <w:noWrap/>
            <w:hideMark/>
          </w:tcPr>
          <w:p w14:paraId="6CBBDE4C"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E4BF3B4" w14:textId="282EE1A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2D14863" w14:textId="77777777" w:rsidR="002F0133" w:rsidRPr="000B4E2C" w:rsidRDefault="002F0133" w:rsidP="008A7464">
            <w:pPr>
              <w:rPr>
                <w:highlight w:val="green"/>
                <w:lang w:eastAsia="en-GB"/>
              </w:rPr>
            </w:pPr>
            <w:r w:rsidRPr="000B4E2C">
              <w:rPr>
                <w:highlight w:val="green"/>
                <w:lang w:eastAsia="en-GB"/>
              </w:rPr>
              <w:t>N. Srisawat, P. Laoveeravat, P. Limphunudom, N. Lumlertgul, S. Peerapornratana, K. Tiranathanagul, P. Susantitaphong, K. Praditpornsilpa, K. Tungsanga and S. Eiam-Ong. The effect of early renal replacement therapy guided by plasma neutrophil gelatinase associated lipocalin on outcome of acute kidney injury: A feasibility study. Journal of Critical Care, 43(36-41. [16693]</w:t>
            </w:r>
          </w:p>
        </w:tc>
      </w:tr>
      <w:tr w:rsidR="002F0133" w:rsidRPr="000B4E2C" w14:paraId="3522CA77" w14:textId="77777777" w:rsidTr="000B4E2C">
        <w:trPr>
          <w:cantSplit/>
        </w:trPr>
        <w:tc>
          <w:tcPr>
            <w:tcW w:w="0" w:type="auto"/>
            <w:shd w:val="clear" w:color="auto" w:fill="auto"/>
            <w:noWrap/>
            <w:hideMark/>
          </w:tcPr>
          <w:p w14:paraId="3ED660B8" w14:textId="77777777" w:rsidR="002F0133" w:rsidRPr="000B4E2C" w:rsidRDefault="002F0133" w:rsidP="008A7464">
            <w:pPr>
              <w:rPr>
                <w:lang w:eastAsia="en-GB"/>
              </w:rPr>
            </w:pPr>
            <w:r w:rsidRPr="000B4E2C">
              <w:rPr>
                <w:lang w:eastAsia="en-GB"/>
              </w:rPr>
              <w:t>Srisawat</w:t>
            </w:r>
          </w:p>
        </w:tc>
        <w:tc>
          <w:tcPr>
            <w:tcW w:w="0" w:type="auto"/>
            <w:shd w:val="clear" w:color="auto" w:fill="auto"/>
            <w:noWrap/>
            <w:hideMark/>
          </w:tcPr>
          <w:p w14:paraId="41493DB3"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31D0C11D"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308D3B25" w14:textId="77777777" w:rsidR="002F0133" w:rsidRPr="000B4E2C" w:rsidRDefault="002F0133" w:rsidP="008A7464">
            <w:pPr>
              <w:rPr>
                <w:highlight w:val="green"/>
                <w:lang w:eastAsia="en-GB"/>
              </w:rPr>
            </w:pPr>
            <w:r w:rsidRPr="000B4E2C">
              <w:rPr>
                <w:highlight w:val="green"/>
                <w:lang w:eastAsia="en-GB"/>
              </w:rPr>
              <w:t>N. Srisawat, K. Tangvoraphonkchai, N. Lumlertgul, K. Tungsanga and S. Eiam-Ong. Role of acute kidney injury biomarkers to guide renal replacement therapy initiation, what we learn from EARLY-RRT trial and FST trial?. Journal of Thoracic Disease, 10(12), E835-E838. [16691]</w:t>
            </w:r>
          </w:p>
        </w:tc>
      </w:tr>
      <w:tr w:rsidR="002F0133" w:rsidRPr="000B4E2C" w14:paraId="271B1EEB" w14:textId="77777777" w:rsidTr="000B4E2C">
        <w:trPr>
          <w:cantSplit/>
        </w:trPr>
        <w:tc>
          <w:tcPr>
            <w:tcW w:w="0" w:type="auto"/>
            <w:shd w:val="clear" w:color="auto" w:fill="auto"/>
            <w:noWrap/>
            <w:hideMark/>
          </w:tcPr>
          <w:p w14:paraId="12BE10C6" w14:textId="77777777" w:rsidR="002F0133" w:rsidRPr="000B4E2C" w:rsidRDefault="002F0133" w:rsidP="008A7464">
            <w:pPr>
              <w:rPr>
                <w:lang w:eastAsia="en-GB"/>
              </w:rPr>
            </w:pPr>
            <w:r w:rsidRPr="000B4E2C">
              <w:rPr>
                <w:lang w:eastAsia="en-GB"/>
              </w:rPr>
              <w:t>Stads</w:t>
            </w:r>
          </w:p>
        </w:tc>
        <w:tc>
          <w:tcPr>
            <w:tcW w:w="0" w:type="auto"/>
            <w:shd w:val="clear" w:color="auto" w:fill="auto"/>
            <w:noWrap/>
            <w:hideMark/>
          </w:tcPr>
          <w:p w14:paraId="209631BB"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3CFE9672" w14:textId="62ECD4C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DDE6025" w14:textId="77777777" w:rsidR="002F0133" w:rsidRPr="000B4E2C" w:rsidRDefault="002F0133" w:rsidP="008A7464">
            <w:pPr>
              <w:rPr>
                <w:highlight w:val="green"/>
                <w:lang w:eastAsia="en-GB"/>
              </w:rPr>
            </w:pPr>
            <w:r w:rsidRPr="000B4E2C">
              <w:rPr>
                <w:highlight w:val="green"/>
                <w:lang w:val="da-DK" w:eastAsia="en-GB"/>
              </w:rPr>
              <w:t xml:space="preserve">S. Stads, K. M. Kant, M. F. C. De Jong, W. De Ruijter, C. M. Cobbaert, M. G. H. Betjes, D. Gommers and H. M. Oudemans-Van Straaten. </w:t>
            </w:r>
            <w:r w:rsidRPr="000B4E2C">
              <w:rPr>
                <w:highlight w:val="green"/>
                <w:lang w:eastAsia="en-GB"/>
              </w:rPr>
              <w:t>Predictors of short-term successful discontinuation of continuous renal replacement therapy: Results from a prospective multicentre study. BMC Nephrology, 20(1), 129. [16699]</w:t>
            </w:r>
          </w:p>
        </w:tc>
      </w:tr>
      <w:tr w:rsidR="002F0133" w:rsidRPr="000B4E2C" w14:paraId="2AE62891" w14:textId="77777777" w:rsidTr="000B4E2C">
        <w:trPr>
          <w:cantSplit/>
        </w:trPr>
        <w:tc>
          <w:tcPr>
            <w:tcW w:w="0" w:type="auto"/>
            <w:shd w:val="clear" w:color="auto" w:fill="auto"/>
            <w:noWrap/>
            <w:hideMark/>
          </w:tcPr>
          <w:p w14:paraId="567DEF0B" w14:textId="77777777" w:rsidR="002F0133" w:rsidRPr="000B4E2C" w:rsidRDefault="002F0133" w:rsidP="008A7464">
            <w:pPr>
              <w:rPr>
                <w:lang w:eastAsia="en-GB"/>
              </w:rPr>
            </w:pPr>
            <w:r w:rsidRPr="000B4E2C">
              <w:rPr>
                <w:lang w:eastAsia="en-GB"/>
              </w:rPr>
              <w:t>Sterling</w:t>
            </w:r>
          </w:p>
        </w:tc>
        <w:tc>
          <w:tcPr>
            <w:tcW w:w="0" w:type="auto"/>
            <w:shd w:val="clear" w:color="auto" w:fill="auto"/>
            <w:noWrap/>
            <w:hideMark/>
          </w:tcPr>
          <w:p w14:paraId="38485263"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98D6E31" w14:textId="4FD5E67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1C9198D" w14:textId="68367EBA" w:rsidR="002F0133" w:rsidRPr="000B4E2C" w:rsidRDefault="002F0133" w:rsidP="008A7464">
            <w:pPr>
              <w:rPr>
                <w:highlight w:val="green"/>
                <w:lang w:eastAsia="en-GB"/>
              </w:rPr>
            </w:pPr>
            <w:r w:rsidRPr="000B4E2C">
              <w:rPr>
                <w:highlight w:val="green"/>
                <w:lang w:eastAsia="en-GB"/>
              </w:rPr>
              <w:t>M. Sterling, Z. Al-Ismaili, K. R. McMahon, M. Piccioni, M. Pizzi, T. Mottes, L. C. Lands, S. Abish, A. J. Fleming, M. R. Bennett, A. Palijan, P. Devarajan, S. L. Goldstein, M. M. O</w:t>
            </w:r>
            <w:r w:rsidR="0072128A" w:rsidRPr="000B4E2C">
              <w:rPr>
                <w:color w:val="00B0F0"/>
                <w:highlight w:val="green"/>
                <w:lang w:eastAsia="en-GB"/>
              </w:rPr>
              <w:t>’</w:t>
            </w:r>
            <w:r w:rsidRPr="000B4E2C">
              <w:rPr>
                <w:highlight w:val="green"/>
                <w:lang w:eastAsia="en-GB"/>
              </w:rPr>
              <w:t>Brien and M. Zappitelli. Urine biomarkers of acute kidney injury in noncritically ill, hospitalized children treated with chemotherapy. Pediatric Blood and Cancer, 64(10), e26538. [16706]</w:t>
            </w:r>
          </w:p>
        </w:tc>
      </w:tr>
      <w:tr w:rsidR="002F0133" w:rsidRPr="000B4E2C" w14:paraId="7DA40A38" w14:textId="77777777" w:rsidTr="000B4E2C">
        <w:trPr>
          <w:cantSplit/>
        </w:trPr>
        <w:tc>
          <w:tcPr>
            <w:tcW w:w="0" w:type="auto"/>
            <w:shd w:val="clear" w:color="auto" w:fill="auto"/>
            <w:noWrap/>
            <w:hideMark/>
          </w:tcPr>
          <w:p w14:paraId="5AAEFD32" w14:textId="77777777" w:rsidR="002F0133" w:rsidRPr="000B4E2C" w:rsidRDefault="002F0133" w:rsidP="008A7464">
            <w:pPr>
              <w:rPr>
                <w:lang w:eastAsia="en-GB"/>
              </w:rPr>
            </w:pPr>
            <w:r w:rsidRPr="000B4E2C">
              <w:rPr>
                <w:lang w:eastAsia="en-GB"/>
              </w:rPr>
              <w:t>Stewart</w:t>
            </w:r>
          </w:p>
        </w:tc>
        <w:tc>
          <w:tcPr>
            <w:tcW w:w="0" w:type="auto"/>
            <w:shd w:val="clear" w:color="auto" w:fill="auto"/>
            <w:noWrap/>
            <w:hideMark/>
          </w:tcPr>
          <w:p w14:paraId="06343BB0"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CE27E38" w14:textId="29005AC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810F56C" w14:textId="77777777" w:rsidR="002F0133" w:rsidRPr="000B4E2C" w:rsidRDefault="002F0133" w:rsidP="008A7464">
            <w:pPr>
              <w:rPr>
                <w:highlight w:val="green"/>
                <w:lang w:eastAsia="en-GB"/>
              </w:rPr>
            </w:pPr>
            <w:r w:rsidRPr="000B4E2C">
              <w:rPr>
                <w:highlight w:val="green"/>
                <w:lang w:eastAsia="en-GB"/>
              </w:rPr>
              <w:t>I. J. Stewart, K. R. Glass, J. T. Howard, B. D. Morrow, J. A. Sosnov, E. D. Siew, N. Wickersham, W. Latack, H. K. Kwan, K. D. Heegard, C. Diaz, A. T. Henderson, K. K. Saenz, Ikizler and K. K. Chung. The potential utility of urinary biomarkers for risk prediction in combat casualties: A prospective observational cohort study. Critical Care, 19(1), 252. [16708]</w:t>
            </w:r>
          </w:p>
        </w:tc>
      </w:tr>
      <w:tr w:rsidR="002F0133" w:rsidRPr="000B4E2C" w14:paraId="6255C268" w14:textId="77777777" w:rsidTr="000B4E2C">
        <w:trPr>
          <w:cantSplit/>
        </w:trPr>
        <w:tc>
          <w:tcPr>
            <w:tcW w:w="0" w:type="auto"/>
            <w:shd w:val="clear" w:color="auto" w:fill="auto"/>
            <w:noWrap/>
            <w:hideMark/>
          </w:tcPr>
          <w:p w14:paraId="19290C51" w14:textId="77777777" w:rsidR="002F0133" w:rsidRPr="000B4E2C" w:rsidRDefault="002F0133" w:rsidP="008A7464">
            <w:pPr>
              <w:rPr>
                <w:lang w:eastAsia="en-GB"/>
              </w:rPr>
            </w:pPr>
            <w:r w:rsidRPr="000B4E2C">
              <w:rPr>
                <w:lang w:eastAsia="en-GB"/>
              </w:rPr>
              <w:t>Strazzulla</w:t>
            </w:r>
          </w:p>
        </w:tc>
        <w:tc>
          <w:tcPr>
            <w:tcW w:w="0" w:type="auto"/>
            <w:shd w:val="clear" w:color="auto" w:fill="auto"/>
            <w:noWrap/>
            <w:hideMark/>
          </w:tcPr>
          <w:p w14:paraId="56CA5092"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2A81E661" w14:textId="2F50848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46FDBF2" w14:textId="1512A679" w:rsidR="002F0133" w:rsidRPr="000B4E2C" w:rsidRDefault="002F0133" w:rsidP="008A7464">
            <w:pPr>
              <w:rPr>
                <w:highlight w:val="green"/>
                <w:lang w:eastAsia="en-GB"/>
              </w:rPr>
            </w:pPr>
            <w:r w:rsidRPr="000B4E2C">
              <w:rPr>
                <w:highlight w:val="green"/>
                <w:lang w:eastAsia="en-GB"/>
              </w:rPr>
              <w:t>A. Strazzulla, G. Coppolino, C. Di Fatta, F. Giancotti, G. D</w:t>
            </w:r>
            <w:r w:rsidR="0072128A" w:rsidRPr="000B4E2C">
              <w:rPr>
                <w:color w:val="00B0F0"/>
                <w:highlight w:val="green"/>
                <w:lang w:eastAsia="en-GB"/>
              </w:rPr>
              <w:t>’</w:t>
            </w:r>
            <w:r w:rsidRPr="000B4E2C">
              <w:rPr>
                <w:highlight w:val="green"/>
                <w:lang w:eastAsia="en-GB"/>
              </w:rPr>
              <w:t>Onofrio, M. C. Postorino, M. Mazzitelli, S. V. Mammone, I. Gentile, L. Rivoli, E. Palella, T. Gravina, C. Costa, V. Pisani, V. De Maria, G. S. Barreca, N. Marascio, A. Foca, G. Fuiano, E. Gulletta and C. Torti. Is neutrophil gelatinase associated lipocalin useful in hepatitis C virus infection?. World Journal of Hepatology, 8(19), 815-824. [18592]</w:t>
            </w:r>
          </w:p>
        </w:tc>
      </w:tr>
      <w:tr w:rsidR="002F0133" w:rsidRPr="000B4E2C" w14:paraId="792D0782" w14:textId="77777777" w:rsidTr="000B4E2C">
        <w:trPr>
          <w:cantSplit/>
        </w:trPr>
        <w:tc>
          <w:tcPr>
            <w:tcW w:w="0" w:type="auto"/>
            <w:shd w:val="clear" w:color="auto" w:fill="auto"/>
            <w:noWrap/>
            <w:hideMark/>
          </w:tcPr>
          <w:p w14:paraId="0F0FF46A" w14:textId="77777777" w:rsidR="002F0133" w:rsidRPr="000B4E2C" w:rsidRDefault="002F0133" w:rsidP="008A7464">
            <w:pPr>
              <w:rPr>
                <w:lang w:eastAsia="en-GB"/>
              </w:rPr>
            </w:pPr>
            <w:r w:rsidRPr="000B4E2C">
              <w:rPr>
                <w:lang w:eastAsia="en-GB"/>
              </w:rPr>
              <w:t>Stypmann</w:t>
            </w:r>
          </w:p>
        </w:tc>
        <w:tc>
          <w:tcPr>
            <w:tcW w:w="0" w:type="auto"/>
            <w:shd w:val="clear" w:color="auto" w:fill="auto"/>
            <w:noWrap/>
            <w:hideMark/>
          </w:tcPr>
          <w:p w14:paraId="722037CF"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5909EDF8"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6CFB20FA" w14:textId="3565D0E0" w:rsidR="002F0133" w:rsidRPr="000B4E2C" w:rsidRDefault="002F0133" w:rsidP="008A7464">
            <w:pPr>
              <w:rPr>
                <w:highlight w:val="green"/>
                <w:lang w:eastAsia="en-GB"/>
              </w:rPr>
            </w:pPr>
            <w:r w:rsidRPr="000B4E2C">
              <w:rPr>
                <w:highlight w:val="green"/>
                <w:lang w:eastAsia="en-GB"/>
              </w:rPr>
              <w:t>J. Stypmann, M. Fobker, K. Rosing, M. Engelen, S. Gunia, A. M. Dell</w:t>
            </w:r>
            <w:r w:rsidR="0072128A" w:rsidRPr="000B4E2C">
              <w:rPr>
                <w:color w:val="00B0F0"/>
                <w:highlight w:val="green"/>
                <w:lang w:eastAsia="en-GB"/>
              </w:rPr>
              <w:t>’</w:t>
            </w:r>
            <w:r w:rsidRPr="000B4E2C">
              <w:rPr>
                <w:highlight w:val="green"/>
                <w:lang w:eastAsia="en-GB"/>
              </w:rPr>
              <w:t>Aquila and J. R. Nofer. Neutrophil gelatinase-associated lipocalin (NGAL) in heart transplant recipients after conversion to everolimus therapy. Journal of Cardiology, 66(4), 347-352. [16711]</w:t>
            </w:r>
          </w:p>
        </w:tc>
      </w:tr>
      <w:tr w:rsidR="002F0133" w:rsidRPr="000B4E2C" w14:paraId="4DB2E421" w14:textId="77777777" w:rsidTr="000B4E2C">
        <w:trPr>
          <w:cantSplit/>
        </w:trPr>
        <w:tc>
          <w:tcPr>
            <w:tcW w:w="0" w:type="auto"/>
            <w:shd w:val="clear" w:color="auto" w:fill="auto"/>
            <w:noWrap/>
            <w:hideMark/>
          </w:tcPr>
          <w:p w14:paraId="4F860D9F" w14:textId="77777777" w:rsidR="002F0133" w:rsidRPr="000B4E2C" w:rsidRDefault="002F0133" w:rsidP="008A7464">
            <w:pPr>
              <w:rPr>
                <w:lang w:eastAsia="en-GB"/>
              </w:rPr>
            </w:pPr>
            <w:r w:rsidRPr="000B4E2C">
              <w:rPr>
                <w:lang w:eastAsia="en-GB"/>
              </w:rPr>
              <w:t>Su</w:t>
            </w:r>
          </w:p>
        </w:tc>
        <w:tc>
          <w:tcPr>
            <w:tcW w:w="0" w:type="auto"/>
            <w:shd w:val="clear" w:color="auto" w:fill="auto"/>
            <w:noWrap/>
            <w:hideMark/>
          </w:tcPr>
          <w:p w14:paraId="64C56F4A"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054B649F" w14:textId="4A6A00D6"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385FC91B" w14:textId="77777777" w:rsidR="002F0133" w:rsidRPr="000B4E2C" w:rsidRDefault="002F0133" w:rsidP="008A7464">
            <w:pPr>
              <w:rPr>
                <w:highlight w:val="green"/>
                <w:lang w:eastAsia="en-GB"/>
              </w:rPr>
            </w:pPr>
            <w:r w:rsidRPr="000B4E2C">
              <w:rPr>
                <w:highlight w:val="green"/>
                <w:lang w:eastAsia="en-GB"/>
              </w:rPr>
              <w:t>Y. Su, Z. Gong, Y. Wu, Y. Tian and X. Liao. Diagnostic value of urine tissue inhibitor of metalloproteinase-2 and insulin-like growth factor-binding protein 7 for acute kidney injury: A meta-analysis. PLoS ONE, 12(1), e0170214. [16714]</w:t>
            </w:r>
          </w:p>
        </w:tc>
      </w:tr>
      <w:tr w:rsidR="002F0133" w:rsidRPr="000B4E2C" w14:paraId="38645BD3" w14:textId="77777777" w:rsidTr="000B4E2C">
        <w:trPr>
          <w:cantSplit/>
        </w:trPr>
        <w:tc>
          <w:tcPr>
            <w:tcW w:w="0" w:type="auto"/>
            <w:shd w:val="clear" w:color="auto" w:fill="auto"/>
            <w:noWrap/>
            <w:hideMark/>
          </w:tcPr>
          <w:p w14:paraId="62E69F3A" w14:textId="77777777" w:rsidR="002F0133" w:rsidRPr="000B4E2C" w:rsidRDefault="002F0133" w:rsidP="008A7464">
            <w:pPr>
              <w:rPr>
                <w:lang w:eastAsia="en-GB"/>
              </w:rPr>
            </w:pPr>
            <w:r w:rsidRPr="000B4E2C">
              <w:rPr>
                <w:lang w:eastAsia="en-GB"/>
              </w:rPr>
              <w:lastRenderedPageBreak/>
              <w:t>Su</w:t>
            </w:r>
          </w:p>
        </w:tc>
        <w:tc>
          <w:tcPr>
            <w:tcW w:w="0" w:type="auto"/>
            <w:shd w:val="clear" w:color="auto" w:fill="auto"/>
            <w:noWrap/>
            <w:hideMark/>
          </w:tcPr>
          <w:p w14:paraId="44775AB9"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31E03F34" w14:textId="5570BAB6"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02E5791F" w14:textId="77777777" w:rsidR="002F0133" w:rsidRPr="000B4E2C" w:rsidRDefault="002F0133" w:rsidP="008A7464">
            <w:pPr>
              <w:rPr>
                <w:highlight w:val="green"/>
                <w:lang w:eastAsia="en-GB"/>
              </w:rPr>
            </w:pPr>
            <w:r w:rsidRPr="000B4E2C">
              <w:rPr>
                <w:highlight w:val="green"/>
                <w:lang w:eastAsia="en-GB"/>
              </w:rPr>
              <w:t>L. J. Su, Y. M. Li, J. A. Kellum and Z. Y. Peng. Predictive value of cell cycle arrest biomarkers for cardiac surgery-associated acute kidney injury: a meta-analysis. British Journal of Anaesthesia, 121(2), 350-357. [16713]</w:t>
            </w:r>
          </w:p>
        </w:tc>
      </w:tr>
      <w:tr w:rsidR="002F0133" w:rsidRPr="000B4E2C" w14:paraId="2E6209A4" w14:textId="77777777" w:rsidTr="000B4E2C">
        <w:trPr>
          <w:cantSplit/>
        </w:trPr>
        <w:tc>
          <w:tcPr>
            <w:tcW w:w="0" w:type="auto"/>
            <w:shd w:val="clear" w:color="auto" w:fill="auto"/>
            <w:noWrap/>
            <w:hideMark/>
          </w:tcPr>
          <w:p w14:paraId="7D238505" w14:textId="77777777" w:rsidR="002F0133" w:rsidRPr="000B4E2C" w:rsidRDefault="002F0133" w:rsidP="008A7464">
            <w:pPr>
              <w:rPr>
                <w:lang w:eastAsia="en-GB"/>
              </w:rPr>
            </w:pPr>
            <w:r w:rsidRPr="000B4E2C">
              <w:rPr>
                <w:lang w:eastAsia="en-GB"/>
              </w:rPr>
              <w:t>Suchojad</w:t>
            </w:r>
          </w:p>
        </w:tc>
        <w:tc>
          <w:tcPr>
            <w:tcW w:w="0" w:type="auto"/>
            <w:shd w:val="clear" w:color="auto" w:fill="auto"/>
            <w:noWrap/>
            <w:hideMark/>
          </w:tcPr>
          <w:p w14:paraId="56B2F9B7"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B22C6B6" w14:textId="275A6A7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02DF6CD" w14:textId="77777777" w:rsidR="002F0133" w:rsidRPr="000B4E2C" w:rsidRDefault="002F0133" w:rsidP="008A7464">
            <w:pPr>
              <w:rPr>
                <w:highlight w:val="green"/>
                <w:lang w:eastAsia="en-GB"/>
              </w:rPr>
            </w:pPr>
            <w:r w:rsidRPr="000B4E2C">
              <w:rPr>
                <w:highlight w:val="green"/>
                <w:lang w:eastAsia="en-GB"/>
              </w:rPr>
              <w:t>A. Suchojad, A. Tarko, M. Smertka, M. Majcherczyk, A. Brzozowska, J. Wroblewska and I. Maruniak-Chudek. Factors limiting usefulness of serum and urinary NGAL as a marker of acute kidney injury in preterm newborns. Renal Failure, 37(3), 439-445. [16715]</w:t>
            </w:r>
          </w:p>
        </w:tc>
      </w:tr>
      <w:tr w:rsidR="002F0133" w:rsidRPr="000B4E2C" w14:paraId="01F9791A" w14:textId="77777777" w:rsidTr="000B4E2C">
        <w:trPr>
          <w:cantSplit/>
        </w:trPr>
        <w:tc>
          <w:tcPr>
            <w:tcW w:w="0" w:type="auto"/>
            <w:shd w:val="clear" w:color="auto" w:fill="auto"/>
            <w:noWrap/>
            <w:hideMark/>
          </w:tcPr>
          <w:p w14:paraId="0218931A" w14:textId="77777777" w:rsidR="002F0133" w:rsidRPr="000B4E2C" w:rsidRDefault="002F0133" w:rsidP="008A7464">
            <w:pPr>
              <w:rPr>
                <w:lang w:eastAsia="en-GB"/>
              </w:rPr>
            </w:pPr>
            <w:r w:rsidRPr="000B4E2C">
              <w:rPr>
                <w:lang w:eastAsia="en-GB"/>
              </w:rPr>
              <w:t>Sueud</w:t>
            </w:r>
          </w:p>
        </w:tc>
        <w:tc>
          <w:tcPr>
            <w:tcW w:w="0" w:type="auto"/>
            <w:shd w:val="clear" w:color="auto" w:fill="auto"/>
            <w:noWrap/>
            <w:hideMark/>
          </w:tcPr>
          <w:p w14:paraId="03CFFA9B"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5CCDBB97" w14:textId="48C0926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BA271ED" w14:textId="77777777" w:rsidR="002F0133" w:rsidRPr="000B4E2C" w:rsidRDefault="002F0133" w:rsidP="008A7464">
            <w:pPr>
              <w:rPr>
                <w:highlight w:val="green"/>
                <w:lang w:eastAsia="en-GB"/>
              </w:rPr>
            </w:pPr>
            <w:r w:rsidRPr="000B4E2C">
              <w:rPr>
                <w:highlight w:val="green"/>
                <w:lang w:eastAsia="en-GB"/>
              </w:rPr>
              <w:t>T. Sueud, N. R. Hadi, R. Abdulameer, D. A. Jamil and H. A. Al-Aubaidy. Assessing urinary levels of IL-18, NGAL and albumin creatinine ratio in patients with diabetic nephropathy. Diabetes &amp; Metabolic Syndrome-Clinical Research &amp; Reviews, 13(1), 564-568. [18593]</w:t>
            </w:r>
          </w:p>
        </w:tc>
      </w:tr>
      <w:tr w:rsidR="002F0133" w:rsidRPr="000B4E2C" w14:paraId="2CDC96F2" w14:textId="77777777" w:rsidTr="000B4E2C">
        <w:trPr>
          <w:cantSplit/>
        </w:trPr>
        <w:tc>
          <w:tcPr>
            <w:tcW w:w="0" w:type="auto"/>
            <w:shd w:val="clear" w:color="auto" w:fill="auto"/>
            <w:noWrap/>
            <w:hideMark/>
          </w:tcPr>
          <w:p w14:paraId="5AA7926A" w14:textId="77777777" w:rsidR="002F0133" w:rsidRPr="000B4E2C" w:rsidRDefault="002F0133" w:rsidP="008A7464">
            <w:pPr>
              <w:rPr>
                <w:lang w:eastAsia="en-GB"/>
              </w:rPr>
            </w:pPr>
            <w:r w:rsidRPr="000B4E2C">
              <w:rPr>
                <w:lang w:eastAsia="en-GB"/>
              </w:rPr>
              <w:t>Sumida</w:t>
            </w:r>
          </w:p>
        </w:tc>
        <w:tc>
          <w:tcPr>
            <w:tcW w:w="0" w:type="auto"/>
            <w:shd w:val="clear" w:color="auto" w:fill="auto"/>
            <w:noWrap/>
            <w:hideMark/>
          </w:tcPr>
          <w:p w14:paraId="69A8E0A6"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EBF1F9E" w14:textId="7B5AE29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52CA5AC" w14:textId="77777777" w:rsidR="002F0133" w:rsidRPr="000B4E2C" w:rsidRDefault="002F0133" w:rsidP="008A7464">
            <w:pPr>
              <w:rPr>
                <w:highlight w:val="green"/>
                <w:lang w:eastAsia="en-GB"/>
              </w:rPr>
            </w:pPr>
            <w:r w:rsidRPr="000B4E2C">
              <w:rPr>
                <w:highlight w:val="green"/>
                <w:lang w:eastAsia="en-GB"/>
              </w:rPr>
              <w:t>M. Sumida, K. Doi, O. Kinoshita, M. Kimura, M. Ono, Y. Hamasaki, T. Matsubara, T. Ishii, N. Yahagi, M. Nangaku and E. Noiri. Perioperative Plasma Neutrophil Gelatinase-associated lipocalin measurement in patients who undergo left ventricular assist device implantation surgery. Circulation Journal, 78(8), 1891-1899. [16717]</w:t>
            </w:r>
          </w:p>
        </w:tc>
      </w:tr>
      <w:tr w:rsidR="002F0133" w:rsidRPr="000B4E2C" w14:paraId="6FA70CD3" w14:textId="77777777" w:rsidTr="000B4E2C">
        <w:trPr>
          <w:cantSplit/>
        </w:trPr>
        <w:tc>
          <w:tcPr>
            <w:tcW w:w="0" w:type="auto"/>
            <w:shd w:val="clear" w:color="auto" w:fill="auto"/>
            <w:noWrap/>
            <w:hideMark/>
          </w:tcPr>
          <w:p w14:paraId="25978520" w14:textId="77777777" w:rsidR="002F0133" w:rsidRPr="000B4E2C" w:rsidRDefault="002F0133" w:rsidP="008A7464">
            <w:pPr>
              <w:rPr>
                <w:lang w:eastAsia="en-GB"/>
              </w:rPr>
            </w:pPr>
            <w:r w:rsidRPr="000B4E2C">
              <w:rPr>
                <w:lang w:eastAsia="en-GB"/>
              </w:rPr>
              <w:t>Sun</w:t>
            </w:r>
          </w:p>
        </w:tc>
        <w:tc>
          <w:tcPr>
            <w:tcW w:w="0" w:type="auto"/>
            <w:shd w:val="clear" w:color="auto" w:fill="auto"/>
            <w:noWrap/>
            <w:hideMark/>
          </w:tcPr>
          <w:p w14:paraId="40DAF3D8"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2AC9696E"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0BDE7123" w14:textId="77777777" w:rsidR="002F0133" w:rsidRPr="000B4E2C" w:rsidRDefault="002F0133" w:rsidP="008A7464">
            <w:pPr>
              <w:rPr>
                <w:highlight w:val="green"/>
                <w:lang w:eastAsia="en-GB"/>
              </w:rPr>
            </w:pPr>
            <w:r w:rsidRPr="000B4E2C">
              <w:rPr>
                <w:highlight w:val="green"/>
                <w:lang w:eastAsia="en-GB"/>
              </w:rPr>
              <w:t>I. O. Sun, S. H. Shin, A. Y. Cho, H. J. Yoon, M. Y. Chang and K. Y. Lee. Clinical significance of NGAL and KIM-1 for acute kidney injury in patients with scrub typhus. PLoS ONE, 12(4), e0175890. [16718]</w:t>
            </w:r>
          </w:p>
        </w:tc>
      </w:tr>
      <w:tr w:rsidR="002F0133" w:rsidRPr="000B4E2C" w14:paraId="29A62C62" w14:textId="77777777" w:rsidTr="000B4E2C">
        <w:trPr>
          <w:cantSplit/>
        </w:trPr>
        <w:tc>
          <w:tcPr>
            <w:tcW w:w="0" w:type="auto"/>
            <w:shd w:val="clear" w:color="auto" w:fill="auto"/>
            <w:noWrap/>
            <w:hideMark/>
          </w:tcPr>
          <w:p w14:paraId="76A3F4EF" w14:textId="77777777" w:rsidR="002F0133" w:rsidRPr="000B4E2C" w:rsidRDefault="002F0133" w:rsidP="008A7464">
            <w:pPr>
              <w:rPr>
                <w:lang w:eastAsia="en-GB"/>
              </w:rPr>
            </w:pPr>
            <w:r w:rsidRPr="000B4E2C">
              <w:rPr>
                <w:lang w:eastAsia="en-GB"/>
              </w:rPr>
              <w:t>Surmiak</w:t>
            </w:r>
          </w:p>
        </w:tc>
        <w:tc>
          <w:tcPr>
            <w:tcW w:w="0" w:type="auto"/>
            <w:shd w:val="clear" w:color="auto" w:fill="auto"/>
            <w:noWrap/>
            <w:hideMark/>
          </w:tcPr>
          <w:p w14:paraId="0AF85F73"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75728488" w14:textId="03D6638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55359BB" w14:textId="77777777" w:rsidR="002F0133" w:rsidRPr="000B4E2C" w:rsidRDefault="002F0133" w:rsidP="008A7464">
            <w:pPr>
              <w:rPr>
                <w:highlight w:val="green"/>
                <w:lang w:eastAsia="en-GB"/>
              </w:rPr>
            </w:pPr>
            <w:r w:rsidRPr="000B4E2C">
              <w:rPr>
                <w:highlight w:val="green"/>
                <w:lang w:eastAsia="en-GB"/>
              </w:rPr>
              <w:t>P. Surmiak, M. Baumert, M. Fiala, Z. Walencka and A. Wiecek. Umbilical neutrophil gelatinase-associated Lipocalin level as an early predictor of acute kidney injury in neonates with hypoplastic left heart syndrome. BioMed Research International, 2015(360209. [16721]</w:t>
            </w:r>
          </w:p>
        </w:tc>
      </w:tr>
      <w:tr w:rsidR="002F0133" w:rsidRPr="000B4E2C" w14:paraId="72D2F2C9" w14:textId="77777777" w:rsidTr="000B4E2C">
        <w:trPr>
          <w:cantSplit/>
        </w:trPr>
        <w:tc>
          <w:tcPr>
            <w:tcW w:w="0" w:type="auto"/>
            <w:shd w:val="clear" w:color="auto" w:fill="auto"/>
            <w:noWrap/>
            <w:hideMark/>
          </w:tcPr>
          <w:p w14:paraId="67017015" w14:textId="77777777" w:rsidR="002F0133" w:rsidRPr="000B4E2C" w:rsidRDefault="002F0133" w:rsidP="008A7464">
            <w:pPr>
              <w:rPr>
                <w:lang w:eastAsia="en-GB"/>
              </w:rPr>
            </w:pPr>
            <w:r w:rsidRPr="000B4E2C">
              <w:rPr>
                <w:lang w:eastAsia="en-GB"/>
              </w:rPr>
              <w:t>Suzuki</w:t>
            </w:r>
          </w:p>
        </w:tc>
        <w:tc>
          <w:tcPr>
            <w:tcW w:w="0" w:type="auto"/>
            <w:shd w:val="clear" w:color="auto" w:fill="auto"/>
            <w:noWrap/>
            <w:hideMark/>
          </w:tcPr>
          <w:p w14:paraId="3D35D695"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5575DCC2" w14:textId="341E4A6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5A2D505" w14:textId="223DEDBB" w:rsidR="002F0133" w:rsidRPr="000B4E2C" w:rsidRDefault="002F0133" w:rsidP="008A7464">
            <w:pPr>
              <w:rPr>
                <w:highlight w:val="green"/>
                <w:lang w:eastAsia="en-GB"/>
              </w:rPr>
            </w:pPr>
            <w:r w:rsidRPr="000B4E2C">
              <w:rPr>
                <w:highlight w:val="green"/>
                <w:lang w:eastAsia="en-GB"/>
              </w:rPr>
              <w:t>M. Suzuki, K. M. Wiers, M. S. Klein-Gitelman, K. A. Haines, J. Olson, K. B. Onel, K. O</w:t>
            </w:r>
            <w:r w:rsidR="0072128A" w:rsidRPr="000B4E2C">
              <w:rPr>
                <w:color w:val="00B0F0"/>
                <w:highlight w:val="green"/>
                <w:lang w:eastAsia="en-GB"/>
              </w:rPr>
              <w:t>’</w:t>
            </w:r>
            <w:r w:rsidRPr="000B4E2C">
              <w:rPr>
                <w:highlight w:val="green"/>
                <w:lang w:eastAsia="en-GB"/>
              </w:rPr>
              <w:t>Neil, M. H. Passo, N. G. Singer, L. Tucker, J. Ying, P. Devarajan and H. I. Brunner. Neutrophil gelatinase-associated lipocalin as a biomarker of disease activity in pediatric lupus nephritis. Pediatric Nephrology, 23(3), 403-412. [18594]</w:t>
            </w:r>
          </w:p>
        </w:tc>
      </w:tr>
      <w:tr w:rsidR="002F0133" w:rsidRPr="000B4E2C" w14:paraId="724C418F" w14:textId="77777777" w:rsidTr="000B4E2C">
        <w:trPr>
          <w:cantSplit/>
        </w:trPr>
        <w:tc>
          <w:tcPr>
            <w:tcW w:w="0" w:type="auto"/>
            <w:shd w:val="clear" w:color="auto" w:fill="auto"/>
            <w:noWrap/>
            <w:hideMark/>
          </w:tcPr>
          <w:p w14:paraId="21B8FE49" w14:textId="77777777" w:rsidR="002F0133" w:rsidRPr="000B4E2C" w:rsidRDefault="002F0133" w:rsidP="008A7464">
            <w:pPr>
              <w:rPr>
                <w:lang w:eastAsia="en-GB"/>
              </w:rPr>
            </w:pPr>
            <w:r w:rsidRPr="000B4E2C">
              <w:rPr>
                <w:lang w:eastAsia="en-GB"/>
              </w:rPr>
              <w:t>Sweetman</w:t>
            </w:r>
          </w:p>
        </w:tc>
        <w:tc>
          <w:tcPr>
            <w:tcW w:w="0" w:type="auto"/>
            <w:shd w:val="clear" w:color="auto" w:fill="auto"/>
            <w:noWrap/>
            <w:hideMark/>
          </w:tcPr>
          <w:p w14:paraId="50FFF456"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064D5B77" w14:textId="4C7315F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0BA9E00" w14:textId="727A11DD" w:rsidR="002F0133" w:rsidRPr="000B4E2C" w:rsidRDefault="002F0133" w:rsidP="008A7464">
            <w:pPr>
              <w:rPr>
                <w:highlight w:val="green"/>
                <w:lang w:eastAsia="en-GB"/>
              </w:rPr>
            </w:pPr>
            <w:r w:rsidRPr="000B4E2C">
              <w:rPr>
                <w:highlight w:val="green"/>
                <w:lang w:eastAsia="en-GB"/>
              </w:rPr>
              <w:t>D. U. Sweetman, C. Onwuneme, W. R. Watson, A. O</w:t>
            </w:r>
            <w:r w:rsidR="0072128A" w:rsidRPr="000B4E2C">
              <w:rPr>
                <w:color w:val="00B0F0"/>
                <w:highlight w:val="green"/>
                <w:lang w:eastAsia="en-GB"/>
              </w:rPr>
              <w:t>’</w:t>
            </w:r>
            <w:r w:rsidRPr="000B4E2C">
              <w:rPr>
                <w:highlight w:val="green"/>
                <w:lang w:eastAsia="en-GB"/>
              </w:rPr>
              <w:t>Neill, J. F. A. Murphy and E. J. Molloy. Renal function and novel urinary biomarkers in infants with neonatal encephalopathy. Acta Paediatrica, International Journal of Paediatrics, 105(11), e513-e519. [16725]</w:t>
            </w:r>
          </w:p>
        </w:tc>
      </w:tr>
      <w:tr w:rsidR="002F0133" w:rsidRPr="000B4E2C" w14:paraId="1AB9AFFE" w14:textId="77777777" w:rsidTr="000B4E2C">
        <w:trPr>
          <w:cantSplit/>
        </w:trPr>
        <w:tc>
          <w:tcPr>
            <w:tcW w:w="0" w:type="auto"/>
            <w:shd w:val="clear" w:color="auto" w:fill="auto"/>
            <w:noWrap/>
            <w:hideMark/>
          </w:tcPr>
          <w:p w14:paraId="727C09CD" w14:textId="77777777" w:rsidR="002F0133" w:rsidRPr="000B4E2C" w:rsidRDefault="002F0133" w:rsidP="008A7464">
            <w:pPr>
              <w:rPr>
                <w:lang w:eastAsia="en-GB"/>
              </w:rPr>
            </w:pPr>
            <w:r w:rsidRPr="000B4E2C">
              <w:rPr>
                <w:lang w:eastAsia="en-GB"/>
              </w:rPr>
              <w:t>Szeto</w:t>
            </w:r>
          </w:p>
        </w:tc>
        <w:tc>
          <w:tcPr>
            <w:tcW w:w="0" w:type="auto"/>
            <w:shd w:val="clear" w:color="auto" w:fill="auto"/>
            <w:noWrap/>
            <w:hideMark/>
          </w:tcPr>
          <w:p w14:paraId="1B90EB3F"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219D8769" w14:textId="7581489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3609179" w14:textId="77777777" w:rsidR="002F0133" w:rsidRPr="000B4E2C" w:rsidRDefault="002F0133" w:rsidP="008A7464">
            <w:pPr>
              <w:rPr>
                <w:highlight w:val="green"/>
                <w:lang w:eastAsia="en-GB"/>
              </w:rPr>
            </w:pPr>
            <w:r w:rsidRPr="000B4E2C">
              <w:rPr>
                <w:highlight w:val="green"/>
                <w:lang w:eastAsia="en-GB"/>
              </w:rPr>
              <w:t>C. C. Szeto, B. C. H. Kwan, K. B. Lai, F. M. M. Lai, K. M. Chow, G. Wang, C. C. W. Luk and P. K. T. Li. Urinary expression of kidney injury markers in renal transplant recipients. Clinical Journal of the American Society of Nephrology, 5(12), 2329-2337. [16730]</w:t>
            </w:r>
          </w:p>
        </w:tc>
      </w:tr>
      <w:tr w:rsidR="002F0133" w:rsidRPr="000B4E2C" w14:paraId="203420E2" w14:textId="77777777" w:rsidTr="000B4E2C">
        <w:trPr>
          <w:cantSplit/>
        </w:trPr>
        <w:tc>
          <w:tcPr>
            <w:tcW w:w="0" w:type="auto"/>
            <w:shd w:val="clear" w:color="auto" w:fill="auto"/>
            <w:noWrap/>
            <w:hideMark/>
          </w:tcPr>
          <w:p w14:paraId="60A15F5D" w14:textId="77777777" w:rsidR="002F0133" w:rsidRPr="000B4E2C" w:rsidRDefault="002F0133" w:rsidP="008A7464">
            <w:pPr>
              <w:rPr>
                <w:lang w:eastAsia="en-GB"/>
              </w:rPr>
            </w:pPr>
            <w:r w:rsidRPr="000B4E2C">
              <w:rPr>
                <w:lang w:eastAsia="en-GB"/>
              </w:rPr>
              <w:t>Szewczyk</w:t>
            </w:r>
          </w:p>
        </w:tc>
        <w:tc>
          <w:tcPr>
            <w:tcW w:w="0" w:type="auto"/>
            <w:shd w:val="clear" w:color="auto" w:fill="auto"/>
            <w:noWrap/>
            <w:hideMark/>
          </w:tcPr>
          <w:p w14:paraId="29D4668D"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546EFB0D" w14:textId="6441246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0A1F4AB" w14:textId="77777777" w:rsidR="002F0133" w:rsidRPr="000B4E2C" w:rsidRDefault="002F0133" w:rsidP="008A7464">
            <w:pPr>
              <w:rPr>
                <w:highlight w:val="green"/>
                <w:lang w:eastAsia="en-GB"/>
              </w:rPr>
            </w:pPr>
            <w:r w:rsidRPr="000B4E2C">
              <w:rPr>
                <w:highlight w:val="green"/>
                <w:lang w:eastAsia="en-GB"/>
              </w:rPr>
              <w:t>M. Szewczyk, T. Wielkoszynski, M. Zakliczynski and M. Zembala. Plasma Neutrophil Gelatinase-Associated Lipocalin (NGAL) Correlations With Cystatin C, Serum Creatinine, and Glomerular Filtration Rate in Patients After Heart and Lung Transplantation. Transplantation Proceedings, 41(8), 3242-3243. [16731]</w:t>
            </w:r>
          </w:p>
        </w:tc>
      </w:tr>
      <w:tr w:rsidR="002F0133" w:rsidRPr="000B4E2C" w14:paraId="4E648B19" w14:textId="77777777" w:rsidTr="000B4E2C">
        <w:trPr>
          <w:cantSplit/>
        </w:trPr>
        <w:tc>
          <w:tcPr>
            <w:tcW w:w="0" w:type="auto"/>
            <w:shd w:val="clear" w:color="auto" w:fill="auto"/>
            <w:noWrap/>
            <w:hideMark/>
          </w:tcPr>
          <w:p w14:paraId="0ADE5300" w14:textId="77777777" w:rsidR="002F0133" w:rsidRPr="000B4E2C" w:rsidRDefault="002F0133" w:rsidP="008A7464">
            <w:pPr>
              <w:rPr>
                <w:lang w:eastAsia="en-GB"/>
              </w:rPr>
            </w:pPr>
            <w:r w:rsidRPr="000B4E2C">
              <w:rPr>
                <w:lang w:eastAsia="en-GB"/>
              </w:rPr>
              <w:t>Taghizadeh-Ghehi</w:t>
            </w:r>
          </w:p>
        </w:tc>
        <w:tc>
          <w:tcPr>
            <w:tcW w:w="0" w:type="auto"/>
            <w:shd w:val="clear" w:color="auto" w:fill="auto"/>
            <w:noWrap/>
            <w:hideMark/>
          </w:tcPr>
          <w:p w14:paraId="0E22D2C3"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8FC394F" w14:textId="36E812F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F2F8DED" w14:textId="77777777" w:rsidR="002F0133" w:rsidRPr="000B4E2C" w:rsidRDefault="002F0133" w:rsidP="008A7464">
            <w:pPr>
              <w:rPr>
                <w:highlight w:val="green"/>
                <w:lang w:eastAsia="en-GB"/>
              </w:rPr>
            </w:pPr>
            <w:r w:rsidRPr="000B4E2C">
              <w:rPr>
                <w:highlight w:val="green"/>
                <w:lang w:eastAsia="en-GB"/>
              </w:rPr>
              <w:t>M. Taghizadeh-Ghehi, A. Sarayani, A. Ashouri, S. Ataei, A. Moslehi and M. Hadjibabaie. Urine neutrophil gelatinase associated lipocalin as an early marker of acute kidney injury in hematopoietic stem cell transplantation patients. Renal Failure, 37(6), 994-998. [16734]</w:t>
            </w:r>
          </w:p>
        </w:tc>
      </w:tr>
      <w:tr w:rsidR="002F0133" w:rsidRPr="000B4E2C" w14:paraId="2AC91E46" w14:textId="77777777" w:rsidTr="000B4E2C">
        <w:trPr>
          <w:cantSplit/>
        </w:trPr>
        <w:tc>
          <w:tcPr>
            <w:tcW w:w="0" w:type="auto"/>
            <w:shd w:val="clear" w:color="auto" w:fill="auto"/>
            <w:noWrap/>
            <w:hideMark/>
          </w:tcPr>
          <w:p w14:paraId="02391B4C" w14:textId="77777777" w:rsidR="002F0133" w:rsidRPr="000B4E2C" w:rsidRDefault="002F0133" w:rsidP="008A7464">
            <w:pPr>
              <w:rPr>
                <w:lang w:eastAsia="en-GB"/>
              </w:rPr>
            </w:pPr>
            <w:r w:rsidRPr="000B4E2C">
              <w:rPr>
                <w:lang w:eastAsia="en-GB"/>
              </w:rPr>
              <w:t>Tai</w:t>
            </w:r>
          </w:p>
        </w:tc>
        <w:tc>
          <w:tcPr>
            <w:tcW w:w="0" w:type="auto"/>
            <w:shd w:val="clear" w:color="auto" w:fill="auto"/>
            <w:noWrap/>
            <w:hideMark/>
          </w:tcPr>
          <w:p w14:paraId="63D8E496"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2C62E42" w14:textId="05B3AD54"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57E94356" w14:textId="77777777" w:rsidR="002F0133" w:rsidRPr="000B4E2C" w:rsidRDefault="002F0133" w:rsidP="008A7464">
            <w:pPr>
              <w:rPr>
                <w:highlight w:val="green"/>
                <w:lang w:eastAsia="en-GB"/>
              </w:rPr>
            </w:pPr>
            <w:r w:rsidRPr="000B4E2C">
              <w:rPr>
                <w:highlight w:val="green"/>
                <w:lang w:eastAsia="en-GB"/>
              </w:rPr>
              <w:t>Q. Tai, H. Yi, X. Wei, W. Xie, O. Zeng, D. Zheng, J. Sun, G. Wang, S. Wang and G. Liu. The Accuracy of Urinary TIMP-2 and IGFBP7 for the Diagnosis of Cardiac Surgery-Associated Acute Kidney Injury: A Systematic Review and Meta-Analysis. Journal of Intensive Care Medicine, . [16735]</w:t>
            </w:r>
          </w:p>
        </w:tc>
      </w:tr>
      <w:tr w:rsidR="002F0133" w:rsidRPr="000B4E2C" w14:paraId="17944FF0" w14:textId="77777777" w:rsidTr="000B4E2C">
        <w:trPr>
          <w:cantSplit/>
        </w:trPr>
        <w:tc>
          <w:tcPr>
            <w:tcW w:w="0" w:type="auto"/>
            <w:shd w:val="clear" w:color="auto" w:fill="auto"/>
            <w:noWrap/>
            <w:hideMark/>
          </w:tcPr>
          <w:p w14:paraId="009B29B7" w14:textId="77777777" w:rsidR="002F0133" w:rsidRPr="000B4E2C" w:rsidRDefault="002F0133" w:rsidP="008A7464">
            <w:pPr>
              <w:rPr>
                <w:lang w:eastAsia="en-GB"/>
              </w:rPr>
            </w:pPr>
            <w:r w:rsidRPr="000B4E2C">
              <w:rPr>
                <w:lang w:eastAsia="en-GB"/>
              </w:rPr>
              <w:lastRenderedPageBreak/>
              <w:t>Takahashi</w:t>
            </w:r>
          </w:p>
        </w:tc>
        <w:tc>
          <w:tcPr>
            <w:tcW w:w="0" w:type="auto"/>
            <w:shd w:val="clear" w:color="auto" w:fill="auto"/>
            <w:noWrap/>
            <w:hideMark/>
          </w:tcPr>
          <w:p w14:paraId="5B9C137E"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0DA4A397" w14:textId="6B23B81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0249C7E" w14:textId="77777777" w:rsidR="002F0133" w:rsidRPr="000B4E2C" w:rsidRDefault="002F0133" w:rsidP="008A7464">
            <w:pPr>
              <w:rPr>
                <w:highlight w:val="green"/>
                <w:lang w:eastAsia="en-GB"/>
              </w:rPr>
            </w:pPr>
            <w:r w:rsidRPr="000B4E2C">
              <w:rPr>
                <w:highlight w:val="green"/>
                <w:lang w:eastAsia="en-GB"/>
              </w:rPr>
              <w:t>G. Takahashi, S. Shibata, Y. Fukui, Y. Okamura and Y. Inoue. Diagnostic accuracy of procalcitonin and presepsin for infectious disease in patients with acute kidney injury. Diagnostic Microbiology and Infectious Disease, 86(2), 205-210. [16736]</w:t>
            </w:r>
          </w:p>
        </w:tc>
      </w:tr>
      <w:tr w:rsidR="002F0133" w:rsidRPr="000B4E2C" w14:paraId="0D4D4446" w14:textId="77777777" w:rsidTr="000B4E2C">
        <w:trPr>
          <w:cantSplit/>
        </w:trPr>
        <w:tc>
          <w:tcPr>
            <w:tcW w:w="0" w:type="auto"/>
            <w:shd w:val="clear" w:color="auto" w:fill="auto"/>
            <w:noWrap/>
            <w:hideMark/>
          </w:tcPr>
          <w:p w14:paraId="2FCB6C94" w14:textId="77777777" w:rsidR="002F0133" w:rsidRPr="000B4E2C" w:rsidRDefault="002F0133" w:rsidP="008A7464">
            <w:pPr>
              <w:rPr>
                <w:lang w:eastAsia="en-GB"/>
              </w:rPr>
            </w:pPr>
            <w:r w:rsidRPr="000B4E2C">
              <w:rPr>
                <w:lang w:eastAsia="en-GB"/>
              </w:rPr>
              <w:t>Tamimi</w:t>
            </w:r>
          </w:p>
        </w:tc>
        <w:tc>
          <w:tcPr>
            <w:tcW w:w="0" w:type="auto"/>
            <w:shd w:val="clear" w:color="auto" w:fill="auto"/>
            <w:noWrap/>
            <w:hideMark/>
          </w:tcPr>
          <w:p w14:paraId="2A112910"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6F6118CF" w14:textId="68DC739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B01C0C5" w14:textId="77777777" w:rsidR="002F0133" w:rsidRPr="000B4E2C" w:rsidRDefault="002F0133" w:rsidP="008A7464">
            <w:pPr>
              <w:rPr>
                <w:highlight w:val="green"/>
                <w:lang w:eastAsia="en-GB"/>
              </w:rPr>
            </w:pPr>
            <w:r w:rsidRPr="000B4E2C">
              <w:rPr>
                <w:highlight w:val="green"/>
                <w:lang w:eastAsia="en-GB"/>
              </w:rPr>
              <w:t>A. Tamimi, E. Kord, Y. H. Rappaport, A. Cooper, R. Abu Hamad, S. Efrati, R. S. Kenett, A. Zisman and Y. I. Siegel. Salivary Neutrophil Gelatinase-Associated Lipocalin Sampling Feasibility in Acute Renal Colic. Journal of Endourology, 32(6), 566-571. [16737]</w:t>
            </w:r>
          </w:p>
        </w:tc>
      </w:tr>
      <w:tr w:rsidR="002F0133" w:rsidRPr="000B4E2C" w14:paraId="3CABD5A0" w14:textId="77777777" w:rsidTr="000B4E2C">
        <w:trPr>
          <w:cantSplit/>
        </w:trPr>
        <w:tc>
          <w:tcPr>
            <w:tcW w:w="0" w:type="auto"/>
            <w:shd w:val="clear" w:color="auto" w:fill="auto"/>
            <w:noWrap/>
            <w:hideMark/>
          </w:tcPr>
          <w:p w14:paraId="6840EAE6" w14:textId="77777777" w:rsidR="002F0133" w:rsidRPr="000B4E2C" w:rsidRDefault="002F0133" w:rsidP="008A7464">
            <w:pPr>
              <w:rPr>
                <w:lang w:eastAsia="en-GB"/>
              </w:rPr>
            </w:pPr>
            <w:r w:rsidRPr="000B4E2C">
              <w:rPr>
                <w:lang w:eastAsia="en-GB"/>
              </w:rPr>
              <w:t>Tanigasalam</w:t>
            </w:r>
          </w:p>
        </w:tc>
        <w:tc>
          <w:tcPr>
            <w:tcW w:w="0" w:type="auto"/>
            <w:shd w:val="clear" w:color="auto" w:fill="auto"/>
            <w:noWrap/>
            <w:hideMark/>
          </w:tcPr>
          <w:p w14:paraId="1D805F9C"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0E0A648"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2558045B" w14:textId="77777777" w:rsidR="002F0133" w:rsidRPr="000B4E2C" w:rsidRDefault="002F0133" w:rsidP="008A7464">
            <w:pPr>
              <w:rPr>
                <w:highlight w:val="green"/>
                <w:lang w:eastAsia="en-GB"/>
              </w:rPr>
            </w:pPr>
            <w:r w:rsidRPr="000B4E2C">
              <w:rPr>
                <w:highlight w:val="green"/>
                <w:lang w:eastAsia="en-GB"/>
              </w:rPr>
              <w:t>V. Tanigasalam, B. V. Bhat, B. Adhisivam, M. G. Sridhar and K. T. Harichandrakumar. Predicting Severity of Acute Kidney Injury in Term Neonates with Perinatal Asphyxia Using Urinary Neutrophil Gelatinase Associated Lipocalin. Indian Journal of Pediatrics, 83(12-13), 1374-1378. [16742]</w:t>
            </w:r>
          </w:p>
        </w:tc>
      </w:tr>
      <w:tr w:rsidR="002F0133" w:rsidRPr="000B4E2C" w14:paraId="7E5FC010" w14:textId="77777777" w:rsidTr="000B4E2C">
        <w:trPr>
          <w:cantSplit/>
        </w:trPr>
        <w:tc>
          <w:tcPr>
            <w:tcW w:w="0" w:type="auto"/>
            <w:shd w:val="clear" w:color="auto" w:fill="auto"/>
            <w:noWrap/>
            <w:hideMark/>
          </w:tcPr>
          <w:p w14:paraId="272F284E" w14:textId="77777777" w:rsidR="002F0133" w:rsidRPr="000B4E2C" w:rsidRDefault="002F0133" w:rsidP="008A7464">
            <w:pPr>
              <w:rPr>
                <w:lang w:eastAsia="en-GB"/>
              </w:rPr>
            </w:pPr>
            <w:r w:rsidRPr="000B4E2C">
              <w:rPr>
                <w:lang w:eastAsia="en-GB"/>
              </w:rPr>
              <w:t>Tanzil</w:t>
            </w:r>
          </w:p>
        </w:tc>
        <w:tc>
          <w:tcPr>
            <w:tcW w:w="0" w:type="auto"/>
            <w:shd w:val="clear" w:color="auto" w:fill="auto"/>
            <w:noWrap/>
            <w:hideMark/>
          </w:tcPr>
          <w:p w14:paraId="5729EF42"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ECC9648" w14:textId="7899218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9AE4A29" w14:textId="77777777" w:rsidR="002F0133" w:rsidRPr="000B4E2C" w:rsidRDefault="002F0133" w:rsidP="008A7464">
            <w:pPr>
              <w:rPr>
                <w:highlight w:val="green"/>
                <w:lang w:eastAsia="en-GB"/>
              </w:rPr>
            </w:pPr>
            <w:r w:rsidRPr="000B4E2C">
              <w:rPr>
                <w:highlight w:val="green"/>
                <w:lang w:eastAsia="en-GB"/>
              </w:rPr>
              <w:t>W. L. Tanzil, R. Wilar, M. F. J. Mantik, A. Umboh and S. N. N. Tatura. Comparison of urine neutrophil gelatinase-associated lipocalin to serum creatinine to assess kidney function in neonatal asphyxia. Paediatrica Indonesiana, 56(6), 356-359. [18597]</w:t>
            </w:r>
          </w:p>
        </w:tc>
      </w:tr>
      <w:tr w:rsidR="002F0133" w:rsidRPr="000B4E2C" w14:paraId="795FC03F" w14:textId="77777777" w:rsidTr="000B4E2C">
        <w:trPr>
          <w:cantSplit/>
        </w:trPr>
        <w:tc>
          <w:tcPr>
            <w:tcW w:w="0" w:type="auto"/>
            <w:shd w:val="clear" w:color="auto" w:fill="auto"/>
            <w:noWrap/>
            <w:hideMark/>
          </w:tcPr>
          <w:p w14:paraId="3A58165B" w14:textId="77777777" w:rsidR="002F0133" w:rsidRPr="000B4E2C" w:rsidRDefault="002F0133" w:rsidP="008A7464">
            <w:pPr>
              <w:rPr>
                <w:lang w:eastAsia="en-GB"/>
              </w:rPr>
            </w:pPr>
            <w:r w:rsidRPr="000B4E2C">
              <w:rPr>
                <w:lang w:eastAsia="en-GB"/>
              </w:rPr>
              <w:t>Tasanarong</w:t>
            </w:r>
          </w:p>
        </w:tc>
        <w:tc>
          <w:tcPr>
            <w:tcW w:w="0" w:type="auto"/>
            <w:shd w:val="clear" w:color="auto" w:fill="auto"/>
            <w:noWrap/>
            <w:hideMark/>
          </w:tcPr>
          <w:p w14:paraId="605E744D"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22A0A69C"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08247316" w14:textId="77777777" w:rsidR="002F0133" w:rsidRPr="000B4E2C" w:rsidRDefault="002F0133" w:rsidP="008A7464">
            <w:pPr>
              <w:rPr>
                <w:highlight w:val="green"/>
                <w:lang w:eastAsia="en-GB"/>
              </w:rPr>
            </w:pPr>
            <w:r w:rsidRPr="000B4E2C">
              <w:rPr>
                <w:highlight w:val="green"/>
                <w:lang w:eastAsia="en-GB"/>
              </w:rPr>
              <w:t>A. Tasanarong, P. Hutayanon and D. Piyayotai. Urinary Neutrophil Gelatinase-Associated Lipocalin predicts the severity of contrast-induced acute kidney injury in chronic kidney disease patients undergoing elective coronary procedures. BMC Nephrology, 14(1), 270. [16743]</w:t>
            </w:r>
          </w:p>
        </w:tc>
      </w:tr>
      <w:tr w:rsidR="002F0133" w:rsidRPr="000B4E2C" w14:paraId="787B8811" w14:textId="77777777" w:rsidTr="000B4E2C">
        <w:trPr>
          <w:cantSplit/>
        </w:trPr>
        <w:tc>
          <w:tcPr>
            <w:tcW w:w="0" w:type="auto"/>
            <w:shd w:val="clear" w:color="auto" w:fill="auto"/>
            <w:noWrap/>
            <w:hideMark/>
          </w:tcPr>
          <w:p w14:paraId="695F25FF" w14:textId="77777777" w:rsidR="002F0133" w:rsidRPr="000B4E2C" w:rsidRDefault="002F0133" w:rsidP="008A7464">
            <w:pPr>
              <w:rPr>
                <w:lang w:eastAsia="en-GB"/>
              </w:rPr>
            </w:pPr>
            <w:r w:rsidRPr="000B4E2C">
              <w:rPr>
                <w:lang w:eastAsia="en-GB"/>
              </w:rPr>
              <w:t>Tavakoli</w:t>
            </w:r>
          </w:p>
        </w:tc>
        <w:tc>
          <w:tcPr>
            <w:tcW w:w="0" w:type="auto"/>
            <w:shd w:val="clear" w:color="auto" w:fill="auto"/>
            <w:noWrap/>
            <w:hideMark/>
          </w:tcPr>
          <w:p w14:paraId="0241A43F"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2B46BAFD"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538034EF" w14:textId="77777777" w:rsidR="002F0133" w:rsidRPr="000B4E2C" w:rsidRDefault="002F0133" w:rsidP="008A7464">
            <w:pPr>
              <w:rPr>
                <w:highlight w:val="green"/>
                <w:lang w:eastAsia="en-GB"/>
              </w:rPr>
            </w:pPr>
            <w:r w:rsidRPr="000B4E2C">
              <w:rPr>
                <w:highlight w:val="green"/>
                <w:lang w:eastAsia="en-GB"/>
              </w:rPr>
              <w:t>R. Tavakoli and G. Lebreton. Biomarkers for early detection of cardiac surgery-associated acute kidney injury. Journal of Thoracic Disease, 10(Supplement33), S3914-S3918. [16746]</w:t>
            </w:r>
          </w:p>
        </w:tc>
      </w:tr>
      <w:tr w:rsidR="002F0133" w:rsidRPr="000B4E2C" w14:paraId="69819807" w14:textId="77777777" w:rsidTr="000B4E2C">
        <w:trPr>
          <w:cantSplit/>
        </w:trPr>
        <w:tc>
          <w:tcPr>
            <w:tcW w:w="0" w:type="auto"/>
            <w:shd w:val="clear" w:color="auto" w:fill="auto"/>
            <w:noWrap/>
            <w:hideMark/>
          </w:tcPr>
          <w:p w14:paraId="361FECD0" w14:textId="77777777" w:rsidR="002F0133" w:rsidRPr="000B4E2C" w:rsidRDefault="002F0133" w:rsidP="008A7464">
            <w:pPr>
              <w:rPr>
                <w:lang w:eastAsia="en-GB"/>
              </w:rPr>
            </w:pPr>
            <w:r w:rsidRPr="000B4E2C">
              <w:rPr>
                <w:lang w:eastAsia="en-GB"/>
              </w:rPr>
              <w:t>Tawfik</w:t>
            </w:r>
          </w:p>
        </w:tc>
        <w:tc>
          <w:tcPr>
            <w:tcW w:w="0" w:type="auto"/>
            <w:shd w:val="clear" w:color="auto" w:fill="auto"/>
            <w:noWrap/>
            <w:hideMark/>
          </w:tcPr>
          <w:p w14:paraId="01CCAC20"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3F402D2" w14:textId="68E82BCB"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31CF8CC" w14:textId="77777777" w:rsidR="002F0133" w:rsidRPr="000B4E2C" w:rsidRDefault="002F0133" w:rsidP="008A7464">
            <w:pPr>
              <w:rPr>
                <w:highlight w:val="green"/>
                <w:lang w:eastAsia="en-GB"/>
              </w:rPr>
            </w:pPr>
            <w:r w:rsidRPr="000B4E2C">
              <w:rPr>
                <w:highlight w:val="green"/>
                <w:lang w:eastAsia="en-GB"/>
              </w:rPr>
              <w:t>Y. Tawfik, R. M. Shaat, S. R. El-Bassiony, S. Hawas and N. Effat. Urinary and serum neutrophil gelatinase-associated lipocalin as a biomarker in Egyptian systemic lupus erythematosus patients: Relation to lupus nephritis and disease activity. Egyptian Rheumatologist, 37(4), S25-S31. [16747]</w:t>
            </w:r>
          </w:p>
        </w:tc>
      </w:tr>
      <w:tr w:rsidR="002F0133" w:rsidRPr="000B4E2C" w14:paraId="54619BE5" w14:textId="77777777" w:rsidTr="000B4E2C">
        <w:trPr>
          <w:cantSplit/>
        </w:trPr>
        <w:tc>
          <w:tcPr>
            <w:tcW w:w="0" w:type="auto"/>
            <w:shd w:val="clear" w:color="auto" w:fill="auto"/>
            <w:noWrap/>
            <w:hideMark/>
          </w:tcPr>
          <w:p w14:paraId="2BB2304B" w14:textId="77777777" w:rsidR="002F0133" w:rsidRPr="000B4E2C" w:rsidRDefault="002F0133" w:rsidP="008A7464">
            <w:pPr>
              <w:rPr>
                <w:lang w:eastAsia="en-GB"/>
              </w:rPr>
            </w:pPr>
            <w:r w:rsidRPr="000B4E2C">
              <w:rPr>
                <w:lang w:eastAsia="en-GB"/>
              </w:rPr>
              <w:t>ter Maaten</w:t>
            </w:r>
          </w:p>
        </w:tc>
        <w:tc>
          <w:tcPr>
            <w:tcW w:w="0" w:type="auto"/>
            <w:shd w:val="clear" w:color="auto" w:fill="auto"/>
            <w:noWrap/>
            <w:hideMark/>
          </w:tcPr>
          <w:p w14:paraId="6DF3685D"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2DF79DB0"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0F6943FB" w14:textId="02FDC90F" w:rsidR="002F0133" w:rsidRPr="000B4E2C" w:rsidRDefault="002F0133" w:rsidP="008A7464">
            <w:pPr>
              <w:rPr>
                <w:highlight w:val="green"/>
                <w:lang w:eastAsia="en-GB"/>
              </w:rPr>
            </w:pPr>
            <w:r w:rsidRPr="000B4E2C">
              <w:rPr>
                <w:highlight w:val="green"/>
                <w:lang w:eastAsia="en-GB"/>
              </w:rPr>
              <w:t>J. M. ter Maaten, M. A. E. Valente, M. Metra, N. Bruno, C. M. O</w:t>
            </w:r>
            <w:r w:rsidR="0072128A" w:rsidRPr="000B4E2C">
              <w:rPr>
                <w:color w:val="00B0F0"/>
                <w:highlight w:val="green"/>
                <w:lang w:eastAsia="en-GB"/>
              </w:rPr>
              <w:t>’</w:t>
            </w:r>
            <w:r w:rsidRPr="000B4E2C">
              <w:rPr>
                <w:highlight w:val="green"/>
                <w:lang w:eastAsia="en-GB"/>
              </w:rPr>
              <w:t>Connor, P. Ponikowski, J. R. Teerlink, G. Cotter, B. Davison, J. G. Cleland, M. M. Givertz, D. M. Bloomfield, H. C. Dittrich, D. J. van Veldhuisen, H. L. Hillege, K. Damman and A. A. Voors. A combined clinical and biomarker approach to predict diuretic response in acute heart failure. Clinical research in cardiology : official journal of the German Cardiac Society, 105(2), 145-53. [16752]</w:t>
            </w:r>
          </w:p>
        </w:tc>
      </w:tr>
      <w:tr w:rsidR="002F0133" w:rsidRPr="000B4E2C" w14:paraId="2A0E2006" w14:textId="77777777" w:rsidTr="000B4E2C">
        <w:trPr>
          <w:cantSplit/>
        </w:trPr>
        <w:tc>
          <w:tcPr>
            <w:tcW w:w="0" w:type="auto"/>
            <w:shd w:val="clear" w:color="auto" w:fill="auto"/>
            <w:noWrap/>
            <w:hideMark/>
          </w:tcPr>
          <w:p w14:paraId="3FA6845F" w14:textId="77777777" w:rsidR="002F0133" w:rsidRPr="000B4E2C" w:rsidRDefault="002F0133" w:rsidP="008A7464">
            <w:pPr>
              <w:rPr>
                <w:lang w:eastAsia="en-GB"/>
              </w:rPr>
            </w:pPr>
            <w:r w:rsidRPr="000B4E2C">
              <w:rPr>
                <w:lang w:eastAsia="en-GB"/>
              </w:rPr>
              <w:t>Teresa Torres-Salido</w:t>
            </w:r>
          </w:p>
        </w:tc>
        <w:tc>
          <w:tcPr>
            <w:tcW w:w="0" w:type="auto"/>
            <w:shd w:val="clear" w:color="auto" w:fill="auto"/>
            <w:noWrap/>
            <w:hideMark/>
          </w:tcPr>
          <w:p w14:paraId="723104BA"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5D8F5A11"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F7F19D0" w14:textId="77777777" w:rsidR="002F0133" w:rsidRPr="000B4E2C" w:rsidRDefault="002F0133" w:rsidP="008A7464">
            <w:pPr>
              <w:rPr>
                <w:highlight w:val="green"/>
                <w:lang w:eastAsia="en-GB"/>
              </w:rPr>
            </w:pPr>
            <w:r w:rsidRPr="000B4E2C">
              <w:rPr>
                <w:highlight w:val="green"/>
                <w:lang w:eastAsia="en-GB"/>
              </w:rPr>
              <w:t>M. Teresa Torres-Salido, J. Cortes-Hernandez, X. Vidal, A. Pedrosa, M. Vilardell-Tarres and J. Ordi-Ros. Neutrophil gelatinase-associated lipocalin as a biomarker for lupus nephritis. Nephrology Dialysis Transplantation, 29(9), 1740-1749. [18598]</w:t>
            </w:r>
          </w:p>
        </w:tc>
      </w:tr>
      <w:tr w:rsidR="002F0133" w:rsidRPr="000B4E2C" w14:paraId="76C5A457" w14:textId="77777777" w:rsidTr="000B4E2C">
        <w:trPr>
          <w:cantSplit/>
        </w:trPr>
        <w:tc>
          <w:tcPr>
            <w:tcW w:w="0" w:type="auto"/>
            <w:shd w:val="clear" w:color="auto" w:fill="auto"/>
            <w:noWrap/>
            <w:hideMark/>
          </w:tcPr>
          <w:p w14:paraId="7AEF4963" w14:textId="77777777" w:rsidR="002F0133" w:rsidRPr="000B4E2C" w:rsidRDefault="002F0133" w:rsidP="008A7464">
            <w:pPr>
              <w:rPr>
                <w:lang w:eastAsia="en-GB"/>
              </w:rPr>
            </w:pPr>
            <w:r w:rsidRPr="000B4E2C">
              <w:rPr>
                <w:lang w:eastAsia="en-GB"/>
              </w:rPr>
              <w:t>Testani</w:t>
            </w:r>
          </w:p>
        </w:tc>
        <w:tc>
          <w:tcPr>
            <w:tcW w:w="0" w:type="auto"/>
            <w:shd w:val="clear" w:color="auto" w:fill="auto"/>
            <w:noWrap/>
            <w:hideMark/>
          </w:tcPr>
          <w:p w14:paraId="48DF588B"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3B54B6D2"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3BF66677" w14:textId="77777777" w:rsidR="002F0133" w:rsidRPr="000B4E2C" w:rsidRDefault="002F0133" w:rsidP="008A7464">
            <w:pPr>
              <w:rPr>
                <w:highlight w:val="green"/>
                <w:lang w:eastAsia="en-GB"/>
              </w:rPr>
            </w:pPr>
            <w:r w:rsidRPr="000B4E2C">
              <w:rPr>
                <w:highlight w:val="green"/>
                <w:lang w:eastAsia="en-GB"/>
              </w:rPr>
              <w:t>J. M. Testani and W. H. W. Tang. Biomarkers of acute kidney injury in chronic heart failure: What do the signals mean?. JACC: Heart Failure, 1(5), 425-426. [16754]</w:t>
            </w:r>
          </w:p>
        </w:tc>
      </w:tr>
      <w:tr w:rsidR="002F0133" w:rsidRPr="000B4E2C" w14:paraId="49AEF78B" w14:textId="77777777" w:rsidTr="000B4E2C">
        <w:trPr>
          <w:cantSplit/>
        </w:trPr>
        <w:tc>
          <w:tcPr>
            <w:tcW w:w="0" w:type="auto"/>
            <w:shd w:val="clear" w:color="auto" w:fill="auto"/>
            <w:noWrap/>
            <w:hideMark/>
          </w:tcPr>
          <w:p w14:paraId="173E97E4" w14:textId="77777777" w:rsidR="002F0133" w:rsidRPr="000B4E2C" w:rsidRDefault="002F0133" w:rsidP="008A7464">
            <w:pPr>
              <w:rPr>
                <w:lang w:eastAsia="en-GB"/>
              </w:rPr>
            </w:pPr>
            <w:r w:rsidRPr="000B4E2C">
              <w:rPr>
                <w:lang w:eastAsia="en-GB"/>
              </w:rPr>
              <w:t>Tiranathanagul</w:t>
            </w:r>
          </w:p>
        </w:tc>
        <w:tc>
          <w:tcPr>
            <w:tcW w:w="0" w:type="auto"/>
            <w:shd w:val="clear" w:color="auto" w:fill="auto"/>
            <w:noWrap/>
            <w:hideMark/>
          </w:tcPr>
          <w:p w14:paraId="5755CA16"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11369A0B" w14:textId="4C10E1B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6C0489F" w14:textId="77777777" w:rsidR="002F0133" w:rsidRPr="000B4E2C" w:rsidRDefault="002F0133" w:rsidP="008A7464">
            <w:pPr>
              <w:rPr>
                <w:highlight w:val="green"/>
                <w:lang w:eastAsia="en-GB"/>
              </w:rPr>
            </w:pPr>
            <w:r w:rsidRPr="000B4E2C">
              <w:rPr>
                <w:highlight w:val="green"/>
                <w:lang w:eastAsia="en-GB"/>
              </w:rPr>
              <w:t>K. Tiranathanagul, S. Amornsuntorn, Y. Avihingsanon, N. Srisawat, P. Susantitaphong, K. Praditpornsilpa, K. Tungsanga and S. Eiam-Ong. Potential role of neutrophil gelatinase-associated lipocalin in identifying critically ill patients with acute kidney injury stage 2-3 who subsequently require renal replacement therapy. Therapeutic Apheresis and Dialysis, 17(3), 332-338. [16766]</w:t>
            </w:r>
          </w:p>
        </w:tc>
      </w:tr>
      <w:tr w:rsidR="002F0133" w:rsidRPr="000B4E2C" w14:paraId="5EB53131" w14:textId="77777777" w:rsidTr="000B4E2C">
        <w:trPr>
          <w:cantSplit/>
        </w:trPr>
        <w:tc>
          <w:tcPr>
            <w:tcW w:w="0" w:type="auto"/>
            <w:shd w:val="clear" w:color="auto" w:fill="auto"/>
            <w:noWrap/>
            <w:hideMark/>
          </w:tcPr>
          <w:p w14:paraId="585B6C08" w14:textId="77777777" w:rsidR="002F0133" w:rsidRPr="000B4E2C" w:rsidRDefault="002F0133" w:rsidP="008A7464">
            <w:pPr>
              <w:rPr>
                <w:lang w:eastAsia="en-GB"/>
              </w:rPr>
            </w:pPr>
            <w:r w:rsidRPr="000B4E2C">
              <w:rPr>
                <w:lang w:eastAsia="en-GB"/>
              </w:rPr>
              <w:lastRenderedPageBreak/>
              <w:t>Tkaczyk</w:t>
            </w:r>
          </w:p>
        </w:tc>
        <w:tc>
          <w:tcPr>
            <w:tcW w:w="0" w:type="auto"/>
            <w:shd w:val="clear" w:color="auto" w:fill="auto"/>
            <w:noWrap/>
            <w:hideMark/>
          </w:tcPr>
          <w:p w14:paraId="464C5542"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96FA375" w14:textId="2CFDFD7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ADEC194" w14:textId="77777777" w:rsidR="002F0133" w:rsidRPr="000B4E2C" w:rsidRDefault="002F0133" w:rsidP="008A7464">
            <w:pPr>
              <w:rPr>
                <w:highlight w:val="green"/>
                <w:lang w:eastAsia="en-GB"/>
              </w:rPr>
            </w:pPr>
            <w:r w:rsidRPr="000B4E2C">
              <w:rPr>
                <w:highlight w:val="green"/>
                <w:lang w:eastAsia="en-GB"/>
              </w:rPr>
              <w:t>M. Tkaczyk, D. Tomczyk, A. Jander, S. Goreczny, T. Moszura, P. Dryzek, W. Krajewski, E. Glowacka and A. Wosiak. Glomerular filtration decrease after diagnostic cardiac catheterisation in children with congenital cardiac malformation - the role of serum creatinine, cystatin C, neutrophil gelatinase and urine output monitoring. Postepy w Kardiologii Interwencyjnej, 14(1), 67-74. [16767]</w:t>
            </w:r>
          </w:p>
        </w:tc>
      </w:tr>
      <w:tr w:rsidR="002F0133" w:rsidRPr="000B4E2C" w14:paraId="516694C8" w14:textId="77777777" w:rsidTr="000B4E2C">
        <w:trPr>
          <w:cantSplit/>
        </w:trPr>
        <w:tc>
          <w:tcPr>
            <w:tcW w:w="0" w:type="auto"/>
            <w:shd w:val="clear" w:color="auto" w:fill="auto"/>
            <w:noWrap/>
            <w:hideMark/>
          </w:tcPr>
          <w:p w14:paraId="682D0A40" w14:textId="77777777" w:rsidR="002F0133" w:rsidRPr="000B4E2C" w:rsidRDefault="002F0133" w:rsidP="008A7464">
            <w:pPr>
              <w:rPr>
                <w:lang w:eastAsia="en-GB"/>
              </w:rPr>
            </w:pPr>
            <w:r w:rsidRPr="000B4E2C">
              <w:rPr>
                <w:lang w:eastAsia="en-GB"/>
              </w:rPr>
              <w:t>Tomczyk</w:t>
            </w:r>
          </w:p>
        </w:tc>
        <w:tc>
          <w:tcPr>
            <w:tcW w:w="0" w:type="auto"/>
            <w:shd w:val="clear" w:color="auto" w:fill="auto"/>
            <w:noWrap/>
            <w:hideMark/>
          </w:tcPr>
          <w:p w14:paraId="22EF3735"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4E25ACB1" w14:textId="54FC881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65EE43C" w14:textId="77777777" w:rsidR="002F0133" w:rsidRPr="000B4E2C" w:rsidRDefault="002F0133" w:rsidP="008A7464">
            <w:pPr>
              <w:rPr>
                <w:highlight w:val="green"/>
                <w:lang w:eastAsia="en-GB"/>
              </w:rPr>
            </w:pPr>
            <w:r w:rsidRPr="000B4E2C">
              <w:rPr>
                <w:highlight w:val="green"/>
                <w:lang w:eastAsia="en-GB"/>
              </w:rPr>
              <w:t>D. Tomczyk, A. Jander, S. Chrul, T. Moszura, P. Dryzek, W. Krajewski, E. Glowacka and M. Tkaczyk. Contrast-induced acute kidney injury in children with cardiovascular defects - Results of a pilot study. Pediatria i Medycyna Rodzinna, 12(4), 436-444. [16771]</w:t>
            </w:r>
          </w:p>
        </w:tc>
      </w:tr>
      <w:tr w:rsidR="002F0133" w:rsidRPr="000B4E2C" w14:paraId="6968D871" w14:textId="77777777" w:rsidTr="000B4E2C">
        <w:trPr>
          <w:cantSplit/>
        </w:trPr>
        <w:tc>
          <w:tcPr>
            <w:tcW w:w="0" w:type="auto"/>
            <w:shd w:val="clear" w:color="auto" w:fill="auto"/>
            <w:noWrap/>
            <w:hideMark/>
          </w:tcPr>
          <w:p w14:paraId="6766A554" w14:textId="77777777" w:rsidR="002F0133" w:rsidRPr="000B4E2C" w:rsidRDefault="002F0133" w:rsidP="008A7464">
            <w:pPr>
              <w:rPr>
                <w:lang w:eastAsia="en-GB"/>
              </w:rPr>
            </w:pPr>
            <w:r w:rsidRPr="000B4E2C">
              <w:rPr>
                <w:lang w:eastAsia="en-GB"/>
              </w:rPr>
              <w:t>Tong</w:t>
            </w:r>
          </w:p>
        </w:tc>
        <w:tc>
          <w:tcPr>
            <w:tcW w:w="0" w:type="auto"/>
            <w:shd w:val="clear" w:color="auto" w:fill="auto"/>
            <w:noWrap/>
            <w:hideMark/>
          </w:tcPr>
          <w:p w14:paraId="67E17E33"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50B35FF0" w14:textId="6ABBDCA5"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0C746C3B" w14:textId="77777777" w:rsidR="002F0133" w:rsidRPr="000B4E2C" w:rsidRDefault="002F0133" w:rsidP="008A7464">
            <w:pPr>
              <w:rPr>
                <w:highlight w:val="green"/>
                <w:lang w:eastAsia="en-GB"/>
              </w:rPr>
            </w:pPr>
            <w:r w:rsidRPr="000B4E2C">
              <w:rPr>
                <w:highlight w:val="green"/>
                <w:lang w:eastAsia="en-GB"/>
              </w:rPr>
              <w:t>J. Tong, H. Li, H. Zhang, Z. Luo, Y. Huang, J. Huang, F. He and J. Fu. Neutrophil Gelatinase-associated Lipocalin in the Prediction of Contrast-induced Nephropathy: A Systemic Review and Meta-analysis. Journal of Cardiovascular Pharmacology, 66(3), 239-245. [16773]</w:t>
            </w:r>
          </w:p>
        </w:tc>
      </w:tr>
      <w:tr w:rsidR="002F0133" w:rsidRPr="000B4E2C" w14:paraId="5C8CC8B5" w14:textId="77777777" w:rsidTr="000B4E2C">
        <w:trPr>
          <w:cantSplit/>
        </w:trPr>
        <w:tc>
          <w:tcPr>
            <w:tcW w:w="0" w:type="auto"/>
            <w:shd w:val="clear" w:color="auto" w:fill="auto"/>
            <w:noWrap/>
            <w:hideMark/>
          </w:tcPr>
          <w:p w14:paraId="76444C0D" w14:textId="77777777" w:rsidR="002F0133" w:rsidRPr="000B4E2C" w:rsidRDefault="002F0133" w:rsidP="008A7464">
            <w:pPr>
              <w:rPr>
                <w:lang w:eastAsia="en-GB"/>
              </w:rPr>
            </w:pPr>
            <w:r w:rsidRPr="000B4E2C">
              <w:rPr>
                <w:lang w:eastAsia="en-GB"/>
              </w:rPr>
              <w:t>Toprak</w:t>
            </w:r>
          </w:p>
        </w:tc>
        <w:tc>
          <w:tcPr>
            <w:tcW w:w="0" w:type="auto"/>
            <w:shd w:val="clear" w:color="auto" w:fill="auto"/>
            <w:noWrap/>
            <w:hideMark/>
          </w:tcPr>
          <w:p w14:paraId="3526893B"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226B75AD"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0F8E2E24" w14:textId="77777777" w:rsidR="002F0133" w:rsidRPr="000B4E2C" w:rsidRDefault="002F0133" w:rsidP="008A7464">
            <w:pPr>
              <w:rPr>
                <w:highlight w:val="green"/>
                <w:lang w:eastAsia="en-GB"/>
              </w:rPr>
            </w:pPr>
            <w:r w:rsidRPr="000B4E2C">
              <w:rPr>
                <w:highlight w:val="green"/>
                <w:lang w:eastAsia="en-GB"/>
              </w:rPr>
              <w:t>Z. Toprak, E. Cebeci, S. A. Helvaci, I. D. Toprak, Y. Kutlu, A. Sakin and T. Tukek. Cisplatin nephrotoxicity is not detected by urinary cell-cycle arrest biomarkers in lung cancer patients. International Urology and Nephrology, 49(6), 1041-1047. [16775]</w:t>
            </w:r>
          </w:p>
        </w:tc>
      </w:tr>
      <w:tr w:rsidR="002F0133" w:rsidRPr="000B4E2C" w14:paraId="56C313C3" w14:textId="77777777" w:rsidTr="000B4E2C">
        <w:trPr>
          <w:cantSplit/>
        </w:trPr>
        <w:tc>
          <w:tcPr>
            <w:tcW w:w="0" w:type="auto"/>
            <w:shd w:val="clear" w:color="auto" w:fill="auto"/>
            <w:noWrap/>
            <w:hideMark/>
          </w:tcPr>
          <w:p w14:paraId="1FFCB959" w14:textId="77777777" w:rsidR="002F0133" w:rsidRPr="000B4E2C" w:rsidRDefault="002F0133" w:rsidP="008A7464">
            <w:pPr>
              <w:rPr>
                <w:lang w:eastAsia="en-GB"/>
              </w:rPr>
            </w:pPr>
            <w:r w:rsidRPr="000B4E2C">
              <w:rPr>
                <w:lang w:eastAsia="en-GB"/>
              </w:rPr>
              <w:t>Torregrosa</w:t>
            </w:r>
          </w:p>
        </w:tc>
        <w:tc>
          <w:tcPr>
            <w:tcW w:w="0" w:type="auto"/>
            <w:shd w:val="clear" w:color="auto" w:fill="auto"/>
            <w:noWrap/>
            <w:hideMark/>
          </w:tcPr>
          <w:p w14:paraId="3D5F4CE5"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0C15C490"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3A2273D9" w14:textId="77777777" w:rsidR="002F0133" w:rsidRPr="000B4E2C" w:rsidRDefault="002F0133" w:rsidP="008A7464">
            <w:pPr>
              <w:rPr>
                <w:highlight w:val="green"/>
                <w:lang w:eastAsia="en-GB"/>
              </w:rPr>
            </w:pPr>
            <w:r w:rsidRPr="000B4E2C">
              <w:rPr>
                <w:highlight w:val="green"/>
                <w:lang w:eastAsia="en-GB"/>
              </w:rPr>
              <w:t>I. Torregrosa, C. Montoliu, A. Urios, N. Elmlili, I. Juan, M. J. Puchades, M. A. Solis, R. Sanjuan, M. L. Blasco, C. Ramos, P. Tomas, J. Ribes, A. Carratala and A. Miguel. Early biomarkers of acute kidney failure after heart angiography or heart surgery in patients with acute coronary syndrome or acute heart failure. Nefrologia, 32(1), 44-52. [16777]</w:t>
            </w:r>
          </w:p>
        </w:tc>
      </w:tr>
      <w:tr w:rsidR="002F0133" w:rsidRPr="000B4E2C" w14:paraId="2F1FAE9A" w14:textId="77777777" w:rsidTr="000B4E2C">
        <w:trPr>
          <w:cantSplit/>
        </w:trPr>
        <w:tc>
          <w:tcPr>
            <w:tcW w:w="0" w:type="auto"/>
            <w:shd w:val="clear" w:color="auto" w:fill="auto"/>
            <w:noWrap/>
            <w:hideMark/>
          </w:tcPr>
          <w:p w14:paraId="14DA0811" w14:textId="77777777" w:rsidR="002F0133" w:rsidRPr="000B4E2C" w:rsidRDefault="002F0133" w:rsidP="008A7464">
            <w:pPr>
              <w:rPr>
                <w:lang w:eastAsia="en-GB"/>
              </w:rPr>
            </w:pPr>
            <w:r w:rsidRPr="000B4E2C">
              <w:rPr>
                <w:lang w:eastAsia="en-GB"/>
              </w:rPr>
              <w:t>Torregrosa</w:t>
            </w:r>
          </w:p>
        </w:tc>
        <w:tc>
          <w:tcPr>
            <w:tcW w:w="0" w:type="auto"/>
            <w:shd w:val="clear" w:color="auto" w:fill="auto"/>
            <w:noWrap/>
            <w:hideMark/>
          </w:tcPr>
          <w:p w14:paraId="0B74410E"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5F07781"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52532ED" w14:textId="77777777" w:rsidR="002F0133" w:rsidRPr="000B4E2C" w:rsidRDefault="002F0133" w:rsidP="008A7464">
            <w:pPr>
              <w:rPr>
                <w:highlight w:val="green"/>
                <w:lang w:eastAsia="en-GB"/>
              </w:rPr>
            </w:pPr>
            <w:r w:rsidRPr="000B4E2C">
              <w:rPr>
                <w:highlight w:val="green"/>
                <w:lang w:eastAsia="en-GB"/>
              </w:rPr>
              <w:t>I. Torregrosa, C. Montoliu, A. Urios, M. J. Andres-Costa, C. Gimenez-Garzo, I. Juan, M. J. Puchades, M. L. Blasco, A. Carratala, R. Sanjuan and A. Miguel. Urinary KIM-1, NGAL and L-FABP for the diagnosis of AKI in patients with acute coronary syndrome or heart failure undergoing coronary angiography. Heart and Vessels, 30(6), 703-711. [16776]</w:t>
            </w:r>
          </w:p>
        </w:tc>
      </w:tr>
      <w:tr w:rsidR="002F0133" w:rsidRPr="000B4E2C" w14:paraId="4BD074F0" w14:textId="77777777" w:rsidTr="000B4E2C">
        <w:trPr>
          <w:cantSplit/>
        </w:trPr>
        <w:tc>
          <w:tcPr>
            <w:tcW w:w="0" w:type="auto"/>
            <w:shd w:val="clear" w:color="auto" w:fill="auto"/>
            <w:noWrap/>
            <w:hideMark/>
          </w:tcPr>
          <w:p w14:paraId="6D7A1133" w14:textId="77777777" w:rsidR="002F0133" w:rsidRPr="000B4E2C" w:rsidRDefault="002F0133" w:rsidP="008A7464">
            <w:pPr>
              <w:rPr>
                <w:lang w:eastAsia="en-GB"/>
              </w:rPr>
            </w:pPr>
            <w:r w:rsidRPr="000B4E2C">
              <w:rPr>
                <w:lang w:eastAsia="en-GB"/>
              </w:rPr>
              <w:t>Trachtman</w:t>
            </w:r>
          </w:p>
        </w:tc>
        <w:tc>
          <w:tcPr>
            <w:tcW w:w="0" w:type="auto"/>
            <w:shd w:val="clear" w:color="auto" w:fill="auto"/>
            <w:noWrap/>
            <w:hideMark/>
          </w:tcPr>
          <w:p w14:paraId="7EF2C7C3"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42E675F5" w14:textId="4D10B97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E48040F" w14:textId="77777777" w:rsidR="002F0133" w:rsidRPr="000B4E2C" w:rsidRDefault="002F0133" w:rsidP="008A7464">
            <w:pPr>
              <w:rPr>
                <w:highlight w:val="green"/>
                <w:lang w:eastAsia="en-GB"/>
              </w:rPr>
            </w:pPr>
            <w:r w:rsidRPr="000B4E2C">
              <w:rPr>
                <w:highlight w:val="green"/>
                <w:lang w:eastAsia="en-GB"/>
              </w:rPr>
              <w:t>H. Trachtman, E. Christen, A. Cnaan, J. Patrick, V. Mai, J. Mishra, A. Jain, N. Bullington, P. Devarajan and H. U. S. S. P. M. C. T. Investigators of the. Urinary neutrophil gelatinase-associated lipocalcin in D+HUS: a novel marker of renal injury. Pediatric Nephrology, 21(7), 989-94. [4024]</w:t>
            </w:r>
          </w:p>
        </w:tc>
      </w:tr>
      <w:tr w:rsidR="002F0133" w:rsidRPr="000B4E2C" w14:paraId="1DAA2A12" w14:textId="77777777" w:rsidTr="000B4E2C">
        <w:trPr>
          <w:cantSplit/>
        </w:trPr>
        <w:tc>
          <w:tcPr>
            <w:tcW w:w="0" w:type="auto"/>
            <w:shd w:val="clear" w:color="auto" w:fill="auto"/>
            <w:noWrap/>
            <w:hideMark/>
          </w:tcPr>
          <w:p w14:paraId="1722EB97" w14:textId="77777777" w:rsidR="002F0133" w:rsidRPr="000B4E2C" w:rsidRDefault="002F0133" w:rsidP="008A7464">
            <w:pPr>
              <w:rPr>
                <w:lang w:eastAsia="en-GB"/>
              </w:rPr>
            </w:pPr>
            <w:r w:rsidRPr="000B4E2C">
              <w:rPr>
                <w:lang w:eastAsia="en-GB"/>
              </w:rPr>
              <w:t>Tsuchimoto</w:t>
            </w:r>
          </w:p>
        </w:tc>
        <w:tc>
          <w:tcPr>
            <w:tcW w:w="0" w:type="auto"/>
            <w:shd w:val="clear" w:color="auto" w:fill="auto"/>
            <w:noWrap/>
            <w:hideMark/>
          </w:tcPr>
          <w:p w14:paraId="31B4AF83"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7BBDFC25" w14:textId="26A79AE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27F0330" w14:textId="77777777" w:rsidR="002F0133" w:rsidRPr="000B4E2C" w:rsidRDefault="002F0133" w:rsidP="008A7464">
            <w:pPr>
              <w:rPr>
                <w:highlight w:val="green"/>
                <w:lang w:eastAsia="en-GB"/>
              </w:rPr>
            </w:pPr>
            <w:r w:rsidRPr="000B4E2C">
              <w:rPr>
                <w:highlight w:val="green"/>
                <w:lang w:eastAsia="en-GB"/>
              </w:rPr>
              <w:t>A. Tsuchimoto, H. Shinke, M. Uesugi, M. Kikuchi, E. Hashimoto, T. Sato, Y. Ogura, K. Hata, Y. Fujimoto, T. Kaido, J. Kishimoto, M. Yanagita, K. Matsubara, S. Uemoto and S. Masuda. Urinary neutrophil gelatinase-associated lipocalin: A useful biomarker for tacrolimus-induced acute kidney injury in liver transplant patients. PLoS ONE, 9(10), e110527. [16785]</w:t>
            </w:r>
          </w:p>
        </w:tc>
      </w:tr>
      <w:tr w:rsidR="002F0133" w:rsidRPr="000B4E2C" w14:paraId="01D70302" w14:textId="77777777" w:rsidTr="000B4E2C">
        <w:trPr>
          <w:cantSplit/>
        </w:trPr>
        <w:tc>
          <w:tcPr>
            <w:tcW w:w="0" w:type="auto"/>
            <w:shd w:val="clear" w:color="auto" w:fill="auto"/>
            <w:noWrap/>
            <w:hideMark/>
          </w:tcPr>
          <w:p w14:paraId="241CC204" w14:textId="77777777" w:rsidR="002F0133" w:rsidRPr="000B4E2C" w:rsidRDefault="002F0133" w:rsidP="008A7464">
            <w:pPr>
              <w:rPr>
                <w:lang w:eastAsia="en-GB"/>
              </w:rPr>
            </w:pPr>
            <w:r w:rsidRPr="000B4E2C">
              <w:rPr>
                <w:lang w:eastAsia="en-GB"/>
              </w:rPr>
              <w:t>Tugba Kos</w:t>
            </w:r>
          </w:p>
        </w:tc>
        <w:tc>
          <w:tcPr>
            <w:tcW w:w="0" w:type="auto"/>
            <w:shd w:val="clear" w:color="auto" w:fill="auto"/>
            <w:noWrap/>
            <w:hideMark/>
          </w:tcPr>
          <w:p w14:paraId="7E4BE63F"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40CCF413" w14:textId="1D2E7D5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1BC5A0B" w14:textId="77777777" w:rsidR="002F0133" w:rsidRPr="000B4E2C" w:rsidRDefault="002F0133" w:rsidP="008A7464">
            <w:pPr>
              <w:rPr>
                <w:highlight w:val="green"/>
                <w:lang w:eastAsia="en-GB"/>
              </w:rPr>
            </w:pPr>
            <w:r w:rsidRPr="000B4E2C">
              <w:rPr>
                <w:highlight w:val="green"/>
                <w:lang w:eastAsia="en-GB"/>
              </w:rPr>
              <w:t>F. Tugba Kos, M. A. N. Sendur, S. Aksoy, H. T. Celik, S. Sezer, B. Civelek, S. Yaman and N. Zengin. Evaluation of renal function using the level of neutrophil gelatinase-associated lipocalin is not predictive of nephrotoxicity associated with cisplatin-based chemotherapy. Asian Pacific Journal of Cancer Prevention, 14(2), 1111-1114. [16786]</w:t>
            </w:r>
          </w:p>
        </w:tc>
      </w:tr>
      <w:tr w:rsidR="002F0133" w:rsidRPr="000B4E2C" w14:paraId="4C69E408" w14:textId="77777777" w:rsidTr="000B4E2C">
        <w:trPr>
          <w:cantSplit/>
        </w:trPr>
        <w:tc>
          <w:tcPr>
            <w:tcW w:w="0" w:type="auto"/>
            <w:shd w:val="clear" w:color="auto" w:fill="auto"/>
            <w:noWrap/>
            <w:hideMark/>
          </w:tcPr>
          <w:p w14:paraId="309B213E" w14:textId="77777777" w:rsidR="002F0133" w:rsidRPr="000B4E2C" w:rsidRDefault="002F0133" w:rsidP="008A7464">
            <w:pPr>
              <w:rPr>
                <w:lang w:eastAsia="en-GB"/>
              </w:rPr>
            </w:pPr>
            <w:r w:rsidRPr="000B4E2C">
              <w:rPr>
                <w:lang w:eastAsia="en-GB"/>
              </w:rPr>
              <w:t>Tuladhar</w:t>
            </w:r>
          </w:p>
        </w:tc>
        <w:tc>
          <w:tcPr>
            <w:tcW w:w="0" w:type="auto"/>
            <w:shd w:val="clear" w:color="auto" w:fill="auto"/>
            <w:noWrap/>
            <w:hideMark/>
          </w:tcPr>
          <w:p w14:paraId="4A57263C"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0C62AD0F" w14:textId="3123B28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095C315" w14:textId="77777777" w:rsidR="002F0133" w:rsidRPr="000B4E2C" w:rsidRDefault="002F0133" w:rsidP="008A7464">
            <w:pPr>
              <w:rPr>
                <w:highlight w:val="green"/>
                <w:lang w:eastAsia="en-GB"/>
              </w:rPr>
            </w:pPr>
            <w:r w:rsidRPr="000B4E2C">
              <w:rPr>
                <w:highlight w:val="green"/>
                <w:lang w:eastAsia="en-GB"/>
              </w:rPr>
              <w:t>Tuladhar SM, Puntmann VO, Soni M, Punjabi PP, Bogle RG. Rapid detection of acute kidney injury by plasma and urinary neutrophil gelatinase-associated lipocalin after cardiopulmonary bypass.  J Cardiovasc Pharmacol 2009;53:261–6. https://doi.org/10.1097/FJC.0b013e31819d6139. . . [3952]</w:t>
            </w:r>
          </w:p>
        </w:tc>
      </w:tr>
      <w:tr w:rsidR="002F0133" w:rsidRPr="000B4E2C" w14:paraId="42B4F02A" w14:textId="77777777" w:rsidTr="000B4E2C">
        <w:trPr>
          <w:cantSplit/>
        </w:trPr>
        <w:tc>
          <w:tcPr>
            <w:tcW w:w="0" w:type="auto"/>
            <w:shd w:val="clear" w:color="auto" w:fill="auto"/>
            <w:noWrap/>
            <w:hideMark/>
          </w:tcPr>
          <w:p w14:paraId="155DD3DC" w14:textId="77777777" w:rsidR="002F0133" w:rsidRPr="000B4E2C" w:rsidRDefault="002F0133" w:rsidP="008A7464">
            <w:pPr>
              <w:rPr>
                <w:lang w:eastAsia="en-GB"/>
              </w:rPr>
            </w:pPr>
            <w:r w:rsidRPr="000B4E2C">
              <w:rPr>
                <w:lang w:eastAsia="en-GB"/>
              </w:rPr>
              <w:t>Tuladhar</w:t>
            </w:r>
          </w:p>
        </w:tc>
        <w:tc>
          <w:tcPr>
            <w:tcW w:w="0" w:type="auto"/>
            <w:shd w:val="clear" w:color="auto" w:fill="auto"/>
            <w:noWrap/>
            <w:hideMark/>
          </w:tcPr>
          <w:p w14:paraId="4B95674D"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3DA8E0A5" w14:textId="4ADC3B8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2BEF475" w14:textId="77777777" w:rsidR="002F0133" w:rsidRPr="000B4E2C" w:rsidRDefault="002F0133" w:rsidP="008A7464">
            <w:pPr>
              <w:rPr>
                <w:highlight w:val="green"/>
                <w:lang w:eastAsia="en-GB"/>
              </w:rPr>
            </w:pPr>
            <w:r w:rsidRPr="000B4E2C">
              <w:rPr>
                <w:highlight w:val="green"/>
                <w:lang w:eastAsia="en-GB"/>
              </w:rPr>
              <w:t>S. M. Tuladhar, V. O. Puntmann, M. Soni, P. P. Punjabi and R. G. Bogle. Rapid detection of acute kidney injury by plasma and urinary neutrophil gelatinase-associated lipocalin after cardiopulmonary bypass. Journal of Cardiovascular Pharmacology, 53(3), 261-266. [16787]</w:t>
            </w:r>
          </w:p>
        </w:tc>
      </w:tr>
      <w:tr w:rsidR="002F0133" w:rsidRPr="000B4E2C" w14:paraId="012E182C" w14:textId="77777777" w:rsidTr="000B4E2C">
        <w:trPr>
          <w:cantSplit/>
        </w:trPr>
        <w:tc>
          <w:tcPr>
            <w:tcW w:w="0" w:type="auto"/>
            <w:shd w:val="clear" w:color="auto" w:fill="auto"/>
            <w:noWrap/>
            <w:hideMark/>
          </w:tcPr>
          <w:p w14:paraId="326E55EC" w14:textId="77777777" w:rsidR="002F0133" w:rsidRPr="000B4E2C" w:rsidRDefault="002F0133" w:rsidP="008A7464">
            <w:pPr>
              <w:rPr>
                <w:lang w:eastAsia="en-GB"/>
              </w:rPr>
            </w:pPr>
            <w:r w:rsidRPr="000B4E2C">
              <w:rPr>
                <w:lang w:eastAsia="en-GB"/>
              </w:rPr>
              <w:lastRenderedPageBreak/>
              <w:t>Tung</w:t>
            </w:r>
          </w:p>
        </w:tc>
        <w:tc>
          <w:tcPr>
            <w:tcW w:w="0" w:type="auto"/>
            <w:shd w:val="clear" w:color="auto" w:fill="auto"/>
            <w:noWrap/>
            <w:hideMark/>
          </w:tcPr>
          <w:p w14:paraId="4DE31055"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AF65F4D"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8B2DF51" w14:textId="77777777" w:rsidR="002F0133" w:rsidRPr="000B4E2C" w:rsidRDefault="002F0133" w:rsidP="008A7464">
            <w:pPr>
              <w:rPr>
                <w:highlight w:val="green"/>
                <w:lang w:eastAsia="en-GB"/>
              </w:rPr>
            </w:pPr>
            <w:r w:rsidRPr="000B4E2C">
              <w:rPr>
                <w:highlight w:val="green"/>
                <w:lang w:eastAsia="en-GB"/>
              </w:rPr>
              <w:t>Y. C. Tung, C. H. Chang, Y. C. Chen and P. H. Chu. Combined biomarker analysis for risk of acute kidney injury in patients with ST-segment elevation myocardial infarction. PLoS ONE, 10(4), e0125282. [16788]</w:t>
            </w:r>
          </w:p>
        </w:tc>
      </w:tr>
      <w:tr w:rsidR="002F0133" w:rsidRPr="000B4E2C" w14:paraId="5C207B1F" w14:textId="77777777" w:rsidTr="000B4E2C">
        <w:trPr>
          <w:cantSplit/>
        </w:trPr>
        <w:tc>
          <w:tcPr>
            <w:tcW w:w="0" w:type="auto"/>
            <w:shd w:val="clear" w:color="auto" w:fill="auto"/>
            <w:noWrap/>
            <w:hideMark/>
          </w:tcPr>
          <w:p w14:paraId="6061F945" w14:textId="77777777" w:rsidR="002F0133" w:rsidRPr="000B4E2C" w:rsidRDefault="002F0133" w:rsidP="008A7464">
            <w:pPr>
              <w:rPr>
                <w:lang w:eastAsia="en-GB"/>
              </w:rPr>
            </w:pPr>
            <w:r w:rsidRPr="000B4E2C">
              <w:rPr>
                <w:lang w:eastAsia="en-GB"/>
              </w:rPr>
              <w:t>Tyagi</w:t>
            </w:r>
          </w:p>
        </w:tc>
        <w:tc>
          <w:tcPr>
            <w:tcW w:w="0" w:type="auto"/>
            <w:shd w:val="clear" w:color="auto" w:fill="auto"/>
            <w:noWrap/>
            <w:hideMark/>
          </w:tcPr>
          <w:p w14:paraId="29A4A921"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2CF92CDC" w14:textId="68F75CB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E3AAD8A" w14:textId="77777777" w:rsidR="002F0133" w:rsidRPr="000B4E2C" w:rsidRDefault="002F0133" w:rsidP="008A7464">
            <w:pPr>
              <w:rPr>
                <w:highlight w:val="green"/>
                <w:lang w:eastAsia="en-GB"/>
              </w:rPr>
            </w:pPr>
            <w:r w:rsidRPr="000B4E2C">
              <w:rPr>
                <w:highlight w:val="green"/>
                <w:lang w:eastAsia="en-GB"/>
              </w:rPr>
              <w:t>A. Tyagi, A. Luthra, M. Kumar and S. Das. Epidemiology of acute kidney injury and the role of urinary [TIMP-2].[IGFBP7]: a prospective cohort study in critically ill obstetric patients. International Journal of Obstetric Anesthesia, 36(77-84. [16789]</w:t>
            </w:r>
          </w:p>
        </w:tc>
      </w:tr>
      <w:tr w:rsidR="002F0133" w:rsidRPr="000B4E2C" w14:paraId="4433CDDF" w14:textId="77777777" w:rsidTr="000B4E2C">
        <w:trPr>
          <w:cantSplit/>
        </w:trPr>
        <w:tc>
          <w:tcPr>
            <w:tcW w:w="0" w:type="auto"/>
            <w:shd w:val="clear" w:color="auto" w:fill="auto"/>
            <w:noWrap/>
            <w:hideMark/>
          </w:tcPr>
          <w:p w14:paraId="652034FE" w14:textId="77777777" w:rsidR="002F0133" w:rsidRPr="000B4E2C" w:rsidRDefault="002F0133" w:rsidP="008A7464">
            <w:pPr>
              <w:rPr>
                <w:lang w:eastAsia="en-GB"/>
              </w:rPr>
            </w:pPr>
            <w:r w:rsidRPr="000B4E2C">
              <w:rPr>
                <w:lang w:eastAsia="en-GB"/>
              </w:rPr>
              <w:t>Tyagi</w:t>
            </w:r>
          </w:p>
        </w:tc>
        <w:tc>
          <w:tcPr>
            <w:tcW w:w="0" w:type="auto"/>
            <w:shd w:val="clear" w:color="auto" w:fill="auto"/>
            <w:noWrap/>
            <w:hideMark/>
          </w:tcPr>
          <w:p w14:paraId="1F9DE139"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06D5FF3C" w14:textId="12D8495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AAD44C3" w14:textId="77777777" w:rsidR="002F0133" w:rsidRPr="000B4E2C" w:rsidRDefault="002F0133" w:rsidP="008A7464">
            <w:pPr>
              <w:rPr>
                <w:highlight w:val="green"/>
                <w:lang w:eastAsia="en-GB"/>
              </w:rPr>
            </w:pPr>
            <w:r w:rsidRPr="000B4E2C">
              <w:rPr>
                <w:highlight w:val="green"/>
                <w:lang w:eastAsia="en-GB"/>
              </w:rPr>
              <w:t>A. Tyagi, S. Lahan, G. Verma, S. Das and M. Kumar. Role of intra-abdominal pressure in early acute kidney injury: A prospective cohort study in critically Ill obstetric patients. Indian Journal of Critical Care Medicine, 22(8), 602-607. [16791]</w:t>
            </w:r>
          </w:p>
        </w:tc>
      </w:tr>
      <w:tr w:rsidR="002F0133" w:rsidRPr="000B4E2C" w14:paraId="65CFC31B" w14:textId="77777777" w:rsidTr="000B4E2C">
        <w:trPr>
          <w:cantSplit/>
        </w:trPr>
        <w:tc>
          <w:tcPr>
            <w:tcW w:w="0" w:type="auto"/>
            <w:shd w:val="clear" w:color="auto" w:fill="auto"/>
            <w:noWrap/>
            <w:hideMark/>
          </w:tcPr>
          <w:p w14:paraId="126DC678" w14:textId="77777777" w:rsidR="002F0133" w:rsidRPr="000B4E2C" w:rsidRDefault="002F0133" w:rsidP="008A7464">
            <w:pPr>
              <w:rPr>
                <w:lang w:eastAsia="en-GB"/>
              </w:rPr>
            </w:pPr>
            <w:r w:rsidRPr="000B4E2C">
              <w:rPr>
                <w:lang w:eastAsia="en-GB"/>
              </w:rPr>
              <w:t>Tziakas</w:t>
            </w:r>
          </w:p>
        </w:tc>
        <w:tc>
          <w:tcPr>
            <w:tcW w:w="0" w:type="auto"/>
            <w:shd w:val="clear" w:color="auto" w:fill="auto"/>
            <w:noWrap/>
            <w:hideMark/>
          </w:tcPr>
          <w:p w14:paraId="1863B6FF"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44702077"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1C9A482E" w14:textId="77777777" w:rsidR="002F0133" w:rsidRPr="000B4E2C" w:rsidRDefault="002F0133" w:rsidP="008A7464">
            <w:pPr>
              <w:rPr>
                <w:highlight w:val="green"/>
                <w:lang w:eastAsia="en-GB"/>
              </w:rPr>
            </w:pPr>
            <w:r w:rsidRPr="000B4E2C">
              <w:rPr>
                <w:highlight w:val="green"/>
                <w:lang w:eastAsia="en-GB"/>
              </w:rPr>
              <w:t>D. Tziakas, G. Chalikias, D. Kareli, C. Tsigalou, A. Risgits, P. Kikas, D. Makrygiannis, S. Chatzikyriakou, G. Kampouromiti, D. Symeonidis, V. Voudris and S. Konstantinides. Spot urine albumin to creatinine ratio outperforms novel acute kidney injury biomarkers in patients with acute myocardial infarction. International Journal of Cardiology, 197(48-55. [16792]</w:t>
            </w:r>
          </w:p>
        </w:tc>
      </w:tr>
      <w:tr w:rsidR="002F0133" w:rsidRPr="000B4E2C" w14:paraId="080852CC" w14:textId="77777777" w:rsidTr="000B4E2C">
        <w:trPr>
          <w:cantSplit/>
        </w:trPr>
        <w:tc>
          <w:tcPr>
            <w:tcW w:w="0" w:type="auto"/>
            <w:shd w:val="clear" w:color="auto" w:fill="auto"/>
            <w:noWrap/>
            <w:hideMark/>
          </w:tcPr>
          <w:p w14:paraId="6E7CDE10" w14:textId="77777777" w:rsidR="002F0133" w:rsidRPr="000B4E2C" w:rsidRDefault="002F0133" w:rsidP="008A7464">
            <w:pPr>
              <w:rPr>
                <w:lang w:eastAsia="en-GB"/>
              </w:rPr>
            </w:pPr>
            <w:r w:rsidRPr="000B4E2C">
              <w:rPr>
                <w:lang w:eastAsia="en-GB"/>
              </w:rPr>
              <w:t>Uehara</w:t>
            </w:r>
          </w:p>
        </w:tc>
        <w:tc>
          <w:tcPr>
            <w:tcW w:w="0" w:type="auto"/>
            <w:shd w:val="clear" w:color="auto" w:fill="auto"/>
            <w:noWrap/>
            <w:hideMark/>
          </w:tcPr>
          <w:p w14:paraId="4760044C"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4991B472"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5C45546" w14:textId="77777777" w:rsidR="002F0133" w:rsidRPr="000B4E2C" w:rsidRDefault="002F0133" w:rsidP="008A7464">
            <w:pPr>
              <w:rPr>
                <w:highlight w:val="green"/>
                <w:lang w:eastAsia="en-GB"/>
              </w:rPr>
            </w:pPr>
            <w:r w:rsidRPr="000B4E2C">
              <w:rPr>
                <w:highlight w:val="green"/>
                <w:lang w:eastAsia="en-GB"/>
              </w:rPr>
              <w:t>Y. Uehara, H. Makino, K. Seiki and Y. Urade. Urinary excretions of lipocalin-type prostaglandin D synthase predict renal injury in type-2 diabetes: A cross-sectional and prospective multicentre study. Nephrology Dialysis Transplantation, 24(2), 475-482. [2034]</w:t>
            </w:r>
          </w:p>
        </w:tc>
      </w:tr>
      <w:tr w:rsidR="002F0133" w:rsidRPr="000B4E2C" w14:paraId="3E3A1522" w14:textId="77777777" w:rsidTr="000B4E2C">
        <w:trPr>
          <w:cantSplit/>
        </w:trPr>
        <w:tc>
          <w:tcPr>
            <w:tcW w:w="0" w:type="auto"/>
            <w:shd w:val="clear" w:color="auto" w:fill="auto"/>
            <w:noWrap/>
            <w:hideMark/>
          </w:tcPr>
          <w:p w14:paraId="425D1308" w14:textId="77777777" w:rsidR="002F0133" w:rsidRPr="000B4E2C" w:rsidRDefault="002F0133" w:rsidP="008A7464">
            <w:pPr>
              <w:rPr>
                <w:lang w:eastAsia="en-GB"/>
              </w:rPr>
            </w:pPr>
            <w:r w:rsidRPr="000B4E2C">
              <w:rPr>
                <w:lang w:eastAsia="en-GB"/>
              </w:rPr>
              <w:t>Ueta</w:t>
            </w:r>
          </w:p>
        </w:tc>
        <w:tc>
          <w:tcPr>
            <w:tcW w:w="0" w:type="auto"/>
            <w:shd w:val="clear" w:color="auto" w:fill="auto"/>
            <w:noWrap/>
            <w:hideMark/>
          </w:tcPr>
          <w:p w14:paraId="07AFF938"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4F88E9F" w14:textId="76DDD00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E8422DB" w14:textId="77777777" w:rsidR="002F0133" w:rsidRPr="000B4E2C" w:rsidRDefault="002F0133" w:rsidP="008A7464">
            <w:pPr>
              <w:rPr>
                <w:highlight w:val="green"/>
                <w:lang w:eastAsia="en-GB"/>
              </w:rPr>
            </w:pPr>
            <w:r w:rsidRPr="000B4E2C">
              <w:rPr>
                <w:highlight w:val="green"/>
                <w:lang w:eastAsia="en-GB"/>
              </w:rPr>
              <w:t>K. Ueta, M. Watanabe, N. Iguchi, A. Uchiyama, Y. Shirakawa, T. Kuratani, Y. Sawa and Y. Fujino. Early prediction of acute kidney injury biomarkers after endovascular stent graft repair of aortic aneurysm: A prospective observational study. Journal of Intensive Care, 2(1), 45. [16797]</w:t>
            </w:r>
          </w:p>
        </w:tc>
      </w:tr>
      <w:tr w:rsidR="002F0133" w:rsidRPr="000B4E2C" w14:paraId="0A40D5CB" w14:textId="77777777" w:rsidTr="000B4E2C">
        <w:trPr>
          <w:cantSplit/>
        </w:trPr>
        <w:tc>
          <w:tcPr>
            <w:tcW w:w="0" w:type="auto"/>
            <w:shd w:val="clear" w:color="auto" w:fill="auto"/>
            <w:noWrap/>
            <w:hideMark/>
          </w:tcPr>
          <w:p w14:paraId="55499091" w14:textId="77777777" w:rsidR="002F0133" w:rsidRPr="000B4E2C" w:rsidRDefault="002F0133" w:rsidP="008A7464">
            <w:pPr>
              <w:rPr>
                <w:lang w:eastAsia="en-GB"/>
              </w:rPr>
            </w:pPr>
            <w:r w:rsidRPr="000B4E2C">
              <w:rPr>
                <w:lang w:eastAsia="en-GB"/>
              </w:rPr>
              <w:t>Uettwiller-Geiger</w:t>
            </w:r>
          </w:p>
        </w:tc>
        <w:tc>
          <w:tcPr>
            <w:tcW w:w="0" w:type="auto"/>
            <w:shd w:val="clear" w:color="auto" w:fill="auto"/>
            <w:noWrap/>
            <w:hideMark/>
          </w:tcPr>
          <w:p w14:paraId="023BF501"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132D12C" w14:textId="326053D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58F6C77" w14:textId="77777777" w:rsidR="002F0133" w:rsidRPr="000B4E2C" w:rsidRDefault="002F0133" w:rsidP="008A7464">
            <w:pPr>
              <w:rPr>
                <w:highlight w:val="green"/>
                <w:lang w:eastAsia="en-GB"/>
              </w:rPr>
            </w:pPr>
            <w:r w:rsidRPr="000B4E2C">
              <w:rPr>
                <w:highlight w:val="green"/>
                <w:lang w:eastAsia="en-GB"/>
              </w:rPr>
              <w:t>D. L. Uettwiller-Geiger, R. Vijayendran, J. A. Kellum and R. L. Fitzgerald. Analytical characteristics of a biomarker-based risk assessment test for acute kidney injury (AKI). Clinica Chimica Acta, 455(93-98. [16798]</w:t>
            </w:r>
          </w:p>
        </w:tc>
      </w:tr>
      <w:tr w:rsidR="002F0133" w:rsidRPr="000B4E2C" w14:paraId="7D26FD20" w14:textId="77777777" w:rsidTr="000B4E2C">
        <w:trPr>
          <w:cantSplit/>
        </w:trPr>
        <w:tc>
          <w:tcPr>
            <w:tcW w:w="0" w:type="auto"/>
            <w:shd w:val="clear" w:color="auto" w:fill="auto"/>
            <w:noWrap/>
            <w:hideMark/>
          </w:tcPr>
          <w:p w14:paraId="745687F0" w14:textId="77777777" w:rsidR="002F0133" w:rsidRPr="000B4E2C" w:rsidRDefault="002F0133" w:rsidP="008A7464">
            <w:pPr>
              <w:rPr>
                <w:lang w:eastAsia="en-GB"/>
              </w:rPr>
            </w:pPr>
            <w:r w:rsidRPr="000B4E2C">
              <w:rPr>
                <w:lang w:eastAsia="en-GB"/>
              </w:rPr>
              <w:t>Urbschat</w:t>
            </w:r>
          </w:p>
        </w:tc>
        <w:tc>
          <w:tcPr>
            <w:tcW w:w="0" w:type="auto"/>
            <w:shd w:val="clear" w:color="auto" w:fill="auto"/>
            <w:noWrap/>
            <w:hideMark/>
          </w:tcPr>
          <w:p w14:paraId="36A9EF0F"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044E971"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5EBC6978" w14:textId="77777777" w:rsidR="002F0133" w:rsidRPr="000B4E2C" w:rsidRDefault="002F0133" w:rsidP="008A7464">
            <w:pPr>
              <w:rPr>
                <w:highlight w:val="green"/>
                <w:lang w:eastAsia="en-GB"/>
              </w:rPr>
            </w:pPr>
            <w:r w:rsidRPr="000B4E2C">
              <w:rPr>
                <w:highlight w:val="green"/>
                <w:lang w:eastAsia="en-GB"/>
              </w:rPr>
              <w:t>A. Urbschat, S. Gauer, P. Paulus, M. Reissig, C. Weipert, E. Ramos-Lopez, R. Hofmann, P. Hadji, H. Geiger and N. Obermuller. Serum and urinary NGAL but not KIM-1 raises in human postrenal AKI. European Journal of Clinical Investigation, 44(7), 652-659. [16801]</w:t>
            </w:r>
          </w:p>
        </w:tc>
      </w:tr>
      <w:tr w:rsidR="002F0133" w:rsidRPr="000B4E2C" w14:paraId="75C75ACD" w14:textId="77777777" w:rsidTr="000B4E2C">
        <w:trPr>
          <w:cantSplit/>
        </w:trPr>
        <w:tc>
          <w:tcPr>
            <w:tcW w:w="0" w:type="auto"/>
            <w:shd w:val="clear" w:color="auto" w:fill="auto"/>
            <w:noWrap/>
            <w:hideMark/>
          </w:tcPr>
          <w:p w14:paraId="5BC9C157" w14:textId="77777777" w:rsidR="002F0133" w:rsidRPr="000B4E2C" w:rsidRDefault="002F0133" w:rsidP="008A7464">
            <w:pPr>
              <w:rPr>
                <w:lang w:eastAsia="en-GB"/>
              </w:rPr>
            </w:pPr>
            <w:r w:rsidRPr="000B4E2C">
              <w:rPr>
                <w:lang w:eastAsia="en-GB"/>
              </w:rPr>
              <w:t>Vaidya</w:t>
            </w:r>
          </w:p>
        </w:tc>
        <w:tc>
          <w:tcPr>
            <w:tcW w:w="0" w:type="auto"/>
            <w:shd w:val="clear" w:color="auto" w:fill="auto"/>
            <w:noWrap/>
            <w:hideMark/>
          </w:tcPr>
          <w:p w14:paraId="660B053D"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4FD4DECF"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4748963" w14:textId="77777777" w:rsidR="002F0133" w:rsidRPr="000B4E2C" w:rsidRDefault="002F0133" w:rsidP="008A7464">
            <w:pPr>
              <w:rPr>
                <w:highlight w:val="green"/>
                <w:lang w:eastAsia="en-GB"/>
              </w:rPr>
            </w:pPr>
            <w:r w:rsidRPr="000B4E2C">
              <w:rPr>
                <w:highlight w:val="green"/>
                <w:lang w:eastAsia="en-GB"/>
              </w:rPr>
              <w:t>V. S. Vaidya, S. S. Waikar, M. A. Ferguson, F. B. Collings, K. Sunderland, C. Gioules, G. Bradwin, R. Matsouaka, R. A. Betensky, G. C. Curhan and J. V. Bonventre. Urinary biomarkers for sensitive and specific detection of acute kidney injury in humans. Clinical and translational science, 1(3), 200-8. [3962]</w:t>
            </w:r>
          </w:p>
        </w:tc>
      </w:tr>
      <w:tr w:rsidR="002F0133" w:rsidRPr="000B4E2C" w14:paraId="61C4696C" w14:textId="77777777" w:rsidTr="000B4E2C">
        <w:trPr>
          <w:cantSplit/>
        </w:trPr>
        <w:tc>
          <w:tcPr>
            <w:tcW w:w="0" w:type="auto"/>
            <w:shd w:val="clear" w:color="auto" w:fill="auto"/>
            <w:noWrap/>
            <w:hideMark/>
          </w:tcPr>
          <w:p w14:paraId="7BF36161" w14:textId="77777777" w:rsidR="002F0133" w:rsidRPr="000B4E2C" w:rsidRDefault="002F0133" w:rsidP="008A7464">
            <w:pPr>
              <w:rPr>
                <w:lang w:eastAsia="en-GB"/>
              </w:rPr>
            </w:pPr>
            <w:r w:rsidRPr="000B4E2C">
              <w:rPr>
                <w:lang w:eastAsia="en-GB"/>
              </w:rPr>
              <w:t>Valero</w:t>
            </w:r>
          </w:p>
        </w:tc>
        <w:tc>
          <w:tcPr>
            <w:tcW w:w="0" w:type="auto"/>
            <w:shd w:val="clear" w:color="auto" w:fill="auto"/>
            <w:noWrap/>
            <w:hideMark/>
          </w:tcPr>
          <w:p w14:paraId="42EBD0A2"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BAF9D35"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B2EE999" w14:textId="77777777" w:rsidR="002F0133" w:rsidRPr="000B4E2C" w:rsidRDefault="002F0133" w:rsidP="008A7464">
            <w:pPr>
              <w:rPr>
                <w:highlight w:val="green"/>
                <w:lang w:eastAsia="en-GB"/>
              </w:rPr>
            </w:pPr>
            <w:r w:rsidRPr="000B4E2C">
              <w:rPr>
                <w:highlight w:val="green"/>
                <w:lang w:eastAsia="en-GB"/>
              </w:rPr>
              <w:t>E. Valero, J. C. Rodriguez, P. Moyano, G. Minana, J. Sanchis and J. Nunez. Role of Neutrophil Gelatinase-associated Lipocalin in the Detection of Contrast-induced Nephropathy in Patients Undergoing a Coronary Angiography. Revista Espanola de Cardiologia, 69(5), 524-525. [16813]</w:t>
            </w:r>
          </w:p>
        </w:tc>
      </w:tr>
      <w:tr w:rsidR="002F0133" w:rsidRPr="000B4E2C" w14:paraId="6D4130BB" w14:textId="77777777" w:rsidTr="000B4E2C">
        <w:trPr>
          <w:cantSplit/>
        </w:trPr>
        <w:tc>
          <w:tcPr>
            <w:tcW w:w="0" w:type="auto"/>
            <w:shd w:val="clear" w:color="auto" w:fill="auto"/>
            <w:noWrap/>
            <w:hideMark/>
          </w:tcPr>
          <w:p w14:paraId="470D4214" w14:textId="77777777" w:rsidR="002F0133" w:rsidRPr="000B4E2C" w:rsidRDefault="002F0133" w:rsidP="008A7464">
            <w:pPr>
              <w:rPr>
                <w:lang w:eastAsia="en-GB"/>
              </w:rPr>
            </w:pPr>
            <w:r w:rsidRPr="000B4E2C">
              <w:rPr>
                <w:lang w:eastAsia="en-GB"/>
              </w:rPr>
              <w:t>Valette</w:t>
            </w:r>
          </w:p>
        </w:tc>
        <w:tc>
          <w:tcPr>
            <w:tcW w:w="0" w:type="auto"/>
            <w:shd w:val="clear" w:color="auto" w:fill="auto"/>
            <w:noWrap/>
            <w:hideMark/>
          </w:tcPr>
          <w:p w14:paraId="62ACDE0B"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1CCF319A" w14:textId="740910F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3AEA01C" w14:textId="77777777" w:rsidR="002F0133" w:rsidRPr="000B4E2C" w:rsidRDefault="002F0133" w:rsidP="008A7464">
            <w:pPr>
              <w:rPr>
                <w:highlight w:val="green"/>
                <w:lang w:eastAsia="en-GB"/>
              </w:rPr>
            </w:pPr>
            <w:r w:rsidRPr="000B4E2C">
              <w:rPr>
                <w:highlight w:val="green"/>
                <w:lang w:eastAsia="en-GB"/>
              </w:rPr>
              <w:t>X. Valette, B. Savary, M. Nowoczyn, C. Daubin, V. Pottier, N. Terzi, A. Seguin, S. Fradin, P. Charbonneau, J. L. Hanouz and D. Du Cheyron. Accuracy of plasma neutrophil gelatinase-associated lipocalin in the early diagnosis of contrast-induced acute kidney injury in critical illness. Intensive Care Medicine, 39(5), 857-865. [16814]</w:t>
            </w:r>
          </w:p>
        </w:tc>
      </w:tr>
      <w:tr w:rsidR="002F0133" w:rsidRPr="000B4E2C" w14:paraId="4ECB18FB" w14:textId="77777777" w:rsidTr="000B4E2C">
        <w:trPr>
          <w:cantSplit/>
        </w:trPr>
        <w:tc>
          <w:tcPr>
            <w:tcW w:w="0" w:type="auto"/>
            <w:shd w:val="clear" w:color="auto" w:fill="auto"/>
            <w:noWrap/>
            <w:hideMark/>
          </w:tcPr>
          <w:p w14:paraId="78F7589C" w14:textId="77777777" w:rsidR="002F0133" w:rsidRPr="000B4E2C" w:rsidRDefault="002F0133" w:rsidP="008A7464">
            <w:pPr>
              <w:rPr>
                <w:lang w:eastAsia="en-GB"/>
              </w:rPr>
            </w:pPr>
            <w:r w:rsidRPr="000B4E2C">
              <w:rPr>
                <w:lang w:eastAsia="en-GB"/>
              </w:rPr>
              <w:t>Van Biesen</w:t>
            </w:r>
          </w:p>
        </w:tc>
        <w:tc>
          <w:tcPr>
            <w:tcW w:w="0" w:type="auto"/>
            <w:shd w:val="clear" w:color="auto" w:fill="auto"/>
            <w:noWrap/>
            <w:hideMark/>
          </w:tcPr>
          <w:p w14:paraId="440F616B"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1D190C62"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64FCBC27" w14:textId="77777777" w:rsidR="002F0133" w:rsidRPr="000B4E2C" w:rsidRDefault="002F0133" w:rsidP="008A7464">
            <w:pPr>
              <w:rPr>
                <w:highlight w:val="green"/>
                <w:lang w:eastAsia="en-GB"/>
              </w:rPr>
            </w:pPr>
            <w:r w:rsidRPr="000B4E2C">
              <w:rPr>
                <w:highlight w:val="green"/>
                <w:lang w:val="da-DK" w:eastAsia="en-GB"/>
              </w:rPr>
              <w:t xml:space="preserve">W. Van Biesen, J. Van Massenhove, N. Lameire and R. Vanholder. </w:t>
            </w:r>
            <w:r w:rsidRPr="000B4E2C">
              <w:rPr>
                <w:highlight w:val="green"/>
                <w:lang w:eastAsia="en-GB"/>
              </w:rPr>
              <w:t>Does urinary neutrophil gelatinase-associated lipocalin really solve the issue of discriminating prerenal from intrinsic acute kidney injury. Kidney International, 81(3), 321. [16817]</w:t>
            </w:r>
          </w:p>
        </w:tc>
      </w:tr>
      <w:tr w:rsidR="002F0133" w:rsidRPr="000B4E2C" w14:paraId="58FCAB2C" w14:textId="77777777" w:rsidTr="000B4E2C">
        <w:trPr>
          <w:cantSplit/>
        </w:trPr>
        <w:tc>
          <w:tcPr>
            <w:tcW w:w="0" w:type="auto"/>
            <w:shd w:val="clear" w:color="auto" w:fill="auto"/>
            <w:noWrap/>
            <w:hideMark/>
          </w:tcPr>
          <w:p w14:paraId="608A35D7" w14:textId="77777777" w:rsidR="002F0133" w:rsidRPr="000B4E2C" w:rsidRDefault="002F0133" w:rsidP="008A7464">
            <w:pPr>
              <w:rPr>
                <w:lang w:eastAsia="en-GB"/>
              </w:rPr>
            </w:pPr>
            <w:r w:rsidRPr="000B4E2C">
              <w:rPr>
                <w:lang w:eastAsia="en-GB"/>
              </w:rPr>
              <w:lastRenderedPageBreak/>
              <w:t>van Deursen</w:t>
            </w:r>
          </w:p>
        </w:tc>
        <w:tc>
          <w:tcPr>
            <w:tcW w:w="0" w:type="auto"/>
            <w:shd w:val="clear" w:color="auto" w:fill="auto"/>
            <w:noWrap/>
            <w:hideMark/>
          </w:tcPr>
          <w:p w14:paraId="31405F16"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D8C8AA3"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63AF592B" w14:textId="77777777" w:rsidR="002F0133" w:rsidRPr="000B4E2C" w:rsidRDefault="002F0133" w:rsidP="008A7464">
            <w:pPr>
              <w:rPr>
                <w:highlight w:val="green"/>
                <w:lang w:eastAsia="en-GB"/>
              </w:rPr>
            </w:pPr>
            <w:r w:rsidRPr="000B4E2C">
              <w:rPr>
                <w:highlight w:val="green"/>
                <w:lang w:val="da-DK" w:eastAsia="en-GB"/>
              </w:rPr>
              <w:t xml:space="preserve">V. M. van Deursen, K. Damman, A. A. Voors, M. H. van der Wal, T. Jaarsma, D. J. van Veldhuisen and H. L. Hillege. </w:t>
            </w:r>
            <w:r w:rsidRPr="000B4E2C">
              <w:rPr>
                <w:highlight w:val="green"/>
                <w:lang w:eastAsia="en-GB"/>
              </w:rPr>
              <w:t>Prognostic Value of Plasma Neutrophil Gelatinase-Associated Lipocalin for Mortality in Patients With Heart Failure. Circulation-Heart Failure, 7(1), 35-42. [18602]</w:t>
            </w:r>
          </w:p>
        </w:tc>
      </w:tr>
      <w:tr w:rsidR="002F0133" w:rsidRPr="000B4E2C" w14:paraId="3C6689DE" w14:textId="77777777" w:rsidTr="000B4E2C">
        <w:trPr>
          <w:cantSplit/>
        </w:trPr>
        <w:tc>
          <w:tcPr>
            <w:tcW w:w="0" w:type="auto"/>
            <w:shd w:val="clear" w:color="auto" w:fill="auto"/>
            <w:noWrap/>
            <w:hideMark/>
          </w:tcPr>
          <w:p w14:paraId="703FAE0B" w14:textId="77777777" w:rsidR="002F0133" w:rsidRPr="000B4E2C" w:rsidRDefault="002F0133" w:rsidP="008A7464">
            <w:pPr>
              <w:rPr>
                <w:lang w:eastAsia="en-GB"/>
              </w:rPr>
            </w:pPr>
            <w:r w:rsidRPr="000B4E2C">
              <w:rPr>
                <w:lang w:eastAsia="en-GB"/>
              </w:rPr>
              <w:t>Van Wolfswinkel</w:t>
            </w:r>
          </w:p>
        </w:tc>
        <w:tc>
          <w:tcPr>
            <w:tcW w:w="0" w:type="auto"/>
            <w:shd w:val="clear" w:color="auto" w:fill="auto"/>
            <w:noWrap/>
            <w:hideMark/>
          </w:tcPr>
          <w:p w14:paraId="5604CDE3"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115B5AE7" w14:textId="5176029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8BB16CC" w14:textId="77777777" w:rsidR="002F0133" w:rsidRPr="000B4E2C" w:rsidRDefault="002F0133" w:rsidP="008A7464">
            <w:pPr>
              <w:rPr>
                <w:highlight w:val="green"/>
                <w:lang w:eastAsia="en-GB"/>
              </w:rPr>
            </w:pPr>
            <w:r w:rsidRPr="000B4E2C">
              <w:rPr>
                <w:highlight w:val="green"/>
                <w:lang w:val="da-DK" w:eastAsia="en-GB"/>
              </w:rPr>
              <w:t xml:space="preserve">M. E. Van Wolfswinkel, L. C. Koopmans, D. A. Hesselink, E. J. Hoorn, R. Koelewijn, J. J. Van Hellemond and P. J. J. Van Genderen. </w:t>
            </w:r>
            <w:r w:rsidRPr="000B4E2C">
              <w:rPr>
                <w:highlight w:val="green"/>
                <w:lang w:eastAsia="en-GB"/>
              </w:rPr>
              <w:t>Neutrophil gelatinase-associated lipocalin (NGAL) predicts the occurrence of malaria-induced acute kidney injury. Malaria Journal, 15(1), 464. [16823]</w:t>
            </w:r>
          </w:p>
        </w:tc>
      </w:tr>
      <w:tr w:rsidR="002F0133" w:rsidRPr="000B4E2C" w14:paraId="34F0AC7C" w14:textId="77777777" w:rsidTr="000B4E2C">
        <w:trPr>
          <w:cantSplit/>
        </w:trPr>
        <w:tc>
          <w:tcPr>
            <w:tcW w:w="0" w:type="auto"/>
            <w:shd w:val="clear" w:color="auto" w:fill="auto"/>
            <w:noWrap/>
            <w:hideMark/>
          </w:tcPr>
          <w:p w14:paraId="44C3E9EE" w14:textId="77777777" w:rsidR="002F0133" w:rsidRPr="000B4E2C" w:rsidRDefault="002F0133" w:rsidP="008A7464">
            <w:pPr>
              <w:rPr>
                <w:lang w:eastAsia="en-GB"/>
              </w:rPr>
            </w:pPr>
            <w:r w:rsidRPr="000B4E2C">
              <w:rPr>
                <w:lang w:eastAsia="en-GB"/>
              </w:rPr>
              <w:t>Vandenberghe</w:t>
            </w:r>
          </w:p>
        </w:tc>
        <w:tc>
          <w:tcPr>
            <w:tcW w:w="0" w:type="auto"/>
            <w:shd w:val="clear" w:color="auto" w:fill="auto"/>
            <w:noWrap/>
            <w:hideMark/>
          </w:tcPr>
          <w:p w14:paraId="2AF238F6"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2980059E" w14:textId="34432BA2" w:rsidR="002F0133" w:rsidRPr="000B4E2C" w:rsidRDefault="002F0133" w:rsidP="008A7464">
            <w:pPr>
              <w:rPr>
                <w:lang w:eastAsia="en-GB"/>
              </w:rPr>
            </w:pPr>
            <w:r w:rsidRPr="000B4E2C">
              <w:rPr>
                <w:lang w:eastAsia="en-GB"/>
              </w:rPr>
              <w:t>Review</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2F64467B" w14:textId="77777777" w:rsidR="002F0133" w:rsidRPr="000B4E2C" w:rsidRDefault="002F0133" w:rsidP="008A7464">
            <w:pPr>
              <w:rPr>
                <w:highlight w:val="green"/>
                <w:lang w:eastAsia="en-GB"/>
              </w:rPr>
            </w:pPr>
            <w:r w:rsidRPr="000B4E2C">
              <w:rPr>
                <w:highlight w:val="green"/>
                <w:lang w:eastAsia="en-GB"/>
              </w:rPr>
              <w:t>W. Vandenberghe, J. De Loor and E. A. J. Hoste. Diagnosis of cardiac surgery-associated acute kidney injury from functional to damage biomarkers. Current Opinion in Anaesthesiology, 30(1), 66-75. [16824]</w:t>
            </w:r>
          </w:p>
        </w:tc>
      </w:tr>
      <w:tr w:rsidR="002F0133" w:rsidRPr="000B4E2C" w14:paraId="55CC51AC" w14:textId="77777777" w:rsidTr="000B4E2C">
        <w:trPr>
          <w:cantSplit/>
        </w:trPr>
        <w:tc>
          <w:tcPr>
            <w:tcW w:w="0" w:type="auto"/>
            <w:shd w:val="clear" w:color="auto" w:fill="auto"/>
            <w:noWrap/>
            <w:hideMark/>
          </w:tcPr>
          <w:p w14:paraId="1015D5AF" w14:textId="77777777" w:rsidR="002F0133" w:rsidRPr="000B4E2C" w:rsidRDefault="002F0133" w:rsidP="008A7464">
            <w:pPr>
              <w:rPr>
                <w:lang w:eastAsia="en-GB"/>
              </w:rPr>
            </w:pPr>
            <w:r w:rsidRPr="000B4E2C">
              <w:rPr>
                <w:lang w:eastAsia="en-GB"/>
              </w:rPr>
              <w:t>Vanmassenhove</w:t>
            </w:r>
          </w:p>
        </w:tc>
        <w:tc>
          <w:tcPr>
            <w:tcW w:w="0" w:type="auto"/>
            <w:shd w:val="clear" w:color="auto" w:fill="auto"/>
            <w:noWrap/>
            <w:hideMark/>
          </w:tcPr>
          <w:p w14:paraId="30B35CBD"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6BF9810B"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5DD880A6" w14:textId="77777777" w:rsidR="002F0133" w:rsidRPr="000B4E2C" w:rsidRDefault="002F0133" w:rsidP="008A7464">
            <w:pPr>
              <w:rPr>
                <w:highlight w:val="green"/>
                <w:lang w:eastAsia="en-GB"/>
              </w:rPr>
            </w:pPr>
            <w:r w:rsidRPr="000B4E2C">
              <w:rPr>
                <w:highlight w:val="green"/>
                <w:lang w:val="da-DK" w:eastAsia="en-GB"/>
              </w:rPr>
              <w:t xml:space="preserve">J. Vanmassenhove, G. Glorieux, E. Hoste, A. Dhondt, R. Vanholder and W. Van Biesen. </w:t>
            </w:r>
            <w:r w:rsidRPr="000B4E2C">
              <w:rPr>
                <w:highlight w:val="green"/>
                <w:lang w:eastAsia="en-GB"/>
              </w:rPr>
              <w:t>Urinary output and fractional excretion of sodium and urea as indicators of transient versus intrinsic acute kidney injury during early sepsis. Critical Care, 17(5), R234. [16828]</w:t>
            </w:r>
          </w:p>
        </w:tc>
      </w:tr>
      <w:tr w:rsidR="002F0133" w:rsidRPr="000B4E2C" w14:paraId="7DB505E1" w14:textId="77777777" w:rsidTr="000B4E2C">
        <w:trPr>
          <w:cantSplit/>
        </w:trPr>
        <w:tc>
          <w:tcPr>
            <w:tcW w:w="0" w:type="auto"/>
            <w:shd w:val="clear" w:color="auto" w:fill="auto"/>
            <w:noWrap/>
            <w:hideMark/>
          </w:tcPr>
          <w:p w14:paraId="1A660682" w14:textId="77777777" w:rsidR="002F0133" w:rsidRPr="000B4E2C" w:rsidRDefault="002F0133" w:rsidP="008A7464">
            <w:pPr>
              <w:rPr>
                <w:lang w:eastAsia="en-GB"/>
              </w:rPr>
            </w:pPr>
            <w:r w:rsidRPr="000B4E2C">
              <w:rPr>
                <w:lang w:eastAsia="en-GB"/>
              </w:rPr>
              <w:t>Vanmassenhove</w:t>
            </w:r>
          </w:p>
        </w:tc>
        <w:tc>
          <w:tcPr>
            <w:tcW w:w="0" w:type="auto"/>
            <w:shd w:val="clear" w:color="auto" w:fill="auto"/>
            <w:noWrap/>
            <w:hideMark/>
          </w:tcPr>
          <w:p w14:paraId="57146697"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4B0A5FE"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47DCD3C5" w14:textId="77777777" w:rsidR="002F0133" w:rsidRPr="000B4E2C" w:rsidRDefault="002F0133" w:rsidP="008A7464">
            <w:pPr>
              <w:rPr>
                <w:highlight w:val="green"/>
                <w:lang w:eastAsia="en-GB"/>
              </w:rPr>
            </w:pPr>
            <w:r w:rsidRPr="000B4E2C">
              <w:rPr>
                <w:highlight w:val="green"/>
                <w:lang w:val="da-DK" w:eastAsia="en-GB"/>
              </w:rPr>
              <w:t xml:space="preserve">J. Vanmassenhove, G. Glorieux, E. Hoste, A. Dhondt, R. Vanholder and W. Van Biesen. </w:t>
            </w:r>
            <w:r w:rsidRPr="000B4E2C">
              <w:rPr>
                <w:highlight w:val="green"/>
                <w:lang w:eastAsia="en-GB"/>
              </w:rPr>
              <w:t>AKI in early sepsis is a continuum from transient AKI without tubular damage over transient AKI with minor tubular damage to intrinsic AKI with severe tubular damage. International Urology and Nephrology, 46(10), 2003-2008. [16827]</w:t>
            </w:r>
          </w:p>
        </w:tc>
      </w:tr>
      <w:tr w:rsidR="002F0133" w:rsidRPr="000B4E2C" w14:paraId="79DD7EE2" w14:textId="77777777" w:rsidTr="000B4E2C">
        <w:trPr>
          <w:cantSplit/>
        </w:trPr>
        <w:tc>
          <w:tcPr>
            <w:tcW w:w="0" w:type="auto"/>
            <w:shd w:val="clear" w:color="auto" w:fill="auto"/>
            <w:noWrap/>
            <w:hideMark/>
          </w:tcPr>
          <w:p w14:paraId="24AF765C" w14:textId="77777777" w:rsidR="002F0133" w:rsidRPr="000B4E2C" w:rsidRDefault="002F0133" w:rsidP="008A7464">
            <w:pPr>
              <w:rPr>
                <w:lang w:eastAsia="en-GB"/>
              </w:rPr>
            </w:pPr>
            <w:r w:rsidRPr="000B4E2C">
              <w:rPr>
                <w:lang w:eastAsia="en-GB"/>
              </w:rPr>
              <w:t>Vanmassenhove</w:t>
            </w:r>
          </w:p>
        </w:tc>
        <w:tc>
          <w:tcPr>
            <w:tcW w:w="0" w:type="auto"/>
            <w:shd w:val="clear" w:color="auto" w:fill="auto"/>
            <w:noWrap/>
            <w:hideMark/>
          </w:tcPr>
          <w:p w14:paraId="7A5C775E"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485C4A15"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1792E810" w14:textId="77777777" w:rsidR="002F0133" w:rsidRPr="000B4E2C" w:rsidRDefault="002F0133" w:rsidP="008A7464">
            <w:pPr>
              <w:rPr>
                <w:highlight w:val="green"/>
                <w:lang w:eastAsia="en-GB"/>
              </w:rPr>
            </w:pPr>
            <w:r w:rsidRPr="000B4E2C">
              <w:rPr>
                <w:highlight w:val="green"/>
                <w:lang w:val="da-DK" w:eastAsia="en-GB"/>
              </w:rPr>
              <w:t xml:space="preserve">J. Vanmassenhove, G. Glorieux, N. Lameire, E. Hoste, A. Dhondt, R. Vanholder and W. Van Biesen. </w:t>
            </w:r>
            <w:r w:rsidRPr="000B4E2C">
              <w:rPr>
                <w:highlight w:val="green"/>
                <w:lang w:eastAsia="en-GB"/>
              </w:rPr>
              <w:t>Influence of severity of illness on neutrophil gelatinase-associated lipocalin performance as a marker of acute kidney injury a prospective cohort study of patients with sepsis. BMC Nephrology, 16(1), 18. [16826]</w:t>
            </w:r>
          </w:p>
        </w:tc>
      </w:tr>
      <w:tr w:rsidR="002F0133" w:rsidRPr="000B4E2C" w14:paraId="6622EAC2" w14:textId="77777777" w:rsidTr="000B4E2C">
        <w:trPr>
          <w:cantSplit/>
        </w:trPr>
        <w:tc>
          <w:tcPr>
            <w:tcW w:w="0" w:type="auto"/>
            <w:shd w:val="clear" w:color="auto" w:fill="auto"/>
            <w:noWrap/>
            <w:hideMark/>
          </w:tcPr>
          <w:p w14:paraId="41599279" w14:textId="77777777" w:rsidR="002F0133" w:rsidRPr="000B4E2C" w:rsidRDefault="002F0133" w:rsidP="008A7464">
            <w:pPr>
              <w:rPr>
                <w:lang w:eastAsia="en-GB"/>
              </w:rPr>
            </w:pPr>
            <w:r w:rsidRPr="000B4E2C">
              <w:rPr>
                <w:lang w:eastAsia="en-GB"/>
              </w:rPr>
              <w:t>Varela</w:t>
            </w:r>
          </w:p>
        </w:tc>
        <w:tc>
          <w:tcPr>
            <w:tcW w:w="0" w:type="auto"/>
            <w:shd w:val="clear" w:color="auto" w:fill="auto"/>
            <w:noWrap/>
            <w:hideMark/>
          </w:tcPr>
          <w:p w14:paraId="2454F4DD"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6A429202" w14:textId="1DA276F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6E83AC2" w14:textId="77777777" w:rsidR="002F0133" w:rsidRPr="000B4E2C" w:rsidRDefault="002F0133" w:rsidP="008A7464">
            <w:pPr>
              <w:rPr>
                <w:highlight w:val="green"/>
                <w:lang w:eastAsia="en-GB"/>
              </w:rPr>
            </w:pPr>
            <w:r w:rsidRPr="000B4E2C">
              <w:rPr>
                <w:highlight w:val="green"/>
                <w:lang w:eastAsia="en-GB"/>
              </w:rPr>
              <w:t>C. F. Varela, G. Greloni, C. Schreck, G. Bratti, A. Medina, R. Marenchino, R. Pizarro, C. Belziti and G. Rosa-Diez. Assessment of fractional excretion of urea for early diagnosis of cardiac surgery associated acute kidney injury. Renal Failure, 37(10), 327-331. [16830]</w:t>
            </w:r>
          </w:p>
        </w:tc>
      </w:tr>
      <w:tr w:rsidR="002F0133" w:rsidRPr="000B4E2C" w14:paraId="3A50AB6A" w14:textId="77777777" w:rsidTr="000B4E2C">
        <w:trPr>
          <w:cantSplit/>
        </w:trPr>
        <w:tc>
          <w:tcPr>
            <w:tcW w:w="0" w:type="auto"/>
            <w:shd w:val="clear" w:color="auto" w:fill="auto"/>
            <w:noWrap/>
            <w:hideMark/>
          </w:tcPr>
          <w:p w14:paraId="6494FCDA" w14:textId="77777777" w:rsidR="002F0133" w:rsidRPr="000B4E2C" w:rsidRDefault="002F0133" w:rsidP="008A7464">
            <w:pPr>
              <w:rPr>
                <w:lang w:eastAsia="en-GB"/>
              </w:rPr>
            </w:pPr>
            <w:r w:rsidRPr="000B4E2C">
              <w:rPr>
                <w:lang w:eastAsia="en-GB"/>
              </w:rPr>
              <w:t>Varnell</w:t>
            </w:r>
          </w:p>
        </w:tc>
        <w:tc>
          <w:tcPr>
            <w:tcW w:w="0" w:type="auto"/>
            <w:shd w:val="clear" w:color="auto" w:fill="auto"/>
            <w:noWrap/>
            <w:hideMark/>
          </w:tcPr>
          <w:p w14:paraId="42B51202"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3780B643"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5FDCF284" w14:textId="77777777" w:rsidR="002F0133" w:rsidRPr="000B4E2C" w:rsidRDefault="002F0133" w:rsidP="008A7464">
            <w:pPr>
              <w:rPr>
                <w:highlight w:val="green"/>
                <w:lang w:eastAsia="en-GB"/>
              </w:rPr>
            </w:pPr>
            <w:r w:rsidRPr="000B4E2C">
              <w:rPr>
                <w:highlight w:val="green"/>
                <w:lang w:eastAsia="en-GB"/>
              </w:rPr>
              <w:t>C. D. Varnell, Jr., S. L. Goldstein, P. Devarajan and R. K. Basu. Impact of Near Real-Time Urine Neutrophil Gelatinase-Associated Lipocalin Assessment on Clinical Practice. Kidney International Reports, 2(6), 1243-1249. [18603]</w:t>
            </w:r>
          </w:p>
        </w:tc>
      </w:tr>
      <w:tr w:rsidR="002F0133" w:rsidRPr="000B4E2C" w14:paraId="6822BE74" w14:textId="77777777" w:rsidTr="000B4E2C">
        <w:trPr>
          <w:cantSplit/>
        </w:trPr>
        <w:tc>
          <w:tcPr>
            <w:tcW w:w="0" w:type="auto"/>
            <w:shd w:val="clear" w:color="auto" w:fill="auto"/>
            <w:noWrap/>
            <w:hideMark/>
          </w:tcPr>
          <w:p w14:paraId="43CCC5D8" w14:textId="77777777" w:rsidR="002F0133" w:rsidRPr="000B4E2C" w:rsidRDefault="002F0133" w:rsidP="008A7464">
            <w:pPr>
              <w:rPr>
                <w:lang w:eastAsia="en-GB"/>
              </w:rPr>
            </w:pPr>
            <w:r w:rsidRPr="000B4E2C">
              <w:rPr>
                <w:lang w:eastAsia="en-GB"/>
              </w:rPr>
              <w:t>Verbrugge</w:t>
            </w:r>
          </w:p>
        </w:tc>
        <w:tc>
          <w:tcPr>
            <w:tcW w:w="0" w:type="auto"/>
            <w:shd w:val="clear" w:color="auto" w:fill="auto"/>
            <w:noWrap/>
            <w:hideMark/>
          </w:tcPr>
          <w:p w14:paraId="21CEBC1F"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1313C423" w14:textId="17301BF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8582224" w14:textId="77777777" w:rsidR="002F0133" w:rsidRPr="000B4E2C" w:rsidRDefault="002F0133" w:rsidP="008A7464">
            <w:pPr>
              <w:rPr>
                <w:highlight w:val="green"/>
                <w:lang w:eastAsia="en-GB"/>
              </w:rPr>
            </w:pPr>
            <w:r w:rsidRPr="000B4E2C">
              <w:rPr>
                <w:highlight w:val="green"/>
                <w:lang w:eastAsia="en-GB"/>
              </w:rPr>
              <w:t>F. H. Verbrugge, M. Dupont, Z. Shao, K. Shrestha, D. Singh, M. Finucan, W. Mullens and W. H. W. Tang. Novel urinary biomarkers in detecting acute kidney injury, persistent renal impairment, and all-cause mortality following decongestive therapy in acute decompensated heart failure. Journal of Cardiac Failure, 19(9), 621-628. [16831]</w:t>
            </w:r>
          </w:p>
        </w:tc>
      </w:tr>
      <w:tr w:rsidR="002F0133" w:rsidRPr="000B4E2C" w14:paraId="788B0AB0" w14:textId="77777777" w:rsidTr="000B4E2C">
        <w:trPr>
          <w:cantSplit/>
        </w:trPr>
        <w:tc>
          <w:tcPr>
            <w:tcW w:w="0" w:type="auto"/>
            <w:shd w:val="clear" w:color="auto" w:fill="auto"/>
            <w:noWrap/>
            <w:hideMark/>
          </w:tcPr>
          <w:p w14:paraId="17F16041" w14:textId="77777777" w:rsidR="002F0133" w:rsidRPr="000B4E2C" w:rsidRDefault="002F0133" w:rsidP="008A7464">
            <w:pPr>
              <w:rPr>
                <w:lang w:eastAsia="en-GB"/>
              </w:rPr>
            </w:pPr>
            <w:r w:rsidRPr="000B4E2C">
              <w:rPr>
                <w:lang w:eastAsia="en-GB"/>
              </w:rPr>
              <w:t>Vermi</w:t>
            </w:r>
          </w:p>
        </w:tc>
        <w:tc>
          <w:tcPr>
            <w:tcW w:w="0" w:type="auto"/>
            <w:shd w:val="clear" w:color="auto" w:fill="auto"/>
            <w:noWrap/>
            <w:hideMark/>
          </w:tcPr>
          <w:p w14:paraId="2206579C"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685BC5C6" w14:textId="4D80837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3BF2F6C" w14:textId="77777777" w:rsidR="002F0133" w:rsidRPr="000B4E2C" w:rsidRDefault="002F0133" w:rsidP="008A7464">
            <w:pPr>
              <w:rPr>
                <w:highlight w:val="green"/>
                <w:lang w:eastAsia="en-GB"/>
              </w:rPr>
            </w:pPr>
            <w:r w:rsidRPr="000B4E2C">
              <w:rPr>
                <w:highlight w:val="green"/>
                <w:lang w:eastAsia="en-GB"/>
              </w:rPr>
              <w:t>A. C. Vermi, C. Costopoulos, A. Latib, D. Piraino, F. Maisano, C. Naim, T. Naganuma, F. Figini, A. Chieffo, F. Ceriotti, M. Montorfano and A. Colombo. Urinary neutrophil gelatinase-associated lipocalin as a predictor of acute kidney injury after transcatheter aortic valve implantation. Hellenic journal of cardiology : HJC = Hellenike kardiologike epitheorese, 55(1), 77-9. [16832]</w:t>
            </w:r>
          </w:p>
        </w:tc>
      </w:tr>
      <w:tr w:rsidR="002F0133" w:rsidRPr="000B4E2C" w14:paraId="7098E4B4" w14:textId="77777777" w:rsidTr="000B4E2C">
        <w:trPr>
          <w:cantSplit/>
        </w:trPr>
        <w:tc>
          <w:tcPr>
            <w:tcW w:w="0" w:type="auto"/>
            <w:shd w:val="clear" w:color="auto" w:fill="auto"/>
            <w:noWrap/>
            <w:hideMark/>
          </w:tcPr>
          <w:p w14:paraId="0925F495" w14:textId="77777777" w:rsidR="002F0133" w:rsidRPr="000B4E2C" w:rsidRDefault="002F0133" w:rsidP="008A7464">
            <w:pPr>
              <w:rPr>
                <w:lang w:eastAsia="en-GB"/>
              </w:rPr>
            </w:pPr>
            <w:r w:rsidRPr="000B4E2C">
              <w:rPr>
                <w:lang w:eastAsia="en-GB"/>
              </w:rPr>
              <w:t>Vesnina</w:t>
            </w:r>
          </w:p>
        </w:tc>
        <w:tc>
          <w:tcPr>
            <w:tcW w:w="0" w:type="auto"/>
            <w:shd w:val="clear" w:color="auto" w:fill="auto"/>
            <w:noWrap/>
            <w:hideMark/>
          </w:tcPr>
          <w:p w14:paraId="1024A850"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959B0AB" w14:textId="61A82C3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0DB8563" w14:textId="77777777" w:rsidR="002F0133" w:rsidRPr="000B4E2C" w:rsidRDefault="002F0133" w:rsidP="008A7464">
            <w:pPr>
              <w:rPr>
                <w:highlight w:val="green"/>
                <w:lang w:eastAsia="en-GB"/>
              </w:rPr>
            </w:pPr>
            <w:r w:rsidRPr="000B4E2C">
              <w:rPr>
                <w:highlight w:val="green"/>
                <w:lang w:eastAsia="en-GB"/>
              </w:rPr>
              <w:t>Z. V. Vesnina, Y. B. Lishmanov, E. A. Alexandrova and E. A. Nesterov. Evaluation of nephroprotective efficacy of hypoxic preconditioning in patients undergoing coronary artery bypass surgery. CardioRenal Medicine, 6(4), 328-336. [16835]</w:t>
            </w:r>
          </w:p>
        </w:tc>
      </w:tr>
      <w:tr w:rsidR="002F0133" w:rsidRPr="000B4E2C" w14:paraId="471D4A01" w14:textId="77777777" w:rsidTr="000B4E2C">
        <w:trPr>
          <w:cantSplit/>
        </w:trPr>
        <w:tc>
          <w:tcPr>
            <w:tcW w:w="0" w:type="auto"/>
            <w:shd w:val="clear" w:color="auto" w:fill="auto"/>
            <w:noWrap/>
            <w:hideMark/>
          </w:tcPr>
          <w:p w14:paraId="348AC102" w14:textId="77777777" w:rsidR="002F0133" w:rsidRPr="000B4E2C" w:rsidRDefault="002F0133" w:rsidP="008A7464">
            <w:pPr>
              <w:rPr>
                <w:lang w:eastAsia="en-GB"/>
              </w:rPr>
            </w:pPr>
            <w:r w:rsidRPr="000B4E2C">
              <w:rPr>
                <w:lang w:eastAsia="en-GB"/>
              </w:rPr>
              <w:lastRenderedPageBreak/>
              <w:t>Virzi</w:t>
            </w:r>
          </w:p>
        </w:tc>
        <w:tc>
          <w:tcPr>
            <w:tcW w:w="0" w:type="auto"/>
            <w:shd w:val="clear" w:color="auto" w:fill="auto"/>
            <w:noWrap/>
            <w:hideMark/>
          </w:tcPr>
          <w:p w14:paraId="4A1B27B1"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ECE9376" w14:textId="1B8C876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5FBC766" w14:textId="77777777" w:rsidR="002F0133" w:rsidRPr="000B4E2C" w:rsidRDefault="002F0133" w:rsidP="008A7464">
            <w:pPr>
              <w:rPr>
                <w:highlight w:val="green"/>
                <w:lang w:eastAsia="en-GB"/>
              </w:rPr>
            </w:pPr>
            <w:r w:rsidRPr="000B4E2C">
              <w:rPr>
                <w:highlight w:val="green"/>
                <w:lang w:eastAsia="en-GB"/>
              </w:rPr>
              <w:t>G. M. Virzi, M. De Cal, S. Day, A. Brocca, D. N. Cruz, C. Castellani, V. Cantaluppi, C. Bolin, M. Fedrigo, G. Thiene, M. Valente, A. Angelini, G. Vescovo and C. Ronco. Pro-apoptotic effects of plasma from patients with cardiorenal syndrome on human tubular cells. American Journal of Nephrology, 41(6), 474-484. [16840]</w:t>
            </w:r>
          </w:p>
        </w:tc>
      </w:tr>
      <w:tr w:rsidR="002F0133" w:rsidRPr="000B4E2C" w14:paraId="2F9DADD3" w14:textId="77777777" w:rsidTr="000B4E2C">
        <w:trPr>
          <w:cantSplit/>
        </w:trPr>
        <w:tc>
          <w:tcPr>
            <w:tcW w:w="0" w:type="auto"/>
            <w:shd w:val="clear" w:color="auto" w:fill="auto"/>
            <w:noWrap/>
            <w:hideMark/>
          </w:tcPr>
          <w:p w14:paraId="49ACD9CF" w14:textId="77777777" w:rsidR="002F0133" w:rsidRPr="000B4E2C" w:rsidRDefault="002F0133" w:rsidP="008A7464">
            <w:pPr>
              <w:rPr>
                <w:lang w:eastAsia="en-GB"/>
              </w:rPr>
            </w:pPr>
            <w:r w:rsidRPr="000B4E2C">
              <w:rPr>
                <w:lang w:eastAsia="en-GB"/>
              </w:rPr>
              <w:t>Virzi</w:t>
            </w:r>
          </w:p>
        </w:tc>
        <w:tc>
          <w:tcPr>
            <w:tcW w:w="0" w:type="auto"/>
            <w:shd w:val="clear" w:color="auto" w:fill="auto"/>
            <w:noWrap/>
            <w:hideMark/>
          </w:tcPr>
          <w:p w14:paraId="072CC50D"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5B9037F2" w14:textId="1BEB5D9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6BF2FE8" w14:textId="77777777" w:rsidR="002F0133" w:rsidRPr="000B4E2C" w:rsidRDefault="002F0133" w:rsidP="008A7464">
            <w:pPr>
              <w:rPr>
                <w:highlight w:val="green"/>
                <w:lang w:eastAsia="en-GB"/>
              </w:rPr>
            </w:pPr>
            <w:r w:rsidRPr="000B4E2C">
              <w:rPr>
                <w:highlight w:val="green"/>
                <w:lang w:eastAsia="en-GB"/>
              </w:rPr>
              <w:t>G. M. Virzi, A. Breglia, A. Brocca, M. De Cal, C. Bolin, G. Vescovo and C. Ronco. Levels of Proinflammatory Cytokines, Oxidative Stress, and Tissue Damage Markers in Patients with Acute Heart Failure with and without Cardiorenal Syndrome Type 1. CardioRenal Medicine, 8(4), 321-331. [16839]</w:t>
            </w:r>
          </w:p>
        </w:tc>
      </w:tr>
      <w:tr w:rsidR="002F0133" w:rsidRPr="000B4E2C" w14:paraId="10EA32D3" w14:textId="77777777" w:rsidTr="000B4E2C">
        <w:trPr>
          <w:cantSplit/>
        </w:trPr>
        <w:tc>
          <w:tcPr>
            <w:tcW w:w="0" w:type="auto"/>
            <w:shd w:val="clear" w:color="auto" w:fill="auto"/>
            <w:noWrap/>
            <w:hideMark/>
          </w:tcPr>
          <w:p w14:paraId="4F2249A0" w14:textId="77777777" w:rsidR="002F0133" w:rsidRPr="000B4E2C" w:rsidRDefault="002F0133" w:rsidP="008A7464">
            <w:pPr>
              <w:rPr>
                <w:lang w:eastAsia="en-GB"/>
              </w:rPr>
            </w:pPr>
            <w:r w:rsidRPr="000B4E2C">
              <w:rPr>
                <w:lang w:eastAsia="en-GB"/>
              </w:rPr>
              <w:t>Vives</w:t>
            </w:r>
          </w:p>
        </w:tc>
        <w:tc>
          <w:tcPr>
            <w:tcW w:w="0" w:type="auto"/>
            <w:shd w:val="clear" w:color="auto" w:fill="auto"/>
            <w:noWrap/>
            <w:hideMark/>
          </w:tcPr>
          <w:p w14:paraId="716F4E06"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56112048"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6A105DC5" w14:textId="77777777" w:rsidR="002F0133" w:rsidRPr="000B4E2C" w:rsidRDefault="002F0133" w:rsidP="008A7464">
            <w:pPr>
              <w:rPr>
                <w:highlight w:val="green"/>
                <w:lang w:eastAsia="en-GB"/>
              </w:rPr>
            </w:pPr>
            <w:r w:rsidRPr="000B4E2C">
              <w:rPr>
                <w:highlight w:val="green"/>
                <w:lang w:eastAsia="en-GB"/>
              </w:rPr>
              <w:t>M. Vives, G. Lockwood, P. P. Punjabi and D. Krahne. Neutrophil gelatinase-associated lipocalin and acute kidney injury after cardiac surgery. Anesthesiology, 116(2), 490-491. [16844]</w:t>
            </w:r>
          </w:p>
        </w:tc>
      </w:tr>
      <w:tr w:rsidR="002F0133" w:rsidRPr="000B4E2C" w14:paraId="2A061148" w14:textId="77777777" w:rsidTr="000B4E2C">
        <w:trPr>
          <w:cantSplit/>
        </w:trPr>
        <w:tc>
          <w:tcPr>
            <w:tcW w:w="0" w:type="auto"/>
            <w:shd w:val="clear" w:color="auto" w:fill="auto"/>
            <w:noWrap/>
            <w:hideMark/>
          </w:tcPr>
          <w:p w14:paraId="03AC7D7B" w14:textId="77777777" w:rsidR="002F0133" w:rsidRPr="000B4E2C" w:rsidRDefault="002F0133" w:rsidP="008A7464">
            <w:pPr>
              <w:rPr>
                <w:lang w:eastAsia="en-GB"/>
              </w:rPr>
            </w:pPr>
            <w:r w:rsidRPr="000B4E2C">
              <w:rPr>
                <w:lang w:eastAsia="en-GB"/>
              </w:rPr>
              <w:t>Volovelsky</w:t>
            </w:r>
          </w:p>
        </w:tc>
        <w:tc>
          <w:tcPr>
            <w:tcW w:w="0" w:type="auto"/>
            <w:shd w:val="clear" w:color="auto" w:fill="auto"/>
            <w:noWrap/>
            <w:hideMark/>
          </w:tcPr>
          <w:p w14:paraId="0B568D56"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278D1D2" w14:textId="295DCBE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01613E5" w14:textId="77777777" w:rsidR="002F0133" w:rsidRPr="000B4E2C" w:rsidRDefault="002F0133" w:rsidP="008A7464">
            <w:pPr>
              <w:rPr>
                <w:highlight w:val="green"/>
                <w:lang w:eastAsia="en-GB"/>
              </w:rPr>
            </w:pPr>
            <w:r w:rsidRPr="000B4E2C">
              <w:rPr>
                <w:highlight w:val="green"/>
                <w:lang w:eastAsia="en-GB"/>
              </w:rPr>
              <w:t>O. Volovelsky, K. M. Gist, T. C. Terrell, M. R. Bennett, D. S. Cooper, J. A. Alten and S. L. Goldstein. Early postoperative measurement of fibroblast growth factor 23 predicts severe acute kidney injury in infants after cardiac surgery. Clinical Nephrology, 90(3), 165-171. [16845]</w:t>
            </w:r>
          </w:p>
        </w:tc>
      </w:tr>
      <w:tr w:rsidR="002F0133" w:rsidRPr="000B4E2C" w14:paraId="2FA9E95A" w14:textId="77777777" w:rsidTr="000B4E2C">
        <w:trPr>
          <w:cantSplit/>
        </w:trPr>
        <w:tc>
          <w:tcPr>
            <w:tcW w:w="0" w:type="auto"/>
            <w:shd w:val="clear" w:color="auto" w:fill="auto"/>
            <w:noWrap/>
            <w:hideMark/>
          </w:tcPr>
          <w:p w14:paraId="45D1CFDF" w14:textId="77777777" w:rsidR="002F0133" w:rsidRPr="000B4E2C" w:rsidRDefault="002F0133" w:rsidP="008A7464">
            <w:pPr>
              <w:rPr>
                <w:lang w:eastAsia="en-GB"/>
              </w:rPr>
            </w:pPr>
            <w:r w:rsidRPr="000B4E2C">
              <w:rPr>
                <w:lang w:eastAsia="en-GB"/>
              </w:rPr>
              <w:t>von Jeinsen</w:t>
            </w:r>
          </w:p>
        </w:tc>
        <w:tc>
          <w:tcPr>
            <w:tcW w:w="0" w:type="auto"/>
            <w:shd w:val="clear" w:color="auto" w:fill="auto"/>
            <w:noWrap/>
            <w:hideMark/>
          </w:tcPr>
          <w:p w14:paraId="1D207A40"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01FEB3BC" w14:textId="77777777" w:rsidR="002F0133" w:rsidRPr="000B4E2C" w:rsidRDefault="002F0133" w:rsidP="008A7464">
            <w:pPr>
              <w:rPr>
                <w:lang w:eastAsia="en-GB"/>
              </w:rPr>
            </w:pPr>
            <w:r w:rsidRPr="000B4E2C">
              <w:rPr>
                <w:lang w:eastAsia="en-GB"/>
              </w:rPr>
              <w:t>No relevant outcome</w:t>
            </w:r>
          </w:p>
        </w:tc>
        <w:tc>
          <w:tcPr>
            <w:tcW w:w="0" w:type="auto"/>
            <w:shd w:val="clear" w:color="auto" w:fill="auto"/>
            <w:noWrap/>
            <w:hideMark/>
          </w:tcPr>
          <w:p w14:paraId="2341D58B" w14:textId="77777777" w:rsidR="002F0133" w:rsidRPr="000B4E2C" w:rsidRDefault="002F0133" w:rsidP="008A7464">
            <w:pPr>
              <w:rPr>
                <w:highlight w:val="green"/>
                <w:lang w:eastAsia="en-GB"/>
              </w:rPr>
            </w:pPr>
            <w:r w:rsidRPr="000B4E2C">
              <w:rPr>
                <w:highlight w:val="green"/>
                <w:lang w:val="da-DK" w:eastAsia="en-GB"/>
              </w:rPr>
              <w:t xml:space="preserve">B. von Jeinsen, D. Kraus, L. Palapies, S. Tzikas, T. Zeller, A. Schauer, C. Drechsler, C. Bickel, S. Baldus, K. J. Lackner, T. Munzel, S. Blankenberg, A. M. Zeiher and T. Keller. </w:t>
            </w:r>
            <w:r w:rsidRPr="000B4E2C">
              <w:rPr>
                <w:highlight w:val="green"/>
                <w:lang w:eastAsia="en-GB"/>
              </w:rPr>
              <w:t>Urinary neutrophil gelatinase-associated lipocalin and cystatin C compared to the estimated glomerular filtration rate to predict risk in patients with suspected acute myocardial infarction. International Journal of Cardiology, 245(6-12. [16846]</w:t>
            </w:r>
          </w:p>
        </w:tc>
      </w:tr>
      <w:tr w:rsidR="002F0133" w:rsidRPr="000B4E2C" w14:paraId="33DF1457" w14:textId="77777777" w:rsidTr="000B4E2C">
        <w:trPr>
          <w:cantSplit/>
        </w:trPr>
        <w:tc>
          <w:tcPr>
            <w:tcW w:w="0" w:type="auto"/>
            <w:shd w:val="clear" w:color="auto" w:fill="auto"/>
            <w:noWrap/>
            <w:hideMark/>
          </w:tcPr>
          <w:p w14:paraId="2469E07D" w14:textId="77777777" w:rsidR="002F0133" w:rsidRPr="000B4E2C" w:rsidRDefault="002F0133" w:rsidP="008A7464">
            <w:pPr>
              <w:rPr>
                <w:lang w:eastAsia="en-GB"/>
              </w:rPr>
            </w:pPr>
            <w:r w:rsidRPr="000B4E2C">
              <w:rPr>
                <w:lang w:eastAsia="en-GB"/>
              </w:rPr>
              <w:t>Wagener</w:t>
            </w:r>
          </w:p>
        </w:tc>
        <w:tc>
          <w:tcPr>
            <w:tcW w:w="0" w:type="auto"/>
            <w:shd w:val="clear" w:color="auto" w:fill="auto"/>
            <w:noWrap/>
            <w:hideMark/>
          </w:tcPr>
          <w:p w14:paraId="0CD5D722"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02AADDEA"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70101413" w14:textId="77777777" w:rsidR="002F0133" w:rsidRPr="000B4E2C" w:rsidRDefault="002F0133" w:rsidP="008A7464">
            <w:pPr>
              <w:rPr>
                <w:highlight w:val="green"/>
                <w:lang w:eastAsia="en-GB"/>
              </w:rPr>
            </w:pPr>
            <w:r w:rsidRPr="000B4E2C">
              <w:rPr>
                <w:highlight w:val="green"/>
                <w:lang w:eastAsia="en-GB"/>
              </w:rPr>
              <w:t>G. Wagener, G. Gubitosa, S. Wang, N. Borregaard, M. Kim and H. T. Lee. Urinary neutrophil gelatinase-associated lipocalin and acute kidney injury after cardiac surgery. American Journal of Kidney Diseases, 52(3), 425-33. [3973]</w:t>
            </w:r>
          </w:p>
        </w:tc>
      </w:tr>
      <w:tr w:rsidR="002F0133" w:rsidRPr="000B4E2C" w14:paraId="426A4499" w14:textId="77777777" w:rsidTr="000B4E2C">
        <w:trPr>
          <w:cantSplit/>
        </w:trPr>
        <w:tc>
          <w:tcPr>
            <w:tcW w:w="0" w:type="auto"/>
            <w:shd w:val="clear" w:color="auto" w:fill="auto"/>
            <w:noWrap/>
            <w:hideMark/>
          </w:tcPr>
          <w:p w14:paraId="101C2CB1" w14:textId="77777777" w:rsidR="002F0133" w:rsidRPr="000B4E2C" w:rsidRDefault="002F0133" w:rsidP="008A7464">
            <w:pPr>
              <w:rPr>
                <w:lang w:eastAsia="en-GB"/>
              </w:rPr>
            </w:pPr>
            <w:r w:rsidRPr="000B4E2C">
              <w:rPr>
                <w:lang w:eastAsia="en-GB"/>
              </w:rPr>
              <w:t>Wagener</w:t>
            </w:r>
          </w:p>
        </w:tc>
        <w:tc>
          <w:tcPr>
            <w:tcW w:w="0" w:type="auto"/>
            <w:shd w:val="clear" w:color="auto" w:fill="auto"/>
            <w:noWrap/>
            <w:hideMark/>
          </w:tcPr>
          <w:p w14:paraId="23EB4909"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145DA3BB"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675EFF05" w14:textId="77777777" w:rsidR="002F0133" w:rsidRPr="000B4E2C" w:rsidRDefault="002F0133" w:rsidP="008A7464">
            <w:pPr>
              <w:rPr>
                <w:highlight w:val="green"/>
                <w:lang w:eastAsia="en-GB"/>
              </w:rPr>
            </w:pPr>
            <w:r w:rsidRPr="000B4E2C">
              <w:rPr>
                <w:highlight w:val="green"/>
                <w:lang w:eastAsia="en-GB"/>
              </w:rPr>
              <w:t>G. Wagener and H. T. Lee. Aprotinin and urinary neutrophil gelatinase-associated lipocalin after cardiac surgery. Anesthesia &amp; Analgesia, 106(5), 1593. [3980]</w:t>
            </w:r>
          </w:p>
        </w:tc>
      </w:tr>
      <w:tr w:rsidR="002F0133" w:rsidRPr="000B4E2C" w14:paraId="3E3BA8EA" w14:textId="77777777" w:rsidTr="000B4E2C">
        <w:trPr>
          <w:cantSplit/>
        </w:trPr>
        <w:tc>
          <w:tcPr>
            <w:tcW w:w="0" w:type="auto"/>
            <w:shd w:val="clear" w:color="auto" w:fill="auto"/>
            <w:noWrap/>
            <w:hideMark/>
          </w:tcPr>
          <w:p w14:paraId="01D67D00" w14:textId="77777777" w:rsidR="002F0133" w:rsidRPr="000B4E2C" w:rsidRDefault="002F0133" w:rsidP="008A7464">
            <w:pPr>
              <w:rPr>
                <w:lang w:eastAsia="en-GB"/>
              </w:rPr>
            </w:pPr>
            <w:r w:rsidRPr="000B4E2C">
              <w:rPr>
                <w:lang w:eastAsia="en-GB"/>
              </w:rPr>
              <w:t>Wagener</w:t>
            </w:r>
          </w:p>
        </w:tc>
        <w:tc>
          <w:tcPr>
            <w:tcW w:w="0" w:type="auto"/>
            <w:shd w:val="clear" w:color="auto" w:fill="auto"/>
            <w:noWrap/>
            <w:hideMark/>
          </w:tcPr>
          <w:p w14:paraId="1C860D31"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5DB4E060" w14:textId="3B56411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F10AFF8" w14:textId="77777777" w:rsidR="002F0133" w:rsidRPr="000B4E2C" w:rsidRDefault="002F0133" w:rsidP="008A7464">
            <w:pPr>
              <w:rPr>
                <w:highlight w:val="green"/>
                <w:lang w:eastAsia="en-GB"/>
              </w:rPr>
            </w:pPr>
            <w:r w:rsidRPr="000B4E2C">
              <w:rPr>
                <w:highlight w:val="green"/>
                <w:lang w:eastAsia="en-GB"/>
              </w:rPr>
              <w:t>G. Wagener, M. Minhaz, F. A. Mattis, M. Kim, J. C. Emond and H. T. Lee. Urinary neutrophil gelatinase-associated lipocalin as a marker of acute kidney injury after orthotopic liver transplantation. Nephrology Dialysis Transplantation, 26(5), 1717-1723. [16848]</w:t>
            </w:r>
          </w:p>
        </w:tc>
      </w:tr>
      <w:tr w:rsidR="002F0133" w:rsidRPr="000B4E2C" w14:paraId="694FC52E" w14:textId="77777777" w:rsidTr="000B4E2C">
        <w:trPr>
          <w:cantSplit/>
        </w:trPr>
        <w:tc>
          <w:tcPr>
            <w:tcW w:w="0" w:type="auto"/>
            <w:shd w:val="clear" w:color="auto" w:fill="auto"/>
            <w:noWrap/>
            <w:hideMark/>
          </w:tcPr>
          <w:p w14:paraId="11CC0189" w14:textId="77777777" w:rsidR="002F0133" w:rsidRPr="000B4E2C" w:rsidRDefault="002F0133" w:rsidP="008A7464">
            <w:pPr>
              <w:rPr>
                <w:lang w:eastAsia="en-GB"/>
              </w:rPr>
            </w:pPr>
            <w:r w:rsidRPr="000B4E2C">
              <w:rPr>
                <w:lang w:eastAsia="en-GB"/>
              </w:rPr>
              <w:t>Wagener</w:t>
            </w:r>
          </w:p>
        </w:tc>
        <w:tc>
          <w:tcPr>
            <w:tcW w:w="0" w:type="auto"/>
            <w:shd w:val="clear" w:color="auto" w:fill="auto"/>
            <w:noWrap/>
            <w:hideMark/>
          </w:tcPr>
          <w:p w14:paraId="5A63A728"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3C1080D3" w14:textId="2C8D562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02AE994" w14:textId="77777777" w:rsidR="002F0133" w:rsidRPr="000B4E2C" w:rsidRDefault="002F0133" w:rsidP="008A7464">
            <w:pPr>
              <w:rPr>
                <w:highlight w:val="green"/>
                <w:lang w:eastAsia="en-GB"/>
              </w:rPr>
            </w:pPr>
            <w:r w:rsidRPr="000B4E2C">
              <w:rPr>
                <w:highlight w:val="green"/>
                <w:lang w:eastAsia="en-GB"/>
              </w:rPr>
              <w:t>G. Wagener, M. Jan, M. Kim, K. Mori, J. M. Barasch, R. N. Sladen and H. T. Lee. Association between increases in urinary neutrophil gelatinase-associated lipocalin and acute renal dysfunction after adult cardiac surgery. Anesthesiology, 105(3), 485-91. [4019]</w:t>
            </w:r>
          </w:p>
        </w:tc>
      </w:tr>
      <w:tr w:rsidR="002F0133" w:rsidRPr="000B4E2C" w14:paraId="4E404DD0" w14:textId="77777777" w:rsidTr="000B4E2C">
        <w:trPr>
          <w:cantSplit/>
        </w:trPr>
        <w:tc>
          <w:tcPr>
            <w:tcW w:w="0" w:type="auto"/>
            <w:shd w:val="clear" w:color="auto" w:fill="auto"/>
            <w:noWrap/>
            <w:hideMark/>
          </w:tcPr>
          <w:p w14:paraId="344C5D90" w14:textId="77777777" w:rsidR="002F0133" w:rsidRPr="000B4E2C" w:rsidRDefault="002F0133" w:rsidP="008A7464">
            <w:pPr>
              <w:rPr>
                <w:lang w:eastAsia="en-GB"/>
              </w:rPr>
            </w:pPr>
            <w:r w:rsidRPr="000B4E2C">
              <w:rPr>
                <w:lang w:eastAsia="en-GB"/>
              </w:rPr>
              <w:t>Wai</w:t>
            </w:r>
          </w:p>
        </w:tc>
        <w:tc>
          <w:tcPr>
            <w:tcW w:w="0" w:type="auto"/>
            <w:shd w:val="clear" w:color="auto" w:fill="auto"/>
            <w:noWrap/>
            <w:hideMark/>
          </w:tcPr>
          <w:p w14:paraId="70AE2DB5"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651C7522" w14:textId="73BCB4A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FC68746" w14:textId="77777777" w:rsidR="002F0133" w:rsidRPr="000B4E2C" w:rsidRDefault="002F0133" w:rsidP="008A7464">
            <w:pPr>
              <w:rPr>
                <w:highlight w:val="green"/>
                <w:lang w:eastAsia="en-GB"/>
              </w:rPr>
            </w:pPr>
            <w:r w:rsidRPr="000B4E2C">
              <w:rPr>
                <w:highlight w:val="green"/>
                <w:lang w:eastAsia="en-GB"/>
              </w:rPr>
              <w:t>K. Wai, A. A. Soler-Garcia, S. Perazzo, P. Mattison and P. E. Ray. A pilot study of urinary fibroblast growth factor-2 and epithelial growth factor as potential biomarkers of acute kidney injury in critically ill children. Pediatric Nephrology, 28(11), 2189-2198. [16854]</w:t>
            </w:r>
          </w:p>
        </w:tc>
      </w:tr>
      <w:tr w:rsidR="002F0133" w:rsidRPr="000B4E2C" w14:paraId="31FA416D" w14:textId="77777777" w:rsidTr="000B4E2C">
        <w:trPr>
          <w:cantSplit/>
        </w:trPr>
        <w:tc>
          <w:tcPr>
            <w:tcW w:w="0" w:type="auto"/>
            <w:shd w:val="clear" w:color="auto" w:fill="auto"/>
            <w:noWrap/>
            <w:hideMark/>
          </w:tcPr>
          <w:p w14:paraId="13F6060C" w14:textId="77777777" w:rsidR="002F0133" w:rsidRPr="000B4E2C" w:rsidRDefault="002F0133" w:rsidP="008A7464">
            <w:pPr>
              <w:rPr>
                <w:lang w:eastAsia="en-GB"/>
              </w:rPr>
            </w:pPr>
            <w:r w:rsidRPr="000B4E2C">
              <w:rPr>
                <w:lang w:eastAsia="en-GB"/>
              </w:rPr>
              <w:t>Waldherr</w:t>
            </w:r>
          </w:p>
        </w:tc>
        <w:tc>
          <w:tcPr>
            <w:tcW w:w="0" w:type="auto"/>
            <w:shd w:val="clear" w:color="auto" w:fill="auto"/>
            <w:noWrap/>
            <w:hideMark/>
          </w:tcPr>
          <w:p w14:paraId="6052B9E6"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60B28797" w14:textId="2C6B4B4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C08A04B" w14:textId="77777777" w:rsidR="002F0133" w:rsidRPr="000B4E2C" w:rsidRDefault="002F0133" w:rsidP="008A7464">
            <w:pPr>
              <w:rPr>
                <w:highlight w:val="green"/>
                <w:lang w:eastAsia="en-GB"/>
              </w:rPr>
            </w:pPr>
            <w:r w:rsidRPr="000B4E2C">
              <w:rPr>
                <w:highlight w:val="green"/>
                <w:lang w:eastAsia="en-GB"/>
              </w:rPr>
              <w:t>S. Waldherr, A. Fichtner, B. Beedgen, T. Bruckner, F. Schaefer, B. Tonshoff, J. Poschl, T. H. Westhoff and J. H. Westhoff. Urinary acute kidney injury biomarkers in very low-birth-weight infants on indomethacin for patent ductus arteriosus. Pediatric Research, 85(5), 678-686. [16859]</w:t>
            </w:r>
          </w:p>
        </w:tc>
      </w:tr>
      <w:tr w:rsidR="002F0133" w:rsidRPr="000B4E2C" w14:paraId="70892D76" w14:textId="77777777" w:rsidTr="000B4E2C">
        <w:trPr>
          <w:cantSplit/>
        </w:trPr>
        <w:tc>
          <w:tcPr>
            <w:tcW w:w="0" w:type="auto"/>
            <w:shd w:val="clear" w:color="auto" w:fill="auto"/>
            <w:noWrap/>
            <w:hideMark/>
          </w:tcPr>
          <w:p w14:paraId="68ACC6D1" w14:textId="77777777" w:rsidR="002F0133" w:rsidRPr="000B4E2C" w:rsidRDefault="002F0133" w:rsidP="008A7464">
            <w:pPr>
              <w:rPr>
                <w:lang w:eastAsia="en-GB"/>
              </w:rPr>
            </w:pPr>
            <w:r w:rsidRPr="000B4E2C">
              <w:rPr>
                <w:lang w:eastAsia="en-GB"/>
              </w:rPr>
              <w:t>Wang</w:t>
            </w:r>
          </w:p>
        </w:tc>
        <w:tc>
          <w:tcPr>
            <w:tcW w:w="0" w:type="auto"/>
            <w:shd w:val="clear" w:color="auto" w:fill="auto"/>
            <w:noWrap/>
            <w:hideMark/>
          </w:tcPr>
          <w:p w14:paraId="4754200F"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15EBB04"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2A393A95" w14:textId="77777777" w:rsidR="002F0133" w:rsidRPr="000B4E2C" w:rsidRDefault="002F0133" w:rsidP="008A7464">
            <w:pPr>
              <w:rPr>
                <w:highlight w:val="green"/>
                <w:lang w:eastAsia="en-GB"/>
              </w:rPr>
            </w:pPr>
            <w:r w:rsidRPr="000B4E2C">
              <w:rPr>
                <w:highlight w:val="green"/>
                <w:lang w:eastAsia="en-GB"/>
              </w:rPr>
              <w:t>M. Wang, Q. Zhang, X. Zhao, G. Dong and C. Li. Diagnostic and prognostic value of neutrophil gelatinase-associated lipocalin, matrix metalloproteinase-9, and tissue inhibitor of matrix metalloproteinases-1 for sepsis in the Emergency Department: An observational study. Critical Care, 18(6), 634. [16873]</w:t>
            </w:r>
          </w:p>
        </w:tc>
      </w:tr>
      <w:tr w:rsidR="002F0133" w:rsidRPr="000B4E2C" w14:paraId="2DAF5B27" w14:textId="77777777" w:rsidTr="000B4E2C">
        <w:trPr>
          <w:cantSplit/>
        </w:trPr>
        <w:tc>
          <w:tcPr>
            <w:tcW w:w="0" w:type="auto"/>
            <w:shd w:val="clear" w:color="auto" w:fill="auto"/>
            <w:noWrap/>
            <w:hideMark/>
          </w:tcPr>
          <w:p w14:paraId="59A1EA36" w14:textId="77777777" w:rsidR="002F0133" w:rsidRPr="000B4E2C" w:rsidRDefault="002F0133" w:rsidP="008A7464">
            <w:pPr>
              <w:rPr>
                <w:lang w:eastAsia="en-GB"/>
              </w:rPr>
            </w:pPr>
            <w:r w:rsidRPr="000B4E2C">
              <w:rPr>
                <w:lang w:eastAsia="en-GB"/>
              </w:rPr>
              <w:lastRenderedPageBreak/>
              <w:t>Wang</w:t>
            </w:r>
          </w:p>
        </w:tc>
        <w:tc>
          <w:tcPr>
            <w:tcW w:w="0" w:type="auto"/>
            <w:shd w:val="clear" w:color="auto" w:fill="auto"/>
            <w:noWrap/>
            <w:hideMark/>
          </w:tcPr>
          <w:p w14:paraId="33A2EFDC"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CD8A763"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E9A39FC" w14:textId="77777777" w:rsidR="002F0133" w:rsidRPr="000B4E2C" w:rsidRDefault="002F0133" w:rsidP="008A7464">
            <w:pPr>
              <w:rPr>
                <w:highlight w:val="green"/>
                <w:lang w:eastAsia="en-GB"/>
              </w:rPr>
            </w:pPr>
            <w:r w:rsidRPr="000B4E2C">
              <w:rPr>
                <w:highlight w:val="green"/>
                <w:lang w:eastAsia="en-GB"/>
              </w:rPr>
              <w:t>B. Wang, G. Chen, J. Zhang, J. Xue, Y. Cao and Y. Wu. Increased Neutrophil Gelatinase-Associated Lipocalin is Associated with Mortality and Multiple Organ Dysfunction Syndrome in Severe Sepsis and Septic Shock. Shock (Augusta, Ga.), 44(3), 234-8. [16863]</w:t>
            </w:r>
          </w:p>
        </w:tc>
      </w:tr>
      <w:tr w:rsidR="002F0133" w:rsidRPr="000B4E2C" w14:paraId="22356295" w14:textId="77777777" w:rsidTr="000B4E2C">
        <w:trPr>
          <w:cantSplit/>
        </w:trPr>
        <w:tc>
          <w:tcPr>
            <w:tcW w:w="0" w:type="auto"/>
            <w:shd w:val="clear" w:color="auto" w:fill="auto"/>
            <w:noWrap/>
            <w:hideMark/>
          </w:tcPr>
          <w:p w14:paraId="3B48C282" w14:textId="77777777" w:rsidR="002F0133" w:rsidRPr="000B4E2C" w:rsidRDefault="002F0133" w:rsidP="008A7464">
            <w:pPr>
              <w:rPr>
                <w:lang w:eastAsia="en-GB"/>
              </w:rPr>
            </w:pPr>
            <w:r w:rsidRPr="000B4E2C">
              <w:rPr>
                <w:lang w:eastAsia="en-GB"/>
              </w:rPr>
              <w:t>Wang</w:t>
            </w:r>
          </w:p>
        </w:tc>
        <w:tc>
          <w:tcPr>
            <w:tcW w:w="0" w:type="auto"/>
            <w:shd w:val="clear" w:color="auto" w:fill="auto"/>
            <w:noWrap/>
            <w:hideMark/>
          </w:tcPr>
          <w:p w14:paraId="715AB8CF"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4070D742" w14:textId="062DD83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3FED4C5" w14:textId="77777777" w:rsidR="002F0133" w:rsidRPr="000B4E2C" w:rsidRDefault="002F0133" w:rsidP="008A7464">
            <w:pPr>
              <w:rPr>
                <w:highlight w:val="green"/>
                <w:lang w:eastAsia="en-GB"/>
              </w:rPr>
            </w:pPr>
            <w:r w:rsidRPr="000B4E2C">
              <w:rPr>
                <w:highlight w:val="green"/>
                <w:lang w:eastAsia="en-GB"/>
              </w:rPr>
              <w:t>W. Wang, A. Saad, S. M. Herrmann, A. E. Massat, M. A. McKusick, S. Misra, L. O. Lerman and S. C. Textor. Changes in inflammatory biomarkers after renal revascularization in atherosclerotic renal artery stenosis. Nephrology Dialysis Transplantation, 31(9), 1437-1443. [16875]</w:t>
            </w:r>
          </w:p>
        </w:tc>
      </w:tr>
      <w:tr w:rsidR="002F0133" w:rsidRPr="000B4E2C" w14:paraId="76A15018" w14:textId="77777777" w:rsidTr="000B4E2C">
        <w:trPr>
          <w:cantSplit/>
        </w:trPr>
        <w:tc>
          <w:tcPr>
            <w:tcW w:w="0" w:type="auto"/>
            <w:shd w:val="clear" w:color="auto" w:fill="auto"/>
            <w:noWrap/>
            <w:hideMark/>
          </w:tcPr>
          <w:p w14:paraId="7513BFDF" w14:textId="77777777" w:rsidR="002F0133" w:rsidRPr="000B4E2C" w:rsidRDefault="002F0133" w:rsidP="008A7464">
            <w:pPr>
              <w:rPr>
                <w:lang w:eastAsia="en-GB"/>
              </w:rPr>
            </w:pPr>
            <w:r w:rsidRPr="000B4E2C">
              <w:rPr>
                <w:lang w:eastAsia="en-GB"/>
              </w:rPr>
              <w:t>Wang</w:t>
            </w:r>
          </w:p>
        </w:tc>
        <w:tc>
          <w:tcPr>
            <w:tcW w:w="0" w:type="auto"/>
            <w:shd w:val="clear" w:color="auto" w:fill="auto"/>
            <w:noWrap/>
            <w:hideMark/>
          </w:tcPr>
          <w:p w14:paraId="11B4D4BC"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151FA8D"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2105CD4A" w14:textId="77777777" w:rsidR="002F0133" w:rsidRPr="000B4E2C" w:rsidRDefault="002F0133" w:rsidP="008A7464">
            <w:pPr>
              <w:rPr>
                <w:highlight w:val="green"/>
                <w:lang w:eastAsia="en-GB"/>
              </w:rPr>
            </w:pPr>
            <w:r w:rsidRPr="000B4E2C">
              <w:rPr>
                <w:highlight w:val="green"/>
                <w:lang w:eastAsia="en-GB"/>
              </w:rPr>
              <w:t>Z. Wang, S. Ma, M. Zappitelli, C. Parikh, C. Y. Wang and P. Devarajan. Penalized count data regression with application to hospital stay after pediatric cardiac surgery. Statistical Methods in Medical Research, 25(6), 2685-2703. [16880]</w:t>
            </w:r>
          </w:p>
        </w:tc>
      </w:tr>
      <w:tr w:rsidR="002F0133" w:rsidRPr="000B4E2C" w14:paraId="568F4F45" w14:textId="77777777" w:rsidTr="000B4E2C">
        <w:trPr>
          <w:cantSplit/>
        </w:trPr>
        <w:tc>
          <w:tcPr>
            <w:tcW w:w="0" w:type="auto"/>
            <w:shd w:val="clear" w:color="auto" w:fill="auto"/>
            <w:noWrap/>
            <w:hideMark/>
          </w:tcPr>
          <w:p w14:paraId="258A9C1C" w14:textId="77777777" w:rsidR="002F0133" w:rsidRPr="000B4E2C" w:rsidRDefault="002F0133" w:rsidP="008A7464">
            <w:pPr>
              <w:rPr>
                <w:lang w:eastAsia="en-GB"/>
              </w:rPr>
            </w:pPr>
            <w:r w:rsidRPr="000B4E2C">
              <w:rPr>
                <w:lang w:eastAsia="en-GB"/>
              </w:rPr>
              <w:t>Wang</w:t>
            </w:r>
          </w:p>
        </w:tc>
        <w:tc>
          <w:tcPr>
            <w:tcW w:w="0" w:type="auto"/>
            <w:shd w:val="clear" w:color="auto" w:fill="auto"/>
            <w:noWrap/>
            <w:hideMark/>
          </w:tcPr>
          <w:p w14:paraId="5193AD85"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2974AEDE"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7C655588" w14:textId="77777777" w:rsidR="002F0133" w:rsidRPr="000B4E2C" w:rsidRDefault="002F0133" w:rsidP="008A7464">
            <w:pPr>
              <w:rPr>
                <w:highlight w:val="green"/>
                <w:lang w:eastAsia="en-GB"/>
              </w:rPr>
            </w:pPr>
            <w:r w:rsidRPr="000B4E2C">
              <w:rPr>
                <w:highlight w:val="green"/>
                <w:lang w:eastAsia="en-GB"/>
              </w:rPr>
              <w:t>C. Wang, J. Zhang, J. Han, Q. Yang, J. Liu and B. Liang. The level of urinary IL-18 in acute kidney injury after cardiopulmonary bypass. Experimental and Therapeutic Medicine, 14(6), 6047-6051. [16864]</w:t>
            </w:r>
          </w:p>
        </w:tc>
      </w:tr>
      <w:tr w:rsidR="002F0133" w:rsidRPr="000B4E2C" w14:paraId="62715A9D" w14:textId="77777777" w:rsidTr="000B4E2C">
        <w:trPr>
          <w:cantSplit/>
        </w:trPr>
        <w:tc>
          <w:tcPr>
            <w:tcW w:w="0" w:type="auto"/>
            <w:shd w:val="clear" w:color="auto" w:fill="auto"/>
            <w:noWrap/>
            <w:hideMark/>
          </w:tcPr>
          <w:p w14:paraId="52E0F67D" w14:textId="77777777" w:rsidR="002F0133" w:rsidRPr="000B4E2C" w:rsidRDefault="002F0133" w:rsidP="008A7464">
            <w:pPr>
              <w:rPr>
                <w:lang w:eastAsia="en-GB"/>
              </w:rPr>
            </w:pPr>
            <w:r w:rsidRPr="000B4E2C">
              <w:rPr>
                <w:lang w:eastAsia="en-GB"/>
              </w:rPr>
              <w:t>Wang</w:t>
            </w:r>
          </w:p>
        </w:tc>
        <w:tc>
          <w:tcPr>
            <w:tcW w:w="0" w:type="auto"/>
            <w:shd w:val="clear" w:color="auto" w:fill="auto"/>
            <w:noWrap/>
            <w:hideMark/>
          </w:tcPr>
          <w:p w14:paraId="1B5CECE2"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56F85AEA" w14:textId="0242B43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0C4A16C" w14:textId="77777777" w:rsidR="002F0133" w:rsidRPr="000B4E2C" w:rsidRDefault="002F0133" w:rsidP="008A7464">
            <w:pPr>
              <w:rPr>
                <w:highlight w:val="green"/>
                <w:lang w:eastAsia="en-GB"/>
              </w:rPr>
            </w:pPr>
            <w:r w:rsidRPr="000B4E2C">
              <w:rPr>
                <w:highlight w:val="green"/>
                <w:lang w:eastAsia="en-GB"/>
              </w:rPr>
              <w:t>Y. Wang, Z. Zou, J. Jin, J. Teng, J. Xu, B. Shen, W. Jiang, Y. Zhuang, L. Liu, Z. Luo, C. Wang and X. Ding. Urinary TIMP-2 and IGFBP7 for the prediction of acute kidney injury following cardiac surgery. BMC Nephrology, 18(1), 177. [16878]</w:t>
            </w:r>
          </w:p>
        </w:tc>
      </w:tr>
      <w:tr w:rsidR="002F0133" w:rsidRPr="000B4E2C" w14:paraId="4B257E53" w14:textId="77777777" w:rsidTr="000B4E2C">
        <w:trPr>
          <w:cantSplit/>
        </w:trPr>
        <w:tc>
          <w:tcPr>
            <w:tcW w:w="0" w:type="auto"/>
            <w:shd w:val="clear" w:color="auto" w:fill="auto"/>
            <w:noWrap/>
            <w:hideMark/>
          </w:tcPr>
          <w:p w14:paraId="31AE2396" w14:textId="77777777" w:rsidR="002F0133" w:rsidRPr="000B4E2C" w:rsidRDefault="002F0133" w:rsidP="008A7464">
            <w:pPr>
              <w:rPr>
                <w:lang w:eastAsia="en-GB"/>
              </w:rPr>
            </w:pPr>
            <w:r w:rsidRPr="000B4E2C">
              <w:rPr>
                <w:lang w:eastAsia="en-GB"/>
              </w:rPr>
              <w:t>Wang</w:t>
            </w:r>
          </w:p>
        </w:tc>
        <w:tc>
          <w:tcPr>
            <w:tcW w:w="0" w:type="auto"/>
            <w:shd w:val="clear" w:color="auto" w:fill="auto"/>
            <w:noWrap/>
            <w:hideMark/>
          </w:tcPr>
          <w:p w14:paraId="0097F036"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5FE6FC5D"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B6C7732" w14:textId="77777777" w:rsidR="002F0133" w:rsidRPr="000B4E2C" w:rsidRDefault="002F0133" w:rsidP="008A7464">
            <w:pPr>
              <w:rPr>
                <w:highlight w:val="green"/>
                <w:lang w:eastAsia="en-GB"/>
              </w:rPr>
            </w:pPr>
            <w:r w:rsidRPr="000B4E2C">
              <w:rPr>
                <w:highlight w:val="green"/>
                <w:lang w:eastAsia="en-GB"/>
              </w:rPr>
              <w:t>H. J. Wang, P. Wang, N. Li, C. Wan, C. M. Jiang, J. He, D. J. Wang, M. Zhang and L. Sun. Effects of continuous renal replacement therapy on serum cytokines, neutrophil gelatinase-associated lipocalin, and prognosis in patients with severe acute kidney injury after cardiac surgery. Oncotarget, 8(6), 10628-10636. [16868]</w:t>
            </w:r>
          </w:p>
        </w:tc>
      </w:tr>
      <w:tr w:rsidR="002F0133" w:rsidRPr="000B4E2C" w14:paraId="12CE10A6" w14:textId="77777777" w:rsidTr="000B4E2C">
        <w:trPr>
          <w:cantSplit/>
        </w:trPr>
        <w:tc>
          <w:tcPr>
            <w:tcW w:w="0" w:type="auto"/>
            <w:shd w:val="clear" w:color="auto" w:fill="auto"/>
            <w:noWrap/>
            <w:hideMark/>
          </w:tcPr>
          <w:p w14:paraId="786C02BA" w14:textId="77777777" w:rsidR="002F0133" w:rsidRPr="000B4E2C" w:rsidRDefault="002F0133" w:rsidP="008A7464">
            <w:pPr>
              <w:rPr>
                <w:lang w:eastAsia="en-GB"/>
              </w:rPr>
            </w:pPr>
            <w:r w:rsidRPr="000B4E2C">
              <w:rPr>
                <w:lang w:eastAsia="en-GB"/>
              </w:rPr>
              <w:t>Wang</w:t>
            </w:r>
          </w:p>
        </w:tc>
        <w:tc>
          <w:tcPr>
            <w:tcW w:w="0" w:type="auto"/>
            <w:shd w:val="clear" w:color="auto" w:fill="auto"/>
            <w:noWrap/>
            <w:hideMark/>
          </w:tcPr>
          <w:p w14:paraId="62B18BD6"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504E6ABB"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B61678A" w14:textId="77777777" w:rsidR="002F0133" w:rsidRPr="000B4E2C" w:rsidRDefault="002F0133" w:rsidP="008A7464">
            <w:pPr>
              <w:rPr>
                <w:highlight w:val="green"/>
                <w:lang w:eastAsia="en-GB"/>
              </w:rPr>
            </w:pPr>
            <w:r w:rsidRPr="000B4E2C">
              <w:rPr>
                <w:highlight w:val="green"/>
                <w:lang w:eastAsia="en-GB"/>
              </w:rPr>
              <w:t>J. J. Wang, N. H. Chi, T. M. Huang, R. Connolly, L. W. Chen, S. C. J. Chueh, W. C. Kan, C. C. Lai, V. C. Wu, J. T. Fang, T. S. Chu and K. D. Wu. Urinary biomarkers predict advanced acute kidney injury after cardiovascular surgery. Critical Care, 22(1), 108. [16869]</w:t>
            </w:r>
          </w:p>
        </w:tc>
      </w:tr>
      <w:tr w:rsidR="002F0133" w:rsidRPr="000B4E2C" w14:paraId="678317D7" w14:textId="77777777" w:rsidTr="000B4E2C">
        <w:trPr>
          <w:cantSplit/>
        </w:trPr>
        <w:tc>
          <w:tcPr>
            <w:tcW w:w="0" w:type="auto"/>
            <w:shd w:val="clear" w:color="auto" w:fill="auto"/>
            <w:noWrap/>
            <w:hideMark/>
          </w:tcPr>
          <w:p w14:paraId="066158FF" w14:textId="77777777" w:rsidR="002F0133" w:rsidRPr="000B4E2C" w:rsidRDefault="002F0133" w:rsidP="008A7464">
            <w:pPr>
              <w:rPr>
                <w:lang w:eastAsia="en-GB"/>
              </w:rPr>
            </w:pPr>
            <w:r w:rsidRPr="000B4E2C">
              <w:rPr>
                <w:lang w:eastAsia="en-GB"/>
              </w:rPr>
              <w:t>Washino</w:t>
            </w:r>
          </w:p>
        </w:tc>
        <w:tc>
          <w:tcPr>
            <w:tcW w:w="0" w:type="auto"/>
            <w:shd w:val="clear" w:color="auto" w:fill="auto"/>
            <w:noWrap/>
            <w:hideMark/>
          </w:tcPr>
          <w:p w14:paraId="5F9FD3F3"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1192FCA7" w14:textId="77649CB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EF3514F" w14:textId="77777777" w:rsidR="002F0133" w:rsidRPr="000B4E2C" w:rsidRDefault="002F0133" w:rsidP="008A7464">
            <w:pPr>
              <w:rPr>
                <w:highlight w:val="green"/>
                <w:lang w:eastAsia="en-GB"/>
              </w:rPr>
            </w:pPr>
            <w:r w:rsidRPr="000B4E2C">
              <w:rPr>
                <w:highlight w:val="green"/>
                <w:lang w:eastAsia="en-GB"/>
              </w:rPr>
              <w:t>S. Washino, K. Hosohata, M. Oshima, T. Okochi, T. Konishi, Y. Nakamura, K. Saito and T. Miyagawa. A Novel Biomarker for Acute Kidney Injury, Vanin-1, for Obstructive Nephropathy: A Prospective Cohort Pilot Study. International journal of molecular sciences, 20(4), . [16882]</w:t>
            </w:r>
          </w:p>
        </w:tc>
      </w:tr>
      <w:tr w:rsidR="002F0133" w:rsidRPr="000B4E2C" w14:paraId="1ADFC8E0" w14:textId="77777777" w:rsidTr="000B4E2C">
        <w:trPr>
          <w:cantSplit/>
        </w:trPr>
        <w:tc>
          <w:tcPr>
            <w:tcW w:w="0" w:type="auto"/>
            <w:shd w:val="clear" w:color="auto" w:fill="auto"/>
            <w:noWrap/>
            <w:hideMark/>
          </w:tcPr>
          <w:p w14:paraId="2B3692A3" w14:textId="77777777" w:rsidR="002F0133" w:rsidRPr="000B4E2C" w:rsidRDefault="002F0133" w:rsidP="008A7464">
            <w:pPr>
              <w:rPr>
                <w:lang w:eastAsia="en-GB"/>
              </w:rPr>
            </w:pPr>
            <w:r w:rsidRPr="000B4E2C">
              <w:rPr>
                <w:lang w:eastAsia="en-GB"/>
              </w:rPr>
              <w:t>Wasilewska</w:t>
            </w:r>
          </w:p>
        </w:tc>
        <w:tc>
          <w:tcPr>
            <w:tcW w:w="0" w:type="auto"/>
            <w:shd w:val="clear" w:color="auto" w:fill="auto"/>
            <w:noWrap/>
            <w:hideMark/>
          </w:tcPr>
          <w:p w14:paraId="67A43088"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20E6CFE3" w14:textId="1B4D1C8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1C20251" w14:textId="77777777" w:rsidR="002F0133" w:rsidRPr="000B4E2C" w:rsidRDefault="002F0133" w:rsidP="008A7464">
            <w:pPr>
              <w:rPr>
                <w:highlight w:val="green"/>
                <w:lang w:eastAsia="en-GB"/>
              </w:rPr>
            </w:pPr>
            <w:r w:rsidRPr="000B4E2C">
              <w:rPr>
                <w:highlight w:val="green"/>
                <w:lang w:eastAsia="en-GB"/>
              </w:rPr>
              <w:t>A. Wasilewska, W. Zoch-Zwierz, K. Taranta-Janusz and J. Michaluk-Skutnik. Neutrophil gelatinase-associated lipocalin (NGAL): a new marker of cyclosporine nephrotoxicity?. Pediatric Nephrology, 25(5), 889-897. [18612]</w:t>
            </w:r>
          </w:p>
        </w:tc>
      </w:tr>
      <w:tr w:rsidR="002F0133" w:rsidRPr="000B4E2C" w14:paraId="5325F9F8" w14:textId="77777777" w:rsidTr="000B4E2C">
        <w:trPr>
          <w:cantSplit/>
        </w:trPr>
        <w:tc>
          <w:tcPr>
            <w:tcW w:w="0" w:type="auto"/>
            <w:shd w:val="clear" w:color="auto" w:fill="auto"/>
            <w:noWrap/>
            <w:hideMark/>
          </w:tcPr>
          <w:p w14:paraId="1629FEFC" w14:textId="77777777" w:rsidR="002F0133" w:rsidRPr="000B4E2C" w:rsidRDefault="002F0133" w:rsidP="008A7464">
            <w:pPr>
              <w:rPr>
                <w:lang w:eastAsia="en-GB"/>
              </w:rPr>
            </w:pPr>
            <w:r w:rsidRPr="000B4E2C">
              <w:rPr>
                <w:lang w:eastAsia="en-GB"/>
              </w:rPr>
              <w:t>Watanabe</w:t>
            </w:r>
          </w:p>
        </w:tc>
        <w:tc>
          <w:tcPr>
            <w:tcW w:w="0" w:type="auto"/>
            <w:shd w:val="clear" w:color="auto" w:fill="auto"/>
            <w:noWrap/>
            <w:hideMark/>
          </w:tcPr>
          <w:p w14:paraId="6427D992"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67D28F94" w14:textId="137130F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3DAFCEE" w14:textId="77777777" w:rsidR="002F0133" w:rsidRPr="000B4E2C" w:rsidRDefault="002F0133" w:rsidP="008A7464">
            <w:pPr>
              <w:rPr>
                <w:highlight w:val="green"/>
                <w:lang w:eastAsia="en-GB"/>
              </w:rPr>
            </w:pPr>
            <w:r w:rsidRPr="000B4E2C">
              <w:rPr>
                <w:highlight w:val="green"/>
                <w:lang w:eastAsia="en-GB"/>
              </w:rPr>
              <w:t>M. Watanabe, G. F. Silva, C. D. Fonseca and F. Vattimo Md.e. Urinary NGAL in patients with and without acute kidney injury in a cardiology intensive care unit. Revista Brasileira de terapia intensiva, 26(4), 347-354. [16884]</w:t>
            </w:r>
          </w:p>
        </w:tc>
      </w:tr>
      <w:tr w:rsidR="002F0133" w:rsidRPr="000B4E2C" w14:paraId="14242010" w14:textId="77777777" w:rsidTr="000B4E2C">
        <w:trPr>
          <w:cantSplit/>
        </w:trPr>
        <w:tc>
          <w:tcPr>
            <w:tcW w:w="0" w:type="auto"/>
            <w:shd w:val="clear" w:color="auto" w:fill="auto"/>
            <w:noWrap/>
            <w:hideMark/>
          </w:tcPr>
          <w:p w14:paraId="72F3922E" w14:textId="77777777" w:rsidR="002F0133" w:rsidRPr="000B4E2C" w:rsidRDefault="002F0133" w:rsidP="008A7464">
            <w:pPr>
              <w:rPr>
                <w:lang w:eastAsia="en-GB"/>
              </w:rPr>
            </w:pPr>
            <w:r w:rsidRPr="000B4E2C">
              <w:rPr>
                <w:lang w:eastAsia="en-GB"/>
              </w:rPr>
              <w:t>Weber</w:t>
            </w:r>
          </w:p>
        </w:tc>
        <w:tc>
          <w:tcPr>
            <w:tcW w:w="0" w:type="auto"/>
            <w:shd w:val="clear" w:color="auto" w:fill="auto"/>
            <w:noWrap/>
            <w:hideMark/>
          </w:tcPr>
          <w:p w14:paraId="053BEEEB" w14:textId="77777777" w:rsidR="002F0133" w:rsidRPr="000B4E2C" w:rsidRDefault="002F0133" w:rsidP="008A7464">
            <w:pPr>
              <w:jc w:val="center"/>
              <w:rPr>
                <w:lang w:eastAsia="en-GB"/>
              </w:rPr>
            </w:pPr>
            <w:r w:rsidRPr="000B4E2C">
              <w:rPr>
                <w:lang w:eastAsia="en-GB"/>
              </w:rPr>
              <w:t>2011</w:t>
            </w:r>
          </w:p>
        </w:tc>
        <w:tc>
          <w:tcPr>
            <w:tcW w:w="0" w:type="auto"/>
            <w:shd w:val="clear" w:color="auto" w:fill="auto"/>
            <w:noWrap/>
            <w:hideMark/>
          </w:tcPr>
          <w:p w14:paraId="674958C1"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03DEC47A" w14:textId="77777777" w:rsidR="002F0133" w:rsidRPr="000B4E2C" w:rsidRDefault="002F0133" w:rsidP="008A7464">
            <w:pPr>
              <w:rPr>
                <w:highlight w:val="green"/>
                <w:lang w:eastAsia="en-GB"/>
              </w:rPr>
            </w:pPr>
            <w:r w:rsidRPr="000B4E2C">
              <w:rPr>
                <w:highlight w:val="green"/>
                <w:lang w:val="da-DK" w:eastAsia="en-GB"/>
              </w:rPr>
              <w:t xml:space="preserve">C. L. Weber, M. Bennett, L. Er, M. T. Bennett and A. Levin. </w:t>
            </w:r>
            <w:r w:rsidRPr="000B4E2C">
              <w:rPr>
                <w:highlight w:val="green"/>
                <w:lang w:eastAsia="en-GB"/>
              </w:rPr>
              <w:t>Urinary NGAL levels before and after coronary angiography: a complex story. Nephrology, dialysis, transplantation : official publication of the European Dialysis and Transplant Association - European Renal Association, 26(10), 3207-3211. [16886]</w:t>
            </w:r>
          </w:p>
        </w:tc>
      </w:tr>
      <w:tr w:rsidR="002F0133" w:rsidRPr="000B4E2C" w14:paraId="7ABB2282" w14:textId="77777777" w:rsidTr="000B4E2C">
        <w:trPr>
          <w:cantSplit/>
        </w:trPr>
        <w:tc>
          <w:tcPr>
            <w:tcW w:w="0" w:type="auto"/>
            <w:shd w:val="clear" w:color="auto" w:fill="auto"/>
            <w:noWrap/>
            <w:hideMark/>
          </w:tcPr>
          <w:p w14:paraId="48EED1F0" w14:textId="77777777" w:rsidR="002F0133" w:rsidRPr="000B4E2C" w:rsidRDefault="002F0133" w:rsidP="008A7464">
            <w:pPr>
              <w:rPr>
                <w:lang w:eastAsia="en-GB"/>
              </w:rPr>
            </w:pPr>
            <w:r w:rsidRPr="000B4E2C">
              <w:rPr>
                <w:lang w:eastAsia="en-GB"/>
              </w:rPr>
              <w:t>Wen</w:t>
            </w:r>
          </w:p>
        </w:tc>
        <w:tc>
          <w:tcPr>
            <w:tcW w:w="0" w:type="auto"/>
            <w:shd w:val="clear" w:color="auto" w:fill="auto"/>
            <w:noWrap/>
            <w:hideMark/>
          </w:tcPr>
          <w:p w14:paraId="0CF8D303"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0C3C001" w14:textId="77777777" w:rsidR="002F0133" w:rsidRPr="000B4E2C" w:rsidRDefault="002F0133" w:rsidP="008A7464">
            <w:pPr>
              <w:rPr>
                <w:lang w:eastAsia="en-GB"/>
              </w:rPr>
            </w:pPr>
            <w:r w:rsidRPr="000B4E2C">
              <w:rPr>
                <w:lang w:eastAsia="en-GB"/>
              </w:rPr>
              <w:t>Non-English publication</w:t>
            </w:r>
          </w:p>
        </w:tc>
        <w:tc>
          <w:tcPr>
            <w:tcW w:w="0" w:type="auto"/>
            <w:shd w:val="clear" w:color="auto" w:fill="auto"/>
            <w:noWrap/>
            <w:hideMark/>
          </w:tcPr>
          <w:p w14:paraId="30A9BCC2" w14:textId="77777777" w:rsidR="002F0133" w:rsidRPr="000B4E2C" w:rsidRDefault="002F0133" w:rsidP="008A7464">
            <w:pPr>
              <w:rPr>
                <w:highlight w:val="green"/>
                <w:lang w:eastAsia="en-GB"/>
              </w:rPr>
            </w:pPr>
            <w:r w:rsidRPr="000B4E2C">
              <w:rPr>
                <w:highlight w:val="green"/>
                <w:lang w:eastAsia="en-GB"/>
              </w:rPr>
              <w:t>Y. Wen, Z. Li, C. Chang, P. Zhang and Y. Lyu. Diagnostic significance of urinary neutrophil gelatin enzyme-related lipid delivery protein and kidney injury molecule-1 in acute kidney injury after cardiac operation with cardiopulmonary bypass operation in children. Zhonghua Wei Zhong Bing Ji Jiu Yi Xue, 29(12), 1112-1116. [16890]</w:t>
            </w:r>
          </w:p>
        </w:tc>
      </w:tr>
      <w:tr w:rsidR="002F0133" w:rsidRPr="000B4E2C" w14:paraId="776D4075" w14:textId="77777777" w:rsidTr="000B4E2C">
        <w:trPr>
          <w:cantSplit/>
        </w:trPr>
        <w:tc>
          <w:tcPr>
            <w:tcW w:w="0" w:type="auto"/>
            <w:shd w:val="clear" w:color="auto" w:fill="auto"/>
            <w:noWrap/>
            <w:hideMark/>
          </w:tcPr>
          <w:p w14:paraId="7827D2BA" w14:textId="77777777" w:rsidR="002F0133" w:rsidRPr="000B4E2C" w:rsidRDefault="002F0133" w:rsidP="008A7464">
            <w:pPr>
              <w:rPr>
                <w:lang w:eastAsia="en-GB"/>
              </w:rPr>
            </w:pPr>
            <w:r w:rsidRPr="000B4E2C">
              <w:rPr>
                <w:lang w:eastAsia="en-GB"/>
              </w:rPr>
              <w:lastRenderedPageBreak/>
              <w:t>Westhoff</w:t>
            </w:r>
          </w:p>
        </w:tc>
        <w:tc>
          <w:tcPr>
            <w:tcW w:w="0" w:type="auto"/>
            <w:shd w:val="clear" w:color="auto" w:fill="auto"/>
            <w:noWrap/>
            <w:hideMark/>
          </w:tcPr>
          <w:p w14:paraId="2ACC335D"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76DB521F" w14:textId="1707795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6EA5936" w14:textId="77777777" w:rsidR="002F0133" w:rsidRPr="000B4E2C" w:rsidRDefault="002F0133" w:rsidP="008A7464">
            <w:pPr>
              <w:rPr>
                <w:highlight w:val="green"/>
                <w:lang w:eastAsia="en-GB"/>
              </w:rPr>
            </w:pPr>
            <w:r w:rsidRPr="000B4E2C">
              <w:rPr>
                <w:highlight w:val="green"/>
                <w:lang w:eastAsia="en-GB"/>
              </w:rPr>
              <w:t>J. H. Westhoff, B. Tonshoff, S. Waldherr, J. Poschl, U. Teufel, T. H. Westhoff and A. Fichtner. Urinary tissue inhibitor of metalloproteinase-2 (TIMP-2) . insulin-like growth factor-binding protein 7 (IGFBP7) predicts adverse outcome in pediatric acute kidney injury. PLoS ONE, 10(11), e0143628. [16895]</w:t>
            </w:r>
          </w:p>
        </w:tc>
      </w:tr>
      <w:tr w:rsidR="002F0133" w:rsidRPr="000B4E2C" w14:paraId="2C6DD336" w14:textId="77777777" w:rsidTr="000B4E2C">
        <w:trPr>
          <w:cantSplit/>
        </w:trPr>
        <w:tc>
          <w:tcPr>
            <w:tcW w:w="0" w:type="auto"/>
            <w:shd w:val="clear" w:color="auto" w:fill="auto"/>
            <w:noWrap/>
            <w:hideMark/>
          </w:tcPr>
          <w:p w14:paraId="354ED286" w14:textId="77777777" w:rsidR="002F0133" w:rsidRPr="000B4E2C" w:rsidRDefault="002F0133" w:rsidP="008A7464">
            <w:pPr>
              <w:rPr>
                <w:lang w:eastAsia="en-GB"/>
              </w:rPr>
            </w:pPr>
            <w:r w:rsidRPr="000B4E2C">
              <w:rPr>
                <w:lang w:eastAsia="en-GB"/>
              </w:rPr>
              <w:t>Westhoff</w:t>
            </w:r>
          </w:p>
        </w:tc>
        <w:tc>
          <w:tcPr>
            <w:tcW w:w="0" w:type="auto"/>
            <w:shd w:val="clear" w:color="auto" w:fill="auto"/>
            <w:noWrap/>
            <w:hideMark/>
          </w:tcPr>
          <w:p w14:paraId="2BEF28A3"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10F6B369" w14:textId="0956425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34D6D7A" w14:textId="77777777" w:rsidR="002F0133" w:rsidRPr="000B4E2C" w:rsidRDefault="002F0133" w:rsidP="008A7464">
            <w:pPr>
              <w:rPr>
                <w:highlight w:val="green"/>
                <w:lang w:eastAsia="en-GB"/>
              </w:rPr>
            </w:pPr>
            <w:r w:rsidRPr="000B4E2C">
              <w:rPr>
                <w:highlight w:val="green"/>
                <w:lang w:eastAsia="en-GB"/>
              </w:rPr>
              <w:t>J. H. Westhoff, A. Fichtner, S. Waldherr, N. Pagonas, F. S. Seibert, N. Babel, B. Tonshoff, F. Bauer and T. H. Westhoff. Urinary biomarkers for the differentiation of prerenal and intrinsic pediatric acute kidney injury. Pediatric Nephrology, 31(12), 2353-2363. [16894]</w:t>
            </w:r>
          </w:p>
        </w:tc>
      </w:tr>
      <w:tr w:rsidR="002F0133" w:rsidRPr="000B4E2C" w14:paraId="7B7F1ACC" w14:textId="77777777" w:rsidTr="000B4E2C">
        <w:trPr>
          <w:cantSplit/>
        </w:trPr>
        <w:tc>
          <w:tcPr>
            <w:tcW w:w="0" w:type="auto"/>
            <w:shd w:val="clear" w:color="auto" w:fill="auto"/>
            <w:noWrap/>
            <w:hideMark/>
          </w:tcPr>
          <w:p w14:paraId="0C4C9C0E" w14:textId="77777777" w:rsidR="002F0133" w:rsidRPr="000B4E2C" w:rsidRDefault="002F0133" w:rsidP="008A7464">
            <w:pPr>
              <w:rPr>
                <w:lang w:eastAsia="en-GB"/>
              </w:rPr>
            </w:pPr>
            <w:r w:rsidRPr="000B4E2C">
              <w:rPr>
                <w:lang w:eastAsia="en-GB"/>
              </w:rPr>
              <w:t>Westhoff</w:t>
            </w:r>
          </w:p>
        </w:tc>
        <w:tc>
          <w:tcPr>
            <w:tcW w:w="0" w:type="auto"/>
            <w:shd w:val="clear" w:color="auto" w:fill="auto"/>
            <w:noWrap/>
            <w:hideMark/>
          </w:tcPr>
          <w:p w14:paraId="720B8BF7"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0057C7D" w14:textId="31CABAB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D85A7B2" w14:textId="77777777" w:rsidR="002F0133" w:rsidRPr="000B4E2C" w:rsidRDefault="002F0133" w:rsidP="008A7464">
            <w:pPr>
              <w:rPr>
                <w:highlight w:val="green"/>
                <w:lang w:eastAsia="en-GB"/>
              </w:rPr>
            </w:pPr>
            <w:r w:rsidRPr="000B4E2C">
              <w:rPr>
                <w:highlight w:val="green"/>
                <w:lang w:eastAsia="en-GB"/>
              </w:rPr>
              <w:t>J. H. Westhoff, F. S. Seibert, S. Waldherr, F. Bauer, B. Tonshoff, A. Fichtner and T. H. Westhoff. Urinary calprotectin, kidney injury molecule-1, and neutrophil gelatinase-associated lipocalin for the prediction of adverse outcome in pediatric acute kidney injury. European Journal of Pediatrics, 176(6), 745-755. [16893]</w:t>
            </w:r>
          </w:p>
        </w:tc>
      </w:tr>
      <w:tr w:rsidR="002F0133" w:rsidRPr="000B4E2C" w14:paraId="5368A4FB" w14:textId="77777777" w:rsidTr="000B4E2C">
        <w:trPr>
          <w:cantSplit/>
        </w:trPr>
        <w:tc>
          <w:tcPr>
            <w:tcW w:w="0" w:type="auto"/>
            <w:shd w:val="clear" w:color="auto" w:fill="auto"/>
            <w:noWrap/>
            <w:hideMark/>
          </w:tcPr>
          <w:p w14:paraId="5633FAB8" w14:textId="77777777" w:rsidR="002F0133" w:rsidRPr="000B4E2C" w:rsidRDefault="002F0133" w:rsidP="008A7464">
            <w:pPr>
              <w:rPr>
                <w:lang w:eastAsia="en-GB"/>
              </w:rPr>
            </w:pPr>
            <w:r w:rsidRPr="000B4E2C">
              <w:rPr>
                <w:lang w:eastAsia="en-GB"/>
              </w:rPr>
              <w:t>Wetz</w:t>
            </w:r>
          </w:p>
        </w:tc>
        <w:tc>
          <w:tcPr>
            <w:tcW w:w="0" w:type="auto"/>
            <w:shd w:val="clear" w:color="auto" w:fill="auto"/>
            <w:noWrap/>
            <w:hideMark/>
          </w:tcPr>
          <w:p w14:paraId="2326535D"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058ED8E" w14:textId="7C11A1B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E9E211A" w14:textId="77777777" w:rsidR="002F0133" w:rsidRPr="000B4E2C" w:rsidRDefault="002F0133" w:rsidP="008A7464">
            <w:pPr>
              <w:rPr>
                <w:highlight w:val="green"/>
                <w:lang w:eastAsia="en-GB"/>
              </w:rPr>
            </w:pPr>
            <w:r w:rsidRPr="000B4E2C">
              <w:rPr>
                <w:highlight w:val="green"/>
                <w:lang w:eastAsia="en-GB"/>
              </w:rPr>
              <w:t>A. J. Wetz, E. M. Richardt, S. Wand, N. Kunze, H. Schotola, M. Quintel, A. Brauer and O. Moerer. Quantification of urinary TIMP-2 and IGFBP-7: An adequate diagnostic test to predict acute kidney injury after cardiac surgery?. Critical Care, 19(1), 3. [16897]</w:t>
            </w:r>
          </w:p>
        </w:tc>
      </w:tr>
      <w:tr w:rsidR="002F0133" w:rsidRPr="000B4E2C" w14:paraId="6A876C76" w14:textId="77777777" w:rsidTr="000B4E2C">
        <w:trPr>
          <w:cantSplit/>
        </w:trPr>
        <w:tc>
          <w:tcPr>
            <w:tcW w:w="0" w:type="auto"/>
            <w:shd w:val="clear" w:color="auto" w:fill="auto"/>
            <w:noWrap/>
            <w:hideMark/>
          </w:tcPr>
          <w:p w14:paraId="708E1669" w14:textId="77777777" w:rsidR="002F0133" w:rsidRPr="000B4E2C" w:rsidRDefault="002F0133" w:rsidP="008A7464">
            <w:pPr>
              <w:rPr>
                <w:lang w:eastAsia="en-GB"/>
              </w:rPr>
            </w:pPr>
            <w:r w:rsidRPr="000B4E2C">
              <w:rPr>
                <w:lang w:eastAsia="en-GB"/>
              </w:rPr>
              <w:t>Wheeler</w:t>
            </w:r>
          </w:p>
        </w:tc>
        <w:tc>
          <w:tcPr>
            <w:tcW w:w="0" w:type="auto"/>
            <w:shd w:val="clear" w:color="auto" w:fill="auto"/>
            <w:noWrap/>
            <w:hideMark/>
          </w:tcPr>
          <w:p w14:paraId="15FEA332" w14:textId="77777777" w:rsidR="002F0133" w:rsidRPr="000B4E2C" w:rsidRDefault="002F0133" w:rsidP="008A7464">
            <w:pPr>
              <w:jc w:val="center"/>
              <w:rPr>
                <w:lang w:eastAsia="en-GB"/>
              </w:rPr>
            </w:pPr>
            <w:r w:rsidRPr="000B4E2C">
              <w:rPr>
                <w:lang w:eastAsia="en-GB"/>
              </w:rPr>
              <w:t>2008</w:t>
            </w:r>
          </w:p>
        </w:tc>
        <w:tc>
          <w:tcPr>
            <w:tcW w:w="0" w:type="auto"/>
            <w:shd w:val="clear" w:color="auto" w:fill="auto"/>
            <w:noWrap/>
            <w:hideMark/>
          </w:tcPr>
          <w:p w14:paraId="64C7821D"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54D78147" w14:textId="77777777" w:rsidR="002F0133" w:rsidRPr="000B4E2C" w:rsidRDefault="002F0133" w:rsidP="008A7464">
            <w:pPr>
              <w:rPr>
                <w:highlight w:val="green"/>
                <w:lang w:eastAsia="en-GB"/>
              </w:rPr>
            </w:pPr>
            <w:r w:rsidRPr="000B4E2C">
              <w:rPr>
                <w:highlight w:val="green"/>
                <w:lang w:eastAsia="en-GB"/>
              </w:rPr>
              <w:t>D. S. Wheeler, P. Devarajan, Q. Ma, K. Harmon, M. Monaco, N. Cvijanovich and H. R. Wong. Serum neutrophil gelatinase-associated lipocalin (NGAL) as a marker of acute kidney injury in critically ill children with septic shock. Critical Care Medicine, 36(4), 1297-303. [2425]</w:t>
            </w:r>
          </w:p>
        </w:tc>
      </w:tr>
      <w:tr w:rsidR="002F0133" w:rsidRPr="000B4E2C" w14:paraId="6E6808B6" w14:textId="77777777" w:rsidTr="000B4E2C">
        <w:trPr>
          <w:cantSplit/>
        </w:trPr>
        <w:tc>
          <w:tcPr>
            <w:tcW w:w="0" w:type="auto"/>
            <w:shd w:val="clear" w:color="auto" w:fill="auto"/>
            <w:noWrap/>
            <w:hideMark/>
          </w:tcPr>
          <w:p w14:paraId="6858EBBE" w14:textId="77777777" w:rsidR="002F0133" w:rsidRPr="000B4E2C" w:rsidRDefault="002F0133" w:rsidP="008A7464">
            <w:pPr>
              <w:rPr>
                <w:lang w:eastAsia="en-GB"/>
              </w:rPr>
            </w:pPr>
            <w:r w:rsidRPr="000B4E2C">
              <w:rPr>
                <w:lang w:eastAsia="en-GB"/>
              </w:rPr>
              <w:t>Wijerathna</w:t>
            </w:r>
          </w:p>
        </w:tc>
        <w:tc>
          <w:tcPr>
            <w:tcW w:w="0" w:type="auto"/>
            <w:shd w:val="clear" w:color="auto" w:fill="auto"/>
            <w:noWrap/>
            <w:hideMark/>
          </w:tcPr>
          <w:p w14:paraId="3658C20C"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06192107" w14:textId="12DB9D8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D14B4C8" w14:textId="77777777" w:rsidR="002F0133" w:rsidRPr="000B4E2C" w:rsidRDefault="002F0133" w:rsidP="008A7464">
            <w:pPr>
              <w:rPr>
                <w:highlight w:val="green"/>
                <w:lang w:eastAsia="en-GB"/>
              </w:rPr>
            </w:pPr>
            <w:r w:rsidRPr="000B4E2C">
              <w:rPr>
                <w:highlight w:val="green"/>
                <w:lang w:eastAsia="en-GB"/>
              </w:rPr>
              <w:t>T. M. Wijerathna, F. Mohamed, D. Dissanayaka, I. Gawarammana, C. Palangasinghe, F. Shihana, Z. Endre, S. Shahmy and N. A. Buckley. Albuminuria and other renal damage biomarkers detect acute kidney injury soon after acute ingestion of oxalic acid and potassium permanganate. Toxicology Letters, 299(182-190. [16900]</w:t>
            </w:r>
          </w:p>
        </w:tc>
      </w:tr>
      <w:tr w:rsidR="002F0133" w:rsidRPr="000B4E2C" w14:paraId="1C684CF3" w14:textId="77777777" w:rsidTr="000B4E2C">
        <w:trPr>
          <w:cantSplit/>
        </w:trPr>
        <w:tc>
          <w:tcPr>
            <w:tcW w:w="0" w:type="auto"/>
            <w:shd w:val="clear" w:color="auto" w:fill="auto"/>
            <w:noWrap/>
            <w:hideMark/>
          </w:tcPr>
          <w:p w14:paraId="282326D4" w14:textId="77777777" w:rsidR="002F0133" w:rsidRPr="000B4E2C" w:rsidRDefault="002F0133" w:rsidP="008A7464">
            <w:pPr>
              <w:rPr>
                <w:lang w:eastAsia="en-GB"/>
              </w:rPr>
            </w:pPr>
            <w:r w:rsidRPr="000B4E2C">
              <w:rPr>
                <w:lang w:eastAsia="en-GB"/>
              </w:rPr>
              <w:t>Wijerathna</w:t>
            </w:r>
          </w:p>
        </w:tc>
        <w:tc>
          <w:tcPr>
            <w:tcW w:w="0" w:type="auto"/>
            <w:shd w:val="clear" w:color="auto" w:fill="auto"/>
            <w:noWrap/>
            <w:hideMark/>
          </w:tcPr>
          <w:p w14:paraId="67955E77"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6855F80F"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51A48D1" w14:textId="77777777" w:rsidR="002F0133" w:rsidRPr="000B4E2C" w:rsidRDefault="002F0133" w:rsidP="008A7464">
            <w:pPr>
              <w:rPr>
                <w:highlight w:val="green"/>
                <w:lang w:eastAsia="en-GB"/>
              </w:rPr>
            </w:pPr>
            <w:r w:rsidRPr="000B4E2C">
              <w:rPr>
                <w:highlight w:val="green"/>
                <w:lang w:eastAsia="en-GB"/>
              </w:rPr>
              <w:t>T. M. Wijerathna, I. B. Gawarammana, F. Mohamed, D. M. Dissanayaka, P. I. Dargan, U. Chathuranga, C. Jayathilaka and N. A. Buckley. Epidemiology, toxicokinetics and biomarkers after self-poisoning with Gloriosa superba. Clinical Toxicology, . [16899]</w:t>
            </w:r>
          </w:p>
        </w:tc>
      </w:tr>
      <w:tr w:rsidR="002F0133" w:rsidRPr="000B4E2C" w14:paraId="3E53A8F9" w14:textId="77777777" w:rsidTr="000B4E2C">
        <w:trPr>
          <w:cantSplit/>
        </w:trPr>
        <w:tc>
          <w:tcPr>
            <w:tcW w:w="0" w:type="auto"/>
            <w:shd w:val="clear" w:color="auto" w:fill="auto"/>
            <w:noWrap/>
            <w:hideMark/>
          </w:tcPr>
          <w:p w14:paraId="685CC3A4" w14:textId="77777777" w:rsidR="002F0133" w:rsidRPr="000B4E2C" w:rsidRDefault="002F0133" w:rsidP="008A7464">
            <w:pPr>
              <w:rPr>
                <w:lang w:eastAsia="en-GB"/>
              </w:rPr>
            </w:pPr>
            <w:r w:rsidRPr="000B4E2C">
              <w:rPr>
                <w:lang w:eastAsia="en-GB"/>
              </w:rPr>
              <w:t>Woitas</w:t>
            </w:r>
          </w:p>
        </w:tc>
        <w:tc>
          <w:tcPr>
            <w:tcW w:w="0" w:type="auto"/>
            <w:shd w:val="clear" w:color="auto" w:fill="auto"/>
            <w:noWrap/>
            <w:hideMark/>
          </w:tcPr>
          <w:p w14:paraId="49CA61B7"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4137BF9"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2A87FF23" w14:textId="77777777" w:rsidR="002F0133" w:rsidRPr="000B4E2C" w:rsidRDefault="002F0133" w:rsidP="008A7464">
            <w:pPr>
              <w:rPr>
                <w:highlight w:val="green"/>
                <w:lang w:eastAsia="en-GB"/>
              </w:rPr>
            </w:pPr>
            <w:r w:rsidRPr="000B4E2C">
              <w:rPr>
                <w:highlight w:val="green"/>
                <w:lang w:eastAsia="en-GB"/>
              </w:rPr>
              <w:t>R. P. Woitas, H. Scharnagl, M. E. Kleber, G. E. Delgado, T. B. Grammer, M. Pichler, B. K. Kraemer, W. Maerz and T. Stojakovic. Neutrophil gelatinase-associated lipocalin levels are U-shaped in the Ludwigshafen Risk and Cardiovascular Health (LURIC) study-Impact for mortality. Plos One, 12(2), e0171574-e0171574. [18614]</w:t>
            </w:r>
          </w:p>
        </w:tc>
      </w:tr>
      <w:tr w:rsidR="002F0133" w:rsidRPr="000B4E2C" w14:paraId="74100EAA" w14:textId="77777777" w:rsidTr="000B4E2C">
        <w:trPr>
          <w:cantSplit/>
        </w:trPr>
        <w:tc>
          <w:tcPr>
            <w:tcW w:w="0" w:type="auto"/>
            <w:shd w:val="clear" w:color="auto" w:fill="auto"/>
            <w:noWrap/>
            <w:hideMark/>
          </w:tcPr>
          <w:p w14:paraId="2A862855" w14:textId="77777777" w:rsidR="002F0133" w:rsidRPr="000B4E2C" w:rsidRDefault="002F0133" w:rsidP="008A7464">
            <w:pPr>
              <w:rPr>
                <w:lang w:eastAsia="en-GB"/>
              </w:rPr>
            </w:pPr>
            <w:r w:rsidRPr="000B4E2C">
              <w:rPr>
                <w:lang w:eastAsia="en-GB"/>
              </w:rPr>
              <w:t>Wong</w:t>
            </w:r>
          </w:p>
        </w:tc>
        <w:tc>
          <w:tcPr>
            <w:tcW w:w="0" w:type="auto"/>
            <w:shd w:val="clear" w:color="auto" w:fill="auto"/>
            <w:noWrap/>
            <w:hideMark/>
          </w:tcPr>
          <w:p w14:paraId="77C6107A"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4732317"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5015EC1E" w14:textId="77777777" w:rsidR="002F0133" w:rsidRPr="000B4E2C" w:rsidRDefault="002F0133" w:rsidP="008A7464">
            <w:pPr>
              <w:rPr>
                <w:highlight w:val="green"/>
                <w:lang w:eastAsia="en-GB"/>
              </w:rPr>
            </w:pPr>
            <w:r w:rsidRPr="000B4E2C">
              <w:rPr>
                <w:highlight w:val="green"/>
                <w:lang w:eastAsia="en-GB"/>
              </w:rPr>
              <w:t>F. Wong and P. Murray. Kidney damage biomarkers: Novel tools for the diagnostic assessment of acute kidney injury in cirrhosis. Hepatology, 60(2), 455-457. [16905]</w:t>
            </w:r>
          </w:p>
        </w:tc>
      </w:tr>
      <w:tr w:rsidR="002F0133" w:rsidRPr="000B4E2C" w14:paraId="4FE118C2" w14:textId="77777777" w:rsidTr="000B4E2C">
        <w:trPr>
          <w:cantSplit/>
        </w:trPr>
        <w:tc>
          <w:tcPr>
            <w:tcW w:w="0" w:type="auto"/>
            <w:shd w:val="clear" w:color="auto" w:fill="auto"/>
            <w:noWrap/>
            <w:hideMark/>
          </w:tcPr>
          <w:p w14:paraId="270F92CF" w14:textId="77777777" w:rsidR="002F0133" w:rsidRPr="000B4E2C" w:rsidRDefault="002F0133" w:rsidP="008A7464">
            <w:pPr>
              <w:rPr>
                <w:lang w:eastAsia="en-GB"/>
              </w:rPr>
            </w:pPr>
            <w:r w:rsidRPr="000B4E2C">
              <w:rPr>
                <w:lang w:eastAsia="en-GB"/>
              </w:rPr>
              <w:t>Woo</w:t>
            </w:r>
          </w:p>
        </w:tc>
        <w:tc>
          <w:tcPr>
            <w:tcW w:w="0" w:type="auto"/>
            <w:shd w:val="clear" w:color="auto" w:fill="auto"/>
            <w:noWrap/>
            <w:hideMark/>
          </w:tcPr>
          <w:p w14:paraId="1B7FDD34"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1355CABE"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D4F8D00" w14:textId="77777777" w:rsidR="002F0133" w:rsidRPr="000B4E2C" w:rsidRDefault="002F0133" w:rsidP="008A7464">
            <w:pPr>
              <w:rPr>
                <w:highlight w:val="green"/>
                <w:lang w:eastAsia="en-GB"/>
              </w:rPr>
            </w:pPr>
            <w:r w:rsidRPr="000B4E2C">
              <w:rPr>
                <w:highlight w:val="green"/>
                <w:lang w:eastAsia="en-GB"/>
              </w:rPr>
              <w:t>K.-S. Woo, J.-L. Choi, B.-R. Kim, J.-E. Kim, W.-S. An and J.-Y. Han. Urinary neutrophil gelatinase-associated lipocalin levels in comparison with glomerular filtration rate for evaluation of renal function in patients with diabetic chronic kidney disease. Diabetes &amp; metabolism journal, 36(4), 307-13. [16907]</w:t>
            </w:r>
          </w:p>
        </w:tc>
      </w:tr>
      <w:tr w:rsidR="002F0133" w:rsidRPr="000B4E2C" w14:paraId="5740FB1F" w14:textId="77777777" w:rsidTr="000B4E2C">
        <w:trPr>
          <w:cantSplit/>
        </w:trPr>
        <w:tc>
          <w:tcPr>
            <w:tcW w:w="0" w:type="auto"/>
            <w:shd w:val="clear" w:color="auto" w:fill="auto"/>
            <w:noWrap/>
            <w:hideMark/>
          </w:tcPr>
          <w:p w14:paraId="097FA990" w14:textId="77777777" w:rsidR="002F0133" w:rsidRPr="000B4E2C" w:rsidRDefault="002F0133" w:rsidP="008A7464">
            <w:pPr>
              <w:rPr>
                <w:lang w:eastAsia="en-GB"/>
              </w:rPr>
            </w:pPr>
            <w:r w:rsidRPr="000B4E2C">
              <w:rPr>
                <w:lang w:eastAsia="en-GB"/>
              </w:rPr>
              <w:t>Wu</w:t>
            </w:r>
          </w:p>
        </w:tc>
        <w:tc>
          <w:tcPr>
            <w:tcW w:w="0" w:type="auto"/>
            <w:shd w:val="clear" w:color="auto" w:fill="auto"/>
            <w:noWrap/>
            <w:hideMark/>
          </w:tcPr>
          <w:p w14:paraId="0198C00D" w14:textId="77777777" w:rsidR="002F0133" w:rsidRPr="000B4E2C" w:rsidRDefault="002F0133" w:rsidP="008A7464">
            <w:pPr>
              <w:jc w:val="center"/>
              <w:rPr>
                <w:lang w:eastAsia="en-GB"/>
              </w:rPr>
            </w:pPr>
            <w:r w:rsidRPr="000B4E2C">
              <w:rPr>
                <w:lang w:eastAsia="en-GB"/>
              </w:rPr>
              <w:t>2010</w:t>
            </w:r>
          </w:p>
        </w:tc>
        <w:tc>
          <w:tcPr>
            <w:tcW w:w="0" w:type="auto"/>
            <w:shd w:val="clear" w:color="auto" w:fill="auto"/>
            <w:noWrap/>
            <w:hideMark/>
          </w:tcPr>
          <w:p w14:paraId="5C0C51D1" w14:textId="344BCD4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FABA760" w14:textId="77777777" w:rsidR="002F0133" w:rsidRPr="000B4E2C" w:rsidRDefault="002F0133" w:rsidP="008A7464">
            <w:pPr>
              <w:rPr>
                <w:highlight w:val="green"/>
                <w:lang w:eastAsia="en-GB"/>
              </w:rPr>
            </w:pPr>
            <w:r w:rsidRPr="000B4E2C">
              <w:rPr>
                <w:highlight w:val="green"/>
                <w:lang w:eastAsia="en-GB"/>
              </w:rPr>
              <w:t>Y. Wu, T. Su, L. Yang, S.-N. Zhu and X.-M. Li. Urinary Neutrophil Gelatinase-Associated Lipocalin: A Potential Biomarker for Predicting Rapid Progression of Drug-Induced Chronic Tubulointerstitial Nephritis. American Journal of the Medical Sciences, 339(6), 537-542. [18617]</w:t>
            </w:r>
          </w:p>
        </w:tc>
      </w:tr>
      <w:tr w:rsidR="002F0133" w:rsidRPr="000B4E2C" w14:paraId="03748E32" w14:textId="77777777" w:rsidTr="000B4E2C">
        <w:trPr>
          <w:cantSplit/>
        </w:trPr>
        <w:tc>
          <w:tcPr>
            <w:tcW w:w="0" w:type="auto"/>
            <w:shd w:val="clear" w:color="auto" w:fill="auto"/>
            <w:noWrap/>
            <w:hideMark/>
          </w:tcPr>
          <w:p w14:paraId="72EEA7A7" w14:textId="77777777" w:rsidR="002F0133" w:rsidRPr="000B4E2C" w:rsidRDefault="002F0133" w:rsidP="008A7464">
            <w:pPr>
              <w:rPr>
                <w:lang w:eastAsia="en-GB"/>
              </w:rPr>
            </w:pPr>
            <w:r w:rsidRPr="000B4E2C">
              <w:rPr>
                <w:lang w:eastAsia="en-GB"/>
              </w:rPr>
              <w:t>Wu</w:t>
            </w:r>
          </w:p>
        </w:tc>
        <w:tc>
          <w:tcPr>
            <w:tcW w:w="0" w:type="auto"/>
            <w:shd w:val="clear" w:color="auto" w:fill="auto"/>
            <w:noWrap/>
            <w:hideMark/>
          </w:tcPr>
          <w:p w14:paraId="48A2B83D"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2582DEB1"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28A600AC" w14:textId="77777777" w:rsidR="002F0133" w:rsidRPr="000B4E2C" w:rsidRDefault="002F0133" w:rsidP="008A7464">
            <w:pPr>
              <w:rPr>
                <w:highlight w:val="green"/>
                <w:lang w:eastAsia="en-GB"/>
              </w:rPr>
            </w:pPr>
            <w:r w:rsidRPr="000B4E2C">
              <w:rPr>
                <w:highlight w:val="green"/>
                <w:lang w:eastAsia="en-GB"/>
              </w:rPr>
              <w:t>J. Wu, Y. Ding, C. Zhu, X. Shao, X. Xie, K. Lu and R. Wang. Urinary TNF-alpha and NGAL are correlated with the progression of nephropathy in patients with type 2 diabetes. Experimental and Therapeutic Medicine, 6(6), 1482-1488. [18616]</w:t>
            </w:r>
          </w:p>
        </w:tc>
      </w:tr>
      <w:tr w:rsidR="002F0133" w:rsidRPr="000B4E2C" w14:paraId="50D0168F" w14:textId="77777777" w:rsidTr="000B4E2C">
        <w:trPr>
          <w:cantSplit/>
        </w:trPr>
        <w:tc>
          <w:tcPr>
            <w:tcW w:w="0" w:type="auto"/>
            <w:shd w:val="clear" w:color="auto" w:fill="auto"/>
            <w:noWrap/>
            <w:hideMark/>
          </w:tcPr>
          <w:p w14:paraId="297FC11F" w14:textId="77777777" w:rsidR="002F0133" w:rsidRPr="000B4E2C" w:rsidRDefault="002F0133" w:rsidP="008A7464">
            <w:pPr>
              <w:rPr>
                <w:lang w:eastAsia="en-GB"/>
              </w:rPr>
            </w:pPr>
            <w:r w:rsidRPr="000B4E2C">
              <w:rPr>
                <w:lang w:eastAsia="en-GB"/>
              </w:rPr>
              <w:lastRenderedPageBreak/>
              <w:t>Wu</w:t>
            </w:r>
          </w:p>
        </w:tc>
        <w:tc>
          <w:tcPr>
            <w:tcW w:w="0" w:type="auto"/>
            <w:shd w:val="clear" w:color="auto" w:fill="auto"/>
            <w:noWrap/>
            <w:hideMark/>
          </w:tcPr>
          <w:p w14:paraId="25209B81"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6EFA6426"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16E1002A" w14:textId="77777777" w:rsidR="002F0133" w:rsidRPr="000B4E2C" w:rsidRDefault="002F0133" w:rsidP="008A7464">
            <w:pPr>
              <w:rPr>
                <w:highlight w:val="green"/>
                <w:lang w:eastAsia="en-GB"/>
              </w:rPr>
            </w:pPr>
            <w:r w:rsidRPr="000B4E2C">
              <w:rPr>
                <w:highlight w:val="green"/>
                <w:lang w:eastAsia="en-GB"/>
              </w:rPr>
              <w:t>V. C. Wu, C. C. Shiao, N. H. Chi, C. H. Wang, S. C. J. Chueh, H. H. Liou, H. D. Spapen, P. M. Honore and T. S. Chu. Outcome prediction of acute kidney injury biomarkers at initiation of dialysis in critical units. Journal of Clinical Medicine, 7(8), 202. [16910]</w:t>
            </w:r>
          </w:p>
        </w:tc>
      </w:tr>
      <w:tr w:rsidR="002F0133" w:rsidRPr="000B4E2C" w14:paraId="3BCBF54D" w14:textId="77777777" w:rsidTr="000B4E2C">
        <w:trPr>
          <w:cantSplit/>
        </w:trPr>
        <w:tc>
          <w:tcPr>
            <w:tcW w:w="0" w:type="auto"/>
            <w:shd w:val="clear" w:color="auto" w:fill="auto"/>
            <w:noWrap/>
            <w:hideMark/>
          </w:tcPr>
          <w:p w14:paraId="59FE5AD8" w14:textId="77777777" w:rsidR="002F0133" w:rsidRPr="000B4E2C" w:rsidRDefault="002F0133" w:rsidP="008A7464">
            <w:pPr>
              <w:rPr>
                <w:lang w:eastAsia="en-GB"/>
              </w:rPr>
            </w:pPr>
            <w:r w:rsidRPr="000B4E2C">
              <w:rPr>
                <w:lang w:eastAsia="en-GB"/>
              </w:rPr>
              <w:t>Xiao</w:t>
            </w:r>
          </w:p>
        </w:tc>
        <w:tc>
          <w:tcPr>
            <w:tcW w:w="0" w:type="auto"/>
            <w:shd w:val="clear" w:color="auto" w:fill="auto"/>
            <w:noWrap/>
            <w:hideMark/>
          </w:tcPr>
          <w:p w14:paraId="0DEFE3B8"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46FFB5C0" w14:textId="2AA30B8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AEC7186" w14:textId="77777777" w:rsidR="002F0133" w:rsidRPr="000B4E2C" w:rsidRDefault="002F0133" w:rsidP="008A7464">
            <w:pPr>
              <w:rPr>
                <w:highlight w:val="green"/>
                <w:lang w:eastAsia="en-GB"/>
              </w:rPr>
            </w:pPr>
            <w:r w:rsidRPr="000B4E2C">
              <w:rPr>
                <w:highlight w:val="green"/>
                <w:lang w:eastAsia="en-GB"/>
              </w:rPr>
              <w:t>J. Xiao, J. Niu, X. Ye, Q. Yu and Y. Gu. Combined biomarkers evaluation for diagnosing kidney injury in preeclampsia. Hypertension in Pregnancy, 32(4), 439-449. [16917]</w:t>
            </w:r>
          </w:p>
        </w:tc>
      </w:tr>
      <w:tr w:rsidR="002F0133" w:rsidRPr="000B4E2C" w14:paraId="4627C9E6" w14:textId="77777777" w:rsidTr="000B4E2C">
        <w:trPr>
          <w:cantSplit/>
        </w:trPr>
        <w:tc>
          <w:tcPr>
            <w:tcW w:w="0" w:type="auto"/>
            <w:shd w:val="clear" w:color="auto" w:fill="auto"/>
            <w:noWrap/>
            <w:hideMark/>
          </w:tcPr>
          <w:p w14:paraId="1A8E59BA" w14:textId="77777777" w:rsidR="002F0133" w:rsidRPr="000B4E2C" w:rsidRDefault="002F0133" w:rsidP="008A7464">
            <w:pPr>
              <w:rPr>
                <w:lang w:eastAsia="en-GB"/>
              </w:rPr>
            </w:pPr>
            <w:r w:rsidRPr="000B4E2C">
              <w:rPr>
                <w:lang w:eastAsia="en-GB"/>
              </w:rPr>
              <w:t>Xiao</w:t>
            </w:r>
          </w:p>
        </w:tc>
        <w:tc>
          <w:tcPr>
            <w:tcW w:w="0" w:type="auto"/>
            <w:shd w:val="clear" w:color="auto" w:fill="auto"/>
            <w:noWrap/>
            <w:hideMark/>
          </w:tcPr>
          <w:p w14:paraId="6214E45F"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568A0C5E" w14:textId="03AA306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090955A8" w14:textId="77777777" w:rsidR="002F0133" w:rsidRPr="000B4E2C" w:rsidRDefault="002F0133" w:rsidP="008A7464">
            <w:pPr>
              <w:rPr>
                <w:highlight w:val="green"/>
                <w:lang w:eastAsia="en-GB"/>
              </w:rPr>
            </w:pPr>
            <w:r w:rsidRPr="000B4E2C">
              <w:rPr>
                <w:highlight w:val="green"/>
                <w:lang w:eastAsia="en-GB"/>
              </w:rPr>
              <w:t>N. Xiao, P. Devarajan, T. H. Inge, T. M. Jenkins, M. Bennett and M. M. Mitsnefes. Subclinical kidney injury before and 1 year after bariatric surgery among adolescents with severe obesity. Obesity, 23(6), 1234-1238. [16918]</w:t>
            </w:r>
          </w:p>
        </w:tc>
      </w:tr>
      <w:tr w:rsidR="002F0133" w:rsidRPr="000B4E2C" w14:paraId="25A821A4" w14:textId="77777777" w:rsidTr="000B4E2C">
        <w:trPr>
          <w:cantSplit/>
        </w:trPr>
        <w:tc>
          <w:tcPr>
            <w:tcW w:w="0" w:type="auto"/>
            <w:shd w:val="clear" w:color="auto" w:fill="auto"/>
            <w:noWrap/>
            <w:hideMark/>
          </w:tcPr>
          <w:p w14:paraId="7F795B69" w14:textId="77777777" w:rsidR="002F0133" w:rsidRPr="000B4E2C" w:rsidRDefault="002F0133" w:rsidP="008A7464">
            <w:pPr>
              <w:rPr>
                <w:lang w:eastAsia="en-GB"/>
              </w:rPr>
            </w:pPr>
            <w:r w:rsidRPr="000B4E2C">
              <w:rPr>
                <w:lang w:eastAsia="en-GB"/>
              </w:rPr>
              <w:t>Xiao</w:t>
            </w:r>
          </w:p>
        </w:tc>
        <w:tc>
          <w:tcPr>
            <w:tcW w:w="0" w:type="auto"/>
            <w:shd w:val="clear" w:color="auto" w:fill="auto"/>
            <w:noWrap/>
            <w:hideMark/>
          </w:tcPr>
          <w:p w14:paraId="6DB4C9B2"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4BAAA9EC"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6D45B11A" w14:textId="77777777" w:rsidR="002F0133" w:rsidRPr="000B4E2C" w:rsidRDefault="002F0133" w:rsidP="008A7464">
            <w:pPr>
              <w:rPr>
                <w:highlight w:val="green"/>
                <w:lang w:eastAsia="en-GB"/>
              </w:rPr>
            </w:pPr>
            <w:r w:rsidRPr="000B4E2C">
              <w:rPr>
                <w:highlight w:val="green"/>
                <w:lang w:eastAsia="en-GB"/>
              </w:rPr>
              <w:t>W. Xiao, W. Chen, H. Hu, X. Huang and Y. Luo. The clinical significance of neutrophil gelatinase-associated lipocalin in ischemic stroke patients with acute kidney injury. Journal of clinical laboratory analysis, e22907. [16919]</w:t>
            </w:r>
          </w:p>
        </w:tc>
      </w:tr>
      <w:tr w:rsidR="002F0133" w:rsidRPr="000B4E2C" w14:paraId="1F6B6CED" w14:textId="77777777" w:rsidTr="000B4E2C">
        <w:trPr>
          <w:cantSplit/>
        </w:trPr>
        <w:tc>
          <w:tcPr>
            <w:tcW w:w="0" w:type="auto"/>
            <w:shd w:val="clear" w:color="auto" w:fill="auto"/>
            <w:noWrap/>
            <w:hideMark/>
          </w:tcPr>
          <w:p w14:paraId="3E1F5955" w14:textId="77777777" w:rsidR="002F0133" w:rsidRPr="000B4E2C" w:rsidRDefault="002F0133" w:rsidP="008A7464">
            <w:pPr>
              <w:rPr>
                <w:lang w:eastAsia="en-GB"/>
              </w:rPr>
            </w:pPr>
            <w:r w:rsidRPr="000B4E2C">
              <w:rPr>
                <w:lang w:eastAsia="en-GB"/>
              </w:rPr>
              <w:t>Xie</w:t>
            </w:r>
          </w:p>
        </w:tc>
        <w:tc>
          <w:tcPr>
            <w:tcW w:w="0" w:type="auto"/>
            <w:shd w:val="clear" w:color="auto" w:fill="auto"/>
            <w:noWrap/>
            <w:hideMark/>
          </w:tcPr>
          <w:p w14:paraId="53B2FA07"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142ECAD1" w14:textId="0663E70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2277975" w14:textId="77777777" w:rsidR="002F0133" w:rsidRPr="000B4E2C" w:rsidRDefault="002F0133" w:rsidP="008A7464">
            <w:pPr>
              <w:rPr>
                <w:highlight w:val="green"/>
                <w:lang w:eastAsia="en-GB"/>
              </w:rPr>
            </w:pPr>
            <w:r w:rsidRPr="000B4E2C">
              <w:rPr>
                <w:highlight w:val="green"/>
                <w:lang w:eastAsia="en-GB"/>
              </w:rPr>
              <w:t>Y. Xie, W. Xu, Q. Wang, X. Shao, Z. Ni and S. Mou. Urinary excretion of liver-type FABP as a new clinical marker for the progression of obstructive nephropathy. Biomarkers in medicine, 8(4), 543-56. [16922]</w:t>
            </w:r>
          </w:p>
        </w:tc>
      </w:tr>
      <w:tr w:rsidR="002F0133" w:rsidRPr="000B4E2C" w14:paraId="5F02206B" w14:textId="77777777" w:rsidTr="000B4E2C">
        <w:trPr>
          <w:cantSplit/>
        </w:trPr>
        <w:tc>
          <w:tcPr>
            <w:tcW w:w="0" w:type="auto"/>
            <w:shd w:val="clear" w:color="auto" w:fill="auto"/>
            <w:noWrap/>
            <w:hideMark/>
          </w:tcPr>
          <w:p w14:paraId="773E7764" w14:textId="77777777" w:rsidR="002F0133" w:rsidRPr="000B4E2C" w:rsidRDefault="002F0133" w:rsidP="008A7464">
            <w:pPr>
              <w:rPr>
                <w:lang w:eastAsia="en-GB"/>
              </w:rPr>
            </w:pPr>
            <w:r w:rsidRPr="000B4E2C">
              <w:rPr>
                <w:lang w:eastAsia="en-GB"/>
              </w:rPr>
              <w:t>Ximenes</w:t>
            </w:r>
          </w:p>
        </w:tc>
        <w:tc>
          <w:tcPr>
            <w:tcW w:w="0" w:type="auto"/>
            <w:shd w:val="clear" w:color="auto" w:fill="auto"/>
            <w:noWrap/>
            <w:hideMark/>
          </w:tcPr>
          <w:p w14:paraId="3277397B"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22E4EACB" w14:textId="26653AD3"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3102FAF" w14:textId="77777777" w:rsidR="002F0133" w:rsidRPr="000B4E2C" w:rsidRDefault="002F0133" w:rsidP="008A7464">
            <w:pPr>
              <w:rPr>
                <w:highlight w:val="green"/>
                <w:lang w:eastAsia="en-GB"/>
              </w:rPr>
            </w:pPr>
            <w:r w:rsidRPr="000B4E2C">
              <w:rPr>
                <w:highlight w:val="green"/>
                <w:lang w:eastAsia="en-GB"/>
              </w:rPr>
              <w:t>R. O. Ximenes, A. Q. Farias and C. M. B. Helou. Early predictors of acute kidney injury in patients with cirrhosis and bacterial infection: Urinary neutrophil gelatinase-associated lipocalin and cardiac output as reliable tools. Kidney Research and Clinical Practice, 34(3), 140-145. [16924]</w:t>
            </w:r>
          </w:p>
        </w:tc>
      </w:tr>
      <w:tr w:rsidR="002F0133" w:rsidRPr="000B4E2C" w14:paraId="3AECDE83" w14:textId="77777777" w:rsidTr="000B4E2C">
        <w:trPr>
          <w:cantSplit/>
        </w:trPr>
        <w:tc>
          <w:tcPr>
            <w:tcW w:w="0" w:type="auto"/>
            <w:shd w:val="clear" w:color="auto" w:fill="auto"/>
            <w:noWrap/>
            <w:hideMark/>
          </w:tcPr>
          <w:p w14:paraId="6FA28C86" w14:textId="77777777" w:rsidR="002F0133" w:rsidRPr="000B4E2C" w:rsidRDefault="002F0133" w:rsidP="008A7464">
            <w:pPr>
              <w:rPr>
                <w:lang w:eastAsia="en-GB"/>
              </w:rPr>
            </w:pPr>
            <w:r w:rsidRPr="000B4E2C">
              <w:rPr>
                <w:lang w:eastAsia="en-GB"/>
              </w:rPr>
              <w:t>Xin</w:t>
            </w:r>
          </w:p>
        </w:tc>
        <w:tc>
          <w:tcPr>
            <w:tcW w:w="0" w:type="auto"/>
            <w:shd w:val="clear" w:color="auto" w:fill="auto"/>
            <w:noWrap/>
            <w:hideMark/>
          </w:tcPr>
          <w:p w14:paraId="49F5E0D9"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78BFBB85" w14:textId="741D436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E89E396" w14:textId="77777777" w:rsidR="002F0133" w:rsidRPr="000B4E2C" w:rsidRDefault="002F0133" w:rsidP="008A7464">
            <w:pPr>
              <w:rPr>
                <w:highlight w:val="green"/>
                <w:lang w:eastAsia="en-GB"/>
              </w:rPr>
            </w:pPr>
            <w:r w:rsidRPr="000B4E2C">
              <w:rPr>
                <w:highlight w:val="green"/>
                <w:lang w:eastAsia="en-GB"/>
              </w:rPr>
              <w:t>C. Xin, X. Yulong, C. Yu, C. Changchun, Z. Feng and M. Xinwei. Urine neutrophil gelatinase-associated lipocalin and interleukin-18 predict acute kidney injury after cardiac surgery. Renal Failure, 30(9), 904-13. [3966]</w:t>
            </w:r>
          </w:p>
        </w:tc>
      </w:tr>
      <w:tr w:rsidR="002F0133" w:rsidRPr="000B4E2C" w14:paraId="05905E1E" w14:textId="77777777" w:rsidTr="000B4E2C">
        <w:trPr>
          <w:cantSplit/>
        </w:trPr>
        <w:tc>
          <w:tcPr>
            <w:tcW w:w="0" w:type="auto"/>
            <w:shd w:val="clear" w:color="auto" w:fill="auto"/>
            <w:noWrap/>
            <w:hideMark/>
          </w:tcPr>
          <w:p w14:paraId="2C212C85" w14:textId="77777777" w:rsidR="002F0133" w:rsidRPr="000B4E2C" w:rsidRDefault="002F0133" w:rsidP="008A7464">
            <w:pPr>
              <w:rPr>
                <w:lang w:eastAsia="en-GB"/>
              </w:rPr>
            </w:pPr>
            <w:r w:rsidRPr="000B4E2C">
              <w:rPr>
                <w:lang w:eastAsia="en-GB"/>
              </w:rPr>
              <w:t>Xue</w:t>
            </w:r>
          </w:p>
        </w:tc>
        <w:tc>
          <w:tcPr>
            <w:tcW w:w="0" w:type="auto"/>
            <w:shd w:val="clear" w:color="auto" w:fill="auto"/>
            <w:noWrap/>
            <w:hideMark/>
          </w:tcPr>
          <w:p w14:paraId="0FB5B77F"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94D3A0F" w14:textId="3854BB5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2B930C2" w14:textId="77777777" w:rsidR="002F0133" w:rsidRPr="000B4E2C" w:rsidRDefault="002F0133" w:rsidP="008A7464">
            <w:pPr>
              <w:rPr>
                <w:highlight w:val="green"/>
                <w:lang w:eastAsia="en-GB"/>
              </w:rPr>
            </w:pPr>
            <w:r w:rsidRPr="000B4E2C">
              <w:rPr>
                <w:highlight w:val="green"/>
                <w:lang w:eastAsia="en-GB"/>
              </w:rPr>
              <w:t>W. Xue, Y. Xie, Q. Wang, W. Xu, S. Mou and Z. Ni. Diagnostic performance of urinary kidney injury molecule-1 and neutrophil gelatinase-associated lipocalin for acute kidney injury in an obstructive nephropathy patient. Nephrology, 19(4), 186-194. [16928]</w:t>
            </w:r>
          </w:p>
        </w:tc>
      </w:tr>
      <w:tr w:rsidR="002F0133" w:rsidRPr="000B4E2C" w14:paraId="21712DD3" w14:textId="77777777" w:rsidTr="000B4E2C">
        <w:trPr>
          <w:cantSplit/>
        </w:trPr>
        <w:tc>
          <w:tcPr>
            <w:tcW w:w="0" w:type="auto"/>
            <w:shd w:val="clear" w:color="auto" w:fill="auto"/>
            <w:noWrap/>
            <w:hideMark/>
          </w:tcPr>
          <w:p w14:paraId="0E775DFF" w14:textId="77777777" w:rsidR="002F0133" w:rsidRPr="000B4E2C" w:rsidRDefault="002F0133" w:rsidP="008A7464">
            <w:pPr>
              <w:rPr>
                <w:lang w:eastAsia="en-GB"/>
              </w:rPr>
            </w:pPr>
            <w:r w:rsidRPr="000B4E2C">
              <w:rPr>
                <w:lang w:eastAsia="en-GB"/>
              </w:rPr>
              <w:t>Yamanouchi</w:t>
            </w:r>
          </w:p>
        </w:tc>
        <w:tc>
          <w:tcPr>
            <w:tcW w:w="0" w:type="auto"/>
            <w:shd w:val="clear" w:color="auto" w:fill="auto"/>
            <w:noWrap/>
            <w:hideMark/>
          </w:tcPr>
          <w:p w14:paraId="145DC2DA"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6C08D60C" w14:textId="7FA3CB1C"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A0874AF" w14:textId="77777777" w:rsidR="002F0133" w:rsidRPr="000B4E2C" w:rsidRDefault="002F0133" w:rsidP="008A7464">
            <w:pPr>
              <w:rPr>
                <w:highlight w:val="green"/>
                <w:lang w:eastAsia="en-GB"/>
              </w:rPr>
            </w:pPr>
            <w:r w:rsidRPr="000B4E2C">
              <w:rPr>
                <w:highlight w:val="green"/>
                <w:lang w:eastAsia="en-GB"/>
              </w:rPr>
              <w:t>S. Yamanouchi, T. Kimata, J. Kino, T. Kitao, C. Suruda, S. Tsuji, H. Kurosawa, Y. Hirayama, A. Saito and K. Kaneko. Urinary C-megalin for screening of renal scarring in children after febrile urinary tract infection. Pediatric Research, 83(3), 662-668. [16930]</w:t>
            </w:r>
          </w:p>
        </w:tc>
      </w:tr>
      <w:tr w:rsidR="002F0133" w:rsidRPr="000B4E2C" w14:paraId="58C8A630" w14:textId="77777777" w:rsidTr="000B4E2C">
        <w:trPr>
          <w:cantSplit/>
        </w:trPr>
        <w:tc>
          <w:tcPr>
            <w:tcW w:w="0" w:type="auto"/>
            <w:shd w:val="clear" w:color="auto" w:fill="auto"/>
            <w:noWrap/>
            <w:hideMark/>
          </w:tcPr>
          <w:p w14:paraId="0DF7BFBD" w14:textId="77777777" w:rsidR="002F0133" w:rsidRPr="000B4E2C" w:rsidRDefault="002F0133" w:rsidP="008A7464">
            <w:pPr>
              <w:rPr>
                <w:lang w:eastAsia="en-GB"/>
              </w:rPr>
            </w:pPr>
            <w:r w:rsidRPr="000B4E2C">
              <w:rPr>
                <w:lang w:eastAsia="en-GB"/>
              </w:rPr>
              <w:t>Yamashita</w:t>
            </w:r>
          </w:p>
        </w:tc>
        <w:tc>
          <w:tcPr>
            <w:tcW w:w="0" w:type="auto"/>
            <w:shd w:val="clear" w:color="auto" w:fill="auto"/>
            <w:noWrap/>
            <w:hideMark/>
          </w:tcPr>
          <w:p w14:paraId="74835F18"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6EE406B7" w14:textId="27424BC9"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CE28302" w14:textId="77777777" w:rsidR="002F0133" w:rsidRPr="000B4E2C" w:rsidRDefault="002F0133" w:rsidP="008A7464">
            <w:pPr>
              <w:rPr>
                <w:highlight w:val="green"/>
                <w:lang w:eastAsia="en-GB"/>
              </w:rPr>
            </w:pPr>
            <w:r w:rsidRPr="000B4E2C">
              <w:rPr>
                <w:highlight w:val="green"/>
                <w:lang w:eastAsia="en-GB"/>
              </w:rPr>
              <w:t>T. Yamashita, K. Doi, Y. Hamasaki, T. Matsubara, T. Ishii, N. Yahagi, M. Nangaku and E. Noiri. Evaluation of urinary tissue inhibitor of metalloproteinase-2 in acute kidney injury: A prospective observational study. Critical Care, 18(1), 716. [16932]</w:t>
            </w:r>
          </w:p>
        </w:tc>
      </w:tr>
      <w:tr w:rsidR="002F0133" w:rsidRPr="000B4E2C" w14:paraId="67566582" w14:textId="77777777" w:rsidTr="000B4E2C">
        <w:trPr>
          <w:cantSplit/>
        </w:trPr>
        <w:tc>
          <w:tcPr>
            <w:tcW w:w="0" w:type="auto"/>
            <w:shd w:val="clear" w:color="auto" w:fill="auto"/>
            <w:noWrap/>
            <w:hideMark/>
          </w:tcPr>
          <w:p w14:paraId="249C5DB3" w14:textId="77777777" w:rsidR="002F0133" w:rsidRPr="000B4E2C" w:rsidRDefault="002F0133" w:rsidP="008A7464">
            <w:pPr>
              <w:rPr>
                <w:lang w:eastAsia="en-GB"/>
              </w:rPr>
            </w:pPr>
            <w:r w:rsidRPr="000B4E2C">
              <w:rPr>
                <w:lang w:eastAsia="en-GB"/>
              </w:rPr>
              <w:t>Yamashita</w:t>
            </w:r>
          </w:p>
        </w:tc>
        <w:tc>
          <w:tcPr>
            <w:tcW w:w="0" w:type="auto"/>
            <w:shd w:val="clear" w:color="auto" w:fill="auto"/>
            <w:noWrap/>
            <w:hideMark/>
          </w:tcPr>
          <w:p w14:paraId="1DC362D6"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6BB3782B" w14:textId="10A5D5E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F15EDF3" w14:textId="77777777" w:rsidR="002F0133" w:rsidRPr="000B4E2C" w:rsidRDefault="002F0133" w:rsidP="008A7464">
            <w:pPr>
              <w:rPr>
                <w:highlight w:val="green"/>
                <w:lang w:eastAsia="en-GB"/>
              </w:rPr>
            </w:pPr>
            <w:r w:rsidRPr="000B4E2C">
              <w:rPr>
                <w:highlight w:val="green"/>
                <w:lang w:eastAsia="en-GB"/>
              </w:rPr>
              <w:t>T. Yamashita, E. Noiri, Y. Hamasaki, T. Matsubara, T. Ishii, N. Yahagi, M. Nangaku and K. Doi. Erythropoietin concentration in acute kidney injury is associated with insulin-like growth factor-binding protein-1. Nephrology, 21(8), 693-699. [16931]</w:t>
            </w:r>
          </w:p>
        </w:tc>
      </w:tr>
      <w:tr w:rsidR="002F0133" w:rsidRPr="000B4E2C" w14:paraId="7819E130" w14:textId="77777777" w:rsidTr="000B4E2C">
        <w:trPr>
          <w:cantSplit/>
        </w:trPr>
        <w:tc>
          <w:tcPr>
            <w:tcW w:w="0" w:type="auto"/>
            <w:shd w:val="clear" w:color="auto" w:fill="auto"/>
            <w:noWrap/>
            <w:hideMark/>
          </w:tcPr>
          <w:p w14:paraId="78810B15" w14:textId="77777777" w:rsidR="002F0133" w:rsidRPr="000B4E2C" w:rsidRDefault="002F0133" w:rsidP="008A7464">
            <w:pPr>
              <w:rPr>
                <w:lang w:eastAsia="en-GB"/>
              </w:rPr>
            </w:pPr>
            <w:r w:rsidRPr="000B4E2C">
              <w:rPr>
                <w:lang w:eastAsia="en-GB"/>
              </w:rPr>
              <w:t>Yang</w:t>
            </w:r>
          </w:p>
        </w:tc>
        <w:tc>
          <w:tcPr>
            <w:tcW w:w="0" w:type="auto"/>
            <w:shd w:val="clear" w:color="auto" w:fill="auto"/>
            <w:noWrap/>
            <w:hideMark/>
          </w:tcPr>
          <w:p w14:paraId="09932330"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6CB993F8"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266E7F64" w14:textId="77777777" w:rsidR="002F0133" w:rsidRPr="000B4E2C" w:rsidRDefault="002F0133" w:rsidP="008A7464">
            <w:pPr>
              <w:rPr>
                <w:highlight w:val="green"/>
                <w:lang w:eastAsia="en-GB"/>
              </w:rPr>
            </w:pPr>
            <w:r w:rsidRPr="000B4E2C">
              <w:rPr>
                <w:highlight w:val="green"/>
                <w:lang w:eastAsia="en-GB"/>
              </w:rPr>
              <w:t>Y.-H. Yang, X.-J. He, S.-R. Chen, L. Wang, E.-M. Li and L.-Y. Xu. Changes of serum and urine neutrophil gelatinase-associated lipocalin in type-2 diabetic patients with nephropathy: one year observational follow-up study. Endocrine, 36(1), 45-51. [18618]</w:t>
            </w:r>
          </w:p>
        </w:tc>
      </w:tr>
      <w:tr w:rsidR="002F0133" w:rsidRPr="000B4E2C" w14:paraId="6D623428" w14:textId="77777777" w:rsidTr="000B4E2C">
        <w:trPr>
          <w:cantSplit/>
        </w:trPr>
        <w:tc>
          <w:tcPr>
            <w:tcW w:w="0" w:type="auto"/>
            <w:shd w:val="clear" w:color="auto" w:fill="auto"/>
            <w:noWrap/>
            <w:hideMark/>
          </w:tcPr>
          <w:p w14:paraId="13E0E1AE" w14:textId="77777777" w:rsidR="002F0133" w:rsidRPr="000B4E2C" w:rsidRDefault="002F0133" w:rsidP="008A7464">
            <w:pPr>
              <w:rPr>
                <w:lang w:eastAsia="en-GB"/>
              </w:rPr>
            </w:pPr>
            <w:r w:rsidRPr="000B4E2C">
              <w:rPr>
                <w:lang w:eastAsia="en-GB"/>
              </w:rPr>
              <w:t>Yang</w:t>
            </w:r>
          </w:p>
        </w:tc>
        <w:tc>
          <w:tcPr>
            <w:tcW w:w="0" w:type="auto"/>
            <w:shd w:val="clear" w:color="auto" w:fill="auto"/>
            <w:noWrap/>
            <w:hideMark/>
          </w:tcPr>
          <w:p w14:paraId="353E91C6"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3C6B304C" w14:textId="6D725BED"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728A581" w14:textId="77777777" w:rsidR="002F0133" w:rsidRPr="000B4E2C" w:rsidRDefault="002F0133" w:rsidP="008A7464">
            <w:pPr>
              <w:rPr>
                <w:highlight w:val="green"/>
                <w:lang w:eastAsia="en-GB"/>
              </w:rPr>
            </w:pPr>
            <w:r w:rsidRPr="000B4E2C">
              <w:rPr>
                <w:highlight w:val="green"/>
                <w:lang w:eastAsia="en-GB"/>
              </w:rPr>
              <w:t>C. C. Yang, S. C. Hsieh, K. J. Li, C. H. Wu, M. C. Lu, C. Y. Tsai and C. L. Yu. Urinary neutrophil gelatinase-associated lipocalin is a potential biomarker for renal damage in patients with systemic lupus erythematosus. Journal of Biomedicine and Biotechnology, 2012(759313. [16934]</w:t>
            </w:r>
          </w:p>
        </w:tc>
      </w:tr>
      <w:tr w:rsidR="002F0133" w:rsidRPr="000B4E2C" w14:paraId="17767212" w14:textId="77777777" w:rsidTr="000B4E2C">
        <w:trPr>
          <w:cantSplit/>
        </w:trPr>
        <w:tc>
          <w:tcPr>
            <w:tcW w:w="0" w:type="auto"/>
            <w:shd w:val="clear" w:color="auto" w:fill="auto"/>
            <w:noWrap/>
            <w:hideMark/>
          </w:tcPr>
          <w:p w14:paraId="6B77CAC1" w14:textId="77777777" w:rsidR="002F0133" w:rsidRPr="000B4E2C" w:rsidRDefault="002F0133" w:rsidP="008A7464">
            <w:pPr>
              <w:rPr>
                <w:lang w:eastAsia="en-GB"/>
              </w:rPr>
            </w:pPr>
            <w:r w:rsidRPr="000B4E2C">
              <w:rPr>
                <w:lang w:eastAsia="en-GB"/>
              </w:rPr>
              <w:lastRenderedPageBreak/>
              <w:t>Yang</w:t>
            </w:r>
          </w:p>
        </w:tc>
        <w:tc>
          <w:tcPr>
            <w:tcW w:w="0" w:type="auto"/>
            <w:shd w:val="clear" w:color="auto" w:fill="auto"/>
            <w:noWrap/>
            <w:hideMark/>
          </w:tcPr>
          <w:p w14:paraId="6DAA416D"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79CE16B" w14:textId="1E7744B0"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880923A" w14:textId="77777777" w:rsidR="002F0133" w:rsidRPr="000B4E2C" w:rsidRDefault="002F0133" w:rsidP="008A7464">
            <w:pPr>
              <w:rPr>
                <w:highlight w:val="green"/>
                <w:lang w:eastAsia="en-GB"/>
              </w:rPr>
            </w:pPr>
            <w:r w:rsidRPr="000B4E2C">
              <w:rPr>
                <w:highlight w:val="green"/>
                <w:lang w:eastAsia="en-GB"/>
              </w:rPr>
              <w:t>H. T. Yang, H. Yim, Y. S. Cho, D. Kym, J. Hur, J. H. Kim, W. Chun and H. S. Kim. Assessment of biochemical markers in the early post-burn period for predicting acute kidney injury and mortality in patients with major burn injury: Comparison of serum creatinine, serum cystatin-C, plasma and urine neutrophil gelatinase-associated lipocalin. Critical Care, 18(4), R151. [16939]</w:t>
            </w:r>
          </w:p>
        </w:tc>
      </w:tr>
      <w:tr w:rsidR="002F0133" w:rsidRPr="000B4E2C" w14:paraId="091D6538" w14:textId="77777777" w:rsidTr="000B4E2C">
        <w:trPr>
          <w:cantSplit/>
        </w:trPr>
        <w:tc>
          <w:tcPr>
            <w:tcW w:w="0" w:type="auto"/>
            <w:shd w:val="clear" w:color="auto" w:fill="auto"/>
            <w:noWrap/>
            <w:hideMark/>
          </w:tcPr>
          <w:p w14:paraId="3602DC74" w14:textId="77777777" w:rsidR="002F0133" w:rsidRPr="000B4E2C" w:rsidRDefault="002F0133" w:rsidP="008A7464">
            <w:pPr>
              <w:rPr>
                <w:lang w:eastAsia="en-GB"/>
              </w:rPr>
            </w:pPr>
            <w:r w:rsidRPr="000B4E2C">
              <w:rPr>
                <w:lang w:eastAsia="en-GB"/>
              </w:rPr>
              <w:t>Yang</w:t>
            </w:r>
          </w:p>
        </w:tc>
        <w:tc>
          <w:tcPr>
            <w:tcW w:w="0" w:type="auto"/>
            <w:shd w:val="clear" w:color="auto" w:fill="auto"/>
            <w:noWrap/>
            <w:hideMark/>
          </w:tcPr>
          <w:p w14:paraId="26D025A9"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A417DDE"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5D866D56" w14:textId="77777777" w:rsidR="002F0133" w:rsidRPr="000B4E2C" w:rsidRDefault="002F0133" w:rsidP="008A7464">
            <w:pPr>
              <w:rPr>
                <w:highlight w:val="green"/>
                <w:lang w:eastAsia="en-GB"/>
              </w:rPr>
            </w:pPr>
            <w:r w:rsidRPr="000B4E2C">
              <w:rPr>
                <w:highlight w:val="green"/>
                <w:lang w:eastAsia="en-GB"/>
              </w:rPr>
              <w:t>X. Yang, C. Chen, J. Tian, Y. Zha, Y. Xiong, Z. Sun, P. Chen, J. Li, T. Yang, C. Ma, H. Liu, X. Wang and F. F. Hou. Urinary angiotensinogen level predicts AKI in acute decompensated heart failure: A prospective, two-stage study. Journal of the American Society of Nephrology, 26(8), 2032-2041. [16946]</w:t>
            </w:r>
          </w:p>
        </w:tc>
      </w:tr>
      <w:tr w:rsidR="002F0133" w:rsidRPr="000B4E2C" w14:paraId="50B2DD9F" w14:textId="77777777" w:rsidTr="000B4E2C">
        <w:trPr>
          <w:cantSplit/>
        </w:trPr>
        <w:tc>
          <w:tcPr>
            <w:tcW w:w="0" w:type="auto"/>
            <w:shd w:val="clear" w:color="auto" w:fill="auto"/>
            <w:noWrap/>
            <w:hideMark/>
          </w:tcPr>
          <w:p w14:paraId="47C0DB2D" w14:textId="77777777" w:rsidR="002F0133" w:rsidRPr="000B4E2C" w:rsidRDefault="002F0133" w:rsidP="008A7464">
            <w:pPr>
              <w:rPr>
                <w:lang w:eastAsia="en-GB"/>
              </w:rPr>
            </w:pPr>
            <w:r w:rsidRPr="000B4E2C">
              <w:rPr>
                <w:lang w:eastAsia="en-GB"/>
              </w:rPr>
              <w:t>Yang</w:t>
            </w:r>
          </w:p>
        </w:tc>
        <w:tc>
          <w:tcPr>
            <w:tcW w:w="0" w:type="auto"/>
            <w:shd w:val="clear" w:color="auto" w:fill="auto"/>
            <w:noWrap/>
            <w:hideMark/>
          </w:tcPr>
          <w:p w14:paraId="4CA53247"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8869AF7"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5EF3F961" w14:textId="77777777" w:rsidR="002F0133" w:rsidRPr="000B4E2C" w:rsidRDefault="002F0133" w:rsidP="008A7464">
            <w:pPr>
              <w:rPr>
                <w:highlight w:val="green"/>
                <w:lang w:eastAsia="en-GB"/>
              </w:rPr>
            </w:pPr>
            <w:r w:rsidRPr="000B4E2C">
              <w:rPr>
                <w:highlight w:val="green"/>
                <w:lang w:eastAsia="en-GB"/>
              </w:rPr>
              <w:t>C. H. Yang, C. H. Chang, T. H. Chen, P. C. Fan, S. W. Chang, C. C. Chen, P. H. Chu, Y. T. Chen, H. Y. Yang, C. W. Yang and Y. C. Chen. Combination of urinary biomarkers improves early detection of acute kidney injury in patients with heart failure. Circulation Journal, 80(4), 1017-1023. [16935]</w:t>
            </w:r>
          </w:p>
        </w:tc>
      </w:tr>
      <w:tr w:rsidR="002F0133" w:rsidRPr="000B4E2C" w14:paraId="370A707D" w14:textId="77777777" w:rsidTr="000B4E2C">
        <w:trPr>
          <w:cantSplit/>
        </w:trPr>
        <w:tc>
          <w:tcPr>
            <w:tcW w:w="0" w:type="auto"/>
            <w:shd w:val="clear" w:color="auto" w:fill="auto"/>
            <w:noWrap/>
            <w:hideMark/>
          </w:tcPr>
          <w:p w14:paraId="78ECFF5D" w14:textId="77777777" w:rsidR="002F0133" w:rsidRPr="000B4E2C" w:rsidRDefault="002F0133" w:rsidP="008A7464">
            <w:pPr>
              <w:rPr>
                <w:lang w:eastAsia="en-GB"/>
              </w:rPr>
            </w:pPr>
            <w:r w:rsidRPr="000B4E2C">
              <w:rPr>
                <w:lang w:eastAsia="en-GB"/>
              </w:rPr>
              <w:t>Yang</w:t>
            </w:r>
          </w:p>
        </w:tc>
        <w:tc>
          <w:tcPr>
            <w:tcW w:w="0" w:type="auto"/>
            <w:shd w:val="clear" w:color="auto" w:fill="auto"/>
            <w:noWrap/>
            <w:hideMark/>
          </w:tcPr>
          <w:p w14:paraId="370D947D"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1F064313" w14:textId="6D595D6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E47E434" w14:textId="77777777" w:rsidR="002F0133" w:rsidRPr="000B4E2C" w:rsidRDefault="002F0133" w:rsidP="008A7464">
            <w:pPr>
              <w:rPr>
                <w:highlight w:val="green"/>
                <w:lang w:eastAsia="en-GB"/>
              </w:rPr>
            </w:pPr>
            <w:r w:rsidRPr="000B4E2C">
              <w:rPr>
                <w:highlight w:val="green"/>
                <w:lang w:eastAsia="en-GB"/>
              </w:rPr>
              <w:t>J. Yang, S. Y. Lim, M. G. Kim, C. W. Jung, W. Y. Cho and S. K. Jo. Urinary Tissue Inhibitor of Metalloproteinase and Insulin-like Growth Factor-7 as Early Biomarkers of Delayed Graft Function After Kidney Transplantation. Transplantation Proceedings, 49(9), 2050-2054. [16940]</w:t>
            </w:r>
          </w:p>
        </w:tc>
      </w:tr>
      <w:tr w:rsidR="002F0133" w:rsidRPr="000B4E2C" w14:paraId="70E04E7D" w14:textId="77777777" w:rsidTr="000B4E2C">
        <w:trPr>
          <w:cantSplit/>
        </w:trPr>
        <w:tc>
          <w:tcPr>
            <w:tcW w:w="0" w:type="auto"/>
            <w:shd w:val="clear" w:color="auto" w:fill="auto"/>
            <w:noWrap/>
            <w:hideMark/>
          </w:tcPr>
          <w:p w14:paraId="268A3DD5" w14:textId="77777777" w:rsidR="002F0133" w:rsidRPr="000B4E2C" w:rsidRDefault="002F0133" w:rsidP="008A7464">
            <w:pPr>
              <w:rPr>
                <w:lang w:eastAsia="en-GB"/>
              </w:rPr>
            </w:pPr>
            <w:r w:rsidRPr="000B4E2C">
              <w:rPr>
                <w:lang w:eastAsia="en-GB"/>
              </w:rPr>
              <w:t>Yap</w:t>
            </w:r>
          </w:p>
        </w:tc>
        <w:tc>
          <w:tcPr>
            <w:tcW w:w="0" w:type="auto"/>
            <w:shd w:val="clear" w:color="auto" w:fill="auto"/>
            <w:noWrap/>
            <w:hideMark/>
          </w:tcPr>
          <w:p w14:paraId="2072E6BA"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30A38F2" w14:textId="0BD97B96"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A3791C6" w14:textId="77777777" w:rsidR="002F0133" w:rsidRPr="000B4E2C" w:rsidRDefault="002F0133" w:rsidP="008A7464">
            <w:pPr>
              <w:rPr>
                <w:highlight w:val="green"/>
                <w:lang w:eastAsia="en-GB"/>
              </w:rPr>
            </w:pPr>
            <w:r w:rsidRPr="000B4E2C">
              <w:rPr>
                <w:highlight w:val="green"/>
                <w:lang w:eastAsia="en-GB"/>
              </w:rPr>
              <w:t>D. Y. H. Yap, W. K. Seto, J. Fung, S. H. Chok, S. C. Chan, G. C. W. Chan, M. F. Yuen and T. M. Chan. Serum and urinary biomarkers that predict hepatorenal syndrome in patients with advanced cirrhosis. Digestive and Liver Disease, 49(2), 202-206. [18620]</w:t>
            </w:r>
          </w:p>
        </w:tc>
      </w:tr>
      <w:tr w:rsidR="002F0133" w:rsidRPr="000B4E2C" w14:paraId="2CE654C5" w14:textId="77777777" w:rsidTr="000B4E2C">
        <w:trPr>
          <w:cantSplit/>
        </w:trPr>
        <w:tc>
          <w:tcPr>
            <w:tcW w:w="0" w:type="auto"/>
            <w:shd w:val="clear" w:color="auto" w:fill="auto"/>
            <w:noWrap/>
            <w:hideMark/>
          </w:tcPr>
          <w:p w14:paraId="68301163" w14:textId="77777777" w:rsidR="002F0133" w:rsidRPr="000B4E2C" w:rsidRDefault="002F0133" w:rsidP="008A7464">
            <w:pPr>
              <w:rPr>
                <w:lang w:eastAsia="en-GB"/>
              </w:rPr>
            </w:pPr>
            <w:r w:rsidRPr="000B4E2C">
              <w:rPr>
                <w:lang w:eastAsia="en-GB"/>
              </w:rPr>
              <w:t>Yavas</w:t>
            </w:r>
          </w:p>
        </w:tc>
        <w:tc>
          <w:tcPr>
            <w:tcW w:w="0" w:type="auto"/>
            <w:shd w:val="clear" w:color="auto" w:fill="auto"/>
            <w:noWrap/>
            <w:hideMark/>
          </w:tcPr>
          <w:p w14:paraId="1717E619"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0AE30C7A" w14:textId="5A67E652"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3624B0F" w14:textId="77777777" w:rsidR="002F0133" w:rsidRPr="000B4E2C" w:rsidRDefault="002F0133" w:rsidP="008A7464">
            <w:pPr>
              <w:rPr>
                <w:highlight w:val="green"/>
                <w:lang w:eastAsia="en-GB"/>
              </w:rPr>
            </w:pPr>
            <w:r w:rsidRPr="000B4E2C">
              <w:rPr>
                <w:highlight w:val="green"/>
                <w:lang w:eastAsia="en-GB"/>
              </w:rPr>
              <w:t>H. Yavas, O. Z. Sahin, R. Ersoy, F. Tasli, D. Gibyeli Genek, A. Uzum and M. Cirit. Prognostic value of NGAL staining in patients with IgA nephropathy. Renal Failure, 35(4), 472-476. [16949]</w:t>
            </w:r>
          </w:p>
        </w:tc>
      </w:tr>
      <w:tr w:rsidR="002F0133" w:rsidRPr="000B4E2C" w14:paraId="18F7C0EA" w14:textId="77777777" w:rsidTr="000B4E2C">
        <w:trPr>
          <w:cantSplit/>
        </w:trPr>
        <w:tc>
          <w:tcPr>
            <w:tcW w:w="0" w:type="auto"/>
            <w:shd w:val="clear" w:color="auto" w:fill="auto"/>
            <w:noWrap/>
            <w:hideMark/>
          </w:tcPr>
          <w:p w14:paraId="1B4EC6A3" w14:textId="77777777" w:rsidR="002F0133" w:rsidRPr="000B4E2C" w:rsidRDefault="002F0133" w:rsidP="008A7464">
            <w:pPr>
              <w:rPr>
                <w:lang w:eastAsia="en-GB"/>
              </w:rPr>
            </w:pPr>
            <w:r w:rsidRPr="000B4E2C">
              <w:rPr>
                <w:lang w:eastAsia="en-GB"/>
              </w:rPr>
              <w:t>Yavuz</w:t>
            </w:r>
          </w:p>
        </w:tc>
        <w:tc>
          <w:tcPr>
            <w:tcW w:w="0" w:type="auto"/>
            <w:shd w:val="clear" w:color="auto" w:fill="auto"/>
            <w:noWrap/>
            <w:hideMark/>
          </w:tcPr>
          <w:p w14:paraId="3827101D"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4DA20B84" w14:textId="794FFA7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CA09EC5" w14:textId="77777777" w:rsidR="002F0133" w:rsidRPr="000B4E2C" w:rsidRDefault="002F0133" w:rsidP="008A7464">
            <w:pPr>
              <w:rPr>
                <w:highlight w:val="green"/>
                <w:lang w:eastAsia="en-GB"/>
              </w:rPr>
            </w:pPr>
            <w:r w:rsidRPr="000B4E2C">
              <w:rPr>
                <w:highlight w:val="green"/>
                <w:lang w:eastAsia="en-GB"/>
              </w:rPr>
              <w:t>S. Yavuz, A. Anarat, S. Acarturk, A. C. Dalay, E. Kesiktas, M. Yavuz and T. O. Acarturk. Neutrophil gelatinase associated lipocalin as an indicator of acute kidney injury and inflammation in burned children. Burns, 40(4), 648-654. [16950]</w:t>
            </w:r>
          </w:p>
        </w:tc>
      </w:tr>
      <w:tr w:rsidR="002F0133" w:rsidRPr="000B4E2C" w14:paraId="7AB4D1C9" w14:textId="77777777" w:rsidTr="000B4E2C">
        <w:trPr>
          <w:cantSplit/>
        </w:trPr>
        <w:tc>
          <w:tcPr>
            <w:tcW w:w="0" w:type="auto"/>
            <w:shd w:val="clear" w:color="auto" w:fill="auto"/>
            <w:noWrap/>
            <w:hideMark/>
          </w:tcPr>
          <w:p w14:paraId="73B08036" w14:textId="77777777" w:rsidR="002F0133" w:rsidRPr="000B4E2C" w:rsidRDefault="002F0133" w:rsidP="008A7464">
            <w:pPr>
              <w:rPr>
                <w:lang w:eastAsia="en-GB"/>
              </w:rPr>
            </w:pPr>
            <w:r w:rsidRPr="000B4E2C">
              <w:rPr>
                <w:lang w:eastAsia="en-GB"/>
              </w:rPr>
              <w:t>Ye</w:t>
            </w:r>
          </w:p>
        </w:tc>
        <w:tc>
          <w:tcPr>
            <w:tcW w:w="0" w:type="auto"/>
            <w:shd w:val="clear" w:color="auto" w:fill="auto"/>
            <w:noWrap/>
            <w:hideMark/>
          </w:tcPr>
          <w:p w14:paraId="55338217"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34128A8B"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4659B656" w14:textId="77777777" w:rsidR="002F0133" w:rsidRPr="000B4E2C" w:rsidRDefault="002F0133" w:rsidP="008A7464">
            <w:pPr>
              <w:rPr>
                <w:highlight w:val="green"/>
                <w:lang w:eastAsia="en-GB"/>
              </w:rPr>
            </w:pPr>
            <w:r w:rsidRPr="000B4E2C">
              <w:rPr>
                <w:highlight w:val="green"/>
                <w:lang w:eastAsia="en-GB"/>
              </w:rPr>
              <w:t>H.-H. Ye, G. Shen, Q. Luo, F.-F. Zhou, X.-L. Xie, C.-Y. Wang and L.-N. Han. Early diagnosis of acute kidney injury in aged patients undergoing percutaneous coronary intervention. Journal of Zhejiang University. Science. B, 19(5), 342-348. [16951]</w:t>
            </w:r>
          </w:p>
        </w:tc>
      </w:tr>
      <w:tr w:rsidR="002F0133" w:rsidRPr="000B4E2C" w14:paraId="7A046B86" w14:textId="77777777" w:rsidTr="000B4E2C">
        <w:trPr>
          <w:cantSplit/>
        </w:trPr>
        <w:tc>
          <w:tcPr>
            <w:tcW w:w="0" w:type="auto"/>
            <w:shd w:val="clear" w:color="auto" w:fill="auto"/>
            <w:noWrap/>
            <w:hideMark/>
          </w:tcPr>
          <w:p w14:paraId="05E11657" w14:textId="77777777" w:rsidR="002F0133" w:rsidRPr="000B4E2C" w:rsidRDefault="002F0133" w:rsidP="008A7464">
            <w:pPr>
              <w:rPr>
                <w:lang w:eastAsia="en-GB"/>
              </w:rPr>
            </w:pPr>
            <w:r w:rsidRPr="000B4E2C">
              <w:rPr>
                <w:lang w:eastAsia="en-GB"/>
              </w:rPr>
              <w:t>Yegenaga</w:t>
            </w:r>
          </w:p>
        </w:tc>
        <w:tc>
          <w:tcPr>
            <w:tcW w:w="0" w:type="auto"/>
            <w:shd w:val="clear" w:color="auto" w:fill="auto"/>
            <w:noWrap/>
            <w:hideMark/>
          </w:tcPr>
          <w:p w14:paraId="2722C712"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C3BD19B"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1DE51FDF" w14:textId="77777777" w:rsidR="002F0133" w:rsidRPr="000B4E2C" w:rsidRDefault="002F0133" w:rsidP="008A7464">
            <w:pPr>
              <w:rPr>
                <w:highlight w:val="green"/>
                <w:lang w:eastAsia="en-GB"/>
              </w:rPr>
            </w:pPr>
            <w:r w:rsidRPr="000B4E2C">
              <w:rPr>
                <w:highlight w:val="green"/>
                <w:lang w:eastAsia="en-GB"/>
              </w:rPr>
              <w:t>I. Yegenaga, F. Kamis, C. Baydemir, E. Erdem, K. Celebi, N. Eren and N. Baykara. Neutrophil gelatinase-associated lipocalin is a better biomarker than cystatin C for the prediction of imminent acute kidney injury in critically ill patients. Annals of Clinical Biochemistry, 55(2), 190-197. [16952]</w:t>
            </w:r>
          </w:p>
        </w:tc>
      </w:tr>
      <w:tr w:rsidR="002F0133" w:rsidRPr="000B4E2C" w14:paraId="707F0730" w14:textId="77777777" w:rsidTr="000B4E2C">
        <w:trPr>
          <w:cantSplit/>
        </w:trPr>
        <w:tc>
          <w:tcPr>
            <w:tcW w:w="0" w:type="auto"/>
            <w:shd w:val="clear" w:color="auto" w:fill="auto"/>
            <w:noWrap/>
            <w:hideMark/>
          </w:tcPr>
          <w:p w14:paraId="169DF8C1" w14:textId="77777777" w:rsidR="002F0133" w:rsidRPr="000B4E2C" w:rsidRDefault="002F0133" w:rsidP="008A7464">
            <w:pPr>
              <w:rPr>
                <w:lang w:eastAsia="en-GB"/>
              </w:rPr>
            </w:pPr>
            <w:r w:rsidRPr="000B4E2C">
              <w:rPr>
                <w:lang w:eastAsia="en-GB"/>
              </w:rPr>
              <w:t>Yeh</w:t>
            </w:r>
          </w:p>
        </w:tc>
        <w:tc>
          <w:tcPr>
            <w:tcW w:w="0" w:type="auto"/>
            <w:shd w:val="clear" w:color="auto" w:fill="auto"/>
            <w:noWrap/>
            <w:hideMark/>
          </w:tcPr>
          <w:p w14:paraId="455CCE5E"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1465C637" w14:textId="66CAAA2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F71EC32" w14:textId="77777777" w:rsidR="002F0133" w:rsidRPr="000B4E2C" w:rsidRDefault="002F0133" w:rsidP="008A7464">
            <w:pPr>
              <w:rPr>
                <w:highlight w:val="green"/>
                <w:lang w:eastAsia="en-GB"/>
              </w:rPr>
            </w:pPr>
            <w:r w:rsidRPr="000B4E2C">
              <w:rPr>
                <w:highlight w:val="green"/>
                <w:lang w:eastAsia="en-GB"/>
              </w:rPr>
              <w:t>Y.-H. Yeh, J.-L. Chang, P.-C. Hsiao, S.-M. Tsao, C. H. Lin, S.-J. Kao, M.-C. Chou, S.-F. Yang and M.-H. Chien. Circulating Level of Lipocalin 2 As a Predictor of Severity in Patients With Community-Acquired Pneumonia. Journal of clinical laboratory analysis, 27(4), 253-260. [18621]</w:t>
            </w:r>
          </w:p>
        </w:tc>
      </w:tr>
      <w:tr w:rsidR="002F0133" w:rsidRPr="000B4E2C" w14:paraId="565DD521" w14:textId="77777777" w:rsidTr="000B4E2C">
        <w:trPr>
          <w:cantSplit/>
        </w:trPr>
        <w:tc>
          <w:tcPr>
            <w:tcW w:w="0" w:type="auto"/>
            <w:shd w:val="clear" w:color="auto" w:fill="auto"/>
            <w:noWrap/>
            <w:hideMark/>
          </w:tcPr>
          <w:p w14:paraId="5443B226" w14:textId="77777777" w:rsidR="002F0133" w:rsidRPr="000B4E2C" w:rsidRDefault="002F0133" w:rsidP="008A7464">
            <w:pPr>
              <w:rPr>
                <w:lang w:eastAsia="en-GB"/>
              </w:rPr>
            </w:pPr>
            <w:r w:rsidRPr="000B4E2C">
              <w:rPr>
                <w:lang w:eastAsia="en-GB"/>
              </w:rPr>
              <w:t>Yeung</w:t>
            </w:r>
          </w:p>
        </w:tc>
        <w:tc>
          <w:tcPr>
            <w:tcW w:w="0" w:type="auto"/>
            <w:shd w:val="clear" w:color="auto" w:fill="auto"/>
            <w:noWrap/>
            <w:hideMark/>
          </w:tcPr>
          <w:p w14:paraId="4416436E"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2525B4D2" w14:textId="2B872183" w:rsidR="002F0133" w:rsidRPr="000B4E2C" w:rsidRDefault="002F0133" w:rsidP="008A7464">
            <w:pPr>
              <w:rPr>
                <w:lang w:eastAsia="en-GB"/>
              </w:rPr>
            </w:pPr>
            <w:r w:rsidRPr="000B4E2C">
              <w:rPr>
                <w:lang w:eastAsia="en-GB"/>
              </w:rPr>
              <w:t>Systematic review</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3296984F" w14:textId="77777777" w:rsidR="002F0133" w:rsidRPr="000B4E2C" w:rsidRDefault="002F0133" w:rsidP="008A7464">
            <w:pPr>
              <w:rPr>
                <w:highlight w:val="green"/>
                <w:lang w:eastAsia="en-GB"/>
              </w:rPr>
            </w:pPr>
            <w:r w:rsidRPr="000B4E2C">
              <w:rPr>
                <w:highlight w:val="green"/>
                <w:lang w:eastAsia="en-GB"/>
              </w:rPr>
              <w:t>A. C. Y. Yeung, A. Morozov, F. P. Robertson, B. J. Fuller and B. R. Davidson. Neutrophil Gelatinase-Associated Lipocalin (NGAL) in predicting acute kidney injury following orthotopic liver transplantation: A systematic review. International Journal of Surgery, 59(48-54. [16955]</w:t>
            </w:r>
          </w:p>
        </w:tc>
      </w:tr>
      <w:tr w:rsidR="002F0133" w:rsidRPr="000B4E2C" w14:paraId="2167E3FF" w14:textId="77777777" w:rsidTr="000B4E2C">
        <w:trPr>
          <w:cantSplit/>
        </w:trPr>
        <w:tc>
          <w:tcPr>
            <w:tcW w:w="0" w:type="auto"/>
            <w:shd w:val="clear" w:color="auto" w:fill="auto"/>
            <w:noWrap/>
            <w:hideMark/>
          </w:tcPr>
          <w:p w14:paraId="68C6494C" w14:textId="77777777" w:rsidR="002F0133" w:rsidRPr="000B4E2C" w:rsidRDefault="002F0133" w:rsidP="008A7464">
            <w:pPr>
              <w:rPr>
                <w:lang w:eastAsia="en-GB"/>
              </w:rPr>
            </w:pPr>
            <w:r w:rsidRPr="000B4E2C">
              <w:rPr>
                <w:lang w:eastAsia="en-GB"/>
              </w:rPr>
              <w:t>Yilmaz</w:t>
            </w:r>
          </w:p>
        </w:tc>
        <w:tc>
          <w:tcPr>
            <w:tcW w:w="0" w:type="auto"/>
            <w:shd w:val="clear" w:color="auto" w:fill="auto"/>
            <w:noWrap/>
            <w:hideMark/>
          </w:tcPr>
          <w:p w14:paraId="19F6E18C"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2F3771C8" w14:textId="7873FB5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D14C8CA" w14:textId="77777777" w:rsidR="002F0133" w:rsidRPr="000B4E2C" w:rsidRDefault="002F0133" w:rsidP="008A7464">
            <w:pPr>
              <w:rPr>
                <w:highlight w:val="green"/>
                <w:lang w:eastAsia="en-GB"/>
              </w:rPr>
            </w:pPr>
            <w:r w:rsidRPr="000B4E2C">
              <w:rPr>
                <w:highlight w:val="green"/>
                <w:lang w:eastAsia="en-GB"/>
              </w:rPr>
              <w:t>A. Yilmaz, E. Sevketoglu, A. Gedikbasi, S. Karyagar, A. Kiyak, M. Mulazimoglu, G. Aydogan, T. Ozpacaci and S. Hatipoglu. Early prediction of urinary tract infection with urinary neutrophil gelatinase associated lipocalin. Pediatric Nephrology, 24(12), 2387-92. [3935]</w:t>
            </w:r>
          </w:p>
        </w:tc>
      </w:tr>
      <w:tr w:rsidR="002F0133" w:rsidRPr="000B4E2C" w14:paraId="02807438" w14:textId="77777777" w:rsidTr="000B4E2C">
        <w:trPr>
          <w:cantSplit/>
        </w:trPr>
        <w:tc>
          <w:tcPr>
            <w:tcW w:w="0" w:type="auto"/>
            <w:shd w:val="clear" w:color="auto" w:fill="auto"/>
            <w:noWrap/>
            <w:hideMark/>
          </w:tcPr>
          <w:p w14:paraId="29A275CB" w14:textId="77777777" w:rsidR="002F0133" w:rsidRPr="000B4E2C" w:rsidRDefault="002F0133" w:rsidP="008A7464">
            <w:pPr>
              <w:rPr>
                <w:lang w:eastAsia="en-GB"/>
              </w:rPr>
            </w:pPr>
            <w:r w:rsidRPr="000B4E2C">
              <w:rPr>
                <w:lang w:eastAsia="en-GB"/>
              </w:rPr>
              <w:lastRenderedPageBreak/>
              <w:t>Ylinen</w:t>
            </w:r>
          </w:p>
        </w:tc>
        <w:tc>
          <w:tcPr>
            <w:tcW w:w="0" w:type="auto"/>
            <w:shd w:val="clear" w:color="auto" w:fill="auto"/>
            <w:noWrap/>
            <w:hideMark/>
          </w:tcPr>
          <w:p w14:paraId="588DC383"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51925F77" w14:textId="54DC55A8"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7654121" w14:textId="77777777" w:rsidR="002F0133" w:rsidRPr="000B4E2C" w:rsidRDefault="002F0133" w:rsidP="008A7464">
            <w:pPr>
              <w:rPr>
                <w:highlight w:val="green"/>
                <w:lang w:eastAsia="en-GB"/>
              </w:rPr>
            </w:pPr>
            <w:r w:rsidRPr="000B4E2C">
              <w:rPr>
                <w:highlight w:val="green"/>
                <w:lang w:eastAsia="en-GB"/>
              </w:rPr>
              <w:t>E. Ylinen, K. Jahnukainen, U. M. Saarinen-Pihkala and T. Jahnukainen. Assessment of Renal Function During High-Dose Methotrexate Treatment in Children With Acute Lymphoblastic Leukemia. Pediatric Blood &amp; Cancer, 61(12), 2199-2202. [18622]</w:t>
            </w:r>
          </w:p>
        </w:tc>
      </w:tr>
      <w:tr w:rsidR="002F0133" w:rsidRPr="000B4E2C" w14:paraId="511A3EED" w14:textId="77777777" w:rsidTr="000B4E2C">
        <w:trPr>
          <w:cantSplit/>
        </w:trPr>
        <w:tc>
          <w:tcPr>
            <w:tcW w:w="0" w:type="auto"/>
            <w:shd w:val="clear" w:color="auto" w:fill="auto"/>
            <w:noWrap/>
            <w:hideMark/>
          </w:tcPr>
          <w:p w14:paraId="14F74B1C" w14:textId="77777777" w:rsidR="002F0133" w:rsidRPr="000B4E2C" w:rsidRDefault="002F0133" w:rsidP="008A7464">
            <w:pPr>
              <w:rPr>
                <w:lang w:eastAsia="en-GB"/>
              </w:rPr>
            </w:pPr>
            <w:r w:rsidRPr="000B4E2C">
              <w:rPr>
                <w:lang w:eastAsia="en-GB"/>
              </w:rPr>
              <w:t>Yndestad</w:t>
            </w:r>
          </w:p>
        </w:tc>
        <w:tc>
          <w:tcPr>
            <w:tcW w:w="0" w:type="auto"/>
            <w:shd w:val="clear" w:color="auto" w:fill="auto"/>
            <w:noWrap/>
            <w:hideMark/>
          </w:tcPr>
          <w:p w14:paraId="6E091E94" w14:textId="77777777" w:rsidR="002F0133" w:rsidRPr="000B4E2C" w:rsidRDefault="002F0133" w:rsidP="008A7464">
            <w:pPr>
              <w:jc w:val="center"/>
              <w:rPr>
                <w:lang w:eastAsia="en-GB"/>
              </w:rPr>
            </w:pPr>
            <w:r w:rsidRPr="000B4E2C">
              <w:rPr>
                <w:lang w:eastAsia="en-GB"/>
              </w:rPr>
              <w:t>2009</w:t>
            </w:r>
          </w:p>
        </w:tc>
        <w:tc>
          <w:tcPr>
            <w:tcW w:w="0" w:type="auto"/>
            <w:shd w:val="clear" w:color="auto" w:fill="auto"/>
            <w:noWrap/>
            <w:hideMark/>
          </w:tcPr>
          <w:p w14:paraId="6EE70774"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3015D85D" w14:textId="77777777" w:rsidR="002F0133" w:rsidRPr="000B4E2C" w:rsidRDefault="002F0133" w:rsidP="008A7464">
            <w:pPr>
              <w:rPr>
                <w:highlight w:val="green"/>
                <w:lang w:eastAsia="en-GB"/>
              </w:rPr>
            </w:pPr>
            <w:r w:rsidRPr="000B4E2C">
              <w:rPr>
                <w:highlight w:val="green"/>
                <w:lang w:eastAsia="en-GB"/>
              </w:rPr>
              <w:t>A. Yndestad, L. LandrÃ¸, T. Ueland, C. P. Dahl, T. H. Flo, L. E. Vinge, T. Espevik, S. S. FrÃ¸land, C. Husberg and G. Christensen. Increased systemic and myocardial expression of neutrophil gelatinase-associated lipocalin in clinical and experimental heart failure. European heart journal, 30(10), 1229â€1236. [4801]</w:t>
            </w:r>
          </w:p>
        </w:tc>
      </w:tr>
      <w:tr w:rsidR="002F0133" w:rsidRPr="000B4E2C" w14:paraId="35841743" w14:textId="77777777" w:rsidTr="000B4E2C">
        <w:trPr>
          <w:cantSplit/>
        </w:trPr>
        <w:tc>
          <w:tcPr>
            <w:tcW w:w="0" w:type="auto"/>
            <w:shd w:val="clear" w:color="auto" w:fill="auto"/>
            <w:noWrap/>
            <w:hideMark/>
          </w:tcPr>
          <w:p w14:paraId="76ECED73" w14:textId="77777777" w:rsidR="002F0133" w:rsidRPr="000B4E2C" w:rsidRDefault="002F0133" w:rsidP="008A7464">
            <w:pPr>
              <w:rPr>
                <w:lang w:eastAsia="en-GB"/>
              </w:rPr>
            </w:pPr>
            <w:r w:rsidRPr="000B4E2C">
              <w:rPr>
                <w:lang w:eastAsia="en-GB"/>
              </w:rPr>
              <w:t>Yoon</w:t>
            </w:r>
          </w:p>
        </w:tc>
        <w:tc>
          <w:tcPr>
            <w:tcW w:w="0" w:type="auto"/>
            <w:shd w:val="clear" w:color="auto" w:fill="auto"/>
            <w:noWrap/>
            <w:hideMark/>
          </w:tcPr>
          <w:p w14:paraId="7A5E4F6F"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0F1A3C81" w14:textId="3E0988B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C8FD8FB" w14:textId="77777777" w:rsidR="002F0133" w:rsidRPr="000B4E2C" w:rsidRDefault="002F0133" w:rsidP="008A7464">
            <w:pPr>
              <w:rPr>
                <w:highlight w:val="green"/>
                <w:lang w:eastAsia="en-GB"/>
              </w:rPr>
            </w:pPr>
            <w:r w:rsidRPr="000B4E2C">
              <w:rPr>
                <w:highlight w:val="green"/>
                <w:lang w:eastAsia="en-GB"/>
              </w:rPr>
              <w:t>K. C. Yoon, K. W. Lee, S. C. Oh, H. Kim, H. S. Kim, S. K. Hong, S. W. Ahn, N. J. Yi and K. S. Suh. Urinary Neutrophil Gelatinase-Associated Lipocalin as a Biomarker for Renal Injury in Liver Transplant Recipients Using Calcineurin Inhibitors. Transplantation Proceedings, 50(10), 3667-3672. [16959]</w:t>
            </w:r>
          </w:p>
        </w:tc>
      </w:tr>
      <w:tr w:rsidR="002F0133" w:rsidRPr="000B4E2C" w14:paraId="269EFE52" w14:textId="77777777" w:rsidTr="000B4E2C">
        <w:trPr>
          <w:cantSplit/>
        </w:trPr>
        <w:tc>
          <w:tcPr>
            <w:tcW w:w="0" w:type="auto"/>
            <w:shd w:val="clear" w:color="auto" w:fill="auto"/>
            <w:noWrap/>
            <w:hideMark/>
          </w:tcPr>
          <w:p w14:paraId="277D2568" w14:textId="77777777" w:rsidR="002F0133" w:rsidRPr="000B4E2C" w:rsidRDefault="002F0133" w:rsidP="008A7464">
            <w:pPr>
              <w:rPr>
                <w:lang w:eastAsia="en-GB"/>
              </w:rPr>
            </w:pPr>
            <w:r w:rsidRPr="000B4E2C">
              <w:rPr>
                <w:lang w:eastAsia="en-GB"/>
              </w:rPr>
              <w:t>Young-Min</w:t>
            </w:r>
          </w:p>
        </w:tc>
        <w:tc>
          <w:tcPr>
            <w:tcW w:w="0" w:type="auto"/>
            <w:shd w:val="clear" w:color="auto" w:fill="auto"/>
            <w:noWrap/>
            <w:hideMark/>
          </w:tcPr>
          <w:p w14:paraId="0710C5E0"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2983D39B" w14:textId="2C40EEF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159A1BF" w14:textId="77777777" w:rsidR="002F0133" w:rsidRPr="000B4E2C" w:rsidRDefault="002F0133" w:rsidP="008A7464">
            <w:pPr>
              <w:rPr>
                <w:highlight w:val="green"/>
                <w:lang w:eastAsia="en-GB"/>
              </w:rPr>
            </w:pPr>
            <w:r w:rsidRPr="000B4E2C">
              <w:rPr>
                <w:highlight w:val="green"/>
                <w:lang w:eastAsia="en-GB"/>
              </w:rPr>
              <w:t>J. Young-Min, H. A. Cheul-Min, N. O. H. Ki-Cheul and P. Y. O. Chang-Hae. The Usefulness of Plasma Neutrophil Gelatinase-Associated Lipocalin in Acute Pyelonephritis. Journal of the Korean Society of Emergency Medicine, 137-144. [6171]</w:t>
            </w:r>
          </w:p>
        </w:tc>
      </w:tr>
      <w:tr w:rsidR="002F0133" w:rsidRPr="000B4E2C" w14:paraId="7BE8BA98" w14:textId="77777777" w:rsidTr="000B4E2C">
        <w:trPr>
          <w:cantSplit/>
        </w:trPr>
        <w:tc>
          <w:tcPr>
            <w:tcW w:w="0" w:type="auto"/>
            <w:shd w:val="clear" w:color="auto" w:fill="auto"/>
            <w:noWrap/>
            <w:hideMark/>
          </w:tcPr>
          <w:p w14:paraId="3C8F52C7" w14:textId="77777777" w:rsidR="002F0133" w:rsidRPr="000B4E2C" w:rsidRDefault="002F0133" w:rsidP="008A7464">
            <w:pPr>
              <w:rPr>
                <w:lang w:eastAsia="en-GB"/>
              </w:rPr>
            </w:pPr>
            <w:r w:rsidRPr="000B4E2C">
              <w:rPr>
                <w:lang w:eastAsia="en-GB"/>
              </w:rPr>
              <w:t>Youssef</w:t>
            </w:r>
          </w:p>
        </w:tc>
        <w:tc>
          <w:tcPr>
            <w:tcW w:w="0" w:type="auto"/>
            <w:shd w:val="clear" w:color="auto" w:fill="auto"/>
            <w:noWrap/>
            <w:hideMark/>
          </w:tcPr>
          <w:p w14:paraId="61675E9A"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55A530A1" w14:textId="0DF9C26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3D4785E7" w14:textId="77777777" w:rsidR="002F0133" w:rsidRPr="000B4E2C" w:rsidRDefault="002F0133" w:rsidP="008A7464">
            <w:pPr>
              <w:rPr>
                <w:highlight w:val="green"/>
                <w:lang w:eastAsia="en-GB"/>
              </w:rPr>
            </w:pPr>
            <w:r w:rsidRPr="000B4E2C">
              <w:rPr>
                <w:highlight w:val="green"/>
                <w:lang w:eastAsia="en-GB"/>
              </w:rPr>
              <w:t>D. M. Youssef and A. S. El-Shal. Urinary neutrophil gelatinase-associated lipocalin and kidney injury in children with focal segmental glomerulosclerosis. Iranian Journal of Kidney Diseases, 6(5), 355-360. [16963]</w:t>
            </w:r>
          </w:p>
        </w:tc>
      </w:tr>
      <w:tr w:rsidR="002F0133" w:rsidRPr="000B4E2C" w14:paraId="4CF5337E" w14:textId="77777777" w:rsidTr="000B4E2C">
        <w:trPr>
          <w:cantSplit/>
        </w:trPr>
        <w:tc>
          <w:tcPr>
            <w:tcW w:w="0" w:type="auto"/>
            <w:shd w:val="clear" w:color="auto" w:fill="auto"/>
            <w:noWrap/>
            <w:hideMark/>
          </w:tcPr>
          <w:p w14:paraId="2A4B4498" w14:textId="77777777" w:rsidR="002F0133" w:rsidRPr="000B4E2C" w:rsidRDefault="002F0133" w:rsidP="008A7464">
            <w:pPr>
              <w:rPr>
                <w:lang w:eastAsia="en-GB"/>
              </w:rPr>
            </w:pPr>
            <w:r w:rsidRPr="000B4E2C">
              <w:rPr>
                <w:lang w:eastAsia="en-GB"/>
              </w:rPr>
              <w:t>Youssef</w:t>
            </w:r>
          </w:p>
        </w:tc>
        <w:tc>
          <w:tcPr>
            <w:tcW w:w="0" w:type="auto"/>
            <w:shd w:val="clear" w:color="auto" w:fill="auto"/>
            <w:noWrap/>
            <w:hideMark/>
          </w:tcPr>
          <w:p w14:paraId="249339F0"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3F2260F0" w14:textId="79996C2A"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4EDAC3C" w14:textId="77777777" w:rsidR="002F0133" w:rsidRPr="000B4E2C" w:rsidRDefault="002F0133" w:rsidP="008A7464">
            <w:pPr>
              <w:rPr>
                <w:highlight w:val="green"/>
                <w:lang w:eastAsia="en-GB"/>
              </w:rPr>
            </w:pPr>
            <w:r w:rsidRPr="000B4E2C">
              <w:rPr>
                <w:highlight w:val="green"/>
                <w:lang w:eastAsia="en-GB"/>
              </w:rPr>
              <w:t>D. M. Youssef, A. M. Esh, E. Helmy Hassan and T. M. Ahmed. Serum NGAL in Critically Ill Children in ICU from a Single Center in Egypt. ISRN nephrology, 2013(140905. [16964]</w:t>
            </w:r>
          </w:p>
        </w:tc>
      </w:tr>
      <w:tr w:rsidR="002F0133" w:rsidRPr="000B4E2C" w14:paraId="2E51F80C" w14:textId="77777777" w:rsidTr="000B4E2C">
        <w:trPr>
          <w:cantSplit/>
        </w:trPr>
        <w:tc>
          <w:tcPr>
            <w:tcW w:w="0" w:type="auto"/>
            <w:shd w:val="clear" w:color="auto" w:fill="auto"/>
            <w:noWrap/>
            <w:hideMark/>
          </w:tcPr>
          <w:p w14:paraId="75C53D5D" w14:textId="77777777" w:rsidR="002F0133" w:rsidRPr="000B4E2C" w:rsidRDefault="002F0133" w:rsidP="008A7464">
            <w:pPr>
              <w:rPr>
                <w:lang w:eastAsia="en-GB"/>
              </w:rPr>
            </w:pPr>
            <w:r w:rsidRPr="000B4E2C">
              <w:rPr>
                <w:lang w:eastAsia="en-GB"/>
              </w:rPr>
              <w:t>Yuan</w:t>
            </w:r>
          </w:p>
        </w:tc>
        <w:tc>
          <w:tcPr>
            <w:tcW w:w="0" w:type="auto"/>
            <w:shd w:val="clear" w:color="auto" w:fill="auto"/>
            <w:noWrap/>
            <w:hideMark/>
          </w:tcPr>
          <w:p w14:paraId="2AD01BC3"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0CC5CECD" w14:textId="77777777" w:rsidR="002F0133" w:rsidRPr="000B4E2C" w:rsidRDefault="002F0133" w:rsidP="008A7464">
            <w:pPr>
              <w:rPr>
                <w:lang w:eastAsia="en-GB"/>
              </w:rPr>
            </w:pPr>
            <w:r w:rsidRPr="000B4E2C">
              <w:rPr>
                <w:lang w:eastAsia="en-GB"/>
              </w:rPr>
              <w:t>Non-English publication</w:t>
            </w:r>
          </w:p>
        </w:tc>
        <w:tc>
          <w:tcPr>
            <w:tcW w:w="0" w:type="auto"/>
            <w:shd w:val="clear" w:color="auto" w:fill="auto"/>
            <w:noWrap/>
            <w:hideMark/>
          </w:tcPr>
          <w:p w14:paraId="1B9B427A" w14:textId="77777777" w:rsidR="002F0133" w:rsidRPr="000B4E2C" w:rsidRDefault="002F0133" w:rsidP="008A7464">
            <w:pPr>
              <w:rPr>
                <w:highlight w:val="green"/>
                <w:lang w:eastAsia="en-GB"/>
              </w:rPr>
            </w:pPr>
            <w:r w:rsidRPr="000B4E2C">
              <w:rPr>
                <w:highlight w:val="green"/>
                <w:lang w:eastAsia="en-GB"/>
              </w:rPr>
              <w:t>F. Yuan, H. Liu, W. X. Wang, J. J. Dai, L. Y. Dai, X. X. Yang and W. Y. Fang. Study on early diagnosis of acute decompensated heart failure combined with acute renal injury. Journal of Shanghai Jiaotong University (Medical Science), 34(12), . [16966]</w:t>
            </w:r>
          </w:p>
        </w:tc>
      </w:tr>
      <w:tr w:rsidR="002F0133" w:rsidRPr="000B4E2C" w14:paraId="4862410F" w14:textId="77777777" w:rsidTr="000B4E2C">
        <w:trPr>
          <w:cantSplit/>
        </w:trPr>
        <w:tc>
          <w:tcPr>
            <w:tcW w:w="0" w:type="auto"/>
            <w:shd w:val="clear" w:color="auto" w:fill="auto"/>
            <w:noWrap/>
            <w:hideMark/>
          </w:tcPr>
          <w:p w14:paraId="19A5A0E7" w14:textId="77777777" w:rsidR="002F0133" w:rsidRPr="000B4E2C" w:rsidRDefault="002F0133" w:rsidP="008A7464">
            <w:pPr>
              <w:rPr>
                <w:lang w:eastAsia="en-GB"/>
              </w:rPr>
            </w:pPr>
            <w:r w:rsidRPr="000B4E2C">
              <w:rPr>
                <w:lang w:eastAsia="en-GB"/>
              </w:rPr>
              <w:t>Zaleska-Kociecka</w:t>
            </w:r>
          </w:p>
        </w:tc>
        <w:tc>
          <w:tcPr>
            <w:tcW w:w="0" w:type="auto"/>
            <w:shd w:val="clear" w:color="auto" w:fill="auto"/>
            <w:noWrap/>
            <w:hideMark/>
          </w:tcPr>
          <w:p w14:paraId="021A8EC5"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4FE3CEAB" w14:textId="0E9C341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17C4B50" w14:textId="77777777" w:rsidR="002F0133" w:rsidRPr="000B4E2C" w:rsidRDefault="002F0133" w:rsidP="008A7464">
            <w:pPr>
              <w:rPr>
                <w:highlight w:val="green"/>
                <w:lang w:eastAsia="en-GB"/>
              </w:rPr>
            </w:pPr>
            <w:r w:rsidRPr="000B4E2C">
              <w:rPr>
                <w:highlight w:val="green"/>
                <w:lang w:eastAsia="en-GB"/>
              </w:rPr>
              <w:t>M. Zaleska-Kociecka, A. Skrobisz, I. Wojtkowska, M. Grabowski, M. Dabrowski, K. Kusmierski, K. Piotrowska, J. Imiela and J. Stepinska. Serum beta-2 microglobulin levels for predicting acute kidney injury complicating aortic valve replacement. Interactive Cardiovascular and Thoracic Surgery, 25(4), 533-540. [16972]</w:t>
            </w:r>
          </w:p>
        </w:tc>
      </w:tr>
      <w:tr w:rsidR="002F0133" w:rsidRPr="000B4E2C" w14:paraId="3B86151F" w14:textId="77777777" w:rsidTr="000B4E2C">
        <w:trPr>
          <w:cantSplit/>
        </w:trPr>
        <w:tc>
          <w:tcPr>
            <w:tcW w:w="0" w:type="auto"/>
            <w:shd w:val="clear" w:color="auto" w:fill="auto"/>
            <w:noWrap/>
            <w:hideMark/>
          </w:tcPr>
          <w:p w14:paraId="7C66C62B" w14:textId="77777777" w:rsidR="002F0133" w:rsidRPr="000B4E2C" w:rsidRDefault="002F0133" w:rsidP="008A7464">
            <w:pPr>
              <w:rPr>
                <w:lang w:eastAsia="en-GB"/>
              </w:rPr>
            </w:pPr>
            <w:r w:rsidRPr="000B4E2C">
              <w:rPr>
                <w:lang w:eastAsia="en-GB"/>
              </w:rPr>
              <w:t>Zaouter</w:t>
            </w:r>
          </w:p>
        </w:tc>
        <w:tc>
          <w:tcPr>
            <w:tcW w:w="0" w:type="auto"/>
            <w:shd w:val="clear" w:color="auto" w:fill="auto"/>
            <w:noWrap/>
            <w:hideMark/>
          </w:tcPr>
          <w:p w14:paraId="0DCD6B24"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1C93FFF3" w14:textId="4382B04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74CEC5C5" w14:textId="77777777" w:rsidR="002F0133" w:rsidRPr="000B4E2C" w:rsidRDefault="002F0133" w:rsidP="008A7464">
            <w:pPr>
              <w:rPr>
                <w:highlight w:val="green"/>
                <w:lang w:eastAsia="en-GB"/>
              </w:rPr>
            </w:pPr>
            <w:r w:rsidRPr="000B4E2C">
              <w:rPr>
                <w:highlight w:val="green"/>
                <w:lang w:eastAsia="en-GB"/>
              </w:rPr>
              <w:t>C. Zaouter, F. Priem, L. Leroux, G. Bonnet, M. L. Bats, M. C. Beauvieux, A. Remy and A. Ouattara. New markers for early detection of acute kidney injury after transcatheter aortic valve implantation. Anaesthesia Critical Care and Pain Medicine, 37(4), 319-326. [16976]</w:t>
            </w:r>
          </w:p>
        </w:tc>
      </w:tr>
      <w:tr w:rsidR="002F0133" w:rsidRPr="000B4E2C" w14:paraId="3DF7ACAF" w14:textId="77777777" w:rsidTr="000B4E2C">
        <w:trPr>
          <w:cantSplit/>
        </w:trPr>
        <w:tc>
          <w:tcPr>
            <w:tcW w:w="0" w:type="auto"/>
            <w:shd w:val="clear" w:color="auto" w:fill="auto"/>
            <w:noWrap/>
            <w:hideMark/>
          </w:tcPr>
          <w:p w14:paraId="21E51829" w14:textId="77777777" w:rsidR="002F0133" w:rsidRPr="000B4E2C" w:rsidRDefault="002F0133" w:rsidP="008A7464">
            <w:pPr>
              <w:rPr>
                <w:lang w:eastAsia="en-GB"/>
              </w:rPr>
            </w:pPr>
            <w:r w:rsidRPr="000B4E2C">
              <w:rPr>
                <w:lang w:eastAsia="en-GB"/>
              </w:rPr>
              <w:t>Zaouter</w:t>
            </w:r>
          </w:p>
        </w:tc>
        <w:tc>
          <w:tcPr>
            <w:tcW w:w="0" w:type="auto"/>
            <w:shd w:val="clear" w:color="auto" w:fill="auto"/>
            <w:noWrap/>
            <w:hideMark/>
          </w:tcPr>
          <w:p w14:paraId="6CDCA4D3"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67AC1AE0" w14:textId="24BEE5B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08FF6B0" w14:textId="77777777" w:rsidR="002F0133" w:rsidRPr="000B4E2C" w:rsidRDefault="002F0133" w:rsidP="008A7464">
            <w:pPr>
              <w:rPr>
                <w:highlight w:val="green"/>
                <w:lang w:eastAsia="en-GB"/>
              </w:rPr>
            </w:pPr>
            <w:r w:rsidRPr="000B4E2C">
              <w:rPr>
                <w:highlight w:val="green"/>
                <w:lang w:eastAsia="en-GB"/>
              </w:rPr>
              <w:t>C. Zaouter, J. Potvin, M. L. Bats, M. C. Beauvieux, A. Remy and A. Ouattara. A combined approach for the early recognition of acute kidney injury after adult cardiac surgery. Anaesthesia Critical Care and Pain Medicine, 37(4), 335-341. [16975]</w:t>
            </w:r>
          </w:p>
        </w:tc>
      </w:tr>
      <w:tr w:rsidR="002F0133" w:rsidRPr="000B4E2C" w14:paraId="26BE8749" w14:textId="77777777" w:rsidTr="000B4E2C">
        <w:trPr>
          <w:cantSplit/>
        </w:trPr>
        <w:tc>
          <w:tcPr>
            <w:tcW w:w="0" w:type="auto"/>
            <w:shd w:val="clear" w:color="auto" w:fill="auto"/>
            <w:noWrap/>
            <w:hideMark/>
          </w:tcPr>
          <w:p w14:paraId="61A87AE2" w14:textId="77777777" w:rsidR="002F0133" w:rsidRPr="000B4E2C" w:rsidRDefault="002F0133" w:rsidP="008A7464">
            <w:pPr>
              <w:rPr>
                <w:lang w:eastAsia="en-GB"/>
              </w:rPr>
            </w:pPr>
            <w:r w:rsidRPr="000B4E2C">
              <w:rPr>
                <w:lang w:eastAsia="en-GB"/>
              </w:rPr>
              <w:t>Zappitelli</w:t>
            </w:r>
          </w:p>
        </w:tc>
        <w:tc>
          <w:tcPr>
            <w:tcW w:w="0" w:type="auto"/>
            <w:shd w:val="clear" w:color="auto" w:fill="auto"/>
            <w:noWrap/>
            <w:hideMark/>
          </w:tcPr>
          <w:p w14:paraId="177F0A9E" w14:textId="77777777" w:rsidR="002F0133" w:rsidRPr="000B4E2C" w:rsidRDefault="002F0133" w:rsidP="008A7464">
            <w:pPr>
              <w:jc w:val="center"/>
              <w:rPr>
                <w:lang w:eastAsia="en-GB"/>
              </w:rPr>
            </w:pPr>
            <w:r w:rsidRPr="000B4E2C">
              <w:rPr>
                <w:lang w:eastAsia="en-GB"/>
              </w:rPr>
              <w:t>2007</w:t>
            </w:r>
          </w:p>
        </w:tc>
        <w:tc>
          <w:tcPr>
            <w:tcW w:w="0" w:type="auto"/>
            <w:shd w:val="clear" w:color="auto" w:fill="auto"/>
            <w:noWrap/>
            <w:hideMark/>
          </w:tcPr>
          <w:p w14:paraId="7FC7130E"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1333011E" w14:textId="77777777" w:rsidR="002F0133" w:rsidRPr="000B4E2C" w:rsidRDefault="002F0133" w:rsidP="008A7464">
            <w:pPr>
              <w:rPr>
                <w:highlight w:val="green"/>
                <w:lang w:eastAsia="en-GB"/>
              </w:rPr>
            </w:pPr>
            <w:r w:rsidRPr="000B4E2C">
              <w:rPr>
                <w:highlight w:val="green"/>
                <w:lang w:eastAsia="en-GB"/>
              </w:rPr>
              <w:t>M. Zappitelli, K. K. Washburn, A. A. Arikan, L. Loftis, Q. Ma, P. Devarajan, C. R. Parikh and S. L. Goldstein. Urine neutrophil gelatinase-associated lipocalin is an early marker of acute kidney injury in critically ill children: A prospective cohort study. Critical Care, 11(no pagination), . [2102]</w:t>
            </w:r>
          </w:p>
        </w:tc>
      </w:tr>
      <w:tr w:rsidR="002F0133" w:rsidRPr="000B4E2C" w14:paraId="637360DF" w14:textId="77777777" w:rsidTr="000B4E2C">
        <w:trPr>
          <w:cantSplit/>
        </w:trPr>
        <w:tc>
          <w:tcPr>
            <w:tcW w:w="0" w:type="auto"/>
            <w:shd w:val="clear" w:color="auto" w:fill="auto"/>
            <w:noWrap/>
            <w:hideMark/>
          </w:tcPr>
          <w:p w14:paraId="7658B583" w14:textId="77777777" w:rsidR="002F0133" w:rsidRPr="000B4E2C" w:rsidRDefault="002F0133" w:rsidP="008A7464">
            <w:pPr>
              <w:rPr>
                <w:lang w:eastAsia="en-GB"/>
              </w:rPr>
            </w:pPr>
            <w:r w:rsidRPr="000B4E2C">
              <w:rPr>
                <w:lang w:eastAsia="en-GB"/>
              </w:rPr>
              <w:t>Zappitelli</w:t>
            </w:r>
          </w:p>
        </w:tc>
        <w:tc>
          <w:tcPr>
            <w:tcW w:w="0" w:type="auto"/>
            <w:shd w:val="clear" w:color="auto" w:fill="auto"/>
            <w:noWrap/>
            <w:hideMark/>
          </w:tcPr>
          <w:p w14:paraId="4438530F" w14:textId="77777777" w:rsidR="002F0133" w:rsidRPr="000B4E2C" w:rsidRDefault="002F0133" w:rsidP="008A7464">
            <w:pPr>
              <w:jc w:val="center"/>
              <w:rPr>
                <w:lang w:eastAsia="en-GB"/>
              </w:rPr>
            </w:pPr>
            <w:r w:rsidRPr="000B4E2C">
              <w:rPr>
                <w:lang w:eastAsia="en-GB"/>
              </w:rPr>
              <w:t>2007</w:t>
            </w:r>
          </w:p>
        </w:tc>
        <w:tc>
          <w:tcPr>
            <w:tcW w:w="0" w:type="auto"/>
            <w:shd w:val="clear" w:color="auto" w:fill="auto"/>
            <w:noWrap/>
            <w:hideMark/>
          </w:tcPr>
          <w:p w14:paraId="3FD732A7" w14:textId="77777777" w:rsidR="002F0133" w:rsidRPr="000B4E2C" w:rsidRDefault="002F0133" w:rsidP="008A7464">
            <w:pPr>
              <w:rPr>
                <w:lang w:eastAsia="en-GB"/>
              </w:rPr>
            </w:pPr>
            <w:r w:rsidRPr="000B4E2C">
              <w:rPr>
                <w:lang w:eastAsia="en-GB"/>
              </w:rPr>
              <w:t>Duplicate of a study that had already been assessedlicate of a study that had already been assessed</w:t>
            </w:r>
          </w:p>
        </w:tc>
        <w:tc>
          <w:tcPr>
            <w:tcW w:w="0" w:type="auto"/>
            <w:shd w:val="clear" w:color="auto" w:fill="auto"/>
            <w:noWrap/>
            <w:hideMark/>
          </w:tcPr>
          <w:p w14:paraId="3DBF0018" w14:textId="77777777" w:rsidR="002F0133" w:rsidRPr="000B4E2C" w:rsidRDefault="002F0133" w:rsidP="008A7464">
            <w:pPr>
              <w:rPr>
                <w:highlight w:val="green"/>
                <w:lang w:eastAsia="en-GB"/>
              </w:rPr>
            </w:pPr>
            <w:r w:rsidRPr="000B4E2C">
              <w:rPr>
                <w:highlight w:val="green"/>
                <w:lang w:eastAsia="en-GB"/>
              </w:rPr>
              <w:t>M. Zappitelli, K. K. Washburn, A. A. Arikan, L. Loftis, Q. Ma, P. Devarajan, C. R. Parikh and S. L. Goldstein. Urine neutrophil gelatinase-associated lipocalin is an early marker of acute kidney injury in critically ill children: a prospective cohort study. Critical Care, 11(4), R84-R84. [18624]</w:t>
            </w:r>
          </w:p>
        </w:tc>
      </w:tr>
      <w:tr w:rsidR="002F0133" w:rsidRPr="000B4E2C" w14:paraId="254A5979" w14:textId="77777777" w:rsidTr="000B4E2C">
        <w:trPr>
          <w:cantSplit/>
        </w:trPr>
        <w:tc>
          <w:tcPr>
            <w:tcW w:w="0" w:type="auto"/>
            <w:shd w:val="clear" w:color="auto" w:fill="auto"/>
            <w:noWrap/>
            <w:hideMark/>
          </w:tcPr>
          <w:p w14:paraId="5C584824" w14:textId="77777777" w:rsidR="002F0133" w:rsidRPr="000B4E2C" w:rsidRDefault="002F0133" w:rsidP="008A7464">
            <w:pPr>
              <w:rPr>
                <w:lang w:eastAsia="en-GB"/>
              </w:rPr>
            </w:pPr>
            <w:r w:rsidRPr="000B4E2C">
              <w:rPr>
                <w:lang w:eastAsia="en-GB"/>
              </w:rPr>
              <w:lastRenderedPageBreak/>
              <w:t>Zappitelli</w:t>
            </w:r>
          </w:p>
        </w:tc>
        <w:tc>
          <w:tcPr>
            <w:tcW w:w="0" w:type="auto"/>
            <w:shd w:val="clear" w:color="auto" w:fill="auto"/>
            <w:noWrap/>
            <w:hideMark/>
          </w:tcPr>
          <w:p w14:paraId="41D473F4" w14:textId="77777777" w:rsidR="002F0133" w:rsidRPr="000B4E2C" w:rsidRDefault="002F0133" w:rsidP="008A7464">
            <w:pPr>
              <w:jc w:val="center"/>
              <w:rPr>
                <w:lang w:eastAsia="en-GB"/>
              </w:rPr>
            </w:pPr>
            <w:r w:rsidRPr="000B4E2C">
              <w:rPr>
                <w:lang w:eastAsia="en-GB"/>
              </w:rPr>
              <w:t>2012</w:t>
            </w:r>
          </w:p>
        </w:tc>
        <w:tc>
          <w:tcPr>
            <w:tcW w:w="0" w:type="auto"/>
            <w:shd w:val="clear" w:color="auto" w:fill="auto"/>
            <w:noWrap/>
            <w:hideMark/>
          </w:tcPr>
          <w:p w14:paraId="0E71408B"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29C5D35D" w14:textId="77777777" w:rsidR="002F0133" w:rsidRPr="000B4E2C" w:rsidRDefault="002F0133" w:rsidP="008A7464">
            <w:pPr>
              <w:rPr>
                <w:highlight w:val="green"/>
                <w:lang w:eastAsia="en-GB"/>
              </w:rPr>
            </w:pPr>
            <w:r w:rsidRPr="000B4E2C">
              <w:rPr>
                <w:highlight w:val="green"/>
                <w:lang w:eastAsia="en-GB"/>
              </w:rPr>
              <w:t>M. Zappitelli, S. G. Coca, A. X. Garg, C. D. Krawczeski, H. T. Philbrook, K. Sint, S. Li, C. R. Parikh and P. Devarajan. The association of albumin/creatinine ratio with postoperative AKI in children undergoing cardiac surgery. Clinical Journal of the American Society of Nephrology, 7(11), 1761-1769. [16979]</w:t>
            </w:r>
          </w:p>
        </w:tc>
      </w:tr>
      <w:tr w:rsidR="002F0133" w:rsidRPr="000B4E2C" w14:paraId="574CF70A" w14:textId="77777777" w:rsidTr="000B4E2C">
        <w:trPr>
          <w:cantSplit/>
        </w:trPr>
        <w:tc>
          <w:tcPr>
            <w:tcW w:w="0" w:type="auto"/>
            <w:shd w:val="clear" w:color="auto" w:fill="auto"/>
            <w:noWrap/>
            <w:hideMark/>
          </w:tcPr>
          <w:p w14:paraId="305743C3" w14:textId="77777777" w:rsidR="002F0133" w:rsidRPr="000B4E2C" w:rsidRDefault="002F0133" w:rsidP="008A7464">
            <w:pPr>
              <w:rPr>
                <w:lang w:eastAsia="en-GB"/>
              </w:rPr>
            </w:pPr>
            <w:r w:rsidRPr="000B4E2C">
              <w:rPr>
                <w:lang w:eastAsia="en-GB"/>
              </w:rPr>
              <w:t>Zarbock</w:t>
            </w:r>
          </w:p>
        </w:tc>
        <w:tc>
          <w:tcPr>
            <w:tcW w:w="0" w:type="auto"/>
            <w:shd w:val="clear" w:color="auto" w:fill="auto"/>
            <w:noWrap/>
            <w:hideMark/>
          </w:tcPr>
          <w:p w14:paraId="1ECF4A49"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161A013"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6946AC4D" w14:textId="77777777" w:rsidR="002F0133" w:rsidRPr="000B4E2C" w:rsidRDefault="002F0133" w:rsidP="008A7464">
            <w:pPr>
              <w:rPr>
                <w:highlight w:val="green"/>
                <w:lang w:eastAsia="en-GB"/>
              </w:rPr>
            </w:pPr>
            <w:r w:rsidRPr="000B4E2C">
              <w:rPr>
                <w:highlight w:val="green"/>
                <w:lang w:eastAsia="en-GB"/>
              </w:rPr>
              <w:t>A. Zarbock, C. Schmidt, H. Van Aken, C. Wempe, S. Martens, P. K. Zahn, B. Wolf, U. Goebel, C. I. Schwer, P. Rosenberger, H. Haeberle, D. Gorlich, J. A. Kellum, M. Meersch and R. I. Renal. Effect of remote ischemic preconditioning on kidney injury among high-risk patients undergoing cardiac surgery: a randomized clinical trial. JAMA, 313(21), 2133-41. [16981]</w:t>
            </w:r>
          </w:p>
        </w:tc>
      </w:tr>
      <w:tr w:rsidR="002F0133" w:rsidRPr="000B4E2C" w14:paraId="3F18ED90" w14:textId="77777777" w:rsidTr="000B4E2C">
        <w:trPr>
          <w:cantSplit/>
        </w:trPr>
        <w:tc>
          <w:tcPr>
            <w:tcW w:w="0" w:type="auto"/>
            <w:shd w:val="clear" w:color="auto" w:fill="auto"/>
            <w:noWrap/>
            <w:hideMark/>
          </w:tcPr>
          <w:p w14:paraId="3EAE1825" w14:textId="77777777" w:rsidR="002F0133" w:rsidRPr="000B4E2C" w:rsidRDefault="002F0133" w:rsidP="008A7464">
            <w:pPr>
              <w:rPr>
                <w:lang w:eastAsia="en-GB"/>
              </w:rPr>
            </w:pPr>
            <w:r w:rsidRPr="000B4E2C">
              <w:rPr>
                <w:lang w:eastAsia="en-GB"/>
              </w:rPr>
              <w:t xml:space="preserve">Zarbock </w:t>
            </w:r>
          </w:p>
        </w:tc>
        <w:tc>
          <w:tcPr>
            <w:tcW w:w="0" w:type="auto"/>
            <w:shd w:val="clear" w:color="auto" w:fill="auto"/>
            <w:noWrap/>
            <w:hideMark/>
          </w:tcPr>
          <w:p w14:paraId="37E1114B"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50613985"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3CE883E6" w14:textId="77777777" w:rsidR="002F0133" w:rsidRPr="000B4E2C" w:rsidRDefault="002F0133" w:rsidP="008A7464">
            <w:pPr>
              <w:rPr>
                <w:highlight w:val="green"/>
                <w:lang w:eastAsia="en-GB"/>
              </w:rPr>
            </w:pPr>
            <w:r w:rsidRPr="000B4E2C">
              <w:rPr>
                <w:highlight w:val="green"/>
                <w:lang w:eastAsia="en-GB"/>
              </w:rPr>
              <w:t>A. Zarbock, J. A. Kellum, C. Schmidt, H. Van Aken, C. Wempe, H. Pavenstadt, A. Boanta, J. Gerss and M. Meersch. Effect of early vs delayed initiation of renal replacement therapy on mortality in critically ill patients with acute kidney injury: The elain randomized clinical trial. JAMA - Journal of the American Medical Association, 315(20), 2190-2199. [16984]</w:t>
            </w:r>
          </w:p>
        </w:tc>
      </w:tr>
      <w:tr w:rsidR="002F0133" w:rsidRPr="000B4E2C" w14:paraId="2F4B4F0E" w14:textId="77777777" w:rsidTr="000B4E2C">
        <w:trPr>
          <w:cantSplit/>
        </w:trPr>
        <w:tc>
          <w:tcPr>
            <w:tcW w:w="0" w:type="auto"/>
            <w:shd w:val="clear" w:color="auto" w:fill="auto"/>
            <w:noWrap/>
            <w:hideMark/>
          </w:tcPr>
          <w:p w14:paraId="3A5E9371" w14:textId="77777777" w:rsidR="002F0133" w:rsidRPr="000B4E2C" w:rsidRDefault="002F0133" w:rsidP="008A7464">
            <w:pPr>
              <w:rPr>
                <w:lang w:eastAsia="en-GB"/>
              </w:rPr>
            </w:pPr>
            <w:r w:rsidRPr="000B4E2C">
              <w:rPr>
                <w:lang w:eastAsia="en-GB"/>
              </w:rPr>
              <w:t>Zelt</w:t>
            </w:r>
          </w:p>
        </w:tc>
        <w:tc>
          <w:tcPr>
            <w:tcW w:w="0" w:type="auto"/>
            <w:shd w:val="clear" w:color="auto" w:fill="auto"/>
            <w:noWrap/>
            <w:hideMark/>
          </w:tcPr>
          <w:p w14:paraId="594B1FA1"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32094B91" w14:textId="77777777" w:rsidR="002F0133" w:rsidRPr="000B4E2C" w:rsidRDefault="002F0133" w:rsidP="008A7464">
            <w:pPr>
              <w:rPr>
                <w:lang w:eastAsia="en-GB"/>
              </w:rPr>
            </w:pPr>
            <w:r w:rsidRPr="000B4E2C">
              <w:rPr>
                <w:lang w:eastAsia="en-GB"/>
              </w:rPr>
              <w:t>Duplicate of a study that had already been assessedlicate of a study that had already been assessed</w:t>
            </w:r>
          </w:p>
        </w:tc>
        <w:tc>
          <w:tcPr>
            <w:tcW w:w="0" w:type="auto"/>
            <w:shd w:val="clear" w:color="auto" w:fill="auto"/>
            <w:noWrap/>
            <w:hideMark/>
          </w:tcPr>
          <w:p w14:paraId="29A4B89E" w14:textId="77777777" w:rsidR="002F0133" w:rsidRPr="000B4E2C" w:rsidRDefault="002F0133" w:rsidP="008A7464">
            <w:pPr>
              <w:rPr>
                <w:highlight w:val="green"/>
                <w:lang w:eastAsia="en-GB"/>
              </w:rPr>
            </w:pPr>
            <w:r w:rsidRPr="000B4E2C">
              <w:rPr>
                <w:highlight w:val="green"/>
                <w:lang w:eastAsia="en-GB"/>
              </w:rPr>
              <w:t>J. G. E. Zelt, L. M. Mielniczuk, P. P. Liu, J.-Y. Dupuis, S. Chih, A. Akbari and L. Y. Sun. Utility of Novel Cardiorenal Biomarkers in the Prediction and Early Detection of Congestive Kidney Injury Following Cardiac Surgery. Journal of Clinical Medicine, 7(12), 540-540. [18625]</w:t>
            </w:r>
          </w:p>
        </w:tc>
      </w:tr>
      <w:tr w:rsidR="002F0133" w:rsidRPr="000B4E2C" w14:paraId="1087E294" w14:textId="77777777" w:rsidTr="000B4E2C">
        <w:trPr>
          <w:cantSplit/>
        </w:trPr>
        <w:tc>
          <w:tcPr>
            <w:tcW w:w="0" w:type="auto"/>
            <w:shd w:val="clear" w:color="auto" w:fill="auto"/>
            <w:noWrap/>
            <w:hideMark/>
          </w:tcPr>
          <w:p w14:paraId="772494C3" w14:textId="77777777" w:rsidR="002F0133" w:rsidRPr="000B4E2C" w:rsidRDefault="002F0133" w:rsidP="008A7464">
            <w:pPr>
              <w:rPr>
                <w:lang w:eastAsia="en-GB"/>
              </w:rPr>
            </w:pPr>
            <w:r w:rsidRPr="000B4E2C">
              <w:rPr>
                <w:lang w:eastAsia="en-GB"/>
              </w:rPr>
              <w:t>Zeng</w:t>
            </w:r>
          </w:p>
        </w:tc>
        <w:tc>
          <w:tcPr>
            <w:tcW w:w="0" w:type="auto"/>
            <w:shd w:val="clear" w:color="auto" w:fill="auto"/>
            <w:noWrap/>
            <w:hideMark/>
          </w:tcPr>
          <w:p w14:paraId="516C0462"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7F11412"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369BC2AB" w14:textId="77777777" w:rsidR="002F0133" w:rsidRPr="000B4E2C" w:rsidRDefault="002F0133" w:rsidP="008A7464">
            <w:pPr>
              <w:rPr>
                <w:highlight w:val="green"/>
                <w:lang w:eastAsia="en-GB"/>
              </w:rPr>
            </w:pPr>
            <w:r w:rsidRPr="000B4E2C">
              <w:rPr>
                <w:highlight w:val="green"/>
                <w:lang w:eastAsia="en-GB"/>
              </w:rPr>
              <w:t>X. F. Zeng, J. M. Li, Y. Tan, Z. F. Wang, Y. He, J. Chang, H. Zhang, H. Zhao, X. Bai, F. Xie, J. Sun and Y. Zhang. Performance of urinary NGAL and L-FABP in predicting acute kidney injury and subsequent renal recovery: A cohort study based on major surgeries. Clinical Chemistry and Laboratory Medicine, 52(5), 671-678. [16989]</w:t>
            </w:r>
          </w:p>
        </w:tc>
      </w:tr>
      <w:tr w:rsidR="002F0133" w:rsidRPr="000B4E2C" w14:paraId="2CE8D587" w14:textId="77777777" w:rsidTr="000B4E2C">
        <w:trPr>
          <w:cantSplit/>
        </w:trPr>
        <w:tc>
          <w:tcPr>
            <w:tcW w:w="0" w:type="auto"/>
            <w:shd w:val="clear" w:color="auto" w:fill="auto"/>
            <w:noWrap/>
            <w:hideMark/>
          </w:tcPr>
          <w:p w14:paraId="480C140B" w14:textId="77777777" w:rsidR="002F0133" w:rsidRPr="000B4E2C" w:rsidRDefault="002F0133" w:rsidP="008A7464">
            <w:pPr>
              <w:rPr>
                <w:lang w:eastAsia="en-GB"/>
              </w:rPr>
            </w:pPr>
            <w:r w:rsidRPr="000B4E2C">
              <w:rPr>
                <w:lang w:eastAsia="en-GB"/>
              </w:rPr>
              <w:t>Zhang</w:t>
            </w:r>
          </w:p>
        </w:tc>
        <w:tc>
          <w:tcPr>
            <w:tcW w:w="0" w:type="auto"/>
            <w:shd w:val="clear" w:color="auto" w:fill="auto"/>
            <w:noWrap/>
            <w:hideMark/>
          </w:tcPr>
          <w:p w14:paraId="1269C064"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7E06805C"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A7746ED" w14:textId="77777777" w:rsidR="002F0133" w:rsidRPr="000B4E2C" w:rsidRDefault="002F0133" w:rsidP="008A7464">
            <w:pPr>
              <w:rPr>
                <w:highlight w:val="green"/>
                <w:lang w:eastAsia="en-GB"/>
              </w:rPr>
            </w:pPr>
            <w:r w:rsidRPr="000B4E2C">
              <w:rPr>
                <w:highlight w:val="green"/>
                <w:lang w:eastAsia="en-GB"/>
              </w:rPr>
              <w:t>M. Zhang, X. Zhao, Y. Deng, B. Tang, Q. Sun, Q. Zhang, W. Chen, D. Yao, J. Yang, L. Cao and H. Guo. Neutrophil gelatinase associated lipocalin is an independent predictor of poor prognosis in cases of papillary renal cell carcinoma. Journal of Urology, 194(3), 647-652. [16996]</w:t>
            </w:r>
          </w:p>
        </w:tc>
      </w:tr>
      <w:tr w:rsidR="002F0133" w:rsidRPr="000B4E2C" w14:paraId="152FBFFB" w14:textId="77777777" w:rsidTr="000B4E2C">
        <w:trPr>
          <w:cantSplit/>
        </w:trPr>
        <w:tc>
          <w:tcPr>
            <w:tcW w:w="0" w:type="auto"/>
            <w:shd w:val="clear" w:color="auto" w:fill="auto"/>
            <w:noWrap/>
            <w:hideMark/>
          </w:tcPr>
          <w:p w14:paraId="7B54774D" w14:textId="77777777" w:rsidR="002F0133" w:rsidRPr="000B4E2C" w:rsidRDefault="002F0133" w:rsidP="008A7464">
            <w:pPr>
              <w:rPr>
                <w:lang w:eastAsia="en-GB"/>
              </w:rPr>
            </w:pPr>
            <w:r w:rsidRPr="000B4E2C">
              <w:rPr>
                <w:lang w:eastAsia="en-GB"/>
              </w:rPr>
              <w:t>Zhang</w:t>
            </w:r>
          </w:p>
        </w:tc>
        <w:tc>
          <w:tcPr>
            <w:tcW w:w="0" w:type="auto"/>
            <w:shd w:val="clear" w:color="auto" w:fill="auto"/>
            <w:noWrap/>
            <w:hideMark/>
          </w:tcPr>
          <w:p w14:paraId="7271CE50"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1304D152" w14:textId="77777777" w:rsidR="002F0133" w:rsidRPr="000B4E2C" w:rsidRDefault="002F0133" w:rsidP="008A7464">
            <w:pPr>
              <w:rPr>
                <w:lang w:eastAsia="en-GB"/>
              </w:rPr>
            </w:pPr>
            <w:r w:rsidRPr="000B4E2C">
              <w:rPr>
                <w:lang w:eastAsia="en-GB"/>
              </w:rPr>
              <w:t xml:space="preserve">Not a primary study </w:t>
            </w:r>
          </w:p>
        </w:tc>
        <w:tc>
          <w:tcPr>
            <w:tcW w:w="0" w:type="auto"/>
            <w:shd w:val="clear" w:color="auto" w:fill="auto"/>
            <w:noWrap/>
            <w:hideMark/>
          </w:tcPr>
          <w:p w14:paraId="3ADEECD0" w14:textId="77777777" w:rsidR="002F0133" w:rsidRPr="000B4E2C" w:rsidRDefault="002F0133" w:rsidP="008A7464">
            <w:pPr>
              <w:rPr>
                <w:highlight w:val="green"/>
                <w:lang w:eastAsia="en-GB"/>
              </w:rPr>
            </w:pPr>
            <w:r w:rsidRPr="000B4E2C">
              <w:rPr>
                <w:highlight w:val="green"/>
                <w:lang w:eastAsia="en-GB"/>
              </w:rPr>
              <w:t>Z. Zhang. Biomarkers, diagnosis and management of sepsis-induced acute kidney injury: a narrative review. Heart, lung and vessels, 7(1), 64-73. [17004]</w:t>
            </w:r>
          </w:p>
        </w:tc>
      </w:tr>
      <w:tr w:rsidR="002F0133" w:rsidRPr="000B4E2C" w14:paraId="4804AE23" w14:textId="77777777" w:rsidTr="000B4E2C">
        <w:trPr>
          <w:cantSplit/>
        </w:trPr>
        <w:tc>
          <w:tcPr>
            <w:tcW w:w="0" w:type="auto"/>
            <w:shd w:val="clear" w:color="auto" w:fill="auto"/>
            <w:noWrap/>
            <w:hideMark/>
          </w:tcPr>
          <w:p w14:paraId="63E4C08C" w14:textId="77777777" w:rsidR="002F0133" w:rsidRPr="000B4E2C" w:rsidRDefault="002F0133" w:rsidP="008A7464">
            <w:pPr>
              <w:rPr>
                <w:lang w:eastAsia="en-GB"/>
              </w:rPr>
            </w:pPr>
            <w:r w:rsidRPr="000B4E2C">
              <w:rPr>
                <w:lang w:eastAsia="en-GB"/>
              </w:rPr>
              <w:t>Zhang</w:t>
            </w:r>
          </w:p>
        </w:tc>
        <w:tc>
          <w:tcPr>
            <w:tcW w:w="0" w:type="auto"/>
            <w:shd w:val="clear" w:color="auto" w:fill="auto"/>
            <w:noWrap/>
            <w:hideMark/>
          </w:tcPr>
          <w:p w14:paraId="59BB95D2"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0C6F86C3" w14:textId="57A1E5A2"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2D91A8C7" w14:textId="77777777" w:rsidR="002F0133" w:rsidRPr="000B4E2C" w:rsidRDefault="002F0133" w:rsidP="008A7464">
            <w:pPr>
              <w:rPr>
                <w:highlight w:val="green"/>
                <w:lang w:eastAsia="en-GB"/>
              </w:rPr>
            </w:pPr>
            <w:r w:rsidRPr="000B4E2C">
              <w:rPr>
                <w:highlight w:val="green"/>
                <w:lang w:eastAsia="en-GB"/>
              </w:rPr>
              <w:t>A. Zhang, Y. Cai, P. F. Wang, J. N. Qu, Z. C. Luo, X. D. Chen, B. Huang, Y. Liu, W. Q. Huang, J. Wu and Y. H. Yin. Diagnosis and prognosis of neutrophil gelatinase-associated lipocalin for acute kidney injury with sepsis: A systematic review and meta-analysis. Critical Care, 20(1), 41. [16991]</w:t>
            </w:r>
          </w:p>
        </w:tc>
      </w:tr>
      <w:tr w:rsidR="002F0133" w:rsidRPr="000B4E2C" w14:paraId="5D7011CD" w14:textId="77777777" w:rsidTr="000B4E2C">
        <w:trPr>
          <w:cantSplit/>
        </w:trPr>
        <w:tc>
          <w:tcPr>
            <w:tcW w:w="0" w:type="auto"/>
            <w:shd w:val="clear" w:color="auto" w:fill="auto"/>
            <w:noWrap/>
            <w:hideMark/>
          </w:tcPr>
          <w:p w14:paraId="7699585E" w14:textId="77777777" w:rsidR="002F0133" w:rsidRPr="000B4E2C" w:rsidRDefault="002F0133" w:rsidP="008A7464">
            <w:pPr>
              <w:rPr>
                <w:lang w:eastAsia="en-GB"/>
              </w:rPr>
            </w:pPr>
            <w:r w:rsidRPr="000B4E2C">
              <w:rPr>
                <w:lang w:eastAsia="en-GB"/>
              </w:rPr>
              <w:t>Zhang</w:t>
            </w:r>
          </w:p>
        </w:tc>
        <w:tc>
          <w:tcPr>
            <w:tcW w:w="0" w:type="auto"/>
            <w:shd w:val="clear" w:color="auto" w:fill="auto"/>
            <w:noWrap/>
            <w:hideMark/>
          </w:tcPr>
          <w:p w14:paraId="73DFFE50"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732C401D"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03A49EE3" w14:textId="77777777" w:rsidR="002F0133" w:rsidRPr="000B4E2C" w:rsidRDefault="002F0133" w:rsidP="008A7464">
            <w:pPr>
              <w:rPr>
                <w:highlight w:val="green"/>
                <w:lang w:eastAsia="en-GB"/>
              </w:rPr>
            </w:pPr>
            <w:r w:rsidRPr="000B4E2C">
              <w:rPr>
                <w:highlight w:val="green"/>
                <w:lang w:eastAsia="en-GB"/>
              </w:rPr>
              <w:t>Y. Zhang, Y. Yu, J. Jia, W. Yu, R. Xu, L. Geng and Y. Wei. Administration of HES in elderly patients undergoing hip arthroplasty under spinal anesthesia is not associated with an increase in renal injury. BMC Anesthesiology, 17(1), 29. [17003]</w:t>
            </w:r>
          </w:p>
        </w:tc>
      </w:tr>
      <w:tr w:rsidR="002F0133" w:rsidRPr="000B4E2C" w14:paraId="6E3C5246" w14:textId="77777777" w:rsidTr="000B4E2C">
        <w:trPr>
          <w:cantSplit/>
        </w:trPr>
        <w:tc>
          <w:tcPr>
            <w:tcW w:w="0" w:type="auto"/>
            <w:shd w:val="clear" w:color="auto" w:fill="auto"/>
            <w:noWrap/>
            <w:hideMark/>
          </w:tcPr>
          <w:p w14:paraId="2F67CD2D" w14:textId="77777777" w:rsidR="002F0133" w:rsidRPr="000B4E2C" w:rsidRDefault="002F0133" w:rsidP="008A7464">
            <w:pPr>
              <w:rPr>
                <w:lang w:eastAsia="en-GB"/>
              </w:rPr>
            </w:pPr>
            <w:r w:rsidRPr="000B4E2C">
              <w:rPr>
                <w:lang w:eastAsia="en-GB"/>
              </w:rPr>
              <w:t>Zhang</w:t>
            </w:r>
          </w:p>
        </w:tc>
        <w:tc>
          <w:tcPr>
            <w:tcW w:w="0" w:type="auto"/>
            <w:shd w:val="clear" w:color="auto" w:fill="auto"/>
            <w:noWrap/>
            <w:hideMark/>
          </w:tcPr>
          <w:p w14:paraId="3C36F9CF" w14:textId="77777777" w:rsidR="002F0133" w:rsidRPr="000B4E2C" w:rsidRDefault="002F0133" w:rsidP="008A7464">
            <w:pPr>
              <w:jc w:val="center"/>
              <w:rPr>
                <w:lang w:eastAsia="en-GB"/>
              </w:rPr>
            </w:pPr>
            <w:r w:rsidRPr="000B4E2C">
              <w:rPr>
                <w:lang w:eastAsia="en-GB"/>
              </w:rPr>
              <w:t>2017</w:t>
            </w:r>
          </w:p>
        </w:tc>
        <w:tc>
          <w:tcPr>
            <w:tcW w:w="0" w:type="auto"/>
            <w:shd w:val="clear" w:color="auto" w:fill="auto"/>
            <w:noWrap/>
            <w:hideMark/>
          </w:tcPr>
          <w:p w14:paraId="241A5876" w14:textId="08879D41"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1C06DAD" w14:textId="77777777" w:rsidR="002F0133" w:rsidRPr="000B4E2C" w:rsidRDefault="002F0133" w:rsidP="008A7464">
            <w:pPr>
              <w:rPr>
                <w:highlight w:val="green"/>
                <w:lang w:eastAsia="en-GB"/>
              </w:rPr>
            </w:pPr>
            <w:r w:rsidRPr="000B4E2C">
              <w:rPr>
                <w:highlight w:val="green"/>
                <w:lang w:eastAsia="en-GB"/>
              </w:rPr>
              <w:t>J. Zhang, J. Han, J. Liu, B. Liang, X. Wang and C. Wang. Clinical significance of novel biomarker NGAL in early diagnosis of acute renal injury. Experimental and Therapeutic Medicine, 14(5), 5017-5021. [16994]</w:t>
            </w:r>
          </w:p>
        </w:tc>
      </w:tr>
      <w:tr w:rsidR="002F0133" w:rsidRPr="000B4E2C" w14:paraId="5EF152F7" w14:textId="77777777" w:rsidTr="000B4E2C">
        <w:trPr>
          <w:cantSplit/>
        </w:trPr>
        <w:tc>
          <w:tcPr>
            <w:tcW w:w="0" w:type="auto"/>
            <w:shd w:val="clear" w:color="auto" w:fill="auto"/>
            <w:noWrap/>
            <w:hideMark/>
          </w:tcPr>
          <w:p w14:paraId="1B2D2BC3" w14:textId="77777777" w:rsidR="002F0133" w:rsidRPr="000B4E2C" w:rsidRDefault="002F0133" w:rsidP="008A7464">
            <w:pPr>
              <w:rPr>
                <w:lang w:eastAsia="en-GB"/>
              </w:rPr>
            </w:pPr>
            <w:r w:rsidRPr="000B4E2C">
              <w:rPr>
                <w:lang w:eastAsia="en-GB"/>
              </w:rPr>
              <w:t>Zhang</w:t>
            </w:r>
          </w:p>
        </w:tc>
        <w:tc>
          <w:tcPr>
            <w:tcW w:w="0" w:type="auto"/>
            <w:shd w:val="clear" w:color="auto" w:fill="auto"/>
            <w:noWrap/>
            <w:hideMark/>
          </w:tcPr>
          <w:p w14:paraId="2EF493B5"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77D3659C"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03EE103B" w14:textId="77777777" w:rsidR="002F0133" w:rsidRPr="000B4E2C" w:rsidRDefault="002F0133" w:rsidP="008A7464">
            <w:pPr>
              <w:rPr>
                <w:highlight w:val="green"/>
                <w:lang w:eastAsia="en-GB"/>
              </w:rPr>
            </w:pPr>
            <w:r w:rsidRPr="000B4E2C">
              <w:rPr>
                <w:highlight w:val="green"/>
                <w:lang w:eastAsia="en-GB"/>
              </w:rPr>
              <w:t>Y. Zhang, J. Li, F. Li, X. Qi and J. Zhang. Neutrophil gelatinase-associated lipocalin accurately predicts renal tubular injury in patients with chronic hepatitis B treated with nucleos(t)ide analogs. Hepatology Research, 48(2), 144-152. [17002]</w:t>
            </w:r>
          </w:p>
        </w:tc>
      </w:tr>
      <w:tr w:rsidR="002F0133" w:rsidRPr="000B4E2C" w14:paraId="68DCF084" w14:textId="77777777" w:rsidTr="000B4E2C">
        <w:trPr>
          <w:cantSplit/>
        </w:trPr>
        <w:tc>
          <w:tcPr>
            <w:tcW w:w="0" w:type="auto"/>
            <w:shd w:val="clear" w:color="auto" w:fill="auto"/>
            <w:noWrap/>
            <w:hideMark/>
          </w:tcPr>
          <w:p w14:paraId="6B08BC06" w14:textId="77777777" w:rsidR="002F0133" w:rsidRPr="000B4E2C" w:rsidRDefault="002F0133" w:rsidP="008A7464">
            <w:pPr>
              <w:rPr>
                <w:lang w:eastAsia="en-GB"/>
              </w:rPr>
            </w:pPr>
            <w:r w:rsidRPr="000B4E2C">
              <w:rPr>
                <w:lang w:eastAsia="en-GB"/>
              </w:rPr>
              <w:lastRenderedPageBreak/>
              <w:t>Zhang</w:t>
            </w:r>
          </w:p>
        </w:tc>
        <w:tc>
          <w:tcPr>
            <w:tcW w:w="0" w:type="auto"/>
            <w:shd w:val="clear" w:color="auto" w:fill="auto"/>
            <w:noWrap/>
            <w:hideMark/>
          </w:tcPr>
          <w:p w14:paraId="49221A68"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3C5BD4BC" w14:textId="00F208A4"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29FCF8AE" w14:textId="77777777" w:rsidR="002F0133" w:rsidRPr="000B4E2C" w:rsidRDefault="002F0133" w:rsidP="008A7464">
            <w:pPr>
              <w:rPr>
                <w:highlight w:val="green"/>
                <w:lang w:eastAsia="en-GB"/>
              </w:rPr>
            </w:pPr>
            <w:r w:rsidRPr="000B4E2C">
              <w:rPr>
                <w:highlight w:val="green"/>
                <w:lang w:eastAsia="en-GB"/>
              </w:rPr>
              <w:t>D. Zhang, Q. X. Han, M. H. Wu, W. J. Shen, X. L. Yang, J. Guo, S. K. Pan, Z. S. Liu, L. Tang, G. Y. Cai, X. M. Chen and H. Y. Zhu. Diagnostic Value of Sensitive Biomarkers for Early Kidney Damage in Diabetic Patients with Normoalbuminuria. Chinese Medical Journal, 131(23), 2891-2892. [16992]</w:t>
            </w:r>
          </w:p>
        </w:tc>
      </w:tr>
      <w:tr w:rsidR="002F0133" w:rsidRPr="000B4E2C" w14:paraId="6E57FB90" w14:textId="77777777" w:rsidTr="000B4E2C">
        <w:trPr>
          <w:cantSplit/>
        </w:trPr>
        <w:tc>
          <w:tcPr>
            <w:tcW w:w="0" w:type="auto"/>
            <w:shd w:val="clear" w:color="auto" w:fill="auto"/>
            <w:noWrap/>
            <w:hideMark/>
          </w:tcPr>
          <w:p w14:paraId="7F03F8D4" w14:textId="77777777" w:rsidR="002F0133" w:rsidRPr="000B4E2C" w:rsidRDefault="002F0133" w:rsidP="008A7464">
            <w:pPr>
              <w:rPr>
                <w:lang w:eastAsia="en-GB"/>
              </w:rPr>
            </w:pPr>
            <w:r w:rsidRPr="000B4E2C">
              <w:rPr>
                <w:lang w:eastAsia="en-GB"/>
              </w:rPr>
              <w:t>Zhang</w:t>
            </w:r>
          </w:p>
        </w:tc>
        <w:tc>
          <w:tcPr>
            <w:tcW w:w="0" w:type="auto"/>
            <w:shd w:val="clear" w:color="auto" w:fill="auto"/>
            <w:noWrap/>
            <w:hideMark/>
          </w:tcPr>
          <w:p w14:paraId="566DC70A"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4C79A55F"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71CA0613" w14:textId="77777777" w:rsidR="002F0133" w:rsidRPr="000B4E2C" w:rsidRDefault="002F0133" w:rsidP="008A7464">
            <w:pPr>
              <w:rPr>
                <w:highlight w:val="green"/>
                <w:lang w:eastAsia="en-GB"/>
              </w:rPr>
            </w:pPr>
            <w:r w:rsidRPr="000B4E2C">
              <w:rPr>
                <w:highlight w:val="green"/>
                <w:lang w:eastAsia="en-GB"/>
              </w:rPr>
              <w:t>J. Zhang, X. Lin, B. Tian and C. Liu. Evaluation of the efficacy of ischemic post-conditioning for the improvement of contrast induced nephropathy on patients with acute coronary syndrome. International Journal of Clinical and Experimental Medicine, 11(5), 4663-4669. [16993]</w:t>
            </w:r>
          </w:p>
        </w:tc>
      </w:tr>
      <w:tr w:rsidR="002F0133" w:rsidRPr="000B4E2C" w14:paraId="55D544FB" w14:textId="77777777" w:rsidTr="000B4E2C">
        <w:trPr>
          <w:cantSplit/>
        </w:trPr>
        <w:tc>
          <w:tcPr>
            <w:tcW w:w="0" w:type="auto"/>
            <w:shd w:val="clear" w:color="auto" w:fill="auto"/>
            <w:noWrap/>
            <w:hideMark/>
          </w:tcPr>
          <w:p w14:paraId="405ABC79" w14:textId="77777777" w:rsidR="002F0133" w:rsidRPr="000B4E2C" w:rsidRDefault="002F0133" w:rsidP="008A7464">
            <w:pPr>
              <w:rPr>
                <w:lang w:eastAsia="en-GB"/>
              </w:rPr>
            </w:pPr>
            <w:r w:rsidRPr="000B4E2C">
              <w:rPr>
                <w:lang w:eastAsia="en-GB"/>
              </w:rPr>
              <w:t>Zhang</w:t>
            </w:r>
          </w:p>
        </w:tc>
        <w:tc>
          <w:tcPr>
            <w:tcW w:w="0" w:type="auto"/>
            <w:shd w:val="clear" w:color="auto" w:fill="auto"/>
            <w:noWrap/>
            <w:hideMark/>
          </w:tcPr>
          <w:p w14:paraId="73FD3CDB"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551481A9"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0EBF2403" w14:textId="77777777" w:rsidR="002F0133" w:rsidRPr="000B4E2C" w:rsidRDefault="002F0133" w:rsidP="008A7464">
            <w:pPr>
              <w:rPr>
                <w:highlight w:val="green"/>
                <w:lang w:eastAsia="en-GB"/>
              </w:rPr>
            </w:pPr>
            <w:r w:rsidRPr="000B4E2C">
              <w:rPr>
                <w:highlight w:val="green"/>
                <w:lang w:eastAsia="en-GB"/>
              </w:rPr>
              <w:t>W. R. Zhang, T. E. Craven, R. Malhotra, A. K. Cheung, M. Chonchol, P. Drawz, M. J. Sarnak, C. R. Parikh, M. G. Shlipak and J. H. Ix. Kidney damage biomarkers and incident chronic kidney disease during blood pressure reduction: A case-control study. Annals of Internal Medicine, 169(9), 610-618. [16999]</w:t>
            </w:r>
          </w:p>
        </w:tc>
      </w:tr>
      <w:tr w:rsidR="002F0133" w:rsidRPr="000B4E2C" w14:paraId="59D9FD63" w14:textId="77777777" w:rsidTr="000B4E2C">
        <w:trPr>
          <w:cantSplit/>
        </w:trPr>
        <w:tc>
          <w:tcPr>
            <w:tcW w:w="0" w:type="auto"/>
            <w:shd w:val="clear" w:color="auto" w:fill="auto"/>
            <w:noWrap/>
            <w:hideMark/>
          </w:tcPr>
          <w:p w14:paraId="71C42C5E" w14:textId="77777777" w:rsidR="002F0133" w:rsidRPr="000B4E2C" w:rsidRDefault="002F0133" w:rsidP="008A7464">
            <w:pPr>
              <w:rPr>
                <w:lang w:eastAsia="en-GB"/>
              </w:rPr>
            </w:pPr>
            <w:r w:rsidRPr="000B4E2C">
              <w:rPr>
                <w:lang w:eastAsia="en-GB"/>
              </w:rPr>
              <w:t>Zheng</w:t>
            </w:r>
          </w:p>
        </w:tc>
        <w:tc>
          <w:tcPr>
            <w:tcW w:w="0" w:type="auto"/>
            <w:shd w:val="clear" w:color="auto" w:fill="auto"/>
            <w:noWrap/>
            <w:hideMark/>
          </w:tcPr>
          <w:p w14:paraId="0DE71487"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750B349D" w14:textId="57398D05"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49EE665E" w14:textId="77777777" w:rsidR="002F0133" w:rsidRPr="000B4E2C" w:rsidRDefault="002F0133" w:rsidP="008A7464">
            <w:pPr>
              <w:rPr>
                <w:highlight w:val="green"/>
                <w:lang w:eastAsia="en-GB"/>
              </w:rPr>
            </w:pPr>
            <w:r w:rsidRPr="000B4E2C">
              <w:rPr>
                <w:highlight w:val="green"/>
                <w:lang w:eastAsia="en-GB"/>
              </w:rPr>
              <w:t>J. Zheng, Y. Xiao, Y. Yao, G. Xu, C. Li, Q. Zhang, H. Li and L. Han. Comparison of urinary biomarkers for early detection of acute kidney injury after cardiopulmonary bypass surgery in infants and young children. Pediatric Cardiology, 34(4), 880-886. [17010]</w:t>
            </w:r>
          </w:p>
        </w:tc>
      </w:tr>
      <w:tr w:rsidR="002F0133" w:rsidRPr="000B4E2C" w14:paraId="3E75CD0D" w14:textId="77777777" w:rsidTr="000B4E2C">
        <w:trPr>
          <w:cantSplit/>
        </w:trPr>
        <w:tc>
          <w:tcPr>
            <w:tcW w:w="0" w:type="auto"/>
            <w:shd w:val="clear" w:color="auto" w:fill="auto"/>
            <w:noWrap/>
            <w:hideMark/>
          </w:tcPr>
          <w:p w14:paraId="1ADAA59F" w14:textId="77777777" w:rsidR="002F0133" w:rsidRPr="000B4E2C" w:rsidRDefault="002F0133" w:rsidP="008A7464">
            <w:pPr>
              <w:rPr>
                <w:lang w:eastAsia="en-GB"/>
              </w:rPr>
            </w:pPr>
            <w:r w:rsidRPr="000B4E2C">
              <w:rPr>
                <w:lang w:eastAsia="en-GB"/>
              </w:rPr>
              <w:t>Zhou</w:t>
            </w:r>
          </w:p>
        </w:tc>
        <w:tc>
          <w:tcPr>
            <w:tcW w:w="0" w:type="auto"/>
            <w:shd w:val="clear" w:color="auto" w:fill="auto"/>
            <w:noWrap/>
            <w:hideMark/>
          </w:tcPr>
          <w:p w14:paraId="51107264"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F0157EA" w14:textId="77777777" w:rsidR="002F0133" w:rsidRPr="000B4E2C" w:rsidRDefault="002F0133" w:rsidP="008A7464">
            <w:pPr>
              <w:rPr>
                <w:lang w:eastAsia="en-GB"/>
              </w:rPr>
            </w:pPr>
            <w:r w:rsidRPr="000B4E2C">
              <w:rPr>
                <w:lang w:eastAsia="en-GB"/>
              </w:rPr>
              <w:t>Not relevant biomarker assay or test</w:t>
            </w:r>
          </w:p>
        </w:tc>
        <w:tc>
          <w:tcPr>
            <w:tcW w:w="0" w:type="auto"/>
            <w:shd w:val="clear" w:color="auto" w:fill="auto"/>
            <w:noWrap/>
            <w:hideMark/>
          </w:tcPr>
          <w:p w14:paraId="7196BA4B" w14:textId="77777777" w:rsidR="002F0133" w:rsidRPr="000B4E2C" w:rsidRDefault="002F0133" w:rsidP="008A7464">
            <w:pPr>
              <w:rPr>
                <w:highlight w:val="green"/>
                <w:lang w:eastAsia="en-GB"/>
              </w:rPr>
            </w:pPr>
            <w:r w:rsidRPr="000B4E2C">
              <w:rPr>
                <w:highlight w:val="green"/>
                <w:lang w:eastAsia="en-GB"/>
              </w:rPr>
              <w:t>L. Z. Zhou, X. B. Yang, Y. Guan, X. Xu, M. T. Tan, F. F. Hou and P. Y. Chen. Development and Validation of a Risk Score for Prediction of Acute Kidney Injury in Patients With Acute Decompensated Heart Failure: A Prospective Cohort Study in China. Journal of the American Heart Association, 5(11), . [17013]</w:t>
            </w:r>
          </w:p>
        </w:tc>
      </w:tr>
      <w:tr w:rsidR="002F0133" w:rsidRPr="000B4E2C" w14:paraId="61C7F0D5" w14:textId="77777777" w:rsidTr="000B4E2C">
        <w:trPr>
          <w:cantSplit/>
        </w:trPr>
        <w:tc>
          <w:tcPr>
            <w:tcW w:w="0" w:type="auto"/>
            <w:shd w:val="clear" w:color="auto" w:fill="auto"/>
            <w:noWrap/>
            <w:hideMark/>
          </w:tcPr>
          <w:p w14:paraId="484844AA" w14:textId="77777777" w:rsidR="002F0133" w:rsidRPr="000B4E2C" w:rsidRDefault="002F0133" w:rsidP="008A7464">
            <w:pPr>
              <w:rPr>
                <w:lang w:eastAsia="en-GB"/>
              </w:rPr>
            </w:pPr>
            <w:r w:rsidRPr="000B4E2C">
              <w:rPr>
                <w:lang w:eastAsia="en-GB"/>
              </w:rPr>
              <w:t>Zhou</w:t>
            </w:r>
          </w:p>
        </w:tc>
        <w:tc>
          <w:tcPr>
            <w:tcW w:w="0" w:type="auto"/>
            <w:shd w:val="clear" w:color="auto" w:fill="auto"/>
            <w:noWrap/>
            <w:hideMark/>
          </w:tcPr>
          <w:p w14:paraId="177EF88A"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7D11843F" w14:textId="2986457E" w:rsidR="002F0133" w:rsidRPr="000B4E2C" w:rsidRDefault="002F0133" w:rsidP="008A7464">
            <w:pPr>
              <w:rPr>
                <w:lang w:eastAsia="en-GB"/>
              </w:rPr>
            </w:pPr>
            <w:r w:rsidRPr="000B4E2C">
              <w:rPr>
                <w:lang w:eastAsia="en-GB"/>
              </w:rPr>
              <w:t>Meta-analysis</w:t>
            </w:r>
            <w:r w:rsidR="000B4E2C" w:rsidRPr="000B4E2C">
              <w:rPr>
                <w:color w:val="00B0F0"/>
                <w:lang w:eastAsia="en-GB"/>
              </w:rPr>
              <w:t xml:space="preserve"> – </w:t>
            </w:r>
            <w:r w:rsidRPr="000B4E2C">
              <w:rPr>
                <w:lang w:eastAsia="en-GB"/>
              </w:rPr>
              <w:t>retained as background material</w:t>
            </w:r>
          </w:p>
        </w:tc>
        <w:tc>
          <w:tcPr>
            <w:tcW w:w="0" w:type="auto"/>
            <w:shd w:val="clear" w:color="auto" w:fill="auto"/>
            <w:noWrap/>
            <w:hideMark/>
          </w:tcPr>
          <w:p w14:paraId="240B54FB" w14:textId="77777777" w:rsidR="002F0133" w:rsidRPr="000B4E2C" w:rsidRDefault="002F0133" w:rsidP="008A7464">
            <w:pPr>
              <w:rPr>
                <w:highlight w:val="green"/>
                <w:lang w:eastAsia="en-GB"/>
              </w:rPr>
            </w:pPr>
            <w:r w:rsidRPr="000B4E2C">
              <w:rPr>
                <w:highlight w:val="green"/>
                <w:lang w:eastAsia="en-GB"/>
              </w:rPr>
              <w:t>F. Zhou, Q. Luo, L. Wang and L. Han. Diagnostic value of neutrophil gelatinase-associated lipocalin for early diagnosis of cardiac surgery-associated acute kidney injury: A meta-analysis. European Journal of Cardio-thoracic Surgery, 49(3), 746-755. [17012]</w:t>
            </w:r>
          </w:p>
        </w:tc>
      </w:tr>
      <w:tr w:rsidR="002F0133" w:rsidRPr="000B4E2C" w14:paraId="6D983648" w14:textId="77777777" w:rsidTr="000B4E2C">
        <w:trPr>
          <w:cantSplit/>
        </w:trPr>
        <w:tc>
          <w:tcPr>
            <w:tcW w:w="0" w:type="auto"/>
            <w:shd w:val="clear" w:color="auto" w:fill="auto"/>
            <w:noWrap/>
            <w:hideMark/>
          </w:tcPr>
          <w:p w14:paraId="4E6EF870" w14:textId="77777777" w:rsidR="002F0133" w:rsidRPr="000B4E2C" w:rsidRDefault="002F0133" w:rsidP="008A7464">
            <w:pPr>
              <w:rPr>
                <w:lang w:eastAsia="en-GB"/>
              </w:rPr>
            </w:pPr>
            <w:r w:rsidRPr="000B4E2C">
              <w:rPr>
                <w:lang w:eastAsia="en-GB"/>
              </w:rPr>
              <w:t>Zhou</w:t>
            </w:r>
          </w:p>
        </w:tc>
        <w:tc>
          <w:tcPr>
            <w:tcW w:w="0" w:type="auto"/>
            <w:shd w:val="clear" w:color="auto" w:fill="auto"/>
            <w:noWrap/>
            <w:hideMark/>
          </w:tcPr>
          <w:p w14:paraId="123DD175" w14:textId="77777777" w:rsidR="002F0133" w:rsidRPr="000B4E2C" w:rsidRDefault="002F0133" w:rsidP="008A7464">
            <w:pPr>
              <w:jc w:val="center"/>
              <w:rPr>
                <w:lang w:eastAsia="en-GB"/>
              </w:rPr>
            </w:pPr>
            <w:r w:rsidRPr="000B4E2C">
              <w:rPr>
                <w:lang w:eastAsia="en-GB"/>
              </w:rPr>
              <w:t>2018</w:t>
            </w:r>
          </w:p>
        </w:tc>
        <w:tc>
          <w:tcPr>
            <w:tcW w:w="0" w:type="auto"/>
            <w:shd w:val="clear" w:color="auto" w:fill="auto"/>
            <w:noWrap/>
            <w:hideMark/>
          </w:tcPr>
          <w:p w14:paraId="68993724" w14:textId="77777777" w:rsidR="002F0133" w:rsidRPr="000B4E2C" w:rsidRDefault="002F0133" w:rsidP="008A7464">
            <w:pPr>
              <w:rPr>
                <w:lang w:eastAsia="en-GB"/>
              </w:rPr>
            </w:pPr>
            <w:r w:rsidRPr="000B4E2C">
              <w:rPr>
                <w:lang w:eastAsia="en-GB"/>
              </w:rPr>
              <w:t>Not relevant type of population</w:t>
            </w:r>
          </w:p>
        </w:tc>
        <w:tc>
          <w:tcPr>
            <w:tcW w:w="0" w:type="auto"/>
            <w:shd w:val="clear" w:color="auto" w:fill="auto"/>
            <w:noWrap/>
            <w:hideMark/>
          </w:tcPr>
          <w:p w14:paraId="58E53E69" w14:textId="77777777" w:rsidR="002F0133" w:rsidRPr="000B4E2C" w:rsidRDefault="002F0133" w:rsidP="008A7464">
            <w:pPr>
              <w:rPr>
                <w:highlight w:val="green"/>
                <w:lang w:eastAsia="en-GB"/>
              </w:rPr>
            </w:pPr>
            <w:r w:rsidRPr="000B4E2C">
              <w:rPr>
                <w:highlight w:val="green"/>
                <w:lang w:eastAsia="en-GB"/>
              </w:rPr>
              <w:t>F. Zhou, W. Song, Z. Wang, L. Yin, S. Yang, F. Yang, Z. Song, Y. Song, H. Zhang, F. Qiao and Z. Zhang. Effects of remote ischemic preconditioning on contrast induced nephropathy after percutaneous coronary intervention in patients with acute coronary syndrome. Medicine (United States), 97(2), 9579. [17011]</w:t>
            </w:r>
          </w:p>
        </w:tc>
      </w:tr>
      <w:tr w:rsidR="002F0133" w:rsidRPr="000B4E2C" w14:paraId="5084F9AA" w14:textId="77777777" w:rsidTr="000B4E2C">
        <w:trPr>
          <w:cantSplit/>
        </w:trPr>
        <w:tc>
          <w:tcPr>
            <w:tcW w:w="0" w:type="auto"/>
            <w:shd w:val="clear" w:color="auto" w:fill="auto"/>
            <w:noWrap/>
            <w:hideMark/>
          </w:tcPr>
          <w:p w14:paraId="036756D4" w14:textId="77777777" w:rsidR="002F0133" w:rsidRPr="000B4E2C" w:rsidRDefault="002F0133" w:rsidP="008A7464">
            <w:pPr>
              <w:rPr>
                <w:lang w:eastAsia="en-GB"/>
              </w:rPr>
            </w:pPr>
            <w:r w:rsidRPr="000B4E2C">
              <w:rPr>
                <w:lang w:eastAsia="en-GB"/>
              </w:rPr>
              <w:t>Zhu</w:t>
            </w:r>
          </w:p>
        </w:tc>
        <w:tc>
          <w:tcPr>
            <w:tcW w:w="0" w:type="auto"/>
            <w:shd w:val="clear" w:color="auto" w:fill="auto"/>
            <w:noWrap/>
            <w:hideMark/>
          </w:tcPr>
          <w:p w14:paraId="2E7AC16F" w14:textId="77777777" w:rsidR="002F0133" w:rsidRPr="000B4E2C" w:rsidRDefault="002F0133" w:rsidP="008A7464">
            <w:pPr>
              <w:jc w:val="center"/>
              <w:rPr>
                <w:lang w:eastAsia="en-GB"/>
              </w:rPr>
            </w:pPr>
            <w:r w:rsidRPr="000B4E2C">
              <w:rPr>
                <w:lang w:eastAsia="en-GB"/>
              </w:rPr>
              <w:t>2014</w:t>
            </w:r>
          </w:p>
        </w:tc>
        <w:tc>
          <w:tcPr>
            <w:tcW w:w="0" w:type="auto"/>
            <w:shd w:val="clear" w:color="auto" w:fill="auto"/>
            <w:noWrap/>
            <w:hideMark/>
          </w:tcPr>
          <w:p w14:paraId="365B7E91" w14:textId="742CD1DF"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6F133FD6" w14:textId="77777777" w:rsidR="002F0133" w:rsidRPr="000B4E2C" w:rsidRDefault="002F0133" w:rsidP="008A7464">
            <w:pPr>
              <w:rPr>
                <w:highlight w:val="green"/>
                <w:lang w:eastAsia="en-GB"/>
              </w:rPr>
            </w:pPr>
            <w:r w:rsidRPr="000B4E2C">
              <w:rPr>
                <w:highlight w:val="green"/>
                <w:lang w:eastAsia="en-GB"/>
              </w:rPr>
              <w:t>W. Zhu, M. Liu, G.-C. Wang, J.-P. Che, Y.-F. Xu, B. Peng and J.-H. Zheng. Urinary neutrophil gelatinase-associated lipocalin, a biomarker for systemic inflammatory response syndrome in patients with nephrolithiasis. Journal of Surgical Research, 187(1), 237-243. [18626]</w:t>
            </w:r>
          </w:p>
        </w:tc>
      </w:tr>
      <w:tr w:rsidR="002F0133" w:rsidRPr="000B4E2C" w14:paraId="593C96E3" w14:textId="77777777" w:rsidTr="000B4E2C">
        <w:trPr>
          <w:cantSplit/>
        </w:trPr>
        <w:tc>
          <w:tcPr>
            <w:tcW w:w="0" w:type="auto"/>
            <w:shd w:val="clear" w:color="auto" w:fill="auto"/>
            <w:noWrap/>
            <w:hideMark/>
          </w:tcPr>
          <w:p w14:paraId="186AD197" w14:textId="77777777" w:rsidR="002F0133" w:rsidRPr="000B4E2C" w:rsidRDefault="002F0133" w:rsidP="008A7464">
            <w:pPr>
              <w:rPr>
                <w:lang w:eastAsia="en-GB"/>
              </w:rPr>
            </w:pPr>
            <w:r w:rsidRPr="000B4E2C">
              <w:rPr>
                <w:lang w:eastAsia="en-GB"/>
              </w:rPr>
              <w:t>Zhu</w:t>
            </w:r>
          </w:p>
        </w:tc>
        <w:tc>
          <w:tcPr>
            <w:tcW w:w="0" w:type="auto"/>
            <w:shd w:val="clear" w:color="auto" w:fill="auto"/>
            <w:noWrap/>
            <w:hideMark/>
          </w:tcPr>
          <w:p w14:paraId="54F757BC" w14:textId="77777777" w:rsidR="002F0133" w:rsidRPr="000B4E2C" w:rsidRDefault="002F0133" w:rsidP="008A7464">
            <w:pPr>
              <w:jc w:val="center"/>
              <w:rPr>
                <w:lang w:eastAsia="en-GB"/>
              </w:rPr>
            </w:pPr>
            <w:r w:rsidRPr="000B4E2C">
              <w:rPr>
                <w:lang w:eastAsia="en-GB"/>
              </w:rPr>
              <w:t>2016</w:t>
            </w:r>
          </w:p>
        </w:tc>
        <w:tc>
          <w:tcPr>
            <w:tcW w:w="0" w:type="auto"/>
            <w:shd w:val="clear" w:color="auto" w:fill="auto"/>
            <w:noWrap/>
            <w:hideMark/>
          </w:tcPr>
          <w:p w14:paraId="2FEDA4E2" w14:textId="77777777" w:rsidR="002F0133" w:rsidRPr="000B4E2C" w:rsidRDefault="002F0133" w:rsidP="008A7464">
            <w:pPr>
              <w:rPr>
                <w:lang w:eastAsia="en-GB"/>
              </w:rPr>
            </w:pPr>
            <w:r w:rsidRPr="000B4E2C">
              <w:rPr>
                <w:lang w:eastAsia="en-GB"/>
              </w:rPr>
              <w:t>Non-English publication</w:t>
            </w:r>
          </w:p>
        </w:tc>
        <w:tc>
          <w:tcPr>
            <w:tcW w:w="0" w:type="auto"/>
            <w:shd w:val="clear" w:color="auto" w:fill="auto"/>
            <w:noWrap/>
            <w:hideMark/>
          </w:tcPr>
          <w:p w14:paraId="4ADB46EC" w14:textId="77777777" w:rsidR="002F0133" w:rsidRPr="000B4E2C" w:rsidRDefault="002F0133" w:rsidP="008A7464">
            <w:pPr>
              <w:rPr>
                <w:highlight w:val="green"/>
                <w:lang w:eastAsia="en-GB"/>
              </w:rPr>
            </w:pPr>
            <w:r w:rsidRPr="000B4E2C">
              <w:rPr>
                <w:highlight w:val="green"/>
                <w:lang w:eastAsia="en-GB"/>
              </w:rPr>
              <w:t>L. Zhu and D. Shi. Early diagnostic value of neutrophil gelatinase-associated lipocalin and interleukin-18 in patients with sepsis-induced acute kidney injury. Zhonghua wei zhong bing ji jiu yi xue, 28(8), 718-722. [17014]</w:t>
            </w:r>
          </w:p>
        </w:tc>
      </w:tr>
      <w:tr w:rsidR="002F0133" w:rsidRPr="000B4E2C" w14:paraId="72B7F86E" w14:textId="77777777" w:rsidTr="000B4E2C">
        <w:trPr>
          <w:cantSplit/>
        </w:trPr>
        <w:tc>
          <w:tcPr>
            <w:tcW w:w="0" w:type="auto"/>
            <w:shd w:val="clear" w:color="auto" w:fill="auto"/>
            <w:noWrap/>
            <w:hideMark/>
          </w:tcPr>
          <w:p w14:paraId="0475636D" w14:textId="77777777" w:rsidR="002F0133" w:rsidRPr="000B4E2C" w:rsidRDefault="002F0133" w:rsidP="008A7464">
            <w:pPr>
              <w:rPr>
                <w:lang w:eastAsia="en-GB"/>
              </w:rPr>
            </w:pPr>
            <w:r w:rsidRPr="000B4E2C">
              <w:rPr>
                <w:lang w:eastAsia="en-GB"/>
              </w:rPr>
              <w:t>Zughaier</w:t>
            </w:r>
          </w:p>
        </w:tc>
        <w:tc>
          <w:tcPr>
            <w:tcW w:w="0" w:type="auto"/>
            <w:shd w:val="clear" w:color="auto" w:fill="auto"/>
            <w:noWrap/>
            <w:hideMark/>
          </w:tcPr>
          <w:p w14:paraId="267401B9" w14:textId="77777777" w:rsidR="002F0133" w:rsidRPr="000B4E2C" w:rsidRDefault="002F0133" w:rsidP="008A7464">
            <w:pPr>
              <w:jc w:val="center"/>
              <w:rPr>
                <w:lang w:eastAsia="en-GB"/>
              </w:rPr>
            </w:pPr>
            <w:r w:rsidRPr="000B4E2C">
              <w:rPr>
                <w:lang w:eastAsia="en-GB"/>
              </w:rPr>
              <w:t>2013</w:t>
            </w:r>
          </w:p>
        </w:tc>
        <w:tc>
          <w:tcPr>
            <w:tcW w:w="0" w:type="auto"/>
            <w:shd w:val="clear" w:color="auto" w:fill="auto"/>
            <w:noWrap/>
            <w:hideMark/>
          </w:tcPr>
          <w:p w14:paraId="4B72E7BB" w14:textId="6F595CE7"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1230BC64" w14:textId="77777777" w:rsidR="002F0133" w:rsidRPr="000B4E2C" w:rsidRDefault="002F0133" w:rsidP="008A7464">
            <w:pPr>
              <w:rPr>
                <w:highlight w:val="green"/>
                <w:lang w:eastAsia="en-GB"/>
              </w:rPr>
            </w:pPr>
            <w:r w:rsidRPr="000B4E2C">
              <w:rPr>
                <w:highlight w:val="green"/>
                <w:lang w:eastAsia="en-GB"/>
              </w:rPr>
              <w:t>S. M. Zughaier, V. Tangpricha, T. Leong, A. A. Stecenko and N. A. McCarty. Peripheral Monocytes Derived From Patients With Cystic Fibrosis and Healthy Donors Secrete NGAL in Response to Pseudomonas aeruginosa Infection. Journal of Investigative Medicine, 61(6), 1018-1025. [18627]</w:t>
            </w:r>
          </w:p>
        </w:tc>
      </w:tr>
      <w:tr w:rsidR="002F0133" w:rsidRPr="000B4E2C" w14:paraId="6BF1E833" w14:textId="77777777" w:rsidTr="000B4E2C">
        <w:trPr>
          <w:cantSplit/>
        </w:trPr>
        <w:tc>
          <w:tcPr>
            <w:tcW w:w="0" w:type="auto"/>
            <w:shd w:val="clear" w:color="auto" w:fill="auto"/>
            <w:noWrap/>
            <w:hideMark/>
          </w:tcPr>
          <w:p w14:paraId="16C28555" w14:textId="77777777" w:rsidR="002F0133" w:rsidRPr="000B4E2C" w:rsidRDefault="002F0133" w:rsidP="008A7464">
            <w:pPr>
              <w:rPr>
                <w:lang w:eastAsia="en-GB"/>
              </w:rPr>
            </w:pPr>
            <w:r w:rsidRPr="000B4E2C">
              <w:rPr>
                <w:lang w:eastAsia="en-GB"/>
              </w:rPr>
              <w:t>Zwaag</w:t>
            </w:r>
          </w:p>
        </w:tc>
        <w:tc>
          <w:tcPr>
            <w:tcW w:w="0" w:type="auto"/>
            <w:shd w:val="clear" w:color="auto" w:fill="auto"/>
            <w:noWrap/>
            <w:hideMark/>
          </w:tcPr>
          <w:p w14:paraId="3F81BA9D" w14:textId="77777777" w:rsidR="002F0133" w:rsidRPr="000B4E2C" w:rsidRDefault="002F0133" w:rsidP="008A7464">
            <w:pPr>
              <w:jc w:val="center"/>
              <w:rPr>
                <w:lang w:eastAsia="en-GB"/>
              </w:rPr>
            </w:pPr>
            <w:r w:rsidRPr="000B4E2C">
              <w:rPr>
                <w:lang w:eastAsia="en-GB"/>
              </w:rPr>
              <w:t>2019</w:t>
            </w:r>
          </w:p>
        </w:tc>
        <w:tc>
          <w:tcPr>
            <w:tcW w:w="0" w:type="auto"/>
            <w:shd w:val="clear" w:color="auto" w:fill="auto"/>
            <w:noWrap/>
            <w:hideMark/>
          </w:tcPr>
          <w:p w14:paraId="6EE0DD5E" w14:textId="77777777" w:rsidR="002F0133" w:rsidRPr="000B4E2C" w:rsidRDefault="002F0133" w:rsidP="008A7464">
            <w:pPr>
              <w:rPr>
                <w:lang w:eastAsia="en-GB"/>
              </w:rPr>
            </w:pPr>
            <w:r w:rsidRPr="000B4E2C">
              <w:rPr>
                <w:lang w:eastAsia="en-GB"/>
              </w:rPr>
              <w:t>No focus on DTA for AKI</w:t>
            </w:r>
          </w:p>
        </w:tc>
        <w:tc>
          <w:tcPr>
            <w:tcW w:w="0" w:type="auto"/>
            <w:shd w:val="clear" w:color="auto" w:fill="auto"/>
            <w:noWrap/>
            <w:hideMark/>
          </w:tcPr>
          <w:p w14:paraId="4399522A" w14:textId="77777777" w:rsidR="002F0133" w:rsidRPr="000B4E2C" w:rsidRDefault="002F0133" w:rsidP="008A7464">
            <w:pPr>
              <w:rPr>
                <w:highlight w:val="green"/>
                <w:lang w:eastAsia="en-GB"/>
              </w:rPr>
            </w:pPr>
            <w:r w:rsidRPr="000B4E2C">
              <w:rPr>
                <w:highlight w:val="green"/>
                <w:lang w:eastAsia="en-GB"/>
              </w:rPr>
              <w:t>J. Zwaag, R. Beunders, M. C. Warle, J. A. Kellum, N. P. Riksen, P. Pickkers and M. Kox. Remote ischaemic preconditioning does not modulate the systemic inflammatory response or renal tubular stress biomarkers after endotoxaemia in healthy human volunteers: a single-centre, mechanistic, randomised controlled trial. British Journal of Anaesthesia, . [17017]</w:t>
            </w:r>
          </w:p>
        </w:tc>
      </w:tr>
      <w:tr w:rsidR="002F0133" w:rsidRPr="000B4E2C" w14:paraId="55C8FFE8" w14:textId="77777777" w:rsidTr="000B4E2C">
        <w:trPr>
          <w:cantSplit/>
        </w:trPr>
        <w:tc>
          <w:tcPr>
            <w:tcW w:w="0" w:type="auto"/>
            <w:shd w:val="clear" w:color="auto" w:fill="auto"/>
            <w:noWrap/>
            <w:hideMark/>
          </w:tcPr>
          <w:p w14:paraId="3A65EFA7" w14:textId="77777777" w:rsidR="002F0133" w:rsidRPr="000B4E2C" w:rsidRDefault="002F0133" w:rsidP="008A7464">
            <w:pPr>
              <w:rPr>
                <w:lang w:eastAsia="en-GB"/>
              </w:rPr>
            </w:pPr>
            <w:r w:rsidRPr="000B4E2C">
              <w:rPr>
                <w:lang w:eastAsia="en-GB"/>
              </w:rPr>
              <w:t>Zwiers</w:t>
            </w:r>
          </w:p>
        </w:tc>
        <w:tc>
          <w:tcPr>
            <w:tcW w:w="0" w:type="auto"/>
            <w:shd w:val="clear" w:color="auto" w:fill="auto"/>
            <w:noWrap/>
            <w:hideMark/>
          </w:tcPr>
          <w:p w14:paraId="73A7AEB5" w14:textId="77777777" w:rsidR="002F0133" w:rsidRPr="000B4E2C" w:rsidRDefault="002F0133" w:rsidP="008A7464">
            <w:pPr>
              <w:jc w:val="center"/>
              <w:rPr>
                <w:lang w:eastAsia="en-GB"/>
              </w:rPr>
            </w:pPr>
            <w:r w:rsidRPr="000B4E2C">
              <w:rPr>
                <w:lang w:eastAsia="en-GB"/>
              </w:rPr>
              <w:t>2015</w:t>
            </w:r>
          </w:p>
        </w:tc>
        <w:tc>
          <w:tcPr>
            <w:tcW w:w="0" w:type="auto"/>
            <w:shd w:val="clear" w:color="auto" w:fill="auto"/>
            <w:noWrap/>
            <w:hideMark/>
          </w:tcPr>
          <w:p w14:paraId="02E65C2E" w14:textId="1AC5131E" w:rsidR="002F0133" w:rsidRPr="000B4E2C" w:rsidRDefault="000B4E2C" w:rsidP="008A7464">
            <w:pPr>
              <w:rPr>
                <w:lang w:eastAsia="en-GB"/>
              </w:rPr>
            </w:pPr>
            <w:r w:rsidRPr="000B4E2C">
              <w:rPr>
                <w:color w:val="00B0F0"/>
                <w:lang w:eastAsia="en-GB"/>
              </w:rPr>
              <w:t>&lt;</w:t>
            </w:r>
            <w:r w:rsidRPr="000B4E2C">
              <w:rPr>
                <w:color w:val="00B0F0"/>
                <w:lang w:eastAsia="en-GB"/>
              </w:rPr>
              <w:t> </w:t>
            </w:r>
            <w:r w:rsidRPr="000B4E2C">
              <w:rPr>
                <w:color w:val="00B0F0"/>
                <w:lang w:eastAsia="en-GB"/>
              </w:rPr>
              <w:t>1</w:t>
            </w:r>
            <w:r w:rsidR="002F0133" w:rsidRPr="000B4E2C">
              <w:rPr>
                <w:lang w:eastAsia="en-GB"/>
              </w:rPr>
              <w:t>00 participants</w:t>
            </w:r>
          </w:p>
        </w:tc>
        <w:tc>
          <w:tcPr>
            <w:tcW w:w="0" w:type="auto"/>
            <w:shd w:val="clear" w:color="auto" w:fill="auto"/>
            <w:noWrap/>
            <w:hideMark/>
          </w:tcPr>
          <w:p w14:paraId="5A6AFF17" w14:textId="77777777" w:rsidR="002F0133" w:rsidRPr="000B4E2C" w:rsidRDefault="002F0133" w:rsidP="008A7464">
            <w:pPr>
              <w:rPr>
                <w:highlight w:val="green"/>
                <w:lang w:eastAsia="en-GB"/>
              </w:rPr>
            </w:pPr>
            <w:r w:rsidRPr="000B4E2C">
              <w:rPr>
                <w:highlight w:val="green"/>
                <w:lang w:eastAsia="en-GB"/>
              </w:rPr>
              <w:t>A. J. M. Zwiers, K. Cransberg, Y. B. De Rijke, J. Van Rosmalen, D. Tibboel and S. N. De Wildt. Urinary neutrophil gelatinase-associated lipocalin predicts renal injury following extracorporeal membrane oxygenation. Pediatric Critical Care Medicine, 16(7), 663-670. [17020]</w:t>
            </w:r>
          </w:p>
        </w:tc>
      </w:tr>
    </w:tbl>
    <w:p w14:paraId="4329446B" w14:textId="77777777" w:rsidR="000B4E2C" w:rsidRPr="000B4E2C" w:rsidRDefault="000B4E2C" w:rsidP="008A7464"/>
    <w:p w14:paraId="2AB8CDB7" w14:textId="77777777" w:rsidR="000B4E2C" w:rsidRPr="000B4E2C" w:rsidRDefault="002F0133" w:rsidP="008A7464">
      <w:pPr>
        <w:pStyle w:val="Heading2"/>
      </w:pPr>
      <w:r w:rsidRPr="000B4E2C">
        <w:lastRenderedPageBreak/>
        <w:t>Appendix 8</w:t>
      </w:r>
      <w:r w:rsidR="000B4E2C" w:rsidRPr="000B4E2C">
        <w:t xml:space="preserve"> </w:t>
      </w:r>
      <w:r w:rsidRPr="000B4E2C">
        <w:t>Characteristics of included studies</w:t>
      </w:r>
    </w:p>
    <w:p w14:paraId="5E4AE1EC" w14:textId="02BA893A" w:rsidR="00F471F5" w:rsidRPr="000B4E2C" w:rsidRDefault="000B4E2C" w:rsidP="00F471F5">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27</w:t>
      </w:r>
      <w:r w:rsidRPr="000B4E2C">
        <w:t xml:space="preserve"> </w:t>
      </w:r>
      <w:r w:rsidR="00F471F5" w:rsidRPr="000B4E2C">
        <w:t>Characteristics of included studies</w:t>
      </w:r>
    </w:p>
    <w:tbl>
      <w:tblPr>
        <w:tblStyle w:val="TableGrid"/>
        <w:tblW w:w="0" w:type="auto"/>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974"/>
        <w:gridCol w:w="962"/>
        <w:gridCol w:w="612"/>
        <w:gridCol w:w="627"/>
        <w:gridCol w:w="576"/>
        <w:gridCol w:w="847"/>
        <w:gridCol w:w="532"/>
        <w:gridCol w:w="807"/>
        <w:gridCol w:w="759"/>
        <w:gridCol w:w="321"/>
        <w:gridCol w:w="440"/>
        <w:gridCol w:w="1287"/>
        <w:gridCol w:w="1280"/>
      </w:tblGrid>
      <w:tr w:rsidR="000B4E2C" w:rsidRPr="000B4E2C" w14:paraId="2A93CD7C" w14:textId="77777777" w:rsidTr="000B4E2C">
        <w:trPr>
          <w:cantSplit/>
        </w:trPr>
        <w:tc>
          <w:tcPr>
            <w:tcW w:w="0" w:type="auto"/>
            <w:shd w:val="clear" w:color="auto" w:fill="auto"/>
            <w:hideMark/>
          </w:tcPr>
          <w:p w14:paraId="79CA04FB" w14:textId="77777777" w:rsidR="00F471F5" w:rsidRPr="000B4E2C" w:rsidRDefault="00F471F5" w:rsidP="00F471F5">
            <w:pPr>
              <w:rPr>
                <w:b/>
                <w:bCs/>
                <w:lang w:val="en-GB" w:eastAsia="en-GB"/>
              </w:rPr>
            </w:pPr>
            <w:r w:rsidRPr="000B4E2C">
              <w:rPr>
                <w:b/>
                <w:bCs/>
                <w:lang w:val="en-GB" w:eastAsia="en-GB"/>
              </w:rPr>
              <w:t>Study</w:t>
            </w:r>
          </w:p>
          <w:p w14:paraId="562E00C0" w14:textId="77777777" w:rsidR="00F471F5" w:rsidRPr="000B4E2C" w:rsidRDefault="00F471F5" w:rsidP="00F471F5">
            <w:pPr>
              <w:rPr>
                <w:b/>
                <w:bCs/>
                <w:color w:val="000000"/>
                <w:lang w:val="en-GB" w:eastAsia="en-GB"/>
              </w:rPr>
            </w:pPr>
            <w:r w:rsidRPr="000B4E2C">
              <w:rPr>
                <w:b/>
                <w:bCs/>
                <w:lang w:val="en-GB" w:eastAsia="en-GB"/>
              </w:rPr>
              <w:t>ID</w:t>
            </w:r>
          </w:p>
        </w:tc>
        <w:tc>
          <w:tcPr>
            <w:tcW w:w="0" w:type="auto"/>
            <w:shd w:val="clear" w:color="auto" w:fill="auto"/>
            <w:hideMark/>
          </w:tcPr>
          <w:p w14:paraId="3DDFB16C" w14:textId="77777777" w:rsidR="00F471F5" w:rsidRPr="000B4E2C" w:rsidRDefault="00F471F5" w:rsidP="00F471F5">
            <w:pPr>
              <w:rPr>
                <w:b/>
                <w:bCs/>
                <w:color w:val="000000"/>
                <w:lang w:val="en-GB" w:eastAsia="en-GB"/>
              </w:rPr>
            </w:pPr>
            <w:r w:rsidRPr="000B4E2C">
              <w:rPr>
                <w:b/>
                <w:bCs/>
                <w:lang w:val="en-GB" w:eastAsia="en-GB"/>
              </w:rPr>
              <w:t>Assay</w:t>
            </w:r>
          </w:p>
        </w:tc>
        <w:tc>
          <w:tcPr>
            <w:tcW w:w="0" w:type="auto"/>
            <w:shd w:val="clear" w:color="auto" w:fill="auto"/>
            <w:hideMark/>
          </w:tcPr>
          <w:p w14:paraId="49A656BF" w14:textId="77777777" w:rsidR="00F471F5" w:rsidRPr="000B4E2C" w:rsidRDefault="00F471F5" w:rsidP="00F471F5">
            <w:pPr>
              <w:rPr>
                <w:b/>
                <w:bCs/>
                <w:lang w:val="en-GB" w:eastAsia="en-GB"/>
              </w:rPr>
            </w:pPr>
            <w:r w:rsidRPr="000B4E2C">
              <w:rPr>
                <w:b/>
                <w:bCs/>
                <w:lang w:val="en-GB" w:eastAsia="en-GB"/>
              </w:rPr>
              <w:t>Age</w:t>
            </w:r>
          </w:p>
          <w:p w14:paraId="0D5AC76A" w14:textId="77777777" w:rsidR="00F471F5" w:rsidRPr="000B4E2C" w:rsidRDefault="00F471F5" w:rsidP="00F471F5">
            <w:pPr>
              <w:rPr>
                <w:b/>
                <w:bCs/>
                <w:lang w:val="en-GB" w:eastAsia="en-GB"/>
              </w:rPr>
            </w:pPr>
            <w:r w:rsidRPr="000B4E2C">
              <w:rPr>
                <w:b/>
                <w:bCs/>
                <w:lang w:val="en-GB" w:eastAsia="en-GB"/>
              </w:rPr>
              <w:t>(Range</w:t>
            </w:r>
          </w:p>
          <w:p w14:paraId="6EA0E1CE" w14:textId="77777777" w:rsidR="00F471F5" w:rsidRPr="000B4E2C" w:rsidRDefault="00F471F5" w:rsidP="00F471F5">
            <w:pPr>
              <w:rPr>
                <w:b/>
                <w:bCs/>
                <w:color w:val="000000"/>
                <w:lang w:val="en-GB" w:eastAsia="en-GB"/>
              </w:rPr>
            </w:pPr>
            <w:r w:rsidRPr="000B4E2C">
              <w:rPr>
                <w:b/>
                <w:bCs/>
                <w:lang w:val="en-GB" w:eastAsia="en-GB"/>
              </w:rPr>
              <w:t>or SD)</w:t>
            </w:r>
          </w:p>
        </w:tc>
        <w:tc>
          <w:tcPr>
            <w:tcW w:w="0" w:type="auto"/>
            <w:shd w:val="clear" w:color="auto" w:fill="auto"/>
            <w:hideMark/>
          </w:tcPr>
          <w:p w14:paraId="2D0393CC" w14:textId="77777777" w:rsidR="00F471F5" w:rsidRPr="000B4E2C" w:rsidRDefault="00F471F5" w:rsidP="00F471F5">
            <w:pPr>
              <w:rPr>
                <w:b/>
                <w:bCs/>
                <w:lang w:val="en-GB" w:eastAsia="en-GB"/>
              </w:rPr>
            </w:pPr>
            <w:r w:rsidRPr="000B4E2C">
              <w:rPr>
                <w:b/>
                <w:bCs/>
                <w:lang w:val="en-GB" w:eastAsia="en-GB"/>
              </w:rPr>
              <w:t>Sample</w:t>
            </w:r>
          </w:p>
          <w:p w14:paraId="7D49CB9A" w14:textId="77777777" w:rsidR="00F471F5" w:rsidRPr="000B4E2C" w:rsidRDefault="00F471F5" w:rsidP="00F471F5">
            <w:pPr>
              <w:rPr>
                <w:b/>
                <w:bCs/>
                <w:color w:val="000000"/>
                <w:lang w:val="en-GB" w:eastAsia="en-GB"/>
              </w:rPr>
            </w:pPr>
            <w:r w:rsidRPr="000B4E2C">
              <w:rPr>
                <w:b/>
                <w:bCs/>
                <w:lang w:val="en-GB" w:eastAsia="en-GB"/>
              </w:rPr>
              <w:t>size</w:t>
            </w:r>
          </w:p>
        </w:tc>
        <w:tc>
          <w:tcPr>
            <w:tcW w:w="0" w:type="auto"/>
            <w:shd w:val="clear" w:color="auto" w:fill="auto"/>
            <w:hideMark/>
          </w:tcPr>
          <w:p w14:paraId="1314D2A0" w14:textId="77777777" w:rsidR="00F471F5" w:rsidRPr="000B4E2C" w:rsidRDefault="00F471F5" w:rsidP="00F471F5">
            <w:pPr>
              <w:rPr>
                <w:b/>
                <w:bCs/>
                <w:lang w:val="en-GB" w:eastAsia="en-GB"/>
              </w:rPr>
            </w:pPr>
            <w:r w:rsidRPr="000B4E2C">
              <w:rPr>
                <w:b/>
                <w:bCs/>
                <w:lang w:val="en-GB" w:eastAsia="en-GB"/>
              </w:rPr>
              <w:t>AKI</w:t>
            </w:r>
          </w:p>
          <w:p w14:paraId="20E10B62" w14:textId="77777777" w:rsidR="00F471F5" w:rsidRPr="000B4E2C" w:rsidRDefault="00F471F5" w:rsidP="00F471F5">
            <w:pPr>
              <w:rPr>
                <w:b/>
                <w:bCs/>
                <w:color w:val="000000"/>
                <w:lang w:val="en-GB" w:eastAsia="en-GB"/>
              </w:rPr>
            </w:pPr>
            <w:r w:rsidRPr="000B4E2C">
              <w:rPr>
                <w:b/>
                <w:bCs/>
                <w:lang w:val="en-GB" w:eastAsia="en-GB"/>
              </w:rPr>
              <w:t>events</w:t>
            </w:r>
          </w:p>
        </w:tc>
        <w:tc>
          <w:tcPr>
            <w:tcW w:w="0" w:type="auto"/>
            <w:shd w:val="clear" w:color="auto" w:fill="auto"/>
            <w:hideMark/>
          </w:tcPr>
          <w:p w14:paraId="13C87D2B" w14:textId="77777777" w:rsidR="000B4E2C" w:rsidRPr="000B4E2C" w:rsidRDefault="00F471F5" w:rsidP="00F471F5">
            <w:pPr>
              <w:rPr>
                <w:b/>
                <w:bCs/>
                <w:lang w:val="en-GB" w:eastAsia="en-GB"/>
              </w:rPr>
            </w:pPr>
            <w:r w:rsidRPr="000B4E2C">
              <w:rPr>
                <w:b/>
                <w:bCs/>
                <w:lang w:val="en-GB" w:eastAsia="en-GB"/>
              </w:rPr>
              <w:t>AKI</w:t>
            </w:r>
          </w:p>
          <w:p w14:paraId="33C6D9ED" w14:textId="7120D641" w:rsidR="00F471F5" w:rsidRPr="000B4E2C" w:rsidRDefault="00F471F5" w:rsidP="00F471F5">
            <w:pPr>
              <w:rPr>
                <w:b/>
                <w:bCs/>
                <w:color w:val="000000"/>
                <w:lang w:val="en-GB" w:eastAsia="en-GB"/>
              </w:rPr>
            </w:pPr>
            <w:r w:rsidRPr="000B4E2C">
              <w:rPr>
                <w:b/>
                <w:bCs/>
                <w:lang w:val="en-GB" w:eastAsia="en-GB"/>
              </w:rPr>
              <w:t>Definition</w:t>
            </w:r>
          </w:p>
        </w:tc>
        <w:tc>
          <w:tcPr>
            <w:tcW w:w="0" w:type="auto"/>
            <w:shd w:val="clear" w:color="auto" w:fill="auto"/>
            <w:hideMark/>
          </w:tcPr>
          <w:p w14:paraId="188C62E0" w14:textId="77777777" w:rsidR="000B4E2C" w:rsidRPr="000B4E2C" w:rsidRDefault="00F471F5" w:rsidP="00F471F5">
            <w:pPr>
              <w:rPr>
                <w:b/>
                <w:bCs/>
                <w:lang w:val="en-GB" w:eastAsia="en-GB"/>
              </w:rPr>
            </w:pPr>
            <w:r w:rsidRPr="000B4E2C">
              <w:rPr>
                <w:b/>
                <w:bCs/>
                <w:lang w:val="en-GB" w:eastAsia="en-GB"/>
              </w:rPr>
              <w:t>Sex</w:t>
            </w:r>
            <w:r w:rsidR="000B4E2C" w:rsidRPr="000B4E2C">
              <w:rPr>
                <w:b/>
                <w:bCs/>
                <w:lang w:val="en-GB" w:eastAsia="en-GB"/>
              </w:rPr>
              <w:t xml:space="preserve"> </w:t>
            </w:r>
            <w:r w:rsidRPr="000B4E2C">
              <w:rPr>
                <w:b/>
                <w:bCs/>
                <w:lang w:val="en-GB" w:eastAsia="en-GB"/>
              </w:rPr>
              <w:t>(% of</w:t>
            </w:r>
          </w:p>
          <w:p w14:paraId="01BE62B7" w14:textId="0D769059" w:rsidR="00F471F5" w:rsidRPr="000B4E2C" w:rsidRDefault="00F471F5" w:rsidP="00F471F5">
            <w:pPr>
              <w:rPr>
                <w:b/>
                <w:bCs/>
                <w:color w:val="000000"/>
                <w:lang w:val="en-GB" w:eastAsia="en-GB"/>
              </w:rPr>
            </w:pPr>
            <w:r w:rsidRPr="000B4E2C">
              <w:rPr>
                <w:b/>
                <w:bCs/>
                <w:lang w:val="en-GB" w:eastAsia="en-GB"/>
              </w:rPr>
              <w:t>male)</w:t>
            </w:r>
          </w:p>
        </w:tc>
        <w:tc>
          <w:tcPr>
            <w:tcW w:w="0" w:type="auto"/>
            <w:shd w:val="clear" w:color="auto" w:fill="auto"/>
            <w:noWrap/>
            <w:textDirection w:val="btLr"/>
            <w:hideMark/>
          </w:tcPr>
          <w:p w14:paraId="7FDDAFC3" w14:textId="77777777" w:rsidR="00F471F5" w:rsidRPr="000B4E2C" w:rsidRDefault="00F471F5" w:rsidP="00F471F5">
            <w:pPr>
              <w:ind w:right="113"/>
              <w:rPr>
                <w:b/>
                <w:bCs/>
                <w:color w:val="000000"/>
                <w:lang w:val="en-GB" w:eastAsia="en-GB"/>
              </w:rPr>
            </w:pPr>
            <w:r w:rsidRPr="000B4E2C">
              <w:rPr>
                <w:b/>
                <w:bCs/>
                <w:lang w:val="en-GB" w:eastAsia="en-GB"/>
              </w:rPr>
              <w:t xml:space="preserve">sCr </w:t>
            </w:r>
          </w:p>
        </w:tc>
        <w:tc>
          <w:tcPr>
            <w:tcW w:w="0" w:type="auto"/>
            <w:shd w:val="clear" w:color="auto" w:fill="auto"/>
            <w:noWrap/>
            <w:textDirection w:val="btLr"/>
            <w:hideMark/>
          </w:tcPr>
          <w:p w14:paraId="76ACCF43" w14:textId="77777777" w:rsidR="00F471F5" w:rsidRPr="000B4E2C" w:rsidRDefault="00F471F5" w:rsidP="00F471F5">
            <w:pPr>
              <w:ind w:right="113"/>
              <w:rPr>
                <w:b/>
                <w:bCs/>
                <w:color w:val="000000"/>
                <w:lang w:val="en-GB" w:eastAsia="en-GB"/>
              </w:rPr>
            </w:pPr>
            <w:r w:rsidRPr="000B4E2C">
              <w:rPr>
                <w:b/>
                <w:bCs/>
                <w:lang w:val="en-GB" w:eastAsia="en-GB"/>
              </w:rPr>
              <w:t>eGFR</w:t>
            </w:r>
          </w:p>
        </w:tc>
        <w:tc>
          <w:tcPr>
            <w:tcW w:w="0" w:type="auto"/>
            <w:shd w:val="clear" w:color="auto" w:fill="auto"/>
            <w:textDirection w:val="btLr"/>
            <w:hideMark/>
          </w:tcPr>
          <w:p w14:paraId="5E98452F" w14:textId="77777777" w:rsidR="00F471F5" w:rsidRPr="000B4E2C" w:rsidRDefault="00F471F5" w:rsidP="00F471F5">
            <w:pPr>
              <w:ind w:right="113"/>
              <w:jc w:val="both"/>
              <w:rPr>
                <w:b/>
                <w:bCs/>
                <w:color w:val="000000"/>
                <w:lang w:val="en-GB" w:eastAsia="en-GB"/>
              </w:rPr>
            </w:pPr>
            <w:r w:rsidRPr="000B4E2C">
              <w:rPr>
                <w:b/>
                <w:bCs/>
                <w:lang w:val="en-GB" w:eastAsia="en-GB"/>
              </w:rPr>
              <w:t>SOFA Mean Score</w:t>
            </w:r>
          </w:p>
        </w:tc>
        <w:tc>
          <w:tcPr>
            <w:tcW w:w="0" w:type="auto"/>
            <w:shd w:val="clear" w:color="auto" w:fill="auto"/>
            <w:noWrap/>
            <w:textDirection w:val="btLr"/>
            <w:hideMark/>
          </w:tcPr>
          <w:p w14:paraId="12A3020E" w14:textId="77777777" w:rsidR="00F471F5" w:rsidRPr="000B4E2C" w:rsidRDefault="00F471F5" w:rsidP="00F471F5">
            <w:pPr>
              <w:ind w:right="113"/>
              <w:rPr>
                <w:b/>
                <w:bCs/>
                <w:color w:val="000000"/>
                <w:lang w:val="en-GB" w:eastAsia="en-GB"/>
              </w:rPr>
            </w:pPr>
            <w:r w:rsidRPr="000B4E2C">
              <w:rPr>
                <w:b/>
                <w:bCs/>
                <w:lang w:val="en-GB" w:eastAsia="en-GB"/>
              </w:rPr>
              <w:t>CKD (%)</w:t>
            </w:r>
          </w:p>
        </w:tc>
        <w:tc>
          <w:tcPr>
            <w:tcW w:w="0" w:type="auto"/>
            <w:shd w:val="clear" w:color="auto" w:fill="auto"/>
            <w:noWrap/>
            <w:hideMark/>
          </w:tcPr>
          <w:p w14:paraId="12928EBB" w14:textId="77777777" w:rsidR="00F471F5" w:rsidRPr="000B4E2C" w:rsidRDefault="00F471F5" w:rsidP="00F471F5">
            <w:pPr>
              <w:rPr>
                <w:b/>
                <w:bCs/>
                <w:lang w:val="en-GB" w:eastAsia="en-GB"/>
              </w:rPr>
            </w:pPr>
            <w:r w:rsidRPr="000B4E2C">
              <w:rPr>
                <w:b/>
                <w:bCs/>
                <w:lang w:val="en-GB" w:eastAsia="en-GB"/>
              </w:rPr>
              <w:t>Inclusion</w:t>
            </w:r>
          </w:p>
          <w:p w14:paraId="1B7A65E4" w14:textId="77777777" w:rsidR="00F471F5" w:rsidRPr="000B4E2C" w:rsidRDefault="00F471F5" w:rsidP="00F471F5">
            <w:pPr>
              <w:rPr>
                <w:b/>
                <w:bCs/>
                <w:color w:val="000000"/>
                <w:lang w:val="en-GB" w:eastAsia="en-GB"/>
              </w:rPr>
            </w:pPr>
            <w:r w:rsidRPr="000B4E2C">
              <w:rPr>
                <w:b/>
                <w:bCs/>
                <w:lang w:val="en-GB" w:eastAsia="en-GB"/>
              </w:rPr>
              <w:t>Criteria</w:t>
            </w:r>
          </w:p>
        </w:tc>
        <w:tc>
          <w:tcPr>
            <w:tcW w:w="0" w:type="auto"/>
            <w:shd w:val="clear" w:color="auto" w:fill="auto"/>
            <w:noWrap/>
            <w:hideMark/>
          </w:tcPr>
          <w:p w14:paraId="41A39A05" w14:textId="77777777" w:rsidR="00F471F5" w:rsidRPr="000B4E2C" w:rsidRDefault="00F471F5" w:rsidP="00F471F5">
            <w:pPr>
              <w:rPr>
                <w:b/>
                <w:bCs/>
                <w:lang w:val="en-GB" w:eastAsia="en-GB"/>
              </w:rPr>
            </w:pPr>
            <w:r w:rsidRPr="000B4E2C">
              <w:rPr>
                <w:b/>
                <w:bCs/>
                <w:lang w:val="en-GB" w:eastAsia="en-GB"/>
              </w:rPr>
              <w:t>Exclusion</w:t>
            </w:r>
          </w:p>
          <w:p w14:paraId="3C588284" w14:textId="77777777" w:rsidR="00F471F5" w:rsidRPr="000B4E2C" w:rsidRDefault="00F471F5" w:rsidP="00F471F5">
            <w:pPr>
              <w:rPr>
                <w:b/>
                <w:bCs/>
                <w:lang w:val="en-GB" w:eastAsia="en-GB"/>
              </w:rPr>
            </w:pPr>
            <w:r w:rsidRPr="000B4E2C">
              <w:rPr>
                <w:b/>
                <w:bCs/>
                <w:lang w:val="en-GB" w:eastAsia="en-GB"/>
              </w:rPr>
              <w:t>Criteria</w:t>
            </w:r>
          </w:p>
        </w:tc>
      </w:tr>
      <w:tr w:rsidR="000B4E2C" w:rsidRPr="000B4E2C" w14:paraId="3F7145AC" w14:textId="77777777" w:rsidTr="000B4E2C">
        <w:trPr>
          <w:cantSplit/>
        </w:trPr>
        <w:tc>
          <w:tcPr>
            <w:tcW w:w="0" w:type="auto"/>
            <w:shd w:val="clear" w:color="auto" w:fill="auto"/>
            <w:hideMark/>
          </w:tcPr>
          <w:p w14:paraId="033EC520" w14:textId="192E19E3" w:rsidR="00F471F5" w:rsidRPr="000B4E2C" w:rsidRDefault="00F471F5" w:rsidP="00F471F5">
            <w:pPr>
              <w:rPr>
                <w:sz w:val="18"/>
                <w:szCs w:val="18"/>
                <w:lang w:val="en-GB" w:eastAsia="en-GB"/>
              </w:rPr>
            </w:pPr>
            <w:r w:rsidRPr="000B4E2C">
              <w:rPr>
                <w:sz w:val="18"/>
                <w:szCs w:val="18"/>
                <w:lang w:val="en-GB" w:eastAsia="en-GB"/>
              </w:rPr>
              <w:t>Cummings 2019,</w:t>
            </w:r>
            <w:r w:rsidRPr="000B4E2C">
              <w:rPr>
                <w:sz w:val="18"/>
                <w:szCs w:val="18"/>
                <w:vertAlign w:val="superscript"/>
                <w:lang w:val="en-GB" w:eastAsia="en-GB"/>
              </w:rPr>
              <w:t>28</w:t>
            </w:r>
          </w:p>
          <w:p w14:paraId="1A1CFD26" w14:textId="20E54F76" w:rsidR="00F471F5" w:rsidRPr="000B4E2C" w:rsidRDefault="00F471F5" w:rsidP="00F471F5">
            <w:pPr>
              <w:rPr>
                <w:color w:val="000000"/>
                <w:sz w:val="18"/>
                <w:szCs w:val="18"/>
                <w:lang w:val="en-GB" w:eastAsia="en-GB"/>
              </w:rPr>
            </w:pPr>
            <w:r w:rsidRPr="000B4E2C">
              <w:rPr>
                <w:sz w:val="18"/>
                <w:szCs w:val="18"/>
                <w:lang w:val="en-GB" w:eastAsia="en-GB"/>
              </w:rPr>
              <w:t>USA</w:t>
            </w:r>
          </w:p>
        </w:tc>
        <w:tc>
          <w:tcPr>
            <w:tcW w:w="0" w:type="auto"/>
            <w:shd w:val="clear" w:color="auto" w:fill="auto"/>
            <w:hideMark/>
          </w:tcPr>
          <w:p w14:paraId="652847D6" w14:textId="77777777" w:rsidR="00F471F5" w:rsidRPr="000B4E2C" w:rsidRDefault="00F471F5" w:rsidP="00F471F5">
            <w:pPr>
              <w:rPr>
                <w:color w:val="000000"/>
                <w:sz w:val="18"/>
                <w:szCs w:val="18"/>
                <w:lang w:val="en-GB" w:eastAsia="en-GB"/>
              </w:rPr>
            </w:pPr>
            <w:r w:rsidRPr="000B4E2C">
              <w:rPr>
                <w:sz w:val="18"/>
                <w:szCs w:val="18"/>
                <w:lang w:val="en-GB" w:eastAsia="en-GB"/>
              </w:rPr>
              <w:t>NephC, Astute Medical</w:t>
            </w:r>
          </w:p>
        </w:tc>
        <w:tc>
          <w:tcPr>
            <w:tcW w:w="0" w:type="auto"/>
            <w:shd w:val="clear" w:color="auto" w:fill="auto"/>
            <w:hideMark/>
          </w:tcPr>
          <w:p w14:paraId="660DF02B" w14:textId="77777777" w:rsidR="000B4E2C" w:rsidRPr="000B4E2C" w:rsidRDefault="00F471F5" w:rsidP="00F471F5">
            <w:pPr>
              <w:rPr>
                <w:sz w:val="18"/>
                <w:szCs w:val="18"/>
                <w:lang w:val="en-GB" w:eastAsia="en-GB"/>
              </w:rPr>
            </w:pPr>
            <w:r w:rsidRPr="000B4E2C">
              <w:rPr>
                <w:sz w:val="18"/>
                <w:szCs w:val="18"/>
                <w:lang w:val="en-GB" w:eastAsia="en-GB"/>
              </w:rPr>
              <w:t>67</w:t>
            </w:r>
          </w:p>
          <w:p w14:paraId="4BC8111B" w14:textId="5CB9FC39" w:rsidR="00F471F5" w:rsidRPr="000B4E2C" w:rsidRDefault="00F471F5" w:rsidP="00F471F5">
            <w:pPr>
              <w:rPr>
                <w:color w:val="000000"/>
                <w:sz w:val="18"/>
                <w:szCs w:val="18"/>
                <w:lang w:val="en-GB" w:eastAsia="en-GB"/>
              </w:rPr>
            </w:pPr>
            <w:r w:rsidRPr="000B4E2C">
              <w:rPr>
                <w:sz w:val="18"/>
                <w:szCs w:val="18"/>
                <w:lang w:val="en-GB" w:eastAsia="en-GB"/>
              </w:rPr>
              <w:t>(58, 75)*</w:t>
            </w:r>
          </w:p>
        </w:tc>
        <w:tc>
          <w:tcPr>
            <w:tcW w:w="0" w:type="auto"/>
            <w:shd w:val="clear" w:color="auto" w:fill="auto"/>
            <w:hideMark/>
          </w:tcPr>
          <w:p w14:paraId="55450E00" w14:textId="77777777" w:rsidR="00F471F5" w:rsidRPr="000B4E2C" w:rsidRDefault="00F471F5" w:rsidP="00F471F5">
            <w:pPr>
              <w:rPr>
                <w:color w:val="000000"/>
                <w:sz w:val="18"/>
                <w:szCs w:val="18"/>
                <w:lang w:val="en-GB" w:eastAsia="en-GB"/>
              </w:rPr>
            </w:pPr>
            <w:r w:rsidRPr="000B4E2C">
              <w:rPr>
                <w:sz w:val="18"/>
                <w:szCs w:val="18"/>
                <w:lang w:val="en-GB" w:eastAsia="en-GB"/>
              </w:rPr>
              <w:t>400</w:t>
            </w:r>
          </w:p>
        </w:tc>
        <w:tc>
          <w:tcPr>
            <w:tcW w:w="0" w:type="auto"/>
            <w:shd w:val="clear" w:color="auto" w:fill="auto"/>
            <w:hideMark/>
          </w:tcPr>
          <w:p w14:paraId="553703FE" w14:textId="77777777" w:rsidR="00F471F5" w:rsidRPr="000B4E2C" w:rsidRDefault="00F471F5" w:rsidP="00F471F5">
            <w:pPr>
              <w:rPr>
                <w:sz w:val="18"/>
                <w:szCs w:val="18"/>
                <w:lang w:val="en-GB" w:eastAsia="en-GB"/>
              </w:rPr>
            </w:pPr>
            <w:r w:rsidRPr="000B4E2C">
              <w:rPr>
                <w:sz w:val="18"/>
                <w:szCs w:val="18"/>
                <w:lang w:val="en-GB" w:eastAsia="en-GB"/>
              </w:rPr>
              <w:t>14</w:t>
            </w:r>
          </w:p>
          <w:p w14:paraId="3AA119FD" w14:textId="77777777" w:rsidR="00F471F5" w:rsidRPr="000B4E2C" w:rsidRDefault="00F471F5" w:rsidP="00F471F5">
            <w:pPr>
              <w:rPr>
                <w:color w:val="000000"/>
                <w:sz w:val="18"/>
                <w:szCs w:val="18"/>
                <w:lang w:val="en-GB" w:eastAsia="en-GB"/>
              </w:rPr>
            </w:pPr>
          </w:p>
        </w:tc>
        <w:tc>
          <w:tcPr>
            <w:tcW w:w="0" w:type="auto"/>
            <w:shd w:val="clear" w:color="auto" w:fill="auto"/>
            <w:hideMark/>
          </w:tcPr>
          <w:p w14:paraId="516EDC45"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25052958" w14:textId="77777777" w:rsidR="00F471F5" w:rsidRPr="000B4E2C" w:rsidRDefault="00F471F5" w:rsidP="00F471F5">
            <w:pPr>
              <w:rPr>
                <w:color w:val="000000"/>
                <w:sz w:val="18"/>
                <w:szCs w:val="18"/>
                <w:lang w:val="en-GB" w:eastAsia="en-GB"/>
              </w:rPr>
            </w:pPr>
            <w:r w:rsidRPr="000B4E2C">
              <w:rPr>
                <w:sz w:val="18"/>
                <w:szCs w:val="18"/>
                <w:lang w:val="en-GB" w:eastAsia="en-GB"/>
              </w:rPr>
              <w:t>67%</w:t>
            </w:r>
          </w:p>
        </w:tc>
        <w:tc>
          <w:tcPr>
            <w:tcW w:w="0" w:type="auto"/>
            <w:shd w:val="clear" w:color="auto" w:fill="auto"/>
            <w:hideMark/>
          </w:tcPr>
          <w:p w14:paraId="520FEC7C"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47F030E1"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4900DCA"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056DE75C" w14:textId="77777777" w:rsidR="00F471F5" w:rsidRPr="000B4E2C" w:rsidRDefault="00F471F5" w:rsidP="00F471F5">
            <w:pPr>
              <w:rPr>
                <w:color w:val="000000"/>
                <w:sz w:val="18"/>
                <w:szCs w:val="18"/>
                <w:lang w:val="en-GB" w:eastAsia="en-GB"/>
              </w:rPr>
            </w:pPr>
            <w:r w:rsidRPr="000B4E2C">
              <w:rPr>
                <w:sz w:val="18"/>
                <w:szCs w:val="18"/>
                <w:lang w:val="en-GB" w:eastAsia="en-GB"/>
              </w:rPr>
              <w:t>6</w:t>
            </w:r>
          </w:p>
        </w:tc>
        <w:tc>
          <w:tcPr>
            <w:tcW w:w="0" w:type="auto"/>
            <w:shd w:val="clear" w:color="auto" w:fill="auto"/>
            <w:hideMark/>
          </w:tcPr>
          <w:p w14:paraId="64517A41" w14:textId="77777777" w:rsidR="00F471F5" w:rsidRPr="000B4E2C" w:rsidRDefault="00F471F5" w:rsidP="00F471F5">
            <w:pPr>
              <w:rPr>
                <w:color w:val="000000"/>
                <w:sz w:val="18"/>
                <w:szCs w:val="18"/>
                <w:lang w:val="en-GB" w:eastAsia="en-GB"/>
              </w:rPr>
            </w:pPr>
            <w:r w:rsidRPr="000B4E2C">
              <w:rPr>
                <w:sz w:val="18"/>
                <w:szCs w:val="18"/>
                <w:lang w:val="en-GB" w:eastAsia="en-GB"/>
              </w:rPr>
              <w:t>Patients who were originally enrolled in the AKI Cardiac Surgery RCT</w:t>
            </w:r>
          </w:p>
        </w:tc>
        <w:tc>
          <w:tcPr>
            <w:tcW w:w="0" w:type="auto"/>
            <w:shd w:val="clear" w:color="auto" w:fill="auto"/>
            <w:hideMark/>
          </w:tcPr>
          <w:p w14:paraId="24CBF48B" w14:textId="77777777" w:rsidR="00F471F5" w:rsidRPr="000B4E2C" w:rsidRDefault="00F471F5" w:rsidP="00F471F5">
            <w:pPr>
              <w:rPr>
                <w:sz w:val="18"/>
                <w:szCs w:val="18"/>
                <w:lang w:val="en-GB" w:eastAsia="en-GB"/>
              </w:rPr>
            </w:pPr>
            <w:r w:rsidRPr="000B4E2C">
              <w:rPr>
                <w:sz w:val="18"/>
                <w:szCs w:val="18"/>
                <w:lang w:val="en-GB" w:eastAsia="en-GB"/>
              </w:rPr>
              <w:t>Acute coronary syndrome, liver dysfunction, use of cyclosporine, current RRT, history of kidney transplant, pregnancy</w:t>
            </w:r>
          </w:p>
        </w:tc>
      </w:tr>
      <w:tr w:rsidR="000B4E2C" w:rsidRPr="000B4E2C" w14:paraId="16E05392" w14:textId="77777777" w:rsidTr="000B4E2C">
        <w:trPr>
          <w:cantSplit/>
        </w:trPr>
        <w:tc>
          <w:tcPr>
            <w:tcW w:w="0" w:type="auto"/>
            <w:shd w:val="clear" w:color="auto" w:fill="auto"/>
            <w:hideMark/>
          </w:tcPr>
          <w:p w14:paraId="778AB4C4" w14:textId="6504807E" w:rsidR="00F471F5" w:rsidRPr="000B4E2C" w:rsidRDefault="00F471F5" w:rsidP="00F471F5">
            <w:pPr>
              <w:rPr>
                <w:color w:val="000000"/>
                <w:sz w:val="18"/>
                <w:szCs w:val="18"/>
                <w:lang w:val="en-GB" w:eastAsia="en-GB"/>
              </w:rPr>
            </w:pPr>
            <w:r w:rsidRPr="000B4E2C">
              <w:rPr>
                <w:sz w:val="18"/>
                <w:szCs w:val="18"/>
                <w:lang w:val="en-GB" w:eastAsia="en-GB"/>
              </w:rPr>
              <w:t>Oezkur 2017,</w:t>
            </w:r>
            <w:r w:rsidRPr="000B4E2C">
              <w:rPr>
                <w:sz w:val="18"/>
                <w:szCs w:val="18"/>
                <w:vertAlign w:val="superscript"/>
                <w:lang w:val="en-GB" w:eastAsia="en-GB"/>
              </w:rPr>
              <w:t>29</w:t>
            </w:r>
            <w:r w:rsidRPr="000B4E2C">
              <w:rPr>
                <w:sz w:val="18"/>
                <w:szCs w:val="18"/>
                <w:lang w:val="en-GB" w:eastAsia="en-GB"/>
              </w:rPr>
              <w:t xml:space="preserve"> Germany</w:t>
            </w:r>
          </w:p>
        </w:tc>
        <w:tc>
          <w:tcPr>
            <w:tcW w:w="0" w:type="auto"/>
            <w:shd w:val="clear" w:color="auto" w:fill="auto"/>
            <w:hideMark/>
          </w:tcPr>
          <w:p w14:paraId="1F45C8E1" w14:textId="77777777" w:rsidR="00F471F5" w:rsidRPr="000B4E2C" w:rsidRDefault="00F471F5" w:rsidP="00F471F5">
            <w:pPr>
              <w:rPr>
                <w:color w:val="000000"/>
                <w:sz w:val="18"/>
                <w:szCs w:val="18"/>
                <w:lang w:val="en-GB" w:eastAsia="en-GB"/>
              </w:rPr>
            </w:pPr>
            <w:r w:rsidRPr="000B4E2C">
              <w:rPr>
                <w:sz w:val="18"/>
                <w:szCs w:val="18"/>
                <w:lang w:val="en-GB" w:eastAsia="en-GB"/>
              </w:rPr>
              <w:t>NephC, Astute Medical</w:t>
            </w:r>
          </w:p>
        </w:tc>
        <w:tc>
          <w:tcPr>
            <w:tcW w:w="0" w:type="auto"/>
            <w:shd w:val="clear" w:color="auto" w:fill="auto"/>
            <w:hideMark/>
          </w:tcPr>
          <w:p w14:paraId="4E71B558" w14:textId="77777777" w:rsidR="000B4E2C" w:rsidRPr="000B4E2C" w:rsidRDefault="00F471F5" w:rsidP="00F471F5">
            <w:pPr>
              <w:rPr>
                <w:sz w:val="18"/>
                <w:szCs w:val="18"/>
                <w:lang w:val="en-GB" w:eastAsia="en-GB"/>
              </w:rPr>
            </w:pPr>
            <w:r w:rsidRPr="000B4E2C">
              <w:rPr>
                <w:sz w:val="18"/>
                <w:szCs w:val="18"/>
                <w:lang w:val="en-GB" w:eastAsia="en-GB"/>
              </w:rPr>
              <w:t>AKI</w:t>
            </w:r>
          </w:p>
          <w:p w14:paraId="298AF38D" w14:textId="3FC39D2E" w:rsidR="00F471F5" w:rsidRPr="000B4E2C" w:rsidRDefault="00F471F5" w:rsidP="00F471F5">
            <w:pPr>
              <w:rPr>
                <w:sz w:val="18"/>
                <w:szCs w:val="18"/>
                <w:lang w:val="en-GB" w:eastAsia="en-GB"/>
              </w:rPr>
            </w:pPr>
            <w:r w:rsidRPr="000B4E2C">
              <w:rPr>
                <w:sz w:val="18"/>
                <w:szCs w:val="18"/>
                <w:lang w:val="en-GB" w:eastAsia="en-GB"/>
              </w:rPr>
              <w:t>65</w:t>
            </w:r>
          </w:p>
          <w:p w14:paraId="52AE2B6F" w14:textId="77777777" w:rsidR="00F471F5" w:rsidRPr="000B4E2C" w:rsidRDefault="00F471F5" w:rsidP="00F471F5">
            <w:pPr>
              <w:rPr>
                <w:sz w:val="18"/>
                <w:szCs w:val="18"/>
                <w:lang w:val="en-GB" w:eastAsia="en-GB"/>
              </w:rPr>
            </w:pPr>
            <w:r w:rsidRPr="000B4E2C">
              <w:rPr>
                <w:sz w:val="18"/>
                <w:szCs w:val="18"/>
                <w:lang w:val="en-GB" w:eastAsia="en-GB"/>
              </w:rPr>
              <w:t>(59, 73);</w:t>
            </w:r>
          </w:p>
          <w:p w14:paraId="7EC5188A" w14:textId="77777777" w:rsidR="00F471F5" w:rsidRPr="000B4E2C" w:rsidRDefault="00F471F5" w:rsidP="00F471F5">
            <w:pPr>
              <w:rPr>
                <w:sz w:val="18"/>
                <w:szCs w:val="18"/>
                <w:lang w:val="en-GB" w:eastAsia="en-GB"/>
              </w:rPr>
            </w:pPr>
            <w:r w:rsidRPr="000B4E2C">
              <w:rPr>
                <w:sz w:val="18"/>
                <w:szCs w:val="18"/>
                <w:lang w:val="en-GB" w:eastAsia="en-GB"/>
              </w:rPr>
              <w:t>No AKI</w:t>
            </w:r>
          </w:p>
          <w:p w14:paraId="6A4B5074" w14:textId="77777777" w:rsidR="00F471F5" w:rsidRPr="000B4E2C" w:rsidRDefault="00F471F5" w:rsidP="00F471F5">
            <w:pPr>
              <w:rPr>
                <w:sz w:val="18"/>
                <w:szCs w:val="18"/>
                <w:lang w:val="en-GB" w:eastAsia="en-GB"/>
              </w:rPr>
            </w:pPr>
            <w:r w:rsidRPr="000B4E2C">
              <w:rPr>
                <w:sz w:val="18"/>
                <w:szCs w:val="18"/>
                <w:lang w:val="en-GB" w:eastAsia="en-GB"/>
              </w:rPr>
              <w:t>71</w:t>
            </w:r>
          </w:p>
          <w:p w14:paraId="665A68C0" w14:textId="5582748D" w:rsidR="00F471F5" w:rsidRPr="000B4E2C" w:rsidRDefault="00F471F5" w:rsidP="00F471F5">
            <w:pPr>
              <w:rPr>
                <w:color w:val="000000"/>
                <w:sz w:val="18"/>
                <w:szCs w:val="18"/>
                <w:lang w:val="en-GB" w:eastAsia="en-GB"/>
              </w:rPr>
            </w:pPr>
            <w:r w:rsidRPr="000B4E2C">
              <w:rPr>
                <w:sz w:val="18"/>
                <w:szCs w:val="18"/>
                <w:lang w:val="en-GB" w:eastAsia="en-GB"/>
              </w:rPr>
              <w:t>(64,76)*</w:t>
            </w:r>
            <w:r w:rsidR="000B4E2C" w:rsidRPr="000B4E2C">
              <w:rPr>
                <w:sz w:val="18"/>
                <w:szCs w:val="18"/>
                <w:lang w:val="en-GB" w:eastAsia="en-GB"/>
              </w:rPr>
              <w:t xml:space="preserve"> </w:t>
            </w:r>
          </w:p>
        </w:tc>
        <w:tc>
          <w:tcPr>
            <w:tcW w:w="0" w:type="auto"/>
            <w:shd w:val="clear" w:color="auto" w:fill="auto"/>
            <w:hideMark/>
          </w:tcPr>
          <w:p w14:paraId="35717C32" w14:textId="77777777" w:rsidR="00F471F5" w:rsidRPr="000B4E2C" w:rsidRDefault="00F471F5" w:rsidP="00F471F5">
            <w:pPr>
              <w:rPr>
                <w:color w:val="000000"/>
                <w:sz w:val="18"/>
                <w:szCs w:val="18"/>
                <w:lang w:val="en-GB" w:eastAsia="en-GB"/>
              </w:rPr>
            </w:pPr>
            <w:r w:rsidRPr="000B4E2C">
              <w:rPr>
                <w:sz w:val="18"/>
                <w:szCs w:val="18"/>
                <w:lang w:val="en-GB" w:eastAsia="en-GB"/>
              </w:rPr>
              <w:t>150</w:t>
            </w:r>
          </w:p>
        </w:tc>
        <w:tc>
          <w:tcPr>
            <w:tcW w:w="0" w:type="auto"/>
            <w:shd w:val="clear" w:color="auto" w:fill="auto"/>
            <w:hideMark/>
          </w:tcPr>
          <w:p w14:paraId="5DB659F6" w14:textId="77777777" w:rsidR="00F471F5" w:rsidRPr="000B4E2C" w:rsidRDefault="00F471F5" w:rsidP="00F471F5">
            <w:pPr>
              <w:rPr>
                <w:color w:val="000000"/>
                <w:sz w:val="18"/>
                <w:szCs w:val="18"/>
                <w:lang w:val="en-GB" w:eastAsia="en-GB"/>
              </w:rPr>
            </w:pPr>
            <w:r w:rsidRPr="000B4E2C">
              <w:rPr>
                <w:sz w:val="18"/>
                <w:szCs w:val="18"/>
                <w:lang w:val="en-GB" w:eastAsia="en-GB"/>
              </w:rPr>
              <w:t>35</w:t>
            </w:r>
          </w:p>
        </w:tc>
        <w:tc>
          <w:tcPr>
            <w:tcW w:w="0" w:type="auto"/>
            <w:shd w:val="clear" w:color="auto" w:fill="auto"/>
            <w:hideMark/>
          </w:tcPr>
          <w:p w14:paraId="37A61D5E"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7AC1614F" w14:textId="77777777" w:rsidR="00F471F5" w:rsidRPr="000B4E2C" w:rsidRDefault="00F471F5" w:rsidP="00F471F5">
            <w:pPr>
              <w:rPr>
                <w:color w:val="000000"/>
                <w:sz w:val="18"/>
                <w:szCs w:val="18"/>
                <w:lang w:val="en-GB" w:eastAsia="en-GB"/>
              </w:rPr>
            </w:pPr>
            <w:r w:rsidRPr="000B4E2C">
              <w:rPr>
                <w:sz w:val="18"/>
                <w:szCs w:val="18"/>
                <w:lang w:val="en-GB" w:eastAsia="en-GB"/>
              </w:rPr>
              <w:t>72%</w:t>
            </w:r>
          </w:p>
        </w:tc>
        <w:tc>
          <w:tcPr>
            <w:tcW w:w="0" w:type="auto"/>
            <w:shd w:val="clear" w:color="auto" w:fill="auto"/>
            <w:hideMark/>
          </w:tcPr>
          <w:p w14:paraId="67BEFC72" w14:textId="77777777" w:rsidR="00F471F5" w:rsidRPr="000B4E2C" w:rsidRDefault="00F471F5" w:rsidP="00F471F5">
            <w:pPr>
              <w:rPr>
                <w:sz w:val="18"/>
                <w:szCs w:val="18"/>
                <w:lang w:val="en-GB" w:eastAsia="en-GB"/>
              </w:rPr>
            </w:pPr>
            <w:r w:rsidRPr="000B4E2C">
              <w:rPr>
                <w:sz w:val="18"/>
                <w:szCs w:val="18"/>
                <w:lang w:val="en-GB" w:eastAsia="en-GB"/>
              </w:rPr>
              <w:t>0.89**</w:t>
            </w:r>
          </w:p>
          <w:p w14:paraId="24E79F38" w14:textId="77777777" w:rsidR="00F471F5" w:rsidRPr="000B4E2C" w:rsidRDefault="00F471F5" w:rsidP="00F471F5">
            <w:pPr>
              <w:rPr>
                <w:sz w:val="18"/>
                <w:szCs w:val="18"/>
                <w:lang w:val="en-GB" w:eastAsia="en-GB"/>
              </w:rPr>
            </w:pPr>
            <w:r w:rsidRPr="000B4E2C">
              <w:rPr>
                <w:sz w:val="18"/>
                <w:szCs w:val="18"/>
                <w:lang w:val="en-GB" w:eastAsia="en-GB"/>
              </w:rPr>
              <w:t>(IQR 0.75</w:t>
            </w:r>
          </w:p>
          <w:p w14:paraId="64D40035" w14:textId="77777777" w:rsidR="00F471F5" w:rsidRPr="000B4E2C" w:rsidRDefault="00F471F5" w:rsidP="00F471F5">
            <w:pPr>
              <w:rPr>
                <w:color w:val="000000"/>
                <w:sz w:val="18"/>
                <w:szCs w:val="18"/>
                <w:lang w:val="en-GB" w:eastAsia="en-GB"/>
              </w:rPr>
            </w:pPr>
            <w:r w:rsidRPr="000B4E2C">
              <w:rPr>
                <w:sz w:val="18"/>
                <w:szCs w:val="18"/>
                <w:lang w:val="en-GB" w:eastAsia="en-GB"/>
              </w:rPr>
              <w:t>to 1.02)</w:t>
            </w:r>
          </w:p>
        </w:tc>
        <w:tc>
          <w:tcPr>
            <w:tcW w:w="0" w:type="auto"/>
            <w:shd w:val="clear" w:color="auto" w:fill="auto"/>
            <w:noWrap/>
            <w:hideMark/>
          </w:tcPr>
          <w:p w14:paraId="3418DB6E"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38A6CD33"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721AE6E1" w14:textId="77777777" w:rsidR="00F471F5" w:rsidRPr="000B4E2C" w:rsidRDefault="00F471F5" w:rsidP="00F471F5">
            <w:pPr>
              <w:rPr>
                <w:sz w:val="18"/>
                <w:szCs w:val="18"/>
                <w:lang w:val="en-GB" w:eastAsia="en-GB"/>
              </w:rPr>
            </w:pPr>
            <w:r w:rsidRPr="000B4E2C">
              <w:rPr>
                <w:sz w:val="18"/>
                <w:szCs w:val="18"/>
                <w:lang w:val="en-GB" w:eastAsia="en-GB"/>
              </w:rPr>
              <w:t>NR</w:t>
            </w:r>
          </w:p>
        </w:tc>
        <w:tc>
          <w:tcPr>
            <w:tcW w:w="0" w:type="auto"/>
            <w:shd w:val="clear" w:color="auto" w:fill="auto"/>
            <w:hideMark/>
          </w:tcPr>
          <w:p w14:paraId="0D183F47" w14:textId="77777777" w:rsidR="00F471F5" w:rsidRPr="000B4E2C" w:rsidRDefault="00F471F5" w:rsidP="00F471F5">
            <w:pPr>
              <w:rPr>
                <w:sz w:val="18"/>
                <w:szCs w:val="18"/>
                <w:lang w:val="en-GB" w:eastAsia="en-GB"/>
              </w:rPr>
            </w:pPr>
            <w:r w:rsidRPr="000B4E2C">
              <w:rPr>
                <w:sz w:val="18"/>
                <w:szCs w:val="18"/>
                <w:lang w:val="en-GB" w:eastAsia="en-GB"/>
              </w:rPr>
              <w:t>Adult patients were eligible if they were undergoing elective cardiac surgery (coronary artery bypass graft [CABG] with or without mammary artery bypass, valve surgery with or without removal of the atrial auricle, combined CABG and valve surgery, or surgery of the thoracic aorta) involving cardiopulmonary bypass (CPB)</w:t>
            </w:r>
          </w:p>
        </w:tc>
        <w:tc>
          <w:tcPr>
            <w:tcW w:w="0" w:type="auto"/>
            <w:shd w:val="clear" w:color="auto" w:fill="auto"/>
            <w:hideMark/>
          </w:tcPr>
          <w:p w14:paraId="76402BE1" w14:textId="77777777" w:rsidR="00F471F5" w:rsidRPr="000B4E2C" w:rsidRDefault="00F471F5" w:rsidP="00F471F5">
            <w:pPr>
              <w:rPr>
                <w:sz w:val="18"/>
                <w:szCs w:val="18"/>
                <w:lang w:val="en-GB" w:eastAsia="en-GB"/>
              </w:rPr>
            </w:pPr>
            <w:r w:rsidRPr="000B4E2C">
              <w:rPr>
                <w:sz w:val="18"/>
                <w:szCs w:val="18"/>
                <w:lang w:val="en-GB" w:eastAsia="en-GB"/>
              </w:rPr>
              <w:t>Patients with advanced stages of chronic kidney disease; signs of active infection; on medication with COMT inhibitors, MAO inhibitors or with immunosuppressive therapy and women during pregnancy and lactation.</w:t>
            </w:r>
          </w:p>
        </w:tc>
      </w:tr>
      <w:tr w:rsidR="000B4E2C" w:rsidRPr="000B4E2C" w14:paraId="28F5AC01" w14:textId="77777777" w:rsidTr="000B4E2C">
        <w:trPr>
          <w:cantSplit/>
        </w:trPr>
        <w:tc>
          <w:tcPr>
            <w:tcW w:w="0" w:type="auto"/>
            <w:shd w:val="clear" w:color="auto" w:fill="auto"/>
            <w:hideMark/>
          </w:tcPr>
          <w:p w14:paraId="36F2D331" w14:textId="2FA75890" w:rsidR="00F471F5" w:rsidRPr="000B4E2C" w:rsidRDefault="00F471F5" w:rsidP="00F471F5">
            <w:pPr>
              <w:rPr>
                <w:color w:val="000000"/>
                <w:sz w:val="18"/>
                <w:szCs w:val="18"/>
                <w:lang w:val="en-GB" w:eastAsia="en-GB"/>
              </w:rPr>
            </w:pPr>
            <w:r w:rsidRPr="000B4E2C">
              <w:rPr>
                <w:sz w:val="18"/>
                <w:szCs w:val="18"/>
                <w:lang w:val="en-GB" w:eastAsia="en-GB"/>
              </w:rPr>
              <w:t>Beitland 2016,</w:t>
            </w:r>
            <w:r w:rsidRPr="000B4E2C">
              <w:rPr>
                <w:sz w:val="18"/>
                <w:szCs w:val="18"/>
                <w:vertAlign w:val="superscript"/>
                <w:lang w:val="en-GB" w:eastAsia="en-GB"/>
              </w:rPr>
              <w:t>30</w:t>
            </w:r>
            <w:r w:rsidRPr="000B4E2C">
              <w:rPr>
                <w:sz w:val="18"/>
                <w:szCs w:val="18"/>
                <w:lang w:val="en-GB" w:eastAsia="en-GB"/>
              </w:rPr>
              <w:t xml:space="preserve"> Norway</w:t>
            </w:r>
          </w:p>
        </w:tc>
        <w:tc>
          <w:tcPr>
            <w:tcW w:w="0" w:type="auto"/>
            <w:shd w:val="clear" w:color="auto" w:fill="auto"/>
            <w:hideMark/>
          </w:tcPr>
          <w:p w14:paraId="1C9CDFC3" w14:textId="77777777" w:rsidR="00F471F5" w:rsidRPr="000B4E2C" w:rsidRDefault="00F471F5" w:rsidP="00F471F5">
            <w:pPr>
              <w:rPr>
                <w:color w:val="000000"/>
                <w:sz w:val="18"/>
                <w:szCs w:val="18"/>
                <w:lang w:val="en-GB" w:eastAsia="en-GB"/>
              </w:rPr>
            </w:pPr>
            <w:r w:rsidRPr="000B4E2C">
              <w:rPr>
                <w:sz w:val="18"/>
                <w:szCs w:val="18"/>
                <w:lang w:val="en-GB" w:eastAsia="en-GB"/>
              </w:rPr>
              <w:t>NephC, Astute Medical</w:t>
            </w:r>
          </w:p>
        </w:tc>
        <w:tc>
          <w:tcPr>
            <w:tcW w:w="0" w:type="auto"/>
            <w:shd w:val="clear" w:color="auto" w:fill="auto"/>
            <w:hideMark/>
          </w:tcPr>
          <w:p w14:paraId="4940F0F7" w14:textId="77777777" w:rsidR="00F471F5" w:rsidRPr="000B4E2C" w:rsidRDefault="00F471F5" w:rsidP="00F471F5">
            <w:pPr>
              <w:rPr>
                <w:sz w:val="18"/>
                <w:szCs w:val="18"/>
                <w:lang w:val="en-GB" w:eastAsia="en-GB"/>
              </w:rPr>
            </w:pPr>
            <w:r w:rsidRPr="000B4E2C">
              <w:rPr>
                <w:sz w:val="18"/>
                <w:szCs w:val="18"/>
                <w:lang w:val="en-GB" w:eastAsia="en-GB"/>
              </w:rPr>
              <w:t>60</w:t>
            </w:r>
          </w:p>
          <w:p w14:paraId="5B690540" w14:textId="77777777" w:rsidR="00F471F5" w:rsidRPr="000B4E2C" w:rsidRDefault="00F471F5" w:rsidP="00F471F5">
            <w:pPr>
              <w:rPr>
                <w:color w:val="000000"/>
                <w:sz w:val="18"/>
                <w:szCs w:val="18"/>
                <w:lang w:val="en-GB" w:eastAsia="en-GB"/>
              </w:rPr>
            </w:pPr>
            <w:r w:rsidRPr="000B4E2C">
              <w:rPr>
                <w:sz w:val="18"/>
                <w:szCs w:val="18"/>
                <w:lang w:val="en-GB" w:eastAsia="en-GB"/>
              </w:rPr>
              <w:t>(13)</w:t>
            </w:r>
          </w:p>
        </w:tc>
        <w:tc>
          <w:tcPr>
            <w:tcW w:w="0" w:type="auto"/>
            <w:shd w:val="clear" w:color="auto" w:fill="auto"/>
            <w:hideMark/>
          </w:tcPr>
          <w:p w14:paraId="66FB5A10" w14:textId="77777777" w:rsidR="00F471F5" w:rsidRPr="000B4E2C" w:rsidRDefault="00F471F5" w:rsidP="00F471F5">
            <w:pPr>
              <w:rPr>
                <w:color w:val="000000"/>
                <w:sz w:val="18"/>
                <w:szCs w:val="18"/>
                <w:lang w:val="en-GB" w:eastAsia="en-GB"/>
              </w:rPr>
            </w:pPr>
            <w:r w:rsidRPr="000B4E2C">
              <w:rPr>
                <w:sz w:val="18"/>
                <w:szCs w:val="18"/>
                <w:lang w:val="en-GB" w:eastAsia="en-GB"/>
              </w:rPr>
              <w:t>195</w:t>
            </w:r>
          </w:p>
        </w:tc>
        <w:tc>
          <w:tcPr>
            <w:tcW w:w="0" w:type="auto"/>
            <w:shd w:val="clear" w:color="auto" w:fill="auto"/>
            <w:hideMark/>
          </w:tcPr>
          <w:p w14:paraId="53BB14A4" w14:textId="77777777" w:rsidR="00F471F5" w:rsidRPr="000B4E2C" w:rsidRDefault="00F471F5" w:rsidP="00F471F5">
            <w:pPr>
              <w:rPr>
                <w:color w:val="000000"/>
                <w:sz w:val="18"/>
                <w:szCs w:val="18"/>
                <w:lang w:val="en-GB" w:eastAsia="en-GB"/>
              </w:rPr>
            </w:pPr>
            <w:r w:rsidRPr="000B4E2C">
              <w:rPr>
                <w:sz w:val="18"/>
                <w:szCs w:val="18"/>
                <w:lang w:val="en-GB" w:eastAsia="en-GB"/>
              </w:rPr>
              <w:t>88</w:t>
            </w:r>
          </w:p>
        </w:tc>
        <w:tc>
          <w:tcPr>
            <w:tcW w:w="0" w:type="auto"/>
            <w:shd w:val="clear" w:color="auto" w:fill="auto"/>
            <w:hideMark/>
          </w:tcPr>
          <w:p w14:paraId="4B13C8F2"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63D9D026" w14:textId="77777777" w:rsidR="000B4E2C" w:rsidRPr="000B4E2C" w:rsidRDefault="00F471F5" w:rsidP="00F471F5">
            <w:pPr>
              <w:rPr>
                <w:sz w:val="18"/>
                <w:szCs w:val="18"/>
                <w:lang w:val="en-GB" w:eastAsia="en-GB"/>
              </w:rPr>
            </w:pPr>
            <w:r w:rsidRPr="000B4E2C">
              <w:rPr>
                <w:sz w:val="18"/>
                <w:szCs w:val="18"/>
                <w:lang w:val="en-GB" w:eastAsia="en-GB"/>
              </w:rPr>
              <w:t>AKI:</w:t>
            </w:r>
          </w:p>
          <w:p w14:paraId="0A79BA8F" w14:textId="7B46BD51" w:rsidR="00F471F5" w:rsidRPr="000B4E2C" w:rsidRDefault="00F471F5" w:rsidP="00F471F5">
            <w:pPr>
              <w:rPr>
                <w:sz w:val="18"/>
                <w:szCs w:val="18"/>
                <w:lang w:val="en-GB" w:eastAsia="en-GB"/>
              </w:rPr>
            </w:pPr>
            <w:r w:rsidRPr="000B4E2C">
              <w:rPr>
                <w:sz w:val="18"/>
                <w:szCs w:val="18"/>
                <w:lang w:val="en-GB" w:eastAsia="en-GB"/>
              </w:rPr>
              <w:t>83.0%</w:t>
            </w:r>
          </w:p>
          <w:p w14:paraId="7AF6AA5B" w14:textId="77777777" w:rsidR="00F471F5" w:rsidRPr="000B4E2C" w:rsidRDefault="00F471F5" w:rsidP="00F471F5">
            <w:pPr>
              <w:rPr>
                <w:sz w:val="18"/>
                <w:szCs w:val="18"/>
                <w:lang w:val="en-GB" w:eastAsia="en-GB"/>
              </w:rPr>
            </w:pPr>
            <w:r w:rsidRPr="000B4E2C">
              <w:rPr>
                <w:sz w:val="18"/>
                <w:szCs w:val="18"/>
                <w:lang w:val="en-GB" w:eastAsia="en-GB"/>
              </w:rPr>
              <w:t>No AKI:</w:t>
            </w:r>
          </w:p>
          <w:p w14:paraId="63F25DEB" w14:textId="77777777" w:rsidR="00F471F5" w:rsidRPr="000B4E2C" w:rsidRDefault="00F471F5" w:rsidP="00F471F5">
            <w:pPr>
              <w:rPr>
                <w:color w:val="000000"/>
                <w:sz w:val="18"/>
                <w:szCs w:val="18"/>
                <w:lang w:val="en-GB" w:eastAsia="en-GB"/>
              </w:rPr>
            </w:pPr>
            <w:r w:rsidRPr="000B4E2C">
              <w:rPr>
                <w:sz w:val="18"/>
                <w:szCs w:val="18"/>
                <w:lang w:val="en-GB" w:eastAsia="en-GB"/>
              </w:rPr>
              <w:t xml:space="preserve">86.0%; </w:t>
            </w:r>
          </w:p>
        </w:tc>
        <w:tc>
          <w:tcPr>
            <w:tcW w:w="0" w:type="auto"/>
            <w:shd w:val="clear" w:color="auto" w:fill="auto"/>
            <w:hideMark/>
          </w:tcPr>
          <w:p w14:paraId="6409D9C2"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8F3DC10"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E4E43ED"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4B90CD70" w14:textId="77777777" w:rsidR="00F471F5" w:rsidRPr="000B4E2C" w:rsidRDefault="00F471F5" w:rsidP="00F471F5">
            <w:pPr>
              <w:rPr>
                <w:sz w:val="18"/>
                <w:szCs w:val="18"/>
                <w:lang w:val="en-GB" w:eastAsia="en-GB"/>
              </w:rPr>
            </w:pPr>
            <w:r w:rsidRPr="000B4E2C">
              <w:rPr>
                <w:sz w:val="18"/>
                <w:szCs w:val="18"/>
                <w:lang w:val="en-GB" w:eastAsia="en-GB"/>
              </w:rPr>
              <w:t>AKI</w:t>
            </w:r>
          </w:p>
          <w:p w14:paraId="0D2622B9" w14:textId="77777777" w:rsidR="00F471F5" w:rsidRPr="000B4E2C" w:rsidRDefault="00F471F5" w:rsidP="00F471F5">
            <w:pPr>
              <w:rPr>
                <w:sz w:val="18"/>
                <w:szCs w:val="18"/>
                <w:lang w:val="en-GB" w:eastAsia="en-GB"/>
              </w:rPr>
            </w:pPr>
            <w:r w:rsidRPr="000B4E2C">
              <w:rPr>
                <w:sz w:val="18"/>
                <w:szCs w:val="18"/>
                <w:lang w:val="en-GB" w:eastAsia="en-GB"/>
              </w:rPr>
              <w:t>22</w:t>
            </w:r>
          </w:p>
          <w:p w14:paraId="0B0ECF4E" w14:textId="77777777" w:rsidR="00F471F5" w:rsidRPr="000B4E2C" w:rsidRDefault="00F471F5" w:rsidP="00F471F5">
            <w:pPr>
              <w:rPr>
                <w:sz w:val="18"/>
                <w:szCs w:val="18"/>
                <w:lang w:val="en-GB" w:eastAsia="en-GB"/>
              </w:rPr>
            </w:pPr>
            <w:r w:rsidRPr="000B4E2C">
              <w:rPr>
                <w:sz w:val="18"/>
                <w:szCs w:val="18"/>
                <w:lang w:val="en-GB" w:eastAsia="en-GB"/>
              </w:rPr>
              <w:t>No AKI</w:t>
            </w:r>
          </w:p>
          <w:p w14:paraId="52338A5F" w14:textId="77777777" w:rsidR="00F471F5" w:rsidRPr="000B4E2C" w:rsidRDefault="00F471F5" w:rsidP="00F471F5">
            <w:pPr>
              <w:rPr>
                <w:color w:val="000000"/>
                <w:sz w:val="18"/>
                <w:szCs w:val="18"/>
                <w:lang w:val="en-GB" w:eastAsia="en-GB"/>
              </w:rPr>
            </w:pPr>
            <w:r w:rsidRPr="000B4E2C">
              <w:rPr>
                <w:sz w:val="18"/>
                <w:szCs w:val="18"/>
                <w:lang w:val="en-GB" w:eastAsia="en-GB"/>
              </w:rPr>
              <w:t>9</w:t>
            </w:r>
          </w:p>
        </w:tc>
        <w:tc>
          <w:tcPr>
            <w:tcW w:w="0" w:type="auto"/>
            <w:shd w:val="clear" w:color="auto" w:fill="auto"/>
            <w:hideMark/>
          </w:tcPr>
          <w:p w14:paraId="1E5050B4" w14:textId="0C4ECEFA" w:rsidR="00F471F5" w:rsidRPr="000B4E2C" w:rsidRDefault="00F471F5" w:rsidP="00F471F5">
            <w:pPr>
              <w:rPr>
                <w:color w:val="000000"/>
                <w:sz w:val="18"/>
                <w:szCs w:val="18"/>
                <w:lang w:val="en-GB" w:eastAsia="en-GB"/>
              </w:rPr>
            </w:pPr>
            <w:r w:rsidRPr="000B4E2C">
              <w:rPr>
                <w:sz w:val="18"/>
                <w:szCs w:val="18"/>
                <w:lang w:val="en-GB" w:eastAsia="en-GB"/>
              </w:rPr>
              <w:t>Adult (</w:t>
            </w:r>
            <w:r w:rsidR="000B4E2C" w:rsidRPr="000B4E2C">
              <w:rPr>
                <w:color w:val="00B0F0"/>
                <w:sz w:val="18"/>
                <w:szCs w:val="18"/>
                <w:lang w:val="en-GB" w:eastAsia="en-GB"/>
              </w:rPr>
              <w:t>≥</w:t>
            </w:r>
            <w:r w:rsidR="000B4E2C" w:rsidRPr="000B4E2C">
              <w:rPr>
                <w:color w:val="00B0F0"/>
                <w:sz w:val="18"/>
                <w:szCs w:val="18"/>
                <w:lang w:val="en-GB" w:eastAsia="en-GB"/>
              </w:rPr>
              <w:t> </w:t>
            </w:r>
            <w:r w:rsidR="000B4E2C" w:rsidRPr="000B4E2C">
              <w:rPr>
                <w:color w:val="00B0F0"/>
                <w:sz w:val="18"/>
                <w:szCs w:val="18"/>
                <w:lang w:val="en-GB" w:eastAsia="en-GB"/>
              </w:rPr>
              <w:t>1</w:t>
            </w:r>
            <w:r w:rsidRPr="000B4E2C">
              <w:rPr>
                <w:sz w:val="18"/>
                <w:szCs w:val="18"/>
                <w:lang w:val="en-GB" w:eastAsia="en-GB"/>
              </w:rPr>
              <w:t>8 years) comatose out-of-hospital cardiac arrest patients with return of spontaneous circulation</w:t>
            </w:r>
          </w:p>
        </w:tc>
        <w:tc>
          <w:tcPr>
            <w:tcW w:w="0" w:type="auto"/>
            <w:shd w:val="clear" w:color="auto" w:fill="auto"/>
            <w:hideMark/>
          </w:tcPr>
          <w:p w14:paraId="0A34DC57" w14:textId="489490CC" w:rsidR="00F471F5" w:rsidRPr="000B4E2C" w:rsidRDefault="00F471F5" w:rsidP="00F471F5">
            <w:pPr>
              <w:rPr>
                <w:sz w:val="18"/>
                <w:szCs w:val="18"/>
                <w:lang w:val="en-GB" w:eastAsia="en-GB"/>
              </w:rPr>
            </w:pPr>
            <w:r w:rsidRPr="000B4E2C">
              <w:rPr>
                <w:sz w:val="18"/>
                <w:szCs w:val="18"/>
                <w:lang w:val="en-GB" w:eastAsia="en-GB"/>
              </w:rPr>
              <w:t>Patients with known chronic kidney disease, or who died within 2</w:t>
            </w:r>
            <w:r w:rsidR="000B4E2C" w:rsidRPr="000B4E2C">
              <w:rPr>
                <w:color w:val="00B0F0"/>
                <w:sz w:val="18"/>
                <w:szCs w:val="18"/>
                <w:lang w:val="en-GB" w:eastAsia="en-GB"/>
              </w:rPr>
              <w:t>4</w:t>
            </w:r>
            <w:r w:rsidR="000B4E2C" w:rsidRPr="000B4E2C">
              <w:rPr>
                <w:color w:val="00B0F0"/>
                <w:sz w:val="18"/>
                <w:szCs w:val="18"/>
                <w:lang w:val="en-GB" w:eastAsia="en-GB"/>
              </w:rPr>
              <w:t> </w:t>
            </w:r>
            <w:r w:rsidR="000B4E2C" w:rsidRPr="000B4E2C">
              <w:rPr>
                <w:color w:val="00B0F0"/>
                <w:sz w:val="18"/>
                <w:szCs w:val="18"/>
                <w:lang w:val="en-GB" w:eastAsia="en-GB"/>
              </w:rPr>
              <w:t xml:space="preserve">h </w:t>
            </w:r>
            <w:r w:rsidRPr="000B4E2C">
              <w:rPr>
                <w:sz w:val="18"/>
                <w:szCs w:val="18"/>
                <w:lang w:val="en-GB" w:eastAsia="en-GB"/>
              </w:rPr>
              <w:t>of ICU stay, or for some reason did not receive active treatment, were excluded</w:t>
            </w:r>
          </w:p>
        </w:tc>
      </w:tr>
      <w:tr w:rsidR="000B4E2C" w:rsidRPr="000B4E2C" w14:paraId="2E7EA52E" w14:textId="77777777" w:rsidTr="000B4E2C">
        <w:trPr>
          <w:cantSplit/>
        </w:trPr>
        <w:tc>
          <w:tcPr>
            <w:tcW w:w="0" w:type="auto"/>
            <w:shd w:val="clear" w:color="auto" w:fill="auto"/>
            <w:hideMark/>
          </w:tcPr>
          <w:p w14:paraId="73D47741" w14:textId="28EF2D6B" w:rsidR="00F471F5" w:rsidRPr="000B4E2C" w:rsidRDefault="00F471F5" w:rsidP="00F471F5">
            <w:pPr>
              <w:rPr>
                <w:color w:val="000000"/>
                <w:sz w:val="18"/>
                <w:szCs w:val="18"/>
                <w:lang w:val="en-GB" w:eastAsia="en-GB"/>
              </w:rPr>
            </w:pPr>
            <w:r w:rsidRPr="000B4E2C">
              <w:rPr>
                <w:sz w:val="18"/>
                <w:szCs w:val="18"/>
                <w:lang w:val="en-GB" w:eastAsia="en-GB"/>
              </w:rPr>
              <w:lastRenderedPageBreak/>
              <w:t>Kashani 2013,</w:t>
            </w:r>
            <w:r w:rsidRPr="000B4E2C">
              <w:rPr>
                <w:sz w:val="18"/>
                <w:szCs w:val="18"/>
                <w:vertAlign w:val="superscript"/>
                <w:lang w:val="en-GB" w:eastAsia="en-GB"/>
              </w:rPr>
              <w:t>36</w:t>
            </w:r>
            <w:r w:rsidRPr="000B4E2C">
              <w:rPr>
                <w:sz w:val="18"/>
                <w:szCs w:val="18"/>
                <w:lang w:val="en-GB" w:eastAsia="en-GB"/>
              </w:rPr>
              <w:t xml:space="preserve"> 21 sites in North America, 15 sites in Europe</w:t>
            </w:r>
          </w:p>
        </w:tc>
        <w:tc>
          <w:tcPr>
            <w:tcW w:w="0" w:type="auto"/>
            <w:shd w:val="clear" w:color="auto" w:fill="auto"/>
            <w:hideMark/>
          </w:tcPr>
          <w:p w14:paraId="38EFF119" w14:textId="77777777" w:rsidR="00F471F5" w:rsidRPr="000B4E2C" w:rsidRDefault="00F471F5" w:rsidP="00F471F5">
            <w:pPr>
              <w:rPr>
                <w:color w:val="000000"/>
                <w:sz w:val="18"/>
                <w:szCs w:val="18"/>
                <w:lang w:val="en-GB" w:eastAsia="en-GB"/>
              </w:rPr>
            </w:pPr>
            <w:r w:rsidRPr="000B4E2C">
              <w:rPr>
                <w:sz w:val="18"/>
                <w:szCs w:val="18"/>
                <w:lang w:val="en-GB" w:eastAsia="en-GB"/>
              </w:rPr>
              <w:t>NephC, Astute Medical</w:t>
            </w:r>
          </w:p>
        </w:tc>
        <w:tc>
          <w:tcPr>
            <w:tcW w:w="0" w:type="auto"/>
            <w:shd w:val="clear" w:color="auto" w:fill="auto"/>
            <w:hideMark/>
          </w:tcPr>
          <w:p w14:paraId="17FB44E4" w14:textId="77777777" w:rsidR="000B4E2C" w:rsidRPr="000B4E2C" w:rsidRDefault="00F471F5" w:rsidP="00F471F5">
            <w:pPr>
              <w:rPr>
                <w:sz w:val="18"/>
                <w:szCs w:val="18"/>
                <w:lang w:val="en-GB" w:eastAsia="en-GB"/>
              </w:rPr>
            </w:pPr>
            <w:r w:rsidRPr="000B4E2C">
              <w:rPr>
                <w:sz w:val="18"/>
                <w:szCs w:val="18"/>
                <w:lang w:val="en-GB" w:eastAsia="en-GB"/>
              </w:rPr>
              <w:t>64</w:t>
            </w:r>
          </w:p>
          <w:p w14:paraId="0F8B9B3D" w14:textId="3613283C" w:rsidR="00F471F5" w:rsidRPr="000B4E2C" w:rsidRDefault="00F471F5" w:rsidP="00F471F5">
            <w:pPr>
              <w:rPr>
                <w:color w:val="000000"/>
                <w:sz w:val="18"/>
                <w:szCs w:val="18"/>
                <w:lang w:val="en-GB" w:eastAsia="en-GB"/>
              </w:rPr>
            </w:pPr>
            <w:r w:rsidRPr="000B4E2C">
              <w:rPr>
                <w:sz w:val="18"/>
                <w:szCs w:val="18"/>
                <w:lang w:val="en-GB" w:eastAsia="en-GB"/>
              </w:rPr>
              <w:t>(53, 73)</w:t>
            </w:r>
          </w:p>
        </w:tc>
        <w:tc>
          <w:tcPr>
            <w:tcW w:w="0" w:type="auto"/>
            <w:shd w:val="clear" w:color="auto" w:fill="auto"/>
            <w:hideMark/>
          </w:tcPr>
          <w:p w14:paraId="79CF1ACB" w14:textId="77777777" w:rsidR="00F471F5" w:rsidRPr="000B4E2C" w:rsidRDefault="00F471F5" w:rsidP="00F471F5">
            <w:pPr>
              <w:rPr>
                <w:color w:val="000000"/>
                <w:sz w:val="18"/>
                <w:szCs w:val="18"/>
                <w:lang w:val="en-GB" w:eastAsia="en-GB"/>
              </w:rPr>
            </w:pPr>
            <w:r w:rsidRPr="000B4E2C">
              <w:rPr>
                <w:sz w:val="18"/>
                <w:szCs w:val="18"/>
                <w:lang w:val="en-GB" w:eastAsia="en-GB"/>
              </w:rPr>
              <w:t>728</w:t>
            </w:r>
          </w:p>
        </w:tc>
        <w:tc>
          <w:tcPr>
            <w:tcW w:w="0" w:type="auto"/>
            <w:shd w:val="clear" w:color="auto" w:fill="auto"/>
            <w:hideMark/>
          </w:tcPr>
          <w:p w14:paraId="1943E153" w14:textId="77777777" w:rsidR="00F471F5" w:rsidRPr="000B4E2C" w:rsidRDefault="00F471F5" w:rsidP="00F471F5">
            <w:pPr>
              <w:rPr>
                <w:color w:val="000000"/>
                <w:sz w:val="18"/>
                <w:szCs w:val="18"/>
                <w:lang w:val="en-GB" w:eastAsia="en-GB"/>
              </w:rPr>
            </w:pPr>
            <w:r w:rsidRPr="000B4E2C">
              <w:rPr>
                <w:sz w:val="18"/>
                <w:szCs w:val="18"/>
                <w:lang w:val="en-GB" w:eastAsia="en-GB"/>
              </w:rPr>
              <w:t>101</w:t>
            </w:r>
          </w:p>
        </w:tc>
        <w:tc>
          <w:tcPr>
            <w:tcW w:w="0" w:type="auto"/>
            <w:shd w:val="clear" w:color="auto" w:fill="auto"/>
            <w:hideMark/>
          </w:tcPr>
          <w:p w14:paraId="5C27DF21"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00A7D4C0" w14:textId="77777777" w:rsidR="00F471F5" w:rsidRPr="000B4E2C" w:rsidRDefault="00F471F5" w:rsidP="00F471F5">
            <w:pPr>
              <w:rPr>
                <w:color w:val="000000"/>
                <w:sz w:val="18"/>
                <w:szCs w:val="18"/>
                <w:lang w:val="en-GB" w:eastAsia="en-GB"/>
              </w:rPr>
            </w:pPr>
            <w:r w:rsidRPr="000B4E2C">
              <w:rPr>
                <w:sz w:val="18"/>
                <w:szCs w:val="18"/>
                <w:lang w:val="en-GB" w:eastAsia="en-GB"/>
              </w:rPr>
              <w:t>62%</w:t>
            </w:r>
          </w:p>
        </w:tc>
        <w:tc>
          <w:tcPr>
            <w:tcW w:w="0" w:type="auto"/>
            <w:shd w:val="clear" w:color="auto" w:fill="auto"/>
            <w:hideMark/>
          </w:tcPr>
          <w:p w14:paraId="41998279"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392F22B1"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052B139"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F65B823"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C560E26" w14:textId="77777777" w:rsidR="00F471F5" w:rsidRPr="000B4E2C" w:rsidRDefault="00F471F5" w:rsidP="00F471F5">
            <w:pPr>
              <w:rPr>
                <w:color w:val="000000"/>
                <w:sz w:val="18"/>
                <w:szCs w:val="18"/>
                <w:lang w:val="en-GB" w:eastAsia="en-GB"/>
              </w:rPr>
            </w:pPr>
            <w:r w:rsidRPr="000B4E2C">
              <w:rPr>
                <w:sz w:val="18"/>
                <w:szCs w:val="18"/>
                <w:lang w:val="en-GB" w:eastAsia="en-GB"/>
              </w:rPr>
              <w:t>Critically ill patients who were at least 21 years of age, admitted to the ICU within 24 hours of enrolment, expected to remain in the ICU with a urinary catheter for at least 48 hours and were critically ill</w:t>
            </w:r>
          </w:p>
        </w:tc>
        <w:tc>
          <w:tcPr>
            <w:tcW w:w="0" w:type="auto"/>
            <w:shd w:val="clear" w:color="auto" w:fill="auto"/>
            <w:hideMark/>
          </w:tcPr>
          <w:p w14:paraId="6C69B62C" w14:textId="77777777" w:rsidR="00F471F5" w:rsidRPr="000B4E2C" w:rsidRDefault="00F471F5" w:rsidP="00F471F5">
            <w:pPr>
              <w:rPr>
                <w:sz w:val="18"/>
                <w:szCs w:val="18"/>
                <w:lang w:val="en-GB" w:eastAsia="en-GB"/>
              </w:rPr>
            </w:pPr>
            <w:r w:rsidRPr="000B4E2C">
              <w:rPr>
                <w:sz w:val="18"/>
                <w:szCs w:val="18"/>
                <w:lang w:val="en-GB" w:eastAsia="en-GB"/>
              </w:rPr>
              <w:t>Patients with known existing moderate or severe AKI</w:t>
            </w:r>
          </w:p>
        </w:tc>
      </w:tr>
      <w:tr w:rsidR="000B4E2C" w:rsidRPr="000B4E2C" w14:paraId="3E90104D" w14:textId="77777777" w:rsidTr="000B4E2C">
        <w:trPr>
          <w:cantSplit/>
        </w:trPr>
        <w:tc>
          <w:tcPr>
            <w:tcW w:w="0" w:type="auto"/>
            <w:shd w:val="clear" w:color="auto" w:fill="auto"/>
            <w:hideMark/>
          </w:tcPr>
          <w:p w14:paraId="4B939E77" w14:textId="589358EE" w:rsidR="00F471F5" w:rsidRPr="000B4E2C" w:rsidRDefault="00F471F5" w:rsidP="00F471F5">
            <w:pPr>
              <w:rPr>
                <w:color w:val="000000"/>
                <w:sz w:val="18"/>
                <w:szCs w:val="18"/>
                <w:lang w:val="en-GB" w:eastAsia="en-GB"/>
              </w:rPr>
            </w:pPr>
            <w:r w:rsidRPr="000B4E2C">
              <w:rPr>
                <w:sz w:val="18"/>
                <w:szCs w:val="18"/>
                <w:lang w:val="en-GB" w:eastAsia="en-GB"/>
              </w:rPr>
              <w:t>Bihorac 2014,</w:t>
            </w:r>
            <w:r w:rsidRPr="000B4E2C">
              <w:rPr>
                <w:sz w:val="18"/>
                <w:szCs w:val="18"/>
                <w:vertAlign w:val="superscript"/>
                <w:lang w:val="en-GB" w:eastAsia="en-GB"/>
              </w:rPr>
              <w:t>10</w:t>
            </w:r>
            <w:r w:rsidRPr="000B4E2C">
              <w:rPr>
                <w:sz w:val="18"/>
                <w:szCs w:val="18"/>
                <w:lang w:val="en-GB" w:eastAsia="en-GB"/>
              </w:rPr>
              <w:t xml:space="preserve"> USA</w:t>
            </w:r>
          </w:p>
        </w:tc>
        <w:tc>
          <w:tcPr>
            <w:tcW w:w="0" w:type="auto"/>
            <w:shd w:val="clear" w:color="auto" w:fill="auto"/>
            <w:hideMark/>
          </w:tcPr>
          <w:p w14:paraId="79332361" w14:textId="77777777" w:rsidR="00F471F5" w:rsidRPr="000B4E2C" w:rsidRDefault="00F471F5" w:rsidP="00F471F5">
            <w:pPr>
              <w:rPr>
                <w:color w:val="000000"/>
                <w:sz w:val="18"/>
                <w:szCs w:val="18"/>
                <w:lang w:val="en-GB" w:eastAsia="en-GB"/>
              </w:rPr>
            </w:pPr>
            <w:r w:rsidRPr="000B4E2C">
              <w:rPr>
                <w:sz w:val="18"/>
                <w:szCs w:val="18"/>
                <w:lang w:val="en-GB" w:eastAsia="en-GB"/>
              </w:rPr>
              <w:t>NephC, Astute Medical</w:t>
            </w:r>
          </w:p>
        </w:tc>
        <w:tc>
          <w:tcPr>
            <w:tcW w:w="0" w:type="auto"/>
            <w:shd w:val="clear" w:color="auto" w:fill="auto"/>
            <w:hideMark/>
          </w:tcPr>
          <w:p w14:paraId="39E12C83" w14:textId="77777777" w:rsidR="00F471F5" w:rsidRPr="000B4E2C" w:rsidRDefault="00F471F5" w:rsidP="00F471F5">
            <w:pPr>
              <w:rPr>
                <w:sz w:val="18"/>
                <w:szCs w:val="18"/>
                <w:lang w:val="en-GB" w:eastAsia="en-GB"/>
              </w:rPr>
            </w:pPr>
            <w:r w:rsidRPr="000B4E2C">
              <w:rPr>
                <w:sz w:val="18"/>
                <w:szCs w:val="18"/>
                <w:lang w:val="en-GB" w:eastAsia="en-GB"/>
              </w:rPr>
              <w:t>63</w:t>
            </w:r>
          </w:p>
          <w:p w14:paraId="0E756334" w14:textId="77777777" w:rsidR="00F471F5" w:rsidRPr="000B4E2C" w:rsidRDefault="00F471F5" w:rsidP="00F471F5">
            <w:pPr>
              <w:rPr>
                <w:color w:val="000000"/>
                <w:sz w:val="18"/>
                <w:szCs w:val="18"/>
                <w:lang w:val="en-GB" w:eastAsia="en-GB"/>
              </w:rPr>
            </w:pPr>
            <w:r w:rsidRPr="000B4E2C">
              <w:rPr>
                <w:sz w:val="18"/>
                <w:szCs w:val="18"/>
                <w:lang w:val="en-GB" w:eastAsia="en-GB"/>
              </w:rPr>
              <w:t>(17)</w:t>
            </w:r>
          </w:p>
        </w:tc>
        <w:tc>
          <w:tcPr>
            <w:tcW w:w="0" w:type="auto"/>
            <w:shd w:val="clear" w:color="auto" w:fill="auto"/>
            <w:hideMark/>
          </w:tcPr>
          <w:p w14:paraId="486B6B8D" w14:textId="77777777" w:rsidR="00F471F5" w:rsidRPr="000B4E2C" w:rsidRDefault="00F471F5" w:rsidP="00F471F5">
            <w:pPr>
              <w:rPr>
                <w:color w:val="000000"/>
                <w:sz w:val="18"/>
                <w:szCs w:val="18"/>
                <w:lang w:val="en-GB" w:eastAsia="en-GB"/>
              </w:rPr>
            </w:pPr>
            <w:r w:rsidRPr="000B4E2C">
              <w:rPr>
                <w:sz w:val="18"/>
                <w:szCs w:val="18"/>
                <w:lang w:val="en-GB" w:eastAsia="en-GB"/>
              </w:rPr>
              <w:t>408</w:t>
            </w:r>
          </w:p>
        </w:tc>
        <w:tc>
          <w:tcPr>
            <w:tcW w:w="0" w:type="auto"/>
            <w:shd w:val="clear" w:color="auto" w:fill="auto"/>
            <w:hideMark/>
          </w:tcPr>
          <w:p w14:paraId="5C09D9C3" w14:textId="77777777" w:rsidR="00F471F5" w:rsidRPr="000B4E2C" w:rsidRDefault="00F471F5" w:rsidP="00F471F5">
            <w:pPr>
              <w:rPr>
                <w:color w:val="000000"/>
                <w:sz w:val="18"/>
                <w:szCs w:val="18"/>
                <w:lang w:val="en-GB" w:eastAsia="en-GB"/>
              </w:rPr>
            </w:pPr>
            <w:r w:rsidRPr="000B4E2C">
              <w:rPr>
                <w:sz w:val="18"/>
                <w:szCs w:val="18"/>
                <w:lang w:val="en-GB" w:eastAsia="en-GB"/>
              </w:rPr>
              <w:t>71</w:t>
            </w:r>
          </w:p>
        </w:tc>
        <w:tc>
          <w:tcPr>
            <w:tcW w:w="0" w:type="auto"/>
            <w:shd w:val="clear" w:color="auto" w:fill="auto"/>
            <w:hideMark/>
          </w:tcPr>
          <w:p w14:paraId="00F3EA01"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2864EBE0" w14:textId="77777777" w:rsidR="00F471F5" w:rsidRPr="000B4E2C" w:rsidRDefault="00F471F5" w:rsidP="00F471F5">
            <w:pPr>
              <w:rPr>
                <w:color w:val="000000"/>
                <w:sz w:val="18"/>
                <w:szCs w:val="18"/>
                <w:lang w:val="en-GB" w:eastAsia="en-GB"/>
              </w:rPr>
            </w:pPr>
            <w:r w:rsidRPr="000B4E2C">
              <w:rPr>
                <w:sz w:val="18"/>
                <w:szCs w:val="18"/>
                <w:lang w:val="en-GB" w:eastAsia="en-GB"/>
              </w:rPr>
              <w:t>54%</w:t>
            </w:r>
          </w:p>
        </w:tc>
        <w:tc>
          <w:tcPr>
            <w:tcW w:w="0" w:type="auto"/>
            <w:shd w:val="clear" w:color="auto" w:fill="auto"/>
            <w:hideMark/>
          </w:tcPr>
          <w:p w14:paraId="42B9BD1A"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A9873C9"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759EC660"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72D4157"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4E30992C" w14:textId="77777777" w:rsidR="00F471F5" w:rsidRPr="000B4E2C" w:rsidRDefault="00F471F5" w:rsidP="00F471F5">
            <w:pPr>
              <w:rPr>
                <w:color w:val="000000"/>
                <w:sz w:val="18"/>
                <w:szCs w:val="18"/>
                <w:lang w:val="en-GB" w:eastAsia="en-GB"/>
              </w:rPr>
            </w:pPr>
            <w:r w:rsidRPr="000B4E2C">
              <w:rPr>
                <w:sz w:val="18"/>
                <w:szCs w:val="18"/>
                <w:lang w:val="en-GB" w:eastAsia="en-GB"/>
              </w:rPr>
              <w:t>All enrolled patients were considered critically ill because of significant respiratory or cardiovascular dysfunction. The presence of an indwelling urinary catheter was also a prerequisite for inclusion.</w:t>
            </w:r>
          </w:p>
        </w:tc>
        <w:tc>
          <w:tcPr>
            <w:tcW w:w="0" w:type="auto"/>
            <w:shd w:val="clear" w:color="auto" w:fill="auto"/>
            <w:hideMark/>
          </w:tcPr>
          <w:p w14:paraId="3970FC69" w14:textId="77777777" w:rsidR="00F471F5" w:rsidRPr="000B4E2C" w:rsidRDefault="00F471F5" w:rsidP="00F471F5">
            <w:pPr>
              <w:rPr>
                <w:sz w:val="18"/>
                <w:szCs w:val="18"/>
                <w:lang w:val="en-GB" w:eastAsia="en-GB"/>
              </w:rPr>
            </w:pPr>
            <w:r w:rsidRPr="000B4E2C">
              <w:rPr>
                <w:sz w:val="18"/>
                <w:szCs w:val="18"/>
                <w:lang w:val="en-GB" w:eastAsia="en-GB"/>
              </w:rPr>
              <w:t>Patients with documented moderate to severe AKI (KDIGO stage 2 to 3) at the time of enrolment</w:t>
            </w:r>
          </w:p>
        </w:tc>
      </w:tr>
      <w:tr w:rsidR="000B4E2C" w:rsidRPr="000B4E2C" w14:paraId="697FE7EA" w14:textId="77777777" w:rsidTr="000B4E2C">
        <w:trPr>
          <w:cantSplit/>
        </w:trPr>
        <w:tc>
          <w:tcPr>
            <w:tcW w:w="0" w:type="auto"/>
            <w:shd w:val="clear" w:color="auto" w:fill="auto"/>
            <w:hideMark/>
          </w:tcPr>
          <w:p w14:paraId="37CE30BE" w14:textId="0DAA1BE9" w:rsidR="00F471F5" w:rsidRPr="000B4E2C" w:rsidRDefault="00F471F5" w:rsidP="00F471F5">
            <w:pPr>
              <w:rPr>
                <w:color w:val="000000"/>
                <w:sz w:val="18"/>
                <w:szCs w:val="18"/>
                <w:lang w:val="en-GB" w:eastAsia="en-GB"/>
              </w:rPr>
            </w:pPr>
            <w:r w:rsidRPr="000B4E2C">
              <w:rPr>
                <w:sz w:val="18"/>
                <w:szCs w:val="18"/>
                <w:lang w:val="en-GB" w:eastAsia="en-GB"/>
              </w:rPr>
              <w:t>Hoste 2014,</w:t>
            </w:r>
            <w:r w:rsidRPr="000B4E2C">
              <w:rPr>
                <w:sz w:val="18"/>
                <w:szCs w:val="18"/>
                <w:vertAlign w:val="superscript"/>
                <w:lang w:val="en-GB" w:eastAsia="en-GB"/>
              </w:rPr>
              <w:t>35</w:t>
            </w:r>
            <w:r w:rsidRPr="000B4E2C">
              <w:rPr>
                <w:sz w:val="18"/>
                <w:szCs w:val="18"/>
                <w:lang w:val="en-GB" w:eastAsia="en-GB"/>
              </w:rPr>
              <w:t xml:space="preserve"> USA</w:t>
            </w:r>
          </w:p>
        </w:tc>
        <w:tc>
          <w:tcPr>
            <w:tcW w:w="0" w:type="auto"/>
            <w:shd w:val="clear" w:color="auto" w:fill="auto"/>
            <w:hideMark/>
          </w:tcPr>
          <w:p w14:paraId="7C30A989" w14:textId="77777777" w:rsidR="00F471F5" w:rsidRPr="000B4E2C" w:rsidRDefault="00F471F5" w:rsidP="00F471F5">
            <w:pPr>
              <w:rPr>
                <w:color w:val="000000"/>
                <w:sz w:val="18"/>
                <w:szCs w:val="18"/>
                <w:lang w:val="en-GB" w:eastAsia="en-GB"/>
              </w:rPr>
            </w:pPr>
            <w:r w:rsidRPr="000B4E2C">
              <w:rPr>
                <w:sz w:val="18"/>
                <w:szCs w:val="18"/>
                <w:lang w:val="en-GB" w:eastAsia="en-GB"/>
              </w:rPr>
              <w:t>NephC, Astute Medical</w:t>
            </w:r>
          </w:p>
        </w:tc>
        <w:tc>
          <w:tcPr>
            <w:tcW w:w="0" w:type="auto"/>
            <w:shd w:val="clear" w:color="auto" w:fill="auto"/>
            <w:hideMark/>
          </w:tcPr>
          <w:p w14:paraId="71E4D5AB" w14:textId="77777777" w:rsidR="00F471F5" w:rsidRPr="000B4E2C" w:rsidRDefault="00F471F5" w:rsidP="00F471F5">
            <w:pPr>
              <w:rPr>
                <w:sz w:val="18"/>
                <w:szCs w:val="18"/>
                <w:lang w:val="en-GB" w:eastAsia="en-GB"/>
              </w:rPr>
            </w:pPr>
            <w:r w:rsidRPr="000B4E2C">
              <w:rPr>
                <w:sz w:val="18"/>
                <w:szCs w:val="18"/>
                <w:lang w:val="en-GB" w:eastAsia="en-GB"/>
              </w:rPr>
              <w:t>AKI</w:t>
            </w:r>
          </w:p>
          <w:p w14:paraId="72E5E659" w14:textId="77777777" w:rsidR="00F471F5" w:rsidRPr="000B4E2C" w:rsidRDefault="00F471F5" w:rsidP="00F471F5">
            <w:pPr>
              <w:rPr>
                <w:sz w:val="18"/>
                <w:szCs w:val="18"/>
                <w:lang w:val="en-GB" w:eastAsia="en-GB"/>
              </w:rPr>
            </w:pPr>
            <w:r w:rsidRPr="000B4E2C">
              <w:rPr>
                <w:sz w:val="18"/>
                <w:szCs w:val="18"/>
                <w:lang w:val="en-GB" w:eastAsia="en-GB"/>
              </w:rPr>
              <w:t>stage 2/3</w:t>
            </w:r>
          </w:p>
          <w:p w14:paraId="78C2CD74" w14:textId="77777777" w:rsidR="00F471F5" w:rsidRPr="000B4E2C" w:rsidRDefault="00F471F5" w:rsidP="00F471F5">
            <w:pPr>
              <w:rPr>
                <w:sz w:val="18"/>
                <w:szCs w:val="18"/>
                <w:lang w:val="en-GB" w:eastAsia="en-GB"/>
              </w:rPr>
            </w:pPr>
            <w:r w:rsidRPr="000B4E2C">
              <w:rPr>
                <w:sz w:val="18"/>
                <w:szCs w:val="18"/>
                <w:lang w:val="en-GB" w:eastAsia="en-GB"/>
              </w:rPr>
              <w:t>64</w:t>
            </w:r>
          </w:p>
          <w:p w14:paraId="6450D559" w14:textId="77777777" w:rsidR="00F471F5" w:rsidRPr="000B4E2C" w:rsidRDefault="00F471F5" w:rsidP="00F471F5">
            <w:pPr>
              <w:rPr>
                <w:sz w:val="18"/>
                <w:szCs w:val="18"/>
                <w:lang w:val="en-GB" w:eastAsia="en-GB"/>
              </w:rPr>
            </w:pPr>
            <w:r w:rsidRPr="000B4E2C">
              <w:rPr>
                <w:sz w:val="18"/>
                <w:szCs w:val="18"/>
                <w:lang w:val="en-GB" w:eastAsia="en-GB"/>
              </w:rPr>
              <w:t>(54, 75);</w:t>
            </w:r>
          </w:p>
          <w:p w14:paraId="01394FE4" w14:textId="77777777" w:rsidR="000B4E2C" w:rsidRPr="000B4E2C" w:rsidRDefault="00F471F5" w:rsidP="00F471F5">
            <w:pPr>
              <w:rPr>
                <w:sz w:val="18"/>
                <w:szCs w:val="18"/>
                <w:lang w:val="en-GB" w:eastAsia="en-GB"/>
              </w:rPr>
            </w:pPr>
            <w:r w:rsidRPr="000B4E2C">
              <w:rPr>
                <w:sz w:val="18"/>
                <w:szCs w:val="18"/>
                <w:lang w:val="en-GB" w:eastAsia="en-GB"/>
              </w:rPr>
              <w:t>AKI</w:t>
            </w:r>
          </w:p>
          <w:p w14:paraId="279BA10B" w14:textId="77777777" w:rsidR="000B4E2C" w:rsidRPr="000B4E2C" w:rsidRDefault="00F471F5" w:rsidP="00F471F5">
            <w:pPr>
              <w:rPr>
                <w:sz w:val="18"/>
                <w:szCs w:val="18"/>
                <w:lang w:val="en-GB" w:eastAsia="en-GB"/>
              </w:rPr>
            </w:pPr>
            <w:r w:rsidRPr="000B4E2C">
              <w:rPr>
                <w:sz w:val="18"/>
                <w:szCs w:val="18"/>
                <w:lang w:val="en-GB" w:eastAsia="en-GB"/>
              </w:rPr>
              <w:t>stage 0/1</w:t>
            </w:r>
          </w:p>
          <w:p w14:paraId="47139DFD" w14:textId="0EBA9966" w:rsidR="00F471F5" w:rsidRPr="000B4E2C" w:rsidRDefault="00F471F5" w:rsidP="00F471F5">
            <w:pPr>
              <w:rPr>
                <w:sz w:val="18"/>
                <w:szCs w:val="18"/>
                <w:lang w:val="en-GB" w:eastAsia="en-GB"/>
              </w:rPr>
            </w:pPr>
            <w:r w:rsidRPr="000B4E2C">
              <w:rPr>
                <w:sz w:val="18"/>
                <w:szCs w:val="18"/>
                <w:lang w:val="en-GB" w:eastAsia="en-GB"/>
              </w:rPr>
              <w:t>65</w:t>
            </w:r>
          </w:p>
          <w:p w14:paraId="56A0CC39" w14:textId="77777777" w:rsidR="00F471F5" w:rsidRPr="000B4E2C" w:rsidRDefault="00F471F5" w:rsidP="00F471F5">
            <w:pPr>
              <w:rPr>
                <w:color w:val="000000"/>
                <w:sz w:val="18"/>
                <w:szCs w:val="18"/>
                <w:lang w:val="en-GB" w:eastAsia="en-GB"/>
              </w:rPr>
            </w:pPr>
            <w:r w:rsidRPr="000B4E2C">
              <w:rPr>
                <w:sz w:val="18"/>
                <w:szCs w:val="18"/>
                <w:lang w:val="en-GB" w:eastAsia="en-GB"/>
              </w:rPr>
              <w:t>(54, 78)</w:t>
            </w:r>
          </w:p>
        </w:tc>
        <w:tc>
          <w:tcPr>
            <w:tcW w:w="0" w:type="auto"/>
            <w:shd w:val="clear" w:color="auto" w:fill="auto"/>
            <w:hideMark/>
          </w:tcPr>
          <w:p w14:paraId="71C79453" w14:textId="77777777" w:rsidR="00F471F5" w:rsidRPr="000B4E2C" w:rsidRDefault="00F471F5" w:rsidP="00F471F5">
            <w:pPr>
              <w:rPr>
                <w:color w:val="000000"/>
                <w:sz w:val="18"/>
                <w:szCs w:val="18"/>
                <w:lang w:val="en-GB" w:eastAsia="en-GB"/>
              </w:rPr>
            </w:pPr>
            <w:r w:rsidRPr="000B4E2C">
              <w:rPr>
                <w:sz w:val="18"/>
                <w:szCs w:val="18"/>
                <w:lang w:val="en-GB" w:eastAsia="en-GB"/>
              </w:rPr>
              <w:t>153</w:t>
            </w:r>
          </w:p>
        </w:tc>
        <w:tc>
          <w:tcPr>
            <w:tcW w:w="0" w:type="auto"/>
            <w:shd w:val="clear" w:color="auto" w:fill="auto"/>
            <w:hideMark/>
          </w:tcPr>
          <w:p w14:paraId="10922A64" w14:textId="77777777" w:rsidR="00F471F5" w:rsidRPr="000B4E2C" w:rsidRDefault="00F471F5" w:rsidP="00F471F5">
            <w:pPr>
              <w:rPr>
                <w:color w:val="000000"/>
                <w:sz w:val="18"/>
                <w:szCs w:val="18"/>
                <w:lang w:val="en-GB" w:eastAsia="en-GB"/>
              </w:rPr>
            </w:pPr>
            <w:r w:rsidRPr="000B4E2C">
              <w:rPr>
                <w:sz w:val="18"/>
                <w:szCs w:val="18"/>
                <w:lang w:val="en-GB" w:eastAsia="en-GB"/>
              </w:rPr>
              <w:t>27</w:t>
            </w:r>
          </w:p>
        </w:tc>
        <w:tc>
          <w:tcPr>
            <w:tcW w:w="0" w:type="auto"/>
            <w:shd w:val="clear" w:color="auto" w:fill="auto"/>
            <w:hideMark/>
          </w:tcPr>
          <w:p w14:paraId="52710A14"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328C142C" w14:textId="77777777" w:rsidR="000B4E2C" w:rsidRPr="000B4E2C" w:rsidRDefault="00F471F5" w:rsidP="00F471F5">
            <w:pPr>
              <w:rPr>
                <w:sz w:val="18"/>
                <w:szCs w:val="18"/>
                <w:lang w:val="en-GB" w:eastAsia="en-GB"/>
              </w:rPr>
            </w:pPr>
            <w:r w:rsidRPr="000B4E2C">
              <w:rPr>
                <w:sz w:val="18"/>
                <w:szCs w:val="18"/>
                <w:lang w:val="en-GB" w:eastAsia="en-GB"/>
              </w:rPr>
              <w:t>AKI</w:t>
            </w:r>
          </w:p>
          <w:p w14:paraId="72D78230" w14:textId="187DF0D0" w:rsidR="00F471F5" w:rsidRPr="000B4E2C" w:rsidRDefault="00F471F5" w:rsidP="00F471F5">
            <w:pPr>
              <w:rPr>
                <w:sz w:val="18"/>
                <w:szCs w:val="18"/>
                <w:lang w:val="en-GB" w:eastAsia="en-GB"/>
              </w:rPr>
            </w:pPr>
            <w:r w:rsidRPr="000B4E2C">
              <w:rPr>
                <w:sz w:val="18"/>
                <w:szCs w:val="18"/>
                <w:lang w:val="en-GB" w:eastAsia="en-GB"/>
              </w:rPr>
              <w:t>stage 2/3</w:t>
            </w:r>
          </w:p>
          <w:p w14:paraId="5934133C" w14:textId="77777777" w:rsidR="000B4E2C" w:rsidRPr="000B4E2C" w:rsidRDefault="00F471F5" w:rsidP="00F471F5">
            <w:pPr>
              <w:rPr>
                <w:sz w:val="18"/>
                <w:szCs w:val="18"/>
                <w:lang w:val="en-GB" w:eastAsia="en-GB"/>
              </w:rPr>
            </w:pPr>
            <w:r w:rsidRPr="000B4E2C">
              <w:rPr>
                <w:sz w:val="18"/>
                <w:szCs w:val="18"/>
                <w:lang w:val="en-GB" w:eastAsia="en-GB"/>
              </w:rPr>
              <w:t>44%;</w:t>
            </w:r>
          </w:p>
          <w:p w14:paraId="5B01CCB4" w14:textId="77777777" w:rsidR="000B4E2C" w:rsidRPr="000B4E2C" w:rsidRDefault="00F471F5" w:rsidP="00F471F5">
            <w:pPr>
              <w:rPr>
                <w:sz w:val="18"/>
                <w:szCs w:val="18"/>
                <w:lang w:val="en-GB" w:eastAsia="en-GB"/>
              </w:rPr>
            </w:pPr>
            <w:r w:rsidRPr="000B4E2C">
              <w:rPr>
                <w:sz w:val="18"/>
                <w:szCs w:val="18"/>
                <w:lang w:val="en-GB" w:eastAsia="en-GB"/>
              </w:rPr>
              <w:t>AKI</w:t>
            </w:r>
          </w:p>
          <w:p w14:paraId="6AEFC666" w14:textId="3DD2CCA6" w:rsidR="00F471F5" w:rsidRPr="000B4E2C" w:rsidRDefault="00F471F5" w:rsidP="00F471F5">
            <w:pPr>
              <w:rPr>
                <w:sz w:val="18"/>
                <w:szCs w:val="18"/>
                <w:lang w:val="en-GB" w:eastAsia="en-GB"/>
              </w:rPr>
            </w:pPr>
            <w:r w:rsidRPr="000B4E2C">
              <w:rPr>
                <w:sz w:val="18"/>
                <w:szCs w:val="18"/>
                <w:lang w:val="en-GB" w:eastAsia="en-GB"/>
              </w:rPr>
              <w:t>stage 0/1</w:t>
            </w:r>
          </w:p>
          <w:p w14:paraId="0B9B3769" w14:textId="77777777" w:rsidR="00F471F5" w:rsidRPr="000B4E2C" w:rsidRDefault="00F471F5" w:rsidP="00F471F5">
            <w:pPr>
              <w:rPr>
                <w:color w:val="000000"/>
                <w:sz w:val="18"/>
                <w:szCs w:val="18"/>
                <w:lang w:val="en-GB" w:eastAsia="en-GB"/>
              </w:rPr>
            </w:pPr>
            <w:r w:rsidRPr="000B4E2C">
              <w:rPr>
                <w:sz w:val="18"/>
                <w:szCs w:val="18"/>
                <w:lang w:val="en-GB" w:eastAsia="en-GB"/>
              </w:rPr>
              <w:t>60%</w:t>
            </w:r>
          </w:p>
        </w:tc>
        <w:tc>
          <w:tcPr>
            <w:tcW w:w="0" w:type="auto"/>
            <w:shd w:val="clear" w:color="auto" w:fill="auto"/>
            <w:hideMark/>
          </w:tcPr>
          <w:p w14:paraId="5CA97077"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B4C5D58"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BA5EA2F"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715F898" w14:textId="77777777" w:rsidR="00F471F5" w:rsidRPr="000B4E2C" w:rsidRDefault="00F471F5" w:rsidP="00F471F5">
            <w:pPr>
              <w:rPr>
                <w:color w:val="000000"/>
                <w:sz w:val="18"/>
                <w:szCs w:val="18"/>
                <w:lang w:val="en-GB" w:eastAsia="en-GB"/>
              </w:rPr>
            </w:pPr>
            <w:r w:rsidRPr="000B4E2C">
              <w:rPr>
                <w:sz w:val="18"/>
                <w:szCs w:val="18"/>
                <w:lang w:val="en-GB" w:eastAsia="en-GB"/>
              </w:rPr>
              <w:t>20</w:t>
            </w:r>
          </w:p>
        </w:tc>
        <w:tc>
          <w:tcPr>
            <w:tcW w:w="0" w:type="auto"/>
            <w:shd w:val="clear" w:color="auto" w:fill="auto"/>
            <w:hideMark/>
          </w:tcPr>
          <w:p w14:paraId="00EED23D" w14:textId="30F49D9F" w:rsidR="00F471F5" w:rsidRPr="000B4E2C" w:rsidRDefault="00F471F5" w:rsidP="00F471F5">
            <w:pPr>
              <w:rPr>
                <w:color w:val="000000"/>
                <w:sz w:val="18"/>
                <w:szCs w:val="18"/>
                <w:lang w:val="en-GB" w:eastAsia="en-GB"/>
              </w:rPr>
            </w:pPr>
            <w:r w:rsidRPr="000B4E2C">
              <w:rPr>
                <w:sz w:val="18"/>
                <w:szCs w:val="18"/>
                <w:lang w:val="en-GB" w:eastAsia="en-GB"/>
              </w:rPr>
              <w:t>Patients at least 21 years of age, admitted to ICU within 2</w:t>
            </w:r>
            <w:r w:rsidR="000B4E2C" w:rsidRPr="000B4E2C">
              <w:rPr>
                <w:color w:val="00B0F0"/>
                <w:sz w:val="18"/>
                <w:szCs w:val="18"/>
                <w:lang w:val="en-GB" w:eastAsia="en-GB"/>
              </w:rPr>
              <w:t>4</w:t>
            </w:r>
            <w:r w:rsidR="000B4E2C" w:rsidRPr="000B4E2C">
              <w:rPr>
                <w:color w:val="00B0F0"/>
                <w:sz w:val="18"/>
                <w:szCs w:val="18"/>
                <w:lang w:val="en-GB" w:eastAsia="en-GB"/>
              </w:rPr>
              <w:t> </w:t>
            </w:r>
            <w:r w:rsidR="000B4E2C" w:rsidRPr="000B4E2C">
              <w:rPr>
                <w:color w:val="00B0F0"/>
                <w:sz w:val="18"/>
                <w:szCs w:val="18"/>
                <w:lang w:val="en-GB" w:eastAsia="en-GB"/>
              </w:rPr>
              <w:t xml:space="preserve">h </w:t>
            </w:r>
            <w:r w:rsidRPr="000B4E2C">
              <w:rPr>
                <w:sz w:val="18"/>
                <w:szCs w:val="18"/>
                <w:lang w:val="en-GB" w:eastAsia="en-GB"/>
              </w:rPr>
              <w:t>of enrolment and expected to remain in the ICU with a urinary catheter for at least 4</w:t>
            </w:r>
            <w:r w:rsidR="000B4E2C" w:rsidRPr="000B4E2C">
              <w:rPr>
                <w:color w:val="00B0F0"/>
                <w:sz w:val="18"/>
                <w:szCs w:val="18"/>
                <w:lang w:val="en-GB" w:eastAsia="en-GB"/>
              </w:rPr>
              <w:t>8</w:t>
            </w:r>
            <w:r w:rsidR="000B4E2C" w:rsidRPr="000B4E2C">
              <w:rPr>
                <w:color w:val="00B0F0"/>
                <w:sz w:val="18"/>
                <w:szCs w:val="18"/>
                <w:lang w:val="en-GB" w:eastAsia="en-GB"/>
              </w:rPr>
              <w:t> </w:t>
            </w:r>
            <w:r w:rsidR="000B4E2C" w:rsidRPr="000B4E2C">
              <w:rPr>
                <w:color w:val="00B0F0"/>
                <w:sz w:val="18"/>
                <w:szCs w:val="18"/>
                <w:lang w:val="en-GB" w:eastAsia="en-GB"/>
              </w:rPr>
              <w:t xml:space="preserve">h </w:t>
            </w:r>
            <w:r w:rsidRPr="000B4E2C">
              <w:rPr>
                <w:sz w:val="18"/>
                <w:szCs w:val="18"/>
                <w:lang w:val="en-GB" w:eastAsia="en-GB"/>
              </w:rPr>
              <w:t>after enrolment</w:t>
            </w:r>
          </w:p>
        </w:tc>
        <w:tc>
          <w:tcPr>
            <w:tcW w:w="0" w:type="auto"/>
            <w:shd w:val="clear" w:color="auto" w:fill="auto"/>
            <w:hideMark/>
          </w:tcPr>
          <w:p w14:paraId="65041AAA" w14:textId="77777777" w:rsidR="00F471F5" w:rsidRPr="000B4E2C" w:rsidRDefault="00F471F5" w:rsidP="00F471F5">
            <w:pPr>
              <w:rPr>
                <w:sz w:val="18"/>
                <w:szCs w:val="18"/>
                <w:lang w:val="en-GB" w:eastAsia="en-GB"/>
              </w:rPr>
            </w:pPr>
            <w:r w:rsidRPr="000B4E2C">
              <w:rPr>
                <w:sz w:val="18"/>
                <w:szCs w:val="18"/>
                <w:lang w:val="en-GB" w:eastAsia="en-GB"/>
              </w:rPr>
              <w:t>NR</w:t>
            </w:r>
          </w:p>
        </w:tc>
      </w:tr>
      <w:tr w:rsidR="000B4E2C" w:rsidRPr="000B4E2C" w14:paraId="430042C0" w14:textId="77777777" w:rsidTr="000B4E2C">
        <w:trPr>
          <w:cantSplit/>
        </w:trPr>
        <w:tc>
          <w:tcPr>
            <w:tcW w:w="0" w:type="auto"/>
            <w:shd w:val="clear" w:color="auto" w:fill="auto"/>
            <w:hideMark/>
          </w:tcPr>
          <w:p w14:paraId="6AF0E07C" w14:textId="71E69D68" w:rsidR="00F471F5" w:rsidRPr="000B4E2C" w:rsidRDefault="00F471F5" w:rsidP="00F471F5">
            <w:pPr>
              <w:rPr>
                <w:color w:val="000000"/>
                <w:sz w:val="18"/>
                <w:szCs w:val="18"/>
                <w:lang w:val="en-GB" w:eastAsia="en-GB"/>
              </w:rPr>
            </w:pPr>
            <w:r w:rsidRPr="000B4E2C">
              <w:rPr>
                <w:sz w:val="18"/>
                <w:szCs w:val="18"/>
                <w:lang w:val="en-GB" w:eastAsia="en-GB"/>
              </w:rPr>
              <w:t>Di Leo 2018,</w:t>
            </w:r>
            <w:r w:rsidRPr="000B4E2C">
              <w:rPr>
                <w:sz w:val="18"/>
                <w:szCs w:val="18"/>
                <w:vertAlign w:val="superscript"/>
                <w:lang w:val="en-GB" w:eastAsia="en-GB"/>
              </w:rPr>
              <w:t>32</w:t>
            </w:r>
            <w:r w:rsidRPr="000B4E2C">
              <w:rPr>
                <w:sz w:val="18"/>
                <w:szCs w:val="18"/>
                <w:lang w:val="en-GB" w:eastAsia="en-GB"/>
              </w:rPr>
              <w:t xml:space="preserve"> Italy</w:t>
            </w:r>
          </w:p>
        </w:tc>
        <w:tc>
          <w:tcPr>
            <w:tcW w:w="0" w:type="auto"/>
            <w:shd w:val="clear" w:color="auto" w:fill="auto"/>
            <w:hideMark/>
          </w:tcPr>
          <w:p w14:paraId="35E0E524" w14:textId="77777777" w:rsidR="00F471F5" w:rsidRPr="000B4E2C" w:rsidRDefault="00F471F5" w:rsidP="00F471F5">
            <w:pPr>
              <w:rPr>
                <w:color w:val="000000"/>
                <w:sz w:val="18"/>
                <w:szCs w:val="18"/>
                <w:lang w:val="en-GB" w:eastAsia="en-GB"/>
              </w:rPr>
            </w:pPr>
            <w:r w:rsidRPr="000B4E2C">
              <w:rPr>
                <w:sz w:val="18"/>
                <w:szCs w:val="18"/>
                <w:lang w:val="en-GB" w:eastAsia="en-GB"/>
              </w:rPr>
              <w:t>NephC, Astute Medical</w:t>
            </w:r>
          </w:p>
        </w:tc>
        <w:tc>
          <w:tcPr>
            <w:tcW w:w="0" w:type="auto"/>
            <w:shd w:val="clear" w:color="auto" w:fill="auto"/>
            <w:hideMark/>
          </w:tcPr>
          <w:p w14:paraId="5D51E2B3" w14:textId="77777777" w:rsidR="000B4E2C" w:rsidRPr="000B4E2C" w:rsidRDefault="00F471F5" w:rsidP="00F471F5">
            <w:pPr>
              <w:rPr>
                <w:sz w:val="18"/>
                <w:szCs w:val="18"/>
                <w:lang w:val="en-GB" w:eastAsia="en-GB"/>
              </w:rPr>
            </w:pPr>
            <w:r w:rsidRPr="000B4E2C">
              <w:rPr>
                <w:sz w:val="18"/>
                <w:szCs w:val="18"/>
                <w:lang w:val="en-GB" w:eastAsia="en-GB"/>
              </w:rPr>
              <w:t>68</w:t>
            </w:r>
          </w:p>
          <w:p w14:paraId="56226DA1" w14:textId="6F16EB68" w:rsidR="00F471F5" w:rsidRPr="000B4E2C" w:rsidRDefault="00F471F5" w:rsidP="00F471F5">
            <w:pPr>
              <w:rPr>
                <w:color w:val="000000"/>
                <w:sz w:val="18"/>
                <w:szCs w:val="18"/>
                <w:lang w:val="en-GB" w:eastAsia="en-GB"/>
              </w:rPr>
            </w:pPr>
            <w:r w:rsidRPr="000B4E2C">
              <w:rPr>
                <w:sz w:val="18"/>
                <w:szCs w:val="18"/>
                <w:lang w:val="en-GB" w:eastAsia="en-GB"/>
              </w:rPr>
              <w:t>(51, 78)</w:t>
            </w:r>
          </w:p>
        </w:tc>
        <w:tc>
          <w:tcPr>
            <w:tcW w:w="0" w:type="auto"/>
            <w:shd w:val="clear" w:color="auto" w:fill="auto"/>
            <w:hideMark/>
          </w:tcPr>
          <w:p w14:paraId="01D4AA42" w14:textId="77777777" w:rsidR="00F471F5" w:rsidRPr="000B4E2C" w:rsidRDefault="00F471F5" w:rsidP="00F471F5">
            <w:pPr>
              <w:rPr>
                <w:color w:val="000000"/>
                <w:sz w:val="18"/>
                <w:szCs w:val="18"/>
                <w:lang w:val="en-GB" w:eastAsia="en-GB"/>
              </w:rPr>
            </w:pPr>
            <w:r w:rsidRPr="000B4E2C">
              <w:rPr>
                <w:sz w:val="18"/>
                <w:szCs w:val="18"/>
                <w:lang w:val="en-GB" w:eastAsia="en-GB"/>
              </w:rPr>
              <w:t>719</w:t>
            </w:r>
          </w:p>
        </w:tc>
        <w:tc>
          <w:tcPr>
            <w:tcW w:w="0" w:type="auto"/>
            <w:shd w:val="clear" w:color="auto" w:fill="auto"/>
            <w:hideMark/>
          </w:tcPr>
          <w:p w14:paraId="5694679D" w14:textId="77777777" w:rsidR="00F471F5" w:rsidRPr="000B4E2C" w:rsidRDefault="00F471F5" w:rsidP="00F471F5">
            <w:pPr>
              <w:rPr>
                <w:color w:val="000000"/>
                <w:sz w:val="18"/>
                <w:szCs w:val="18"/>
                <w:lang w:val="en-GB" w:eastAsia="en-GB"/>
              </w:rPr>
            </w:pPr>
            <w:r w:rsidRPr="000B4E2C">
              <w:rPr>
                <w:sz w:val="18"/>
                <w:szCs w:val="18"/>
                <w:lang w:val="en-GB" w:eastAsia="en-GB"/>
              </w:rPr>
              <w:t>234</w:t>
            </w:r>
          </w:p>
        </w:tc>
        <w:tc>
          <w:tcPr>
            <w:tcW w:w="0" w:type="auto"/>
            <w:shd w:val="clear" w:color="auto" w:fill="auto"/>
            <w:hideMark/>
          </w:tcPr>
          <w:p w14:paraId="1657D060"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41E1B14A" w14:textId="77777777" w:rsidR="00F471F5" w:rsidRPr="000B4E2C" w:rsidRDefault="00F471F5" w:rsidP="00F471F5">
            <w:pPr>
              <w:rPr>
                <w:sz w:val="18"/>
                <w:szCs w:val="18"/>
                <w:lang w:val="en-GB" w:eastAsia="en-GB"/>
              </w:rPr>
            </w:pPr>
            <w:r w:rsidRPr="000B4E2C">
              <w:rPr>
                <w:sz w:val="18"/>
                <w:szCs w:val="18"/>
                <w:lang w:val="en-GB" w:eastAsia="en-GB"/>
              </w:rPr>
              <w:t>NC(+)</w:t>
            </w:r>
          </w:p>
          <w:p w14:paraId="35F5E548" w14:textId="77777777" w:rsidR="000B4E2C" w:rsidRPr="000B4E2C" w:rsidRDefault="00F471F5" w:rsidP="00F471F5">
            <w:pPr>
              <w:rPr>
                <w:sz w:val="18"/>
                <w:szCs w:val="18"/>
                <w:lang w:val="en-GB" w:eastAsia="en-GB"/>
              </w:rPr>
            </w:pPr>
            <w:r w:rsidRPr="000B4E2C">
              <w:rPr>
                <w:sz w:val="18"/>
                <w:szCs w:val="18"/>
                <w:lang w:val="en-GB" w:eastAsia="en-GB"/>
              </w:rPr>
              <w:t>63%</w:t>
            </w:r>
          </w:p>
          <w:p w14:paraId="394DBE9A" w14:textId="77777777" w:rsidR="000B4E2C" w:rsidRPr="000B4E2C" w:rsidRDefault="00F471F5" w:rsidP="00F471F5">
            <w:pPr>
              <w:rPr>
                <w:sz w:val="18"/>
                <w:szCs w:val="18"/>
                <w:lang w:val="en-GB" w:eastAsia="en-GB"/>
              </w:rPr>
            </w:pPr>
            <w:r w:rsidRPr="000B4E2C">
              <w:rPr>
                <w:sz w:val="18"/>
                <w:szCs w:val="18"/>
                <w:lang w:val="en-GB" w:eastAsia="en-GB"/>
              </w:rPr>
              <w:t>NC(–)</w:t>
            </w:r>
          </w:p>
          <w:p w14:paraId="1F3F88F7" w14:textId="3569DCF0" w:rsidR="00F471F5" w:rsidRPr="000B4E2C" w:rsidRDefault="00F471F5" w:rsidP="00F471F5">
            <w:pPr>
              <w:rPr>
                <w:color w:val="000000"/>
                <w:sz w:val="18"/>
                <w:szCs w:val="18"/>
                <w:lang w:val="en-GB" w:eastAsia="en-GB"/>
              </w:rPr>
            </w:pPr>
            <w:r w:rsidRPr="000B4E2C">
              <w:rPr>
                <w:sz w:val="18"/>
                <w:szCs w:val="18"/>
                <w:lang w:val="en-GB" w:eastAsia="en-GB"/>
              </w:rPr>
              <w:t>59%</w:t>
            </w:r>
          </w:p>
        </w:tc>
        <w:tc>
          <w:tcPr>
            <w:tcW w:w="0" w:type="auto"/>
            <w:shd w:val="clear" w:color="auto" w:fill="auto"/>
            <w:hideMark/>
          </w:tcPr>
          <w:p w14:paraId="63762832"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46F0F668"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2529D15E"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F6BD212" w14:textId="77777777" w:rsidR="000B4E2C" w:rsidRPr="000B4E2C" w:rsidRDefault="00F471F5" w:rsidP="00F471F5">
            <w:pPr>
              <w:rPr>
                <w:sz w:val="18"/>
                <w:szCs w:val="18"/>
                <w:lang w:val="en-GB" w:eastAsia="en-GB"/>
              </w:rPr>
            </w:pPr>
            <w:r w:rsidRPr="000B4E2C">
              <w:rPr>
                <w:sz w:val="18"/>
                <w:szCs w:val="18"/>
                <w:lang w:val="en-GB" w:eastAsia="en-GB"/>
              </w:rPr>
              <w:t>AKI</w:t>
            </w:r>
          </w:p>
          <w:p w14:paraId="6ED7103F" w14:textId="7695E47F" w:rsidR="00F471F5" w:rsidRPr="000B4E2C" w:rsidRDefault="00F471F5" w:rsidP="00F471F5">
            <w:pPr>
              <w:rPr>
                <w:sz w:val="18"/>
                <w:szCs w:val="18"/>
                <w:lang w:val="en-GB" w:eastAsia="en-GB"/>
              </w:rPr>
            </w:pPr>
            <w:r w:rsidRPr="000B4E2C">
              <w:rPr>
                <w:sz w:val="18"/>
                <w:szCs w:val="18"/>
                <w:lang w:val="en-GB" w:eastAsia="en-GB"/>
              </w:rPr>
              <w:t>Stage</w:t>
            </w:r>
          </w:p>
          <w:p w14:paraId="4B9721D8" w14:textId="77777777" w:rsidR="00F471F5" w:rsidRPr="000B4E2C" w:rsidRDefault="00F471F5" w:rsidP="00F471F5">
            <w:pPr>
              <w:rPr>
                <w:sz w:val="18"/>
                <w:szCs w:val="18"/>
                <w:lang w:val="en-GB" w:eastAsia="en-GB"/>
              </w:rPr>
            </w:pPr>
            <w:r w:rsidRPr="000B4E2C">
              <w:rPr>
                <w:sz w:val="18"/>
                <w:szCs w:val="18"/>
                <w:lang w:val="en-GB" w:eastAsia="en-GB"/>
              </w:rPr>
              <w:t>2/3:</w:t>
            </w:r>
          </w:p>
          <w:p w14:paraId="7FFA371A" w14:textId="77777777" w:rsidR="00F471F5" w:rsidRPr="000B4E2C" w:rsidRDefault="00F471F5" w:rsidP="00F471F5">
            <w:pPr>
              <w:rPr>
                <w:color w:val="000000"/>
                <w:sz w:val="18"/>
                <w:szCs w:val="18"/>
                <w:lang w:val="en-GB" w:eastAsia="en-GB"/>
              </w:rPr>
            </w:pPr>
            <w:r w:rsidRPr="000B4E2C">
              <w:rPr>
                <w:sz w:val="18"/>
                <w:szCs w:val="18"/>
                <w:lang w:val="en-GB" w:eastAsia="en-GB"/>
              </w:rPr>
              <w:t>33</w:t>
            </w:r>
          </w:p>
        </w:tc>
        <w:tc>
          <w:tcPr>
            <w:tcW w:w="0" w:type="auto"/>
            <w:shd w:val="clear" w:color="auto" w:fill="auto"/>
            <w:hideMark/>
          </w:tcPr>
          <w:p w14:paraId="3D20E645" w14:textId="2F50FE0D" w:rsidR="00F471F5" w:rsidRPr="000B4E2C" w:rsidRDefault="00F471F5" w:rsidP="00F471F5">
            <w:pPr>
              <w:rPr>
                <w:color w:val="000000"/>
                <w:sz w:val="18"/>
                <w:szCs w:val="18"/>
                <w:lang w:val="en-GB" w:eastAsia="en-GB"/>
              </w:rPr>
            </w:pPr>
            <w:r w:rsidRPr="000B4E2C">
              <w:rPr>
                <w:sz w:val="18"/>
                <w:szCs w:val="18"/>
                <w:lang w:val="en-GB" w:eastAsia="en-GB"/>
              </w:rPr>
              <w:t xml:space="preserve">All patients </w:t>
            </w:r>
            <w:r w:rsidR="000B4E2C" w:rsidRPr="000B4E2C">
              <w:rPr>
                <w:color w:val="00B0F0"/>
                <w:sz w:val="18"/>
                <w:szCs w:val="18"/>
                <w:lang w:val="en-GB" w:eastAsia="en-GB"/>
              </w:rPr>
              <w:t>≥</w:t>
            </w:r>
            <w:r w:rsidR="000B4E2C" w:rsidRPr="000B4E2C">
              <w:rPr>
                <w:color w:val="00B0F0"/>
                <w:sz w:val="18"/>
                <w:szCs w:val="18"/>
                <w:lang w:val="en-GB" w:eastAsia="en-GB"/>
              </w:rPr>
              <w:t> </w:t>
            </w:r>
            <w:r w:rsidR="000B4E2C" w:rsidRPr="000B4E2C">
              <w:rPr>
                <w:color w:val="00B0F0"/>
                <w:sz w:val="18"/>
                <w:szCs w:val="18"/>
                <w:lang w:val="en-GB" w:eastAsia="en-GB"/>
              </w:rPr>
              <w:t>1</w:t>
            </w:r>
            <w:r w:rsidRPr="000B4E2C">
              <w:rPr>
                <w:sz w:val="18"/>
                <w:szCs w:val="18"/>
                <w:lang w:val="en-GB" w:eastAsia="en-GB"/>
              </w:rPr>
              <w:t>8 years old were included in the study</w:t>
            </w:r>
          </w:p>
        </w:tc>
        <w:tc>
          <w:tcPr>
            <w:tcW w:w="0" w:type="auto"/>
            <w:shd w:val="clear" w:color="auto" w:fill="auto"/>
            <w:hideMark/>
          </w:tcPr>
          <w:p w14:paraId="322EA86E" w14:textId="61BC8289" w:rsidR="00F471F5" w:rsidRPr="000B4E2C" w:rsidRDefault="00F471F5" w:rsidP="00F471F5">
            <w:pPr>
              <w:rPr>
                <w:sz w:val="18"/>
                <w:szCs w:val="18"/>
                <w:lang w:val="en-GB" w:eastAsia="en-GB"/>
              </w:rPr>
            </w:pPr>
            <w:r w:rsidRPr="000B4E2C">
              <w:rPr>
                <w:sz w:val="18"/>
                <w:szCs w:val="18"/>
                <w:lang w:val="en-GB" w:eastAsia="en-GB"/>
              </w:rPr>
              <w:t>Patients on chronic dialysis and with a life expectancy less than 2</w:t>
            </w:r>
            <w:r w:rsidR="000B4E2C" w:rsidRPr="000B4E2C">
              <w:rPr>
                <w:color w:val="00B0F0"/>
                <w:sz w:val="18"/>
                <w:szCs w:val="18"/>
                <w:lang w:val="en-GB" w:eastAsia="en-GB"/>
              </w:rPr>
              <w:t>4</w:t>
            </w:r>
            <w:r w:rsidR="000B4E2C" w:rsidRPr="000B4E2C">
              <w:rPr>
                <w:color w:val="00B0F0"/>
                <w:sz w:val="18"/>
                <w:szCs w:val="18"/>
                <w:lang w:val="en-GB" w:eastAsia="en-GB"/>
              </w:rPr>
              <w:t> </w:t>
            </w:r>
            <w:r w:rsidR="000B4E2C" w:rsidRPr="000B4E2C">
              <w:rPr>
                <w:color w:val="00B0F0"/>
                <w:sz w:val="18"/>
                <w:szCs w:val="18"/>
                <w:lang w:val="en-GB" w:eastAsia="en-GB"/>
              </w:rPr>
              <w:t xml:space="preserve">h </w:t>
            </w:r>
            <w:r w:rsidRPr="000B4E2C">
              <w:rPr>
                <w:sz w:val="18"/>
                <w:szCs w:val="18"/>
                <w:lang w:val="en-GB" w:eastAsia="en-GB"/>
              </w:rPr>
              <w:t>were excluded</w:t>
            </w:r>
          </w:p>
        </w:tc>
      </w:tr>
      <w:tr w:rsidR="000B4E2C" w:rsidRPr="000B4E2C" w14:paraId="3BFEA36E" w14:textId="77777777" w:rsidTr="000B4E2C">
        <w:trPr>
          <w:cantSplit/>
        </w:trPr>
        <w:tc>
          <w:tcPr>
            <w:tcW w:w="0" w:type="auto"/>
            <w:shd w:val="clear" w:color="auto" w:fill="auto"/>
            <w:hideMark/>
          </w:tcPr>
          <w:p w14:paraId="7C0DA1D4" w14:textId="5B137968" w:rsidR="00F471F5" w:rsidRPr="000B4E2C" w:rsidRDefault="00F471F5" w:rsidP="00F471F5">
            <w:pPr>
              <w:rPr>
                <w:color w:val="000000"/>
                <w:sz w:val="18"/>
                <w:szCs w:val="18"/>
                <w:lang w:val="en-GB" w:eastAsia="en-GB"/>
              </w:rPr>
            </w:pPr>
            <w:r w:rsidRPr="000B4E2C">
              <w:rPr>
                <w:sz w:val="18"/>
                <w:szCs w:val="18"/>
                <w:lang w:val="en-GB" w:eastAsia="en-GB"/>
              </w:rPr>
              <w:lastRenderedPageBreak/>
              <w:t>Kimmel 2016,</w:t>
            </w:r>
            <w:r w:rsidRPr="000B4E2C">
              <w:rPr>
                <w:sz w:val="18"/>
                <w:szCs w:val="18"/>
                <w:vertAlign w:val="superscript"/>
                <w:lang w:val="en-GB" w:eastAsia="en-GB"/>
              </w:rPr>
              <w:t>38</w:t>
            </w:r>
            <w:r w:rsidRPr="000B4E2C">
              <w:rPr>
                <w:sz w:val="18"/>
                <w:szCs w:val="18"/>
                <w:lang w:val="en-GB" w:eastAsia="en-GB"/>
              </w:rPr>
              <w:t xml:space="preserve"> Germany</w:t>
            </w:r>
          </w:p>
        </w:tc>
        <w:tc>
          <w:tcPr>
            <w:tcW w:w="0" w:type="auto"/>
            <w:shd w:val="clear" w:color="auto" w:fill="auto"/>
            <w:hideMark/>
          </w:tcPr>
          <w:p w14:paraId="3206394D" w14:textId="77777777" w:rsidR="00F471F5" w:rsidRPr="000B4E2C" w:rsidRDefault="00F471F5" w:rsidP="00F471F5">
            <w:pPr>
              <w:rPr>
                <w:color w:val="000000"/>
                <w:sz w:val="18"/>
                <w:szCs w:val="18"/>
                <w:lang w:val="en-GB" w:eastAsia="en-GB"/>
              </w:rPr>
            </w:pPr>
            <w:r w:rsidRPr="000B4E2C">
              <w:rPr>
                <w:sz w:val="18"/>
                <w:szCs w:val="18"/>
                <w:lang w:val="en-GB" w:eastAsia="en-GB"/>
              </w:rPr>
              <w:t>NephC, Astute Medical, uNGAL, BioPorto &amp; pNGAL BioPorto</w:t>
            </w:r>
          </w:p>
        </w:tc>
        <w:tc>
          <w:tcPr>
            <w:tcW w:w="0" w:type="auto"/>
            <w:shd w:val="clear" w:color="auto" w:fill="auto"/>
            <w:hideMark/>
          </w:tcPr>
          <w:p w14:paraId="33D11F68" w14:textId="77777777" w:rsidR="00F471F5" w:rsidRPr="000B4E2C" w:rsidRDefault="00F471F5" w:rsidP="00F471F5">
            <w:pPr>
              <w:rPr>
                <w:color w:val="000000"/>
                <w:sz w:val="18"/>
                <w:szCs w:val="18"/>
                <w:lang w:val="en-GB" w:eastAsia="en-GB"/>
              </w:rPr>
            </w:pPr>
            <w:r w:rsidRPr="000B4E2C">
              <w:rPr>
                <w:sz w:val="18"/>
                <w:szCs w:val="18"/>
                <w:lang w:val="en-GB" w:eastAsia="en-GB"/>
              </w:rPr>
              <w:t>63 (14)</w:t>
            </w:r>
          </w:p>
        </w:tc>
        <w:tc>
          <w:tcPr>
            <w:tcW w:w="0" w:type="auto"/>
            <w:shd w:val="clear" w:color="auto" w:fill="auto"/>
            <w:hideMark/>
          </w:tcPr>
          <w:p w14:paraId="78AEA9DA" w14:textId="77777777" w:rsidR="00F471F5" w:rsidRPr="000B4E2C" w:rsidRDefault="00F471F5" w:rsidP="00F471F5">
            <w:pPr>
              <w:rPr>
                <w:color w:val="000000"/>
                <w:sz w:val="18"/>
                <w:szCs w:val="18"/>
                <w:lang w:val="en-GB" w:eastAsia="en-GB"/>
              </w:rPr>
            </w:pPr>
            <w:r w:rsidRPr="000B4E2C">
              <w:rPr>
                <w:sz w:val="18"/>
                <w:szCs w:val="18"/>
                <w:lang w:val="en-GB" w:eastAsia="en-GB"/>
              </w:rPr>
              <w:t>298</w:t>
            </w:r>
          </w:p>
        </w:tc>
        <w:tc>
          <w:tcPr>
            <w:tcW w:w="0" w:type="auto"/>
            <w:shd w:val="clear" w:color="auto" w:fill="auto"/>
            <w:hideMark/>
          </w:tcPr>
          <w:p w14:paraId="5FB6FE90" w14:textId="77777777" w:rsidR="00F471F5" w:rsidRPr="000B4E2C" w:rsidRDefault="00F471F5" w:rsidP="00F471F5">
            <w:pPr>
              <w:rPr>
                <w:color w:val="000000"/>
                <w:sz w:val="18"/>
                <w:szCs w:val="18"/>
                <w:lang w:val="en-GB" w:eastAsia="en-GB"/>
              </w:rPr>
            </w:pPr>
            <w:r w:rsidRPr="000B4E2C">
              <w:rPr>
                <w:sz w:val="18"/>
                <w:szCs w:val="18"/>
                <w:lang w:val="en-GB" w:eastAsia="en-GB"/>
              </w:rPr>
              <w:t>46</w:t>
            </w:r>
          </w:p>
        </w:tc>
        <w:tc>
          <w:tcPr>
            <w:tcW w:w="0" w:type="auto"/>
            <w:shd w:val="clear" w:color="auto" w:fill="auto"/>
            <w:hideMark/>
          </w:tcPr>
          <w:p w14:paraId="0A50C996" w14:textId="77777777" w:rsidR="00F471F5" w:rsidRPr="000B4E2C" w:rsidRDefault="00F471F5" w:rsidP="00F471F5">
            <w:pPr>
              <w:rPr>
                <w:sz w:val="18"/>
                <w:szCs w:val="18"/>
                <w:lang w:val="en-GB" w:eastAsia="en-GB"/>
              </w:rPr>
            </w:pPr>
            <w:r w:rsidRPr="000B4E2C">
              <w:rPr>
                <w:sz w:val="18"/>
                <w:szCs w:val="18"/>
                <w:lang w:val="en-GB" w:eastAsia="en-GB"/>
              </w:rPr>
              <w:t>KDIGO</w:t>
            </w:r>
          </w:p>
          <w:p w14:paraId="585228DA" w14:textId="77777777" w:rsidR="00F471F5" w:rsidRPr="000B4E2C" w:rsidRDefault="00F471F5" w:rsidP="00F471F5">
            <w:pPr>
              <w:rPr>
                <w:color w:val="000000"/>
                <w:sz w:val="18"/>
                <w:szCs w:val="18"/>
                <w:lang w:val="en-GB" w:eastAsia="en-GB"/>
              </w:rPr>
            </w:pPr>
            <w:r w:rsidRPr="000B4E2C">
              <w:rPr>
                <w:sz w:val="18"/>
                <w:szCs w:val="18"/>
                <w:lang w:val="en-GB" w:eastAsia="en-GB"/>
              </w:rPr>
              <w:t>(modified version)</w:t>
            </w:r>
          </w:p>
        </w:tc>
        <w:tc>
          <w:tcPr>
            <w:tcW w:w="0" w:type="auto"/>
            <w:shd w:val="clear" w:color="auto" w:fill="auto"/>
            <w:hideMark/>
          </w:tcPr>
          <w:p w14:paraId="62F61739" w14:textId="77777777" w:rsidR="00F471F5" w:rsidRPr="000B4E2C" w:rsidRDefault="00F471F5" w:rsidP="00F471F5">
            <w:pPr>
              <w:rPr>
                <w:color w:val="000000"/>
                <w:sz w:val="18"/>
                <w:szCs w:val="18"/>
                <w:lang w:val="en-GB" w:eastAsia="en-GB"/>
              </w:rPr>
            </w:pPr>
            <w:r w:rsidRPr="000B4E2C">
              <w:rPr>
                <w:sz w:val="18"/>
                <w:szCs w:val="18"/>
                <w:lang w:val="en-GB" w:eastAsia="en-GB"/>
              </w:rPr>
              <w:t>72%</w:t>
            </w:r>
          </w:p>
        </w:tc>
        <w:tc>
          <w:tcPr>
            <w:tcW w:w="0" w:type="auto"/>
            <w:shd w:val="clear" w:color="auto" w:fill="auto"/>
            <w:hideMark/>
          </w:tcPr>
          <w:p w14:paraId="15E5D25B"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2CC3AF12"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A20205A"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D85FC3A"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482A2D9D" w14:textId="77283050" w:rsidR="00F471F5" w:rsidRPr="000B4E2C" w:rsidRDefault="00F471F5" w:rsidP="00F471F5">
            <w:pPr>
              <w:rPr>
                <w:color w:val="000000"/>
                <w:sz w:val="18"/>
                <w:szCs w:val="18"/>
                <w:lang w:val="en-GB" w:eastAsia="en-GB"/>
              </w:rPr>
            </w:pPr>
            <w:r w:rsidRPr="000B4E2C">
              <w:rPr>
                <w:sz w:val="18"/>
                <w:szCs w:val="18"/>
                <w:lang w:val="en-GB" w:eastAsia="en-GB"/>
              </w:rPr>
              <w:t xml:space="preserve">Age </w:t>
            </w:r>
            <w:r w:rsidR="000B4E2C" w:rsidRPr="000B4E2C">
              <w:rPr>
                <w:color w:val="00B0F0"/>
                <w:sz w:val="18"/>
                <w:szCs w:val="18"/>
                <w:lang w:val="en-GB" w:eastAsia="en-GB"/>
              </w:rPr>
              <w:t>≥</w:t>
            </w:r>
            <w:r w:rsidR="000B4E2C" w:rsidRPr="000B4E2C">
              <w:rPr>
                <w:color w:val="00B0F0"/>
                <w:sz w:val="18"/>
                <w:szCs w:val="18"/>
                <w:lang w:val="en-GB" w:eastAsia="en-GB"/>
              </w:rPr>
              <w:t> </w:t>
            </w:r>
            <w:r w:rsidR="000B4E2C" w:rsidRPr="000B4E2C">
              <w:rPr>
                <w:color w:val="00B0F0"/>
                <w:sz w:val="18"/>
                <w:szCs w:val="18"/>
                <w:lang w:val="en-GB" w:eastAsia="en-GB"/>
              </w:rPr>
              <w:t>1</w:t>
            </w:r>
            <w:r w:rsidRPr="000B4E2C">
              <w:rPr>
                <w:sz w:val="18"/>
                <w:szCs w:val="18"/>
                <w:lang w:val="en-GB" w:eastAsia="en-GB"/>
              </w:rPr>
              <w:t xml:space="preserve">8 years, willingness to sign an informed consent form, admission to the internal medicine service of the hospital, and haemoglobin level </w:t>
            </w:r>
            <w:r w:rsidR="000B4E2C" w:rsidRPr="000B4E2C">
              <w:rPr>
                <w:color w:val="00B0F0"/>
                <w:sz w:val="18"/>
                <w:szCs w:val="18"/>
                <w:lang w:val="en-GB" w:eastAsia="en-GB"/>
              </w:rPr>
              <w:t>≥</w:t>
            </w:r>
            <w:r w:rsidR="000B4E2C" w:rsidRPr="000B4E2C">
              <w:rPr>
                <w:color w:val="00B0F0"/>
                <w:sz w:val="18"/>
                <w:szCs w:val="18"/>
                <w:lang w:val="en-GB" w:eastAsia="en-GB"/>
              </w:rPr>
              <w:t> </w:t>
            </w:r>
            <w:r w:rsidR="000B4E2C" w:rsidRPr="000B4E2C">
              <w:rPr>
                <w:color w:val="00B0F0"/>
                <w:sz w:val="18"/>
                <w:szCs w:val="18"/>
                <w:lang w:val="en-GB" w:eastAsia="en-GB"/>
              </w:rPr>
              <w:t>9</w:t>
            </w:r>
            <w:r w:rsidRPr="000B4E2C">
              <w:rPr>
                <w:sz w:val="18"/>
                <w:szCs w:val="18"/>
                <w:lang w:val="en-GB" w:eastAsia="en-GB"/>
              </w:rPr>
              <w:t xml:space="preserve">.5 g/dl (women) or </w:t>
            </w:r>
            <w:r w:rsidR="000B4E2C" w:rsidRPr="000B4E2C">
              <w:rPr>
                <w:color w:val="00B0F0"/>
                <w:sz w:val="18"/>
                <w:szCs w:val="18"/>
                <w:lang w:val="en-GB" w:eastAsia="en-GB"/>
              </w:rPr>
              <w:t>≥</w:t>
            </w:r>
            <w:r w:rsidR="000B4E2C" w:rsidRPr="000B4E2C">
              <w:rPr>
                <w:color w:val="00B0F0"/>
                <w:sz w:val="18"/>
                <w:szCs w:val="18"/>
                <w:lang w:val="en-GB" w:eastAsia="en-GB"/>
              </w:rPr>
              <w:t> </w:t>
            </w:r>
            <w:r w:rsidR="000B4E2C" w:rsidRPr="000B4E2C">
              <w:rPr>
                <w:color w:val="00B0F0"/>
                <w:sz w:val="18"/>
                <w:szCs w:val="18"/>
                <w:lang w:val="en-GB" w:eastAsia="en-GB"/>
              </w:rPr>
              <w:t>1</w:t>
            </w:r>
            <w:r w:rsidRPr="000B4E2C">
              <w:rPr>
                <w:sz w:val="18"/>
                <w:szCs w:val="18"/>
                <w:lang w:val="en-GB" w:eastAsia="en-GB"/>
              </w:rPr>
              <w:t>0.5 g/dl (men)</w:t>
            </w:r>
          </w:p>
        </w:tc>
        <w:tc>
          <w:tcPr>
            <w:tcW w:w="0" w:type="auto"/>
            <w:shd w:val="clear" w:color="auto" w:fill="auto"/>
            <w:hideMark/>
          </w:tcPr>
          <w:p w14:paraId="1524B349" w14:textId="77777777" w:rsidR="00F471F5" w:rsidRPr="000B4E2C" w:rsidRDefault="00F471F5" w:rsidP="00F471F5">
            <w:pPr>
              <w:rPr>
                <w:sz w:val="18"/>
                <w:szCs w:val="18"/>
                <w:lang w:val="en-GB" w:eastAsia="en-GB"/>
              </w:rPr>
            </w:pPr>
            <w:r w:rsidRPr="000B4E2C">
              <w:rPr>
                <w:sz w:val="18"/>
                <w:szCs w:val="18"/>
                <w:lang w:val="en-GB" w:eastAsia="en-GB"/>
              </w:rPr>
              <w:t>Dialysis requirement, pregnancy, or failure to meet any of the inclusion criteria</w:t>
            </w:r>
          </w:p>
        </w:tc>
      </w:tr>
      <w:tr w:rsidR="000B4E2C" w:rsidRPr="000B4E2C" w14:paraId="2FAC602A" w14:textId="77777777" w:rsidTr="000B4E2C">
        <w:trPr>
          <w:cantSplit/>
        </w:trPr>
        <w:tc>
          <w:tcPr>
            <w:tcW w:w="0" w:type="auto"/>
            <w:shd w:val="clear" w:color="auto" w:fill="auto"/>
            <w:hideMark/>
          </w:tcPr>
          <w:p w14:paraId="32D0775F" w14:textId="29A6A446" w:rsidR="00F471F5" w:rsidRPr="000B4E2C" w:rsidRDefault="00F471F5" w:rsidP="00F471F5">
            <w:pPr>
              <w:rPr>
                <w:color w:val="000000"/>
                <w:sz w:val="18"/>
                <w:szCs w:val="18"/>
                <w:lang w:val="en-GB" w:eastAsia="en-GB"/>
              </w:rPr>
            </w:pPr>
            <w:r w:rsidRPr="000B4E2C">
              <w:rPr>
                <w:sz w:val="18"/>
                <w:szCs w:val="18"/>
                <w:lang w:val="en-GB" w:eastAsia="en-GB"/>
              </w:rPr>
              <w:t>Gayat 2018,</w:t>
            </w:r>
            <w:r w:rsidRPr="000B4E2C">
              <w:rPr>
                <w:sz w:val="18"/>
                <w:szCs w:val="18"/>
                <w:vertAlign w:val="superscript"/>
                <w:lang w:val="en-GB" w:eastAsia="en-GB"/>
              </w:rPr>
              <w:t>34</w:t>
            </w:r>
            <w:r w:rsidRPr="000B4E2C">
              <w:rPr>
                <w:sz w:val="18"/>
                <w:szCs w:val="18"/>
                <w:lang w:val="en-GB" w:eastAsia="en-GB"/>
              </w:rPr>
              <w:t xml:space="preserve"> France</w:t>
            </w:r>
          </w:p>
        </w:tc>
        <w:tc>
          <w:tcPr>
            <w:tcW w:w="0" w:type="auto"/>
            <w:shd w:val="clear" w:color="auto" w:fill="auto"/>
            <w:hideMark/>
          </w:tcPr>
          <w:p w14:paraId="02804B23" w14:textId="77777777" w:rsidR="00F471F5" w:rsidRPr="000B4E2C" w:rsidRDefault="00F471F5" w:rsidP="00F471F5">
            <w:pPr>
              <w:rPr>
                <w:color w:val="000000"/>
                <w:sz w:val="18"/>
                <w:szCs w:val="18"/>
                <w:lang w:val="en-GB" w:eastAsia="en-GB"/>
              </w:rPr>
            </w:pPr>
            <w:r w:rsidRPr="000B4E2C">
              <w:rPr>
                <w:sz w:val="18"/>
                <w:szCs w:val="18"/>
                <w:lang w:val="en-GB" w:eastAsia="en-GB"/>
              </w:rPr>
              <w:t xml:space="preserve">NephC, Astute Medical </w:t>
            </w:r>
          </w:p>
        </w:tc>
        <w:tc>
          <w:tcPr>
            <w:tcW w:w="0" w:type="auto"/>
            <w:shd w:val="clear" w:color="auto" w:fill="auto"/>
            <w:hideMark/>
          </w:tcPr>
          <w:p w14:paraId="0770DCFB" w14:textId="77777777" w:rsidR="000B4E2C" w:rsidRPr="000B4E2C" w:rsidRDefault="00F471F5" w:rsidP="00F471F5">
            <w:pPr>
              <w:rPr>
                <w:sz w:val="18"/>
                <w:szCs w:val="18"/>
                <w:lang w:val="en-GB" w:eastAsia="en-GB"/>
              </w:rPr>
            </w:pPr>
            <w:r w:rsidRPr="000B4E2C">
              <w:rPr>
                <w:sz w:val="18"/>
                <w:szCs w:val="18"/>
                <w:lang w:val="en-GB" w:eastAsia="en-GB"/>
              </w:rPr>
              <w:t>65</w:t>
            </w:r>
          </w:p>
          <w:p w14:paraId="3BF5899E" w14:textId="1666F926" w:rsidR="00F471F5" w:rsidRPr="000B4E2C" w:rsidRDefault="00F471F5" w:rsidP="00F471F5">
            <w:pPr>
              <w:rPr>
                <w:color w:val="000000"/>
                <w:sz w:val="18"/>
                <w:szCs w:val="18"/>
                <w:lang w:val="en-GB" w:eastAsia="en-GB"/>
              </w:rPr>
            </w:pPr>
            <w:r w:rsidRPr="000B4E2C">
              <w:rPr>
                <w:sz w:val="18"/>
                <w:szCs w:val="18"/>
                <w:lang w:val="en-GB" w:eastAsia="en-GB"/>
              </w:rPr>
              <w:t>(54, 75)</w:t>
            </w:r>
          </w:p>
        </w:tc>
        <w:tc>
          <w:tcPr>
            <w:tcW w:w="0" w:type="auto"/>
            <w:shd w:val="clear" w:color="auto" w:fill="auto"/>
            <w:hideMark/>
          </w:tcPr>
          <w:p w14:paraId="55AD3888" w14:textId="77777777" w:rsidR="00F471F5" w:rsidRPr="000B4E2C" w:rsidRDefault="00F471F5" w:rsidP="00F471F5">
            <w:pPr>
              <w:rPr>
                <w:color w:val="000000"/>
                <w:sz w:val="18"/>
                <w:szCs w:val="18"/>
                <w:lang w:val="en-GB" w:eastAsia="en-GB"/>
              </w:rPr>
            </w:pPr>
            <w:r w:rsidRPr="000B4E2C">
              <w:rPr>
                <w:sz w:val="18"/>
                <w:szCs w:val="18"/>
                <w:lang w:val="en-GB" w:eastAsia="en-GB"/>
              </w:rPr>
              <w:t>200</w:t>
            </w:r>
          </w:p>
        </w:tc>
        <w:tc>
          <w:tcPr>
            <w:tcW w:w="0" w:type="auto"/>
            <w:shd w:val="clear" w:color="auto" w:fill="auto"/>
            <w:hideMark/>
          </w:tcPr>
          <w:p w14:paraId="715E93D8" w14:textId="77777777" w:rsidR="00F471F5" w:rsidRPr="000B4E2C" w:rsidRDefault="00F471F5" w:rsidP="00F471F5">
            <w:pPr>
              <w:rPr>
                <w:color w:val="000000"/>
                <w:sz w:val="18"/>
                <w:szCs w:val="18"/>
                <w:lang w:val="en-GB" w:eastAsia="en-GB"/>
              </w:rPr>
            </w:pPr>
            <w:r w:rsidRPr="000B4E2C">
              <w:rPr>
                <w:sz w:val="18"/>
                <w:szCs w:val="18"/>
                <w:lang w:val="en-GB" w:eastAsia="en-GB"/>
              </w:rPr>
              <w:t>Unclear</w:t>
            </w:r>
          </w:p>
        </w:tc>
        <w:tc>
          <w:tcPr>
            <w:tcW w:w="0" w:type="auto"/>
            <w:shd w:val="clear" w:color="auto" w:fill="auto"/>
            <w:hideMark/>
          </w:tcPr>
          <w:p w14:paraId="545AA886"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34FFFB9D" w14:textId="77777777" w:rsidR="00F471F5" w:rsidRPr="000B4E2C" w:rsidRDefault="00F471F5" w:rsidP="00F471F5">
            <w:pPr>
              <w:rPr>
                <w:color w:val="000000"/>
                <w:sz w:val="18"/>
                <w:szCs w:val="18"/>
                <w:lang w:val="en-GB" w:eastAsia="en-GB"/>
              </w:rPr>
            </w:pPr>
            <w:r w:rsidRPr="000B4E2C">
              <w:rPr>
                <w:sz w:val="18"/>
                <w:szCs w:val="18"/>
                <w:lang w:val="en-GB" w:eastAsia="en-GB"/>
              </w:rPr>
              <w:t>78%</w:t>
            </w:r>
          </w:p>
        </w:tc>
        <w:tc>
          <w:tcPr>
            <w:tcW w:w="0" w:type="auto"/>
            <w:shd w:val="clear" w:color="auto" w:fill="auto"/>
            <w:hideMark/>
          </w:tcPr>
          <w:p w14:paraId="5B649531"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3CBC6CDD"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23A941FD"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2F55495F" w14:textId="77777777" w:rsidR="00F471F5" w:rsidRPr="000B4E2C" w:rsidRDefault="00F471F5" w:rsidP="00F471F5">
            <w:pPr>
              <w:rPr>
                <w:sz w:val="18"/>
                <w:szCs w:val="18"/>
                <w:lang w:val="en-GB" w:eastAsia="en-GB"/>
              </w:rPr>
            </w:pPr>
            <w:r w:rsidRPr="000B4E2C">
              <w:rPr>
                <w:sz w:val="18"/>
                <w:szCs w:val="18"/>
                <w:lang w:val="en-GB" w:eastAsia="en-GB"/>
              </w:rPr>
              <w:t>NR</w:t>
            </w:r>
          </w:p>
        </w:tc>
        <w:tc>
          <w:tcPr>
            <w:tcW w:w="0" w:type="auto"/>
            <w:shd w:val="clear" w:color="auto" w:fill="auto"/>
            <w:hideMark/>
          </w:tcPr>
          <w:p w14:paraId="75EC9FC5" w14:textId="77777777" w:rsidR="00F471F5" w:rsidRPr="000B4E2C" w:rsidRDefault="00F471F5" w:rsidP="00F471F5">
            <w:pPr>
              <w:rPr>
                <w:sz w:val="18"/>
                <w:szCs w:val="18"/>
                <w:lang w:val="en-GB" w:eastAsia="en-GB"/>
              </w:rPr>
            </w:pPr>
            <w:r w:rsidRPr="000B4E2C">
              <w:rPr>
                <w:sz w:val="18"/>
                <w:szCs w:val="18"/>
                <w:lang w:val="en-GB" w:eastAsia="en-GB"/>
              </w:rPr>
              <w:t>NR</w:t>
            </w:r>
          </w:p>
        </w:tc>
        <w:tc>
          <w:tcPr>
            <w:tcW w:w="0" w:type="auto"/>
            <w:shd w:val="clear" w:color="auto" w:fill="auto"/>
            <w:hideMark/>
          </w:tcPr>
          <w:p w14:paraId="11BA35BD" w14:textId="77777777" w:rsidR="00F471F5" w:rsidRPr="000B4E2C" w:rsidRDefault="00F471F5" w:rsidP="00F471F5">
            <w:pPr>
              <w:rPr>
                <w:sz w:val="18"/>
                <w:szCs w:val="18"/>
                <w:lang w:val="en-GB" w:eastAsia="en-GB"/>
              </w:rPr>
            </w:pPr>
            <w:r w:rsidRPr="000B4E2C">
              <w:rPr>
                <w:sz w:val="18"/>
                <w:szCs w:val="18"/>
                <w:lang w:val="en-GB" w:eastAsia="en-GB"/>
              </w:rPr>
              <w:t>NR</w:t>
            </w:r>
          </w:p>
        </w:tc>
      </w:tr>
      <w:tr w:rsidR="000B4E2C" w:rsidRPr="000B4E2C" w14:paraId="0E00F04C" w14:textId="77777777" w:rsidTr="000B4E2C">
        <w:trPr>
          <w:cantSplit/>
        </w:trPr>
        <w:tc>
          <w:tcPr>
            <w:tcW w:w="0" w:type="auto"/>
            <w:shd w:val="clear" w:color="auto" w:fill="auto"/>
            <w:hideMark/>
          </w:tcPr>
          <w:p w14:paraId="02F1F032" w14:textId="53806628" w:rsidR="00F471F5" w:rsidRPr="000B4E2C" w:rsidRDefault="00F471F5" w:rsidP="00F471F5">
            <w:pPr>
              <w:rPr>
                <w:color w:val="000000"/>
                <w:sz w:val="18"/>
                <w:szCs w:val="18"/>
                <w:lang w:val="en-GB" w:eastAsia="en-GB"/>
              </w:rPr>
            </w:pPr>
            <w:r w:rsidRPr="000B4E2C">
              <w:rPr>
                <w:sz w:val="18"/>
                <w:szCs w:val="18"/>
                <w:lang w:val="en-GB" w:eastAsia="en-GB"/>
              </w:rPr>
              <w:t>Zelt 2018,</w:t>
            </w:r>
            <w:r w:rsidRPr="000B4E2C">
              <w:rPr>
                <w:sz w:val="18"/>
                <w:szCs w:val="18"/>
                <w:vertAlign w:val="superscript"/>
                <w:lang w:val="en-GB" w:eastAsia="en-GB"/>
              </w:rPr>
              <w:t>82</w:t>
            </w:r>
            <w:r w:rsidRPr="000B4E2C">
              <w:rPr>
                <w:sz w:val="18"/>
                <w:szCs w:val="18"/>
                <w:lang w:val="en-GB" w:eastAsia="en-GB"/>
              </w:rPr>
              <w:t xml:space="preserve"> USA</w:t>
            </w:r>
          </w:p>
        </w:tc>
        <w:tc>
          <w:tcPr>
            <w:tcW w:w="0" w:type="auto"/>
            <w:shd w:val="clear" w:color="auto" w:fill="auto"/>
            <w:hideMark/>
          </w:tcPr>
          <w:p w14:paraId="169865D7" w14:textId="77777777" w:rsidR="00F471F5" w:rsidRPr="000B4E2C" w:rsidRDefault="00F471F5" w:rsidP="00F471F5">
            <w:pPr>
              <w:rPr>
                <w:color w:val="000000"/>
                <w:sz w:val="18"/>
                <w:szCs w:val="18"/>
                <w:lang w:val="en-GB" w:eastAsia="en-GB"/>
              </w:rPr>
            </w:pPr>
            <w:r w:rsidRPr="000B4E2C">
              <w:rPr>
                <w:sz w:val="18"/>
                <w:szCs w:val="18"/>
                <w:lang w:val="en-GB" w:eastAsia="en-GB"/>
              </w:rPr>
              <w:t>pNGAL, BioPorto</w:t>
            </w:r>
          </w:p>
        </w:tc>
        <w:tc>
          <w:tcPr>
            <w:tcW w:w="0" w:type="auto"/>
            <w:shd w:val="clear" w:color="auto" w:fill="auto"/>
            <w:hideMark/>
          </w:tcPr>
          <w:p w14:paraId="4435FB78" w14:textId="77777777" w:rsidR="000B4E2C" w:rsidRPr="000B4E2C" w:rsidRDefault="00F471F5" w:rsidP="00F471F5">
            <w:pPr>
              <w:rPr>
                <w:sz w:val="18"/>
                <w:szCs w:val="18"/>
                <w:lang w:val="en-GB" w:eastAsia="en-GB"/>
              </w:rPr>
            </w:pPr>
            <w:r w:rsidRPr="000B4E2C">
              <w:rPr>
                <w:sz w:val="18"/>
                <w:szCs w:val="18"/>
                <w:lang w:val="en-GB" w:eastAsia="en-GB"/>
              </w:rPr>
              <w:t>67</w:t>
            </w:r>
          </w:p>
          <w:p w14:paraId="40528B85" w14:textId="0FDA492D" w:rsidR="00F471F5" w:rsidRPr="000B4E2C" w:rsidRDefault="00F471F5" w:rsidP="00F471F5">
            <w:pPr>
              <w:rPr>
                <w:color w:val="000000"/>
                <w:sz w:val="18"/>
                <w:szCs w:val="18"/>
                <w:lang w:val="en-GB" w:eastAsia="en-GB"/>
              </w:rPr>
            </w:pPr>
            <w:r w:rsidRPr="000B4E2C">
              <w:rPr>
                <w:sz w:val="18"/>
                <w:szCs w:val="18"/>
                <w:lang w:val="en-GB" w:eastAsia="en-GB"/>
              </w:rPr>
              <w:t>(61, 73)</w:t>
            </w:r>
          </w:p>
        </w:tc>
        <w:tc>
          <w:tcPr>
            <w:tcW w:w="0" w:type="auto"/>
            <w:shd w:val="clear" w:color="auto" w:fill="auto"/>
            <w:hideMark/>
          </w:tcPr>
          <w:p w14:paraId="39BF4775" w14:textId="77777777" w:rsidR="00F471F5" w:rsidRPr="000B4E2C" w:rsidRDefault="00F471F5" w:rsidP="00F471F5">
            <w:pPr>
              <w:rPr>
                <w:color w:val="000000"/>
                <w:sz w:val="18"/>
                <w:szCs w:val="18"/>
                <w:lang w:val="en-GB" w:eastAsia="en-GB"/>
              </w:rPr>
            </w:pPr>
            <w:r w:rsidRPr="000B4E2C">
              <w:rPr>
                <w:sz w:val="18"/>
                <w:szCs w:val="18"/>
                <w:lang w:val="en-GB" w:eastAsia="en-GB"/>
              </w:rPr>
              <w:t>178</w:t>
            </w:r>
          </w:p>
        </w:tc>
        <w:tc>
          <w:tcPr>
            <w:tcW w:w="0" w:type="auto"/>
            <w:shd w:val="clear" w:color="auto" w:fill="auto"/>
            <w:hideMark/>
          </w:tcPr>
          <w:p w14:paraId="7A251AAF" w14:textId="77777777" w:rsidR="00F471F5" w:rsidRPr="000B4E2C" w:rsidRDefault="00F471F5" w:rsidP="00F471F5">
            <w:pPr>
              <w:rPr>
                <w:color w:val="000000"/>
                <w:sz w:val="18"/>
                <w:szCs w:val="18"/>
                <w:lang w:val="en-GB" w:eastAsia="en-GB"/>
              </w:rPr>
            </w:pPr>
            <w:r w:rsidRPr="000B4E2C">
              <w:rPr>
                <w:sz w:val="18"/>
                <w:szCs w:val="18"/>
                <w:lang w:val="en-GB" w:eastAsia="en-GB"/>
              </w:rPr>
              <w:t>35</w:t>
            </w:r>
          </w:p>
        </w:tc>
        <w:tc>
          <w:tcPr>
            <w:tcW w:w="0" w:type="auto"/>
            <w:shd w:val="clear" w:color="auto" w:fill="auto"/>
            <w:hideMark/>
          </w:tcPr>
          <w:p w14:paraId="7C7D9AD7" w14:textId="77777777" w:rsidR="00F471F5" w:rsidRPr="000B4E2C" w:rsidRDefault="00F471F5" w:rsidP="00F471F5">
            <w:pPr>
              <w:rPr>
                <w:color w:val="000000"/>
                <w:sz w:val="18"/>
                <w:szCs w:val="18"/>
                <w:lang w:val="en-GB" w:eastAsia="en-GB"/>
              </w:rPr>
            </w:pPr>
            <w:r w:rsidRPr="000B4E2C">
              <w:rPr>
                <w:sz w:val="18"/>
                <w:szCs w:val="18"/>
                <w:lang w:val="en-GB" w:eastAsia="en-GB"/>
              </w:rPr>
              <w:t>AKIN</w:t>
            </w:r>
          </w:p>
        </w:tc>
        <w:tc>
          <w:tcPr>
            <w:tcW w:w="0" w:type="auto"/>
            <w:shd w:val="clear" w:color="auto" w:fill="auto"/>
            <w:hideMark/>
          </w:tcPr>
          <w:p w14:paraId="79AA2044"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0EA4BBC7"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0C48A7F"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F0215BB"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3E08A0D8"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C0F4653" w14:textId="77777777" w:rsidR="00F471F5" w:rsidRPr="000B4E2C" w:rsidRDefault="00F471F5" w:rsidP="00F471F5">
            <w:pPr>
              <w:rPr>
                <w:color w:val="000000"/>
                <w:sz w:val="18"/>
                <w:szCs w:val="18"/>
                <w:lang w:val="en-GB" w:eastAsia="en-GB"/>
              </w:rPr>
            </w:pPr>
            <w:r w:rsidRPr="000B4E2C">
              <w:rPr>
                <w:sz w:val="18"/>
                <w:szCs w:val="18"/>
                <w:lang w:val="en-GB" w:eastAsia="en-GB"/>
              </w:rPr>
              <w:t>All patients having elective cardiac surgery requiring CPB</w:t>
            </w:r>
          </w:p>
        </w:tc>
        <w:tc>
          <w:tcPr>
            <w:tcW w:w="0" w:type="auto"/>
            <w:shd w:val="clear" w:color="auto" w:fill="auto"/>
            <w:hideMark/>
          </w:tcPr>
          <w:p w14:paraId="2109BF69" w14:textId="77777777" w:rsidR="00F471F5" w:rsidRPr="000B4E2C" w:rsidRDefault="00F471F5" w:rsidP="00F471F5">
            <w:pPr>
              <w:rPr>
                <w:sz w:val="18"/>
                <w:szCs w:val="18"/>
                <w:lang w:val="en-GB" w:eastAsia="en-GB"/>
              </w:rPr>
            </w:pPr>
            <w:r w:rsidRPr="000B4E2C">
              <w:rPr>
                <w:sz w:val="18"/>
                <w:szCs w:val="18"/>
                <w:lang w:val="en-GB" w:eastAsia="en-GB"/>
              </w:rPr>
              <w:t>End stage renal disease; renal transplantation; solitary kidney, emergent operative status, off-pump procedures, procedures involving circulatory arrest, heart transplantation and left ventricular assist divide implantation</w:t>
            </w:r>
          </w:p>
        </w:tc>
      </w:tr>
      <w:tr w:rsidR="000B4E2C" w:rsidRPr="000B4E2C" w14:paraId="12720136" w14:textId="77777777" w:rsidTr="000B4E2C">
        <w:trPr>
          <w:cantSplit/>
        </w:trPr>
        <w:tc>
          <w:tcPr>
            <w:tcW w:w="0" w:type="auto"/>
            <w:shd w:val="clear" w:color="auto" w:fill="auto"/>
            <w:hideMark/>
          </w:tcPr>
          <w:p w14:paraId="550F3C38" w14:textId="4A6817DE" w:rsidR="00F471F5" w:rsidRPr="000B4E2C" w:rsidRDefault="00F471F5" w:rsidP="00F471F5">
            <w:pPr>
              <w:rPr>
                <w:color w:val="000000"/>
                <w:sz w:val="18"/>
                <w:szCs w:val="18"/>
                <w:lang w:val="en-GB" w:eastAsia="en-GB"/>
              </w:rPr>
            </w:pPr>
            <w:r w:rsidRPr="000B4E2C">
              <w:rPr>
                <w:sz w:val="18"/>
                <w:szCs w:val="18"/>
                <w:lang w:val="en-GB" w:eastAsia="en-GB"/>
              </w:rPr>
              <w:t>Lee 2018,</w:t>
            </w:r>
            <w:r w:rsidRPr="000B4E2C">
              <w:rPr>
                <w:sz w:val="18"/>
                <w:szCs w:val="18"/>
                <w:vertAlign w:val="superscript"/>
                <w:lang w:val="en-GB" w:eastAsia="en-GB"/>
              </w:rPr>
              <w:t>84</w:t>
            </w:r>
            <w:r w:rsidRPr="000B4E2C">
              <w:rPr>
                <w:sz w:val="18"/>
                <w:szCs w:val="18"/>
                <w:lang w:val="en-GB" w:eastAsia="en-GB"/>
              </w:rPr>
              <w:t xml:space="preserve"> Republic of Korea</w:t>
            </w:r>
          </w:p>
        </w:tc>
        <w:tc>
          <w:tcPr>
            <w:tcW w:w="0" w:type="auto"/>
            <w:shd w:val="clear" w:color="auto" w:fill="auto"/>
            <w:hideMark/>
          </w:tcPr>
          <w:p w14:paraId="44861B6B" w14:textId="77777777" w:rsidR="00F471F5" w:rsidRPr="000B4E2C" w:rsidRDefault="00F471F5" w:rsidP="00F471F5">
            <w:pPr>
              <w:rPr>
                <w:color w:val="000000"/>
                <w:sz w:val="18"/>
                <w:szCs w:val="18"/>
                <w:lang w:val="en-GB" w:eastAsia="en-GB"/>
              </w:rPr>
            </w:pPr>
            <w:r w:rsidRPr="000B4E2C">
              <w:rPr>
                <w:sz w:val="18"/>
                <w:szCs w:val="18"/>
                <w:lang w:val="en-GB" w:eastAsia="en-GB"/>
              </w:rPr>
              <w:t>pNGAL, BioPorto</w:t>
            </w:r>
          </w:p>
        </w:tc>
        <w:tc>
          <w:tcPr>
            <w:tcW w:w="0" w:type="auto"/>
            <w:shd w:val="clear" w:color="auto" w:fill="auto"/>
            <w:hideMark/>
          </w:tcPr>
          <w:p w14:paraId="36E7C4C4" w14:textId="77777777" w:rsidR="000B4E2C" w:rsidRPr="000B4E2C" w:rsidRDefault="00F471F5" w:rsidP="00F471F5">
            <w:pPr>
              <w:rPr>
                <w:sz w:val="18"/>
                <w:szCs w:val="18"/>
                <w:lang w:val="en-GB" w:eastAsia="en-GB"/>
              </w:rPr>
            </w:pPr>
            <w:r w:rsidRPr="000B4E2C">
              <w:rPr>
                <w:sz w:val="18"/>
                <w:szCs w:val="18"/>
                <w:lang w:val="en-GB" w:eastAsia="en-GB"/>
              </w:rPr>
              <w:t>59</w:t>
            </w:r>
          </w:p>
          <w:p w14:paraId="2FEB61A1" w14:textId="65FD064E" w:rsidR="00F471F5" w:rsidRPr="000B4E2C" w:rsidRDefault="00F471F5" w:rsidP="00F471F5">
            <w:pPr>
              <w:rPr>
                <w:color w:val="000000"/>
                <w:sz w:val="18"/>
                <w:szCs w:val="18"/>
                <w:lang w:val="en-GB" w:eastAsia="en-GB"/>
              </w:rPr>
            </w:pPr>
            <w:r w:rsidRPr="000B4E2C">
              <w:rPr>
                <w:sz w:val="18"/>
                <w:szCs w:val="18"/>
                <w:lang w:val="en-GB" w:eastAsia="en-GB"/>
              </w:rPr>
              <w:t>(50, 71)</w:t>
            </w:r>
          </w:p>
        </w:tc>
        <w:tc>
          <w:tcPr>
            <w:tcW w:w="0" w:type="auto"/>
            <w:shd w:val="clear" w:color="auto" w:fill="auto"/>
            <w:hideMark/>
          </w:tcPr>
          <w:p w14:paraId="740D3527" w14:textId="77777777" w:rsidR="00F471F5" w:rsidRPr="000B4E2C" w:rsidRDefault="00F471F5" w:rsidP="00F471F5">
            <w:pPr>
              <w:rPr>
                <w:color w:val="000000"/>
                <w:sz w:val="18"/>
                <w:szCs w:val="18"/>
                <w:lang w:val="en-GB" w:eastAsia="en-GB"/>
              </w:rPr>
            </w:pPr>
            <w:r w:rsidRPr="000B4E2C">
              <w:rPr>
                <w:sz w:val="18"/>
                <w:szCs w:val="18"/>
                <w:lang w:val="en-GB" w:eastAsia="en-GB"/>
              </w:rPr>
              <w:t>279</w:t>
            </w:r>
          </w:p>
        </w:tc>
        <w:tc>
          <w:tcPr>
            <w:tcW w:w="0" w:type="auto"/>
            <w:shd w:val="clear" w:color="auto" w:fill="auto"/>
            <w:hideMark/>
          </w:tcPr>
          <w:p w14:paraId="39BD06F0" w14:textId="77777777" w:rsidR="00F471F5" w:rsidRPr="000B4E2C" w:rsidRDefault="00F471F5" w:rsidP="00F471F5">
            <w:pPr>
              <w:rPr>
                <w:color w:val="000000"/>
                <w:sz w:val="18"/>
                <w:szCs w:val="18"/>
                <w:lang w:val="en-GB" w:eastAsia="en-GB"/>
              </w:rPr>
            </w:pPr>
            <w:r w:rsidRPr="000B4E2C">
              <w:rPr>
                <w:sz w:val="18"/>
                <w:szCs w:val="18"/>
                <w:lang w:val="en-GB" w:eastAsia="en-GB"/>
              </w:rPr>
              <w:t>111</w:t>
            </w:r>
          </w:p>
        </w:tc>
        <w:tc>
          <w:tcPr>
            <w:tcW w:w="0" w:type="auto"/>
            <w:shd w:val="clear" w:color="auto" w:fill="auto"/>
            <w:hideMark/>
          </w:tcPr>
          <w:p w14:paraId="23C00313"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1842BA3C" w14:textId="77777777" w:rsidR="00F471F5" w:rsidRPr="000B4E2C" w:rsidRDefault="00F471F5" w:rsidP="00F471F5">
            <w:pPr>
              <w:rPr>
                <w:color w:val="000000"/>
                <w:sz w:val="18"/>
                <w:szCs w:val="18"/>
                <w:lang w:val="en-GB" w:eastAsia="en-GB"/>
              </w:rPr>
            </w:pPr>
            <w:r w:rsidRPr="000B4E2C">
              <w:rPr>
                <w:sz w:val="18"/>
                <w:szCs w:val="18"/>
                <w:lang w:val="en-GB" w:eastAsia="en-GB"/>
              </w:rPr>
              <w:t>66%</w:t>
            </w:r>
          </w:p>
        </w:tc>
        <w:tc>
          <w:tcPr>
            <w:tcW w:w="0" w:type="auto"/>
            <w:shd w:val="clear" w:color="auto" w:fill="auto"/>
            <w:hideMark/>
          </w:tcPr>
          <w:p w14:paraId="52EF4A77"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410899B0"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01FCC258"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8B84F6F" w14:textId="77777777" w:rsidR="00F471F5" w:rsidRPr="000B4E2C" w:rsidRDefault="00F471F5" w:rsidP="00F471F5">
            <w:pPr>
              <w:rPr>
                <w:sz w:val="18"/>
                <w:szCs w:val="18"/>
                <w:lang w:val="en-GB" w:eastAsia="en-GB"/>
              </w:rPr>
            </w:pPr>
            <w:r w:rsidRPr="000B4E2C">
              <w:rPr>
                <w:sz w:val="18"/>
                <w:szCs w:val="18"/>
                <w:lang w:val="en-GB" w:eastAsia="en-GB"/>
              </w:rPr>
              <w:t>25</w:t>
            </w:r>
          </w:p>
        </w:tc>
        <w:tc>
          <w:tcPr>
            <w:tcW w:w="0" w:type="auto"/>
            <w:shd w:val="clear" w:color="auto" w:fill="auto"/>
            <w:hideMark/>
          </w:tcPr>
          <w:p w14:paraId="31CC2846" w14:textId="77777777" w:rsidR="00F471F5" w:rsidRPr="000B4E2C" w:rsidRDefault="00F471F5" w:rsidP="00F471F5">
            <w:pPr>
              <w:rPr>
                <w:sz w:val="18"/>
                <w:szCs w:val="18"/>
                <w:lang w:val="en-GB" w:eastAsia="en-GB"/>
              </w:rPr>
            </w:pPr>
            <w:r w:rsidRPr="000B4E2C">
              <w:rPr>
                <w:sz w:val="18"/>
                <w:szCs w:val="18"/>
                <w:lang w:val="en-GB" w:eastAsia="en-GB"/>
              </w:rPr>
              <w:t>Nontraumatic CA survivors over 18 years of age who were treated with TH and obtained plasma NGAL level results were enrolled</w:t>
            </w:r>
          </w:p>
        </w:tc>
        <w:tc>
          <w:tcPr>
            <w:tcW w:w="0" w:type="auto"/>
            <w:shd w:val="clear" w:color="auto" w:fill="auto"/>
            <w:hideMark/>
          </w:tcPr>
          <w:p w14:paraId="0031D2D6" w14:textId="77777777" w:rsidR="00F471F5" w:rsidRPr="000B4E2C" w:rsidRDefault="00F471F5" w:rsidP="00F471F5">
            <w:pPr>
              <w:rPr>
                <w:sz w:val="18"/>
                <w:szCs w:val="18"/>
                <w:lang w:val="en-GB" w:eastAsia="en-GB"/>
              </w:rPr>
            </w:pPr>
            <w:r w:rsidRPr="000B4E2C">
              <w:rPr>
                <w:sz w:val="18"/>
                <w:szCs w:val="18"/>
                <w:lang w:val="en-GB" w:eastAsia="en-GB"/>
              </w:rPr>
              <w:t xml:space="preserve">Transferred to another facility or died during TH, they had a pre-arrest cognitive impairment on the CPC scale greater than 3, they had pre-arrest end-stage renal disease with RRT, they had CA as a result of AKI, extracorporeal membrane oxygenation was applied during the post-CA care, or there were missing </w:t>
            </w:r>
            <w:r w:rsidRPr="000B4E2C">
              <w:rPr>
                <w:sz w:val="18"/>
                <w:szCs w:val="18"/>
                <w:highlight w:val="magenta"/>
                <w:lang w:val="en-GB" w:eastAsia="en-GB"/>
              </w:rPr>
              <w:t>data</w:t>
            </w:r>
            <w:r w:rsidRPr="000B4E2C">
              <w:rPr>
                <w:sz w:val="18"/>
                <w:szCs w:val="18"/>
                <w:lang w:val="en-GB" w:eastAsia="en-GB"/>
              </w:rPr>
              <w:t xml:space="preserve"> regarding their NGAL level</w:t>
            </w:r>
          </w:p>
        </w:tc>
      </w:tr>
      <w:tr w:rsidR="000B4E2C" w:rsidRPr="000B4E2C" w14:paraId="4E4869C5" w14:textId="77777777" w:rsidTr="000B4E2C">
        <w:trPr>
          <w:cantSplit/>
        </w:trPr>
        <w:tc>
          <w:tcPr>
            <w:tcW w:w="0" w:type="auto"/>
            <w:shd w:val="clear" w:color="auto" w:fill="auto"/>
            <w:hideMark/>
          </w:tcPr>
          <w:p w14:paraId="3AA52134" w14:textId="6B88F924" w:rsidR="00F471F5" w:rsidRPr="000B4E2C" w:rsidRDefault="00F471F5" w:rsidP="00F471F5">
            <w:pPr>
              <w:rPr>
                <w:color w:val="000000"/>
                <w:sz w:val="18"/>
                <w:szCs w:val="18"/>
                <w:lang w:val="en-GB" w:eastAsia="en-GB"/>
              </w:rPr>
            </w:pPr>
            <w:r w:rsidRPr="000B4E2C">
              <w:rPr>
                <w:sz w:val="18"/>
                <w:szCs w:val="18"/>
                <w:lang w:val="en-GB" w:eastAsia="en-GB"/>
              </w:rPr>
              <w:lastRenderedPageBreak/>
              <w:t>Itenov 2017,</w:t>
            </w:r>
            <w:r w:rsidRPr="000B4E2C">
              <w:rPr>
                <w:sz w:val="18"/>
                <w:szCs w:val="18"/>
                <w:vertAlign w:val="superscript"/>
                <w:lang w:val="en-GB" w:eastAsia="en-GB"/>
              </w:rPr>
              <w:t>83</w:t>
            </w:r>
            <w:r w:rsidRPr="000B4E2C">
              <w:rPr>
                <w:sz w:val="18"/>
                <w:szCs w:val="18"/>
                <w:lang w:val="en-GB" w:eastAsia="en-GB"/>
              </w:rPr>
              <w:t xml:space="preserve"> Denmark</w:t>
            </w:r>
          </w:p>
        </w:tc>
        <w:tc>
          <w:tcPr>
            <w:tcW w:w="0" w:type="auto"/>
            <w:shd w:val="clear" w:color="auto" w:fill="auto"/>
            <w:hideMark/>
          </w:tcPr>
          <w:p w14:paraId="6BF78CA7" w14:textId="77777777" w:rsidR="00F471F5" w:rsidRPr="000B4E2C" w:rsidRDefault="00F471F5" w:rsidP="00F471F5">
            <w:pPr>
              <w:rPr>
                <w:color w:val="000000"/>
                <w:sz w:val="18"/>
                <w:szCs w:val="18"/>
                <w:lang w:val="en-GB" w:eastAsia="en-GB"/>
              </w:rPr>
            </w:pPr>
            <w:r w:rsidRPr="000B4E2C">
              <w:rPr>
                <w:sz w:val="18"/>
                <w:szCs w:val="18"/>
                <w:lang w:val="en-GB" w:eastAsia="en-GB"/>
              </w:rPr>
              <w:t>pNGAL, BioPorto</w:t>
            </w:r>
          </w:p>
        </w:tc>
        <w:tc>
          <w:tcPr>
            <w:tcW w:w="0" w:type="auto"/>
            <w:shd w:val="clear" w:color="auto" w:fill="auto"/>
            <w:hideMark/>
          </w:tcPr>
          <w:p w14:paraId="2D85DED7" w14:textId="77777777" w:rsidR="000B4E2C" w:rsidRPr="000B4E2C" w:rsidRDefault="00F471F5" w:rsidP="00F471F5">
            <w:pPr>
              <w:rPr>
                <w:sz w:val="18"/>
                <w:szCs w:val="18"/>
                <w:lang w:val="en-GB" w:eastAsia="en-GB"/>
              </w:rPr>
            </w:pPr>
            <w:r w:rsidRPr="000B4E2C">
              <w:rPr>
                <w:sz w:val="18"/>
                <w:szCs w:val="18"/>
                <w:lang w:val="en-GB" w:eastAsia="en-GB"/>
              </w:rPr>
              <w:t>67</w:t>
            </w:r>
          </w:p>
          <w:p w14:paraId="18537A12" w14:textId="7474524A" w:rsidR="00F471F5" w:rsidRPr="000B4E2C" w:rsidRDefault="00F471F5" w:rsidP="00F471F5">
            <w:pPr>
              <w:rPr>
                <w:color w:val="000000"/>
                <w:sz w:val="18"/>
                <w:szCs w:val="18"/>
                <w:lang w:val="en-GB" w:eastAsia="en-GB"/>
              </w:rPr>
            </w:pPr>
            <w:r w:rsidRPr="000B4E2C">
              <w:rPr>
                <w:sz w:val="18"/>
                <w:szCs w:val="18"/>
                <w:lang w:val="en-GB" w:eastAsia="en-GB"/>
              </w:rPr>
              <w:t>(60, 76)</w:t>
            </w:r>
          </w:p>
        </w:tc>
        <w:tc>
          <w:tcPr>
            <w:tcW w:w="0" w:type="auto"/>
            <w:shd w:val="clear" w:color="auto" w:fill="auto"/>
            <w:hideMark/>
          </w:tcPr>
          <w:p w14:paraId="557EB970" w14:textId="77777777" w:rsidR="00F471F5" w:rsidRPr="000B4E2C" w:rsidRDefault="00F471F5" w:rsidP="00F471F5">
            <w:pPr>
              <w:rPr>
                <w:color w:val="000000"/>
                <w:sz w:val="18"/>
                <w:szCs w:val="18"/>
                <w:lang w:val="en-GB" w:eastAsia="en-GB"/>
              </w:rPr>
            </w:pPr>
            <w:r w:rsidRPr="000B4E2C">
              <w:rPr>
                <w:sz w:val="18"/>
                <w:szCs w:val="18"/>
                <w:lang w:val="en-GB" w:eastAsia="en-GB"/>
              </w:rPr>
              <w:t>454</w:t>
            </w:r>
          </w:p>
        </w:tc>
        <w:tc>
          <w:tcPr>
            <w:tcW w:w="0" w:type="auto"/>
            <w:shd w:val="clear" w:color="auto" w:fill="auto"/>
            <w:hideMark/>
          </w:tcPr>
          <w:p w14:paraId="799CE0AA" w14:textId="77777777" w:rsidR="00F471F5" w:rsidRPr="000B4E2C" w:rsidRDefault="00F471F5" w:rsidP="00F471F5">
            <w:pPr>
              <w:rPr>
                <w:color w:val="000000"/>
                <w:sz w:val="18"/>
                <w:szCs w:val="18"/>
                <w:lang w:val="en-GB" w:eastAsia="en-GB"/>
              </w:rPr>
            </w:pPr>
            <w:r w:rsidRPr="000B4E2C">
              <w:rPr>
                <w:sz w:val="18"/>
                <w:szCs w:val="18"/>
                <w:lang w:val="en-GB" w:eastAsia="en-GB"/>
              </w:rPr>
              <w:t>87</w:t>
            </w:r>
          </w:p>
        </w:tc>
        <w:tc>
          <w:tcPr>
            <w:tcW w:w="0" w:type="auto"/>
            <w:shd w:val="clear" w:color="auto" w:fill="auto"/>
            <w:hideMark/>
          </w:tcPr>
          <w:p w14:paraId="1263D7F1" w14:textId="77777777" w:rsidR="00F471F5" w:rsidRPr="000B4E2C" w:rsidRDefault="00F471F5" w:rsidP="00F471F5">
            <w:pPr>
              <w:rPr>
                <w:sz w:val="18"/>
                <w:szCs w:val="18"/>
                <w:lang w:val="en-GB" w:eastAsia="en-GB"/>
              </w:rPr>
            </w:pPr>
            <w:r w:rsidRPr="000B4E2C">
              <w:rPr>
                <w:sz w:val="18"/>
                <w:szCs w:val="18"/>
                <w:lang w:val="en-GB" w:eastAsia="en-GB"/>
              </w:rPr>
              <w:t>KDIGO</w:t>
            </w:r>
          </w:p>
          <w:p w14:paraId="1B5FE789" w14:textId="77777777" w:rsidR="00F471F5" w:rsidRPr="000B4E2C" w:rsidRDefault="00F471F5" w:rsidP="00F471F5">
            <w:pPr>
              <w:rPr>
                <w:sz w:val="18"/>
                <w:szCs w:val="18"/>
                <w:lang w:val="en-GB" w:eastAsia="en-GB"/>
              </w:rPr>
            </w:pPr>
            <w:r w:rsidRPr="000B4E2C">
              <w:rPr>
                <w:sz w:val="18"/>
                <w:szCs w:val="18"/>
                <w:lang w:val="en-GB" w:eastAsia="en-GB"/>
              </w:rPr>
              <w:t>or MDRD</w:t>
            </w:r>
          </w:p>
          <w:p w14:paraId="5C4BFC4C" w14:textId="77777777" w:rsidR="000B4E2C" w:rsidRPr="000B4E2C" w:rsidRDefault="00F471F5" w:rsidP="00F471F5">
            <w:pPr>
              <w:rPr>
                <w:sz w:val="18"/>
                <w:szCs w:val="18"/>
                <w:lang w:val="en-GB" w:eastAsia="en-GB"/>
              </w:rPr>
            </w:pPr>
            <w:r w:rsidRPr="000B4E2C">
              <w:rPr>
                <w:sz w:val="18"/>
                <w:szCs w:val="18"/>
                <w:lang w:val="en-GB" w:eastAsia="en-GB"/>
              </w:rPr>
              <w:t>(in patients without</w:t>
            </w:r>
          </w:p>
          <w:p w14:paraId="091E37EF" w14:textId="03C29E9F" w:rsidR="00F471F5" w:rsidRPr="000B4E2C" w:rsidRDefault="00F471F5" w:rsidP="00F471F5">
            <w:pPr>
              <w:rPr>
                <w:sz w:val="18"/>
                <w:szCs w:val="18"/>
                <w:lang w:val="en-GB" w:eastAsia="en-GB"/>
              </w:rPr>
            </w:pPr>
            <w:r w:rsidRPr="000B4E2C">
              <w:rPr>
                <w:sz w:val="18"/>
                <w:szCs w:val="18"/>
                <w:lang w:val="en-GB" w:eastAsia="en-GB"/>
              </w:rPr>
              <w:t>sCr</w:t>
            </w:r>
          </w:p>
          <w:p w14:paraId="67548392" w14:textId="77777777" w:rsidR="00F471F5" w:rsidRPr="000B4E2C" w:rsidRDefault="00F471F5" w:rsidP="00F471F5">
            <w:pPr>
              <w:rPr>
                <w:sz w:val="18"/>
                <w:szCs w:val="18"/>
                <w:lang w:val="en-GB" w:eastAsia="en-GB"/>
              </w:rPr>
            </w:pPr>
            <w:r w:rsidRPr="000B4E2C">
              <w:rPr>
                <w:sz w:val="18"/>
                <w:szCs w:val="18"/>
                <w:lang w:val="en-GB" w:eastAsia="en-GB"/>
              </w:rPr>
              <w:t>samples</w:t>
            </w:r>
          </w:p>
          <w:p w14:paraId="30485746" w14:textId="77777777" w:rsidR="00F471F5" w:rsidRPr="000B4E2C" w:rsidRDefault="00F471F5" w:rsidP="00F471F5">
            <w:pPr>
              <w:rPr>
                <w:sz w:val="18"/>
                <w:szCs w:val="18"/>
                <w:lang w:val="en-GB" w:eastAsia="en-GB"/>
              </w:rPr>
            </w:pPr>
            <w:r w:rsidRPr="000B4E2C">
              <w:rPr>
                <w:sz w:val="18"/>
                <w:szCs w:val="18"/>
                <w:lang w:val="en-GB" w:eastAsia="en-GB"/>
              </w:rPr>
              <w:t>before</w:t>
            </w:r>
          </w:p>
          <w:p w14:paraId="6248ED19" w14:textId="77777777" w:rsidR="00F471F5" w:rsidRPr="000B4E2C" w:rsidRDefault="00F471F5" w:rsidP="00F471F5">
            <w:pPr>
              <w:rPr>
                <w:color w:val="000000"/>
                <w:sz w:val="18"/>
                <w:szCs w:val="18"/>
                <w:lang w:val="en-GB" w:eastAsia="en-GB"/>
              </w:rPr>
            </w:pPr>
            <w:r w:rsidRPr="000B4E2C">
              <w:rPr>
                <w:sz w:val="18"/>
                <w:szCs w:val="18"/>
                <w:lang w:val="en-GB" w:eastAsia="en-GB"/>
              </w:rPr>
              <w:t>admission)</w:t>
            </w:r>
          </w:p>
        </w:tc>
        <w:tc>
          <w:tcPr>
            <w:tcW w:w="0" w:type="auto"/>
            <w:shd w:val="clear" w:color="auto" w:fill="auto"/>
            <w:hideMark/>
          </w:tcPr>
          <w:p w14:paraId="22BCBBAA" w14:textId="77777777" w:rsidR="00F471F5" w:rsidRPr="000B4E2C" w:rsidRDefault="00F471F5" w:rsidP="00F471F5">
            <w:pPr>
              <w:rPr>
                <w:color w:val="000000"/>
                <w:sz w:val="18"/>
                <w:szCs w:val="18"/>
                <w:lang w:val="en-GB" w:eastAsia="en-GB"/>
              </w:rPr>
            </w:pPr>
            <w:r w:rsidRPr="000B4E2C">
              <w:rPr>
                <w:sz w:val="18"/>
                <w:szCs w:val="18"/>
                <w:lang w:val="en-GB" w:eastAsia="en-GB"/>
              </w:rPr>
              <w:t>60%</w:t>
            </w:r>
          </w:p>
        </w:tc>
        <w:tc>
          <w:tcPr>
            <w:tcW w:w="0" w:type="auto"/>
            <w:shd w:val="clear" w:color="auto" w:fill="auto"/>
            <w:hideMark/>
          </w:tcPr>
          <w:p w14:paraId="3D782B98"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462D40F5"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5121CF92"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1924E258" w14:textId="77777777" w:rsidR="00F471F5" w:rsidRPr="000B4E2C" w:rsidRDefault="00F471F5" w:rsidP="00F471F5">
            <w:pPr>
              <w:rPr>
                <w:color w:val="000000"/>
                <w:sz w:val="18"/>
                <w:szCs w:val="18"/>
                <w:lang w:val="en-GB" w:eastAsia="en-GB"/>
              </w:rPr>
            </w:pPr>
            <w:r w:rsidRPr="000B4E2C">
              <w:rPr>
                <w:sz w:val="18"/>
                <w:szCs w:val="18"/>
                <w:lang w:val="en-GB" w:eastAsia="en-GB"/>
              </w:rPr>
              <w:t>21</w:t>
            </w:r>
          </w:p>
        </w:tc>
        <w:tc>
          <w:tcPr>
            <w:tcW w:w="0" w:type="auto"/>
            <w:shd w:val="clear" w:color="auto" w:fill="auto"/>
            <w:hideMark/>
          </w:tcPr>
          <w:p w14:paraId="370BF654" w14:textId="20C855D6" w:rsidR="00F471F5" w:rsidRPr="000B4E2C" w:rsidRDefault="00F471F5" w:rsidP="00F471F5">
            <w:pPr>
              <w:rPr>
                <w:color w:val="000000"/>
                <w:sz w:val="18"/>
                <w:szCs w:val="18"/>
                <w:lang w:val="en-GB" w:eastAsia="en-GB"/>
              </w:rPr>
            </w:pPr>
            <w:r w:rsidRPr="000B4E2C">
              <w:rPr>
                <w:sz w:val="18"/>
                <w:szCs w:val="18"/>
                <w:lang w:val="en-GB" w:eastAsia="en-GB"/>
              </w:rPr>
              <w:t>Patients (18 years old or older) enrolled within 2</w:t>
            </w:r>
            <w:r w:rsidR="000B4E2C" w:rsidRPr="000B4E2C">
              <w:rPr>
                <w:color w:val="00B0F0"/>
                <w:sz w:val="18"/>
                <w:szCs w:val="18"/>
                <w:lang w:val="en-GB" w:eastAsia="en-GB"/>
              </w:rPr>
              <w:t>4</w:t>
            </w:r>
            <w:r w:rsidR="000B4E2C" w:rsidRPr="000B4E2C">
              <w:rPr>
                <w:color w:val="00B0F0"/>
                <w:sz w:val="18"/>
                <w:szCs w:val="18"/>
                <w:lang w:val="en-GB" w:eastAsia="en-GB"/>
              </w:rPr>
              <w:t> </w:t>
            </w:r>
            <w:r w:rsidR="000B4E2C" w:rsidRPr="000B4E2C">
              <w:rPr>
                <w:color w:val="00B0F0"/>
                <w:sz w:val="18"/>
                <w:szCs w:val="18"/>
                <w:lang w:val="en-GB" w:eastAsia="en-GB"/>
              </w:rPr>
              <w:t xml:space="preserve">h </w:t>
            </w:r>
            <w:r w:rsidRPr="000B4E2C">
              <w:rPr>
                <w:sz w:val="18"/>
                <w:szCs w:val="18"/>
                <w:lang w:val="en-GB" w:eastAsia="en-GB"/>
              </w:rPr>
              <w:t>of ICU admission and expected to stay in ICU at least 2</w:t>
            </w:r>
            <w:r w:rsidR="000B4E2C" w:rsidRPr="000B4E2C">
              <w:rPr>
                <w:color w:val="00B0F0"/>
                <w:sz w:val="18"/>
                <w:szCs w:val="18"/>
                <w:lang w:val="en-GB" w:eastAsia="en-GB"/>
              </w:rPr>
              <w:t>4</w:t>
            </w:r>
            <w:r w:rsidR="000B4E2C" w:rsidRPr="000B4E2C">
              <w:rPr>
                <w:color w:val="00B0F0"/>
                <w:sz w:val="18"/>
                <w:szCs w:val="18"/>
                <w:lang w:val="en-GB" w:eastAsia="en-GB"/>
              </w:rPr>
              <w:t> </w:t>
            </w:r>
            <w:r w:rsidR="000B4E2C" w:rsidRPr="000B4E2C">
              <w:rPr>
                <w:color w:val="00B0F0"/>
                <w:sz w:val="18"/>
                <w:szCs w:val="18"/>
                <w:lang w:val="en-GB" w:eastAsia="en-GB"/>
              </w:rPr>
              <w:t>h.</w:t>
            </w:r>
            <w:r w:rsidRPr="000B4E2C">
              <w:rPr>
                <w:sz w:val="18"/>
                <w:szCs w:val="18"/>
                <w:lang w:val="en-GB" w:eastAsia="en-GB"/>
              </w:rPr>
              <w:t xml:space="preserve"> For the present cohort study, the authors included patients without CKD who survived </w:t>
            </w:r>
            <w:r w:rsidR="000B4E2C" w:rsidRPr="000B4E2C">
              <w:rPr>
                <w:color w:val="00B0F0"/>
                <w:sz w:val="18"/>
                <w:szCs w:val="18"/>
                <w:lang w:val="en-GB" w:eastAsia="en-GB"/>
              </w:rPr>
              <w:t>&gt;</w:t>
            </w:r>
            <w:r w:rsidR="000B4E2C" w:rsidRPr="000B4E2C">
              <w:rPr>
                <w:color w:val="00B0F0"/>
                <w:sz w:val="18"/>
                <w:szCs w:val="18"/>
                <w:lang w:val="en-GB" w:eastAsia="en-GB"/>
              </w:rPr>
              <w:t> </w:t>
            </w:r>
            <w:r w:rsidR="000B4E2C" w:rsidRPr="000B4E2C">
              <w:rPr>
                <w:color w:val="00B0F0"/>
                <w:sz w:val="18"/>
                <w:szCs w:val="18"/>
                <w:lang w:val="en-GB" w:eastAsia="en-GB"/>
              </w:rPr>
              <w:t>24</w:t>
            </w:r>
            <w:r w:rsidR="000B4E2C" w:rsidRPr="000B4E2C">
              <w:rPr>
                <w:color w:val="00B0F0"/>
                <w:sz w:val="18"/>
                <w:szCs w:val="18"/>
                <w:lang w:val="en-GB" w:eastAsia="en-GB"/>
              </w:rPr>
              <w:t> </w:t>
            </w:r>
            <w:r w:rsidR="000B4E2C" w:rsidRPr="000B4E2C">
              <w:rPr>
                <w:color w:val="00B0F0"/>
                <w:sz w:val="18"/>
                <w:szCs w:val="18"/>
                <w:lang w:val="en-GB" w:eastAsia="en-GB"/>
              </w:rPr>
              <w:t xml:space="preserve">h </w:t>
            </w:r>
            <w:r w:rsidRPr="000B4E2C">
              <w:rPr>
                <w:sz w:val="18"/>
                <w:szCs w:val="18"/>
                <w:lang w:val="en-GB" w:eastAsia="en-GB"/>
              </w:rPr>
              <w:t>after admission and with plasma samples from admission available for biomarker analysis</w:t>
            </w:r>
          </w:p>
        </w:tc>
        <w:tc>
          <w:tcPr>
            <w:tcW w:w="0" w:type="auto"/>
            <w:shd w:val="clear" w:color="auto" w:fill="auto"/>
            <w:hideMark/>
          </w:tcPr>
          <w:p w14:paraId="60F5BC5F" w14:textId="77777777" w:rsidR="00F471F5" w:rsidRPr="000B4E2C" w:rsidRDefault="00F471F5" w:rsidP="00F471F5">
            <w:pPr>
              <w:rPr>
                <w:sz w:val="18"/>
                <w:szCs w:val="18"/>
                <w:lang w:val="en-GB" w:eastAsia="en-GB"/>
              </w:rPr>
            </w:pPr>
            <w:r w:rsidRPr="000B4E2C">
              <w:rPr>
                <w:sz w:val="18"/>
                <w:szCs w:val="18"/>
                <w:lang w:val="en-GB" w:eastAsia="en-GB"/>
              </w:rPr>
              <w:t>Patients with high plasma concentrations of bilirubin (40 mg/dL), and/or triglycerides (1,000 mg/dL) or patients at an increased risk from blood sampling were not eligible</w:t>
            </w:r>
          </w:p>
        </w:tc>
      </w:tr>
      <w:tr w:rsidR="000B4E2C" w:rsidRPr="000B4E2C" w14:paraId="336DFDA9" w14:textId="77777777" w:rsidTr="000B4E2C">
        <w:trPr>
          <w:cantSplit/>
        </w:trPr>
        <w:tc>
          <w:tcPr>
            <w:tcW w:w="0" w:type="auto"/>
            <w:shd w:val="clear" w:color="auto" w:fill="auto"/>
            <w:hideMark/>
          </w:tcPr>
          <w:p w14:paraId="4B0E7B90" w14:textId="19B94AEC" w:rsidR="00F471F5" w:rsidRPr="000B4E2C" w:rsidRDefault="00F471F5" w:rsidP="00F471F5">
            <w:pPr>
              <w:rPr>
                <w:color w:val="000000"/>
                <w:sz w:val="18"/>
                <w:szCs w:val="18"/>
                <w:lang w:val="en-GB" w:eastAsia="en-GB"/>
              </w:rPr>
            </w:pPr>
            <w:r w:rsidRPr="000B4E2C">
              <w:rPr>
                <w:sz w:val="18"/>
                <w:szCs w:val="18"/>
                <w:lang w:val="en-GB" w:eastAsia="en-GB"/>
              </w:rPr>
              <w:t>Marino 2015,</w:t>
            </w:r>
            <w:r w:rsidRPr="000B4E2C">
              <w:rPr>
                <w:sz w:val="18"/>
                <w:szCs w:val="18"/>
                <w:vertAlign w:val="superscript"/>
                <w:lang w:val="en-GB" w:eastAsia="en-GB"/>
              </w:rPr>
              <w:t>85</w:t>
            </w:r>
            <w:r w:rsidRPr="000B4E2C">
              <w:rPr>
                <w:sz w:val="18"/>
                <w:szCs w:val="18"/>
                <w:lang w:val="en-GB" w:eastAsia="en-GB"/>
              </w:rPr>
              <w:t xml:space="preserve"> Italy</w:t>
            </w:r>
          </w:p>
        </w:tc>
        <w:tc>
          <w:tcPr>
            <w:tcW w:w="0" w:type="auto"/>
            <w:shd w:val="clear" w:color="auto" w:fill="auto"/>
            <w:hideMark/>
          </w:tcPr>
          <w:p w14:paraId="05A72AB8" w14:textId="77777777" w:rsidR="00F471F5" w:rsidRPr="000B4E2C" w:rsidRDefault="00F471F5" w:rsidP="00F471F5">
            <w:pPr>
              <w:rPr>
                <w:color w:val="000000"/>
                <w:sz w:val="18"/>
                <w:szCs w:val="18"/>
                <w:lang w:val="en-GB" w:eastAsia="en-GB"/>
              </w:rPr>
            </w:pPr>
            <w:r w:rsidRPr="000B4E2C">
              <w:rPr>
                <w:sz w:val="18"/>
                <w:szCs w:val="18"/>
                <w:lang w:val="en-GB" w:eastAsia="en-GB"/>
              </w:rPr>
              <w:t>pNGAL, BioPorto</w:t>
            </w:r>
          </w:p>
        </w:tc>
        <w:tc>
          <w:tcPr>
            <w:tcW w:w="0" w:type="auto"/>
            <w:shd w:val="clear" w:color="auto" w:fill="auto"/>
            <w:hideMark/>
          </w:tcPr>
          <w:p w14:paraId="2263FECB" w14:textId="77777777" w:rsidR="000B4E2C" w:rsidRPr="000B4E2C" w:rsidRDefault="00F471F5" w:rsidP="00F471F5">
            <w:pPr>
              <w:rPr>
                <w:sz w:val="18"/>
                <w:szCs w:val="18"/>
                <w:lang w:val="en-GB" w:eastAsia="en-GB"/>
              </w:rPr>
            </w:pPr>
            <w:r w:rsidRPr="000B4E2C">
              <w:rPr>
                <w:sz w:val="18"/>
                <w:szCs w:val="18"/>
                <w:lang w:val="en-GB" w:eastAsia="en-GB"/>
              </w:rPr>
              <w:t>77</w:t>
            </w:r>
          </w:p>
          <w:p w14:paraId="217219B5" w14:textId="6A1AD4D6" w:rsidR="00F471F5" w:rsidRPr="000B4E2C" w:rsidRDefault="00F471F5" w:rsidP="00F471F5">
            <w:pPr>
              <w:rPr>
                <w:color w:val="000000"/>
                <w:sz w:val="18"/>
                <w:szCs w:val="18"/>
                <w:lang w:val="en-GB" w:eastAsia="en-GB"/>
              </w:rPr>
            </w:pPr>
            <w:r w:rsidRPr="000B4E2C">
              <w:rPr>
                <w:sz w:val="18"/>
                <w:szCs w:val="18"/>
                <w:lang w:val="en-GB" w:eastAsia="en-GB"/>
              </w:rPr>
              <w:t>(72, 83)</w:t>
            </w:r>
          </w:p>
        </w:tc>
        <w:tc>
          <w:tcPr>
            <w:tcW w:w="0" w:type="auto"/>
            <w:shd w:val="clear" w:color="auto" w:fill="auto"/>
            <w:hideMark/>
          </w:tcPr>
          <w:p w14:paraId="3150FA37" w14:textId="77777777" w:rsidR="00F471F5" w:rsidRPr="000B4E2C" w:rsidRDefault="00F471F5" w:rsidP="00F471F5">
            <w:pPr>
              <w:rPr>
                <w:color w:val="000000"/>
                <w:sz w:val="18"/>
                <w:szCs w:val="18"/>
                <w:lang w:val="en-GB" w:eastAsia="en-GB"/>
              </w:rPr>
            </w:pPr>
            <w:r w:rsidRPr="000B4E2C">
              <w:rPr>
                <w:sz w:val="18"/>
                <w:szCs w:val="18"/>
                <w:lang w:val="en-GB" w:eastAsia="en-GB"/>
              </w:rPr>
              <w:t>101</w:t>
            </w:r>
          </w:p>
        </w:tc>
        <w:tc>
          <w:tcPr>
            <w:tcW w:w="0" w:type="auto"/>
            <w:shd w:val="clear" w:color="auto" w:fill="auto"/>
            <w:hideMark/>
          </w:tcPr>
          <w:p w14:paraId="0A9BD212" w14:textId="77777777" w:rsidR="00F471F5" w:rsidRPr="000B4E2C" w:rsidRDefault="00F471F5" w:rsidP="00F471F5">
            <w:pPr>
              <w:rPr>
                <w:color w:val="000000"/>
                <w:sz w:val="18"/>
                <w:szCs w:val="18"/>
                <w:lang w:val="en-GB" w:eastAsia="en-GB"/>
              </w:rPr>
            </w:pPr>
            <w:r w:rsidRPr="000B4E2C">
              <w:rPr>
                <w:sz w:val="18"/>
                <w:szCs w:val="18"/>
                <w:lang w:val="en-GB" w:eastAsia="en-GB"/>
              </w:rPr>
              <w:t>49</w:t>
            </w:r>
          </w:p>
        </w:tc>
        <w:tc>
          <w:tcPr>
            <w:tcW w:w="0" w:type="auto"/>
            <w:shd w:val="clear" w:color="auto" w:fill="auto"/>
            <w:hideMark/>
          </w:tcPr>
          <w:p w14:paraId="16D6B7F6" w14:textId="77777777" w:rsidR="00F471F5" w:rsidRPr="000B4E2C" w:rsidRDefault="00F471F5" w:rsidP="00F471F5">
            <w:pPr>
              <w:rPr>
                <w:color w:val="000000"/>
                <w:sz w:val="18"/>
                <w:szCs w:val="18"/>
                <w:lang w:val="en-GB" w:eastAsia="en-GB"/>
              </w:rPr>
            </w:pPr>
            <w:r w:rsidRPr="000B4E2C">
              <w:rPr>
                <w:sz w:val="18"/>
                <w:szCs w:val="18"/>
                <w:lang w:val="en-GB" w:eastAsia="en-GB"/>
              </w:rPr>
              <w:t>RIFLE</w:t>
            </w:r>
          </w:p>
        </w:tc>
        <w:tc>
          <w:tcPr>
            <w:tcW w:w="0" w:type="auto"/>
            <w:shd w:val="clear" w:color="auto" w:fill="auto"/>
            <w:hideMark/>
          </w:tcPr>
          <w:p w14:paraId="465C0D6B" w14:textId="77777777" w:rsidR="00F471F5" w:rsidRPr="000B4E2C" w:rsidRDefault="00F471F5" w:rsidP="00F471F5">
            <w:pPr>
              <w:rPr>
                <w:color w:val="000000"/>
                <w:sz w:val="18"/>
                <w:szCs w:val="18"/>
                <w:lang w:val="en-GB" w:eastAsia="en-GB"/>
              </w:rPr>
            </w:pPr>
            <w:r w:rsidRPr="000B4E2C">
              <w:rPr>
                <w:sz w:val="18"/>
                <w:szCs w:val="18"/>
                <w:lang w:val="en-GB" w:eastAsia="en-GB"/>
              </w:rPr>
              <w:t>60%</w:t>
            </w:r>
          </w:p>
        </w:tc>
        <w:tc>
          <w:tcPr>
            <w:tcW w:w="0" w:type="auto"/>
            <w:shd w:val="clear" w:color="auto" w:fill="auto"/>
            <w:hideMark/>
          </w:tcPr>
          <w:p w14:paraId="547B8C6C"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22C7012C"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4784CB14"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4C6F8CCA"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E790902" w14:textId="77777777" w:rsidR="00F471F5" w:rsidRPr="000B4E2C" w:rsidRDefault="00F471F5" w:rsidP="00F471F5">
            <w:pPr>
              <w:rPr>
                <w:color w:val="000000"/>
                <w:sz w:val="18"/>
                <w:szCs w:val="18"/>
                <w:lang w:val="en-GB" w:eastAsia="en-GB"/>
              </w:rPr>
            </w:pPr>
            <w:r w:rsidRPr="000B4E2C">
              <w:rPr>
                <w:sz w:val="18"/>
                <w:szCs w:val="18"/>
                <w:lang w:val="en-GB" w:eastAsia="en-GB"/>
              </w:rPr>
              <w:t>Patients arriving in the ED with the diagnosis of sepsis, severe sepsis or septic shock between December 2011 and April 2012</w:t>
            </w:r>
          </w:p>
        </w:tc>
        <w:tc>
          <w:tcPr>
            <w:tcW w:w="0" w:type="auto"/>
            <w:shd w:val="clear" w:color="auto" w:fill="auto"/>
            <w:hideMark/>
          </w:tcPr>
          <w:p w14:paraId="345B7395" w14:textId="17330C0D" w:rsidR="00F471F5" w:rsidRPr="000B4E2C" w:rsidRDefault="00F471F5" w:rsidP="00F471F5">
            <w:pPr>
              <w:rPr>
                <w:sz w:val="18"/>
                <w:szCs w:val="18"/>
                <w:lang w:val="en-GB" w:eastAsia="en-GB"/>
              </w:rPr>
            </w:pPr>
            <w:r w:rsidRPr="000B4E2C">
              <w:rPr>
                <w:sz w:val="18"/>
                <w:szCs w:val="18"/>
                <w:lang w:val="en-GB" w:eastAsia="en-GB"/>
              </w:rPr>
              <w:t xml:space="preserve">Exclusion criteria were age </w:t>
            </w:r>
            <w:r w:rsidR="000B4E2C" w:rsidRPr="000B4E2C">
              <w:rPr>
                <w:color w:val="00B0F0"/>
                <w:sz w:val="18"/>
                <w:szCs w:val="18"/>
                <w:lang w:val="en-GB" w:eastAsia="en-GB"/>
              </w:rPr>
              <w:t>&lt;</w:t>
            </w:r>
            <w:r w:rsidR="000B4E2C" w:rsidRPr="000B4E2C">
              <w:rPr>
                <w:color w:val="00B0F0"/>
                <w:sz w:val="18"/>
                <w:szCs w:val="18"/>
                <w:lang w:val="en-GB" w:eastAsia="en-GB"/>
              </w:rPr>
              <w:t> </w:t>
            </w:r>
            <w:r w:rsidR="000B4E2C" w:rsidRPr="000B4E2C">
              <w:rPr>
                <w:color w:val="00B0F0"/>
                <w:sz w:val="18"/>
                <w:szCs w:val="18"/>
                <w:lang w:val="en-GB" w:eastAsia="en-GB"/>
              </w:rPr>
              <w:t>1</w:t>
            </w:r>
            <w:r w:rsidRPr="000B4E2C">
              <w:rPr>
                <w:sz w:val="18"/>
                <w:szCs w:val="18"/>
                <w:lang w:val="en-GB" w:eastAsia="en-GB"/>
              </w:rPr>
              <w:t>8 years and the patient</w:t>
            </w:r>
            <w:r w:rsidR="000B4E2C" w:rsidRPr="000B4E2C">
              <w:rPr>
                <w:color w:val="00B0F0"/>
                <w:sz w:val="18"/>
                <w:szCs w:val="18"/>
                <w:lang w:val="en-GB" w:eastAsia="en-GB"/>
              </w:rPr>
              <w:t>’</w:t>
            </w:r>
            <w:r w:rsidRPr="000B4E2C">
              <w:rPr>
                <w:sz w:val="18"/>
                <w:szCs w:val="18"/>
                <w:lang w:val="en-GB" w:eastAsia="en-GB"/>
              </w:rPr>
              <w:t>s inability to give informed consent</w:t>
            </w:r>
          </w:p>
        </w:tc>
      </w:tr>
      <w:tr w:rsidR="000B4E2C" w:rsidRPr="000B4E2C" w14:paraId="3ED0ACE1" w14:textId="77777777" w:rsidTr="000B4E2C">
        <w:trPr>
          <w:cantSplit/>
        </w:trPr>
        <w:tc>
          <w:tcPr>
            <w:tcW w:w="0" w:type="auto"/>
            <w:shd w:val="clear" w:color="auto" w:fill="auto"/>
            <w:hideMark/>
          </w:tcPr>
          <w:p w14:paraId="1DA910C4" w14:textId="4528FE2B" w:rsidR="00F471F5" w:rsidRPr="000B4E2C" w:rsidRDefault="00F471F5" w:rsidP="00F471F5">
            <w:pPr>
              <w:rPr>
                <w:color w:val="000000"/>
                <w:sz w:val="18"/>
                <w:szCs w:val="18"/>
                <w:lang w:val="en-GB" w:eastAsia="en-GB"/>
              </w:rPr>
            </w:pPr>
            <w:r w:rsidRPr="000B4E2C">
              <w:rPr>
                <w:sz w:val="18"/>
                <w:szCs w:val="18"/>
                <w:lang w:val="en-GB" w:eastAsia="en-GB"/>
              </w:rPr>
              <w:t>Parikh 2011,</w:t>
            </w:r>
            <w:r w:rsidRPr="000B4E2C">
              <w:rPr>
                <w:sz w:val="18"/>
                <w:szCs w:val="18"/>
                <w:vertAlign w:val="superscript"/>
                <w:lang w:val="en-GB" w:eastAsia="en-GB"/>
              </w:rPr>
              <w:t>39</w:t>
            </w:r>
            <w:r w:rsidRPr="000B4E2C">
              <w:rPr>
                <w:sz w:val="18"/>
                <w:szCs w:val="18"/>
                <w:lang w:val="en-GB" w:eastAsia="en-GB"/>
              </w:rPr>
              <w:t xml:space="preserve"> North America</w:t>
            </w:r>
          </w:p>
        </w:tc>
        <w:tc>
          <w:tcPr>
            <w:tcW w:w="0" w:type="auto"/>
            <w:shd w:val="clear" w:color="auto" w:fill="auto"/>
            <w:hideMark/>
          </w:tcPr>
          <w:p w14:paraId="79F4F6E8"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45B11BF7" w14:textId="77777777" w:rsidR="00F471F5" w:rsidRPr="000B4E2C" w:rsidRDefault="00F471F5" w:rsidP="00F471F5">
            <w:pPr>
              <w:rPr>
                <w:color w:val="000000"/>
                <w:sz w:val="18"/>
                <w:szCs w:val="18"/>
                <w:lang w:val="en-GB" w:eastAsia="en-GB"/>
              </w:rPr>
            </w:pPr>
            <w:r w:rsidRPr="000B4E2C">
              <w:rPr>
                <w:sz w:val="18"/>
                <w:szCs w:val="18"/>
                <w:lang w:val="en-GB" w:eastAsia="en-GB"/>
              </w:rPr>
              <w:t>71 (10)</w:t>
            </w:r>
          </w:p>
        </w:tc>
        <w:tc>
          <w:tcPr>
            <w:tcW w:w="0" w:type="auto"/>
            <w:shd w:val="clear" w:color="auto" w:fill="auto"/>
            <w:hideMark/>
          </w:tcPr>
          <w:p w14:paraId="368AABF9" w14:textId="77777777" w:rsidR="00F471F5" w:rsidRPr="000B4E2C" w:rsidRDefault="00F471F5" w:rsidP="00F471F5">
            <w:pPr>
              <w:rPr>
                <w:color w:val="000000"/>
                <w:sz w:val="18"/>
                <w:szCs w:val="18"/>
                <w:lang w:val="en-GB" w:eastAsia="en-GB"/>
              </w:rPr>
            </w:pPr>
            <w:r w:rsidRPr="000B4E2C">
              <w:rPr>
                <w:sz w:val="18"/>
                <w:szCs w:val="18"/>
                <w:lang w:val="en-GB" w:eastAsia="en-GB"/>
              </w:rPr>
              <w:t>1200</w:t>
            </w:r>
          </w:p>
        </w:tc>
        <w:tc>
          <w:tcPr>
            <w:tcW w:w="0" w:type="auto"/>
            <w:shd w:val="clear" w:color="auto" w:fill="auto"/>
            <w:hideMark/>
          </w:tcPr>
          <w:p w14:paraId="00F42FC0" w14:textId="77777777" w:rsidR="00F471F5" w:rsidRPr="000B4E2C" w:rsidRDefault="00F471F5" w:rsidP="00F471F5">
            <w:pPr>
              <w:rPr>
                <w:color w:val="000000"/>
                <w:sz w:val="18"/>
                <w:szCs w:val="18"/>
                <w:lang w:val="en-GB" w:eastAsia="en-GB"/>
              </w:rPr>
            </w:pPr>
            <w:r w:rsidRPr="000B4E2C">
              <w:rPr>
                <w:sz w:val="18"/>
                <w:szCs w:val="18"/>
                <w:lang w:val="en-GB" w:eastAsia="en-GB"/>
              </w:rPr>
              <w:t>60</w:t>
            </w:r>
          </w:p>
        </w:tc>
        <w:tc>
          <w:tcPr>
            <w:tcW w:w="0" w:type="auto"/>
            <w:shd w:val="clear" w:color="auto" w:fill="auto"/>
            <w:hideMark/>
          </w:tcPr>
          <w:p w14:paraId="32D88662" w14:textId="77777777" w:rsidR="00F471F5" w:rsidRPr="000B4E2C" w:rsidRDefault="00F471F5" w:rsidP="00F471F5">
            <w:pPr>
              <w:rPr>
                <w:sz w:val="18"/>
                <w:szCs w:val="18"/>
                <w:lang w:val="en-GB" w:eastAsia="en-GB"/>
              </w:rPr>
            </w:pPr>
            <w:r w:rsidRPr="000B4E2C">
              <w:rPr>
                <w:sz w:val="18"/>
                <w:szCs w:val="18"/>
                <w:lang w:val="en-GB" w:eastAsia="en-GB"/>
              </w:rPr>
              <w:t>Acute dialysis</w:t>
            </w:r>
          </w:p>
          <w:p w14:paraId="37A828D5" w14:textId="77777777" w:rsidR="00F471F5" w:rsidRPr="000B4E2C" w:rsidRDefault="00F471F5" w:rsidP="00F471F5">
            <w:pPr>
              <w:rPr>
                <w:sz w:val="18"/>
                <w:szCs w:val="18"/>
                <w:lang w:val="en-GB" w:eastAsia="en-GB"/>
              </w:rPr>
            </w:pPr>
            <w:r w:rsidRPr="000B4E2C">
              <w:rPr>
                <w:sz w:val="18"/>
                <w:szCs w:val="18"/>
                <w:lang w:val="en-GB" w:eastAsia="en-GB"/>
              </w:rPr>
              <w:t>or doubling</w:t>
            </w:r>
          </w:p>
          <w:p w14:paraId="49334071" w14:textId="77777777" w:rsidR="00F471F5" w:rsidRPr="000B4E2C" w:rsidRDefault="00F471F5" w:rsidP="00F471F5">
            <w:pPr>
              <w:rPr>
                <w:sz w:val="18"/>
                <w:szCs w:val="18"/>
                <w:lang w:val="en-GB" w:eastAsia="en-GB"/>
              </w:rPr>
            </w:pPr>
            <w:r w:rsidRPr="000B4E2C">
              <w:rPr>
                <w:sz w:val="18"/>
                <w:szCs w:val="18"/>
                <w:lang w:val="en-GB" w:eastAsia="en-GB"/>
              </w:rPr>
              <w:t>of sCr at a</w:t>
            </w:r>
          </w:p>
          <w:p w14:paraId="4E3C151A" w14:textId="77777777" w:rsidR="00F471F5" w:rsidRPr="000B4E2C" w:rsidRDefault="00F471F5" w:rsidP="00F471F5">
            <w:pPr>
              <w:rPr>
                <w:sz w:val="18"/>
                <w:szCs w:val="18"/>
                <w:lang w:val="en-GB" w:eastAsia="en-GB"/>
              </w:rPr>
            </w:pPr>
            <w:r w:rsidRPr="000B4E2C">
              <w:rPr>
                <w:sz w:val="18"/>
                <w:szCs w:val="18"/>
                <w:lang w:val="en-GB" w:eastAsia="en-GB"/>
              </w:rPr>
              <w:t>median of</w:t>
            </w:r>
          </w:p>
          <w:p w14:paraId="72026F6B" w14:textId="77777777" w:rsidR="00F471F5" w:rsidRPr="000B4E2C" w:rsidRDefault="00F471F5" w:rsidP="00F471F5">
            <w:pPr>
              <w:rPr>
                <w:sz w:val="18"/>
                <w:szCs w:val="18"/>
                <w:lang w:val="en-GB" w:eastAsia="en-GB"/>
              </w:rPr>
            </w:pPr>
            <w:r w:rsidRPr="000B4E2C">
              <w:rPr>
                <w:sz w:val="18"/>
                <w:szCs w:val="18"/>
                <w:lang w:val="en-GB" w:eastAsia="en-GB"/>
              </w:rPr>
              <w:t>3 days after surgery</w:t>
            </w:r>
          </w:p>
          <w:p w14:paraId="62794811" w14:textId="77777777" w:rsidR="00F471F5" w:rsidRPr="000B4E2C" w:rsidRDefault="00F471F5" w:rsidP="00F471F5">
            <w:pPr>
              <w:rPr>
                <w:color w:val="000000"/>
                <w:sz w:val="18"/>
                <w:szCs w:val="18"/>
                <w:lang w:val="en-GB" w:eastAsia="en-GB"/>
              </w:rPr>
            </w:pPr>
            <w:r w:rsidRPr="000B4E2C">
              <w:rPr>
                <w:sz w:val="18"/>
                <w:szCs w:val="18"/>
                <w:lang w:val="en-GB" w:eastAsia="en-GB"/>
              </w:rPr>
              <w:t xml:space="preserve">(IQR 2 to 4) </w:t>
            </w:r>
          </w:p>
        </w:tc>
        <w:tc>
          <w:tcPr>
            <w:tcW w:w="0" w:type="auto"/>
            <w:shd w:val="clear" w:color="auto" w:fill="auto"/>
            <w:hideMark/>
          </w:tcPr>
          <w:p w14:paraId="61CE991A" w14:textId="77777777" w:rsidR="00F471F5" w:rsidRPr="000B4E2C" w:rsidRDefault="00F471F5" w:rsidP="00F471F5">
            <w:pPr>
              <w:rPr>
                <w:color w:val="000000"/>
                <w:sz w:val="18"/>
                <w:szCs w:val="18"/>
                <w:lang w:val="en-GB" w:eastAsia="en-GB"/>
              </w:rPr>
            </w:pPr>
            <w:r w:rsidRPr="000B4E2C">
              <w:rPr>
                <w:sz w:val="18"/>
                <w:szCs w:val="18"/>
                <w:lang w:val="en-GB" w:eastAsia="en-GB"/>
              </w:rPr>
              <w:t>68%</w:t>
            </w:r>
          </w:p>
        </w:tc>
        <w:tc>
          <w:tcPr>
            <w:tcW w:w="0" w:type="auto"/>
            <w:shd w:val="clear" w:color="auto" w:fill="auto"/>
            <w:hideMark/>
          </w:tcPr>
          <w:p w14:paraId="4DD46DFC" w14:textId="77777777" w:rsidR="00F471F5" w:rsidRPr="000B4E2C" w:rsidRDefault="00F471F5" w:rsidP="00F471F5">
            <w:pPr>
              <w:rPr>
                <w:sz w:val="18"/>
                <w:szCs w:val="18"/>
                <w:lang w:val="en-GB" w:eastAsia="en-GB"/>
              </w:rPr>
            </w:pPr>
            <w:r w:rsidRPr="000B4E2C">
              <w:rPr>
                <w:sz w:val="18"/>
                <w:szCs w:val="18"/>
                <w:lang w:val="en-GB" w:eastAsia="en-GB"/>
              </w:rPr>
              <w:t>1.0**</w:t>
            </w:r>
          </w:p>
          <w:p w14:paraId="698C39D5" w14:textId="77777777" w:rsidR="00F471F5" w:rsidRPr="000B4E2C" w:rsidRDefault="00F471F5" w:rsidP="00F471F5">
            <w:pPr>
              <w:rPr>
                <w:sz w:val="18"/>
                <w:szCs w:val="18"/>
                <w:lang w:val="en-GB" w:eastAsia="en-GB"/>
              </w:rPr>
            </w:pPr>
            <w:r w:rsidRPr="000B4E2C">
              <w:rPr>
                <w:sz w:val="18"/>
                <w:szCs w:val="18"/>
                <w:lang w:val="en-GB" w:eastAsia="en-GB"/>
              </w:rPr>
              <w:t>(IQR 0.9</w:t>
            </w:r>
          </w:p>
          <w:p w14:paraId="43937FB0" w14:textId="77777777" w:rsidR="00F471F5" w:rsidRPr="000B4E2C" w:rsidRDefault="00F471F5" w:rsidP="00F471F5">
            <w:pPr>
              <w:rPr>
                <w:color w:val="000000"/>
                <w:sz w:val="18"/>
                <w:szCs w:val="18"/>
                <w:lang w:val="en-GB" w:eastAsia="en-GB"/>
              </w:rPr>
            </w:pPr>
            <w:r w:rsidRPr="000B4E2C">
              <w:rPr>
                <w:sz w:val="18"/>
                <w:szCs w:val="18"/>
                <w:lang w:val="en-GB" w:eastAsia="en-GB"/>
              </w:rPr>
              <w:t>to 1.20)</w:t>
            </w:r>
          </w:p>
        </w:tc>
        <w:tc>
          <w:tcPr>
            <w:tcW w:w="0" w:type="auto"/>
            <w:shd w:val="clear" w:color="auto" w:fill="auto"/>
            <w:noWrap/>
            <w:hideMark/>
          </w:tcPr>
          <w:p w14:paraId="0C965E94"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7FB70CDC"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2C753D7F" w14:textId="77777777" w:rsidR="00F471F5" w:rsidRPr="000B4E2C" w:rsidRDefault="00F471F5" w:rsidP="00F471F5">
            <w:pPr>
              <w:rPr>
                <w:color w:val="000000"/>
                <w:sz w:val="18"/>
                <w:szCs w:val="18"/>
                <w:lang w:val="en-GB" w:eastAsia="en-GB"/>
              </w:rPr>
            </w:pPr>
            <w:r w:rsidRPr="000B4E2C">
              <w:rPr>
                <w:sz w:val="18"/>
                <w:szCs w:val="18"/>
                <w:lang w:val="en-GB" w:eastAsia="en-GB"/>
              </w:rPr>
              <w:t>20</w:t>
            </w:r>
          </w:p>
        </w:tc>
        <w:tc>
          <w:tcPr>
            <w:tcW w:w="0" w:type="auto"/>
            <w:shd w:val="clear" w:color="auto" w:fill="auto"/>
            <w:hideMark/>
          </w:tcPr>
          <w:p w14:paraId="28C5086E" w14:textId="523B131A" w:rsidR="00F471F5" w:rsidRPr="000B4E2C" w:rsidRDefault="00F471F5" w:rsidP="00F471F5">
            <w:pPr>
              <w:rPr>
                <w:color w:val="000000"/>
                <w:sz w:val="18"/>
                <w:szCs w:val="18"/>
                <w:lang w:val="en-GB" w:eastAsia="en-GB"/>
              </w:rPr>
            </w:pPr>
            <w:r w:rsidRPr="000B4E2C">
              <w:rPr>
                <w:sz w:val="18"/>
                <w:szCs w:val="18"/>
                <w:lang w:val="en-GB" w:eastAsia="en-GB"/>
              </w:rPr>
              <w:t xml:space="preserve">High risk for AKI was defined by the presence of one or more of the following: emergency surgery, preoperative serum creatinine </w:t>
            </w:r>
            <w:r w:rsidR="000B4E2C" w:rsidRPr="000B4E2C">
              <w:rPr>
                <w:color w:val="00B0F0"/>
                <w:sz w:val="18"/>
                <w:szCs w:val="18"/>
                <w:lang w:val="en-GB" w:eastAsia="en-GB"/>
              </w:rPr>
              <w:t>&gt;</w:t>
            </w:r>
            <w:r w:rsidR="000B4E2C" w:rsidRPr="000B4E2C">
              <w:rPr>
                <w:color w:val="00B0F0"/>
                <w:sz w:val="18"/>
                <w:szCs w:val="18"/>
                <w:lang w:val="en-GB" w:eastAsia="en-GB"/>
              </w:rPr>
              <w:t> </w:t>
            </w:r>
            <w:r w:rsidRPr="000B4E2C">
              <w:rPr>
                <w:sz w:val="18"/>
                <w:szCs w:val="18"/>
                <w:lang w:val="en-GB" w:eastAsia="en-GB"/>
              </w:rPr>
              <w:t>2 mg/dl (</w:t>
            </w:r>
            <w:r w:rsidR="000B4E2C" w:rsidRPr="000B4E2C">
              <w:rPr>
                <w:color w:val="00B0F0"/>
                <w:sz w:val="18"/>
                <w:szCs w:val="18"/>
                <w:lang w:val="en-GB" w:eastAsia="en-GB"/>
              </w:rPr>
              <w:t>&gt;</w:t>
            </w:r>
            <w:r w:rsidR="000B4E2C" w:rsidRPr="000B4E2C">
              <w:rPr>
                <w:color w:val="00B0F0"/>
                <w:sz w:val="18"/>
                <w:szCs w:val="18"/>
                <w:lang w:val="en-GB" w:eastAsia="en-GB"/>
              </w:rPr>
              <w:t> </w:t>
            </w:r>
            <w:r w:rsidR="000B4E2C" w:rsidRPr="000B4E2C">
              <w:rPr>
                <w:color w:val="00B0F0"/>
                <w:sz w:val="18"/>
                <w:szCs w:val="18"/>
                <w:lang w:val="en-GB" w:eastAsia="en-GB"/>
              </w:rPr>
              <w:t>1</w:t>
            </w:r>
            <w:r w:rsidRPr="000B4E2C">
              <w:rPr>
                <w:sz w:val="18"/>
                <w:szCs w:val="18"/>
                <w:lang w:val="en-GB" w:eastAsia="en-GB"/>
              </w:rPr>
              <w:t xml:space="preserve">77 μmol/L), ejection fraction </w:t>
            </w:r>
            <w:r w:rsidR="000B4E2C" w:rsidRPr="000B4E2C">
              <w:rPr>
                <w:color w:val="00B0F0"/>
                <w:sz w:val="18"/>
                <w:szCs w:val="18"/>
                <w:lang w:val="en-GB" w:eastAsia="en-GB"/>
              </w:rPr>
              <w:t>&lt;</w:t>
            </w:r>
            <w:r w:rsidR="000B4E2C" w:rsidRPr="000B4E2C">
              <w:rPr>
                <w:color w:val="00B0F0"/>
                <w:sz w:val="18"/>
                <w:szCs w:val="18"/>
                <w:lang w:val="en-GB" w:eastAsia="en-GB"/>
              </w:rPr>
              <w:t> </w:t>
            </w:r>
            <w:r w:rsidRPr="000B4E2C">
              <w:rPr>
                <w:sz w:val="18"/>
                <w:szCs w:val="18"/>
                <w:lang w:val="en-GB" w:eastAsia="en-GB"/>
              </w:rPr>
              <w:t xml:space="preserve">35% or grade 3 or 4 left ventricular dysfunction, age </w:t>
            </w:r>
            <w:r w:rsidR="000B4E2C" w:rsidRPr="000B4E2C">
              <w:rPr>
                <w:color w:val="00B0F0"/>
                <w:sz w:val="18"/>
                <w:szCs w:val="18"/>
                <w:lang w:val="en-GB" w:eastAsia="en-GB"/>
              </w:rPr>
              <w:t>&gt;</w:t>
            </w:r>
            <w:r w:rsidR="000B4E2C" w:rsidRPr="000B4E2C">
              <w:rPr>
                <w:color w:val="00B0F0"/>
                <w:sz w:val="18"/>
                <w:szCs w:val="18"/>
                <w:lang w:val="en-GB" w:eastAsia="en-GB"/>
              </w:rPr>
              <w:t> </w:t>
            </w:r>
            <w:r w:rsidRPr="000B4E2C">
              <w:rPr>
                <w:sz w:val="18"/>
                <w:szCs w:val="18"/>
                <w:lang w:val="en-GB" w:eastAsia="en-GB"/>
              </w:rPr>
              <w:t xml:space="preserve">70 years, diabetes mellitus, concomitant CABG and valve surgery, or repeat </w:t>
            </w:r>
            <w:r w:rsidR="000B4E2C" w:rsidRPr="000B4E2C">
              <w:rPr>
                <w:color w:val="00B0F0"/>
                <w:sz w:val="18"/>
                <w:szCs w:val="18"/>
                <w:lang w:val="en-GB" w:eastAsia="en-GB"/>
              </w:rPr>
              <w:t>revascularisation</w:t>
            </w:r>
            <w:r w:rsidRPr="000B4E2C">
              <w:rPr>
                <w:sz w:val="18"/>
                <w:szCs w:val="18"/>
                <w:lang w:val="en-GB" w:eastAsia="en-GB"/>
              </w:rPr>
              <w:t xml:space="preserve"> surgery.</w:t>
            </w:r>
          </w:p>
        </w:tc>
        <w:tc>
          <w:tcPr>
            <w:tcW w:w="0" w:type="auto"/>
            <w:shd w:val="clear" w:color="auto" w:fill="auto"/>
            <w:hideMark/>
          </w:tcPr>
          <w:p w14:paraId="29E12EE4" w14:textId="47BF06E1" w:rsidR="00F471F5" w:rsidRPr="000B4E2C" w:rsidRDefault="00F471F5" w:rsidP="00F471F5">
            <w:pPr>
              <w:rPr>
                <w:sz w:val="18"/>
                <w:szCs w:val="18"/>
                <w:lang w:val="en-GB" w:eastAsia="en-GB"/>
              </w:rPr>
            </w:pPr>
            <w:r w:rsidRPr="000B4E2C">
              <w:rPr>
                <w:sz w:val="18"/>
                <w:szCs w:val="18"/>
                <w:lang w:val="en-GB" w:eastAsia="en-GB"/>
              </w:rPr>
              <w:t xml:space="preserve">Patients with evidence of AKI before surgery, prior kidney transplantation, preoperative serum creatinine level </w:t>
            </w:r>
            <w:r w:rsidR="000B4E2C" w:rsidRPr="000B4E2C">
              <w:rPr>
                <w:color w:val="00B0F0"/>
                <w:sz w:val="18"/>
                <w:szCs w:val="18"/>
                <w:lang w:val="en-GB" w:eastAsia="en-GB"/>
              </w:rPr>
              <w:t>&gt;</w:t>
            </w:r>
            <w:r w:rsidR="000B4E2C" w:rsidRPr="000B4E2C">
              <w:rPr>
                <w:color w:val="00B0F0"/>
                <w:sz w:val="18"/>
                <w:szCs w:val="18"/>
                <w:lang w:val="en-GB" w:eastAsia="en-GB"/>
              </w:rPr>
              <w:t> </w:t>
            </w:r>
            <w:r w:rsidRPr="000B4E2C">
              <w:rPr>
                <w:sz w:val="18"/>
                <w:szCs w:val="18"/>
                <w:lang w:val="en-GB" w:eastAsia="en-GB"/>
              </w:rPr>
              <w:t>4.5 mg/dl (</w:t>
            </w:r>
            <w:r w:rsidR="000B4E2C" w:rsidRPr="000B4E2C">
              <w:rPr>
                <w:color w:val="00B0F0"/>
                <w:sz w:val="18"/>
                <w:szCs w:val="18"/>
                <w:lang w:val="en-GB" w:eastAsia="en-GB"/>
              </w:rPr>
              <w:t>&gt;</w:t>
            </w:r>
            <w:r w:rsidR="000B4E2C" w:rsidRPr="000B4E2C">
              <w:rPr>
                <w:color w:val="00B0F0"/>
                <w:sz w:val="18"/>
                <w:szCs w:val="18"/>
                <w:lang w:val="en-GB" w:eastAsia="en-GB"/>
              </w:rPr>
              <w:t> </w:t>
            </w:r>
            <w:r w:rsidR="000B4E2C" w:rsidRPr="000B4E2C">
              <w:rPr>
                <w:color w:val="00B0F0"/>
                <w:sz w:val="18"/>
                <w:szCs w:val="18"/>
                <w:lang w:val="en-GB" w:eastAsia="en-GB"/>
              </w:rPr>
              <w:t>3</w:t>
            </w:r>
            <w:r w:rsidRPr="000B4E2C">
              <w:rPr>
                <w:sz w:val="18"/>
                <w:szCs w:val="18"/>
                <w:lang w:val="en-GB" w:eastAsia="en-GB"/>
              </w:rPr>
              <w:t>98 μmol/L), or end-stage renal disease. Participants with multiple surgeries could only be enrolled in the study once.</w:t>
            </w:r>
          </w:p>
        </w:tc>
      </w:tr>
      <w:tr w:rsidR="000B4E2C" w:rsidRPr="000B4E2C" w14:paraId="34DE4198" w14:textId="77777777" w:rsidTr="000B4E2C">
        <w:trPr>
          <w:cantSplit/>
        </w:trPr>
        <w:tc>
          <w:tcPr>
            <w:tcW w:w="0" w:type="auto"/>
            <w:shd w:val="clear" w:color="auto" w:fill="auto"/>
            <w:hideMark/>
          </w:tcPr>
          <w:p w14:paraId="66851B96" w14:textId="33299F77" w:rsidR="00F471F5" w:rsidRPr="000B4E2C" w:rsidRDefault="00F471F5" w:rsidP="00F471F5">
            <w:pPr>
              <w:rPr>
                <w:color w:val="000000"/>
                <w:sz w:val="18"/>
                <w:szCs w:val="18"/>
                <w:lang w:val="en-GB" w:eastAsia="en-GB"/>
              </w:rPr>
            </w:pPr>
            <w:r w:rsidRPr="000B4E2C">
              <w:rPr>
                <w:sz w:val="18"/>
                <w:szCs w:val="18"/>
                <w:lang w:val="en-GB" w:eastAsia="en-GB"/>
              </w:rPr>
              <w:lastRenderedPageBreak/>
              <w:t>Albert 2018,</w:t>
            </w:r>
            <w:r w:rsidRPr="000B4E2C">
              <w:rPr>
                <w:sz w:val="18"/>
                <w:szCs w:val="18"/>
                <w:vertAlign w:val="superscript"/>
                <w:lang w:val="en-GB" w:eastAsia="en-GB"/>
              </w:rPr>
              <w:t>47</w:t>
            </w:r>
            <w:r w:rsidRPr="000B4E2C">
              <w:rPr>
                <w:sz w:val="18"/>
                <w:szCs w:val="18"/>
                <w:lang w:val="en-GB" w:eastAsia="en-GB"/>
              </w:rPr>
              <w:t xml:space="preserve"> Germany</w:t>
            </w:r>
          </w:p>
        </w:tc>
        <w:tc>
          <w:tcPr>
            <w:tcW w:w="0" w:type="auto"/>
            <w:shd w:val="clear" w:color="auto" w:fill="auto"/>
            <w:hideMark/>
          </w:tcPr>
          <w:p w14:paraId="1B804042"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222DD3A2" w14:textId="77777777" w:rsidR="00F471F5" w:rsidRPr="000B4E2C" w:rsidRDefault="00F471F5" w:rsidP="00F471F5">
            <w:pPr>
              <w:rPr>
                <w:sz w:val="18"/>
                <w:szCs w:val="18"/>
                <w:lang w:val="en-GB" w:eastAsia="en-GB"/>
              </w:rPr>
            </w:pPr>
            <w:r w:rsidRPr="000B4E2C">
              <w:rPr>
                <w:sz w:val="18"/>
                <w:szCs w:val="18"/>
                <w:lang w:val="en-GB" w:eastAsia="en-GB"/>
              </w:rPr>
              <w:t>70</w:t>
            </w:r>
          </w:p>
          <w:p w14:paraId="531CB568" w14:textId="77777777" w:rsidR="00F471F5" w:rsidRPr="000B4E2C" w:rsidRDefault="00F471F5" w:rsidP="00F471F5">
            <w:pPr>
              <w:rPr>
                <w:color w:val="000000"/>
                <w:sz w:val="18"/>
                <w:szCs w:val="18"/>
                <w:lang w:val="en-GB" w:eastAsia="en-GB"/>
              </w:rPr>
            </w:pPr>
            <w:r w:rsidRPr="000B4E2C">
              <w:rPr>
                <w:sz w:val="18"/>
                <w:szCs w:val="18"/>
                <w:lang w:val="en-GB" w:eastAsia="en-GB"/>
              </w:rPr>
              <w:t>(61,77)</w:t>
            </w:r>
          </w:p>
        </w:tc>
        <w:tc>
          <w:tcPr>
            <w:tcW w:w="0" w:type="auto"/>
            <w:shd w:val="clear" w:color="auto" w:fill="auto"/>
            <w:hideMark/>
          </w:tcPr>
          <w:p w14:paraId="0F684288" w14:textId="77777777" w:rsidR="00F471F5" w:rsidRPr="000B4E2C" w:rsidRDefault="00F471F5" w:rsidP="00F471F5">
            <w:pPr>
              <w:rPr>
                <w:color w:val="000000"/>
                <w:sz w:val="18"/>
                <w:szCs w:val="18"/>
                <w:lang w:val="en-GB" w:eastAsia="en-GB"/>
              </w:rPr>
            </w:pPr>
            <w:r w:rsidRPr="000B4E2C">
              <w:rPr>
                <w:sz w:val="18"/>
                <w:szCs w:val="18"/>
                <w:lang w:val="en-GB" w:eastAsia="en-GB"/>
              </w:rPr>
              <w:t>101</w:t>
            </w:r>
          </w:p>
        </w:tc>
        <w:tc>
          <w:tcPr>
            <w:tcW w:w="0" w:type="auto"/>
            <w:shd w:val="clear" w:color="auto" w:fill="auto"/>
            <w:hideMark/>
          </w:tcPr>
          <w:p w14:paraId="2DCD1687" w14:textId="77777777" w:rsidR="00F471F5" w:rsidRPr="000B4E2C" w:rsidRDefault="00F471F5" w:rsidP="00F471F5">
            <w:pPr>
              <w:rPr>
                <w:color w:val="000000"/>
                <w:sz w:val="18"/>
                <w:szCs w:val="18"/>
                <w:lang w:val="en-GB" w:eastAsia="en-GB"/>
              </w:rPr>
            </w:pPr>
            <w:r w:rsidRPr="000B4E2C">
              <w:rPr>
                <w:sz w:val="18"/>
                <w:szCs w:val="18"/>
                <w:lang w:val="en-GB" w:eastAsia="en-GB"/>
              </w:rPr>
              <w:t>15</w:t>
            </w:r>
          </w:p>
        </w:tc>
        <w:tc>
          <w:tcPr>
            <w:tcW w:w="0" w:type="auto"/>
            <w:shd w:val="clear" w:color="auto" w:fill="auto"/>
            <w:hideMark/>
          </w:tcPr>
          <w:p w14:paraId="2FE5F895" w14:textId="77777777" w:rsidR="00F471F5" w:rsidRPr="000B4E2C" w:rsidRDefault="00F471F5" w:rsidP="00F471F5">
            <w:pPr>
              <w:rPr>
                <w:color w:val="000000"/>
                <w:sz w:val="18"/>
                <w:szCs w:val="18"/>
                <w:lang w:val="en-GB" w:eastAsia="en-GB"/>
              </w:rPr>
            </w:pPr>
            <w:r w:rsidRPr="000B4E2C">
              <w:rPr>
                <w:sz w:val="18"/>
                <w:szCs w:val="18"/>
                <w:lang w:val="en-GB" w:eastAsia="en-GB"/>
              </w:rPr>
              <w:t>RIFLE</w:t>
            </w:r>
          </w:p>
        </w:tc>
        <w:tc>
          <w:tcPr>
            <w:tcW w:w="0" w:type="auto"/>
            <w:shd w:val="clear" w:color="auto" w:fill="auto"/>
            <w:hideMark/>
          </w:tcPr>
          <w:p w14:paraId="247E472B" w14:textId="77777777" w:rsidR="00F471F5" w:rsidRPr="000B4E2C" w:rsidRDefault="00F471F5" w:rsidP="00F471F5">
            <w:pPr>
              <w:rPr>
                <w:color w:val="000000"/>
                <w:sz w:val="18"/>
                <w:szCs w:val="18"/>
                <w:lang w:val="en-GB" w:eastAsia="en-GB"/>
              </w:rPr>
            </w:pPr>
            <w:r w:rsidRPr="000B4E2C">
              <w:rPr>
                <w:sz w:val="18"/>
                <w:szCs w:val="18"/>
                <w:lang w:val="en-GB" w:eastAsia="en-GB"/>
              </w:rPr>
              <w:t>72%</w:t>
            </w:r>
          </w:p>
        </w:tc>
        <w:tc>
          <w:tcPr>
            <w:tcW w:w="0" w:type="auto"/>
            <w:shd w:val="clear" w:color="auto" w:fill="auto"/>
            <w:hideMark/>
          </w:tcPr>
          <w:p w14:paraId="1B7D0AB3"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271032D8"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337B5CB0"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1E9FAC13"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E990A19" w14:textId="77777777" w:rsidR="00F471F5" w:rsidRPr="000B4E2C" w:rsidRDefault="00F471F5" w:rsidP="00F471F5">
            <w:pPr>
              <w:rPr>
                <w:color w:val="000000"/>
                <w:sz w:val="18"/>
                <w:szCs w:val="18"/>
                <w:lang w:val="en-GB" w:eastAsia="en-GB"/>
              </w:rPr>
            </w:pPr>
            <w:r w:rsidRPr="000B4E2C">
              <w:rPr>
                <w:sz w:val="18"/>
                <w:szCs w:val="18"/>
                <w:lang w:val="en-GB" w:eastAsia="en-GB"/>
              </w:rPr>
              <w:t>Nonemergency open-heart surgery with cardiopulmonary bypass</w:t>
            </w:r>
          </w:p>
        </w:tc>
        <w:tc>
          <w:tcPr>
            <w:tcW w:w="0" w:type="auto"/>
            <w:shd w:val="clear" w:color="auto" w:fill="auto"/>
            <w:hideMark/>
          </w:tcPr>
          <w:p w14:paraId="00255FF1" w14:textId="2A980753" w:rsidR="00F471F5" w:rsidRPr="000B4E2C" w:rsidRDefault="00F471F5" w:rsidP="00F471F5">
            <w:pPr>
              <w:rPr>
                <w:sz w:val="18"/>
                <w:szCs w:val="18"/>
                <w:lang w:val="en-GB" w:eastAsia="en-GB"/>
              </w:rPr>
            </w:pPr>
            <w:r w:rsidRPr="000B4E2C">
              <w:rPr>
                <w:sz w:val="18"/>
                <w:szCs w:val="18"/>
                <w:lang w:val="en-GB" w:eastAsia="en-GB"/>
              </w:rPr>
              <w:t xml:space="preserve">Emergency operation or off-pump surgery, CKD or kidney transplant; pts </w:t>
            </w:r>
            <w:r w:rsidR="000B4E2C" w:rsidRPr="000B4E2C">
              <w:rPr>
                <w:color w:val="00B0F0"/>
                <w:sz w:val="18"/>
                <w:szCs w:val="18"/>
                <w:lang w:val="en-GB" w:eastAsia="en-GB"/>
              </w:rPr>
              <w:t>&lt;</w:t>
            </w:r>
            <w:r w:rsidR="000B4E2C" w:rsidRPr="000B4E2C">
              <w:rPr>
                <w:color w:val="00B0F0"/>
                <w:sz w:val="18"/>
                <w:szCs w:val="18"/>
                <w:lang w:val="en-GB" w:eastAsia="en-GB"/>
              </w:rPr>
              <w:t> </w:t>
            </w:r>
            <w:r w:rsidR="000B4E2C" w:rsidRPr="000B4E2C">
              <w:rPr>
                <w:color w:val="00B0F0"/>
                <w:sz w:val="18"/>
                <w:szCs w:val="18"/>
                <w:lang w:val="en-GB" w:eastAsia="en-GB"/>
              </w:rPr>
              <w:t>1</w:t>
            </w:r>
            <w:r w:rsidRPr="000B4E2C">
              <w:rPr>
                <w:sz w:val="18"/>
                <w:szCs w:val="18"/>
                <w:lang w:val="en-GB" w:eastAsia="en-GB"/>
              </w:rPr>
              <w:t>8 y and pts on immunosuppression</w:t>
            </w:r>
          </w:p>
        </w:tc>
      </w:tr>
      <w:tr w:rsidR="000B4E2C" w:rsidRPr="000B4E2C" w14:paraId="33F646E5" w14:textId="77777777" w:rsidTr="000B4E2C">
        <w:trPr>
          <w:cantSplit/>
        </w:trPr>
        <w:tc>
          <w:tcPr>
            <w:tcW w:w="0" w:type="auto"/>
            <w:shd w:val="clear" w:color="auto" w:fill="auto"/>
            <w:hideMark/>
          </w:tcPr>
          <w:p w14:paraId="4D874208" w14:textId="4EBADB2A" w:rsidR="00F471F5" w:rsidRPr="000B4E2C" w:rsidRDefault="00F471F5" w:rsidP="00F471F5">
            <w:pPr>
              <w:rPr>
                <w:color w:val="000000"/>
                <w:sz w:val="18"/>
                <w:szCs w:val="18"/>
                <w:lang w:val="en-GB" w:eastAsia="en-GB"/>
              </w:rPr>
            </w:pPr>
            <w:r w:rsidRPr="000B4E2C">
              <w:rPr>
                <w:sz w:val="18"/>
                <w:szCs w:val="18"/>
                <w:lang w:val="en-GB" w:eastAsia="en-GB"/>
              </w:rPr>
              <w:t>Haase 2014,</w:t>
            </w:r>
            <w:r w:rsidRPr="000B4E2C">
              <w:rPr>
                <w:sz w:val="18"/>
                <w:szCs w:val="18"/>
                <w:vertAlign w:val="superscript"/>
                <w:lang w:val="en-GB" w:eastAsia="en-GB"/>
              </w:rPr>
              <w:t>62</w:t>
            </w:r>
            <w:r w:rsidRPr="000B4E2C">
              <w:rPr>
                <w:sz w:val="18"/>
                <w:szCs w:val="18"/>
                <w:lang w:val="en-GB" w:eastAsia="en-GB"/>
              </w:rPr>
              <w:t xml:space="preserve"> Germany</w:t>
            </w:r>
          </w:p>
        </w:tc>
        <w:tc>
          <w:tcPr>
            <w:tcW w:w="0" w:type="auto"/>
            <w:shd w:val="clear" w:color="auto" w:fill="auto"/>
            <w:hideMark/>
          </w:tcPr>
          <w:p w14:paraId="58FCFEA7"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 &amp; pNGAL BioPorto</w:t>
            </w:r>
          </w:p>
        </w:tc>
        <w:tc>
          <w:tcPr>
            <w:tcW w:w="0" w:type="auto"/>
            <w:shd w:val="clear" w:color="auto" w:fill="auto"/>
            <w:hideMark/>
          </w:tcPr>
          <w:p w14:paraId="7CC22D06" w14:textId="77777777" w:rsidR="00F471F5" w:rsidRPr="000B4E2C" w:rsidRDefault="00F471F5" w:rsidP="00F471F5">
            <w:pPr>
              <w:rPr>
                <w:sz w:val="18"/>
                <w:szCs w:val="18"/>
                <w:lang w:val="en-GB" w:eastAsia="en-GB"/>
              </w:rPr>
            </w:pPr>
            <w:r w:rsidRPr="000B4E2C">
              <w:rPr>
                <w:sz w:val="18"/>
                <w:szCs w:val="18"/>
                <w:lang w:val="en-GB" w:eastAsia="en-GB"/>
              </w:rPr>
              <w:t>72</w:t>
            </w:r>
          </w:p>
          <w:p w14:paraId="40462FA6" w14:textId="77777777" w:rsidR="00F471F5" w:rsidRPr="000B4E2C" w:rsidRDefault="00F471F5" w:rsidP="00F471F5">
            <w:pPr>
              <w:rPr>
                <w:color w:val="000000"/>
                <w:sz w:val="18"/>
                <w:szCs w:val="18"/>
                <w:lang w:val="en-GB" w:eastAsia="en-GB"/>
              </w:rPr>
            </w:pPr>
            <w:r w:rsidRPr="000B4E2C">
              <w:rPr>
                <w:sz w:val="18"/>
                <w:szCs w:val="18"/>
                <w:lang w:val="en-GB" w:eastAsia="en-GB"/>
              </w:rPr>
              <w:t>(65,77)</w:t>
            </w:r>
          </w:p>
        </w:tc>
        <w:tc>
          <w:tcPr>
            <w:tcW w:w="0" w:type="auto"/>
            <w:shd w:val="clear" w:color="auto" w:fill="auto"/>
            <w:hideMark/>
          </w:tcPr>
          <w:p w14:paraId="5F9EBF81" w14:textId="77777777" w:rsidR="00F471F5" w:rsidRPr="000B4E2C" w:rsidRDefault="00F471F5" w:rsidP="00F471F5">
            <w:pPr>
              <w:rPr>
                <w:color w:val="000000"/>
                <w:sz w:val="18"/>
                <w:szCs w:val="18"/>
                <w:lang w:val="en-GB" w:eastAsia="en-GB"/>
              </w:rPr>
            </w:pPr>
            <w:r w:rsidRPr="000B4E2C">
              <w:rPr>
                <w:sz w:val="18"/>
                <w:szCs w:val="18"/>
                <w:lang w:val="en-GB" w:eastAsia="en-GB"/>
              </w:rPr>
              <w:t>100</w:t>
            </w:r>
          </w:p>
        </w:tc>
        <w:tc>
          <w:tcPr>
            <w:tcW w:w="0" w:type="auto"/>
            <w:shd w:val="clear" w:color="auto" w:fill="auto"/>
            <w:hideMark/>
          </w:tcPr>
          <w:p w14:paraId="6825ADA6" w14:textId="77777777" w:rsidR="00F471F5" w:rsidRPr="000B4E2C" w:rsidRDefault="00F471F5" w:rsidP="00F471F5">
            <w:pPr>
              <w:rPr>
                <w:color w:val="000000"/>
                <w:sz w:val="18"/>
                <w:szCs w:val="18"/>
                <w:lang w:val="en-GB" w:eastAsia="en-GB"/>
              </w:rPr>
            </w:pPr>
            <w:r w:rsidRPr="000B4E2C">
              <w:rPr>
                <w:sz w:val="18"/>
                <w:szCs w:val="18"/>
                <w:lang w:val="en-GB" w:eastAsia="en-GB"/>
              </w:rPr>
              <w:t>23</w:t>
            </w:r>
          </w:p>
        </w:tc>
        <w:tc>
          <w:tcPr>
            <w:tcW w:w="0" w:type="auto"/>
            <w:shd w:val="clear" w:color="auto" w:fill="auto"/>
            <w:hideMark/>
          </w:tcPr>
          <w:p w14:paraId="0883A7D4" w14:textId="77777777" w:rsidR="00F471F5" w:rsidRPr="000B4E2C" w:rsidRDefault="00F471F5" w:rsidP="00F471F5">
            <w:pPr>
              <w:rPr>
                <w:color w:val="000000"/>
                <w:sz w:val="18"/>
                <w:szCs w:val="18"/>
                <w:lang w:val="en-GB" w:eastAsia="en-GB"/>
              </w:rPr>
            </w:pPr>
            <w:r w:rsidRPr="000B4E2C">
              <w:rPr>
                <w:sz w:val="18"/>
                <w:szCs w:val="18"/>
                <w:lang w:val="en-GB" w:eastAsia="en-GB"/>
              </w:rPr>
              <w:t>RIFLE</w:t>
            </w:r>
          </w:p>
        </w:tc>
        <w:tc>
          <w:tcPr>
            <w:tcW w:w="0" w:type="auto"/>
            <w:shd w:val="clear" w:color="auto" w:fill="auto"/>
            <w:hideMark/>
          </w:tcPr>
          <w:p w14:paraId="3DCA206B" w14:textId="77777777" w:rsidR="00F471F5" w:rsidRPr="000B4E2C" w:rsidRDefault="00F471F5" w:rsidP="00F471F5">
            <w:pPr>
              <w:rPr>
                <w:color w:val="000000"/>
                <w:sz w:val="18"/>
                <w:szCs w:val="18"/>
                <w:lang w:val="en-GB" w:eastAsia="en-GB"/>
              </w:rPr>
            </w:pPr>
            <w:r w:rsidRPr="000B4E2C">
              <w:rPr>
                <w:sz w:val="18"/>
                <w:szCs w:val="18"/>
                <w:lang w:val="en-GB" w:eastAsia="en-GB"/>
              </w:rPr>
              <w:t>75%</w:t>
            </w:r>
          </w:p>
        </w:tc>
        <w:tc>
          <w:tcPr>
            <w:tcW w:w="0" w:type="auto"/>
            <w:shd w:val="clear" w:color="auto" w:fill="auto"/>
            <w:hideMark/>
          </w:tcPr>
          <w:p w14:paraId="0E4A8FC0"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5D797B49"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187B84C0"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5A07C6F"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08D2A17E" w14:textId="7DADB5A3" w:rsidR="00F471F5" w:rsidRPr="000B4E2C" w:rsidRDefault="00F471F5" w:rsidP="00F471F5">
            <w:pPr>
              <w:rPr>
                <w:color w:val="000000"/>
                <w:sz w:val="18"/>
                <w:szCs w:val="18"/>
                <w:lang w:val="en-GB" w:eastAsia="en-GB"/>
              </w:rPr>
            </w:pPr>
            <w:r w:rsidRPr="000B4E2C">
              <w:rPr>
                <w:sz w:val="18"/>
                <w:szCs w:val="18"/>
                <w:lang w:val="en-GB" w:eastAsia="en-GB"/>
              </w:rPr>
              <w:t xml:space="preserve">Age above 70 y, pre-existing renal impairment (pre-operative creatinine </w:t>
            </w:r>
            <w:r w:rsidR="000B4E2C" w:rsidRPr="000B4E2C">
              <w:rPr>
                <w:color w:val="00B0F0"/>
                <w:sz w:val="18"/>
                <w:szCs w:val="18"/>
                <w:lang w:val="en-GB" w:eastAsia="en-GB"/>
              </w:rPr>
              <w:t>&gt;</w:t>
            </w:r>
            <w:r w:rsidR="000B4E2C" w:rsidRPr="000B4E2C">
              <w:rPr>
                <w:color w:val="00B0F0"/>
                <w:sz w:val="18"/>
                <w:szCs w:val="18"/>
                <w:lang w:val="en-GB" w:eastAsia="en-GB"/>
              </w:rPr>
              <w:t> </w:t>
            </w:r>
            <w:r w:rsidR="000B4E2C" w:rsidRPr="000B4E2C">
              <w:rPr>
                <w:color w:val="00B0F0"/>
                <w:sz w:val="18"/>
                <w:szCs w:val="18"/>
                <w:lang w:val="en-GB" w:eastAsia="en-GB"/>
              </w:rPr>
              <w:t>1</w:t>
            </w:r>
            <w:r w:rsidRPr="000B4E2C">
              <w:rPr>
                <w:sz w:val="18"/>
                <w:szCs w:val="18"/>
                <w:lang w:val="en-GB" w:eastAsia="en-GB"/>
              </w:rPr>
              <w:t xml:space="preserve">20 µmol/l, left ventricular ejection fraction </w:t>
            </w:r>
            <w:r w:rsidR="000B4E2C" w:rsidRPr="000B4E2C">
              <w:rPr>
                <w:color w:val="00B0F0"/>
                <w:sz w:val="18"/>
                <w:szCs w:val="18"/>
                <w:lang w:val="en-GB" w:eastAsia="en-GB"/>
              </w:rPr>
              <w:t>&lt;</w:t>
            </w:r>
            <w:r w:rsidR="000B4E2C" w:rsidRPr="000B4E2C">
              <w:rPr>
                <w:color w:val="00B0F0"/>
                <w:sz w:val="18"/>
                <w:szCs w:val="18"/>
                <w:lang w:val="en-GB" w:eastAsia="en-GB"/>
              </w:rPr>
              <w:t> </w:t>
            </w:r>
            <w:r w:rsidR="000B4E2C" w:rsidRPr="000B4E2C">
              <w:rPr>
                <w:color w:val="00B0F0"/>
                <w:sz w:val="18"/>
                <w:szCs w:val="18"/>
                <w:lang w:val="en-GB" w:eastAsia="en-GB"/>
              </w:rPr>
              <w:t>3</w:t>
            </w:r>
            <w:r w:rsidRPr="000B4E2C">
              <w:rPr>
                <w:sz w:val="18"/>
                <w:szCs w:val="18"/>
                <w:lang w:val="en-GB" w:eastAsia="en-GB"/>
              </w:rPr>
              <w:t>5%, insulin-</w:t>
            </w:r>
            <w:r w:rsidRPr="000B4E2C">
              <w:rPr>
                <w:sz w:val="18"/>
                <w:szCs w:val="18"/>
                <w:highlight w:val="magenta"/>
                <w:lang w:val="en-GB" w:eastAsia="en-GB"/>
              </w:rPr>
              <w:t>dependent</w:t>
            </w:r>
            <w:r w:rsidRPr="000B4E2C">
              <w:rPr>
                <w:sz w:val="18"/>
                <w:szCs w:val="18"/>
                <w:lang w:val="en-GB" w:eastAsia="en-GB"/>
              </w:rPr>
              <w:t xml:space="preserve"> Type 2 diabetes, valvular surgery or valvular and coronary artery bypass surgery, redo cardiac surgery</w:t>
            </w:r>
          </w:p>
        </w:tc>
        <w:tc>
          <w:tcPr>
            <w:tcW w:w="0" w:type="auto"/>
            <w:shd w:val="clear" w:color="auto" w:fill="auto"/>
            <w:hideMark/>
          </w:tcPr>
          <w:p w14:paraId="138A1938" w14:textId="010819B9" w:rsidR="00F471F5" w:rsidRPr="000B4E2C" w:rsidRDefault="00F471F5" w:rsidP="00F471F5">
            <w:pPr>
              <w:rPr>
                <w:sz w:val="18"/>
                <w:szCs w:val="18"/>
                <w:lang w:val="en-GB" w:eastAsia="en-GB"/>
              </w:rPr>
            </w:pPr>
            <w:r w:rsidRPr="000B4E2C">
              <w:rPr>
                <w:sz w:val="18"/>
                <w:szCs w:val="18"/>
                <w:lang w:val="en-GB" w:eastAsia="en-GB"/>
              </w:rPr>
              <w:t xml:space="preserve">Patients with chronic renal impairment (preoperative creatinine </w:t>
            </w:r>
            <w:r w:rsidR="000B4E2C" w:rsidRPr="000B4E2C">
              <w:rPr>
                <w:color w:val="00B0F0"/>
                <w:sz w:val="18"/>
                <w:szCs w:val="18"/>
                <w:lang w:val="en-GB" w:eastAsia="en-GB"/>
              </w:rPr>
              <w:t>&gt;</w:t>
            </w:r>
            <w:r w:rsidR="000B4E2C" w:rsidRPr="000B4E2C">
              <w:rPr>
                <w:color w:val="00B0F0"/>
                <w:sz w:val="18"/>
                <w:szCs w:val="18"/>
                <w:lang w:val="en-GB" w:eastAsia="en-GB"/>
              </w:rPr>
              <w:t> </w:t>
            </w:r>
            <w:r w:rsidR="000B4E2C" w:rsidRPr="000B4E2C">
              <w:rPr>
                <w:color w:val="00B0F0"/>
                <w:sz w:val="18"/>
                <w:szCs w:val="18"/>
                <w:lang w:val="en-GB" w:eastAsia="en-GB"/>
              </w:rPr>
              <w:t>3</w:t>
            </w:r>
            <w:r w:rsidRPr="000B4E2C">
              <w:rPr>
                <w:sz w:val="18"/>
                <w:szCs w:val="18"/>
                <w:lang w:val="en-GB" w:eastAsia="en-GB"/>
              </w:rPr>
              <w:t>00 µmol/L), those undergoing an emergency cardiac surgery procedure, patients on immunosuppression therapy, and those enrolled in a conflicting research study).</w:t>
            </w:r>
          </w:p>
        </w:tc>
      </w:tr>
      <w:tr w:rsidR="000B4E2C" w:rsidRPr="000B4E2C" w14:paraId="0571D069" w14:textId="77777777" w:rsidTr="000B4E2C">
        <w:trPr>
          <w:cantSplit/>
        </w:trPr>
        <w:tc>
          <w:tcPr>
            <w:tcW w:w="0" w:type="auto"/>
            <w:shd w:val="clear" w:color="auto" w:fill="auto"/>
            <w:hideMark/>
          </w:tcPr>
          <w:p w14:paraId="0A0A98F6" w14:textId="14CC6F70" w:rsidR="00F471F5" w:rsidRPr="000B4E2C" w:rsidRDefault="00F471F5" w:rsidP="00F471F5">
            <w:pPr>
              <w:rPr>
                <w:color w:val="000000"/>
                <w:sz w:val="18"/>
                <w:szCs w:val="18"/>
                <w:lang w:val="en-GB" w:eastAsia="en-GB"/>
              </w:rPr>
            </w:pPr>
            <w:r w:rsidRPr="000B4E2C">
              <w:rPr>
                <w:sz w:val="18"/>
                <w:szCs w:val="18"/>
                <w:lang w:val="en-GB" w:eastAsia="en-GB"/>
              </w:rPr>
              <w:t>De Loor 2017,</w:t>
            </w:r>
            <w:r w:rsidRPr="000B4E2C">
              <w:rPr>
                <w:sz w:val="18"/>
                <w:szCs w:val="18"/>
                <w:vertAlign w:val="superscript"/>
                <w:lang w:val="en-GB" w:eastAsia="en-GB"/>
              </w:rPr>
              <w:t>65</w:t>
            </w:r>
            <w:r w:rsidRPr="000B4E2C">
              <w:rPr>
                <w:sz w:val="18"/>
                <w:szCs w:val="18"/>
                <w:lang w:val="en-GB" w:eastAsia="en-GB"/>
              </w:rPr>
              <w:t xml:space="preserve"> Belgium</w:t>
            </w:r>
          </w:p>
        </w:tc>
        <w:tc>
          <w:tcPr>
            <w:tcW w:w="0" w:type="auto"/>
            <w:shd w:val="clear" w:color="auto" w:fill="auto"/>
            <w:hideMark/>
          </w:tcPr>
          <w:p w14:paraId="539AB9B5" w14:textId="77777777" w:rsidR="00F471F5" w:rsidRPr="000B4E2C" w:rsidRDefault="00F471F5" w:rsidP="00F471F5">
            <w:pPr>
              <w:rPr>
                <w:color w:val="000000"/>
                <w:sz w:val="18"/>
                <w:szCs w:val="18"/>
                <w:lang w:val="en-GB" w:eastAsia="en-GB"/>
              </w:rPr>
            </w:pPr>
            <w:r w:rsidRPr="000B4E2C">
              <w:rPr>
                <w:sz w:val="18"/>
                <w:szCs w:val="18"/>
                <w:lang w:val="en-GB" w:eastAsia="en-GB"/>
              </w:rPr>
              <w:t>uNGAL, BioPorto</w:t>
            </w:r>
          </w:p>
        </w:tc>
        <w:tc>
          <w:tcPr>
            <w:tcW w:w="0" w:type="auto"/>
            <w:shd w:val="clear" w:color="auto" w:fill="auto"/>
            <w:hideMark/>
          </w:tcPr>
          <w:p w14:paraId="392DA1AB" w14:textId="77777777" w:rsidR="000B4E2C" w:rsidRPr="000B4E2C" w:rsidRDefault="00F471F5" w:rsidP="00F471F5">
            <w:pPr>
              <w:rPr>
                <w:sz w:val="18"/>
                <w:szCs w:val="18"/>
                <w:lang w:val="en-GB" w:eastAsia="en-GB"/>
              </w:rPr>
            </w:pPr>
            <w:r w:rsidRPr="000B4E2C">
              <w:rPr>
                <w:sz w:val="18"/>
                <w:szCs w:val="18"/>
                <w:lang w:val="en-GB" w:eastAsia="en-GB"/>
              </w:rPr>
              <w:t>69</w:t>
            </w:r>
          </w:p>
          <w:p w14:paraId="4E3C288E" w14:textId="71327E8B" w:rsidR="00F471F5" w:rsidRPr="000B4E2C" w:rsidRDefault="00F471F5" w:rsidP="00F471F5">
            <w:pPr>
              <w:rPr>
                <w:color w:val="000000"/>
                <w:sz w:val="18"/>
                <w:szCs w:val="18"/>
                <w:lang w:val="en-GB" w:eastAsia="en-GB"/>
              </w:rPr>
            </w:pPr>
            <w:r w:rsidRPr="000B4E2C">
              <w:rPr>
                <w:sz w:val="18"/>
                <w:szCs w:val="18"/>
                <w:lang w:val="en-GB" w:eastAsia="en-GB"/>
              </w:rPr>
              <w:t>(61, 76)</w:t>
            </w:r>
          </w:p>
        </w:tc>
        <w:tc>
          <w:tcPr>
            <w:tcW w:w="0" w:type="auto"/>
            <w:shd w:val="clear" w:color="auto" w:fill="auto"/>
            <w:hideMark/>
          </w:tcPr>
          <w:p w14:paraId="74EC9EEF" w14:textId="77777777" w:rsidR="00F471F5" w:rsidRPr="000B4E2C" w:rsidRDefault="00F471F5" w:rsidP="00F471F5">
            <w:pPr>
              <w:rPr>
                <w:color w:val="000000"/>
                <w:sz w:val="18"/>
                <w:szCs w:val="18"/>
                <w:lang w:val="en-GB" w:eastAsia="en-GB"/>
              </w:rPr>
            </w:pPr>
            <w:r w:rsidRPr="000B4E2C">
              <w:rPr>
                <w:sz w:val="18"/>
                <w:szCs w:val="18"/>
                <w:lang w:val="en-GB" w:eastAsia="en-GB"/>
              </w:rPr>
              <w:t>203</w:t>
            </w:r>
          </w:p>
        </w:tc>
        <w:tc>
          <w:tcPr>
            <w:tcW w:w="0" w:type="auto"/>
            <w:shd w:val="clear" w:color="auto" w:fill="auto"/>
            <w:hideMark/>
          </w:tcPr>
          <w:p w14:paraId="349A1E60" w14:textId="77777777" w:rsidR="00F471F5" w:rsidRPr="000B4E2C" w:rsidRDefault="00F471F5" w:rsidP="00F471F5">
            <w:pPr>
              <w:rPr>
                <w:color w:val="000000"/>
                <w:sz w:val="18"/>
                <w:szCs w:val="18"/>
                <w:lang w:val="en-GB" w:eastAsia="en-GB"/>
              </w:rPr>
            </w:pPr>
            <w:r w:rsidRPr="000B4E2C">
              <w:rPr>
                <w:sz w:val="18"/>
                <w:szCs w:val="18"/>
                <w:lang w:val="en-GB" w:eastAsia="en-GB"/>
              </w:rPr>
              <w:t>95</w:t>
            </w:r>
          </w:p>
        </w:tc>
        <w:tc>
          <w:tcPr>
            <w:tcW w:w="0" w:type="auto"/>
            <w:shd w:val="clear" w:color="auto" w:fill="auto"/>
            <w:hideMark/>
          </w:tcPr>
          <w:p w14:paraId="178C23EA"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764A9615" w14:textId="77777777" w:rsidR="00F471F5" w:rsidRPr="000B4E2C" w:rsidRDefault="00F471F5" w:rsidP="00F471F5">
            <w:pPr>
              <w:rPr>
                <w:color w:val="000000"/>
                <w:sz w:val="18"/>
                <w:szCs w:val="18"/>
                <w:lang w:val="en-GB" w:eastAsia="en-GB"/>
              </w:rPr>
            </w:pPr>
            <w:r w:rsidRPr="000B4E2C">
              <w:rPr>
                <w:sz w:val="18"/>
                <w:szCs w:val="18"/>
                <w:lang w:val="en-GB" w:eastAsia="en-GB"/>
              </w:rPr>
              <w:t>66%</w:t>
            </w:r>
          </w:p>
        </w:tc>
        <w:tc>
          <w:tcPr>
            <w:tcW w:w="0" w:type="auto"/>
            <w:shd w:val="clear" w:color="auto" w:fill="auto"/>
            <w:hideMark/>
          </w:tcPr>
          <w:p w14:paraId="266C87CF"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2CA2E47F"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00249CE1"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17A314D2"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6626ECA" w14:textId="77777777" w:rsidR="00F471F5" w:rsidRPr="000B4E2C" w:rsidRDefault="00F471F5" w:rsidP="00F471F5">
            <w:pPr>
              <w:rPr>
                <w:color w:val="000000"/>
                <w:sz w:val="18"/>
                <w:szCs w:val="18"/>
                <w:lang w:val="en-GB" w:eastAsia="en-GB"/>
              </w:rPr>
            </w:pPr>
            <w:r w:rsidRPr="000B4E2C">
              <w:rPr>
                <w:sz w:val="18"/>
                <w:szCs w:val="18"/>
                <w:lang w:val="en-GB" w:eastAsia="en-GB"/>
              </w:rPr>
              <w:t>Elective cardiac surgery</w:t>
            </w:r>
          </w:p>
        </w:tc>
        <w:tc>
          <w:tcPr>
            <w:tcW w:w="0" w:type="auto"/>
            <w:shd w:val="clear" w:color="auto" w:fill="auto"/>
            <w:hideMark/>
          </w:tcPr>
          <w:p w14:paraId="694133EC" w14:textId="302B5C31" w:rsidR="00F471F5" w:rsidRPr="000B4E2C" w:rsidRDefault="00F471F5" w:rsidP="00F471F5">
            <w:pPr>
              <w:rPr>
                <w:sz w:val="18"/>
                <w:szCs w:val="18"/>
                <w:lang w:val="en-GB" w:eastAsia="en-GB"/>
              </w:rPr>
            </w:pPr>
            <w:r w:rsidRPr="000B4E2C">
              <w:rPr>
                <w:sz w:val="18"/>
                <w:szCs w:val="18"/>
                <w:lang w:val="en-GB" w:eastAsia="en-GB"/>
              </w:rPr>
              <w:t xml:space="preserve">AKI stage </w:t>
            </w:r>
            <w:r w:rsidR="000B4E2C" w:rsidRPr="000B4E2C">
              <w:rPr>
                <w:color w:val="00B0F0"/>
                <w:sz w:val="18"/>
                <w:szCs w:val="18"/>
                <w:lang w:val="en-GB" w:eastAsia="en-GB"/>
              </w:rPr>
              <w:t>≥</w:t>
            </w:r>
            <w:r w:rsidR="000B4E2C" w:rsidRPr="000B4E2C">
              <w:rPr>
                <w:color w:val="00B0F0"/>
                <w:sz w:val="18"/>
                <w:szCs w:val="18"/>
                <w:lang w:val="en-GB" w:eastAsia="en-GB"/>
              </w:rPr>
              <w:t> </w:t>
            </w:r>
            <w:r w:rsidR="000B4E2C" w:rsidRPr="000B4E2C">
              <w:rPr>
                <w:color w:val="00B0F0"/>
                <w:sz w:val="18"/>
                <w:szCs w:val="18"/>
                <w:lang w:val="en-GB" w:eastAsia="en-GB"/>
              </w:rPr>
              <w:t>1</w:t>
            </w:r>
            <w:r w:rsidRPr="000B4E2C">
              <w:rPr>
                <w:sz w:val="18"/>
                <w:szCs w:val="18"/>
                <w:lang w:val="en-GB" w:eastAsia="en-GB"/>
              </w:rPr>
              <w:t>, CKD stage 5; recent kidney transplant; surgery Sat and Sun.</w:t>
            </w:r>
          </w:p>
        </w:tc>
      </w:tr>
      <w:tr w:rsidR="000B4E2C" w:rsidRPr="000B4E2C" w14:paraId="74826E60" w14:textId="77777777" w:rsidTr="000B4E2C">
        <w:trPr>
          <w:cantSplit/>
        </w:trPr>
        <w:tc>
          <w:tcPr>
            <w:tcW w:w="0" w:type="auto"/>
            <w:shd w:val="clear" w:color="auto" w:fill="auto"/>
            <w:hideMark/>
          </w:tcPr>
          <w:p w14:paraId="7A55004B" w14:textId="653637A3" w:rsidR="00F471F5" w:rsidRPr="000B4E2C" w:rsidRDefault="00F471F5" w:rsidP="00F471F5">
            <w:pPr>
              <w:rPr>
                <w:color w:val="000000"/>
                <w:sz w:val="18"/>
                <w:szCs w:val="18"/>
                <w:lang w:val="en-GB" w:eastAsia="en-GB"/>
              </w:rPr>
            </w:pPr>
            <w:r w:rsidRPr="000B4E2C">
              <w:rPr>
                <w:sz w:val="18"/>
                <w:szCs w:val="18"/>
                <w:lang w:val="en-GB" w:eastAsia="en-GB"/>
              </w:rPr>
              <w:t>Garcia-Alvarez 2015,</w:t>
            </w:r>
            <w:r w:rsidRPr="000B4E2C">
              <w:rPr>
                <w:sz w:val="18"/>
                <w:szCs w:val="18"/>
                <w:vertAlign w:val="superscript"/>
                <w:lang w:val="en-GB" w:eastAsia="en-GB"/>
              </w:rPr>
              <w:t xml:space="preserve">48 </w:t>
            </w:r>
            <w:r w:rsidRPr="000B4E2C">
              <w:rPr>
                <w:sz w:val="18"/>
                <w:szCs w:val="18"/>
                <w:lang w:val="en-GB" w:eastAsia="en-GB"/>
              </w:rPr>
              <w:t>Spain</w:t>
            </w:r>
          </w:p>
        </w:tc>
        <w:tc>
          <w:tcPr>
            <w:tcW w:w="0" w:type="auto"/>
            <w:shd w:val="clear" w:color="auto" w:fill="auto"/>
            <w:hideMark/>
          </w:tcPr>
          <w:p w14:paraId="29F92745"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5FFAA23F" w14:textId="77777777" w:rsidR="000B4E2C" w:rsidRPr="000B4E2C" w:rsidRDefault="00F471F5" w:rsidP="00F471F5">
            <w:pPr>
              <w:rPr>
                <w:sz w:val="18"/>
                <w:szCs w:val="18"/>
                <w:lang w:val="en-GB" w:eastAsia="en-GB"/>
              </w:rPr>
            </w:pPr>
            <w:r w:rsidRPr="000B4E2C">
              <w:rPr>
                <w:sz w:val="18"/>
                <w:szCs w:val="18"/>
                <w:lang w:val="en-GB" w:eastAsia="en-GB"/>
              </w:rPr>
              <w:t>AKI</w:t>
            </w:r>
          </w:p>
          <w:p w14:paraId="63492366" w14:textId="269FEAAC" w:rsidR="00F471F5" w:rsidRPr="000B4E2C" w:rsidRDefault="00F471F5" w:rsidP="00F471F5">
            <w:pPr>
              <w:rPr>
                <w:sz w:val="18"/>
                <w:szCs w:val="18"/>
                <w:lang w:val="en-GB" w:eastAsia="en-GB"/>
              </w:rPr>
            </w:pPr>
            <w:r w:rsidRPr="000B4E2C">
              <w:rPr>
                <w:sz w:val="18"/>
                <w:szCs w:val="18"/>
                <w:lang w:val="en-GB" w:eastAsia="en-GB"/>
              </w:rPr>
              <w:t>74</w:t>
            </w:r>
          </w:p>
          <w:p w14:paraId="081BDD28" w14:textId="77777777" w:rsidR="000B4E2C" w:rsidRPr="000B4E2C" w:rsidRDefault="00F471F5" w:rsidP="00F471F5">
            <w:pPr>
              <w:rPr>
                <w:sz w:val="18"/>
                <w:szCs w:val="18"/>
                <w:lang w:val="en-GB" w:eastAsia="en-GB"/>
              </w:rPr>
            </w:pPr>
            <w:r w:rsidRPr="000B4E2C">
              <w:rPr>
                <w:sz w:val="18"/>
                <w:szCs w:val="18"/>
                <w:lang w:val="en-GB" w:eastAsia="en-GB"/>
              </w:rPr>
              <w:t>(68, 80);</w:t>
            </w:r>
          </w:p>
          <w:p w14:paraId="08816218" w14:textId="77777777" w:rsidR="000B4E2C" w:rsidRPr="000B4E2C" w:rsidRDefault="00F471F5" w:rsidP="00F471F5">
            <w:pPr>
              <w:rPr>
                <w:sz w:val="18"/>
                <w:szCs w:val="18"/>
                <w:lang w:val="en-GB" w:eastAsia="en-GB"/>
              </w:rPr>
            </w:pPr>
            <w:r w:rsidRPr="000B4E2C">
              <w:rPr>
                <w:sz w:val="18"/>
                <w:szCs w:val="18"/>
                <w:lang w:val="en-GB" w:eastAsia="en-GB"/>
              </w:rPr>
              <w:t>No AKI</w:t>
            </w:r>
          </w:p>
          <w:p w14:paraId="09C7C789" w14:textId="2FFFEF05" w:rsidR="00F471F5" w:rsidRPr="000B4E2C" w:rsidRDefault="00F471F5" w:rsidP="00F471F5">
            <w:pPr>
              <w:rPr>
                <w:sz w:val="18"/>
                <w:szCs w:val="18"/>
                <w:lang w:val="en-GB" w:eastAsia="en-GB"/>
              </w:rPr>
            </w:pPr>
            <w:r w:rsidRPr="000B4E2C">
              <w:rPr>
                <w:sz w:val="18"/>
                <w:szCs w:val="18"/>
                <w:lang w:val="en-GB" w:eastAsia="en-GB"/>
              </w:rPr>
              <w:t>69</w:t>
            </w:r>
          </w:p>
          <w:p w14:paraId="503E8DAA" w14:textId="77777777" w:rsidR="00F471F5" w:rsidRPr="000B4E2C" w:rsidRDefault="00F471F5" w:rsidP="00F471F5">
            <w:pPr>
              <w:rPr>
                <w:color w:val="000000"/>
                <w:sz w:val="18"/>
                <w:szCs w:val="18"/>
                <w:lang w:val="en-GB" w:eastAsia="en-GB"/>
              </w:rPr>
            </w:pPr>
            <w:r w:rsidRPr="000B4E2C">
              <w:rPr>
                <w:sz w:val="18"/>
                <w:szCs w:val="18"/>
                <w:lang w:val="en-GB" w:eastAsia="en-GB"/>
              </w:rPr>
              <w:t>(59, 76)</w:t>
            </w:r>
          </w:p>
        </w:tc>
        <w:tc>
          <w:tcPr>
            <w:tcW w:w="0" w:type="auto"/>
            <w:shd w:val="clear" w:color="auto" w:fill="auto"/>
            <w:hideMark/>
          </w:tcPr>
          <w:p w14:paraId="0ACD83C2" w14:textId="77777777" w:rsidR="00F471F5" w:rsidRPr="000B4E2C" w:rsidRDefault="00F471F5" w:rsidP="00F471F5">
            <w:pPr>
              <w:rPr>
                <w:color w:val="000000"/>
                <w:sz w:val="18"/>
                <w:szCs w:val="18"/>
                <w:lang w:val="en-GB" w:eastAsia="en-GB"/>
              </w:rPr>
            </w:pPr>
            <w:r w:rsidRPr="000B4E2C">
              <w:rPr>
                <w:sz w:val="18"/>
                <w:szCs w:val="18"/>
                <w:lang w:val="en-GB" w:eastAsia="en-GB"/>
              </w:rPr>
              <w:t>288</w:t>
            </w:r>
          </w:p>
        </w:tc>
        <w:tc>
          <w:tcPr>
            <w:tcW w:w="0" w:type="auto"/>
            <w:shd w:val="clear" w:color="auto" w:fill="auto"/>
            <w:hideMark/>
          </w:tcPr>
          <w:p w14:paraId="09446A85" w14:textId="77777777" w:rsidR="00F471F5" w:rsidRPr="000B4E2C" w:rsidRDefault="00F471F5" w:rsidP="00F471F5">
            <w:pPr>
              <w:rPr>
                <w:color w:val="000000"/>
                <w:sz w:val="18"/>
                <w:szCs w:val="18"/>
                <w:lang w:val="en-GB" w:eastAsia="en-GB"/>
              </w:rPr>
            </w:pPr>
            <w:r w:rsidRPr="000B4E2C">
              <w:rPr>
                <w:sz w:val="18"/>
                <w:szCs w:val="18"/>
                <w:lang w:val="en-GB" w:eastAsia="en-GB"/>
              </w:rPr>
              <w:t>104</w:t>
            </w:r>
          </w:p>
        </w:tc>
        <w:tc>
          <w:tcPr>
            <w:tcW w:w="0" w:type="auto"/>
            <w:shd w:val="clear" w:color="auto" w:fill="auto"/>
            <w:hideMark/>
          </w:tcPr>
          <w:p w14:paraId="20B716E8" w14:textId="594A6528" w:rsidR="00F471F5" w:rsidRPr="000B4E2C" w:rsidRDefault="00F471F5" w:rsidP="00F471F5">
            <w:pPr>
              <w:spacing w:line="276" w:lineRule="auto"/>
              <w:rPr>
                <w:sz w:val="18"/>
                <w:szCs w:val="18"/>
                <w:lang w:eastAsia="en-GB"/>
              </w:rPr>
            </w:pPr>
            <w:r w:rsidRPr="000B4E2C">
              <w:rPr>
                <w:sz w:val="18"/>
                <w:szCs w:val="18"/>
                <w:lang w:eastAsia="en-GB"/>
              </w:rPr>
              <w:t xml:space="preserve">sCr </w:t>
            </w:r>
            <w:r w:rsidR="000B4E2C" w:rsidRPr="000B4E2C">
              <w:rPr>
                <w:color w:val="00B0F0"/>
                <w:sz w:val="18"/>
                <w:szCs w:val="18"/>
                <w:lang w:eastAsia="en-GB"/>
              </w:rPr>
              <w:t>≥</w:t>
            </w:r>
            <w:r w:rsidR="000B4E2C" w:rsidRPr="000B4E2C">
              <w:rPr>
                <w:color w:val="00B0F0"/>
                <w:sz w:val="18"/>
                <w:szCs w:val="18"/>
                <w:lang w:eastAsia="en-GB"/>
              </w:rPr>
              <w:t> </w:t>
            </w:r>
            <w:r w:rsidR="000B4E2C" w:rsidRPr="000B4E2C">
              <w:rPr>
                <w:color w:val="00B0F0"/>
                <w:sz w:val="18"/>
                <w:szCs w:val="18"/>
                <w:lang w:eastAsia="en-GB"/>
              </w:rPr>
              <w:t>2</w:t>
            </w:r>
            <w:r w:rsidRPr="000B4E2C">
              <w:rPr>
                <w:sz w:val="18"/>
                <w:szCs w:val="18"/>
                <w:lang w:eastAsia="en-GB"/>
              </w:rPr>
              <w:t>00%</w:t>
            </w:r>
          </w:p>
          <w:p w14:paraId="2AF68AAA" w14:textId="77777777" w:rsidR="00F471F5" w:rsidRPr="000B4E2C" w:rsidRDefault="00F471F5" w:rsidP="00F471F5">
            <w:pPr>
              <w:spacing w:line="276" w:lineRule="auto"/>
              <w:rPr>
                <w:sz w:val="18"/>
                <w:szCs w:val="18"/>
                <w:lang w:eastAsia="en-GB"/>
              </w:rPr>
            </w:pPr>
            <w:r w:rsidRPr="000B4E2C">
              <w:rPr>
                <w:sz w:val="18"/>
                <w:szCs w:val="18"/>
                <w:lang w:eastAsia="en-GB"/>
              </w:rPr>
              <w:t>or eGFR</w:t>
            </w:r>
          </w:p>
          <w:p w14:paraId="4F326111" w14:textId="4F081F4B" w:rsidR="00F471F5" w:rsidRPr="000B4E2C" w:rsidRDefault="000B4E2C" w:rsidP="00F471F5">
            <w:pPr>
              <w:spacing w:line="276" w:lineRule="auto"/>
              <w:rPr>
                <w:color w:val="000000"/>
                <w:sz w:val="18"/>
                <w:szCs w:val="18"/>
                <w:lang w:eastAsia="en-GB"/>
              </w:rPr>
            </w:pPr>
            <w:r w:rsidRPr="000B4E2C">
              <w:rPr>
                <w:color w:val="00B0F0"/>
                <w:sz w:val="18"/>
                <w:szCs w:val="18"/>
                <w:lang w:eastAsia="en-GB"/>
              </w:rPr>
              <w:t>&lt;</w:t>
            </w:r>
            <w:r w:rsidRPr="000B4E2C">
              <w:rPr>
                <w:color w:val="00B0F0"/>
                <w:sz w:val="18"/>
                <w:szCs w:val="18"/>
                <w:lang w:eastAsia="en-GB"/>
              </w:rPr>
              <w:t> </w:t>
            </w:r>
            <w:r w:rsidRPr="000B4E2C">
              <w:rPr>
                <w:color w:val="00B0F0"/>
                <w:sz w:val="18"/>
                <w:szCs w:val="18"/>
                <w:lang w:eastAsia="en-GB"/>
              </w:rPr>
              <w:t>5</w:t>
            </w:r>
            <w:r w:rsidR="00F471F5" w:rsidRPr="000B4E2C">
              <w:rPr>
                <w:sz w:val="18"/>
                <w:szCs w:val="18"/>
                <w:lang w:eastAsia="en-GB"/>
              </w:rPr>
              <w:t>0% from baseline</w:t>
            </w:r>
          </w:p>
        </w:tc>
        <w:tc>
          <w:tcPr>
            <w:tcW w:w="0" w:type="auto"/>
            <w:shd w:val="clear" w:color="auto" w:fill="auto"/>
            <w:hideMark/>
          </w:tcPr>
          <w:p w14:paraId="2D3A9233" w14:textId="77777777" w:rsidR="000B4E2C" w:rsidRPr="000B4E2C" w:rsidRDefault="00F471F5" w:rsidP="00F471F5">
            <w:pPr>
              <w:rPr>
                <w:sz w:val="18"/>
                <w:szCs w:val="18"/>
                <w:lang w:val="en-GB" w:eastAsia="en-GB"/>
              </w:rPr>
            </w:pPr>
            <w:r w:rsidRPr="000B4E2C">
              <w:rPr>
                <w:sz w:val="18"/>
                <w:szCs w:val="18"/>
                <w:lang w:val="en-GB" w:eastAsia="en-GB"/>
              </w:rPr>
              <w:t>AKI:</w:t>
            </w:r>
          </w:p>
          <w:p w14:paraId="271EFCD4" w14:textId="77777777" w:rsidR="000B4E2C" w:rsidRPr="000B4E2C" w:rsidRDefault="00F471F5" w:rsidP="00F471F5">
            <w:pPr>
              <w:rPr>
                <w:sz w:val="18"/>
                <w:szCs w:val="18"/>
                <w:lang w:val="en-GB" w:eastAsia="en-GB"/>
              </w:rPr>
            </w:pPr>
            <w:r w:rsidRPr="000B4E2C">
              <w:rPr>
                <w:sz w:val="18"/>
                <w:szCs w:val="18"/>
                <w:lang w:val="en-GB" w:eastAsia="en-GB"/>
              </w:rPr>
              <w:t>54%;</w:t>
            </w:r>
          </w:p>
          <w:p w14:paraId="5F763807" w14:textId="3B076E4B" w:rsidR="00F471F5" w:rsidRPr="000B4E2C" w:rsidRDefault="00F471F5" w:rsidP="00F471F5">
            <w:pPr>
              <w:rPr>
                <w:sz w:val="18"/>
                <w:szCs w:val="18"/>
                <w:lang w:val="en-GB" w:eastAsia="en-GB"/>
              </w:rPr>
            </w:pPr>
            <w:r w:rsidRPr="000B4E2C">
              <w:rPr>
                <w:sz w:val="18"/>
                <w:szCs w:val="18"/>
                <w:lang w:val="en-GB" w:eastAsia="en-GB"/>
              </w:rPr>
              <w:t>No AKI:</w:t>
            </w:r>
          </w:p>
          <w:p w14:paraId="55505CA7" w14:textId="77777777" w:rsidR="00F471F5" w:rsidRPr="000B4E2C" w:rsidRDefault="00F471F5" w:rsidP="00F471F5">
            <w:pPr>
              <w:rPr>
                <w:color w:val="000000"/>
                <w:sz w:val="18"/>
                <w:szCs w:val="18"/>
                <w:lang w:val="en-GB" w:eastAsia="en-GB"/>
              </w:rPr>
            </w:pPr>
            <w:r w:rsidRPr="000B4E2C">
              <w:rPr>
                <w:sz w:val="18"/>
                <w:szCs w:val="18"/>
                <w:lang w:val="en-GB" w:eastAsia="en-GB"/>
              </w:rPr>
              <w:t>46%</w:t>
            </w:r>
          </w:p>
        </w:tc>
        <w:tc>
          <w:tcPr>
            <w:tcW w:w="0" w:type="auto"/>
            <w:shd w:val="clear" w:color="auto" w:fill="auto"/>
            <w:hideMark/>
          </w:tcPr>
          <w:p w14:paraId="06FF5308"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0C20FDA7"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8AF956E"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33048BC8"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07343EF" w14:textId="77777777" w:rsidR="00F471F5" w:rsidRPr="000B4E2C" w:rsidRDefault="00F471F5" w:rsidP="00F471F5">
            <w:pPr>
              <w:rPr>
                <w:color w:val="000000"/>
                <w:sz w:val="18"/>
                <w:szCs w:val="18"/>
                <w:lang w:val="en-GB" w:eastAsia="en-GB"/>
              </w:rPr>
            </w:pPr>
            <w:r w:rsidRPr="000B4E2C">
              <w:rPr>
                <w:sz w:val="18"/>
                <w:szCs w:val="18"/>
                <w:lang w:val="en-GB" w:eastAsia="en-GB"/>
              </w:rPr>
              <w:t>All patients admitted to ICU after cardiac surgery and provided informed consent</w:t>
            </w:r>
          </w:p>
        </w:tc>
        <w:tc>
          <w:tcPr>
            <w:tcW w:w="0" w:type="auto"/>
            <w:shd w:val="clear" w:color="auto" w:fill="auto"/>
            <w:hideMark/>
          </w:tcPr>
          <w:p w14:paraId="7101FE37" w14:textId="77777777" w:rsidR="00F471F5" w:rsidRPr="000B4E2C" w:rsidRDefault="00F471F5" w:rsidP="00F471F5">
            <w:pPr>
              <w:rPr>
                <w:sz w:val="18"/>
                <w:szCs w:val="18"/>
                <w:lang w:val="en-GB" w:eastAsia="en-GB"/>
              </w:rPr>
            </w:pPr>
            <w:r w:rsidRPr="000B4E2C">
              <w:rPr>
                <w:sz w:val="18"/>
                <w:szCs w:val="18"/>
                <w:lang w:val="en-GB" w:eastAsia="en-GB"/>
              </w:rPr>
              <w:t>If patients required preoperative chronic or acute haemodialysis; previously undergone renal transplant or had coronary angiography in 7 days before surgery</w:t>
            </w:r>
          </w:p>
        </w:tc>
      </w:tr>
      <w:tr w:rsidR="000B4E2C" w:rsidRPr="000B4E2C" w14:paraId="44B9EA02" w14:textId="77777777" w:rsidTr="000B4E2C">
        <w:trPr>
          <w:cantSplit/>
        </w:trPr>
        <w:tc>
          <w:tcPr>
            <w:tcW w:w="0" w:type="auto"/>
            <w:shd w:val="clear" w:color="auto" w:fill="auto"/>
            <w:hideMark/>
          </w:tcPr>
          <w:p w14:paraId="4AD15661" w14:textId="148F93DE" w:rsidR="00F471F5" w:rsidRPr="000B4E2C" w:rsidRDefault="00F471F5" w:rsidP="00F471F5">
            <w:pPr>
              <w:rPr>
                <w:color w:val="000000"/>
                <w:sz w:val="18"/>
                <w:szCs w:val="18"/>
                <w:lang w:val="en-GB" w:eastAsia="en-GB"/>
              </w:rPr>
            </w:pPr>
            <w:r w:rsidRPr="000B4E2C">
              <w:rPr>
                <w:sz w:val="18"/>
                <w:szCs w:val="18"/>
                <w:lang w:val="en-GB" w:eastAsia="en-GB"/>
              </w:rPr>
              <w:lastRenderedPageBreak/>
              <w:t>Thanakitcharu 2014,</w:t>
            </w:r>
            <w:r w:rsidRPr="000B4E2C">
              <w:rPr>
                <w:sz w:val="18"/>
                <w:szCs w:val="18"/>
                <w:vertAlign w:val="superscript"/>
                <w:lang w:val="en-GB" w:eastAsia="en-GB"/>
              </w:rPr>
              <w:t>50</w:t>
            </w:r>
            <w:r w:rsidRPr="000B4E2C">
              <w:rPr>
                <w:sz w:val="18"/>
                <w:szCs w:val="18"/>
                <w:lang w:val="en-GB" w:eastAsia="en-GB"/>
              </w:rPr>
              <w:t xml:space="preserve"> Thailand</w:t>
            </w:r>
          </w:p>
        </w:tc>
        <w:tc>
          <w:tcPr>
            <w:tcW w:w="0" w:type="auto"/>
            <w:shd w:val="clear" w:color="auto" w:fill="auto"/>
            <w:hideMark/>
          </w:tcPr>
          <w:p w14:paraId="5BEBAAAB"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7AFF3D61" w14:textId="77777777" w:rsidR="00F471F5" w:rsidRPr="000B4E2C" w:rsidRDefault="00F471F5" w:rsidP="00F471F5">
            <w:pPr>
              <w:rPr>
                <w:sz w:val="18"/>
                <w:szCs w:val="18"/>
                <w:lang w:val="en-GB" w:eastAsia="en-GB"/>
              </w:rPr>
            </w:pPr>
            <w:r w:rsidRPr="000B4E2C">
              <w:rPr>
                <w:sz w:val="18"/>
                <w:szCs w:val="18"/>
                <w:lang w:val="en-GB" w:eastAsia="en-GB"/>
              </w:rPr>
              <w:t>51</w:t>
            </w:r>
          </w:p>
          <w:p w14:paraId="2CE2BB95" w14:textId="77777777" w:rsidR="00F471F5" w:rsidRPr="000B4E2C" w:rsidRDefault="00F471F5" w:rsidP="00F471F5">
            <w:pPr>
              <w:rPr>
                <w:color w:val="000000"/>
                <w:sz w:val="18"/>
                <w:szCs w:val="18"/>
                <w:lang w:val="en-GB" w:eastAsia="en-GB"/>
              </w:rPr>
            </w:pPr>
            <w:r w:rsidRPr="000B4E2C">
              <w:rPr>
                <w:sz w:val="18"/>
                <w:szCs w:val="18"/>
                <w:lang w:val="en-GB" w:eastAsia="en-GB"/>
              </w:rPr>
              <w:t>(15.6)</w:t>
            </w:r>
          </w:p>
        </w:tc>
        <w:tc>
          <w:tcPr>
            <w:tcW w:w="0" w:type="auto"/>
            <w:shd w:val="clear" w:color="auto" w:fill="auto"/>
            <w:hideMark/>
          </w:tcPr>
          <w:p w14:paraId="11431B06" w14:textId="77777777" w:rsidR="00F471F5" w:rsidRPr="000B4E2C" w:rsidRDefault="00F471F5" w:rsidP="00F471F5">
            <w:pPr>
              <w:rPr>
                <w:color w:val="000000"/>
                <w:sz w:val="18"/>
                <w:szCs w:val="18"/>
                <w:lang w:val="en-GB" w:eastAsia="en-GB"/>
              </w:rPr>
            </w:pPr>
            <w:r w:rsidRPr="000B4E2C">
              <w:rPr>
                <w:sz w:val="18"/>
                <w:szCs w:val="18"/>
                <w:lang w:val="en-GB" w:eastAsia="en-GB"/>
              </w:rPr>
              <w:t>130</w:t>
            </w:r>
          </w:p>
        </w:tc>
        <w:tc>
          <w:tcPr>
            <w:tcW w:w="0" w:type="auto"/>
            <w:shd w:val="clear" w:color="auto" w:fill="auto"/>
            <w:hideMark/>
          </w:tcPr>
          <w:p w14:paraId="56706B21" w14:textId="77777777" w:rsidR="00F471F5" w:rsidRPr="000B4E2C" w:rsidRDefault="00F471F5" w:rsidP="00F471F5">
            <w:pPr>
              <w:rPr>
                <w:color w:val="000000"/>
                <w:sz w:val="18"/>
                <w:szCs w:val="18"/>
                <w:lang w:val="en-GB" w:eastAsia="en-GB"/>
              </w:rPr>
            </w:pPr>
            <w:r w:rsidRPr="000B4E2C">
              <w:rPr>
                <w:sz w:val="18"/>
                <w:szCs w:val="18"/>
                <w:lang w:val="en-GB" w:eastAsia="en-GB"/>
              </w:rPr>
              <w:t>46</w:t>
            </w:r>
          </w:p>
        </w:tc>
        <w:tc>
          <w:tcPr>
            <w:tcW w:w="0" w:type="auto"/>
            <w:shd w:val="clear" w:color="auto" w:fill="auto"/>
            <w:hideMark/>
          </w:tcPr>
          <w:p w14:paraId="31CAA270" w14:textId="6A68802B" w:rsidR="00F471F5" w:rsidRPr="000B4E2C" w:rsidRDefault="00F471F5" w:rsidP="00F471F5">
            <w:pPr>
              <w:spacing w:line="276" w:lineRule="auto"/>
              <w:rPr>
                <w:color w:val="000000"/>
                <w:sz w:val="18"/>
                <w:szCs w:val="18"/>
                <w:lang w:eastAsia="en-GB"/>
              </w:rPr>
            </w:pPr>
            <w:r w:rsidRPr="000B4E2C">
              <w:rPr>
                <w:sz w:val="18"/>
                <w:szCs w:val="18"/>
                <w:lang w:eastAsia="en-GB"/>
              </w:rPr>
              <w:t xml:space="preserve">sCr </w:t>
            </w:r>
            <w:r w:rsidR="000B4E2C" w:rsidRPr="000B4E2C">
              <w:rPr>
                <w:color w:val="00B0F0"/>
                <w:sz w:val="18"/>
                <w:szCs w:val="18"/>
                <w:lang w:eastAsia="en-GB"/>
              </w:rPr>
              <w:t>≥ </w:t>
            </w:r>
            <w:r w:rsidR="000B4E2C" w:rsidRPr="000B4E2C">
              <w:rPr>
                <w:color w:val="00B0F0"/>
                <w:sz w:val="18"/>
                <w:szCs w:val="18"/>
                <w:lang w:eastAsia="en-GB"/>
              </w:rPr>
              <w:t>0</w:t>
            </w:r>
            <w:r w:rsidRPr="000B4E2C">
              <w:rPr>
                <w:sz w:val="18"/>
                <w:szCs w:val="18"/>
                <w:lang w:eastAsia="en-GB"/>
              </w:rPr>
              <w:t>.3mg/dL within 48 h</w:t>
            </w:r>
          </w:p>
        </w:tc>
        <w:tc>
          <w:tcPr>
            <w:tcW w:w="0" w:type="auto"/>
            <w:shd w:val="clear" w:color="auto" w:fill="auto"/>
            <w:hideMark/>
          </w:tcPr>
          <w:p w14:paraId="45C6672C" w14:textId="77777777" w:rsidR="00F471F5" w:rsidRPr="000B4E2C" w:rsidRDefault="00F471F5" w:rsidP="00F471F5">
            <w:pPr>
              <w:rPr>
                <w:color w:val="000000"/>
                <w:sz w:val="18"/>
                <w:szCs w:val="18"/>
                <w:lang w:val="en-GB" w:eastAsia="en-GB"/>
              </w:rPr>
            </w:pPr>
            <w:r w:rsidRPr="000B4E2C">
              <w:rPr>
                <w:sz w:val="18"/>
                <w:szCs w:val="18"/>
                <w:lang w:val="en-GB" w:eastAsia="en-GB"/>
              </w:rPr>
              <w:t>59%</w:t>
            </w:r>
          </w:p>
        </w:tc>
        <w:tc>
          <w:tcPr>
            <w:tcW w:w="0" w:type="auto"/>
            <w:shd w:val="clear" w:color="auto" w:fill="auto"/>
            <w:hideMark/>
          </w:tcPr>
          <w:p w14:paraId="31994EE0" w14:textId="77777777" w:rsidR="000B4E2C" w:rsidRPr="000B4E2C" w:rsidRDefault="00F471F5" w:rsidP="00F471F5">
            <w:pPr>
              <w:rPr>
                <w:sz w:val="18"/>
                <w:szCs w:val="18"/>
                <w:lang w:val="en-GB" w:eastAsia="en-GB"/>
              </w:rPr>
            </w:pPr>
            <w:r w:rsidRPr="000B4E2C">
              <w:rPr>
                <w:sz w:val="18"/>
                <w:szCs w:val="18"/>
                <w:lang w:val="en-GB" w:eastAsia="en-GB"/>
              </w:rPr>
              <w:t>1.0 *mg/dl</w:t>
            </w:r>
          </w:p>
          <w:p w14:paraId="6FF11B07" w14:textId="6AD612BA" w:rsidR="00F471F5" w:rsidRPr="000B4E2C" w:rsidRDefault="00F471F5" w:rsidP="00F471F5">
            <w:pPr>
              <w:rPr>
                <w:color w:val="000000"/>
                <w:sz w:val="18"/>
                <w:szCs w:val="18"/>
                <w:lang w:val="en-GB" w:eastAsia="en-GB"/>
              </w:rPr>
            </w:pPr>
            <w:r w:rsidRPr="000B4E2C">
              <w:rPr>
                <w:sz w:val="18"/>
                <w:szCs w:val="18"/>
                <w:lang w:val="en-GB" w:eastAsia="en-GB"/>
              </w:rPr>
              <w:t>(SD 0.3)</w:t>
            </w:r>
          </w:p>
        </w:tc>
        <w:tc>
          <w:tcPr>
            <w:tcW w:w="0" w:type="auto"/>
            <w:shd w:val="clear" w:color="auto" w:fill="auto"/>
            <w:noWrap/>
            <w:hideMark/>
          </w:tcPr>
          <w:p w14:paraId="2E5B4897" w14:textId="77777777" w:rsidR="000B4E2C" w:rsidRPr="000B4E2C" w:rsidRDefault="00F471F5" w:rsidP="00F471F5">
            <w:pPr>
              <w:rPr>
                <w:sz w:val="18"/>
                <w:szCs w:val="18"/>
                <w:lang w:val="en-GB" w:eastAsia="en-GB"/>
              </w:rPr>
            </w:pPr>
            <w:r w:rsidRPr="000B4E2C">
              <w:rPr>
                <w:sz w:val="18"/>
                <w:szCs w:val="18"/>
                <w:lang w:val="en-GB" w:eastAsia="en-GB"/>
              </w:rPr>
              <w:t>74.1</w:t>
            </w:r>
          </w:p>
          <w:p w14:paraId="0ECA85D4" w14:textId="6173B107" w:rsidR="00F471F5" w:rsidRPr="000B4E2C" w:rsidRDefault="00F471F5" w:rsidP="00F471F5">
            <w:pPr>
              <w:rPr>
                <w:color w:val="000000"/>
                <w:sz w:val="18"/>
                <w:szCs w:val="18"/>
                <w:lang w:val="en-GB" w:eastAsia="en-GB"/>
              </w:rPr>
            </w:pPr>
            <w:r w:rsidRPr="000B4E2C">
              <w:rPr>
                <w:sz w:val="18"/>
                <w:szCs w:val="18"/>
                <w:lang w:val="en-GB" w:eastAsia="en-GB"/>
              </w:rPr>
              <w:t>(25.9)</w:t>
            </w:r>
          </w:p>
        </w:tc>
        <w:tc>
          <w:tcPr>
            <w:tcW w:w="0" w:type="auto"/>
            <w:shd w:val="clear" w:color="auto" w:fill="auto"/>
            <w:noWrap/>
            <w:hideMark/>
          </w:tcPr>
          <w:p w14:paraId="0A7CC586"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FB25F4C"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28FEDA9A" w14:textId="77777777" w:rsidR="00F471F5" w:rsidRPr="000B4E2C" w:rsidRDefault="00F471F5" w:rsidP="00F471F5">
            <w:pPr>
              <w:rPr>
                <w:color w:val="000000"/>
                <w:sz w:val="18"/>
                <w:szCs w:val="18"/>
                <w:lang w:val="en-GB" w:eastAsia="en-GB"/>
              </w:rPr>
            </w:pPr>
            <w:r w:rsidRPr="000B4E2C">
              <w:rPr>
                <w:sz w:val="18"/>
                <w:szCs w:val="18"/>
                <w:lang w:val="en-GB" w:eastAsia="en-GB"/>
              </w:rPr>
              <w:t>All patients who underwent cardiac surgery with CPB</w:t>
            </w:r>
          </w:p>
        </w:tc>
        <w:tc>
          <w:tcPr>
            <w:tcW w:w="0" w:type="auto"/>
            <w:shd w:val="clear" w:color="auto" w:fill="auto"/>
            <w:hideMark/>
          </w:tcPr>
          <w:p w14:paraId="54150050" w14:textId="4F1B733D" w:rsidR="00F471F5" w:rsidRPr="000B4E2C" w:rsidRDefault="00F471F5" w:rsidP="00F471F5">
            <w:pPr>
              <w:rPr>
                <w:sz w:val="18"/>
                <w:szCs w:val="18"/>
                <w:lang w:val="en-GB" w:eastAsia="en-GB"/>
              </w:rPr>
            </w:pPr>
            <w:r w:rsidRPr="000B4E2C">
              <w:rPr>
                <w:sz w:val="18"/>
                <w:szCs w:val="18"/>
                <w:lang w:val="en-GB" w:eastAsia="en-GB"/>
              </w:rPr>
              <w:t>Pre-existing renal dysfunction with baseline sCr</w:t>
            </w:r>
            <w:r w:rsidR="000B4E2C" w:rsidRPr="000B4E2C">
              <w:rPr>
                <w:color w:val="00B0F0"/>
                <w:sz w:val="18"/>
                <w:szCs w:val="18"/>
                <w:lang w:val="en-GB" w:eastAsia="en-GB"/>
              </w:rPr>
              <w:t>&gt;</w:t>
            </w:r>
            <w:r w:rsidR="000B4E2C" w:rsidRPr="000B4E2C">
              <w:rPr>
                <w:color w:val="00B0F0"/>
                <w:sz w:val="18"/>
                <w:szCs w:val="18"/>
                <w:lang w:val="en-GB" w:eastAsia="en-GB"/>
              </w:rPr>
              <w:t> </w:t>
            </w:r>
            <w:r w:rsidR="000B4E2C" w:rsidRPr="000B4E2C">
              <w:rPr>
                <w:color w:val="00B0F0"/>
                <w:sz w:val="18"/>
                <w:szCs w:val="18"/>
                <w:lang w:val="en-GB" w:eastAsia="en-GB"/>
              </w:rPr>
              <w:t>3</w:t>
            </w:r>
            <w:r w:rsidRPr="000B4E2C">
              <w:rPr>
                <w:sz w:val="18"/>
                <w:szCs w:val="18"/>
                <w:lang w:val="en-GB" w:eastAsia="en-GB"/>
              </w:rPr>
              <w:t xml:space="preserve">mg/dl; Kidney transplant patients; Hx of using nephrotoxic agents such as aminoglycoside, NSAIDs, radiocontrast agent within 2 weeks before Sx; Patients with sepsis; Patients undergoing emergency operation </w:t>
            </w:r>
            <w:r w:rsidR="000B4E2C" w:rsidRPr="000B4E2C">
              <w:rPr>
                <w:color w:val="00B0F0"/>
                <w:sz w:val="18"/>
                <w:szCs w:val="18"/>
                <w:lang w:val="en-GB" w:eastAsia="en-GB"/>
              </w:rPr>
              <w:t>&lt;</w:t>
            </w:r>
            <w:r w:rsidR="000B4E2C" w:rsidRPr="000B4E2C">
              <w:rPr>
                <w:color w:val="00B0F0"/>
                <w:sz w:val="18"/>
                <w:szCs w:val="18"/>
                <w:lang w:val="en-GB" w:eastAsia="en-GB"/>
              </w:rPr>
              <w:t> </w:t>
            </w:r>
            <w:r w:rsidR="000B4E2C" w:rsidRPr="000B4E2C">
              <w:rPr>
                <w:color w:val="00B0F0"/>
                <w:sz w:val="18"/>
                <w:szCs w:val="18"/>
                <w:lang w:val="en-GB" w:eastAsia="en-GB"/>
              </w:rPr>
              <w:t>2</w:t>
            </w:r>
            <w:r w:rsidRPr="000B4E2C">
              <w:rPr>
                <w:sz w:val="18"/>
                <w:szCs w:val="18"/>
                <w:lang w:val="en-GB" w:eastAsia="en-GB"/>
              </w:rPr>
              <w:t>4 hrs after admission</w:t>
            </w:r>
          </w:p>
        </w:tc>
      </w:tr>
      <w:tr w:rsidR="000B4E2C" w:rsidRPr="000B4E2C" w14:paraId="792B38C6" w14:textId="77777777" w:rsidTr="000B4E2C">
        <w:trPr>
          <w:cantSplit/>
        </w:trPr>
        <w:tc>
          <w:tcPr>
            <w:tcW w:w="0" w:type="auto"/>
            <w:shd w:val="clear" w:color="auto" w:fill="auto"/>
            <w:hideMark/>
          </w:tcPr>
          <w:p w14:paraId="2B532C9D" w14:textId="0D4F4A39" w:rsidR="00F471F5" w:rsidRPr="000B4E2C" w:rsidRDefault="00F471F5" w:rsidP="00F471F5">
            <w:pPr>
              <w:rPr>
                <w:color w:val="000000"/>
                <w:sz w:val="18"/>
                <w:szCs w:val="18"/>
                <w:lang w:val="en-GB" w:eastAsia="en-GB"/>
              </w:rPr>
            </w:pPr>
            <w:r w:rsidRPr="000B4E2C">
              <w:rPr>
                <w:sz w:val="18"/>
                <w:szCs w:val="18"/>
                <w:lang w:val="en-GB" w:eastAsia="en-GB"/>
              </w:rPr>
              <w:t>Tidbury 2019,</w:t>
            </w:r>
            <w:r w:rsidRPr="000B4E2C">
              <w:rPr>
                <w:sz w:val="18"/>
                <w:szCs w:val="18"/>
                <w:vertAlign w:val="superscript"/>
                <w:lang w:val="en-GB" w:eastAsia="en-GB"/>
              </w:rPr>
              <w:t>66</w:t>
            </w:r>
            <w:r w:rsidRPr="000B4E2C">
              <w:rPr>
                <w:sz w:val="18"/>
                <w:szCs w:val="18"/>
                <w:lang w:val="en-GB" w:eastAsia="en-GB"/>
              </w:rPr>
              <w:t xml:space="preserve"> UK</w:t>
            </w:r>
          </w:p>
        </w:tc>
        <w:tc>
          <w:tcPr>
            <w:tcW w:w="0" w:type="auto"/>
            <w:shd w:val="clear" w:color="auto" w:fill="auto"/>
            <w:hideMark/>
          </w:tcPr>
          <w:p w14:paraId="30E34D5E" w14:textId="77777777" w:rsidR="00F471F5" w:rsidRPr="000B4E2C" w:rsidRDefault="00F471F5" w:rsidP="00F471F5">
            <w:pPr>
              <w:rPr>
                <w:color w:val="000000"/>
                <w:sz w:val="18"/>
                <w:szCs w:val="18"/>
                <w:lang w:val="en-GB" w:eastAsia="en-GB"/>
              </w:rPr>
            </w:pPr>
            <w:r w:rsidRPr="000B4E2C">
              <w:rPr>
                <w:sz w:val="18"/>
                <w:szCs w:val="18"/>
                <w:lang w:val="en-GB" w:eastAsia="en-GB"/>
              </w:rPr>
              <w:t>uNGAL, BioPorto</w:t>
            </w:r>
          </w:p>
        </w:tc>
        <w:tc>
          <w:tcPr>
            <w:tcW w:w="0" w:type="auto"/>
            <w:shd w:val="clear" w:color="auto" w:fill="auto"/>
            <w:hideMark/>
          </w:tcPr>
          <w:p w14:paraId="38544DE1" w14:textId="77777777" w:rsidR="000B4E2C" w:rsidRPr="000B4E2C" w:rsidRDefault="00F471F5" w:rsidP="00F471F5">
            <w:pPr>
              <w:rPr>
                <w:sz w:val="18"/>
                <w:szCs w:val="18"/>
                <w:lang w:val="en-GB" w:eastAsia="en-GB"/>
              </w:rPr>
            </w:pPr>
            <w:r w:rsidRPr="000B4E2C">
              <w:rPr>
                <w:sz w:val="18"/>
                <w:szCs w:val="18"/>
                <w:lang w:val="en-GB" w:eastAsia="en-GB"/>
              </w:rPr>
              <w:t>AKI</w:t>
            </w:r>
          </w:p>
          <w:p w14:paraId="141A3962" w14:textId="7EFC83AC" w:rsidR="00F471F5" w:rsidRPr="000B4E2C" w:rsidRDefault="00F471F5" w:rsidP="00F471F5">
            <w:pPr>
              <w:rPr>
                <w:sz w:val="18"/>
                <w:szCs w:val="18"/>
                <w:lang w:val="en-GB" w:eastAsia="en-GB"/>
              </w:rPr>
            </w:pPr>
            <w:r w:rsidRPr="000B4E2C">
              <w:rPr>
                <w:sz w:val="18"/>
                <w:szCs w:val="18"/>
                <w:lang w:val="en-GB" w:eastAsia="en-GB"/>
              </w:rPr>
              <w:t>73</w:t>
            </w:r>
          </w:p>
          <w:p w14:paraId="4B83C522" w14:textId="68E27502" w:rsidR="000B4E2C" w:rsidRPr="000B4E2C" w:rsidRDefault="00F471F5" w:rsidP="00F471F5">
            <w:pPr>
              <w:rPr>
                <w:sz w:val="18"/>
                <w:szCs w:val="18"/>
                <w:lang w:val="en-GB" w:eastAsia="en-GB"/>
              </w:rPr>
            </w:pPr>
            <w:r w:rsidRPr="000B4E2C">
              <w:rPr>
                <w:sz w:val="18"/>
                <w:szCs w:val="18"/>
                <w:lang w:val="en-GB" w:eastAsia="en-GB"/>
              </w:rPr>
              <w:t>(54</w:t>
            </w:r>
            <w:r w:rsidR="000B4E2C" w:rsidRPr="000B4E2C">
              <w:rPr>
                <w:color w:val="00B0F0"/>
                <w:sz w:val="18"/>
                <w:szCs w:val="18"/>
                <w:lang w:val="en-GB" w:eastAsia="en-GB"/>
              </w:rPr>
              <w:t>–</w:t>
            </w:r>
            <w:r w:rsidR="000B4E2C" w:rsidRPr="000B4E2C">
              <w:rPr>
                <w:color w:val="00B0F0"/>
                <w:sz w:val="18"/>
                <w:szCs w:val="18"/>
                <w:lang w:val="en-GB" w:eastAsia="en-GB"/>
              </w:rPr>
              <w:t>8</w:t>
            </w:r>
            <w:r w:rsidRPr="000B4E2C">
              <w:rPr>
                <w:sz w:val="18"/>
                <w:szCs w:val="18"/>
                <w:lang w:val="en-GB" w:eastAsia="en-GB"/>
              </w:rPr>
              <w:t>7);</w:t>
            </w:r>
          </w:p>
          <w:p w14:paraId="26551887" w14:textId="77777777" w:rsidR="000B4E2C" w:rsidRPr="000B4E2C" w:rsidRDefault="00F471F5" w:rsidP="00F471F5">
            <w:pPr>
              <w:rPr>
                <w:sz w:val="18"/>
                <w:szCs w:val="18"/>
                <w:lang w:val="en-GB" w:eastAsia="en-GB"/>
              </w:rPr>
            </w:pPr>
            <w:r w:rsidRPr="000B4E2C">
              <w:rPr>
                <w:sz w:val="18"/>
                <w:szCs w:val="18"/>
                <w:lang w:val="en-GB" w:eastAsia="en-GB"/>
              </w:rPr>
              <w:t>No AKI</w:t>
            </w:r>
          </w:p>
          <w:p w14:paraId="0D9D56C0" w14:textId="192E7542" w:rsidR="00F471F5" w:rsidRPr="000B4E2C" w:rsidRDefault="00F471F5" w:rsidP="00F471F5">
            <w:pPr>
              <w:rPr>
                <w:sz w:val="18"/>
                <w:szCs w:val="18"/>
                <w:lang w:val="en-GB" w:eastAsia="en-GB"/>
              </w:rPr>
            </w:pPr>
            <w:r w:rsidRPr="000B4E2C">
              <w:rPr>
                <w:sz w:val="18"/>
                <w:szCs w:val="18"/>
                <w:lang w:val="en-GB" w:eastAsia="en-GB"/>
              </w:rPr>
              <w:t>75</w:t>
            </w:r>
          </w:p>
          <w:p w14:paraId="6815BA25" w14:textId="0EA81AA8" w:rsidR="00F471F5" w:rsidRPr="000B4E2C" w:rsidRDefault="00F471F5" w:rsidP="00F471F5">
            <w:pPr>
              <w:rPr>
                <w:color w:val="000000"/>
                <w:sz w:val="18"/>
                <w:szCs w:val="18"/>
                <w:lang w:val="en-GB" w:eastAsia="en-GB"/>
              </w:rPr>
            </w:pPr>
            <w:r w:rsidRPr="000B4E2C">
              <w:rPr>
                <w:sz w:val="18"/>
                <w:szCs w:val="18"/>
                <w:lang w:val="en-GB" w:eastAsia="en-GB"/>
              </w:rPr>
              <w:t>(59</w:t>
            </w:r>
            <w:r w:rsidR="000B4E2C" w:rsidRPr="000B4E2C">
              <w:rPr>
                <w:color w:val="00B0F0"/>
                <w:sz w:val="18"/>
                <w:szCs w:val="18"/>
                <w:lang w:val="en-GB" w:eastAsia="en-GB"/>
              </w:rPr>
              <w:t>–</w:t>
            </w:r>
            <w:r w:rsidR="000B4E2C" w:rsidRPr="000B4E2C">
              <w:rPr>
                <w:color w:val="00B0F0"/>
                <w:sz w:val="18"/>
                <w:szCs w:val="18"/>
                <w:lang w:val="en-GB" w:eastAsia="en-GB"/>
              </w:rPr>
              <w:t>8</w:t>
            </w:r>
            <w:r w:rsidRPr="000B4E2C">
              <w:rPr>
                <w:sz w:val="18"/>
                <w:szCs w:val="18"/>
                <w:lang w:val="en-GB" w:eastAsia="en-GB"/>
              </w:rPr>
              <w:t>5)</w:t>
            </w:r>
          </w:p>
        </w:tc>
        <w:tc>
          <w:tcPr>
            <w:tcW w:w="0" w:type="auto"/>
            <w:shd w:val="clear" w:color="auto" w:fill="auto"/>
            <w:hideMark/>
          </w:tcPr>
          <w:p w14:paraId="249318B3" w14:textId="77777777" w:rsidR="00F471F5" w:rsidRPr="000B4E2C" w:rsidRDefault="00F471F5" w:rsidP="00F471F5">
            <w:pPr>
              <w:rPr>
                <w:color w:val="000000"/>
                <w:sz w:val="18"/>
                <w:szCs w:val="18"/>
                <w:lang w:val="en-GB" w:eastAsia="en-GB"/>
              </w:rPr>
            </w:pPr>
            <w:r w:rsidRPr="000B4E2C">
              <w:rPr>
                <w:sz w:val="18"/>
                <w:szCs w:val="18"/>
                <w:lang w:val="en-GB" w:eastAsia="en-GB"/>
              </w:rPr>
              <w:t>125</w:t>
            </w:r>
          </w:p>
        </w:tc>
        <w:tc>
          <w:tcPr>
            <w:tcW w:w="0" w:type="auto"/>
            <w:shd w:val="clear" w:color="auto" w:fill="auto"/>
            <w:hideMark/>
          </w:tcPr>
          <w:p w14:paraId="3A275D26" w14:textId="77777777" w:rsidR="00F471F5" w:rsidRPr="000B4E2C" w:rsidRDefault="00F471F5" w:rsidP="00F471F5">
            <w:pPr>
              <w:rPr>
                <w:color w:val="000000"/>
                <w:sz w:val="18"/>
                <w:szCs w:val="18"/>
                <w:lang w:val="en-GB" w:eastAsia="en-GB"/>
              </w:rPr>
            </w:pPr>
            <w:r w:rsidRPr="000B4E2C">
              <w:rPr>
                <w:sz w:val="18"/>
                <w:szCs w:val="18"/>
                <w:lang w:val="en-GB" w:eastAsia="en-GB"/>
              </w:rPr>
              <w:t>54</w:t>
            </w:r>
          </w:p>
        </w:tc>
        <w:tc>
          <w:tcPr>
            <w:tcW w:w="0" w:type="auto"/>
            <w:shd w:val="clear" w:color="auto" w:fill="auto"/>
            <w:hideMark/>
          </w:tcPr>
          <w:p w14:paraId="132D57A5" w14:textId="77777777" w:rsidR="00F471F5" w:rsidRPr="000B4E2C" w:rsidRDefault="00F471F5" w:rsidP="00F471F5">
            <w:pPr>
              <w:rPr>
                <w:color w:val="000000"/>
                <w:sz w:val="18"/>
                <w:szCs w:val="18"/>
                <w:lang w:val="en-GB" w:eastAsia="en-GB"/>
              </w:rPr>
            </w:pPr>
            <w:r w:rsidRPr="000B4E2C">
              <w:rPr>
                <w:sz w:val="18"/>
                <w:szCs w:val="18"/>
                <w:lang w:val="en-GB" w:eastAsia="en-GB"/>
              </w:rPr>
              <w:t>RIFLE</w:t>
            </w:r>
          </w:p>
        </w:tc>
        <w:tc>
          <w:tcPr>
            <w:tcW w:w="0" w:type="auto"/>
            <w:shd w:val="clear" w:color="auto" w:fill="auto"/>
            <w:hideMark/>
          </w:tcPr>
          <w:p w14:paraId="3284CDD8" w14:textId="77777777" w:rsidR="000B4E2C" w:rsidRPr="000B4E2C" w:rsidRDefault="00F471F5" w:rsidP="00F471F5">
            <w:pPr>
              <w:rPr>
                <w:sz w:val="18"/>
                <w:szCs w:val="18"/>
                <w:lang w:val="en-GB" w:eastAsia="en-GB"/>
              </w:rPr>
            </w:pPr>
            <w:r w:rsidRPr="000B4E2C">
              <w:rPr>
                <w:sz w:val="18"/>
                <w:szCs w:val="18"/>
                <w:lang w:val="en-GB" w:eastAsia="en-GB"/>
              </w:rPr>
              <w:t>AKI:</w:t>
            </w:r>
          </w:p>
          <w:p w14:paraId="57C4C8C5" w14:textId="77777777" w:rsidR="000B4E2C" w:rsidRPr="000B4E2C" w:rsidRDefault="00F471F5" w:rsidP="00F471F5">
            <w:pPr>
              <w:rPr>
                <w:sz w:val="18"/>
                <w:szCs w:val="18"/>
                <w:lang w:val="en-GB" w:eastAsia="en-GB"/>
              </w:rPr>
            </w:pPr>
            <w:r w:rsidRPr="000B4E2C">
              <w:rPr>
                <w:sz w:val="18"/>
                <w:szCs w:val="18"/>
                <w:lang w:val="en-GB" w:eastAsia="en-GB"/>
              </w:rPr>
              <w:t>63%;</w:t>
            </w:r>
          </w:p>
          <w:p w14:paraId="241C52EF" w14:textId="2BD9A612" w:rsidR="00F471F5" w:rsidRPr="000B4E2C" w:rsidRDefault="00F471F5" w:rsidP="00F471F5">
            <w:pPr>
              <w:rPr>
                <w:sz w:val="18"/>
                <w:szCs w:val="18"/>
                <w:lang w:val="en-GB" w:eastAsia="en-GB"/>
              </w:rPr>
            </w:pPr>
            <w:r w:rsidRPr="000B4E2C">
              <w:rPr>
                <w:sz w:val="18"/>
                <w:szCs w:val="18"/>
                <w:lang w:val="en-GB" w:eastAsia="en-GB"/>
              </w:rPr>
              <w:t>No AKI:</w:t>
            </w:r>
          </w:p>
          <w:p w14:paraId="6DA6732A" w14:textId="77777777" w:rsidR="00F471F5" w:rsidRPr="000B4E2C" w:rsidRDefault="00F471F5" w:rsidP="00F471F5">
            <w:pPr>
              <w:rPr>
                <w:color w:val="000000"/>
                <w:sz w:val="18"/>
                <w:szCs w:val="18"/>
                <w:lang w:val="en-GB" w:eastAsia="en-GB"/>
              </w:rPr>
            </w:pPr>
            <w:r w:rsidRPr="000B4E2C">
              <w:rPr>
                <w:sz w:val="18"/>
                <w:szCs w:val="18"/>
                <w:lang w:val="en-GB" w:eastAsia="en-GB"/>
              </w:rPr>
              <w:t>47%</w:t>
            </w:r>
          </w:p>
        </w:tc>
        <w:tc>
          <w:tcPr>
            <w:tcW w:w="0" w:type="auto"/>
            <w:shd w:val="clear" w:color="auto" w:fill="auto"/>
            <w:hideMark/>
          </w:tcPr>
          <w:p w14:paraId="259CF205"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10FD62B1"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3BFCE9B"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065F3E3"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724A34A9" w14:textId="0C3F6123" w:rsidR="00F471F5" w:rsidRPr="000B4E2C" w:rsidRDefault="00F471F5" w:rsidP="00F471F5">
            <w:pPr>
              <w:rPr>
                <w:color w:val="000000"/>
                <w:sz w:val="18"/>
                <w:szCs w:val="18"/>
                <w:lang w:val="en-GB" w:eastAsia="en-GB"/>
              </w:rPr>
            </w:pPr>
            <w:r w:rsidRPr="000B4E2C">
              <w:rPr>
                <w:sz w:val="18"/>
                <w:szCs w:val="18"/>
                <w:lang w:val="en-GB" w:eastAsia="en-GB"/>
              </w:rPr>
              <w:t xml:space="preserve">High risk patients undergoing elective surgery for on-pump such as valve replacement, CABG or combined valve and CABG. All had impaired renal function pre-op established by an eGFR </w:t>
            </w:r>
            <w:r w:rsidR="000B4E2C" w:rsidRPr="000B4E2C">
              <w:rPr>
                <w:color w:val="00B0F0"/>
                <w:sz w:val="18"/>
                <w:szCs w:val="18"/>
                <w:lang w:val="en-GB" w:eastAsia="en-GB"/>
              </w:rPr>
              <w:t>&lt;</w:t>
            </w:r>
            <w:r w:rsidR="000B4E2C" w:rsidRPr="000B4E2C">
              <w:rPr>
                <w:color w:val="00B0F0"/>
                <w:sz w:val="18"/>
                <w:szCs w:val="18"/>
                <w:lang w:val="en-GB" w:eastAsia="en-GB"/>
              </w:rPr>
              <w:t> </w:t>
            </w:r>
            <w:r w:rsidR="000B4E2C" w:rsidRPr="000B4E2C">
              <w:rPr>
                <w:color w:val="00B0F0"/>
                <w:sz w:val="18"/>
                <w:szCs w:val="18"/>
                <w:lang w:val="en-GB" w:eastAsia="en-GB"/>
              </w:rPr>
              <w:t>6</w:t>
            </w:r>
            <w:r w:rsidRPr="000B4E2C">
              <w:rPr>
                <w:sz w:val="18"/>
                <w:szCs w:val="18"/>
                <w:lang w:val="en-GB" w:eastAsia="en-GB"/>
              </w:rPr>
              <w:t>0ml/min.</w:t>
            </w:r>
          </w:p>
        </w:tc>
        <w:tc>
          <w:tcPr>
            <w:tcW w:w="0" w:type="auto"/>
            <w:shd w:val="clear" w:color="auto" w:fill="auto"/>
            <w:hideMark/>
          </w:tcPr>
          <w:p w14:paraId="23D3387F" w14:textId="77777777" w:rsidR="00F471F5" w:rsidRPr="000B4E2C" w:rsidRDefault="00F471F5" w:rsidP="00F471F5">
            <w:pPr>
              <w:rPr>
                <w:sz w:val="18"/>
                <w:szCs w:val="18"/>
                <w:lang w:val="en-GB" w:eastAsia="en-GB"/>
              </w:rPr>
            </w:pPr>
            <w:r w:rsidRPr="000B4E2C">
              <w:rPr>
                <w:sz w:val="18"/>
                <w:szCs w:val="18"/>
                <w:lang w:val="en-GB" w:eastAsia="en-GB"/>
              </w:rPr>
              <w:t>Excluded if they were scheduled to undergo surgery with anticipated CPB time less than 60 min; undergoing surgery on great vessels such as aortic surgery; had impaired liver function; renal failure or were on dialysis; malignancy; being pregnant.</w:t>
            </w:r>
          </w:p>
        </w:tc>
      </w:tr>
      <w:tr w:rsidR="000B4E2C" w:rsidRPr="000B4E2C" w14:paraId="1E6895FE" w14:textId="77777777" w:rsidTr="000B4E2C">
        <w:trPr>
          <w:cantSplit/>
        </w:trPr>
        <w:tc>
          <w:tcPr>
            <w:tcW w:w="0" w:type="auto"/>
            <w:shd w:val="clear" w:color="auto" w:fill="auto"/>
            <w:hideMark/>
          </w:tcPr>
          <w:p w14:paraId="0A2DFF91" w14:textId="78EF9746" w:rsidR="00F471F5" w:rsidRPr="000B4E2C" w:rsidRDefault="00F471F5" w:rsidP="00F471F5">
            <w:pPr>
              <w:rPr>
                <w:color w:val="000000"/>
                <w:sz w:val="18"/>
                <w:szCs w:val="18"/>
                <w:lang w:val="en-GB" w:eastAsia="en-GB"/>
              </w:rPr>
            </w:pPr>
            <w:r w:rsidRPr="000B4E2C">
              <w:rPr>
                <w:sz w:val="18"/>
                <w:szCs w:val="18"/>
                <w:lang w:val="en-GB" w:eastAsia="en-GB"/>
              </w:rPr>
              <w:t>Schley 2015,</w:t>
            </w:r>
            <w:r w:rsidRPr="000B4E2C">
              <w:rPr>
                <w:sz w:val="18"/>
                <w:szCs w:val="18"/>
                <w:vertAlign w:val="superscript"/>
                <w:lang w:val="en-GB" w:eastAsia="en-GB"/>
              </w:rPr>
              <w:t>63</w:t>
            </w:r>
            <w:r w:rsidRPr="000B4E2C">
              <w:rPr>
                <w:sz w:val="18"/>
                <w:szCs w:val="18"/>
                <w:lang w:val="en-GB" w:eastAsia="en-GB"/>
              </w:rPr>
              <w:t xml:space="preserve"> Germany</w:t>
            </w:r>
          </w:p>
        </w:tc>
        <w:tc>
          <w:tcPr>
            <w:tcW w:w="0" w:type="auto"/>
            <w:shd w:val="clear" w:color="auto" w:fill="auto"/>
            <w:hideMark/>
          </w:tcPr>
          <w:p w14:paraId="21B20610" w14:textId="77777777" w:rsidR="00F471F5" w:rsidRPr="000B4E2C" w:rsidRDefault="00F471F5" w:rsidP="00F471F5">
            <w:pPr>
              <w:rPr>
                <w:color w:val="000000"/>
                <w:sz w:val="18"/>
                <w:szCs w:val="18"/>
                <w:lang w:val="en-GB" w:eastAsia="en-GB"/>
              </w:rPr>
            </w:pPr>
            <w:r w:rsidRPr="000B4E2C">
              <w:rPr>
                <w:sz w:val="18"/>
                <w:szCs w:val="18"/>
                <w:lang w:val="en-GB" w:eastAsia="en-GB"/>
              </w:rPr>
              <w:t>uNGAL, BioPorto &amp; pNGAL BioPorto</w:t>
            </w:r>
          </w:p>
        </w:tc>
        <w:tc>
          <w:tcPr>
            <w:tcW w:w="0" w:type="auto"/>
            <w:shd w:val="clear" w:color="auto" w:fill="auto"/>
            <w:hideMark/>
          </w:tcPr>
          <w:p w14:paraId="459F69FB" w14:textId="77777777" w:rsidR="00F471F5" w:rsidRPr="000B4E2C" w:rsidRDefault="00F471F5" w:rsidP="00F471F5">
            <w:pPr>
              <w:rPr>
                <w:sz w:val="18"/>
                <w:szCs w:val="18"/>
                <w:lang w:val="en-GB" w:eastAsia="en-GB"/>
              </w:rPr>
            </w:pPr>
            <w:r w:rsidRPr="000B4E2C">
              <w:rPr>
                <w:sz w:val="18"/>
                <w:szCs w:val="18"/>
                <w:lang w:val="en-GB" w:eastAsia="en-GB"/>
              </w:rPr>
              <w:t>70</w:t>
            </w:r>
          </w:p>
          <w:p w14:paraId="0FB197AE" w14:textId="77777777" w:rsidR="00F471F5" w:rsidRPr="000B4E2C" w:rsidRDefault="00F471F5" w:rsidP="00F471F5">
            <w:pPr>
              <w:rPr>
                <w:color w:val="000000"/>
                <w:sz w:val="18"/>
                <w:szCs w:val="18"/>
                <w:lang w:val="en-GB" w:eastAsia="en-GB"/>
              </w:rPr>
            </w:pPr>
            <w:r w:rsidRPr="000B4E2C">
              <w:rPr>
                <w:sz w:val="18"/>
                <w:szCs w:val="18"/>
                <w:lang w:val="en-GB" w:eastAsia="en-GB"/>
              </w:rPr>
              <w:t>(10)</w:t>
            </w:r>
          </w:p>
        </w:tc>
        <w:tc>
          <w:tcPr>
            <w:tcW w:w="0" w:type="auto"/>
            <w:shd w:val="clear" w:color="auto" w:fill="auto"/>
            <w:hideMark/>
          </w:tcPr>
          <w:p w14:paraId="2B14AB5B" w14:textId="77777777" w:rsidR="00F471F5" w:rsidRPr="000B4E2C" w:rsidRDefault="00F471F5" w:rsidP="00F471F5">
            <w:pPr>
              <w:rPr>
                <w:color w:val="000000"/>
                <w:sz w:val="18"/>
                <w:szCs w:val="18"/>
                <w:lang w:val="en-GB" w:eastAsia="en-GB"/>
              </w:rPr>
            </w:pPr>
            <w:r w:rsidRPr="000B4E2C">
              <w:rPr>
                <w:sz w:val="18"/>
                <w:szCs w:val="18"/>
                <w:lang w:val="en-GB" w:eastAsia="en-GB"/>
              </w:rPr>
              <w:t>110</w:t>
            </w:r>
          </w:p>
        </w:tc>
        <w:tc>
          <w:tcPr>
            <w:tcW w:w="0" w:type="auto"/>
            <w:shd w:val="clear" w:color="auto" w:fill="auto"/>
            <w:hideMark/>
          </w:tcPr>
          <w:p w14:paraId="52FE7DED" w14:textId="77777777" w:rsidR="00F471F5" w:rsidRPr="000B4E2C" w:rsidRDefault="00F471F5" w:rsidP="00F471F5">
            <w:pPr>
              <w:rPr>
                <w:color w:val="000000"/>
                <w:sz w:val="18"/>
                <w:szCs w:val="18"/>
                <w:lang w:val="en-GB" w:eastAsia="en-GB"/>
              </w:rPr>
            </w:pPr>
            <w:r w:rsidRPr="000B4E2C">
              <w:rPr>
                <w:sz w:val="18"/>
                <w:szCs w:val="18"/>
                <w:lang w:val="en-GB" w:eastAsia="en-GB"/>
              </w:rPr>
              <w:t>37</w:t>
            </w:r>
          </w:p>
        </w:tc>
        <w:tc>
          <w:tcPr>
            <w:tcW w:w="0" w:type="auto"/>
            <w:shd w:val="clear" w:color="auto" w:fill="auto"/>
            <w:hideMark/>
          </w:tcPr>
          <w:p w14:paraId="0831CBF6" w14:textId="77777777" w:rsidR="00F471F5" w:rsidRPr="000B4E2C" w:rsidRDefault="00F471F5" w:rsidP="00F471F5">
            <w:pPr>
              <w:rPr>
                <w:color w:val="000000"/>
                <w:sz w:val="18"/>
                <w:szCs w:val="18"/>
                <w:lang w:val="en-GB" w:eastAsia="en-GB"/>
              </w:rPr>
            </w:pPr>
            <w:r w:rsidRPr="000B4E2C">
              <w:rPr>
                <w:sz w:val="18"/>
                <w:szCs w:val="18"/>
                <w:lang w:val="en-GB" w:eastAsia="en-GB"/>
              </w:rPr>
              <w:t>AKIN</w:t>
            </w:r>
          </w:p>
        </w:tc>
        <w:tc>
          <w:tcPr>
            <w:tcW w:w="0" w:type="auto"/>
            <w:shd w:val="clear" w:color="auto" w:fill="auto"/>
            <w:hideMark/>
          </w:tcPr>
          <w:p w14:paraId="796A4E31" w14:textId="77777777" w:rsidR="00F471F5" w:rsidRPr="000B4E2C" w:rsidRDefault="00F471F5" w:rsidP="00F471F5">
            <w:pPr>
              <w:rPr>
                <w:color w:val="000000"/>
                <w:sz w:val="18"/>
                <w:szCs w:val="18"/>
                <w:lang w:val="en-GB" w:eastAsia="en-GB"/>
              </w:rPr>
            </w:pPr>
            <w:r w:rsidRPr="000B4E2C">
              <w:rPr>
                <w:sz w:val="18"/>
                <w:szCs w:val="18"/>
                <w:lang w:val="en-GB" w:eastAsia="en-GB"/>
              </w:rPr>
              <w:t>76%</w:t>
            </w:r>
          </w:p>
        </w:tc>
        <w:tc>
          <w:tcPr>
            <w:tcW w:w="0" w:type="auto"/>
            <w:shd w:val="clear" w:color="auto" w:fill="auto"/>
            <w:hideMark/>
          </w:tcPr>
          <w:p w14:paraId="7E46A5FB" w14:textId="77777777" w:rsidR="00F471F5" w:rsidRPr="000B4E2C" w:rsidRDefault="00F471F5" w:rsidP="00F471F5">
            <w:pPr>
              <w:rPr>
                <w:sz w:val="18"/>
                <w:szCs w:val="18"/>
                <w:lang w:val="en-GB" w:eastAsia="en-GB"/>
              </w:rPr>
            </w:pPr>
            <w:r w:rsidRPr="000B4E2C">
              <w:rPr>
                <w:sz w:val="18"/>
                <w:szCs w:val="18"/>
                <w:lang w:val="en-GB" w:eastAsia="en-GB"/>
              </w:rPr>
              <w:t>1.2* mg/dl</w:t>
            </w:r>
          </w:p>
          <w:p w14:paraId="775A9BDF" w14:textId="77777777" w:rsidR="00F471F5" w:rsidRPr="000B4E2C" w:rsidRDefault="00F471F5" w:rsidP="00F471F5">
            <w:pPr>
              <w:rPr>
                <w:color w:val="000000"/>
                <w:sz w:val="18"/>
                <w:szCs w:val="18"/>
                <w:lang w:val="en-GB" w:eastAsia="en-GB"/>
              </w:rPr>
            </w:pPr>
            <w:r w:rsidRPr="000B4E2C">
              <w:rPr>
                <w:sz w:val="18"/>
                <w:szCs w:val="18"/>
                <w:lang w:val="en-GB" w:eastAsia="en-GB"/>
              </w:rPr>
              <w:t>(SD 0.5)</w:t>
            </w:r>
          </w:p>
        </w:tc>
        <w:tc>
          <w:tcPr>
            <w:tcW w:w="0" w:type="auto"/>
            <w:shd w:val="clear" w:color="auto" w:fill="auto"/>
            <w:noWrap/>
            <w:hideMark/>
          </w:tcPr>
          <w:p w14:paraId="6A1AA66E"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1B6FC3DF"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29BA09CB"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1168B08" w14:textId="77777777" w:rsidR="00F471F5" w:rsidRPr="000B4E2C" w:rsidRDefault="00F471F5" w:rsidP="00F471F5">
            <w:pPr>
              <w:rPr>
                <w:color w:val="000000"/>
                <w:sz w:val="18"/>
                <w:szCs w:val="18"/>
                <w:lang w:val="en-GB" w:eastAsia="en-GB"/>
              </w:rPr>
            </w:pPr>
            <w:r w:rsidRPr="000B4E2C">
              <w:rPr>
                <w:sz w:val="18"/>
                <w:szCs w:val="18"/>
                <w:lang w:val="en-GB" w:eastAsia="en-GB"/>
              </w:rPr>
              <w:t>All patients undergoing cardiac surgery using CPB</w:t>
            </w:r>
          </w:p>
        </w:tc>
        <w:tc>
          <w:tcPr>
            <w:tcW w:w="0" w:type="auto"/>
            <w:shd w:val="clear" w:color="auto" w:fill="auto"/>
            <w:hideMark/>
          </w:tcPr>
          <w:p w14:paraId="38E0AD64" w14:textId="77777777" w:rsidR="00F471F5" w:rsidRPr="000B4E2C" w:rsidRDefault="00F471F5" w:rsidP="00F471F5">
            <w:pPr>
              <w:rPr>
                <w:sz w:val="18"/>
                <w:szCs w:val="18"/>
                <w:lang w:val="en-GB" w:eastAsia="en-GB"/>
              </w:rPr>
            </w:pPr>
            <w:r w:rsidRPr="000B4E2C">
              <w:rPr>
                <w:sz w:val="18"/>
                <w:szCs w:val="18"/>
                <w:lang w:val="en-GB" w:eastAsia="en-GB"/>
              </w:rPr>
              <w:t>Pre-existing haemodialysis-</w:t>
            </w:r>
            <w:r w:rsidRPr="000B4E2C">
              <w:rPr>
                <w:sz w:val="18"/>
                <w:szCs w:val="18"/>
                <w:highlight w:val="magenta"/>
                <w:lang w:val="en-GB" w:eastAsia="en-GB"/>
              </w:rPr>
              <w:t>dependent</w:t>
            </w:r>
            <w:r w:rsidRPr="000B4E2C">
              <w:rPr>
                <w:sz w:val="18"/>
                <w:szCs w:val="18"/>
                <w:lang w:val="en-GB" w:eastAsia="en-GB"/>
              </w:rPr>
              <w:t xml:space="preserve"> end stage renal disease, previous kidney transplantation, immunosuppressive medication and pregnancy</w:t>
            </w:r>
          </w:p>
        </w:tc>
      </w:tr>
      <w:tr w:rsidR="000B4E2C" w:rsidRPr="000B4E2C" w14:paraId="2F0297F0" w14:textId="77777777" w:rsidTr="000B4E2C">
        <w:trPr>
          <w:cantSplit/>
        </w:trPr>
        <w:tc>
          <w:tcPr>
            <w:tcW w:w="0" w:type="auto"/>
            <w:shd w:val="clear" w:color="auto" w:fill="auto"/>
            <w:hideMark/>
          </w:tcPr>
          <w:p w14:paraId="2D4F01BF" w14:textId="0F43E75E" w:rsidR="00F471F5" w:rsidRPr="000B4E2C" w:rsidRDefault="00F471F5" w:rsidP="00F471F5">
            <w:pPr>
              <w:rPr>
                <w:color w:val="000000"/>
                <w:sz w:val="18"/>
                <w:szCs w:val="18"/>
                <w:lang w:val="en-GB" w:eastAsia="en-GB"/>
              </w:rPr>
            </w:pPr>
            <w:r w:rsidRPr="000B4E2C">
              <w:rPr>
                <w:sz w:val="18"/>
                <w:szCs w:val="18"/>
                <w:lang w:val="en-GB" w:eastAsia="en-GB"/>
              </w:rPr>
              <w:lastRenderedPageBreak/>
              <w:t>Collins 2012,</w:t>
            </w:r>
            <w:r w:rsidRPr="000B4E2C">
              <w:rPr>
                <w:sz w:val="18"/>
                <w:szCs w:val="18"/>
                <w:vertAlign w:val="superscript"/>
                <w:lang w:val="en-GB" w:eastAsia="en-GB"/>
              </w:rPr>
              <w:t>53</w:t>
            </w:r>
            <w:r w:rsidRPr="000B4E2C">
              <w:rPr>
                <w:sz w:val="18"/>
                <w:szCs w:val="18"/>
                <w:lang w:val="en-GB" w:eastAsia="en-GB"/>
              </w:rPr>
              <w:t xml:space="preserve"> USA</w:t>
            </w:r>
          </w:p>
        </w:tc>
        <w:tc>
          <w:tcPr>
            <w:tcW w:w="0" w:type="auto"/>
            <w:shd w:val="clear" w:color="auto" w:fill="auto"/>
            <w:hideMark/>
          </w:tcPr>
          <w:p w14:paraId="4B02D95F"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4759FB4F"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20AF1D2" w14:textId="77777777" w:rsidR="00F471F5" w:rsidRPr="000B4E2C" w:rsidRDefault="00F471F5" w:rsidP="00F471F5">
            <w:pPr>
              <w:rPr>
                <w:color w:val="000000"/>
                <w:sz w:val="18"/>
                <w:szCs w:val="18"/>
                <w:lang w:val="en-GB" w:eastAsia="en-GB"/>
              </w:rPr>
            </w:pPr>
            <w:r w:rsidRPr="000B4E2C">
              <w:rPr>
                <w:sz w:val="18"/>
                <w:szCs w:val="18"/>
                <w:lang w:val="en-GB" w:eastAsia="en-GB"/>
              </w:rPr>
              <w:t>399</w:t>
            </w:r>
          </w:p>
        </w:tc>
        <w:tc>
          <w:tcPr>
            <w:tcW w:w="0" w:type="auto"/>
            <w:shd w:val="clear" w:color="auto" w:fill="auto"/>
            <w:hideMark/>
          </w:tcPr>
          <w:p w14:paraId="58EBE33F" w14:textId="77777777" w:rsidR="00F471F5" w:rsidRPr="000B4E2C" w:rsidRDefault="00F471F5" w:rsidP="00F471F5">
            <w:pPr>
              <w:rPr>
                <w:color w:val="000000"/>
                <w:sz w:val="18"/>
                <w:szCs w:val="18"/>
                <w:lang w:val="en-GB" w:eastAsia="en-GB"/>
              </w:rPr>
            </w:pPr>
            <w:r w:rsidRPr="000B4E2C">
              <w:rPr>
                <w:sz w:val="18"/>
                <w:szCs w:val="18"/>
                <w:lang w:val="en-GB" w:eastAsia="en-GB"/>
              </w:rPr>
              <w:t>20</w:t>
            </w:r>
          </w:p>
        </w:tc>
        <w:tc>
          <w:tcPr>
            <w:tcW w:w="0" w:type="auto"/>
            <w:shd w:val="clear" w:color="auto" w:fill="auto"/>
            <w:hideMark/>
          </w:tcPr>
          <w:p w14:paraId="6C79DF8B" w14:textId="1E4B69F6" w:rsidR="00F471F5" w:rsidRPr="000B4E2C" w:rsidRDefault="00F471F5" w:rsidP="00F471F5">
            <w:pPr>
              <w:rPr>
                <w:sz w:val="18"/>
                <w:szCs w:val="18"/>
                <w:lang w:val="en-GB" w:eastAsia="en-GB"/>
              </w:rPr>
            </w:pPr>
            <w:r w:rsidRPr="000B4E2C">
              <w:rPr>
                <w:sz w:val="18"/>
                <w:szCs w:val="18"/>
                <w:lang w:val="en-GB" w:eastAsia="en-GB"/>
              </w:rPr>
              <w:t xml:space="preserve">sCr </w:t>
            </w:r>
            <w:r w:rsidR="000B4E2C" w:rsidRPr="000B4E2C">
              <w:rPr>
                <w:color w:val="00B0F0"/>
                <w:sz w:val="18"/>
                <w:szCs w:val="18"/>
                <w:lang w:val="en-GB" w:eastAsia="en-GB"/>
              </w:rPr>
              <w:t>≥ </w:t>
            </w:r>
            <w:r w:rsidR="000B4E2C" w:rsidRPr="000B4E2C">
              <w:rPr>
                <w:color w:val="00B0F0"/>
                <w:sz w:val="18"/>
                <w:szCs w:val="18"/>
                <w:lang w:val="en-GB" w:eastAsia="en-GB"/>
              </w:rPr>
              <w:t>0</w:t>
            </w:r>
            <w:r w:rsidRPr="000B4E2C">
              <w:rPr>
                <w:sz w:val="18"/>
                <w:szCs w:val="18"/>
                <w:lang w:val="en-GB" w:eastAsia="en-GB"/>
              </w:rPr>
              <w:t>.3mg/dL</w:t>
            </w:r>
          </w:p>
          <w:p w14:paraId="1A81DAC6" w14:textId="77777777" w:rsidR="00F471F5" w:rsidRPr="000B4E2C" w:rsidRDefault="00F471F5" w:rsidP="00F471F5">
            <w:pPr>
              <w:rPr>
                <w:color w:val="000000"/>
                <w:sz w:val="18"/>
                <w:szCs w:val="18"/>
                <w:lang w:val="en-GB" w:eastAsia="en-GB"/>
              </w:rPr>
            </w:pPr>
            <w:r w:rsidRPr="000B4E2C">
              <w:rPr>
                <w:sz w:val="18"/>
                <w:szCs w:val="18"/>
                <w:lang w:val="en-GB" w:eastAsia="en-GB"/>
              </w:rPr>
              <w:t>or RIFLE</w:t>
            </w:r>
          </w:p>
        </w:tc>
        <w:tc>
          <w:tcPr>
            <w:tcW w:w="0" w:type="auto"/>
            <w:shd w:val="clear" w:color="auto" w:fill="auto"/>
            <w:hideMark/>
          </w:tcPr>
          <w:p w14:paraId="02B29A67" w14:textId="77777777" w:rsidR="00F471F5" w:rsidRPr="000B4E2C" w:rsidRDefault="00F471F5" w:rsidP="00F471F5">
            <w:pPr>
              <w:rPr>
                <w:color w:val="000000"/>
                <w:sz w:val="18"/>
                <w:szCs w:val="18"/>
                <w:lang w:val="en-GB" w:eastAsia="en-GB"/>
              </w:rPr>
            </w:pPr>
            <w:r w:rsidRPr="000B4E2C">
              <w:rPr>
                <w:sz w:val="18"/>
                <w:szCs w:val="18"/>
                <w:lang w:val="en-GB" w:eastAsia="en-GB"/>
              </w:rPr>
              <w:t xml:space="preserve">65% </w:t>
            </w:r>
          </w:p>
        </w:tc>
        <w:tc>
          <w:tcPr>
            <w:tcW w:w="0" w:type="auto"/>
            <w:shd w:val="clear" w:color="auto" w:fill="auto"/>
            <w:hideMark/>
          </w:tcPr>
          <w:p w14:paraId="18DA04F0"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7EFC2269"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29C101F8"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C754941"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A882B5C" w14:textId="1BF8E968" w:rsidR="00F471F5" w:rsidRPr="000B4E2C" w:rsidRDefault="00F471F5" w:rsidP="00F471F5">
            <w:pPr>
              <w:rPr>
                <w:color w:val="000000"/>
                <w:sz w:val="18"/>
                <w:szCs w:val="18"/>
                <w:lang w:val="en-GB" w:eastAsia="en-GB"/>
              </w:rPr>
            </w:pPr>
            <w:r w:rsidRPr="000B4E2C">
              <w:rPr>
                <w:sz w:val="18"/>
                <w:szCs w:val="18"/>
                <w:lang w:val="en-GB" w:eastAsia="en-GB"/>
              </w:rPr>
              <w:t xml:space="preserve">Modified Framingham criteria for AHF; enrolled within </w:t>
            </w:r>
            <w:r w:rsidR="000B4E2C" w:rsidRPr="000B4E2C">
              <w:rPr>
                <w:color w:val="00B0F0"/>
                <w:sz w:val="18"/>
                <w:szCs w:val="18"/>
                <w:lang w:val="en-GB" w:eastAsia="en-GB"/>
              </w:rPr>
              <w:t>3</w:t>
            </w:r>
            <w:r w:rsidR="000B4E2C" w:rsidRPr="000B4E2C">
              <w:rPr>
                <w:color w:val="00B0F0"/>
                <w:sz w:val="18"/>
                <w:szCs w:val="18"/>
                <w:lang w:val="en-GB" w:eastAsia="en-GB"/>
              </w:rPr>
              <w:t> </w:t>
            </w:r>
            <w:r w:rsidR="000B4E2C" w:rsidRPr="000B4E2C">
              <w:rPr>
                <w:color w:val="00B0F0"/>
                <w:sz w:val="18"/>
                <w:szCs w:val="18"/>
                <w:lang w:val="en-GB" w:eastAsia="en-GB"/>
              </w:rPr>
              <w:t xml:space="preserve">h </w:t>
            </w:r>
            <w:r w:rsidRPr="000B4E2C">
              <w:rPr>
                <w:sz w:val="18"/>
                <w:szCs w:val="18"/>
                <w:lang w:val="en-GB" w:eastAsia="en-GB"/>
              </w:rPr>
              <w:t>of first physician contact; received vasodilators or diuretics in the ED for treatment of AHF.</w:t>
            </w:r>
          </w:p>
        </w:tc>
        <w:tc>
          <w:tcPr>
            <w:tcW w:w="0" w:type="auto"/>
            <w:shd w:val="clear" w:color="auto" w:fill="auto"/>
            <w:hideMark/>
          </w:tcPr>
          <w:p w14:paraId="04F4663B" w14:textId="77777777" w:rsidR="00F471F5" w:rsidRPr="000B4E2C" w:rsidRDefault="00F471F5" w:rsidP="00F471F5">
            <w:pPr>
              <w:rPr>
                <w:sz w:val="18"/>
                <w:szCs w:val="18"/>
                <w:lang w:val="en-GB" w:eastAsia="en-GB"/>
              </w:rPr>
            </w:pPr>
            <w:r w:rsidRPr="000B4E2C">
              <w:rPr>
                <w:sz w:val="18"/>
                <w:szCs w:val="18"/>
                <w:lang w:val="en-GB" w:eastAsia="en-GB"/>
              </w:rPr>
              <w:t>NR</w:t>
            </w:r>
          </w:p>
        </w:tc>
      </w:tr>
      <w:tr w:rsidR="000B4E2C" w:rsidRPr="000B4E2C" w14:paraId="792777CF" w14:textId="77777777" w:rsidTr="000B4E2C">
        <w:trPr>
          <w:cantSplit/>
        </w:trPr>
        <w:tc>
          <w:tcPr>
            <w:tcW w:w="0" w:type="auto"/>
            <w:shd w:val="clear" w:color="auto" w:fill="auto"/>
            <w:hideMark/>
          </w:tcPr>
          <w:p w14:paraId="118B9600" w14:textId="472C980F" w:rsidR="00F471F5" w:rsidRPr="000B4E2C" w:rsidRDefault="00F471F5" w:rsidP="00F471F5">
            <w:pPr>
              <w:rPr>
                <w:color w:val="000000"/>
                <w:sz w:val="18"/>
                <w:szCs w:val="18"/>
                <w:lang w:val="en-GB" w:eastAsia="en-GB"/>
              </w:rPr>
            </w:pPr>
            <w:r w:rsidRPr="000B4E2C">
              <w:rPr>
                <w:sz w:val="18"/>
                <w:szCs w:val="18"/>
                <w:lang w:val="en-GB" w:eastAsia="en-GB"/>
              </w:rPr>
              <w:t>Dupont 2012,</w:t>
            </w:r>
            <w:r w:rsidRPr="000B4E2C">
              <w:rPr>
                <w:sz w:val="18"/>
                <w:szCs w:val="18"/>
                <w:vertAlign w:val="superscript"/>
                <w:lang w:val="en-GB" w:eastAsia="en-GB"/>
              </w:rPr>
              <w:t>54</w:t>
            </w:r>
            <w:r w:rsidRPr="000B4E2C">
              <w:rPr>
                <w:sz w:val="18"/>
                <w:szCs w:val="18"/>
                <w:lang w:val="en-GB" w:eastAsia="en-GB"/>
              </w:rPr>
              <w:t xml:space="preserve"> USA</w:t>
            </w:r>
          </w:p>
        </w:tc>
        <w:tc>
          <w:tcPr>
            <w:tcW w:w="0" w:type="auto"/>
            <w:shd w:val="clear" w:color="auto" w:fill="auto"/>
            <w:hideMark/>
          </w:tcPr>
          <w:p w14:paraId="3306403D"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11DB2D85"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206DF420" w14:textId="77777777" w:rsidR="00F471F5" w:rsidRPr="000B4E2C" w:rsidRDefault="00F471F5" w:rsidP="00F471F5">
            <w:pPr>
              <w:rPr>
                <w:color w:val="000000"/>
                <w:sz w:val="18"/>
                <w:szCs w:val="18"/>
                <w:lang w:val="en-GB" w:eastAsia="en-GB"/>
              </w:rPr>
            </w:pPr>
            <w:r w:rsidRPr="000B4E2C">
              <w:rPr>
                <w:sz w:val="18"/>
                <w:szCs w:val="18"/>
                <w:lang w:val="en-GB" w:eastAsia="en-GB"/>
              </w:rPr>
              <w:t>141</w:t>
            </w:r>
          </w:p>
        </w:tc>
        <w:tc>
          <w:tcPr>
            <w:tcW w:w="0" w:type="auto"/>
            <w:shd w:val="clear" w:color="auto" w:fill="auto"/>
            <w:hideMark/>
          </w:tcPr>
          <w:p w14:paraId="353B3AEE" w14:textId="77777777" w:rsidR="00F471F5" w:rsidRPr="000B4E2C" w:rsidRDefault="00F471F5" w:rsidP="00F471F5">
            <w:pPr>
              <w:rPr>
                <w:color w:val="000000"/>
                <w:sz w:val="18"/>
                <w:szCs w:val="18"/>
                <w:lang w:val="en-GB" w:eastAsia="en-GB"/>
              </w:rPr>
            </w:pPr>
            <w:r w:rsidRPr="000B4E2C">
              <w:rPr>
                <w:sz w:val="18"/>
                <w:szCs w:val="18"/>
                <w:lang w:val="en-GB" w:eastAsia="en-GB"/>
              </w:rPr>
              <w:t>35</w:t>
            </w:r>
          </w:p>
        </w:tc>
        <w:tc>
          <w:tcPr>
            <w:tcW w:w="0" w:type="auto"/>
            <w:shd w:val="clear" w:color="auto" w:fill="auto"/>
            <w:hideMark/>
          </w:tcPr>
          <w:p w14:paraId="3C5084FE" w14:textId="27883690" w:rsidR="00F471F5" w:rsidRPr="000B4E2C" w:rsidRDefault="00F471F5" w:rsidP="00F471F5">
            <w:pPr>
              <w:rPr>
                <w:color w:val="000000"/>
                <w:sz w:val="18"/>
                <w:szCs w:val="18"/>
                <w:lang w:val="en-GB" w:eastAsia="en-GB"/>
              </w:rPr>
            </w:pPr>
            <w:r w:rsidRPr="000B4E2C">
              <w:rPr>
                <w:sz w:val="18"/>
                <w:szCs w:val="18"/>
                <w:lang w:val="en-GB" w:eastAsia="en-GB"/>
              </w:rPr>
              <w:t xml:space="preserve">sCr increase </w:t>
            </w:r>
            <w:r w:rsidR="000B4E2C" w:rsidRPr="000B4E2C">
              <w:rPr>
                <w:color w:val="00B0F0"/>
                <w:sz w:val="18"/>
                <w:szCs w:val="18"/>
                <w:lang w:val="en-GB" w:eastAsia="en-GB"/>
              </w:rPr>
              <w:t>≥ </w:t>
            </w:r>
            <w:r w:rsidR="000B4E2C" w:rsidRPr="000B4E2C">
              <w:rPr>
                <w:color w:val="00B0F0"/>
                <w:sz w:val="18"/>
                <w:szCs w:val="18"/>
                <w:lang w:val="en-GB" w:eastAsia="en-GB"/>
              </w:rPr>
              <w:t>0</w:t>
            </w:r>
            <w:r w:rsidRPr="000B4E2C">
              <w:rPr>
                <w:sz w:val="18"/>
                <w:szCs w:val="18"/>
                <w:lang w:val="en-GB" w:eastAsia="en-GB"/>
              </w:rPr>
              <w:t>.3mg/dL</w:t>
            </w:r>
          </w:p>
        </w:tc>
        <w:tc>
          <w:tcPr>
            <w:tcW w:w="0" w:type="auto"/>
            <w:shd w:val="clear" w:color="auto" w:fill="auto"/>
            <w:hideMark/>
          </w:tcPr>
          <w:p w14:paraId="780AD784" w14:textId="77777777" w:rsidR="00F471F5" w:rsidRPr="000B4E2C" w:rsidRDefault="00F471F5" w:rsidP="00F471F5">
            <w:pPr>
              <w:rPr>
                <w:color w:val="000000"/>
                <w:sz w:val="18"/>
                <w:szCs w:val="18"/>
                <w:lang w:val="en-GB" w:eastAsia="en-GB"/>
              </w:rPr>
            </w:pPr>
            <w:r w:rsidRPr="000B4E2C">
              <w:rPr>
                <w:sz w:val="18"/>
                <w:szCs w:val="18"/>
                <w:lang w:val="en-GB" w:eastAsia="en-GB"/>
              </w:rPr>
              <w:t xml:space="preserve">58% </w:t>
            </w:r>
          </w:p>
        </w:tc>
        <w:tc>
          <w:tcPr>
            <w:tcW w:w="0" w:type="auto"/>
            <w:shd w:val="clear" w:color="auto" w:fill="auto"/>
            <w:hideMark/>
          </w:tcPr>
          <w:p w14:paraId="52FADB96"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7CC6F469"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779B6810"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1FF41AD6"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72B6424E" w14:textId="2A1772B9" w:rsidR="00F471F5" w:rsidRPr="000B4E2C" w:rsidRDefault="000B4E2C" w:rsidP="00F471F5">
            <w:pPr>
              <w:rPr>
                <w:color w:val="000000"/>
                <w:sz w:val="18"/>
                <w:szCs w:val="18"/>
                <w:lang w:val="en-GB" w:eastAsia="en-GB"/>
              </w:rPr>
            </w:pPr>
            <w:r w:rsidRPr="000B4E2C">
              <w:rPr>
                <w:color w:val="00B0F0"/>
                <w:sz w:val="18"/>
                <w:szCs w:val="18"/>
                <w:lang w:val="en-GB" w:eastAsia="en-GB"/>
              </w:rPr>
              <w:t>&gt;</w:t>
            </w:r>
            <w:r w:rsidRPr="000B4E2C">
              <w:rPr>
                <w:color w:val="00B0F0"/>
                <w:sz w:val="18"/>
                <w:szCs w:val="18"/>
                <w:lang w:val="en-GB" w:eastAsia="en-GB"/>
              </w:rPr>
              <w:t> </w:t>
            </w:r>
            <w:r w:rsidRPr="000B4E2C">
              <w:rPr>
                <w:color w:val="00B0F0"/>
                <w:sz w:val="18"/>
                <w:szCs w:val="18"/>
                <w:lang w:val="en-GB" w:eastAsia="en-GB"/>
              </w:rPr>
              <w:t>1</w:t>
            </w:r>
            <w:r w:rsidR="00F471F5" w:rsidRPr="000B4E2C">
              <w:rPr>
                <w:sz w:val="18"/>
                <w:szCs w:val="18"/>
                <w:lang w:val="en-GB" w:eastAsia="en-GB"/>
              </w:rPr>
              <w:t>8 years of age, clinical evidence of congestion, planned strategy for treatment with intravenous furosemide</w:t>
            </w:r>
          </w:p>
        </w:tc>
        <w:tc>
          <w:tcPr>
            <w:tcW w:w="0" w:type="auto"/>
            <w:shd w:val="clear" w:color="auto" w:fill="auto"/>
            <w:hideMark/>
          </w:tcPr>
          <w:p w14:paraId="551A9DE0" w14:textId="68091C05" w:rsidR="00F471F5" w:rsidRPr="000B4E2C" w:rsidRDefault="00F471F5" w:rsidP="00F471F5">
            <w:pPr>
              <w:rPr>
                <w:sz w:val="18"/>
                <w:szCs w:val="18"/>
                <w:lang w:val="en-GB" w:eastAsia="en-GB"/>
              </w:rPr>
            </w:pPr>
            <w:r w:rsidRPr="000B4E2C">
              <w:rPr>
                <w:sz w:val="18"/>
                <w:szCs w:val="18"/>
                <w:lang w:val="en-GB" w:eastAsia="en-GB"/>
              </w:rPr>
              <w:t xml:space="preserve">Acute coronary syndrome; end-stage renal disease or RRT; exposure to nephrotoxic agents; planned surgery at the time of enrolment; haemoglobin </w:t>
            </w:r>
            <w:r w:rsidR="000B4E2C" w:rsidRPr="000B4E2C">
              <w:rPr>
                <w:color w:val="00B0F0"/>
                <w:sz w:val="18"/>
                <w:szCs w:val="18"/>
                <w:lang w:val="en-GB" w:eastAsia="en-GB"/>
              </w:rPr>
              <w:t>&lt;</w:t>
            </w:r>
            <w:r w:rsidR="000B4E2C" w:rsidRPr="000B4E2C">
              <w:rPr>
                <w:color w:val="00B0F0"/>
                <w:sz w:val="18"/>
                <w:szCs w:val="18"/>
                <w:lang w:val="en-GB" w:eastAsia="en-GB"/>
              </w:rPr>
              <w:t> </w:t>
            </w:r>
            <w:r w:rsidR="000B4E2C" w:rsidRPr="000B4E2C">
              <w:rPr>
                <w:color w:val="00B0F0"/>
                <w:sz w:val="18"/>
                <w:szCs w:val="18"/>
                <w:lang w:val="en-GB" w:eastAsia="en-GB"/>
              </w:rPr>
              <w:t>9</w:t>
            </w:r>
            <w:r w:rsidRPr="000B4E2C">
              <w:rPr>
                <w:sz w:val="18"/>
                <w:szCs w:val="18"/>
                <w:lang w:val="en-GB" w:eastAsia="en-GB"/>
              </w:rPr>
              <w:t xml:space="preserve"> mg/dL or active bleeding.</w:t>
            </w:r>
          </w:p>
        </w:tc>
      </w:tr>
      <w:tr w:rsidR="000B4E2C" w:rsidRPr="000B4E2C" w14:paraId="09126FBF" w14:textId="77777777" w:rsidTr="000B4E2C">
        <w:trPr>
          <w:cantSplit/>
        </w:trPr>
        <w:tc>
          <w:tcPr>
            <w:tcW w:w="0" w:type="auto"/>
            <w:shd w:val="clear" w:color="auto" w:fill="auto"/>
            <w:hideMark/>
          </w:tcPr>
          <w:p w14:paraId="7A2C2D71" w14:textId="4AB6E083" w:rsidR="00F471F5" w:rsidRPr="000B4E2C" w:rsidRDefault="00F471F5" w:rsidP="00F471F5">
            <w:pPr>
              <w:rPr>
                <w:color w:val="000000"/>
                <w:sz w:val="18"/>
                <w:szCs w:val="18"/>
                <w:lang w:val="en-GB" w:eastAsia="en-GB"/>
              </w:rPr>
            </w:pPr>
            <w:r w:rsidRPr="000B4E2C">
              <w:rPr>
                <w:sz w:val="18"/>
                <w:szCs w:val="18"/>
                <w:lang w:val="en-GB" w:eastAsia="en-GB"/>
              </w:rPr>
              <w:t>Cullen 2014,</w:t>
            </w:r>
            <w:r w:rsidRPr="000B4E2C">
              <w:rPr>
                <w:sz w:val="18"/>
                <w:szCs w:val="18"/>
                <w:vertAlign w:val="superscript"/>
                <w:lang w:val="en-GB" w:eastAsia="en-GB"/>
              </w:rPr>
              <w:t>51</w:t>
            </w:r>
            <w:r w:rsidRPr="000B4E2C">
              <w:rPr>
                <w:sz w:val="18"/>
                <w:szCs w:val="18"/>
                <w:lang w:val="en-GB" w:eastAsia="en-GB"/>
              </w:rPr>
              <w:t xml:space="preserve"> UK</w:t>
            </w:r>
          </w:p>
        </w:tc>
        <w:tc>
          <w:tcPr>
            <w:tcW w:w="0" w:type="auto"/>
            <w:shd w:val="clear" w:color="auto" w:fill="auto"/>
            <w:hideMark/>
          </w:tcPr>
          <w:p w14:paraId="0BD841F6"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0267423A" w14:textId="77777777" w:rsidR="00F471F5" w:rsidRPr="000B4E2C" w:rsidRDefault="00F471F5" w:rsidP="00F471F5">
            <w:pPr>
              <w:rPr>
                <w:sz w:val="18"/>
                <w:szCs w:val="18"/>
                <w:lang w:val="en-GB" w:eastAsia="en-GB"/>
              </w:rPr>
            </w:pPr>
            <w:r w:rsidRPr="000B4E2C">
              <w:rPr>
                <w:sz w:val="18"/>
                <w:szCs w:val="18"/>
                <w:lang w:val="en-GB" w:eastAsia="en-GB"/>
              </w:rPr>
              <w:t>68</w:t>
            </w:r>
          </w:p>
          <w:p w14:paraId="4E6465F7" w14:textId="77777777" w:rsidR="00F471F5" w:rsidRPr="000B4E2C" w:rsidRDefault="00F471F5" w:rsidP="00F471F5">
            <w:pPr>
              <w:rPr>
                <w:color w:val="000000"/>
                <w:sz w:val="18"/>
                <w:szCs w:val="18"/>
                <w:lang w:val="en-GB" w:eastAsia="en-GB"/>
              </w:rPr>
            </w:pPr>
            <w:r w:rsidRPr="000B4E2C">
              <w:rPr>
                <w:sz w:val="18"/>
                <w:szCs w:val="18"/>
                <w:lang w:val="en-GB" w:eastAsia="en-GB"/>
              </w:rPr>
              <w:t xml:space="preserve">(11) </w:t>
            </w:r>
          </w:p>
        </w:tc>
        <w:tc>
          <w:tcPr>
            <w:tcW w:w="0" w:type="auto"/>
            <w:shd w:val="clear" w:color="auto" w:fill="auto"/>
            <w:hideMark/>
          </w:tcPr>
          <w:p w14:paraId="7CA885BA" w14:textId="77777777" w:rsidR="00F471F5" w:rsidRPr="000B4E2C" w:rsidRDefault="00F471F5" w:rsidP="00F471F5">
            <w:pPr>
              <w:rPr>
                <w:color w:val="000000"/>
                <w:sz w:val="18"/>
                <w:szCs w:val="18"/>
                <w:lang w:val="en-GB" w:eastAsia="en-GB"/>
              </w:rPr>
            </w:pPr>
            <w:r w:rsidRPr="000B4E2C">
              <w:rPr>
                <w:sz w:val="18"/>
                <w:szCs w:val="18"/>
                <w:lang w:val="en-GB" w:eastAsia="en-GB"/>
              </w:rPr>
              <w:t>109</w:t>
            </w:r>
          </w:p>
        </w:tc>
        <w:tc>
          <w:tcPr>
            <w:tcW w:w="0" w:type="auto"/>
            <w:shd w:val="clear" w:color="auto" w:fill="auto"/>
            <w:hideMark/>
          </w:tcPr>
          <w:p w14:paraId="681F2EF9" w14:textId="77777777" w:rsidR="00F471F5" w:rsidRPr="000B4E2C" w:rsidRDefault="00F471F5" w:rsidP="00F471F5">
            <w:pPr>
              <w:rPr>
                <w:color w:val="000000"/>
                <w:sz w:val="18"/>
                <w:szCs w:val="18"/>
                <w:lang w:val="en-GB" w:eastAsia="en-GB"/>
              </w:rPr>
            </w:pPr>
            <w:r w:rsidRPr="000B4E2C">
              <w:rPr>
                <w:sz w:val="18"/>
                <w:szCs w:val="18"/>
                <w:lang w:val="en-GB" w:eastAsia="en-GB"/>
              </w:rPr>
              <w:t>16</w:t>
            </w:r>
          </w:p>
        </w:tc>
        <w:tc>
          <w:tcPr>
            <w:tcW w:w="0" w:type="auto"/>
            <w:shd w:val="clear" w:color="auto" w:fill="auto"/>
            <w:hideMark/>
          </w:tcPr>
          <w:p w14:paraId="0F59F0C9" w14:textId="77777777" w:rsidR="00F471F5" w:rsidRPr="000B4E2C" w:rsidRDefault="00F471F5" w:rsidP="00F471F5">
            <w:pPr>
              <w:rPr>
                <w:color w:val="000000"/>
                <w:sz w:val="18"/>
                <w:szCs w:val="18"/>
                <w:lang w:val="en-GB" w:eastAsia="en-GB"/>
              </w:rPr>
            </w:pPr>
            <w:r w:rsidRPr="000B4E2C">
              <w:rPr>
                <w:sz w:val="18"/>
                <w:szCs w:val="18"/>
                <w:lang w:val="en-GB" w:eastAsia="en-GB"/>
              </w:rPr>
              <w:t>AKIN</w:t>
            </w:r>
          </w:p>
        </w:tc>
        <w:tc>
          <w:tcPr>
            <w:tcW w:w="0" w:type="auto"/>
            <w:shd w:val="clear" w:color="auto" w:fill="auto"/>
            <w:hideMark/>
          </w:tcPr>
          <w:p w14:paraId="0876F8D5"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734C47E"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1E62E9B2"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53AC15EC"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0BD1EAC9"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0F28D1A7" w14:textId="77777777" w:rsidR="00F471F5" w:rsidRPr="000B4E2C" w:rsidRDefault="00F471F5" w:rsidP="00F471F5">
            <w:pPr>
              <w:rPr>
                <w:color w:val="000000"/>
                <w:sz w:val="18"/>
                <w:szCs w:val="18"/>
                <w:lang w:val="en-GB" w:eastAsia="en-GB"/>
              </w:rPr>
            </w:pPr>
            <w:r w:rsidRPr="000B4E2C">
              <w:rPr>
                <w:sz w:val="18"/>
                <w:szCs w:val="18"/>
                <w:lang w:val="en-GB" w:eastAsia="en-GB"/>
              </w:rPr>
              <w:t>Patients admitted to critical care following major abdominal surgery</w:t>
            </w:r>
          </w:p>
        </w:tc>
        <w:tc>
          <w:tcPr>
            <w:tcW w:w="0" w:type="auto"/>
            <w:shd w:val="clear" w:color="auto" w:fill="auto"/>
            <w:hideMark/>
          </w:tcPr>
          <w:p w14:paraId="2BFFA2B9" w14:textId="06F5AB5D" w:rsidR="00F471F5" w:rsidRPr="000B4E2C" w:rsidRDefault="00F471F5" w:rsidP="00F471F5">
            <w:pPr>
              <w:rPr>
                <w:sz w:val="18"/>
                <w:szCs w:val="18"/>
                <w:lang w:val="en-GB" w:eastAsia="en-GB"/>
              </w:rPr>
            </w:pPr>
            <w:r w:rsidRPr="000B4E2C">
              <w:rPr>
                <w:sz w:val="18"/>
                <w:szCs w:val="18"/>
                <w:lang w:val="en-GB" w:eastAsia="en-GB"/>
              </w:rPr>
              <w:t xml:space="preserve">Refusal of consent, concurrent lithium therapy, acute myocardial </w:t>
            </w:r>
            <w:r w:rsidR="000B4E2C" w:rsidRPr="000B4E2C">
              <w:rPr>
                <w:color w:val="00B0F0"/>
                <w:sz w:val="18"/>
                <w:szCs w:val="18"/>
                <w:lang w:val="en-GB" w:eastAsia="en-GB"/>
              </w:rPr>
              <w:t>ischaemia</w:t>
            </w:r>
            <w:r w:rsidRPr="000B4E2C">
              <w:rPr>
                <w:sz w:val="18"/>
                <w:szCs w:val="18"/>
                <w:lang w:val="en-GB" w:eastAsia="en-GB"/>
              </w:rPr>
              <w:t>, acute arrhythmias, pregnancy, patients receiving palliative treatment only and weight less than 4</w:t>
            </w:r>
            <w:r w:rsidR="000B4E2C" w:rsidRPr="000B4E2C">
              <w:rPr>
                <w:color w:val="00B0F0"/>
                <w:sz w:val="18"/>
                <w:szCs w:val="18"/>
                <w:lang w:val="en-GB" w:eastAsia="en-GB"/>
              </w:rPr>
              <w:t>0</w:t>
            </w:r>
            <w:r w:rsidR="000B4E2C" w:rsidRPr="000B4E2C">
              <w:rPr>
                <w:color w:val="00B0F0"/>
                <w:sz w:val="18"/>
                <w:szCs w:val="18"/>
                <w:lang w:val="en-GB" w:eastAsia="en-GB"/>
              </w:rPr>
              <w:t> </w:t>
            </w:r>
            <w:r w:rsidR="000B4E2C" w:rsidRPr="000B4E2C">
              <w:rPr>
                <w:color w:val="00B0F0"/>
                <w:sz w:val="18"/>
                <w:szCs w:val="18"/>
                <w:lang w:val="en-GB" w:eastAsia="en-GB"/>
              </w:rPr>
              <w:t>kg.</w:t>
            </w:r>
          </w:p>
        </w:tc>
      </w:tr>
      <w:tr w:rsidR="000B4E2C" w:rsidRPr="000B4E2C" w14:paraId="7001E8BF" w14:textId="77777777" w:rsidTr="000B4E2C">
        <w:trPr>
          <w:cantSplit/>
        </w:trPr>
        <w:tc>
          <w:tcPr>
            <w:tcW w:w="0" w:type="auto"/>
            <w:shd w:val="clear" w:color="auto" w:fill="auto"/>
            <w:hideMark/>
          </w:tcPr>
          <w:p w14:paraId="2355B261" w14:textId="4D97D9F1" w:rsidR="00F471F5" w:rsidRPr="000B4E2C" w:rsidRDefault="00F471F5" w:rsidP="00F471F5">
            <w:pPr>
              <w:rPr>
                <w:color w:val="000000"/>
                <w:sz w:val="18"/>
                <w:szCs w:val="18"/>
                <w:lang w:val="en-GB" w:eastAsia="en-GB"/>
              </w:rPr>
            </w:pPr>
            <w:r w:rsidRPr="000B4E2C">
              <w:rPr>
                <w:sz w:val="18"/>
                <w:szCs w:val="18"/>
                <w:lang w:val="en-GB" w:eastAsia="en-GB"/>
              </w:rPr>
              <w:lastRenderedPageBreak/>
              <w:t>Nisula 2015,</w:t>
            </w:r>
            <w:r w:rsidRPr="000B4E2C">
              <w:rPr>
                <w:sz w:val="18"/>
                <w:szCs w:val="18"/>
                <w:vertAlign w:val="superscript"/>
                <w:lang w:val="en-GB" w:eastAsia="en-GB"/>
              </w:rPr>
              <w:t>78</w:t>
            </w:r>
            <w:r w:rsidRPr="000B4E2C">
              <w:rPr>
                <w:sz w:val="18"/>
                <w:szCs w:val="18"/>
                <w:lang w:val="en-GB" w:eastAsia="en-GB"/>
              </w:rPr>
              <w:t xml:space="preserve"> Finland</w:t>
            </w:r>
          </w:p>
        </w:tc>
        <w:tc>
          <w:tcPr>
            <w:tcW w:w="0" w:type="auto"/>
            <w:shd w:val="clear" w:color="auto" w:fill="auto"/>
            <w:hideMark/>
          </w:tcPr>
          <w:p w14:paraId="29A8EB5C" w14:textId="77777777" w:rsidR="00F471F5" w:rsidRPr="000B4E2C" w:rsidRDefault="00F471F5" w:rsidP="00F471F5">
            <w:pPr>
              <w:rPr>
                <w:color w:val="000000"/>
                <w:sz w:val="18"/>
                <w:szCs w:val="18"/>
                <w:lang w:val="en-GB" w:eastAsia="en-GB"/>
              </w:rPr>
            </w:pPr>
            <w:r w:rsidRPr="000B4E2C">
              <w:rPr>
                <w:sz w:val="18"/>
                <w:szCs w:val="18"/>
                <w:lang w:val="en-GB" w:eastAsia="en-GB"/>
              </w:rPr>
              <w:t>uNGAL, BioPorto</w:t>
            </w:r>
          </w:p>
        </w:tc>
        <w:tc>
          <w:tcPr>
            <w:tcW w:w="0" w:type="auto"/>
            <w:shd w:val="clear" w:color="auto" w:fill="auto"/>
            <w:hideMark/>
          </w:tcPr>
          <w:p w14:paraId="505A0422" w14:textId="77777777" w:rsidR="00F471F5" w:rsidRPr="000B4E2C" w:rsidRDefault="00F471F5" w:rsidP="00F471F5">
            <w:pPr>
              <w:rPr>
                <w:sz w:val="18"/>
                <w:szCs w:val="18"/>
                <w:lang w:val="en-GB" w:eastAsia="en-GB"/>
              </w:rPr>
            </w:pPr>
            <w:r w:rsidRPr="000B4E2C">
              <w:rPr>
                <w:sz w:val="18"/>
                <w:szCs w:val="18"/>
                <w:lang w:val="en-GB" w:eastAsia="en-GB"/>
              </w:rPr>
              <w:t>62</w:t>
            </w:r>
          </w:p>
          <w:p w14:paraId="285D72C8" w14:textId="77777777" w:rsidR="00F471F5" w:rsidRPr="000B4E2C" w:rsidRDefault="00F471F5" w:rsidP="00F471F5">
            <w:pPr>
              <w:rPr>
                <w:color w:val="000000"/>
                <w:sz w:val="18"/>
                <w:szCs w:val="18"/>
                <w:lang w:val="en-GB" w:eastAsia="en-GB"/>
              </w:rPr>
            </w:pPr>
            <w:r w:rsidRPr="000B4E2C">
              <w:rPr>
                <w:sz w:val="18"/>
                <w:szCs w:val="18"/>
                <w:lang w:val="en-GB" w:eastAsia="en-GB"/>
              </w:rPr>
              <w:t>(50,73)</w:t>
            </w:r>
          </w:p>
        </w:tc>
        <w:tc>
          <w:tcPr>
            <w:tcW w:w="0" w:type="auto"/>
            <w:shd w:val="clear" w:color="auto" w:fill="auto"/>
            <w:hideMark/>
          </w:tcPr>
          <w:p w14:paraId="240921BF" w14:textId="77777777" w:rsidR="00F471F5" w:rsidRPr="000B4E2C" w:rsidRDefault="00F471F5" w:rsidP="00F471F5">
            <w:pPr>
              <w:rPr>
                <w:color w:val="000000"/>
                <w:sz w:val="18"/>
                <w:szCs w:val="18"/>
                <w:lang w:val="en-GB" w:eastAsia="en-GB"/>
              </w:rPr>
            </w:pPr>
            <w:r w:rsidRPr="000B4E2C">
              <w:rPr>
                <w:sz w:val="18"/>
                <w:szCs w:val="18"/>
                <w:lang w:val="en-GB" w:eastAsia="en-GB"/>
              </w:rPr>
              <w:t>855</w:t>
            </w:r>
          </w:p>
        </w:tc>
        <w:tc>
          <w:tcPr>
            <w:tcW w:w="0" w:type="auto"/>
            <w:shd w:val="clear" w:color="auto" w:fill="auto"/>
            <w:hideMark/>
          </w:tcPr>
          <w:p w14:paraId="0D6073FB" w14:textId="77777777" w:rsidR="00F471F5" w:rsidRPr="000B4E2C" w:rsidRDefault="00F471F5" w:rsidP="00F471F5">
            <w:pPr>
              <w:rPr>
                <w:color w:val="000000"/>
                <w:sz w:val="18"/>
                <w:szCs w:val="18"/>
                <w:lang w:val="en-GB" w:eastAsia="en-GB"/>
              </w:rPr>
            </w:pPr>
            <w:r w:rsidRPr="000B4E2C">
              <w:rPr>
                <w:sz w:val="18"/>
                <w:szCs w:val="18"/>
                <w:lang w:val="en-GB" w:eastAsia="en-GB"/>
              </w:rPr>
              <w:t>379</w:t>
            </w:r>
          </w:p>
        </w:tc>
        <w:tc>
          <w:tcPr>
            <w:tcW w:w="0" w:type="auto"/>
            <w:shd w:val="clear" w:color="auto" w:fill="auto"/>
            <w:hideMark/>
          </w:tcPr>
          <w:p w14:paraId="484E249F"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78DFC9B1" w14:textId="77777777" w:rsidR="00F471F5" w:rsidRPr="000B4E2C" w:rsidRDefault="00F471F5" w:rsidP="00F471F5">
            <w:pPr>
              <w:rPr>
                <w:color w:val="000000"/>
                <w:sz w:val="18"/>
                <w:szCs w:val="18"/>
                <w:lang w:val="en-GB" w:eastAsia="en-GB"/>
              </w:rPr>
            </w:pPr>
            <w:r w:rsidRPr="000B4E2C">
              <w:rPr>
                <w:sz w:val="18"/>
                <w:szCs w:val="18"/>
                <w:lang w:val="en-GB" w:eastAsia="en-GB"/>
              </w:rPr>
              <w:t>64%</w:t>
            </w:r>
          </w:p>
        </w:tc>
        <w:tc>
          <w:tcPr>
            <w:tcW w:w="0" w:type="auto"/>
            <w:shd w:val="clear" w:color="auto" w:fill="auto"/>
            <w:hideMark/>
          </w:tcPr>
          <w:p w14:paraId="3C4974A7"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90CED21"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2FF1E940"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E8E030E"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91822E0" w14:textId="77777777" w:rsidR="00F471F5" w:rsidRPr="000B4E2C" w:rsidRDefault="00F471F5" w:rsidP="00F471F5">
            <w:pPr>
              <w:rPr>
                <w:color w:val="000000"/>
                <w:sz w:val="18"/>
                <w:szCs w:val="18"/>
                <w:lang w:val="en-GB" w:eastAsia="en-GB"/>
              </w:rPr>
            </w:pPr>
            <w:r w:rsidRPr="000B4E2C">
              <w:rPr>
                <w:sz w:val="18"/>
                <w:szCs w:val="18"/>
                <w:lang w:val="en-GB" w:eastAsia="en-GB"/>
              </w:rPr>
              <w:t>Emergency ICU admissions and postop patients admitted for more than 24 h</w:t>
            </w:r>
          </w:p>
        </w:tc>
        <w:tc>
          <w:tcPr>
            <w:tcW w:w="0" w:type="auto"/>
            <w:shd w:val="clear" w:color="auto" w:fill="auto"/>
            <w:hideMark/>
          </w:tcPr>
          <w:p w14:paraId="0DFECFB5" w14:textId="5949A26A" w:rsidR="00F471F5" w:rsidRPr="000B4E2C" w:rsidRDefault="00F471F5" w:rsidP="00F471F5">
            <w:pPr>
              <w:rPr>
                <w:sz w:val="18"/>
                <w:szCs w:val="18"/>
                <w:lang w:val="en-GB" w:eastAsia="en-GB"/>
              </w:rPr>
            </w:pPr>
            <w:r w:rsidRPr="000B4E2C">
              <w:rPr>
                <w:sz w:val="18"/>
                <w:szCs w:val="18"/>
                <w:lang w:val="en-GB" w:eastAsia="en-GB"/>
              </w:rPr>
              <w:t xml:space="preserve">Patients </w:t>
            </w:r>
            <w:r w:rsidR="000B4E2C" w:rsidRPr="000B4E2C">
              <w:rPr>
                <w:color w:val="00B0F0"/>
                <w:sz w:val="18"/>
                <w:szCs w:val="18"/>
                <w:lang w:val="en-GB" w:eastAsia="en-GB"/>
              </w:rPr>
              <w:t>&lt;</w:t>
            </w:r>
            <w:r w:rsidR="000B4E2C" w:rsidRPr="000B4E2C">
              <w:rPr>
                <w:color w:val="00B0F0"/>
                <w:sz w:val="18"/>
                <w:szCs w:val="18"/>
                <w:lang w:val="en-GB" w:eastAsia="en-GB"/>
              </w:rPr>
              <w:t> </w:t>
            </w:r>
            <w:r w:rsidR="000B4E2C" w:rsidRPr="000B4E2C">
              <w:rPr>
                <w:color w:val="00B0F0"/>
                <w:sz w:val="18"/>
                <w:szCs w:val="18"/>
                <w:lang w:val="en-GB" w:eastAsia="en-GB"/>
              </w:rPr>
              <w:t>1</w:t>
            </w:r>
            <w:r w:rsidRPr="000B4E2C">
              <w:rPr>
                <w:sz w:val="18"/>
                <w:szCs w:val="18"/>
                <w:lang w:val="en-GB" w:eastAsia="en-GB"/>
              </w:rPr>
              <w:t xml:space="preserve">8 years of age, readmitted patients who received RRT during their previous admission, patients electively admitted with an ICU length of stay of </w:t>
            </w:r>
            <w:r w:rsidR="000B4E2C" w:rsidRPr="000B4E2C">
              <w:rPr>
                <w:color w:val="00B0F0"/>
                <w:sz w:val="18"/>
                <w:szCs w:val="18"/>
                <w:lang w:val="en-GB" w:eastAsia="en-GB"/>
              </w:rPr>
              <w:t>&lt;</w:t>
            </w:r>
            <w:r w:rsidR="000B4E2C" w:rsidRPr="000B4E2C">
              <w:rPr>
                <w:color w:val="00B0F0"/>
                <w:sz w:val="18"/>
                <w:szCs w:val="18"/>
                <w:lang w:val="en-GB" w:eastAsia="en-GB"/>
              </w:rPr>
              <w:t> </w:t>
            </w:r>
            <w:r w:rsidR="000B4E2C" w:rsidRPr="000B4E2C">
              <w:rPr>
                <w:color w:val="00B0F0"/>
                <w:sz w:val="18"/>
                <w:szCs w:val="18"/>
                <w:lang w:val="en-GB" w:eastAsia="en-GB"/>
              </w:rPr>
              <w:t>24</w:t>
            </w:r>
            <w:r w:rsidR="000B4E2C" w:rsidRPr="000B4E2C">
              <w:rPr>
                <w:color w:val="00B0F0"/>
                <w:sz w:val="18"/>
                <w:szCs w:val="18"/>
                <w:lang w:val="en-GB" w:eastAsia="en-GB"/>
              </w:rPr>
              <w:t> </w:t>
            </w:r>
            <w:r w:rsidR="000B4E2C" w:rsidRPr="000B4E2C">
              <w:rPr>
                <w:color w:val="00B0F0"/>
                <w:sz w:val="18"/>
                <w:szCs w:val="18"/>
                <w:lang w:val="en-GB" w:eastAsia="en-GB"/>
              </w:rPr>
              <w:t xml:space="preserve">h </w:t>
            </w:r>
            <w:r w:rsidRPr="000B4E2C">
              <w:rPr>
                <w:sz w:val="18"/>
                <w:szCs w:val="18"/>
                <w:lang w:val="en-GB" w:eastAsia="en-GB"/>
              </w:rPr>
              <w:t>if discharged alive, patients on chronic dialysis, organ donors, patients without permanent residency in Finland or without sufficient language skills, patients transferred between study ICUs if included in the study for 5 days already, and patients receiving intermediate care.</w:t>
            </w:r>
          </w:p>
          <w:p w14:paraId="03730E8D" w14:textId="77777777" w:rsidR="00F471F5" w:rsidRPr="000B4E2C" w:rsidRDefault="00F471F5" w:rsidP="00F471F5">
            <w:pPr>
              <w:rPr>
                <w:sz w:val="18"/>
                <w:szCs w:val="18"/>
                <w:lang w:val="en-GB" w:eastAsia="en-GB"/>
              </w:rPr>
            </w:pPr>
          </w:p>
        </w:tc>
      </w:tr>
      <w:tr w:rsidR="000B4E2C" w:rsidRPr="000B4E2C" w14:paraId="74FAE0ED" w14:textId="77777777" w:rsidTr="000B4E2C">
        <w:trPr>
          <w:cantSplit/>
        </w:trPr>
        <w:tc>
          <w:tcPr>
            <w:tcW w:w="0" w:type="auto"/>
            <w:shd w:val="clear" w:color="auto" w:fill="auto"/>
            <w:hideMark/>
          </w:tcPr>
          <w:p w14:paraId="144AEA11" w14:textId="7114F780" w:rsidR="00F471F5" w:rsidRPr="000B4E2C" w:rsidRDefault="00F471F5" w:rsidP="00F471F5">
            <w:pPr>
              <w:rPr>
                <w:color w:val="000000"/>
                <w:sz w:val="18"/>
                <w:szCs w:val="18"/>
                <w:lang w:val="en-GB" w:eastAsia="en-GB"/>
              </w:rPr>
            </w:pPr>
            <w:r w:rsidRPr="000B4E2C">
              <w:rPr>
                <w:sz w:val="18"/>
                <w:szCs w:val="18"/>
                <w:lang w:val="en-GB" w:eastAsia="en-GB"/>
              </w:rPr>
              <w:t>Doi 2014,</w:t>
            </w:r>
            <w:r w:rsidRPr="000B4E2C">
              <w:rPr>
                <w:sz w:val="18"/>
                <w:szCs w:val="18"/>
                <w:vertAlign w:val="superscript"/>
                <w:lang w:val="en-GB" w:eastAsia="en-GB"/>
              </w:rPr>
              <w:t>73</w:t>
            </w:r>
            <w:r w:rsidRPr="000B4E2C">
              <w:rPr>
                <w:sz w:val="18"/>
                <w:szCs w:val="18"/>
                <w:lang w:val="en-GB" w:eastAsia="en-GB"/>
              </w:rPr>
              <w:t xml:space="preserve"> Japan</w:t>
            </w:r>
          </w:p>
        </w:tc>
        <w:tc>
          <w:tcPr>
            <w:tcW w:w="0" w:type="auto"/>
            <w:shd w:val="clear" w:color="auto" w:fill="auto"/>
            <w:hideMark/>
          </w:tcPr>
          <w:p w14:paraId="19023943" w14:textId="77777777" w:rsidR="00F471F5" w:rsidRPr="000B4E2C" w:rsidRDefault="00F471F5" w:rsidP="00F471F5">
            <w:pPr>
              <w:rPr>
                <w:color w:val="000000"/>
                <w:sz w:val="18"/>
                <w:szCs w:val="18"/>
                <w:lang w:val="en-GB" w:eastAsia="en-GB"/>
              </w:rPr>
            </w:pPr>
            <w:r w:rsidRPr="000B4E2C">
              <w:rPr>
                <w:sz w:val="18"/>
                <w:szCs w:val="18"/>
                <w:lang w:val="en-GB" w:eastAsia="en-GB"/>
              </w:rPr>
              <w:t>uNGAL, BioPorto</w:t>
            </w:r>
          </w:p>
        </w:tc>
        <w:tc>
          <w:tcPr>
            <w:tcW w:w="0" w:type="auto"/>
            <w:shd w:val="clear" w:color="auto" w:fill="auto"/>
            <w:hideMark/>
          </w:tcPr>
          <w:p w14:paraId="2D596BBB" w14:textId="77777777" w:rsidR="000B4E2C" w:rsidRPr="000B4E2C" w:rsidRDefault="00F471F5" w:rsidP="00F471F5">
            <w:pPr>
              <w:rPr>
                <w:sz w:val="18"/>
                <w:szCs w:val="18"/>
                <w:lang w:val="en-GB" w:eastAsia="en-GB"/>
              </w:rPr>
            </w:pPr>
            <w:r w:rsidRPr="000B4E2C">
              <w:rPr>
                <w:sz w:val="18"/>
                <w:szCs w:val="18"/>
                <w:lang w:val="en-GB" w:eastAsia="en-GB"/>
              </w:rPr>
              <w:t>AKI</w:t>
            </w:r>
          </w:p>
          <w:p w14:paraId="22DD103E" w14:textId="33570B4E" w:rsidR="00F471F5" w:rsidRPr="000B4E2C" w:rsidRDefault="00F471F5" w:rsidP="00F471F5">
            <w:pPr>
              <w:rPr>
                <w:sz w:val="18"/>
                <w:szCs w:val="18"/>
                <w:lang w:val="en-GB" w:eastAsia="en-GB"/>
              </w:rPr>
            </w:pPr>
            <w:r w:rsidRPr="000B4E2C">
              <w:rPr>
                <w:sz w:val="18"/>
                <w:szCs w:val="18"/>
                <w:lang w:val="en-GB" w:eastAsia="en-GB"/>
              </w:rPr>
              <w:t>65</w:t>
            </w:r>
          </w:p>
          <w:p w14:paraId="7AE1EB2C" w14:textId="77777777" w:rsidR="000B4E2C" w:rsidRPr="000B4E2C" w:rsidRDefault="00F471F5" w:rsidP="00F471F5">
            <w:pPr>
              <w:rPr>
                <w:sz w:val="18"/>
                <w:szCs w:val="18"/>
                <w:lang w:val="en-GB" w:eastAsia="en-GB"/>
              </w:rPr>
            </w:pPr>
            <w:r w:rsidRPr="000B4E2C">
              <w:rPr>
                <w:sz w:val="18"/>
                <w:szCs w:val="18"/>
                <w:lang w:val="en-GB" w:eastAsia="en-GB"/>
              </w:rPr>
              <w:t>(53, 74);</w:t>
            </w:r>
          </w:p>
          <w:p w14:paraId="3D97DFB6" w14:textId="5A86A7D8" w:rsidR="00F471F5" w:rsidRPr="000B4E2C" w:rsidRDefault="00F471F5" w:rsidP="00F471F5">
            <w:pPr>
              <w:rPr>
                <w:sz w:val="18"/>
                <w:szCs w:val="18"/>
                <w:lang w:val="en-GB" w:eastAsia="en-GB"/>
              </w:rPr>
            </w:pPr>
            <w:r w:rsidRPr="000B4E2C">
              <w:rPr>
                <w:sz w:val="18"/>
                <w:szCs w:val="18"/>
                <w:lang w:val="en-GB" w:eastAsia="en-GB"/>
              </w:rPr>
              <w:t>No AKI</w:t>
            </w:r>
          </w:p>
          <w:p w14:paraId="066E1B18" w14:textId="77777777" w:rsidR="00F471F5" w:rsidRPr="000B4E2C" w:rsidRDefault="00F471F5" w:rsidP="00F471F5">
            <w:pPr>
              <w:rPr>
                <w:sz w:val="18"/>
                <w:szCs w:val="18"/>
                <w:lang w:val="en-GB" w:eastAsia="en-GB"/>
              </w:rPr>
            </w:pPr>
            <w:r w:rsidRPr="000B4E2C">
              <w:rPr>
                <w:sz w:val="18"/>
                <w:szCs w:val="18"/>
                <w:lang w:val="en-GB" w:eastAsia="en-GB"/>
              </w:rPr>
              <w:t>66</w:t>
            </w:r>
          </w:p>
          <w:p w14:paraId="49121041" w14:textId="77777777" w:rsidR="00F471F5" w:rsidRPr="000B4E2C" w:rsidRDefault="00F471F5" w:rsidP="00F471F5">
            <w:pPr>
              <w:rPr>
                <w:color w:val="000000"/>
                <w:sz w:val="18"/>
                <w:szCs w:val="18"/>
                <w:lang w:val="en-GB" w:eastAsia="en-GB"/>
              </w:rPr>
            </w:pPr>
            <w:r w:rsidRPr="000B4E2C">
              <w:rPr>
                <w:sz w:val="18"/>
                <w:szCs w:val="18"/>
                <w:lang w:val="en-GB" w:eastAsia="en-GB"/>
              </w:rPr>
              <w:t>(55,73)</w:t>
            </w:r>
          </w:p>
        </w:tc>
        <w:tc>
          <w:tcPr>
            <w:tcW w:w="0" w:type="auto"/>
            <w:shd w:val="clear" w:color="auto" w:fill="auto"/>
            <w:hideMark/>
          </w:tcPr>
          <w:p w14:paraId="550671B7" w14:textId="77777777" w:rsidR="00F471F5" w:rsidRPr="000B4E2C" w:rsidRDefault="00F471F5" w:rsidP="00F471F5">
            <w:pPr>
              <w:rPr>
                <w:color w:val="000000"/>
                <w:sz w:val="18"/>
                <w:szCs w:val="18"/>
                <w:lang w:val="en-GB" w:eastAsia="en-GB"/>
              </w:rPr>
            </w:pPr>
            <w:r w:rsidRPr="000B4E2C">
              <w:rPr>
                <w:sz w:val="18"/>
                <w:szCs w:val="18"/>
                <w:lang w:val="en-GB" w:eastAsia="en-GB"/>
              </w:rPr>
              <w:t>339</w:t>
            </w:r>
          </w:p>
        </w:tc>
        <w:tc>
          <w:tcPr>
            <w:tcW w:w="0" w:type="auto"/>
            <w:shd w:val="clear" w:color="auto" w:fill="auto"/>
            <w:hideMark/>
          </w:tcPr>
          <w:p w14:paraId="73456D18" w14:textId="77777777" w:rsidR="00F471F5" w:rsidRPr="000B4E2C" w:rsidRDefault="00F471F5" w:rsidP="00F471F5">
            <w:pPr>
              <w:rPr>
                <w:color w:val="000000"/>
                <w:sz w:val="18"/>
                <w:szCs w:val="18"/>
                <w:lang w:val="en-GB" w:eastAsia="en-GB"/>
              </w:rPr>
            </w:pPr>
            <w:r w:rsidRPr="000B4E2C">
              <w:rPr>
                <w:sz w:val="18"/>
                <w:szCs w:val="18"/>
                <w:lang w:val="en-GB" w:eastAsia="en-GB"/>
              </w:rPr>
              <w:t>131</w:t>
            </w:r>
          </w:p>
        </w:tc>
        <w:tc>
          <w:tcPr>
            <w:tcW w:w="0" w:type="auto"/>
            <w:shd w:val="clear" w:color="auto" w:fill="auto"/>
            <w:hideMark/>
          </w:tcPr>
          <w:p w14:paraId="497715F9" w14:textId="77777777" w:rsidR="00F471F5" w:rsidRPr="000B4E2C" w:rsidRDefault="00F471F5" w:rsidP="00F471F5">
            <w:pPr>
              <w:rPr>
                <w:color w:val="000000"/>
                <w:sz w:val="18"/>
                <w:szCs w:val="18"/>
                <w:lang w:val="en-GB" w:eastAsia="en-GB"/>
              </w:rPr>
            </w:pPr>
            <w:r w:rsidRPr="000B4E2C">
              <w:rPr>
                <w:sz w:val="18"/>
                <w:szCs w:val="18"/>
                <w:lang w:val="en-GB" w:eastAsia="en-GB"/>
              </w:rPr>
              <w:t>RIFLE</w:t>
            </w:r>
          </w:p>
        </w:tc>
        <w:tc>
          <w:tcPr>
            <w:tcW w:w="0" w:type="auto"/>
            <w:shd w:val="clear" w:color="auto" w:fill="auto"/>
            <w:hideMark/>
          </w:tcPr>
          <w:p w14:paraId="7892CCCB" w14:textId="77777777" w:rsidR="00F471F5" w:rsidRPr="000B4E2C" w:rsidRDefault="00F471F5" w:rsidP="00F471F5">
            <w:pPr>
              <w:rPr>
                <w:sz w:val="18"/>
                <w:szCs w:val="18"/>
                <w:lang w:val="en-GB" w:eastAsia="en-GB"/>
              </w:rPr>
            </w:pPr>
            <w:r w:rsidRPr="000B4E2C">
              <w:rPr>
                <w:sz w:val="18"/>
                <w:szCs w:val="18"/>
                <w:lang w:val="en-GB" w:eastAsia="en-GB"/>
              </w:rPr>
              <w:t>AKI:</w:t>
            </w:r>
          </w:p>
          <w:p w14:paraId="32C771B2" w14:textId="77777777" w:rsidR="00F471F5" w:rsidRPr="000B4E2C" w:rsidRDefault="00F471F5" w:rsidP="00F471F5">
            <w:pPr>
              <w:rPr>
                <w:sz w:val="18"/>
                <w:szCs w:val="18"/>
                <w:lang w:val="en-GB" w:eastAsia="en-GB"/>
              </w:rPr>
            </w:pPr>
            <w:r w:rsidRPr="000B4E2C">
              <w:rPr>
                <w:sz w:val="18"/>
                <w:szCs w:val="18"/>
                <w:lang w:val="en-GB" w:eastAsia="en-GB"/>
              </w:rPr>
              <w:t>70%</w:t>
            </w:r>
          </w:p>
          <w:p w14:paraId="28618D83" w14:textId="77777777" w:rsidR="00F471F5" w:rsidRPr="000B4E2C" w:rsidRDefault="00F471F5" w:rsidP="00F471F5">
            <w:pPr>
              <w:rPr>
                <w:sz w:val="18"/>
                <w:szCs w:val="18"/>
                <w:lang w:val="en-GB" w:eastAsia="en-GB"/>
              </w:rPr>
            </w:pPr>
            <w:r w:rsidRPr="000B4E2C">
              <w:rPr>
                <w:sz w:val="18"/>
                <w:szCs w:val="18"/>
                <w:lang w:val="en-GB" w:eastAsia="en-GB"/>
              </w:rPr>
              <w:t>No AKI:</w:t>
            </w:r>
          </w:p>
          <w:p w14:paraId="417E97E2" w14:textId="77777777" w:rsidR="00F471F5" w:rsidRPr="000B4E2C" w:rsidRDefault="00F471F5" w:rsidP="00F471F5">
            <w:pPr>
              <w:rPr>
                <w:color w:val="000000"/>
                <w:sz w:val="18"/>
                <w:szCs w:val="18"/>
                <w:lang w:val="en-GB" w:eastAsia="en-GB"/>
              </w:rPr>
            </w:pPr>
            <w:r w:rsidRPr="000B4E2C">
              <w:rPr>
                <w:sz w:val="18"/>
                <w:szCs w:val="18"/>
                <w:lang w:val="en-GB" w:eastAsia="en-GB"/>
              </w:rPr>
              <w:t xml:space="preserve">64%; </w:t>
            </w:r>
          </w:p>
        </w:tc>
        <w:tc>
          <w:tcPr>
            <w:tcW w:w="0" w:type="auto"/>
            <w:shd w:val="clear" w:color="auto" w:fill="auto"/>
            <w:hideMark/>
          </w:tcPr>
          <w:p w14:paraId="309582E8"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72CBD4E5"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10B3547F"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4ABD56FD"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CBF135B" w14:textId="5A6CE767" w:rsidR="00F471F5" w:rsidRPr="000B4E2C" w:rsidRDefault="00F471F5" w:rsidP="00F471F5">
            <w:pPr>
              <w:rPr>
                <w:color w:val="000000"/>
                <w:sz w:val="18"/>
                <w:szCs w:val="18"/>
                <w:lang w:val="en-GB" w:eastAsia="en-GB"/>
              </w:rPr>
            </w:pPr>
            <w:r w:rsidRPr="000B4E2C">
              <w:rPr>
                <w:sz w:val="18"/>
                <w:szCs w:val="18"/>
                <w:lang w:val="en-GB" w:eastAsia="en-GB"/>
              </w:rPr>
              <w:t xml:space="preserve">patients </w:t>
            </w:r>
            <w:r w:rsidR="000B4E2C" w:rsidRPr="000B4E2C">
              <w:rPr>
                <w:color w:val="00B0F0"/>
                <w:sz w:val="18"/>
                <w:szCs w:val="18"/>
                <w:lang w:val="en-GB" w:eastAsia="en-GB"/>
              </w:rPr>
              <w:t>&gt;</w:t>
            </w:r>
            <w:r w:rsidR="000B4E2C" w:rsidRPr="000B4E2C">
              <w:rPr>
                <w:color w:val="00B0F0"/>
                <w:sz w:val="18"/>
                <w:szCs w:val="18"/>
                <w:lang w:val="en-GB" w:eastAsia="en-GB"/>
              </w:rPr>
              <w:t> </w:t>
            </w:r>
            <w:r w:rsidR="000B4E2C" w:rsidRPr="000B4E2C">
              <w:rPr>
                <w:color w:val="00B0F0"/>
                <w:sz w:val="18"/>
                <w:szCs w:val="18"/>
                <w:lang w:val="en-GB" w:eastAsia="en-GB"/>
              </w:rPr>
              <w:t>2</w:t>
            </w:r>
            <w:r w:rsidRPr="000B4E2C">
              <w:rPr>
                <w:sz w:val="18"/>
                <w:szCs w:val="18"/>
                <w:lang w:val="en-GB" w:eastAsia="en-GB"/>
              </w:rPr>
              <w:t>0 years who had been admitted to the mixed ICU</w:t>
            </w:r>
          </w:p>
        </w:tc>
        <w:tc>
          <w:tcPr>
            <w:tcW w:w="0" w:type="auto"/>
            <w:shd w:val="clear" w:color="auto" w:fill="auto"/>
            <w:hideMark/>
          </w:tcPr>
          <w:p w14:paraId="29567608" w14:textId="77777777" w:rsidR="00F471F5" w:rsidRPr="000B4E2C" w:rsidRDefault="00F471F5" w:rsidP="00F471F5">
            <w:pPr>
              <w:rPr>
                <w:sz w:val="18"/>
                <w:szCs w:val="18"/>
                <w:lang w:val="en-GB" w:eastAsia="en-GB"/>
              </w:rPr>
            </w:pPr>
            <w:r w:rsidRPr="000B4E2C">
              <w:rPr>
                <w:sz w:val="18"/>
                <w:szCs w:val="18"/>
                <w:lang w:val="en-GB" w:eastAsia="en-GB"/>
              </w:rPr>
              <w:t>Patients with end-stage renal disease or renal transplant were excluded</w:t>
            </w:r>
          </w:p>
        </w:tc>
      </w:tr>
      <w:tr w:rsidR="000B4E2C" w:rsidRPr="000B4E2C" w14:paraId="43AD3433" w14:textId="77777777" w:rsidTr="000B4E2C">
        <w:trPr>
          <w:cantSplit/>
        </w:trPr>
        <w:tc>
          <w:tcPr>
            <w:tcW w:w="0" w:type="auto"/>
            <w:shd w:val="clear" w:color="auto" w:fill="auto"/>
            <w:hideMark/>
          </w:tcPr>
          <w:p w14:paraId="69897448" w14:textId="77777777" w:rsidR="00F471F5" w:rsidRPr="000B4E2C" w:rsidRDefault="00F471F5" w:rsidP="00F471F5">
            <w:pPr>
              <w:rPr>
                <w:sz w:val="18"/>
                <w:szCs w:val="18"/>
                <w:vertAlign w:val="superscript"/>
                <w:lang w:val="en-GB" w:eastAsia="en-GB"/>
              </w:rPr>
            </w:pPr>
            <w:r w:rsidRPr="000B4E2C">
              <w:rPr>
                <w:sz w:val="18"/>
                <w:szCs w:val="18"/>
                <w:lang w:val="en-GB" w:eastAsia="en-GB"/>
              </w:rPr>
              <w:t>Cho 2013,</w:t>
            </w:r>
            <w:r w:rsidRPr="000B4E2C">
              <w:rPr>
                <w:sz w:val="18"/>
                <w:szCs w:val="18"/>
                <w:vertAlign w:val="superscript"/>
                <w:lang w:val="en-GB" w:eastAsia="en-GB"/>
              </w:rPr>
              <w:t>71</w:t>
            </w:r>
          </w:p>
          <w:p w14:paraId="5793E400" w14:textId="6F9CB2EF" w:rsidR="00F471F5" w:rsidRPr="000B4E2C" w:rsidRDefault="00F471F5" w:rsidP="00F471F5">
            <w:pPr>
              <w:rPr>
                <w:color w:val="000000"/>
                <w:sz w:val="18"/>
                <w:szCs w:val="18"/>
                <w:lang w:val="en-GB" w:eastAsia="en-GB"/>
              </w:rPr>
            </w:pPr>
            <w:r w:rsidRPr="000B4E2C">
              <w:rPr>
                <w:sz w:val="18"/>
                <w:szCs w:val="18"/>
                <w:lang w:val="en-GB" w:eastAsia="en-GB"/>
              </w:rPr>
              <w:t>Korea</w:t>
            </w:r>
          </w:p>
        </w:tc>
        <w:tc>
          <w:tcPr>
            <w:tcW w:w="0" w:type="auto"/>
            <w:shd w:val="clear" w:color="auto" w:fill="auto"/>
            <w:hideMark/>
          </w:tcPr>
          <w:p w14:paraId="5F9EB03C" w14:textId="77777777" w:rsidR="00F471F5" w:rsidRPr="000B4E2C" w:rsidRDefault="00F471F5" w:rsidP="00F471F5">
            <w:pPr>
              <w:rPr>
                <w:color w:val="000000"/>
                <w:sz w:val="18"/>
                <w:szCs w:val="18"/>
                <w:lang w:val="en-GB" w:eastAsia="en-GB"/>
              </w:rPr>
            </w:pPr>
            <w:r w:rsidRPr="000B4E2C">
              <w:rPr>
                <w:sz w:val="18"/>
                <w:szCs w:val="18"/>
                <w:lang w:val="en-GB" w:eastAsia="en-GB"/>
              </w:rPr>
              <w:t>uNGAL, BioPorto</w:t>
            </w:r>
          </w:p>
        </w:tc>
        <w:tc>
          <w:tcPr>
            <w:tcW w:w="0" w:type="auto"/>
            <w:shd w:val="clear" w:color="auto" w:fill="auto"/>
            <w:hideMark/>
          </w:tcPr>
          <w:p w14:paraId="65DBDEA3" w14:textId="77777777" w:rsidR="00F471F5" w:rsidRPr="000B4E2C" w:rsidRDefault="00F471F5" w:rsidP="00F471F5">
            <w:pPr>
              <w:rPr>
                <w:sz w:val="18"/>
                <w:szCs w:val="18"/>
                <w:lang w:val="en-GB" w:eastAsia="en-GB"/>
              </w:rPr>
            </w:pPr>
            <w:r w:rsidRPr="000B4E2C">
              <w:rPr>
                <w:sz w:val="18"/>
                <w:szCs w:val="18"/>
                <w:lang w:val="en-GB" w:eastAsia="en-GB"/>
              </w:rPr>
              <w:t>AKI 65.4</w:t>
            </w:r>
          </w:p>
          <w:p w14:paraId="73D3C77E" w14:textId="77777777" w:rsidR="000B4E2C" w:rsidRPr="000B4E2C" w:rsidRDefault="00F471F5" w:rsidP="00F471F5">
            <w:pPr>
              <w:rPr>
                <w:sz w:val="18"/>
                <w:szCs w:val="18"/>
                <w:lang w:val="en-GB" w:eastAsia="en-GB"/>
              </w:rPr>
            </w:pPr>
            <w:r w:rsidRPr="000B4E2C">
              <w:rPr>
                <w:sz w:val="18"/>
                <w:szCs w:val="18"/>
                <w:lang w:val="en-GB" w:eastAsia="en-GB"/>
              </w:rPr>
              <w:t>(14.8);</w:t>
            </w:r>
          </w:p>
          <w:p w14:paraId="71D59F49" w14:textId="4807F1CB" w:rsidR="00F471F5" w:rsidRPr="000B4E2C" w:rsidRDefault="00F471F5" w:rsidP="00F471F5">
            <w:pPr>
              <w:rPr>
                <w:sz w:val="18"/>
                <w:szCs w:val="18"/>
                <w:lang w:val="en-GB" w:eastAsia="en-GB"/>
              </w:rPr>
            </w:pPr>
            <w:r w:rsidRPr="000B4E2C">
              <w:rPr>
                <w:sz w:val="18"/>
                <w:szCs w:val="18"/>
                <w:lang w:val="en-GB" w:eastAsia="en-GB"/>
              </w:rPr>
              <w:t>No AKI</w:t>
            </w:r>
          </w:p>
          <w:p w14:paraId="2B4CA809" w14:textId="77777777" w:rsidR="00F471F5" w:rsidRPr="000B4E2C" w:rsidRDefault="00F471F5" w:rsidP="00F471F5">
            <w:pPr>
              <w:rPr>
                <w:sz w:val="18"/>
                <w:szCs w:val="18"/>
                <w:lang w:val="en-GB" w:eastAsia="en-GB"/>
              </w:rPr>
            </w:pPr>
            <w:r w:rsidRPr="000B4E2C">
              <w:rPr>
                <w:sz w:val="18"/>
                <w:szCs w:val="18"/>
                <w:lang w:val="en-GB" w:eastAsia="en-GB"/>
              </w:rPr>
              <w:t>60.4</w:t>
            </w:r>
          </w:p>
          <w:p w14:paraId="36D72621" w14:textId="77777777" w:rsidR="00F471F5" w:rsidRPr="000B4E2C" w:rsidRDefault="00F471F5" w:rsidP="00F471F5">
            <w:pPr>
              <w:rPr>
                <w:color w:val="000000"/>
                <w:sz w:val="18"/>
                <w:szCs w:val="18"/>
                <w:lang w:val="en-GB" w:eastAsia="en-GB"/>
              </w:rPr>
            </w:pPr>
            <w:r w:rsidRPr="000B4E2C">
              <w:rPr>
                <w:sz w:val="18"/>
                <w:szCs w:val="18"/>
                <w:lang w:val="en-GB" w:eastAsia="en-GB"/>
              </w:rPr>
              <w:t xml:space="preserve">(17.4) </w:t>
            </w:r>
          </w:p>
        </w:tc>
        <w:tc>
          <w:tcPr>
            <w:tcW w:w="0" w:type="auto"/>
            <w:shd w:val="clear" w:color="auto" w:fill="auto"/>
            <w:hideMark/>
          </w:tcPr>
          <w:p w14:paraId="76DE970D" w14:textId="77777777" w:rsidR="00F471F5" w:rsidRPr="000B4E2C" w:rsidRDefault="00F471F5" w:rsidP="00F471F5">
            <w:pPr>
              <w:rPr>
                <w:color w:val="000000"/>
                <w:sz w:val="18"/>
                <w:szCs w:val="18"/>
                <w:lang w:val="en-GB" w:eastAsia="en-GB"/>
              </w:rPr>
            </w:pPr>
            <w:r w:rsidRPr="000B4E2C">
              <w:rPr>
                <w:sz w:val="18"/>
                <w:szCs w:val="18"/>
                <w:lang w:val="en-GB" w:eastAsia="en-GB"/>
              </w:rPr>
              <w:t>145</w:t>
            </w:r>
          </w:p>
        </w:tc>
        <w:tc>
          <w:tcPr>
            <w:tcW w:w="0" w:type="auto"/>
            <w:shd w:val="clear" w:color="auto" w:fill="auto"/>
            <w:hideMark/>
          </w:tcPr>
          <w:p w14:paraId="5455D079" w14:textId="77777777" w:rsidR="00F471F5" w:rsidRPr="000B4E2C" w:rsidRDefault="00F471F5" w:rsidP="00F471F5">
            <w:pPr>
              <w:rPr>
                <w:color w:val="000000"/>
                <w:sz w:val="18"/>
                <w:szCs w:val="18"/>
                <w:lang w:val="en-GB" w:eastAsia="en-GB"/>
              </w:rPr>
            </w:pPr>
            <w:r w:rsidRPr="000B4E2C">
              <w:rPr>
                <w:sz w:val="18"/>
                <w:szCs w:val="18"/>
                <w:lang w:val="en-GB" w:eastAsia="en-GB"/>
              </w:rPr>
              <w:t>54</w:t>
            </w:r>
          </w:p>
        </w:tc>
        <w:tc>
          <w:tcPr>
            <w:tcW w:w="0" w:type="auto"/>
            <w:shd w:val="clear" w:color="auto" w:fill="auto"/>
            <w:hideMark/>
          </w:tcPr>
          <w:p w14:paraId="7B2B8A72" w14:textId="77777777" w:rsidR="00F471F5" w:rsidRPr="000B4E2C" w:rsidRDefault="00F471F5" w:rsidP="00F471F5">
            <w:pPr>
              <w:rPr>
                <w:color w:val="000000"/>
                <w:sz w:val="18"/>
                <w:szCs w:val="18"/>
                <w:lang w:val="en-GB" w:eastAsia="en-GB"/>
              </w:rPr>
            </w:pPr>
            <w:r w:rsidRPr="000B4E2C">
              <w:rPr>
                <w:sz w:val="18"/>
                <w:szCs w:val="18"/>
                <w:lang w:val="en-GB" w:eastAsia="en-GB"/>
              </w:rPr>
              <w:t>AKIN</w:t>
            </w:r>
          </w:p>
        </w:tc>
        <w:tc>
          <w:tcPr>
            <w:tcW w:w="0" w:type="auto"/>
            <w:shd w:val="clear" w:color="auto" w:fill="auto"/>
            <w:hideMark/>
          </w:tcPr>
          <w:p w14:paraId="506B251C" w14:textId="77777777" w:rsidR="00F471F5" w:rsidRPr="000B4E2C" w:rsidRDefault="00F471F5" w:rsidP="00F471F5">
            <w:pPr>
              <w:rPr>
                <w:sz w:val="18"/>
                <w:szCs w:val="18"/>
                <w:lang w:val="en-GB" w:eastAsia="en-GB"/>
              </w:rPr>
            </w:pPr>
            <w:r w:rsidRPr="000B4E2C">
              <w:rPr>
                <w:sz w:val="18"/>
                <w:szCs w:val="18"/>
                <w:lang w:val="en-GB" w:eastAsia="en-GB"/>
              </w:rPr>
              <w:t>AKI:</w:t>
            </w:r>
          </w:p>
          <w:p w14:paraId="74D26AFA" w14:textId="77777777" w:rsidR="000B4E2C" w:rsidRPr="000B4E2C" w:rsidRDefault="00F471F5" w:rsidP="00F471F5">
            <w:pPr>
              <w:rPr>
                <w:sz w:val="18"/>
                <w:szCs w:val="18"/>
                <w:lang w:val="en-GB" w:eastAsia="en-GB"/>
              </w:rPr>
            </w:pPr>
            <w:r w:rsidRPr="000B4E2C">
              <w:rPr>
                <w:sz w:val="18"/>
                <w:szCs w:val="18"/>
                <w:lang w:val="en-GB" w:eastAsia="en-GB"/>
              </w:rPr>
              <w:t>61%;</w:t>
            </w:r>
          </w:p>
          <w:p w14:paraId="5104B2EF" w14:textId="1E99294E" w:rsidR="00F471F5" w:rsidRPr="000B4E2C" w:rsidRDefault="00F471F5" w:rsidP="00F471F5">
            <w:pPr>
              <w:rPr>
                <w:sz w:val="18"/>
                <w:szCs w:val="18"/>
                <w:lang w:val="en-GB" w:eastAsia="en-GB"/>
              </w:rPr>
            </w:pPr>
            <w:r w:rsidRPr="000B4E2C">
              <w:rPr>
                <w:sz w:val="18"/>
                <w:szCs w:val="18"/>
                <w:lang w:val="en-GB" w:eastAsia="en-GB"/>
              </w:rPr>
              <w:t>No AKI:</w:t>
            </w:r>
          </w:p>
          <w:p w14:paraId="3C515F9A" w14:textId="77777777" w:rsidR="00F471F5" w:rsidRPr="000B4E2C" w:rsidRDefault="00F471F5" w:rsidP="00F471F5">
            <w:pPr>
              <w:rPr>
                <w:color w:val="000000"/>
                <w:sz w:val="18"/>
                <w:szCs w:val="18"/>
                <w:lang w:val="en-GB" w:eastAsia="en-GB"/>
              </w:rPr>
            </w:pPr>
            <w:r w:rsidRPr="000B4E2C">
              <w:rPr>
                <w:sz w:val="18"/>
                <w:szCs w:val="18"/>
                <w:lang w:val="en-GB" w:eastAsia="en-GB"/>
              </w:rPr>
              <w:t>57%</w:t>
            </w:r>
          </w:p>
        </w:tc>
        <w:tc>
          <w:tcPr>
            <w:tcW w:w="0" w:type="auto"/>
            <w:shd w:val="clear" w:color="auto" w:fill="auto"/>
            <w:hideMark/>
          </w:tcPr>
          <w:p w14:paraId="18CD7C8D"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1E2FEC64"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2F8C7087"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39C5A75C"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EB256BA" w14:textId="77777777" w:rsidR="00F471F5" w:rsidRPr="000B4E2C" w:rsidRDefault="00F471F5" w:rsidP="00F471F5">
            <w:pPr>
              <w:rPr>
                <w:color w:val="000000"/>
                <w:sz w:val="18"/>
                <w:szCs w:val="18"/>
                <w:lang w:val="en-GB" w:eastAsia="en-GB"/>
              </w:rPr>
            </w:pPr>
            <w:r w:rsidRPr="000B4E2C">
              <w:rPr>
                <w:sz w:val="18"/>
                <w:szCs w:val="18"/>
                <w:lang w:val="en-GB" w:eastAsia="en-GB"/>
              </w:rPr>
              <w:t>adult patients older than 18 years who were admitted to the medical or surgical ICU</w:t>
            </w:r>
          </w:p>
        </w:tc>
        <w:tc>
          <w:tcPr>
            <w:tcW w:w="0" w:type="auto"/>
            <w:shd w:val="clear" w:color="auto" w:fill="auto"/>
            <w:hideMark/>
          </w:tcPr>
          <w:p w14:paraId="4AB60366" w14:textId="3C7311A0" w:rsidR="00F471F5" w:rsidRPr="000B4E2C" w:rsidRDefault="00F471F5" w:rsidP="00F471F5">
            <w:pPr>
              <w:rPr>
                <w:sz w:val="18"/>
                <w:szCs w:val="18"/>
                <w:lang w:val="en-GB" w:eastAsia="en-GB"/>
              </w:rPr>
            </w:pPr>
            <w:r w:rsidRPr="000B4E2C">
              <w:rPr>
                <w:sz w:val="18"/>
                <w:szCs w:val="18"/>
                <w:lang w:val="en-GB" w:eastAsia="en-GB"/>
              </w:rPr>
              <w:t xml:space="preserve">end-stage renal disease or kidney transplantation and those with life expectancy of </w:t>
            </w:r>
            <w:r w:rsidR="000B4E2C" w:rsidRPr="000B4E2C">
              <w:rPr>
                <w:color w:val="00B0F0"/>
                <w:sz w:val="18"/>
                <w:szCs w:val="18"/>
                <w:lang w:val="en-GB" w:eastAsia="en-GB"/>
              </w:rPr>
              <w:t>&lt;</w:t>
            </w:r>
            <w:r w:rsidR="000B4E2C" w:rsidRPr="000B4E2C">
              <w:rPr>
                <w:color w:val="00B0F0"/>
                <w:sz w:val="18"/>
                <w:szCs w:val="18"/>
                <w:lang w:val="en-GB" w:eastAsia="en-GB"/>
              </w:rPr>
              <w:t> </w:t>
            </w:r>
            <w:r w:rsidRPr="000B4E2C">
              <w:rPr>
                <w:sz w:val="18"/>
                <w:szCs w:val="18"/>
                <w:lang w:val="en-GB" w:eastAsia="en-GB"/>
              </w:rPr>
              <w:t>48 hr</w:t>
            </w:r>
          </w:p>
        </w:tc>
      </w:tr>
      <w:tr w:rsidR="000B4E2C" w:rsidRPr="000B4E2C" w14:paraId="4537A257" w14:textId="77777777" w:rsidTr="000B4E2C">
        <w:trPr>
          <w:cantSplit/>
        </w:trPr>
        <w:tc>
          <w:tcPr>
            <w:tcW w:w="0" w:type="auto"/>
            <w:shd w:val="clear" w:color="auto" w:fill="auto"/>
            <w:hideMark/>
          </w:tcPr>
          <w:p w14:paraId="66B861B1" w14:textId="2D392349" w:rsidR="00F471F5" w:rsidRPr="000B4E2C" w:rsidRDefault="00F471F5" w:rsidP="00F471F5">
            <w:pPr>
              <w:rPr>
                <w:color w:val="000000"/>
                <w:sz w:val="18"/>
                <w:szCs w:val="18"/>
                <w:lang w:val="en-GB" w:eastAsia="en-GB"/>
              </w:rPr>
            </w:pPr>
            <w:r w:rsidRPr="000B4E2C">
              <w:rPr>
                <w:sz w:val="18"/>
                <w:szCs w:val="18"/>
                <w:lang w:val="en-GB" w:eastAsia="en-GB"/>
              </w:rPr>
              <w:lastRenderedPageBreak/>
              <w:t>Pipili 2014,</w:t>
            </w:r>
            <w:r w:rsidRPr="000B4E2C">
              <w:rPr>
                <w:sz w:val="18"/>
                <w:szCs w:val="18"/>
                <w:vertAlign w:val="superscript"/>
                <w:lang w:val="en-GB" w:eastAsia="en-GB"/>
              </w:rPr>
              <w:t>60</w:t>
            </w:r>
            <w:r w:rsidRPr="000B4E2C">
              <w:rPr>
                <w:sz w:val="18"/>
                <w:szCs w:val="18"/>
                <w:lang w:val="en-GB" w:eastAsia="en-GB"/>
              </w:rPr>
              <w:t xml:space="preserve"> Greece</w:t>
            </w:r>
          </w:p>
        </w:tc>
        <w:tc>
          <w:tcPr>
            <w:tcW w:w="0" w:type="auto"/>
            <w:shd w:val="clear" w:color="auto" w:fill="auto"/>
            <w:hideMark/>
          </w:tcPr>
          <w:p w14:paraId="4A88A2FC"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76E175A9" w14:textId="77777777" w:rsidR="00F471F5" w:rsidRPr="000B4E2C" w:rsidRDefault="00F471F5" w:rsidP="00F471F5">
            <w:pPr>
              <w:rPr>
                <w:sz w:val="18"/>
                <w:szCs w:val="18"/>
                <w:lang w:val="en-GB" w:eastAsia="en-GB"/>
              </w:rPr>
            </w:pPr>
            <w:r w:rsidRPr="000B4E2C">
              <w:rPr>
                <w:sz w:val="18"/>
                <w:szCs w:val="18"/>
                <w:lang w:val="en-GB" w:eastAsia="en-GB"/>
              </w:rPr>
              <w:t>64</w:t>
            </w:r>
          </w:p>
          <w:p w14:paraId="426BC59D" w14:textId="77777777" w:rsidR="00F471F5" w:rsidRPr="000B4E2C" w:rsidRDefault="00F471F5" w:rsidP="00F471F5">
            <w:pPr>
              <w:rPr>
                <w:color w:val="000000"/>
                <w:sz w:val="18"/>
                <w:szCs w:val="18"/>
                <w:lang w:val="en-GB" w:eastAsia="en-GB"/>
              </w:rPr>
            </w:pPr>
            <w:r w:rsidRPr="000B4E2C">
              <w:rPr>
                <w:sz w:val="18"/>
                <w:szCs w:val="18"/>
                <w:lang w:val="en-GB" w:eastAsia="en-GB"/>
              </w:rPr>
              <w:t xml:space="preserve">(18) </w:t>
            </w:r>
          </w:p>
        </w:tc>
        <w:tc>
          <w:tcPr>
            <w:tcW w:w="0" w:type="auto"/>
            <w:shd w:val="clear" w:color="auto" w:fill="auto"/>
            <w:hideMark/>
          </w:tcPr>
          <w:p w14:paraId="3B88DD32" w14:textId="77777777" w:rsidR="00F471F5" w:rsidRPr="000B4E2C" w:rsidRDefault="00F471F5" w:rsidP="00F471F5">
            <w:pPr>
              <w:rPr>
                <w:color w:val="000000"/>
                <w:sz w:val="18"/>
                <w:szCs w:val="18"/>
                <w:lang w:val="en-GB" w:eastAsia="en-GB"/>
              </w:rPr>
            </w:pPr>
            <w:r w:rsidRPr="000B4E2C">
              <w:rPr>
                <w:sz w:val="18"/>
                <w:szCs w:val="18"/>
                <w:lang w:val="en-GB" w:eastAsia="en-GB"/>
              </w:rPr>
              <w:t>106</w:t>
            </w:r>
          </w:p>
        </w:tc>
        <w:tc>
          <w:tcPr>
            <w:tcW w:w="0" w:type="auto"/>
            <w:shd w:val="clear" w:color="auto" w:fill="auto"/>
            <w:hideMark/>
          </w:tcPr>
          <w:p w14:paraId="0C9A93BF" w14:textId="77777777" w:rsidR="00F471F5" w:rsidRPr="000B4E2C" w:rsidRDefault="00F471F5" w:rsidP="00F471F5">
            <w:pPr>
              <w:rPr>
                <w:color w:val="000000"/>
                <w:sz w:val="18"/>
                <w:szCs w:val="18"/>
                <w:lang w:val="en-GB" w:eastAsia="en-GB"/>
              </w:rPr>
            </w:pPr>
            <w:r w:rsidRPr="000B4E2C">
              <w:rPr>
                <w:sz w:val="18"/>
                <w:szCs w:val="18"/>
                <w:lang w:val="en-GB" w:eastAsia="en-GB"/>
              </w:rPr>
              <w:t>44</w:t>
            </w:r>
          </w:p>
        </w:tc>
        <w:tc>
          <w:tcPr>
            <w:tcW w:w="0" w:type="auto"/>
            <w:shd w:val="clear" w:color="auto" w:fill="auto"/>
            <w:hideMark/>
          </w:tcPr>
          <w:p w14:paraId="2122ABEE" w14:textId="77777777" w:rsidR="00F471F5" w:rsidRPr="000B4E2C" w:rsidRDefault="00F471F5" w:rsidP="00F471F5">
            <w:pPr>
              <w:rPr>
                <w:color w:val="000000"/>
                <w:sz w:val="18"/>
                <w:szCs w:val="18"/>
                <w:lang w:val="en-GB" w:eastAsia="en-GB"/>
              </w:rPr>
            </w:pPr>
            <w:r w:rsidRPr="000B4E2C">
              <w:rPr>
                <w:sz w:val="18"/>
                <w:szCs w:val="18"/>
                <w:lang w:val="en-GB" w:eastAsia="en-GB"/>
              </w:rPr>
              <w:t>RIFLE</w:t>
            </w:r>
          </w:p>
        </w:tc>
        <w:tc>
          <w:tcPr>
            <w:tcW w:w="0" w:type="auto"/>
            <w:shd w:val="clear" w:color="auto" w:fill="auto"/>
            <w:hideMark/>
          </w:tcPr>
          <w:p w14:paraId="4A2A7D03" w14:textId="77777777" w:rsidR="00F471F5" w:rsidRPr="000B4E2C" w:rsidRDefault="00F471F5" w:rsidP="00F471F5">
            <w:pPr>
              <w:rPr>
                <w:color w:val="000000"/>
                <w:sz w:val="18"/>
                <w:szCs w:val="18"/>
                <w:lang w:val="en-GB" w:eastAsia="en-GB"/>
              </w:rPr>
            </w:pPr>
            <w:r w:rsidRPr="000B4E2C">
              <w:rPr>
                <w:sz w:val="18"/>
                <w:szCs w:val="18"/>
                <w:lang w:val="en-GB" w:eastAsia="en-GB"/>
              </w:rPr>
              <w:t>64%</w:t>
            </w:r>
          </w:p>
        </w:tc>
        <w:tc>
          <w:tcPr>
            <w:tcW w:w="0" w:type="auto"/>
            <w:shd w:val="clear" w:color="auto" w:fill="auto"/>
            <w:hideMark/>
          </w:tcPr>
          <w:p w14:paraId="5B0AB4BB" w14:textId="77777777" w:rsidR="00F471F5" w:rsidRPr="000B4E2C" w:rsidRDefault="00F471F5" w:rsidP="00F471F5">
            <w:pPr>
              <w:rPr>
                <w:sz w:val="18"/>
                <w:szCs w:val="18"/>
                <w:lang w:val="en-GB" w:eastAsia="en-GB"/>
              </w:rPr>
            </w:pPr>
            <w:r w:rsidRPr="000B4E2C">
              <w:rPr>
                <w:sz w:val="18"/>
                <w:szCs w:val="18"/>
                <w:lang w:val="en-GB" w:eastAsia="en-GB"/>
              </w:rPr>
              <w:t>1.0 mg/dL</w:t>
            </w:r>
          </w:p>
          <w:p w14:paraId="44C43F34" w14:textId="77777777" w:rsidR="00F471F5" w:rsidRPr="000B4E2C" w:rsidRDefault="00F471F5" w:rsidP="00F471F5">
            <w:pPr>
              <w:rPr>
                <w:color w:val="000000"/>
                <w:sz w:val="18"/>
                <w:szCs w:val="18"/>
                <w:lang w:val="en-GB" w:eastAsia="en-GB"/>
              </w:rPr>
            </w:pPr>
            <w:r w:rsidRPr="000B4E2C">
              <w:rPr>
                <w:sz w:val="18"/>
                <w:szCs w:val="18"/>
                <w:lang w:val="en-GB" w:eastAsia="en-GB"/>
              </w:rPr>
              <w:t>(SD 1.3)</w:t>
            </w:r>
          </w:p>
        </w:tc>
        <w:tc>
          <w:tcPr>
            <w:tcW w:w="0" w:type="auto"/>
            <w:shd w:val="clear" w:color="auto" w:fill="auto"/>
            <w:noWrap/>
            <w:hideMark/>
          </w:tcPr>
          <w:p w14:paraId="37B97C7E"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1F4DE67B" w14:textId="77777777" w:rsidR="000B4E2C" w:rsidRPr="000B4E2C" w:rsidRDefault="00F471F5" w:rsidP="00F471F5">
            <w:pPr>
              <w:rPr>
                <w:sz w:val="18"/>
                <w:szCs w:val="18"/>
                <w:lang w:val="en-GB" w:eastAsia="en-GB"/>
              </w:rPr>
            </w:pPr>
            <w:r w:rsidRPr="000B4E2C">
              <w:rPr>
                <w:sz w:val="18"/>
                <w:szCs w:val="18"/>
                <w:lang w:val="en-GB" w:eastAsia="en-GB"/>
              </w:rPr>
              <w:t>9</w:t>
            </w:r>
          </w:p>
          <w:p w14:paraId="5DF82219" w14:textId="475EEA43" w:rsidR="00F471F5" w:rsidRPr="000B4E2C" w:rsidRDefault="00F471F5" w:rsidP="00F471F5">
            <w:pPr>
              <w:rPr>
                <w:color w:val="000000"/>
                <w:sz w:val="18"/>
                <w:szCs w:val="18"/>
                <w:lang w:val="en-GB" w:eastAsia="en-GB"/>
              </w:rPr>
            </w:pPr>
            <w:r w:rsidRPr="000B4E2C">
              <w:rPr>
                <w:sz w:val="18"/>
                <w:szCs w:val="18"/>
                <w:lang w:val="en-GB" w:eastAsia="en-GB"/>
              </w:rPr>
              <w:t>(3)</w:t>
            </w:r>
          </w:p>
        </w:tc>
        <w:tc>
          <w:tcPr>
            <w:tcW w:w="0" w:type="auto"/>
            <w:shd w:val="clear" w:color="auto" w:fill="auto"/>
            <w:hideMark/>
          </w:tcPr>
          <w:p w14:paraId="1340FBD7"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3F0A2A04" w14:textId="77777777" w:rsidR="00F471F5" w:rsidRPr="000B4E2C" w:rsidRDefault="00F471F5" w:rsidP="00F471F5">
            <w:pPr>
              <w:rPr>
                <w:color w:val="000000"/>
                <w:sz w:val="18"/>
                <w:szCs w:val="18"/>
                <w:lang w:val="en-GB" w:eastAsia="en-GB"/>
              </w:rPr>
            </w:pPr>
            <w:r w:rsidRPr="000B4E2C">
              <w:rPr>
                <w:sz w:val="18"/>
                <w:szCs w:val="18"/>
                <w:lang w:val="en-GB" w:eastAsia="en-GB"/>
              </w:rPr>
              <w:t>All consecutive, mechanically ventilated patients admitted to the ICU were considered eligible for inclusion</w:t>
            </w:r>
          </w:p>
        </w:tc>
        <w:tc>
          <w:tcPr>
            <w:tcW w:w="0" w:type="auto"/>
            <w:shd w:val="clear" w:color="auto" w:fill="auto"/>
            <w:hideMark/>
          </w:tcPr>
          <w:p w14:paraId="03FABD2A" w14:textId="38627423" w:rsidR="00F471F5" w:rsidRPr="000B4E2C" w:rsidRDefault="00F471F5" w:rsidP="00F471F5">
            <w:pPr>
              <w:rPr>
                <w:sz w:val="18"/>
                <w:szCs w:val="18"/>
                <w:lang w:val="en-GB" w:eastAsia="en-GB"/>
              </w:rPr>
            </w:pPr>
            <w:r w:rsidRPr="000B4E2C">
              <w:rPr>
                <w:sz w:val="18"/>
                <w:szCs w:val="18"/>
                <w:lang w:val="en-GB" w:eastAsia="en-GB"/>
              </w:rPr>
              <w:t xml:space="preserve">Age </w:t>
            </w:r>
            <w:r w:rsidR="000B4E2C" w:rsidRPr="000B4E2C">
              <w:rPr>
                <w:color w:val="00B0F0"/>
                <w:sz w:val="18"/>
                <w:szCs w:val="18"/>
                <w:lang w:val="en-GB" w:eastAsia="en-GB"/>
              </w:rPr>
              <w:t>&lt;</w:t>
            </w:r>
            <w:r w:rsidR="000B4E2C" w:rsidRPr="000B4E2C">
              <w:rPr>
                <w:color w:val="00B0F0"/>
                <w:sz w:val="18"/>
                <w:szCs w:val="18"/>
                <w:lang w:val="en-GB" w:eastAsia="en-GB"/>
              </w:rPr>
              <w:t> </w:t>
            </w:r>
            <w:r w:rsidR="000B4E2C" w:rsidRPr="000B4E2C">
              <w:rPr>
                <w:color w:val="00B0F0"/>
                <w:sz w:val="18"/>
                <w:szCs w:val="18"/>
                <w:lang w:val="en-GB" w:eastAsia="en-GB"/>
              </w:rPr>
              <w:t>1</w:t>
            </w:r>
            <w:r w:rsidRPr="000B4E2C">
              <w:rPr>
                <w:sz w:val="18"/>
                <w:szCs w:val="18"/>
                <w:lang w:val="en-GB" w:eastAsia="en-GB"/>
              </w:rPr>
              <w:t>8 years, BMI more than 35 kg/m</w:t>
            </w:r>
            <w:r w:rsidRPr="000B4E2C">
              <w:rPr>
                <w:sz w:val="18"/>
                <w:szCs w:val="18"/>
                <w:vertAlign w:val="superscript"/>
                <w:lang w:val="en-GB" w:eastAsia="en-GB"/>
              </w:rPr>
              <w:t>2</w:t>
            </w:r>
            <w:r w:rsidRPr="000B4E2C">
              <w:rPr>
                <w:sz w:val="18"/>
                <w:szCs w:val="18"/>
                <w:lang w:val="en-GB" w:eastAsia="en-GB"/>
              </w:rPr>
              <w:t>, end-stage renal disease on chronic haemodialysis, pregnancy, brain death, metastatic cancer and readmission to ICU or missing baseline creatinine within 6 months before admission</w:t>
            </w:r>
          </w:p>
        </w:tc>
      </w:tr>
      <w:tr w:rsidR="000B4E2C" w:rsidRPr="000B4E2C" w14:paraId="1520DC3B" w14:textId="77777777" w:rsidTr="000B4E2C">
        <w:trPr>
          <w:cantSplit/>
        </w:trPr>
        <w:tc>
          <w:tcPr>
            <w:tcW w:w="0" w:type="auto"/>
            <w:shd w:val="clear" w:color="auto" w:fill="auto"/>
            <w:hideMark/>
          </w:tcPr>
          <w:p w14:paraId="025BB249" w14:textId="3804BC85" w:rsidR="00F471F5" w:rsidRPr="000B4E2C" w:rsidRDefault="00F471F5" w:rsidP="00F471F5">
            <w:pPr>
              <w:rPr>
                <w:color w:val="000000"/>
                <w:sz w:val="18"/>
                <w:szCs w:val="18"/>
                <w:lang w:val="en-GB" w:eastAsia="en-GB"/>
              </w:rPr>
            </w:pPr>
            <w:r w:rsidRPr="000B4E2C">
              <w:rPr>
                <w:sz w:val="18"/>
                <w:szCs w:val="18"/>
                <w:lang w:val="en-GB" w:eastAsia="en-GB"/>
              </w:rPr>
              <w:t>Martensson 2015,</w:t>
            </w:r>
            <w:r w:rsidRPr="000B4E2C">
              <w:rPr>
                <w:sz w:val="18"/>
                <w:szCs w:val="18"/>
                <w:vertAlign w:val="superscript"/>
                <w:lang w:val="en-GB" w:eastAsia="en-GB"/>
              </w:rPr>
              <w:t>57</w:t>
            </w:r>
            <w:r w:rsidRPr="000B4E2C">
              <w:rPr>
                <w:sz w:val="18"/>
                <w:szCs w:val="18"/>
                <w:lang w:val="en-GB" w:eastAsia="en-GB"/>
              </w:rPr>
              <w:t xml:space="preserve"> Australia</w:t>
            </w:r>
          </w:p>
        </w:tc>
        <w:tc>
          <w:tcPr>
            <w:tcW w:w="0" w:type="auto"/>
            <w:shd w:val="clear" w:color="auto" w:fill="auto"/>
            <w:hideMark/>
          </w:tcPr>
          <w:p w14:paraId="12D3435C"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4DCBD3AD" w14:textId="77777777" w:rsidR="00F471F5" w:rsidRPr="000B4E2C" w:rsidRDefault="00F471F5" w:rsidP="00F471F5">
            <w:pPr>
              <w:rPr>
                <w:sz w:val="18"/>
                <w:szCs w:val="18"/>
                <w:lang w:val="en-GB" w:eastAsia="en-GB"/>
              </w:rPr>
            </w:pPr>
            <w:r w:rsidRPr="000B4E2C">
              <w:rPr>
                <w:sz w:val="18"/>
                <w:szCs w:val="18"/>
                <w:lang w:val="en-GB" w:eastAsia="en-GB"/>
              </w:rPr>
              <w:t>Mild</w:t>
            </w:r>
          </w:p>
          <w:p w14:paraId="4859E48E" w14:textId="77777777" w:rsidR="000B4E2C" w:rsidRPr="000B4E2C" w:rsidRDefault="00F471F5" w:rsidP="00F471F5">
            <w:pPr>
              <w:rPr>
                <w:sz w:val="18"/>
                <w:szCs w:val="18"/>
                <w:lang w:val="en-GB" w:eastAsia="en-GB"/>
              </w:rPr>
            </w:pPr>
            <w:r w:rsidRPr="000B4E2C">
              <w:rPr>
                <w:sz w:val="18"/>
                <w:szCs w:val="18"/>
                <w:lang w:val="en-GB" w:eastAsia="en-GB"/>
              </w:rPr>
              <w:t>AKI</w:t>
            </w:r>
          </w:p>
          <w:p w14:paraId="3587F516" w14:textId="0A8FC3DE" w:rsidR="00F471F5" w:rsidRPr="000B4E2C" w:rsidRDefault="00F471F5" w:rsidP="00F471F5">
            <w:pPr>
              <w:rPr>
                <w:sz w:val="18"/>
                <w:szCs w:val="18"/>
                <w:lang w:val="en-GB" w:eastAsia="en-GB"/>
              </w:rPr>
            </w:pPr>
            <w:r w:rsidRPr="000B4E2C">
              <w:rPr>
                <w:sz w:val="18"/>
                <w:szCs w:val="18"/>
                <w:lang w:val="en-GB" w:eastAsia="en-GB"/>
              </w:rPr>
              <w:t>69</w:t>
            </w:r>
          </w:p>
          <w:p w14:paraId="3BD21AEB" w14:textId="77777777" w:rsidR="00F471F5" w:rsidRPr="000B4E2C" w:rsidRDefault="00F471F5" w:rsidP="00F471F5">
            <w:pPr>
              <w:rPr>
                <w:sz w:val="18"/>
                <w:szCs w:val="18"/>
                <w:lang w:val="en-GB" w:eastAsia="en-GB"/>
              </w:rPr>
            </w:pPr>
            <w:r w:rsidRPr="000B4E2C">
              <w:rPr>
                <w:sz w:val="18"/>
                <w:szCs w:val="18"/>
                <w:lang w:val="en-GB" w:eastAsia="en-GB"/>
              </w:rPr>
              <w:t>(59,74)</w:t>
            </w:r>
          </w:p>
          <w:p w14:paraId="4DCD19BA" w14:textId="77777777" w:rsidR="000B4E2C" w:rsidRPr="000B4E2C" w:rsidRDefault="00F471F5" w:rsidP="00F471F5">
            <w:pPr>
              <w:rPr>
                <w:sz w:val="18"/>
                <w:szCs w:val="18"/>
                <w:lang w:val="en-GB" w:eastAsia="en-GB"/>
              </w:rPr>
            </w:pPr>
            <w:r w:rsidRPr="000B4E2C">
              <w:rPr>
                <w:sz w:val="18"/>
                <w:szCs w:val="18"/>
                <w:lang w:val="en-GB" w:eastAsia="en-GB"/>
              </w:rPr>
              <w:t>Severe</w:t>
            </w:r>
          </w:p>
          <w:p w14:paraId="18AF8680" w14:textId="3BA1EB4F" w:rsidR="00F471F5" w:rsidRPr="000B4E2C" w:rsidRDefault="00F471F5" w:rsidP="00F471F5">
            <w:pPr>
              <w:rPr>
                <w:sz w:val="18"/>
                <w:szCs w:val="18"/>
                <w:lang w:val="en-GB" w:eastAsia="en-GB"/>
              </w:rPr>
            </w:pPr>
            <w:r w:rsidRPr="000B4E2C">
              <w:rPr>
                <w:sz w:val="18"/>
                <w:szCs w:val="18"/>
                <w:lang w:val="en-GB" w:eastAsia="en-GB"/>
              </w:rPr>
              <w:t>AKI</w:t>
            </w:r>
          </w:p>
          <w:p w14:paraId="20C79586" w14:textId="77777777" w:rsidR="00F471F5" w:rsidRPr="000B4E2C" w:rsidRDefault="00F471F5" w:rsidP="00F471F5">
            <w:pPr>
              <w:rPr>
                <w:sz w:val="18"/>
                <w:szCs w:val="18"/>
                <w:lang w:val="en-GB" w:eastAsia="en-GB"/>
              </w:rPr>
            </w:pPr>
            <w:r w:rsidRPr="000B4E2C">
              <w:rPr>
                <w:sz w:val="18"/>
                <w:szCs w:val="18"/>
                <w:lang w:val="en-GB" w:eastAsia="en-GB"/>
              </w:rPr>
              <w:t>68</w:t>
            </w:r>
          </w:p>
          <w:p w14:paraId="23BFF1ED" w14:textId="77777777" w:rsidR="00F471F5" w:rsidRPr="000B4E2C" w:rsidRDefault="00F471F5" w:rsidP="00F471F5">
            <w:pPr>
              <w:rPr>
                <w:sz w:val="18"/>
                <w:szCs w:val="18"/>
                <w:lang w:val="en-GB" w:eastAsia="en-GB"/>
              </w:rPr>
            </w:pPr>
            <w:r w:rsidRPr="000B4E2C">
              <w:rPr>
                <w:sz w:val="18"/>
                <w:szCs w:val="18"/>
                <w:lang w:val="en-GB" w:eastAsia="en-GB"/>
              </w:rPr>
              <w:t>(54,76)</w:t>
            </w:r>
          </w:p>
          <w:p w14:paraId="15B0C613" w14:textId="77777777" w:rsidR="00F471F5" w:rsidRPr="000B4E2C" w:rsidRDefault="00F471F5" w:rsidP="00F471F5">
            <w:pPr>
              <w:rPr>
                <w:sz w:val="18"/>
                <w:szCs w:val="18"/>
                <w:lang w:val="en-GB" w:eastAsia="en-GB"/>
              </w:rPr>
            </w:pPr>
            <w:r w:rsidRPr="000B4E2C">
              <w:rPr>
                <w:sz w:val="18"/>
                <w:szCs w:val="18"/>
                <w:lang w:val="en-GB" w:eastAsia="en-GB"/>
              </w:rPr>
              <w:t>No AKI</w:t>
            </w:r>
          </w:p>
          <w:p w14:paraId="39AB8A7D" w14:textId="77777777" w:rsidR="00F471F5" w:rsidRPr="000B4E2C" w:rsidRDefault="00F471F5" w:rsidP="00F471F5">
            <w:pPr>
              <w:rPr>
                <w:sz w:val="18"/>
                <w:szCs w:val="18"/>
                <w:lang w:val="en-GB" w:eastAsia="en-GB"/>
              </w:rPr>
            </w:pPr>
            <w:r w:rsidRPr="000B4E2C">
              <w:rPr>
                <w:sz w:val="18"/>
                <w:szCs w:val="18"/>
                <w:lang w:val="en-GB" w:eastAsia="en-GB"/>
              </w:rPr>
              <w:t>62</w:t>
            </w:r>
          </w:p>
          <w:p w14:paraId="04ECB11C" w14:textId="77777777" w:rsidR="00F471F5" w:rsidRPr="000B4E2C" w:rsidRDefault="00F471F5" w:rsidP="00F471F5">
            <w:pPr>
              <w:rPr>
                <w:color w:val="000000"/>
                <w:sz w:val="18"/>
                <w:szCs w:val="18"/>
                <w:lang w:val="en-GB" w:eastAsia="en-GB"/>
              </w:rPr>
            </w:pPr>
            <w:r w:rsidRPr="000B4E2C">
              <w:rPr>
                <w:sz w:val="18"/>
                <w:szCs w:val="18"/>
                <w:lang w:val="en-GB" w:eastAsia="en-GB"/>
              </w:rPr>
              <w:t>(48,72)</w:t>
            </w:r>
          </w:p>
        </w:tc>
        <w:tc>
          <w:tcPr>
            <w:tcW w:w="0" w:type="auto"/>
            <w:shd w:val="clear" w:color="auto" w:fill="auto"/>
            <w:hideMark/>
          </w:tcPr>
          <w:p w14:paraId="07532E88" w14:textId="77777777" w:rsidR="00F471F5" w:rsidRPr="000B4E2C" w:rsidRDefault="00F471F5" w:rsidP="00F471F5">
            <w:pPr>
              <w:rPr>
                <w:color w:val="000000"/>
                <w:sz w:val="18"/>
                <w:szCs w:val="18"/>
                <w:lang w:val="en-GB" w:eastAsia="en-GB"/>
              </w:rPr>
            </w:pPr>
            <w:r w:rsidRPr="000B4E2C">
              <w:rPr>
                <w:sz w:val="18"/>
                <w:szCs w:val="18"/>
                <w:lang w:val="en-GB" w:eastAsia="en-GB"/>
              </w:rPr>
              <w:t>102</w:t>
            </w:r>
          </w:p>
        </w:tc>
        <w:tc>
          <w:tcPr>
            <w:tcW w:w="0" w:type="auto"/>
            <w:shd w:val="clear" w:color="auto" w:fill="auto"/>
            <w:hideMark/>
          </w:tcPr>
          <w:p w14:paraId="1D2CC318" w14:textId="77777777" w:rsidR="00F471F5" w:rsidRPr="000B4E2C" w:rsidRDefault="00F471F5" w:rsidP="00F471F5">
            <w:pPr>
              <w:rPr>
                <w:color w:val="000000"/>
                <w:sz w:val="18"/>
                <w:szCs w:val="18"/>
                <w:lang w:val="en-GB" w:eastAsia="en-GB"/>
              </w:rPr>
            </w:pPr>
            <w:r w:rsidRPr="000B4E2C">
              <w:rPr>
                <w:sz w:val="18"/>
                <w:szCs w:val="18"/>
                <w:lang w:val="en-GB" w:eastAsia="en-GB"/>
              </w:rPr>
              <w:t>28</w:t>
            </w:r>
          </w:p>
        </w:tc>
        <w:tc>
          <w:tcPr>
            <w:tcW w:w="0" w:type="auto"/>
            <w:shd w:val="clear" w:color="auto" w:fill="auto"/>
            <w:hideMark/>
          </w:tcPr>
          <w:p w14:paraId="59451F39" w14:textId="77777777" w:rsidR="00F471F5" w:rsidRPr="000B4E2C" w:rsidRDefault="00F471F5" w:rsidP="00F471F5">
            <w:pPr>
              <w:rPr>
                <w:color w:val="000000"/>
                <w:sz w:val="18"/>
                <w:szCs w:val="18"/>
                <w:lang w:val="en-GB" w:eastAsia="en-GB"/>
              </w:rPr>
            </w:pPr>
            <w:r w:rsidRPr="000B4E2C">
              <w:rPr>
                <w:sz w:val="18"/>
                <w:szCs w:val="18"/>
                <w:lang w:val="en-GB" w:eastAsia="en-GB"/>
              </w:rPr>
              <w:t>RIFLE</w:t>
            </w:r>
          </w:p>
        </w:tc>
        <w:tc>
          <w:tcPr>
            <w:tcW w:w="0" w:type="auto"/>
            <w:shd w:val="clear" w:color="auto" w:fill="auto"/>
            <w:hideMark/>
          </w:tcPr>
          <w:p w14:paraId="2FACE35B" w14:textId="77777777" w:rsidR="000B4E2C" w:rsidRPr="000B4E2C" w:rsidRDefault="00F471F5" w:rsidP="00F471F5">
            <w:pPr>
              <w:rPr>
                <w:sz w:val="18"/>
                <w:szCs w:val="18"/>
                <w:lang w:val="en-GB" w:eastAsia="en-GB"/>
              </w:rPr>
            </w:pPr>
            <w:r w:rsidRPr="000B4E2C">
              <w:rPr>
                <w:sz w:val="18"/>
                <w:szCs w:val="18"/>
                <w:lang w:val="en-GB" w:eastAsia="en-GB"/>
              </w:rPr>
              <w:t>Mild</w:t>
            </w:r>
          </w:p>
          <w:p w14:paraId="5FD32CED" w14:textId="5060E137" w:rsidR="00F471F5" w:rsidRPr="000B4E2C" w:rsidRDefault="00F471F5" w:rsidP="00F471F5">
            <w:pPr>
              <w:rPr>
                <w:sz w:val="18"/>
                <w:szCs w:val="18"/>
                <w:lang w:val="en-GB" w:eastAsia="en-GB"/>
              </w:rPr>
            </w:pPr>
            <w:r w:rsidRPr="000B4E2C">
              <w:rPr>
                <w:sz w:val="18"/>
                <w:szCs w:val="18"/>
                <w:lang w:val="en-GB" w:eastAsia="en-GB"/>
              </w:rPr>
              <w:t>AKI:</w:t>
            </w:r>
          </w:p>
          <w:p w14:paraId="51B0EE8B" w14:textId="77777777" w:rsidR="000B4E2C" w:rsidRPr="000B4E2C" w:rsidRDefault="00F471F5" w:rsidP="00F471F5">
            <w:pPr>
              <w:rPr>
                <w:sz w:val="18"/>
                <w:szCs w:val="18"/>
                <w:lang w:val="en-GB" w:eastAsia="en-GB"/>
              </w:rPr>
            </w:pPr>
            <w:r w:rsidRPr="000B4E2C">
              <w:rPr>
                <w:sz w:val="18"/>
                <w:szCs w:val="18"/>
                <w:lang w:val="en-GB" w:eastAsia="en-GB"/>
              </w:rPr>
              <w:t>69%</w:t>
            </w:r>
          </w:p>
          <w:p w14:paraId="22E291F7" w14:textId="169AF4E0" w:rsidR="00F471F5" w:rsidRPr="000B4E2C" w:rsidRDefault="00F471F5" w:rsidP="00F471F5">
            <w:pPr>
              <w:rPr>
                <w:sz w:val="18"/>
                <w:szCs w:val="18"/>
                <w:lang w:val="en-GB" w:eastAsia="en-GB"/>
              </w:rPr>
            </w:pPr>
            <w:r w:rsidRPr="000B4E2C">
              <w:rPr>
                <w:sz w:val="18"/>
                <w:szCs w:val="18"/>
                <w:lang w:val="en-GB" w:eastAsia="en-GB"/>
              </w:rPr>
              <w:t>Severe</w:t>
            </w:r>
          </w:p>
          <w:p w14:paraId="69066840" w14:textId="77777777" w:rsidR="00F471F5" w:rsidRPr="000B4E2C" w:rsidRDefault="00F471F5" w:rsidP="00F471F5">
            <w:pPr>
              <w:rPr>
                <w:sz w:val="18"/>
                <w:szCs w:val="18"/>
                <w:lang w:val="en-GB" w:eastAsia="en-GB"/>
              </w:rPr>
            </w:pPr>
            <w:r w:rsidRPr="000B4E2C">
              <w:rPr>
                <w:sz w:val="18"/>
                <w:szCs w:val="18"/>
                <w:lang w:val="en-GB" w:eastAsia="en-GB"/>
              </w:rPr>
              <w:t>AKI: 64%</w:t>
            </w:r>
          </w:p>
          <w:p w14:paraId="35DA4FF1" w14:textId="77777777" w:rsidR="00F471F5" w:rsidRPr="000B4E2C" w:rsidRDefault="00F471F5" w:rsidP="00F471F5">
            <w:pPr>
              <w:rPr>
                <w:sz w:val="18"/>
                <w:szCs w:val="18"/>
                <w:lang w:val="en-GB" w:eastAsia="en-GB"/>
              </w:rPr>
            </w:pPr>
            <w:r w:rsidRPr="000B4E2C">
              <w:rPr>
                <w:sz w:val="18"/>
                <w:szCs w:val="18"/>
                <w:lang w:val="en-GB" w:eastAsia="en-GB"/>
              </w:rPr>
              <w:t>No AKI:</w:t>
            </w:r>
          </w:p>
          <w:p w14:paraId="1339B196" w14:textId="77777777" w:rsidR="00F471F5" w:rsidRPr="000B4E2C" w:rsidRDefault="00F471F5" w:rsidP="00F471F5">
            <w:pPr>
              <w:rPr>
                <w:color w:val="000000"/>
                <w:sz w:val="18"/>
                <w:szCs w:val="18"/>
                <w:lang w:val="en-GB" w:eastAsia="en-GB"/>
              </w:rPr>
            </w:pPr>
            <w:r w:rsidRPr="000B4E2C">
              <w:rPr>
                <w:sz w:val="18"/>
                <w:szCs w:val="18"/>
                <w:lang w:val="en-GB" w:eastAsia="en-GB"/>
              </w:rPr>
              <w:t>42%</w:t>
            </w:r>
          </w:p>
        </w:tc>
        <w:tc>
          <w:tcPr>
            <w:tcW w:w="0" w:type="auto"/>
            <w:shd w:val="clear" w:color="auto" w:fill="auto"/>
            <w:hideMark/>
          </w:tcPr>
          <w:p w14:paraId="275E8396"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FEADEE4"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2075C305"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0C769C3"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D313A9A" w14:textId="14058C35" w:rsidR="00F471F5" w:rsidRPr="000B4E2C" w:rsidRDefault="000B4E2C" w:rsidP="00F471F5">
            <w:pPr>
              <w:rPr>
                <w:color w:val="000000"/>
                <w:sz w:val="18"/>
                <w:szCs w:val="18"/>
                <w:lang w:val="en-GB" w:eastAsia="en-GB"/>
              </w:rPr>
            </w:pPr>
            <w:r w:rsidRPr="000B4E2C">
              <w:rPr>
                <w:color w:val="00B0F0"/>
                <w:sz w:val="18"/>
                <w:szCs w:val="18"/>
                <w:lang w:val="en-GB" w:eastAsia="en-GB"/>
              </w:rPr>
              <w:t>&gt;</w:t>
            </w:r>
            <w:r w:rsidRPr="000B4E2C">
              <w:rPr>
                <w:color w:val="00B0F0"/>
                <w:sz w:val="18"/>
                <w:szCs w:val="18"/>
                <w:lang w:val="en-GB" w:eastAsia="en-GB"/>
              </w:rPr>
              <w:t> </w:t>
            </w:r>
            <w:r w:rsidRPr="000B4E2C">
              <w:rPr>
                <w:color w:val="00B0F0"/>
                <w:sz w:val="18"/>
                <w:szCs w:val="18"/>
                <w:lang w:val="en-GB" w:eastAsia="en-GB"/>
              </w:rPr>
              <w:t>1</w:t>
            </w:r>
            <w:r w:rsidR="00F471F5" w:rsidRPr="000B4E2C">
              <w:rPr>
                <w:sz w:val="18"/>
                <w:szCs w:val="18"/>
                <w:lang w:val="en-GB" w:eastAsia="en-GB"/>
              </w:rPr>
              <w:t xml:space="preserve">8 years, the presence of two or more systemic inflammatory response criteria, the presence of oliguria for </w:t>
            </w:r>
            <w:r w:rsidRPr="000B4E2C">
              <w:rPr>
                <w:color w:val="00B0F0"/>
                <w:sz w:val="18"/>
                <w:szCs w:val="18"/>
                <w:lang w:val="en-GB" w:eastAsia="en-GB"/>
              </w:rPr>
              <w:t>≥</w:t>
            </w:r>
            <w:r w:rsidRPr="000B4E2C">
              <w:rPr>
                <w:color w:val="00B0F0"/>
                <w:sz w:val="18"/>
                <w:szCs w:val="18"/>
                <w:lang w:val="en-GB" w:eastAsia="en-GB"/>
              </w:rPr>
              <w:t> </w:t>
            </w:r>
            <w:r w:rsidRPr="000B4E2C">
              <w:rPr>
                <w:color w:val="00B0F0"/>
                <w:sz w:val="18"/>
                <w:szCs w:val="18"/>
                <w:lang w:val="en-GB" w:eastAsia="en-GB"/>
              </w:rPr>
              <w:t>2</w:t>
            </w:r>
            <w:r w:rsidR="00F471F5" w:rsidRPr="000B4E2C">
              <w:rPr>
                <w:sz w:val="18"/>
                <w:szCs w:val="18"/>
                <w:lang w:val="en-GB" w:eastAsia="en-GB"/>
              </w:rPr>
              <w:t xml:space="preserve"> consecutive hours and/or a 25 μmol/L increase in creatinine from baseline.</w:t>
            </w:r>
          </w:p>
        </w:tc>
        <w:tc>
          <w:tcPr>
            <w:tcW w:w="0" w:type="auto"/>
            <w:shd w:val="clear" w:color="auto" w:fill="auto"/>
            <w:hideMark/>
          </w:tcPr>
          <w:p w14:paraId="44A1FAD7" w14:textId="77777777" w:rsidR="00F471F5" w:rsidRPr="000B4E2C" w:rsidRDefault="00F471F5" w:rsidP="00F471F5">
            <w:pPr>
              <w:rPr>
                <w:sz w:val="18"/>
                <w:szCs w:val="18"/>
                <w:lang w:val="en-GB" w:eastAsia="en-GB"/>
              </w:rPr>
            </w:pPr>
            <w:r w:rsidRPr="000B4E2C">
              <w:rPr>
                <w:sz w:val="18"/>
                <w:szCs w:val="18"/>
                <w:lang w:val="en-GB" w:eastAsia="en-GB"/>
              </w:rPr>
              <w:t>NR</w:t>
            </w:r>
          </w:p>
        </w:tc>
      </w:tr>
      <w:tr w:rsidR="000B4E2C" w:rsidRPr="000B4E2C" w14:paraId="2F32CD74" w14:textId="77777777" w:rsidTr="000B4E2C">
        <w:trPr>
          <w:cantSplit/>
        </w:trPr>
        <w:tc>
          <w:tcPr>
            <w:tcW w:w="0" w:type="auto"/>
            <w:shd w:val="clear" w:color="auto" w:fill="auto"/>
            <w:hideMark/>
          </w:tcPr>
          <w:p w14:paraId="28AD79E9" w14:textId="01B488F8" w:rsidR="00F471F5" w:rsidRPr="000B4E2C" w:rsidRDefault="00F471F5" w:rsidP="00F471F5">
            <w:pPr>
              <w:rPr>
                <w:color w:val="000000"/>
                <w:sz w:val="18"/>
                <w:szCs w:val="18"/>
                <w:lang w:val="en-GB" w:eastAsia="en-GB"/>
              </w:rPr>
            </w:pPr>
            <w:r w:rsidRPr="000B4E2C">
              <w:rPr>
                <w:sz w:val="18"/>
                <w:szCs w:val="18"/>
                <w:lang w:val="en-GB" w:eastAsia="en-GB"/>
              </w:rPr>
              <w:t>Isshiki 2018,</w:t>
            </w:r>
            <w:r w:rsidRPr="000B4E2C">
              <w:rPr>
                <w:sz w:val="18"/>
                <w:szCs w:val="18"/>
                <w:vertAlign w:val="superscript"/>
                <w:lang w:val="en-GB" w:eastAsia="en-GB"/>
              </w:rPr>
              <w:t>55</w:t>
            </w:r>
            <w:r w:rsidRPr="000B4E2C">
              <w:rPr>
                <w:sz w:val="18"/>
                <w:szCs w:val="18"/>
                <w:lang w:val="en-GB" w:eastAsia="en-GB"/>
              </w:rPr>
              <w:t xml:space="preserve"> Japan</w:t>
            </w:r>
          </w:p>
        </w:tc>
        <w:tc>
          <w:tcPr>
            <w:tcW w:w="0" w:type="auto"/>
            <w:shd w:val="clear" w:color="auto" w:fill="auto"/>
            <w:hideMark/>
          </w:tcPr>
          <w:p w14:paraId="222A9525"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56A87A71" w14:textId="77777777" w:rsidR="00F471F5" w:rsidRPr="000B4E2C" w:rsidRDefault="00F471F5" w:rsidP="00F471F5">
            <w:pPr>
              <w:rPr>
                <w:sz w:val="18"/>
                <w:szCs w:val="18"/>
                <w:lang w:val="en-GB" w:eastAsia="en-GB"/>
              </w:rPr>
            </w:pPr>
            <w:r w:rsidRPr="000B4E2C">
              <w:rPr>
                <w:sz w:val="18"/>
                <w:szCs w:val="18"/>
                <w:lang w:val="en-GB" w:eastAsia="en-GB"/>
              </w:rPr>
              <w:t>62</w:t>
            </w:r>
          </w:p>
          <w:p w14:paraId="186E1E44" w14:textId="77777777" w:rsidR="00F471F5" w:rsidRPr="000B4E2C" w:rsidRDefault="00F471F5" w:rsidP="00F471F5">
            <w:pPr>
              <w:rPr>
                <w:color w:val="000000"/>
                <w:sz w:val="18"/>
                <w:szCs w:val="18"/>
                <w:lang w:val="en-GB" w:eastAsia="en-GB"/>
              </w:rPr>
            </w:pPr>
            <w:r w:rsidRPr="000B4E2C">
              <w:rPr>
                <w:sz w:val="18"/>
                <w:szCs w:val="18"/>
                <w:lang w:val="en-GB" w:eastAsia="en-GB"/>
              </w:rPr>
              <w:t>(51,73)</w:t>
            </w:r>
          </w:p>
        </w:tc>
        <w:tc>
          <w:tcPr>
            <w:tcW w:w="0" w:type="auto"/>
            <w:shd w:val="clear" w:color="auto" w:fill="auto"/>
            <w:hideMark/>
          </w:tcPr>
          <w:p w14:paraId="538BC8AE" w14:textId="77777777" w:rsidR="00F471F5" w:rsidRPr="000B4E2C" w:rsidRDefault="00F471F5" w:rsidP="00F471F5">
            <w:pPr>
              <w:rPr>
                <w:color w:val="000000"/>
                <w:sz w:val="18"/>
                <w:szCs w:val="18"/>
                <w:lang w:val="en-GB" w:eastAsia="en-GB"/>
              </w:rPr>
            </w:pPr>
            <w:r w:rsidRPr="000B4E2C">
              <w:rPr>
                <w:sz w:val="18"/>
                <w:szCs w:val="18"/>
                <w:lang w:val="en-GB" w:eastAsia="en-GB"/>
              </w:rPr>
              <w:t>148</w:t>
            </w:r>
          </w:p>
        </w:tc>
        <w:tc>
          <w:tcPr>
            <w:tcW w:w="0" w:type="auto"/>
            <w:shd w:val="clear" w:color="auto" w:fill="auto"/>
            <w:hideMark/>
          </w:tcPr>
          <w:p w14:paraId="349E9AF8" w14:textId="77777777" w:rsidR="00F471F5" w:rsidRPr="000B4E2C" w:rsidRDefault="00F471F5" w:rsidP="00F471F5">
            <w:pPr>
              <w:rPr>
                <w:color w:val="000000"/>
                <w:sz w:val="18"/>
                <w:szCs w:val="18"/>
                <w:lang w:val="en-GB" w:eastAsia="en-GB"/>
              </w:rPr>
            </w:pPr>
            <w:r w:rsidRPr="000B4E2C">
              <w:rPr>
                <w:sz w:val="18"/>
                <w:szCs w:val="18"/>
                <w:lang w:val="en-GB" w:eastAsia="en-GB"/>
              </w:rPr>
              <w:t>33</w:t>
            </w:r>
          </w:p>
        </w:tc>
        <w:tc>
          <w:tcPr>
            <w:tcW w:w="0" w:type="auto"/>
            <w:shd w:val="clear" w:color="auto" w:fill="auto"/>
            <w:hideMark/>
          </w:tcPr>
          <w:p w14:paraId="43ABFB2E"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37CFDA72" w14:textId="77777777" w:rsidR="00F471F5" w:rsidRPr="000B4E2C" w:rsidRDefault="00F471F5" w:rsidP="00F471F5">
            <w:pPr>
              <w:rPr>
                <w:color w:val="000000"/>
                <w:sz w:val="18"/>
                <w:szCs w:val="18"/>
                <w:lang w:val="en-GB" w:eastAsia="en-GB"/>
              </w:rPr>
            </w:pPr>
            <w:r w:rsidRPr="000B4E2C">
              <w:rPr>
                <w:sz w:val="18"/>
                <w:szCs w:val="18"/>
                <w:lang w:val="en-GB" w:eastAsia="en-GB"/>
              </w:rPr>
              <w:t>60%</w:t>
            </w:r>
          </w:p>
        </w:tc>
        <w:tc>
          <w:tcPr>
            <w:tcW w:w="0" w:type="auto"/>
            <w:shd w:val="clear" w:color="auto" w:fill="auto"/>
            <w:hideMark/>
          </w:tcPr>
          <w:p w14:paraId="3BFC0CE0"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4F86AF76"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7D0623A5"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F9272B7"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047C765" w14:textId="07C4134C" w:rsidR="00F471F5" w:rsidRPr="000B4E2C" w:rsidRDefault="000B4E2C" w:rsidP="00F471F5">
            <w:pPr>
              <w:rPr>
                <w:color w:val="000000"/>
                <w:sz w:val="18"/>
                <w:szCs w:val="18"/>
                <w:lang w:val="en-GB" w:eastAsia="en-GB"/>
              </w:rPr>
            </w:pPr>
            <w:r w:rsidRPr="000B4E2C">
              <w:rPr>
                <w:color w:val="00B0F0"/>
                <w:sz w:val="18"/>
                <w:szCs w:val="18"/>
                <w:lang w:val="en-GB" w:eastAsia="en-GB"/>
              </w:rPr>
              <w:t>&gt;</w:t>
            </w:r>
            <w:r w:rsidRPr="000B4E2C">
              <w:rPr>
                <w:color w:val="00B0F0"/>
                <w:sz w:val="18"/>
                <w:szCs w:val="18"/>
                <w:lang w:val="en-GB" w:eastAsia="en-GB"/>
              </w:rPr>
              <w:t> </w:t>
            </w:r>
            <w:r w:rsidRPr="000B4E2C">
              <w:rPr>
                <w:color w:val="00B0F0"/>
                <w:sz w:val="18"/>
                <w:szCs w:val="18"/>
                <w:lang w:val="en-GB" w:eastAsia="en-GB"/>
              </w:rPr>
              <w:t>1</w:t>
            </w:r>
            <w:r w:rsidR="00F471F5" w:rsidRPr="000B4E2C">
              <w:rPr>
                <w:sz w:val="18"/>
                <w:szCs w:val="18"/>
                <w:lang w:val="en-GB" w:eastAsia="en-GB"/>
              </w:rPr>
              <w:t>8 years who were admitted to the ICU</w:t>
            </w:r>
          </w:p>
        </w:tc>
        <w:tc>
          <w:tcPr>
            <w:tcW w:w="0" w:type="auto"/>
            <w:shd w:val="clear" w:color="auto" w:fill="auto"/>
            <w:hideMark/>
          </w:tcPr>
          <w:p w14:paraId="3CB963B4" w14:textId="318D5D2C" w:rsidR="00F471F5" w:rsidRPr="000B4E2C" w:rsidRDefault="00F471F5" w:rsidP="00F471F5">
            <w:pPr>
              <w:rPr>
                <w:sz w:val="18"/>
                <w:szCs w:val="18"/>
                <w:lang w:val="en-GB" w:eastAsia="en-GB"/>
              </w:rPr>
            </w:pPr>
            <w:r w:rsidRPr="000B4E2C">
              <w:rPr>
                <w:sz w:val="18"/>
                <w:szCs w:val="18"/>
                <w:lang w:val="en-GB" w:eastAsia="en-GB"/>
              </w:rPr>
              <w:t>Anuria patients at ICU admission, those deceased within 2</w:t>
            </w:r>
            <w:r w:rsidR="000B4E2C" w:rsidRPr="000B4E2C">
              <w:rPr>
                <w:color w:val="00B0F0"/>
                <w:sz w:val="18"/>
                <w:szCs w:val="18"/>
                <w:lang w:val="en-GB" w:eastAsia="en-GB"/>
              </w:rPr>
              <w:t>4</w:t>
            </w:r>
            <w:r w:rsidR="000B4E2C" w:rsidRPr="000B4E2C">
              <w:rPr>
                <w:color w:val="00B0F0"/>
                <w:sz w:val="18"/>
                <w:szCs w:val="18"/>
                <w:lang w:val="en-GB" w:eastAsia="en-GB"/>
              </w:rPr>
              <w:t> </w:t>
            </w:r>
            <w:r w:rsidR="000B4E2C" w:rsidRPr="000B4E2C">
              <w:rPr>
                <w:color w:val="00B0F0"/>
                <w:sz w:val="18"/>
                <w:szCs w:val="18"/>
                <w:lang w:val="en-GB" w:eastAsia="en-GB"/>
              </w:rPr>
              <w:t xml:space="preserve">h </w:t>
            </w:r>
            <w:r w:rsidRPr="000B4E2C">
              <w:rPr>
                <w:sz w:val="18"/>
                <w:szCs w:val="18"/>
                <w:lang w:val="en-GB" w:eastAsia="en-GB"/>
              </w:rPr>
              <w:t>of ICU admission and end stage renal disease</w:t>
            </w:r>
          </w:p>
        </w:tc>
      </w:tr>
      <w:tr w:rsidR="000B4E2C" w:rsidRPr="000B4E2C" w14:paraId="3433F658" w14:textId="77777777" w:rsidTr="000B4E2C">
        <w:trPr>
          <w:cantSplit/>
        </w:trPr>
        <w:tc>
          <w:tcPr>
            <w:tcW w:w="0" w:type="auto"/>
            <w:shd w:val="clear" w:color="auto" w:fill="auto"/>
            <w:hideMark/>
          </w:tcPr>
          <w:p w14:paraId="4B00A58B" w14:textId="07AD3480" w:rsidR="00F471F5" w:rsidRPr="000B4E2C" w:rsidRDefault="00F471F5" w:rsidP="00F471F5">
            <w:pPr>
              <w:rPr>
                <w:color w:val="000000"/>
                <w:sz w:val="18"/>
                <w:szCs w:val="18"/>
                <w:lang w:val="en-GB" w:eastAsia="en-GB"/>
              </w:rPr>
            </w:pPr>
            <w:r w:rsidRPr="000B4E2C">
              <w:rPr>
                <w:sz w:val="18"/>
                <w:szCs w:val="18"/>
                <w:lang w:val="en-GB" w:eastAsia="en-GB"/>
              </w:rPr>
              <w:t>Tecson 2017,</w:t>
            </w:r>
            <w:r w:rsidRPr="000B4E2C">
              <w:rPr>
                <w:sz w:val="18"/>
                <w:szCs w:val="18"/>
                <w:vertAlign w:val="superscript"/>
                <w:lang w:val="en-GB" w:eastAsia="en-GB"/>
              </w:rPr>
              <w:t>80</w:t>
            </w:r>
            <w:r w:rsidRPr="000B4E2C">
              <w:rPr>
                <w:sz w:val="18"/>
                <w:szCs w:val="18"/>
                <w:lang w:val="en-GB" w:eastAsia="en-GB"/>
              </w:rPr>
              <w:t xml:space="preserve"> USA</w:t>
            </w:r>
          </w:p>
        </w:tc>
        <w:tc>
          <w:tcPr>
            <w:tcW w:w="0" w:type="auto"/>
            <w:shd w:val="clear" w:color="auto" w:fill="auto"/>
            <w:hideMark/>
          </w:tcPr>
          <w:p w14:paraId="72DBAD7E" w14:textId="77777777" w:rsidR="00F471F5" w:rsidRPr="000B4E2C" w:rsidRDefault="00F471F5" w:rsidP="00F471F5">
            <w:pPr>
              <w:rPr>
                <w:color w:val="000000"/>
                <w:sz w:val="18"/>
                <w:szCs w:val="18"/>
                <w:lang w:val="en-GB" w:eastAsia="en-GB"/>
              </w:rPr>
            </w:pPr>
            <w:r w:rsidRPr="000B4E2C">
              <w:rPr>
                <w:sz w:val="18"/>
                <w:szCs w:val="18"/>
                <w:lang w:val="en-GB" w:eastAsia="en-GB"/>
              </w:rPr>
              <w:t>uNGAL, BioPorto &amp; pNGAL BioPorto</w:t>
            </w:r>
          </w:p>
        </w:tc>
        <w:tc>
          <w:tcPr>
            <w:tcW w:w="0" w:type="auto"/>
            <w:shd w:val="clear" w:color="auto" w:fill="auto"/>
            <w:hideMark/>
          </w:tcPr>
          <w:p w14:paraId="4F31C1BA" w14:textId="77777777" w:rsidR="000B4E2C" w:rsidRPr="000B4E2C" w:rsidRDefault="00F471F5" w:rsidP="00F471F5">
            <w:pPr>
              <w:rPr>
                <w:sz w:val="18"/>
                <w:szCs w:val="18"/>
                <w:lang w:val="en-GB" w:eastAsia="en-GB"/>
              </w:rPr>
            </w:pPr>
            <w:r w:rsidRPr="000B4E2C">
              <w:rPr>
                <w:sz w:val="18"/>
                <w:szCs w:val="18"/>
                <w:lang w:val="en-GB" w:eastAsia="en-GB"/>
              </w:rPr>
              <w:t>AKI</w:t>
            </w:r>
          </w:p>
          <w:p w14:paraId="220D52CF" w14:textId="0BBC3B0B" w:rsidR="00F471F5" w:rsidRPr="000B4E2C" w:rsidRDefault="00F471F5" w:rsidP="00F471F5">
            <w:pPr>
              <w:rPr>
                <w:sz w:val="18"/>
                <w:szCs w:val="18"/>
                <w:lang w:val="en-GB" w:eastAsia="en-GB"/>
              </w:rPr>
            </w:pPr>
            <w:r w:rsidRPr="000B4E2C">
              <w:rPr>
                <w:sz w:val="18"/>
                <w:szCs w:val="18"/>
                <w:lang w:val="en-GB" w:eastAsia="en-GB"/>
              </w:rPr>
              <w:t>Stage 2/3</w:t>
            </w:r>
          </w:p>
          <w:p w14:paraId="742E9E8C" w14:textId="77777777" w:rsidR="00F471F5" w:rsidRPr="000B4E2C" w:rsidRDefault="00F471F5" w:rsidP="00F471F5">
            <w:pPr>
              <w:rPr>
                <w:sz w:val="18"/>
                <w:szCs w:val="18"/>
                <w:lang w:val="en-GB" w:eastAsia="en-GB"/>
              </w:rPr>
            </w:pPr>
            <w:r w:rsidRPr="000B4E2C">
              <w:rPr>
                <w:sz w:val="18"/>
                <w:szCs w:val="18"/>
                <w:lang w:val="en-GB" w:eastAsia="en-GB"/>
              </w:rPr>
              <w:t>68</w:t>
            </w:r>
          </w:p>
          <w:p w14:paraId="3B854869" w14:textId="77777777" w:rsidR="00F471F5" w:rsidRPr="000B4E2C" w:rsidRDefault="00F471F5" w:rsidP="00F471F5">
            <w:pPr>
              <w:rPr>
                <w:sz w:val="18"/>
                <w:szCs w:val="18"/>
                <w:lang w:val="en-GB" w:eastAsia="en-GB"/>
              </w:rPr>
            </w:pPr>
            <w:r w:rsidRPr="000B4E2C">
              <w:rPr>
                <w:sz w:val="18"/>
                <w:szCs w:val="18"/>
                <w:lang w:val="en-GB" w:eastAsia="en-GB"/>
              </w:rPr>
              <w:t>(56, 74)</w:t>
            </w:r>
          </w:p>
          <w:p w14:paraId="0337BF30" w14:textId="77777777" w:rsidR="00F471F5" w:rsidRPr="000B4E2C" w:rsidRDefault="00F471F5" w:rsidP="00F471F5">
            <w:pPr>
              <w:rPr>
                <w:sz w:val="18"/>
                <w:szCs w:val="18"/>
                <w:lang w:val="en-GB" w:eastAsia="en-GB"/>
              </w:rPr>
            </w:pPr>
            <w:r w:rsidRPr="000B4E2C">
              <w:rPr>
                <w:sz w:val="18"/>
                <w:szCs w:val="18"/>
                <w:lang w:val="en-GB" w:eastAsia="en-GB"/>
              </w:rPr>
              <w:t>No AKI</w:t>
            </w:r>
          </w:p>
          <w:p w14:paraId="0CAE3C27" w14:textId="77777777" w:rsidR="00F471F5" w:rsidRPr="000B4E2C" w:rsidRDefault="00F471F5" w:rsidP="00F471F5">
            <w:pPr>
              <w:rPr>
                <w:sz w:val="18"/>
                <w:szCs w:val="18"/>
                <w:lang w:val="en-GB" w:eastAsia="en-GB"/>
              </w:rPr>
            </w:pPr>
            <w:r w:rsidRPr="000B4E2C">
              <w:rPr>
                <w:sz w:val="18"/>
                <w:szCs w:val="18"/>
                <w:lang w:val="en-GB" w:eastAsia="en-GB"/>
              </w:rPr>
              <w:t>stage 0/1</w:t>
            </w:r>
          </w:p>
          <w:p w14:paraId="134661FD" w14:textId="77777777" w:rsidR="00F471F5" w:rsidRPr="000B4E2C" w:rsidRDefault="00F471F5" w:rsidP="00F471F5">
            <w:pPr>
              <w:rPr>
                <w:sz w:val="18"/>
                <w:szCs w:val="18"/>
                <w:lang w:val="en-GB" w:eastAsia="en-GB"/>
              </w:rPr>
            </w:pPr>
            <w:r w:rsidRPr="000B4E2C">
              <w:rPr>
                <w:sz w:val="18"/>
                <w:szCs w:val="18"/>
                <w:lang w:val="en-GB" w:eastAsia="en-GB"/>
              </w:rPr>
              <w:t>63</w:t>
            </w:r>
          </w:p>
          <w:p w14:paraId="0E29EBC3" w14:textId="77777777" w:rsidR="00F471F5" w:rsidRPr="000B4E2C" w:rsidRDefault="00F471F5" w:rsidP="00F471F5">
            <w:pPr>
              <w:rPr>
                <w:sz w:val="18"/>
                <w:szCs w:val="18"/>
                <w:lang w:val="en-GB" w:eastAsia="en-GB"/>
              </w:rPr>
            </w:pPr>
            <w:r w:rsidRPr="000B4E2C">
              <w:rPr>
                <w:sz w:val="18"/>
                <w:szCs w:val="18"/>
                <w:lang w:val="en-GB" w:eastAsia="en-GB"/>
              </w:rPr>
              <w:t>(54,73)</w:t>
            </w:r>
          </w:p>
          <w:p w14:paraId="79465FA8" w14:textId="77777777" w:rsidR="00F471F5" w:rsidRPr="000B4E2C" w:rsidRDefault="00F471F5" w:rsidP="00F471F5">
            <w:pPr>
              <w:rPr>
                <w:color w:val="000000"/>
                <w:sz w:val="18"/>
                <w:szCs w:val="18"/>
                <w:lang w:val="en-GB" w:eastAsia="en-GB"/>
              </w:rPr>
            </w:pPr>
          </w:p>
        </w:tc>
        <w:tc>
          <w:tcPr>
            <w:tcW w:w="0" w:type="auto"/>
            <w:shd w:val="clear" w:color="auto" w:fill="auto"/>
            <w:hideMark/>
          </w:tcPr>
          <w:p w14:paraId="1BD0A0FD" w14:textId="77777777" w:rsidR="00F471F5" w:rsidRPr="000B4E2C" w:rsidRDefault="00F471F5" w:rsidP="00F471F5">
            <w:pPr>
              <w:rPr>
                <w:color w:val="000000"/>
                <w:sz w:val="18"/>
                <w:szCs w:val="18"/>
                <w:lang w:val="en-GB" w:eastAsia="en-GB"/>
              </w:rPr>
            </w:pPr>
            <w:r w:rsidRPr="000B4E2C">
              <w:rPr>
                <w:sz w:val="18"/>
                <w:szCs w:val="18"/>
                <w:lang w:val="en-GB" w:eastAsia="en-GB"/>
              </w:rPr>
              <w:t>245</w:t>
            </w:r>
          </w:p>
        </w:tc>
        <w:tc>
          <w:tcPr>
            <w:tcW w:w="0" w:type="auto"/>
            <w:shd w:val="clear" w:color="auto" w:fill="auto"/>
            <w:hideMark/>
          </w:tcPr>
          <w:p w14:paraId="2DBCC9D3" w14:textId="77777777" w:rsidR="00F471F5" w:rsidRPr="000B4E2C" w:rsidRDefault="00F471F5" w:rsidP="00F471F5">
            <w:pPr>
              <w:rPr>
                <w:color w:val="000000"/>
                <w:sz w:val="18"/>
                <w:szCs w:val="18"/>
                <w:lang w:val="en-GB" w:eastAsia="en-GB"/>
              </w:rPr>
            </w:pPr>
            <w:r w:rsidRPr="000B4E2C">
              <w:rPr>
                <w:sz w:val="18"/>
                <w:szCs w:val="18"/>
                <w:lang w:val="en-GB" w:eastAsia="en-GB"/>
              </w:rPr>
              <w:t>33</w:t>
            </w:r>
          </w:p>
        </w:tc>
        <w:tc>
          <w:tcPr>
            <w:tcW w:w="0" w:type="auto"/>
            <w:shd w:val="clear" w:color="auto" w:fill="auto"/>
            <w:hideMark/>
          </w:tcPr>
          <w:p w14:paraId="3E977B2B"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6F720EB7" w14:textId="77777777" w:rsidR="000B4E2C" w:rsidRPr="000B4E2C" w:rsidRDefault="00F471F5" w:rsidP="00F471F5">
            <w:pPr>
              <w:rPr>
                <w:sz w:val="18"/>
                <w:szCs w:val="18"/>
                <w:lang w:val="en-GB" w:eastAsia="en-GB"/>
              </w:rPr>
            </w:pPr>
            <w:r w:rsidRPr="000B4E2C">
              <w:rPr>
                <w:sz w:val="18"/>
                <w:szCs w:val="18"/>
                <w:lang w:val="en-GB" w:eastAsia="en-GB"/>
              </w:rPr>
              <w:t>AKI</w:t>
            </w:r>
          </w:p>
          <w:p w14:paraId="0EE74832" w14:textId="42E1E745" w:rsidR="00F471F5" w:rsidRPr="000B4E2C" w:rsidRDefault="00F471F5" w:rsidP="00F471F5">
            <w:pPr>
              <w:rPr>
                <w:sz w:val="18"/>
                <w:szCs w:val="18"/>
                <w:lang w:val="en-GB" w:eastAsia="en-GB"/>
              </w:rPr>
            </w:pPr>
            <w:r w:rsidRPr="000B4E2C">
              <w:rPr>
                <w:sz w:val="18"/>
                <w:szCs w:val="18"/>
                <w:lang w:val="en-GB" w:eastAsia="en-GB"/>
              </w:rPr>
              <w:t>Stage 2/3</w:t>
            </w:r>
          </w:p>
          <w:p w14:paraId="59C968C6" w14:textId="77777777" w:rsidR="00F471F5" w:rsidRPr="000B4E2C" w:rsidRDefault="00F471F5" w:rsidP="00F471F5">
            <w:pPr>
              <w:rPr>
                <w:sz w:val="18"/>
                <w:szCs w:val="18"/>
                <w:lang w:val="en-GB" w:eastAsia="en-GB"/>
              </w:rPr>
            </w:pPr>
            <w:r w:rsidRPr="000B4E2C">
              <w:rPr>
                <w:sz w:val="18"/>
                <w:szCs w:val="18"/>
                <w:lang w:val="en-GB" w:eastAsia="en-GB"/>
              </w:rPr>
              <w:t>67%</w:t>
            </w:r>
          </w:p>
          <w:p w14:paraId="1EC56021" w14:textId="77777777" w:rsidR="00F471F5" w:rsidRPr="000B4E2C" w:rsidRDefault="00F471F5" w:rsidP="00F471F5">
            <w:pPr>
              <w:rPr>
                <w:sz w:val="18"/>
                <w:szCs w:val="18"/>
                <w:lang w:val="en-GB" w:eastAsia="en-GB"/>
              </w:rPr>
            </w:pPr>
            <w:r w:rsidRPr="000B4E2C">
              <w:rPr>
                <w:sz w:val="18"/>
                <w:szCs w:val="18"/>
                <w:lang w:val="en-GB" w:eastAsia="en-GB"/>
              </w:rPr>
              <w:t>AKI</w:t>
            </w:r>
          </w:p>
          <w:p w14:paraId="1505908E" w14:textId="77777777" w:rsidR="00F471F5" w:rsidRPr="000B4E2C" w:rsidRDefault="00F471F5" w:rsidP="00F471F5">
            <w:pPr>
              <w:rPr>
                <w:sz w:val="18"/>
                <w:szCs w:val="18"/>
                <w:lang w:val="en-GB" w:eastAsia="en-GB"/>
              </w:rPr>
            </w:pPr>
            <w:r w:rsidRPr="000B4E2C">
              <w:rPr>
                <w:sz w:val="18"/>
                <w:szCs w:val="18"/>
                <w:lang w:val="en-GB" w:eastAsia="en-GB"/>
              </w:rPr>
              <w:t>Stage 0/1</w:t>
            </w:r>
          </w:p>
          <w:p w14:paraId="118764C4" w14:textId="77777777" w:rsidR="00F471F5" w:rsidRPr="000B4E2C" w:rsidRDefault="00F471F5" w:rsidP="00F471F5">
            <w:pPr>
              <w:rPr>
                <w:color w:val="000000"/>
                <w:sz w:val="18"/>
                <w:szCs w:val="18"/>
                <w:lang w:val="en-GB" w:eastAsia="en-GB"/>
              </w:rPr>
            </w:pPr>
            <w:r w:rsidRPr="000B4E2C">
              <w:rPr>
                <w:sz w:val="18"/>
                <w:szCs w:val="18"/>
                <w:lang w:val="en-GB" w:eastAsia="en-GB"/>
              </w:rPr>
              <w:t>64%</w:t>
            </w:r>
          </w:p>
        </w:tc>
        <w:tc>
          <w:tcPr>
            <w:tcW w:w="0" w:type="auto"/>
            <w:shd w:val="clear" w:color="auto" w:fill="auto"/>
            <w:hideMark/>
          </w:tcPr>
          <w:p w14:paraId="12316A21"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0CC12CF0"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9E5A876"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2A7C9654"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089FD7BB"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7723D1C9" w14:textId="77777777" w:rsidR="00F471F5" w:rsidRPr="000B4E2C" w:rsidRDefault="00F471F5" w:rsidP="00F471F5">
            <w:pPr>
              <w:rPr>
                <w:sz w:val="18"/>
                <w:szCs w:val="18"/>
                <w:lang w:val="en-GB" w:eastAsia="en-GB"/>
              </w:rPr>
            </w:pPr>
            <w:r w:rsidRPr="000B4E2C">
              <w:rPr>
                <w:sz w:val="18"/>
                <w:szCs w:val="18"/>
                <w:lang w:val="en-GB" w:eastAsia="en-GB"/>
              </w:rPr>
              <w:t>NR</w:t>
            </w:r>
          </w:p>
        </w:tc>
      </w:tr>
      <w:tr w:rsidR="000B4E2C" w:rsidRPr="000B4E2C" w14:paraId="4B7AA44C" w14:textId="77777777" w:rsidTr="000B4E2C">
        <w:trPr>
          <w:cantSplit/>
        </w:trPr>
        <w:tc>
          <w:tcPr>
            <w:tcW w:w="0" w:type="auto"/>
            <w:shd w:val="clear" w:color="auto" w:fill="auto"/>
            <w:hideMark/>
          </w:tcPr>
          <w:p w14:paraId="487E5E37" w14:textId="25B1837B" w:rsidR="00F471F5" w:rsidRPr="000B4E2C" w:rsidRDefault="00F471F5" w:rsidP="00F471F5">
            <w:pPr>
              <w:rPr>
                <w:color w:val="000000"/>
                <w:sz w:val="18"/>
                <w:szCs w:val="18"/>
                <w:lang w:val="en-GB" w:eastAsia="en-GB"/>
              </w:rPr>
            </w:pPr>
            <w:r w:rsidRPr="000B4E2C">
              <w:rPr>
                <w:sz w:val="18"/>
                <w:szCs w:val="18"/>
                <w:lang w:val="en-GB" w:eastAsia="en-GB"/>
              </w:rPr>
              <w:lastRenderedPageBreak/>
              <w:t>Matsa 2014,</w:t>
            </w:r>
            <w:r w:rsidRPr="000B4E2C">
              <w:rPr>
                <w:sz w:val="18"/>
                <w:szCs w:val="18"/>
                <w:vertAlign w:val="superscript"/>
                <w:lang w:val="en-GB" w:eastAsia="en-GB"/>
              </w:rPr>
              <w:t>75</w:t>
            </w:r>
            <w:r w:rsidRPr="000B4E2C">
              <w:rPr>
                <w:sz w:val="18"/>
                <w:szCs w:val="18"/>
                <w:lang w:val="en-GB" w:eastAsia="en-GB"/>
              </w:rPr>
              <w:t xml:space="preserve"> UK</w:t>
            </w:r>
          </w:p>
        </w:tc>
        <w:tc>
          <w:tcPr>
            <w:tcW w:w="0" w:type="auto"/>
            <w:shd w:val="clear" w:color="auto" w:fill="auto"/>
            <w:hideMark/>
          </w:tcPr>
          <w:p w14:paraId="32F1526D" w14:textId="77777777" w:rsidR="00F471F5" w:rsidRPr="000B4E2C" w:rsidRDefault="00F471F5" w:rsidP="00F471F5">
            <w:pPr>
              <w:rPr>
                <w:color w:val="000000"/>
                <w:sz w:val="18"/>
                <w:szCs w:val="18"/>
                <w:lang w:val="en-GB" w:eastAsia="en-GB"/>
              </w:rPr>
            </w:pPr>
            <w:r w:rsidRPr="000B4E2C">
              <w:rPr>
                <w:sz w:val="18"/>
                <w:szCs w:val="18"/>
                <w:lang w:val="en-GB" w:eastAsia="en-GB"/>
              </w:rPr>
              <w:t>uNGAL, BioPorto &amp; pNGAL BioPorto</w:t>
            </w:r>
          </w:p>
        </w:tc>
        <w:tc>
          <w:tcPr>
            <w:tcW w:w="0" w:type="auto"/>
            <w:shd w:val="clear" w:color="auto" w:fill="auto"/>
            <w:hideMark/>
          </w:tcPr>
          <w:p w14:paraId="6EF3EF65" w14:textId="77777777" w:rsidR="00F471F5" w:rsidRPr="000B4E2C" w:rsidRDefault="00F471F5" w:rsidP="00F471F5">
            <w:pPr>
              <w:rPr>
                <w:sz w:val="18"/>
                <w:szCs w:val="18"/>
                <w:lang w:val="en-GB" w:eastAsia="en-GB"/>
              </w:rPr>
            </w:pPr>
            <w:r w:rsidRPr="000B4E2C">
              <w:rPr>
                <w:sz w:val="18"/>
                <w:szCs w:val="18"/>
                <w:lang w:val="en-GB" w:eastAsia="en-GB"/>
              </w:rPr>
              <w:t>60</w:t>
            </w:r>
          </w:p>
          <w:p w14:paraId="1F33E0B1" w14:textId="77777777" w:rsidR="00F471F5" w:rsidRPr="000B4E2C" w:rsidRDefault="00F471F5" w:rsidP="00F471F5">
            <w:pPr>
              <w:rPr>
                <w:color w:val="000000"/>
                <w:sz w:val="18"/>
                <w:szCs w:val="18"/>
                <w:lang w:val="en-GB" w:eastAsia="en-GB"/>
              </w:rPr>
            </w:pPr>
            <w:r w:rsidRPr="000B4E2C">
              <w:rPr>
                <w:sz w:val="18"/>
                <w:szCs w:val="18"/>
                <w:lang w:val="en-GB" w:eastAsia="en-GB"/>
              </w:rPr>
              <w:t>(15)</w:t>
            </w:r>
          </w:p>
        </w:tc>
        <w:tc>
          <w:tcPr>
            <w:tcW w:w="0" w:type="auto"/>
            <w:shd w:val="clear" w:color="auto" w:fill="auto"/>
            <w:hideMark/>
          </w:tcPr>
          <w:p w14:paraId="243FA877" w14:textId="77777777" w:rsidR="00F471F5" w:rsidRPr="000B4E2C" w:rsidRDefault="00F471F5" w:rsidP="00F471F5">
            <w:pPr>
              <w:rPr>
                <w:color w:val="000000"/>
                <w:sz w:val="18"/>
                <w:szCs w:val="18"/>
                <w:lang w:val="en-GB" w:eastAsia="en-GB"/>
              </w:rPr>
            </w:pPr>
            <w:r w:rsidRPr="000B4E2C">
              <w:rPr>
                <w:sz w:val="18"/>
                <w:szCs w:val="18"/>
                <w:lang w:val="en-GB" w:eastAsia="en-GB"/>
              </w:rPr>
              <w:t>194</w:t>
            </w:r>
          </w:p>
        </w:tc>
        <w:tc>
          <w:tcPr>
            <w:tcW w:w="0" w:type="auto"/>
            <w:shd w:val="clear" w:color="auto" w:fill="auto"/>
            <w:hideMark/>
          </w:tcPr>
          <w:p w14:paraId="392E9F9E" w14:textId="77777777" w:rsidR="00F471F5" w:rsidRPr="000B4E2C" w:rsidRDefault="00F471F5" w:rsidP="00F471F5">
            <w:pPr>
              <w:rPr>
                <w:color w:val="000000"/>
                <w:sz w:val="18"/>
                <w:szCs w:val="18"/>
                <w:lang w:val="en-GB" w:eastAsia="en-GB"/>
              </w:rPr>
            </w:pPr>
            <w:r w:rsidRPr="000B4E2C">
              <w:rPr>
                <w:sz w:val="18"/>
                <w:szCs w:val="18"/>
                <w:lang w:val="en-GB" w:eastAsia="en-GB"/>
              </w:rPr>
              <w:t>59</w:t>
            </w:r>
          </w:p>
        </w:tc>
        <w:tc>
          <w:tcPr>
            <w:tcW w:w="0" w:type="auto"/>
            <w:shd w:val="clear" w:color="auto" w:fill="auto"/>
            <w:hideMark/>
          </w:tcPr>
          <w:p w14:paraId="4CAE47B0" w14:textId="77777777" w:rsidR="00F471F5" w:rsidRPr="000B4E2C" w:rsidRDefault="00F471F5" w:rsidP="00F471F5">
            <w:pPr>
              <w:rPr>
                <w:color w:val="000000"/>
                <w:sz w:val="18"/>
                <w:szCs w:val="18"/>
                <w:lang w:val="en-GB" w:eastAsia="en-GB"/>
              </w:rPr>
            </w:pPr>
            <w:r w:rsidRPr="000B4E2C">
              <w:rPr>
                <w:sz w:val="18"/>
                <w:szCs w:val="18"/>
                <w:lang w:val="en-GB" w:eastAsia="en-GB"/>
              </w:rPr>
              <w:t>RIFLE</w:t>
            </w:r>
          </w:p>
        </w:tc>
        <w:tc>
          <w:tcPr>
            <w:tcW w:w="0" w:type="auto"/>
            <w:shd w:val="clear" w:color="auto" w:fill="auto"/>
            <w:hideMark/>
          </w:tcPr>
          <w:p w14:paraId="55011C3A" w14:textId="77777777" w:rsidR="00F471F5" w:rsidRPr="000B4E2C" w:rsidRDefault="00F471F5" w:rsidP="00F471F5">
            <w:pPr>
              <w:rPr>
                <w:color w:val="000000"/>
                <w:sz w:val="18"/>
                <w:szCs w:val="18"/>
                <w:lang w:val="en-GB" w:eastAsia="en-GB"/>
              </w:rPr>
            </w:pPr>
            <w:r w:rsidRPr="000B4E2C">
              <w:rPr>
                <w:sz w:val="18"/>
                <w:szCs w:val="18"/>
                <w:lang w:val="en-GB" w:eastAsia="en-GB"/>
              </w:rPr>
              <w:t>66%</w:t>
            </w:r>
          </w:p>
        </w:tc>
        <w:tc>
          <w:tcPr>
            <w:tcW w:w="0" w:type="auto"/>
            <w:shd w:val="clear" w:color="auto" w:fill="auto"/>
            <w:hideMark/>
          </w:tcPr>
          <w:p w14:paraId="26A4CF7D" w14:textId="77777777" w:rsidR="00F471F5" w:rsidRPr="000B4E2C" w:rsidRDefault="00F471F5" w:rsidP="00F471F5">
            <w:pPr>
              <w:rPr>
                <w:sz w:val="18"/>
                <w:szCs w:val="18"/>
                <w:lang w:val="en-GB" w:eastAsia="en-GB"/>
              </w:rPr>
            </w:pPr>
            <w:r w:rsidRPr="000B4E2C">
              <w:rPr>
                <w:sz w:val="18"/>
                <w:szCs w:val="18"/>
                <w:lang w:val="en-GB" w:eastAsia="en-GB"/>
              </w:rPr>
              <w:t>80.8 mol/L</w:t>
            </w:r>
          </w:p>
          <w:p w14:paraId="1BB8AFE6" w14:textId="77777777" w:rsidR="00F471F5" w:rsidRPr="000B4E2C" w:rsidRDefault="00F471F5" w:rsidP="00F471F5">
            <w:pPr>
              <w:rPr>
                <w:color w:val="000000"/>
                <w:sz w:val="18"/>
                <w:szCs w:val="18"/>
                <w:lang w:val="en-GB" w:eastAsia="en-GB"/>
              </w:rPr>
            </w:pPr>
            <w:r w:rsidRPr="000B4E2C">
              <w:rPr>
                <w:sz w:val="18"/>
                <w:szCs w:val="18"/>
                <w:lang w:val="en-GB" w:eastAsia="en-GB"/>
              </w:rPr>
              <w:t>(29.1)</w:t>
            </w:r>
          </w:p>
        </w:tc>
        <w:tc>
          <w:tcPr>
            <w:tcW w:w="0" w:type="auto"/>
            <w:shd w:val="clear" w:color="auto" w:fill="auto"/>
            <w:noWrap/>
            <w:hideMark/>
          </w:tcPr>
          <w:p w14:paraId="1740DAF5"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2E1C98A9"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1A1952F4"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8902006" w14:textId="34125DC5" w:rsidR="00F471F5" w:rsidRPr="000B4E2C" w:rsidRDefault="00F471F5" w:rsidP="00F471F5">
            <w:pPr>
              <w:rPr>
                <w:color w:val="000000"/>
                <w:sz w:val="18"/>
                <w:szCs w:val="18"/>
                <w:lang w:val="en-GB" w:eastAsia="en-GB"/>
              </w:rPr>
            </w:pPr>
            <w:r w:rsidRPr="000B4E2C">
              <w:rPr>
                <w:sz w:val="18"/>
                <w:szCs w:val="18"/>
                <w:lang w:val="en-GB" w:eastAsia="en-GB"/>
              </w:rPr>
              <w:t>Consecutive adult (</w:t>
            </w:r>
            <w:r w:rsidR="000B4E2C" w:rsidRPr="000B4E2C">
              <w:rPr>
                <w:color w:val="00B0F0"/>
                <w:sz w:val="18"/>
                <w:szCs w:val="18"/>
                <w:lang w:val="en-GB" w:eastAsia="en-GB"/>
              </w:rPr>
              <w:t>&gt;</w:t>
            </w:r>
            <w:r w:rsidR="000B4E2C" w:rsidRPr="000B4E2C">
              <w:rPr>
                <w:color w:val="00B0F0"/>
                <w:sz w:val="18"/>
                <w:szCs w:val="18"/>
                <w:lang w:val="en-GB" w:eastAsia="en-GB"/>
              </w:rPr>
              <w:t> </w:t>
            </w:r>
            <w:r w:rsidR="000B4E2C" w:rsidRPr="000B4E2C">
              <w:rPr>
                <w:color w:val="00B0F0"/>
                <w:sz w:val="18"/>
                <w:szCs w:val="18"/>
                <w:lang w:val="en-GB" w:eastAsia="en-GB"/>
              </w:rPr>
              <w:t>1</w:t>
            </w:r>
            <w:r w:rsidRPr="000B4E2C">
              <w:rPr>
                <w:sz w:val="18"/>
                <w:szCs w:val="18"/>
                <w:lang w:val="en-GB" w:eastAsia="en-GB"/>
              </w:rPr>
              <w:t>8 years) patients admitted to the ICU were screened for inclusion</w:t>
            </w:r>
          </w:p>
        </w:tc>
        <w:tc>
          <w:tcPr>
            <w:tcW w:w="0" w:type="auto"/>
            <w:shd w:val="clear" w:color="auto" w:fill="auto"/>
            <w:hideMark/>
          </w:tcPr>
          <w:p w14:paraId="2C2967AA" w14:textId="77777777" w:rsidR="00F471F5" w:rsidRPr="000B4E2C" w:rsidRDefault="00F471F5" w:rsidP="00F471F5">
            <w:pPr>
              <w:rPr>
                <w:sz w:val="18"/>
                <w:szCs w:val="18"/>
                <w:lang w:val="en-GB" w:eastAsia="en-GB"/>
              </w:rPr>
            </w:pPr>
            <w:r w:rsidRPr="000B4E2C">
              <w:rPr>
                <w:sz w:val="18"/>
                <w:szCs w:val="18"/>
                <w:lang w:val="en-GB" w:eastAsia="en-GB"/>
              </w:rPr>
              <w:t>Refused consent, end-stage renal disease, previous renal transplant, patients already on RRT, patients referred to the ICU for RRT and patients with AKI as defined by RIFLE criteria for risk, injury or failure.</w:t>
            </w:r>
          </w:p>
        </w:tc>
      </w:tr>
      <w:tr w:rsidR="000B4E2C" w:rsidRPr="000B4E2C" w14:paraId="66F31183" w14:textId="77777777" w:rsidTr="000B4E2C">
        <w:trPr>
          <w:cantSplit/>
        </w:trPr>
        <w:tc>
          <w:tcPr>
            <w:tcW w:w="0" w:type="auto"/>
            <w:shd w:val="clear" w:color="auto" w:fill="auto"/>
            <w:hideMark/>
          </w:tcPr>
          <w:p w14:paraId="3AFDD2A6" w14:textId="61AE7DB2" w:rsidR="00F471F5" w:rsidRPr="000B4E2C" w:rsidRDefault="00F471F5" w:rsidP="00F471F5">
            <w:pPr>
              <w:rPr>
                <w:color w:val="000000"/>
                <w:sz w:val="18"/>
                <w:szCs w:val="18"/>
                <w:lang w:val="en-GB" w:eastAsia="en-GB"/>
              </w:rPr>
            </w:pPr>
            <w:r w:rsidRPr="000B4E2C">
              <w:rPr>
                <w:sz w:val="18"/>
                <w:szCs w:val="18"/>
                <w:lang w:val="en-GB" w:eastAsia="en-GB"/>
              </w:rPr>
              <w:t>Kokkoris 2012,</w:t>
            </w:r>
            <w:r w:rsidRPr="000B4E2C">
              <w:rPr>
                <w:sz w:val="18"/>
                <w:szCs w:val="18"/>
                <w:vertAlign w:val="superscript"/>
                <w:lang w:val="en-GB" w:eastAsia="en-GB"/>
              </w:rPr>
              <w:t>56</w:t>
            </w:r>
            <w:r w:rsidRPr="000B4E2C">
              <w:rPr>
                <w:sz w:val="18"/>
                <w:szCs w:val="18"/>
                <w:lang w:val="en-GB" w:eastAsia="en-GB"/>
              </w:rPr>
              <w:t xml:space="preserve"> Greece</w:t>
            </w:r>
          </w:p>
        </w:tc>
        <w:tc>
          <w:tcPr>
            <w:tcW w:w="0" w:type="auto"/>
            <w:shd w:val="clear" w:color="auto" w:fill="auto"/>
            <w:hideMark/>
          </w:tcPr>
          <w:p w14:paraId="3686F862"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1EB5F16D" w14:textId="77777777" w:rsidR="000B4E2C" w:rsidRPr="000B4E2C" w:rsidRDefault="00F471F5" w:rsidP="00F471F5">
            <w:pPr>
              <w:rPr>
                <w:sz w:val="18"/>
                <w:szCs w:val="18"/>
                <w:lang w:val="en-GB" w:eastAsia="en-GB"/>
              </w:rPr>
            </w:pPr>
            <w:r w:rsidRPr="000B4E2C">
              <w:rPr>
                <w:sz w:val="18"/>
                <w:szCs w:val="18"/>
                <w:lang w:val="en-GB" w:eastAsia="en-GB"/>
              </w:rPr>
              <w:t>AKI</w:t>
            </w:r>
          </w:p>
          <w:p w14:paraId="03522E18" w14:textId="05AB7BB8" w:rsidR="00F471F5" w:rsidRPr="000B4E2C" w:rsidRDefault="00F471F5" w:rsidP="00F471F5">
            <w:pPr>
              <w:rPr>
                <w:sz w:val="18"/>
                <w:szCs w:val="18"/>
                <w:lang w:val="en-GB" w:eastAsia="en-GB"/>
              </w:rPr>
            </w:pPr>
            <w:r w:rsidRPr="000B4E2C">
              <w:rPr>
                <w:sz w:val="18"/>
                <w:szCs w:val="18"/>
                <w:lang w:val="en-GB" w:eastAsia="en-GB"/>
              </w:rPr>
              <w:t>63</w:t>
            </w:r>
          </w:p>
          <w:p w14:paraId="02BF087E" w14:textId="77777777" w:rsidR="00F471F5" w:rsidRPr="000B4E2C" w:rsidRDefault="00F471F5" w:rsidP="00F471F5">
            <w:pPr>
              <w:rPr>
                <w:sz w:val="18"/>
                <w:szCs w:val="18"/>
                <w:lang w:val="en-GB" w:eastAsia="en-GB"/>
              </w:rPr>
            </w:pPr>
            <w:r w:rsidRPr="000B4E2C">
              <w:rPr>
                <w:sz w:val="18"/>
                <w:szCs w:val="18"/>
                <w:lang w:val="en-GB" w:eastAsia="en-GB"/>
              </w:rPr>
              <w:t>(50, 81);</w:t>
            </w:r>
          </w:p>
          <w:p w14:paraId="75B57EF9" w14:textId="77777777" w:rsidR="00F471F5" w:rsidRPr="000B4E2C" w:rsidRDefault="00F471F5" w:rsidP="00F471F5">
            <w:pPr>
              <w:rPr>
                <w:sz w:val="18"/>
                <w:szCs w:val="18"/>
                <w:lang w:val="en-GB" w:eastAsia="en-GB"/>
              </w:rPr>
            </w:pPr>
            <w:r w:rsidRPr="000B4E2C">
              <w:rPr>
                <w:sz w:val="18"/>
                <w:szCs w:val="18"/>
                <w:lang w:val="en-GB" w:eastAsia="en-GB"/>
              </w:rPr>
              <w:t>No AKI</w:t>
            </w:r>
          </w:p>
          <w:p w14:paraId="4ED505F2" w14:textId="77777777" w:rsidR="00F471F5" w:rsidRPr="000B4E2C" w:rsidRDefault="00F471F5" w:rsidP="00F471F5">
            <w:pPr>
              <w:rPr>
                <w:sz w:val="18"/>
                <w:szCs w:val="18"/>
                <w:lang w:val="en-GB" w:eastAsia="en-GB"/>
              </w:rPr>
            </w:pPr>
            <w:r w:rsidRPr="000B4E2C">
              <w:rPr>
                <w:sz w:val="18"/>
                <w:szCs w:val="18"/>
                <w:lang w:val="en-GB" w:eastAsia="en-GB"/>
              </w:rPr>
              <w:t>49</w:t>
            </w:r>
          </w:p>
          <w:p w14:paraId="5D51F20C" w14:textId="77777777" w:rsidR="00F471F5" w:rsidRPr="000B4E2C" w:rsidRDefault="00F471F5" w:rsidP="00F471F5">
            <w:pPr>
              <w:rPr>
                <w:sz w:val="18"/>
                <w:szCs w:val="18"/>
                <w:lang w:val="en-GB" w:eastAsia="en-GB"/>
              </w:rPr>
            </w:pPr>
            <w:r w:rsidRPr="000B4E2C">
              <w:rPr>
                <w:sz w:val="18"/>
                <w:szCs w:val="18"/>
                <w:lang w:val="en-GB" w:eastAsia="en-GB"/>
              </w:rPr>
              <w:t>(35, 66)</w:t>
            </w:r>
          </w:p>
          <w:p w14:paraId="2BBFAE19" w14:textId="77777777" w:rsidR="00F471F5" w:rsidRPr="000B4E2C" w:rsidRDefault="00F471F5" w:rsidP="00F471F5">
            <w:pPr>
              <w:rPr>
                <w:color w:val="000000"/>
                <w:sz w:val="18"/>
                <w:szCs w:val="18"/>
                <w:lang w:val="en-GB" w:eastAsia="en-GB"/>
              </w:rPr>
            </w:pPr>
          </w:p>
        </w:tc>
        <w:tc>
          <w:tcPr>
            <w:tcW w:w="0" w:type="auto"/>
            <w:shd w:val="clear" w:color="auto" w:fill="auto"/>
            <w:hideMark/>
          </w:tcPr>
          <w:p w14:paraId="7386B298" w14:textId="77777777" w:rsidR="00F471F5" w:rsidRPr="000B4E2C" w:rsidRDefault="00F471F5" w:rsidP="00F471F5">
            <w:pPr>
              <w:rPr>
                <w:color w:val="000000"/>
                <w:sz w:val="18"/>
                <w:szCs w:val="18"/>
                <w:lang w:val="en-GB" w:eastAsia="en-GB"/>
              </w:rPr>
            </w:pPr>
            <w:r w:rsidRPr="000B4E2C">
              <w:rPr>
                <w:sz w:val="18"/>
                <w:szCs w:val="18"/>
                <w:lang w:val="en-GB" w:eastAsia="en-GB"/>
              </w:rPr>
              <w:t>100</w:t>
            </w:r>
          </w:p>
        </w:tc>
        <w:tc>
          <w:tcPr>
            <w:tcW w:w="0" w:type="auto"/>
            <w:shd w:val="clear" w:color="auto" w:fill="auto"/>
            <w:hideMark/>
          </w:tcPr>
          <w:p w14:paraId="117E764B" w14:textId="77777777" w:rsidR="00F471F5" w:rsidRPr="000B4E2C" w:rsidRDefault="00F471F5" w:rsidP="00F471F5">
            <w:pPr>
              <w:rPr>
                <w:color w:val="000000"/>
                <w:sz w:val="18"/>
                <w:szCs w:val="18"/>
                <w:lang w:val="en-GB" w:eastAsia="en-GB"/>
              </w:rPr>
            </w:pPr>
            <w:r w:rsidRPr="000B4E2C">
              <w:rPr>
                <w:sz w:val="18"/>
                <w:szCs w:val="18"/>
                <w:lang w:val="en-GB" w:eastAsia="en-GB"/>
              </w:rPr>
              <w:t>36</w:t>
            </w:r>
          </w:p>
        </w:tc>
        <w:tc>
          <w:tcPr>
            <w:tcW w:w="0" w:type="auto"/>
            <w:shd w:val="clear" w:color="auto" w:fill="auto"/>
            <w:hideMark/>
          </w:tcPr>
          <w:p w14:paraId="3B8CE580" w14:textId="77777777" w:rsidR="00F471F5" w:rsidRPr="000B4E2C" w:rsidRDefault="00F471F5" w:rsidP="00F471F5">
            <w:pPr>
              <w:rPr>
                <w:color w:val="000000"/>
                <w:sz w:val="18"/>
                <w:szCs w:val="18"/>
                <w:lang w:val="en-GB" w:eastAsia="en-GB"/>
              </w:rPr>
            </w:pPr>
            <w:r w:rsidRPr="000B4E2C">
              <w:rPr>
                <w:sz w:val="18"/>
                <w:szCs w:val="18"/>
                <w:lang w:val="en-GB" w:eastAsia="en-GB"/>
              </w:rPr>
              <w:t>RIFLE</w:t>
            </w:r>
          </w:p>
        </w:tc>
        <w:tc>
          <w:tcPr>
            <w:tcW w:w="0" w:type="auto"/>
            <w:shd w:val="clear" w:color="auto" w:fill="auto"/>
            <w:hideMark/>
          </w:tcPr>
          <w:p w14:paraId="274D3991" w14:textId="77777777" w:rsidR="00F471F5" w:rsidRPr="000B4E2C" w:rsidRDefault="00F471F5" w:rsidP="00F471F5">
            <w:pPr>
              <w:rPr>
                <w:color w:val="000000"/>
                <w:sz w:val="18"/>
                <w:szCs w:val="18"/>
                <w:lang w:val="en-GB" w:eastAsia="en-GB"/>
              </w:rPr>
            </w:pPr>
            <w:r w:rsidRPr="000B4E2C">
              <w:rPr>
                <w:sz w:val="18"/>
                <w:szCs w:val="18"/>
                <w:lang w:val="en-GB" w:eastAsia="en-GB"/>
              </w:rPr>
              <w:t>57%</w:t>
            </w:r>
          </w:p>
        </w:tc>
        <w:tc>
          <w:tcPr>
            <w:tcW w:w="0" w:type="auto"/>
            <w:shd w:val="clear" w:color="auto" w:fill="auto"/>
            <w:hideMark/>
          </w:tcPr>
          <w:p w14:paraId="58A62FE3"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7A880ADA"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501542E8"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AB4A5E8"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5F4D9723" w14:textId="77777777" w:rsidR="00F471F5" w:rsidRPr="000B4E2C" w:rsidRDefault="00F471F5" w:rsidP="00F471F5">
            <w:pPr>
              <w:rPr>
                <w:color w:val="000000"/>
                <w:sz w:val="18"/>
                <w:szCs w:val="18"/>
                <w:lang w:val="en-GB" w:eastAsia="en-GB"/>
              </w:rPr>
            </w:pPr>
            <w:r w:rsidRPr="000B4E2C">
              <w:rPr>
                <w:sz w:val="18"/>
                <w:szCs w:val="18"/>
                <w:lang w:val="en-GB" w:eastAsia="en-GB"/>
              </w:rPr>
              <w:t>All consecutive patients admitted to the ICU were screened for eligibility</w:t>
            </w:r>
          </w:p>
        </w:tc>
        <w:tc>
          <w:tcPr>
            <w:tcW w:w="0" w:type="auto"/>
            <w:shd w:val="clear" w:color="auto" w:fill="auto"/>
            <w:hideMark/>
          </w:tcPr>
          <w:p w14:paraId="3EABFC19" w14:textId="29085D42" w:rsidR="00F471F5" w:rsidRPr="000B4E2C" w:rsidRDefault="00F471F5" w:rsidP="00F471F5">
            <w:pPr>
              <w:rPr>
                <w:sz w:val="18"/>
                <w:szCs w:val="18"/>
                <w:lang w:val="en-GB" w:eastAsia="en-GB"/>
              </w:rPr>
            </w:pPr>
            <w:r w:rsidRPr="000B4E2C">
              <w:rPr>
                <w:sz w:val="18"/>
                <w:szCs w:val="18"/>
                <w:lang w:val="en-GB" w:eastAsia="en-GB"/>
              </w:rPr>
              <w:t>end-stage renal disease, chronic kidney disease or nephrectomy or renal transplantation, Expected ICA stay or imminent death in less than 4</w:t>
            </w:r>
            <w:r w:rsidR="000B4E2C" w:rsidRPr="000B4E2C">
              <w:rPr>
                <w:color w:val="00B0F0"/>
                <w:sz w:val="18"/>
                <w:szCs w:val="18"/>
                <w:lang w:val="en-GB" w:eastAsia="en-GB"/>
              </w:rPr>
              <w:t>8</w:t>
            </w:r>
            <w:r w:rsidR="000B4E2C" w:rsidRPr="000B4E2C">
              <w:rPr>
                <w:color w:val="00B0F0"/>
                <w:sz w:val="18"/>
                <w:szCs w:val="18"/>
                <w:lang w:val="en-GB" w:eastAsia="en-GB"/>
              </w:rPr>
              <w:t> </w:t>
            </w:r>
            <w:r w:rsidR="000B4E2C" w:rsidRPr="000B4E2C">
              <w:rPr>
                <w:color w:val="00B0F0"/>
                <w:sz w:val="18"/>
                <w:szCs w:val="18"/>
                <w:lang w:val="en-GB" w:eastAsia="en-GB"/>
              </w:rPr>
              <w:t>h,</w:t>
            </w:r>
            <w:r w:rsidRPr="000B4E2C">
              <w:rPr>
                <w:sz w:val="18"/>
                <w:szCs w:val="18"/>
                <w:lang w:val="en-GB" w:eastAsia="en-GB"/>
              </w:rPr>
              <w:t xml:space="preserve"> transfer from another ICA to high-dependency unit, Brain death, Age </w:t>
            </w:r>
            <w:r w:rsidR="000B4E2C" w:rsidRPr="000B4E2C">
              <w:rPr>
                <w:color w:val="00B0F0"/>
                <w:sz w:val="18"/>
                <w:szCs w:val="18"/>
                <w:lang w:val="en-GB" w:eastAsia="en-GB"/>
              </w:rPr>
              <w:t>&lt;</w:t>
            </w:r>
            <w:r w:rsidR="000B4E2C" w:rsidRPr="000B4E2C">
              <w:rPr>
                <w:color w:val="00B0F0"/>
                <w:sz w:val="18"/>
                <w:szCs w:val="18"/>
                <w:lang w:val="en-GB" w:eastAsia="en-GB"/>
              </w:rPr>
              <w:t> </w:t>
            </w:r>
            <w:r w:rsidRPr="000B4E2C">
              <w:rPr>
                <w:sz w:val="18"/>
                <w:szCs w:val="18"/>
                <w:lang w:val="en-GB" w:eastAsia="en-GB"/>
              </w:rPr>
              <w:t>18 years, Inability to draw blood or urine</w:t>
            </w:r>
          </w:p>
        </w:tc>
      </w:tr>
      <w:tr w:rsidR="000B4E2C" w:rsidRPr="000B4E2C" w14:paraId="5A3C08DD" w14:textId="77777777" w:rsidTr="000B4E2C">
        <w:trPr>
          <w:cantSplit/>
        </w:trPr>
        <w:tc>
          <w:tcPr>
            <w:tcW w:w="0" w:type="auto"/>
            <w:shd w:val="clear" w:color="auto" w:fill="auto"/>
            <w:hideMark/>
          </w:tcPr>
          <w:p w14:paraId="15F3C4E8" w14:textId="15EB3757" w:rsidR="00F471F5" w:rsidRPr="000B4E2C" w:rsidRDefault="00F471F5" w:rsidP="00F471F5">
            <w:pPr>
              <w:rPr>
                <w:color w:val="000000"/>
                <w:sz w:val="18"/>
                <w:szCs w:val="18"/>
                <w:lang w:val="en-GB" w:eastAsia="en-GB"/>
              </w:rPr>
            </w:pPr>
            <w:r w:rsidRPr="000B4E2C">
              <w:rPr>
                <w:sz w:val="18"/>
                <w:szCs w:val="18"/>
                <w:lang w:val="en-GB" w:eastAsia="en-GB"/>
              </w:rPr>
              <w:t>Asada 2016,</w:t>
            </w:r>
            <w:r w:rsidRPr="000B4E2C">
              <w:rPr>
                <w:sz w:val="18"/>
                <w:szCs w:val="18"/>
                <w:vertAlign w:val="superscript"/>
                <w:lang w:val="en-GB" w:eastAsia="en-GB"/>
              </w:rPr>
              <w:t>52</w:t>
            </w:r>
            <w:r w:rsidRPr="000B4E2C">
              <w:rPr>
                <w:sz w:val="18"/>
                <w:szCs w:val="18"/>
                <w:lang w:val="en-GB" w:eastAsia="en-GB"/>
              </w:rPr>
              <w:t xml:space="preserve"> Japan</w:t>
            </w:r>
          </w:p>
        </w:tc>
        <w:tc>
          <w:tcPr>
            <w:tcW w:w="0" w:type="auto"/>
            <w:shd w:val="clear" w:color="auto" w:fill="auto"/>
            <w:hideMark/>
          </w:tcPr>
          <w:p w14:paraId="43D5A47D"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04B031F2" w14:textId="77777777" w:rsidR="000B4E2C" w:rsidRPr="000B4E2C" w:rsidRDefault="00F471F5" w:rsidP="00F471F5">
            <w:pPr>
              <w:rPr>
                <w:sz w:val="18"/>
                <w:szCs w:val="18"/>
                <w:lang w:val="en-GB" w:eastAsia="en-GB"/>
              </w:rPr>
            </w:pPr>
            <w:r w:rsidRPr="000B4E2C">
              <w:rPr>
                <w:sz w:val="18"/>
                <w:szCs w:val="18"/>
                <w:lang w:val="en-GB" w:eastAsia="en-GB"/>
              </w:rPr>
              <w:t>AKI</w:t>
            </w:r>
          </w:p>
          <w:p w14:paraId="7F7682CC" w14:textId="44FBA330" w:rsidR="00F471F5" w:rsidRPr="000B4E2C" w:rsidRDefault="00F471F5" w:rsidP="00F471F5">
            <w:pPr>
              <w:rPr>
                <w:sz w:val="18"/>
                <w:szCs w:val="18"/>
                <w:lang w:val="en-GB" w:eastAsia="en-GB"/>
              </w:rPr>
            </w:pPr>
            <w:r w:rsidRPr="000B4E2C">
              <w:rPr>
                <w:sz w:val="18"/>
                <w:szCs w:val="18"/>
                <w:lang w:val="en-GB" w:eastAsia="en-GB"/>
              </w:rPr>
              <w:t>62</w:t>
            </w:r>
          </w:p>
          <w:p w14:paraId="0084C2BA" w14:textId="77777777" w:rsidR="00F471F5" w:rsidRPr="000B4E2C" w:rsidRDefault="00F471F5" w:rsidP="00F471F5">
            <w:pPr>
              <w:rPr>
                <w:sz w:val="18"/>
                <w:szCs w:val="18"/>
                <w:lang w:val="en-GB" w:eastAsia="en-GB"/>
              </w:rPr>
            </w:pPr>
            <w:r w:rsidRPr="000B4E2C">
              <w:rPr>
                <w:sz w:val="18"/>
                <w:szCs w:val="18"/>
                <w:lang w:val="en-GB" w:eastAsia="en-GB"/>
              </w:rPr>
              <w:t>(48, 74);</w:t>
            </w:r>
          </w:p>
          <w:p w14:paraId="1329D575" w14:textId="77777777" w:rsidR="000B4E2C" w:rsidRPr="000B4E2C" w:rsidRDefault="00F471F5" w:rsidP="00F471F5">
            <w:pPr>
              <w:rPr>
                <w:sz w:val="18"/>
                <w:szCs w:val="18"/>
                <w:lang w:val="en-GB" w:eastAsia="en-GB"/>
              </w:rPr>
            </w:pPr>
            <w:r w:rsidRPr="000B4E2C">
              <w:rPr>
                <w:sz w:val="18"/>
                <w:szCs w:val="18"/>
                <w:lang w:val="en-GB" w:eastAsia="en-GB"/>
              </w:rPr>
              <w:t>No AKI</w:t>
            </w:r>
          </w:p>
          <w:p w14:paraId="256DF58E" w14:textId="7678CBA8" w:rsidR="00F471F5" w:rsidRPr="000B4E2C" w:rsidRDefault="00F471F5" w:rsidP="00F471F5">
            <w:pPr>
              <w:rPr>
                <w:sz w:val="18"/>
                <w:szCs w:val="18"/>
                <w:lang w:val="en-GB" w:eastAsia="en-GB"/>
              </w:rPr>
            </w:pPr>
            <w:r w:rsidRPr="000B4E2C">
              <w:rPr>
                <w:sz w:val="18"/>
                <w:szCs w:val="18"/>
                <w:lang w:val="en-GB" w:eastAsia="en-GB"/>
              </w:rPr>
              <w:t>63</w:t>
            </w:r>
          </w:p>
          <w:p w14:paraId="0672149A" w14:textId="77777777" w:rsidR="00F471F5" w:rsidRPr="000B4E2C" w:rsidRDefault="00F471F5" w:rsidP="00F471F5">
            <w:pPr>
              <w:rPr>
                <w:color w:val="000000"/>
                <w:sz w:val="18"/>
                <w:szCs w:val="18"/>
                <w:lang w:val="en-GB" w:eastAsia="en-GB"/>
              </w:rPr>
            </w:pPr>
            <w:r w:rsidRPr="000B4E2C">
              <w:rPr>
                <w:sz w:val="18"/>
                <w:szCs w:val="18"/>
                <w:lang w:val="en-GB" w:eastAsia="en-GB"/>
              </w:rPr>
              <w:t xml:space="preserve">(51,73) </w:t>
            </w:r>
          </w:p>
        </w:tc>
        <w:tc>
          <w:tcPr>
            <w:tcW w:w="0" w:type="auto"/>
            <w:shd w:val="clear" w:color="auto" w:fill="auto"/>
            <w:hideMark/>
          </w:tcPr>
          <w:p w14:paraId="618D1503" w14:textId="77777777" w:rsidR="00F471F5" w:rsidRPr="000B4E2C" w:rsidRDefault="00F471F5" w:rsidP="00F471F5">
            <w:pPr>
              <w:rPr>
                <w:color w:val="000000"/>
                <w:sz w:val="18"/>
                <w:szCs w:val="18"/>
                <w:lang w:val="en-GB" w:eastAsia="en-GB"/>
              </w:rPr>
            </w:pPr>
            <w:r w:rsidRPr="000B4E2C">
              <w:rPr>
                <w:sz w:val="18"/>
                <w:szCs w:val="18"/>
                <w:lang w:val="en-GB" w:eastAsia="en-GB"/>
              </w:rPr>
              <w:t>133</w:t>
            </w:r>
          </w:p>
        </w:tc>
        <w:tc>
          <w:tcPr>
            <w:tcW w:w="0" w:type="auto"/>
            <w:shd w:val="clear" w:color="auto" w:fill="auto"/>
            <w:hideMark/>
          </w:tcPr>
          <w:p w14:paraId="7C6BEF59" w14:textId="77777777" w:rsidR="00F471F5" w:rsidRPr="000B4E2C" w:rsidRDefault="00F471F5" w:rsidP="00F471F5">
            <w:pPr>
              <w:rPr>
                <w:color w:val="000000"/>
                <w:sz w:val="18"/>
                <w:szCs w:val="18"/>
                <w:lang w:val="en-GB" w:eastAsia="en-GB"/>
              </w:rPr>
            </w:pPr>
            <w:r w:rsidRPr="000B4E2C">
              <w:rPr>
                <w:sz w:val="18"/>
                <w:szCs w:val="18"/>
                <w:lang w:val="en-GB" w:eastAsia="en-GB"/>
              </w:rPr>
              <w:t>31</w:t>
            </w:r>
          </w:p>
        </w:tc>
        <w:tc>
          <w:tcPr>
            <w:tcW w:w="0" w:type="auto"/>
            <w:shd w:val="clear" w:color="auto" w:fill="auto"/>
            <w:hideMark/>
          </w:tcPr>
          <w:p w14:paraId="53CA32AD"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0F06EEBE" w14:textId="77777777" w:rsidR="00F471F5" w:rsidRPr="000B4E2C" w:rsidRDefault="00F471F5" w:rsidP="00F471F5">
            <w:pPr>
              <w:rPr>
                <w:sz w:val="18"/>
                <w:szCs w:val="18"/>
                <w:lang w:val="en-GB" w:eastAsia="en-GB"/>
              </w:rPr>
            </w:pPr>
            <w:r w:rsidRPr="000B4E2C">
              <w:rPr>
                <w:sz w:val="18"/>
                <w:szCs w:val="18"/>
                <w:lang w:val="en-GB" w:eastAsia="en-GB"/>
              </w:rPr>
              <w:t>AKI</w:t>
            </w:r>
          </w:p>
          <w:p w14:paraId="1801A4F9" w14:textId="77777777" w:rsidR="00F471F5" w:rsidRPr="000B4E2C" w:rsidRDefault="00F471F5" w:rsidP="00F471F5">
            <w:pPr>
              <w:rPr>
                <w:sz w:val="18"/>
                <w:szCs w:val="18"/>
                <w:lang w:val="en-GB" w:eastAsia="en-GB"/>
              </w:rPr>
            </w:pPr>
            <w:r w:rsidRPr="000B4E2C">
              <w:rPr>
                <w:sz w:val="18"/>
                <w:szCs w:val="18"/>
                <w:lang w:val="en-GB" w:eastAsia="en-GB"/>
              </w:rPr>
              <w:t>68%;</w:t>
            </w:r>
          </w:p>
          <w:p w14:paraId="1222B5E8" w14:textId="77777777" w:rsidR="00F471F5" w:rsidRPr="000B4E2C" w:rsidRDefault="00F471F5" w:rsidP="00F471F5">
            <w:pPr>
              <w:rPr>
                <w:sz w:val="18"/>
                <w:szCs w:val="18"/>
                <w:lang w:val="en-GB" w:eastAsia="en-GB"/>
              </w:rPr>
            </w:pPr>
            <w:r w:rsidRPr="000B4E2C">
              <w:rPr>
                <w:sz w:val="18"/>
                <w:szCs w:val="18"/>
                <w:lang w:val="en-GB" w:eastAsia="en-GB"/>
              </w:rPr>
              <w:t>No AKI</w:t>
            </w:r>
          </w:p>
          <w:p w14:paraId="58A949C4" w14:textId="77777777" w:rsidR="00F471F5" w:rsidRPr="000B4E2C" w:rsidRDefault="00F471F5" w:rsidP="00F471F5">
            <w:pPr>
              <w:rPr>
                <w:color w:val="000000"/>
                <w:sz w:val="18"/>
                <w:szCs w:val="18"/>
                <w:lang w:val="en-GB" w:eastAsia="en-GB"/>
              </w:rPr>
            </w:pPr>
            <w:r w:rsidRPr="000B4E2C">
              <w:rPr>
                <w:sz w:val="18"/>
                <w:szCs w:val="18"/>
                <w:lang w:val="en-GB" w:eastAsia="en-GB"/>
              </w:rPr>
              <w:t>58%</w:t>
            </w:r>
          </w:p>
        </w:tc>
        <w:tc>
          <w:tcPr>
            <w:tcW w:w="0" w:type="auto"/>
            <w:shd w:val="clear" w:color="auto" w:fill="auto"/>
            <w:hideMark/>
          </w:tcPr>
          <w:p w14:paraId="717FBECA"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4CC73C60"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1264056C"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2230ABD8"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403D4C5E" w14:textId="77777777" w:rsidR="00F471F5" w:rsidRPr="000B4E2C" w:rsidRDefault="00F471F5" w:rsidP="00F471F5">
            <w:pPr>
              <w:rPr>
                <w:color w:val="000000"/>
                <w:sz w:val="18"/>
                <w:szCs w:val="18"/>
                <w:lang w:val="en-GB" w:eastAsia="en-GB"/>
              </w:rPr>
            </w:pPr>
            <w:r w:rsidRPr="000B4E2C">
              <w:rPr>
                <w:sz w:val="18"/>
                <w:szCs w:val="18"/>
                <w:lang w:val="en-GB" w:eastAsia="en-GB"/>
              </w:rPr>
              <w:t>Patients aged 18 years or older who were admitted to the ICU</w:t>
            </w:r>
          </w:p>
        </w:tc>
        <w:tc>
          <w:tcPr>
            <w:tcW w:w="0" w:type="auto"/>
            <w:shd w:val="clear" w:color="auto" w:fill="auto"/>
            <w:hideMark/>
          </w:tcPr>
          <w:p w14:paraId="0AA79642" w14:textId="77777777" w:rsidR="00F471F5" w:rsidRPr="000B4E2C" w:rsidRDefault="00F471F5" w:rsidP="00F471F5">
            <w:pPr>
              <w:rPr>
                <w:sz w:val="18"/>
                <w:szCs w:val="18"/>
                <w:lang w:val="en-GB" w:eastAsia="en-GB"/>
              </w:rPr>
            </w:pPr>
            <w:r w:rsidRPr="000B4E2C">
              <w:rPr>
                <w:sz w:val="18"/>
                <w:szCs w:val="18"/>
                <w:lang w:val="en-GB" w:eastAsia="en-GB"/>
              </w:rPr>
              <w:t>Presence of end-stage renal disease</w:t>
            </w:r>
          </w:p>
        </w:tc>
      </w:tr>
      <w:tr w:rsidR="000B4E2C" w:rsidRPr="000B4E2C" w14:paraId="4229C878" w14:textId="77777777" w:rsidTr="000B4E2C">
        <w:trPr>
          <w:cantSplit/>
        </w:trPr>
        <w:tc>
          <w:tcPr>
            <w:tcW w:w="0" w:type="auto"/>
            <w:shd w:val="clear" w:color="auto" w:fill="auto"/>
            <w:hideMark/>
          </w:tcPr>
          <w:p w14:paraId="4C2CEA8A" w14:textId="36374C57" w:rsidR="00F471F5" w:rsidRPr="000B4E2C" w:rsidRDefault="00F471F5" w:rsidP="00F471F5">
            <w:pPr>
              <w:rPr>
                <w:color w:val="000000"/>
                <w:sz w:val="18"/>
                <w:szCs w:val="18"/>
                <w:lang w:val="en-GB" w:eastAsia="en-GB"/>
              </w:rPr>
            </w:pPr>
            <w:r w:rsidRPr="000B4E2C">
              <w:rPr>
                <w:sz w:val="18"/>
                <w:szCs w:val="18"/>
                <w:lang w:val="en-GB" w:eastAsia="en-GB"/>
              </w:rPr>
              <w:t>Nickolas 2012,</w:t>
            </w:r>
            <w:r w:rsidRPr="000B4E2C">
              <w:rPr>
                <w:sz w:val="18"/>
                <w:szCs w:val="18"/>
                <w:vertAlign w:val="superscript"/>
                <w:lang w:val="en-GB" w:eastAsia="en-GB"/>
              </w:rPr>
              <w:t>58</w:t>
            </w:r>
            <w:r w:rsidRPr="000B4E2C">
              <w:rPr>
                <w:sz w:val="18"/>
                <w:szCs w:val="18"/>
                <w:lang w:val="en-GB" w:eastAsia="en-GB"/>
              </w:rPr>
              <w:t xml:space="preserve"> USA and Germany</w:t>
            </w:r>
          </w:p>
        </w:tc>
        <w:tc>
          <w:tcPr>
            <w:tcW w:w="0" w:type="auto"/>
            <w:shd w:val="clear" w:color="auto" w:fill="auto"/>
            <w:hideMark/>
          </w:tcPr>
          <w:p w14:paraId="722E8B51"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7EA3A4CC" w14:textId="77777777" w:rsidR="00F471F5" w:rsidRPr="000B4E2C" w:rsidRDefault="00F471F5" w:rsidP="00F471F5">
            <w:pPr>
              <w:rPr>
                <w:sz w:val="18"/>
                <w:szCs w:val="18"/>
                <w:lang w:val="en-GB" w:eastAsia="en-GB"/>
              </w:rPr>
            </w:pPr>
            <w:r w:rsidRPr="000B4E2C">
              <w:rPr>
                <w:sz w:val="18"/>
                <w:szCs w:val="18"/>
                <w:lang w:val="en-GB" w:eastAsia="en-GB"/>
              </w:rPr>
              <w:t>64</w:t>
            </w:r>
          </w:p>
          <w:p w14:paraId="66F62868" w14:textId="77777777" w:rsidR="00F471F5" w:rsidRPr="000B4E2C" w:rsidRDefault="00F471F5" w:rsidP="00F471F5">
            <w:pPr>
              <w:rPr>
                <w:color w:val="000000"/>
                <w:sz w:val="18"/>
                <w:szCs w:val="18"/>
                <w:lang w:val="en-GB" w:eastAsia="en-GB"/>
              </w:rPr>
            </w:pPr>
            <w:r w:rsidRPr="000B4E2C">
              <w:rPr>
                <w:sz w:val="18"/>
                <w:szCs w:val="18"/>
                <w:lang w:val="en-GB" w:eastAsia="en-GB"/>
              </w:rPr>
              <w:t>(19)</w:t>
            </w:r>
          </w:p>
        </w:tc>
        <w:tc>
          <w:tcPr>
            <w:tcW w:w="0" w:type="auto"/>
            <w:shd w:val="clear" w:color="auto" w:fill="auto"/>
            <w:hideMark/>
          </w:tcPr>
          <w:p w14:paraId="0C791931" w14:textId="77777777" w:rsidR="00F471F5" w:rsidRPr="000B4E2C" w:rsidRDefault="00F471F5" w:rsidP="00F471F5">
            <w:pPr>
              <w:rPr>
                <w:color w:val="000000"/>
                <w:sz w:val="18"/>
                <w:szCs w:val="18"/>
                <w:lang w:val="en-GB" w:eastAsia="en-GB"/>
              </w:rPr>
            </w:pPr>
            <w:r w:rsidRPr="000B4E2C">
              <w:rPr>
                <w:sz w:val="18"/>
                <w:szCs w:val="18"/>
                <w:lang w:val="en-GB" w:eastAsia="en-GB"/>
              </w:rPr>
              <w:t>1635</w:t>
            </w:r>
          </w:p>
        </w:tc>
        <w:tc>
          <w:tcPr>
            <w:tcW w:w="0" w:type="auto"/>
            <w:shd w:val="clear" w:color="auto" w:fill="auto"/>
            <w:hideMark/>
          </w:tcPr>
          <w:p w14:paraId="1CC8267F" w14:textId="77777777" w:rsidR="00F471F5" w:rsidRPr="000B4E2C" w:rsidRDefault="00F471F5" w:rsidP="00F471F5">
            <w:pPr>
              <w:rPr>
                <w:color w:val="000000"/>
                <w:sz w:val="18"/>
                <w:szCs w:val="18"/>
                <w:lang w:val="en-GB" w:eastAsia="en-GB"/>
              </w:rPr>
            </w:pPr>
            <w:r w:rsidRPr="000B4E2C">
              <w:rPr>
                <w:sz w:val="18"/>
                <w:szCs w:val="18"/>
                <w:lang w:val="en-GB" w:eastAsia="en-GB"/>
              </w:rPr>
              <w:t>96</w:t>
            </w:r>
          </w:p>
        </w:tc>
        <w:tc>
          <w:tcPr>
            <w:tcW w:w="0" w:type="auto"/>
            <w:shd w:val="clear" w:color="auto" w:fill="auto"/>
            <w:hideMark/>
          </w:tcPr>
          <w:p w14:paraId="4579AABB" w14:textId="77777777" w:rsidR="00F471F5" w:rsidRPr="000B4E2C" w:rsidRDefault="00F471F5" w:rsidP="00F471F5">
            <w:pPr>
              <w:rPr>
                <w:color w:val="000000"/>
                <w:sz w:val="18"/>
                <w:szCs w:val="18"/>
                <w:lang w:val="en-GB" w:eastAsia="en-GB"/>
              </w:rPr>
            </w:pPr>
            <w:r w:rsidRPr="000B4E2C">
              <w:rPr>
                <w:sz w:val="18"/>
                <w:szCs w:val="18"/>
                <w:lang w:val="en-GB" w:eastAsia="en-GB"/>
              </w:rPr>
              <w:t>RIFLE</w:t>
            </w:r>
          </w:p>
        </w:tc>
        <w:tc>
          <w:tcPr>
            <w:tcW w:w="0" w:type="auto"/>
            <w:shd w:val="clear" w:color="auto" w:fill="auto"/>
            <w:hideMark/>
          </w:tcPr>
          <w:p w14:paraId="6797A48B" w14:textId="77777777" w:rsidR="00F471F5" w:rsidRPr="000B4E2C" w:rsidRDefault="00F471F5" w:rsidP="00F471F5">
            <w:pPr>
              <w:rPr>
                <w:color w:val="000000"/>
                <w:sz w:val="18"/>
                <w:szCs w:val="18"/>
                <w:lang w:val="en-GB" w:eastAsia="en-GB"/>
              </w:rPr>
            </w:pPr>
            <w:r w:rsidRPr="000B4E2C">
              <w:rPr>
                <w:sz w:val="18"/>
                <w:szCs w:val="18"/>
                <w:lang w:val="en-GB" w:eastAsia="en-GB"/>
              </w:rPr>
              <w:t>52%</w:t>
            </w:r>
          </w:p>
        </w:tc>
        <w:tc>
          <w:tcPr>
            <w:tcW w:w="0" w:type="auto"/>
            <w:shd w:val="clear" w:color="auto" w:fill="auto"/>
            <w:hideMark/>
          </w:tcPr>
          <w:p w14:paraId="3F9055D1" w14:textId="77777777" w:rsidR="00F471F5" w:rsidRPr="000B4E2C" w:rsidRDefault="00F471F5" w:rsidP="00F471F5">
            <w:pPr>
              <w:rPr>
                <w:sz w:val="18"/>
                <w:szCs w:val="18"/>
                <w:lang w:val="en-GB" w:eastAsia="en-GB"/>
              </w:rPr>
            </w:pPr>
            <w:r w:rsidRPr="000B4E2C">
              <w:rPr>
                <w:sz w:val="18"/>
                <w:szCs w:val="18"/>
                <w:lang w:val="en-GB" w:eastAsia="en-GB"/>
              </w:rPr>
              <w:t>0.9</w:t>
            </w:r>
          </w:p>
          <w:p w14:paraId="1F390D4B" w14:textId="77777777" w:rsidR="00F471F5" w:rsidRPr="000B4E2C" w:rsidRDefault="00F471F5" w:rsidP="00F471F5">
            <w:pPr>
              <w:rPr>
                <w:color w:val="000000"/>
                <w:sz w:val="18"/>
                <w:szCs w:val="18"/>
                <w:lang w:val="en-GB" w:eastAsia="en-GB"/>
              </w:rPr>
            </w:pPr>
            <w:r w:rsidRPr="000B4E2C">
              <w:rPr>
                <w:sz w:val="18"/>
                <w:szCs w:val="18"/>
                <w:lang w:val="en-GB" w:eastAsia="en-GB"/>
              </w:rPr>
              <w:t>(0.4) mg/dL</w:t>
            </w:r>
          </w:p>
        </w:tc>
        <w:tc>
          <w:tcPr>
            <w:tcW w:w="0" w:type="auto"/>
            <w:shd w:val="clear" w:color="auto" w:fill="auto"/>
            <w:noWrap/>
            <w:hideMark/>
          </w:tcPr>
          <w:p w14:paraId="6ABFABF8" w14:textId="77777777" w:rsidR="00F471F5" w:rsidRPr="000B4E2C" w:rsidRDefault="00F471F5" w:rsidP="00F471F5">
            <w:pPr>
              <w:rPr>
                <w:color w:val="000000"/>
                <w:sz w:val="18"/>
                <w:szCs w:val="18"/>
                <w:lang w:val="en-GB" w:eastAsia="en-GB"/>
              </w:rPr>
            </w:pPr>
            <w:r w:rsidRPr="000B4E2C">
              <w:rPr>
                <w:sz w:val="18"/>
                <w:szCs w:val="18"/>
                <w:lang w:val="en-GB" w:eastAsia="en-GB"/>
              </w:rPr>
              <w:t>70.5 (33.2)</w:t>
            </w:r>
          </w:p>
        </w:tc>
        <w:tc>
          <w:tcPr>
            <w:tcW w:w="0" w:type="auto"/>
            <w:shd w:val="clear" w:color="auto" w:fill="auto"/>
            <w:noWrap/>
            <w:hideMark/>
          </w:tcPr>
          <w:p w14:paraId="56352C00"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0E5CCD9"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1AF07A4D" w14:textId="77777777" w:rsidR="00F471F5" w:rsidRPr="000B4E2C" w:rsidRDefault="00F471F5" w:rsidP="00F471F5">
            <w:pPr>
              <w:rPr>
                <w:color w:val="000000"/>
                <w:sz w:val="18"/>
                <w:szCs w:val="18"/>
                <w:lang w:val="en-GB" w:eastAsia="en-GB"/>
              </w:rPr>
            </w:pPr>
            <w:r w:rsidRPr="000B4E2C">
              <w:rPr>
                <w:sz w:val="18"/>
                <w:szCs w:val="18"/>
                <w:lang w:val="en-GB" w:eastAsia="en-GB"/>
              </w:rPr>
              <w:t>Patients older than 18 years of age irrespective of their condition who were in the process of admission to the hospital from the ED</w:t>
            </w:r>
          </w:p>
        </w:tc>
        <w:tc>
          <w:tcPr>
            <w:tcW w:w="0" w:type="auto"/>
            <w:shd w:val="clear" w:color="auto" w:fill="auto"/>
            <w:hideMark/>
          </w:tcPr>
          <w:p w14:paraId="16908ACE" w14:textId="2FA00C22" w:rsidR="00F471F5" w:rsidRPr="000B4E2C" w:rsidRDefault="00F471F5" w:rsidP="00F471F5">
            <w:pPr>
              <w:rPr>
                <w:sz w:val="18"/>
                <w:szCs w:val="18"/>
                <w:lang w:val="en-GB" w:eastAsia="en-GB"/>
              </w:rPr>
            </w:pPr>
            <w:r w:rsidRPr="000B4E2C">
              <w:rPr>
                <w:sz w:val="18"/>
                <w:szCs w:val="18"/>
                <w:lang w:val="en-GB" w:eastAsia="en-GB"/>
              </w:rPr>
              <w:t>Patients who had 2</w:t>
            </w:r>
            <w:r w:rsidR="000B4E2C" w:rsidRPr="000B4E2C">
              <w:rPr>
                <w:color w:val="00B0F0"/>
                <w:sz w:val="18"/>
                <w:szCs w:val="18"/>
                <w:lang w:val="en-GB" w:eastAsia="en-GB"/>
              </w:rPr>
              <w:t>4</w:t>
            </w:r>
            <w:r w:rsidR="000B4E2C" w:rsidRPr="000B4E2C">
              <w:rPr>
                <w:color w:val="00B0F0"/>
                <w:sz w:val="18"/>
                <w:szCs w:val="18"/>
                <w:lang w:val="en-GB" w:eastAsia="en-GB"/>
              </w:rPr>
              <w:t> </w:t>
            </w:r>
            <w:r w:rsidR="000B4E2C" w:rsidRPr="000B4E2C">
              <w:rPr>
                <w:color w:val="00B0F0"/>
                <w:sz w:val="18"/>
                <w:szCs w:val="18"/>
                <w:lang w:val="en-GB" w:eastAsia="en-GB"/>
              </w:rPr>
              <w:t xml:space="preserve">h </w:t>
            </w:r>
            <w:r w:rsidRPr="000B4E2C">
              <w:rPr>
                <w:sz w:val="18"/>
                <w:szCs w:val="18"/>
                <w:lang w:val="en-GB" w:eastAsia="en-GB"/>
              </w:rPr>
              <w:t>of follow-up or were on long-term renal replacement therapy</w:t>
            </w:r>
          </w:p>
        </w:tc>
      </w:tr>
      <w:tr w:rsidR="000B4E2C" w:rsidRPr="000B4E2C" w14:paraId="55EFACA2" w14:textId="77777777" w:rsidTr="000B4E2C">
        <w:trPr>
          <w:cantSplit/>
        </w:trPr>
        <w:tc>
          <w:tcPr>
            <w:tcW w:w="0" w:type="auto"/>
            <w:shd w:val="clear" w:color="auto" w:fill="auto"/>
            <w:hideMark/>
          </w:tcPr>
          <w:p w14:paraId="57FC6FF2" w14:textId="3FAC3B0E" w:rsidR="00F471F5" w:rsidRPr="000B4E2C" w:rsidRDefault="00F471F5" w:rsidP="00F471F5">
            <w:pPr>
              <w:rPr>
                <w:color w:val="000000"/>
                <w:sz w:val="18"/>
                <w:szCs w:val="18"/>
                <w:lang w:val="en-GB" w:eastAsia="en-GB"/>
              </w:rPr>
            </w:pPr>
            <w:r w:rsidRPr="000B4E2C">
              <w:rPr>
                <w:sz w:val="18"/>
                <w:szCs w:val="18"/>
                <w:lang w:val="en-GB" w:eastAsia="en-GB"/>
              </w:rPr>
              <w:lastRenderedPageBreak/>
              <w:t>Hjortrup 2015,</w:t>
            </w:r>
            <w:r w:rsidRPr="000B4E2C">
              <w:rPr>
                <w:sz w:val="18"/>
                <w:szCs w:val="18"/>
                <w:vertAlign w:val="superscript"/>
                <w:lang w:val="en-GB" w:eastAsia="en-GB"/>
              </w:rPr>
              <w:t>74</w:t>
            </w:r>
            <w:r w:rsidRPr="000B4E2C">
              <w:rPr>
                <w:sz w:val="18"/>
                <w:szCs w:val="18"/>
                <w:lang w:val="en-GB" w:eastAsia="en-GB"/>
              </w:rPr>
              <w:t xml:space="preserve"> Denmark</w:t>
            </w:r>
          </w:p>
        </w:tc>
        <w:tc>
          <w:tcPr>
            <w:tcW w:w="0" w:type="auto"/>
            <w:shd w:val="clear" w:color="auto" w:fill="auto"/>
            <w:hideMark/>
          </w:tcPr>
          <w:p w14:paraId="0A5F7447" w14:textId="77777777" w:rsidR="00F471F5" w:rsidRPr="000B4E2C" w:rsidRDefault="00F471F5" w:rsidP="00F471F5">
            <w:pPr>
              <w:rPr>
                <w:color w:val="000000"/>
                <w:sz w:val="18"/>
                <w:szCs w:val="18"/>
                <w:lang w:val="en-GB" w:eastAsia="en-GB"/>
              </w:rPr>
            </w:pPr>
            <w:r w:rsidRPr="000B4E2C">
              <w:rPr>
                <w:sz w:val="18"/>
                <w:szCs w:val="18"/>
                <w:lang w:val="en-GB" w:eastAsia="en-GB"/>
              </w:rPr>
              <w:t>uNGAL, BioPorto &amp; pNGAL BioPorto</w:t>
            </w:r>
          </w:p>
        </w:tc>
        <w:tc>
          <w:tcPr>
            <w:tcW w:w="0" w:type="auto"/>
            <w:shd w:val="clear" w:color="auto" w:fill="auto"/>
            <w:hideMark/>
          </w:tcPr>
          <w:p w14:paraId="4E507517" w14:textId="77777777" w:rsidR="000B4E2C" w:rsidRPr="000B4E2C" w:rsidRDefault="00F471F5" w:rsidP="00F471F5">
            <w:pPr>
              <w:rPr>
                <w:sz w:val="18"/>
                <w:szCs w:val="18"/>
                <w:lang w:val="en-GB" w:eastAsia="en-GB"/>
              </w:rPr>
            </w:pPr>
            <w:r w:rsidRPr="000B4E2C">
              <w:rPr>
                <w:sz w:val="18"/>
                <w:szCs w:val="18"/>
                <w:lang w:val="en-GB" w:eastAsia="en-GB"/>
              </w:rPr>
              <w:t>66</w:t>
            </w:r>
          </w:p>
          <w:p w14:paraId="14EF0246" w14:textId="46EEB2DC" w:rsidR="00F471F5" w:rsidRPr="000B4E2C" w:rsidRDefault="00F471F5" w:rsidP="00F471F5">
            <w:pPr>
              <w:rPr>
                <w:color w:val="000000"/>
                <w:sz w:val="18"/>
                <w:szCs w:val="18"/>
                <w:lang w:val="en-GB" w:eastAsia="en-GB"/>
              </w:rPr>
            </w:pPr>
            <w:r w:rsidRPr="000B4E2C">
              <w:rPr>
                <w:sz w:val="18"/>
                <w:szCs w:val="18"/>
                <w:lang w:val="en-GB" w:eastAsia="en-GB"/>
              </w:rPr>
              <w:t>(57, 75)</w:t>
            </w:r>
          </w:p>
        </w:tc>
        <w:tc>
          <w:tcPr>
            <w:tcW w:w="0" w:type="auto"/>
            <w:shd w:val="clear" w:color="auto" w:fill="auto"/>
            <w:hideMark/>
          </w:tcPr>
          <w:p w14:paraId="3036F0E7" w14:textId="77777777" w:rsidR="00F471F5" w:rsidRPr="000B4E2C" w:rsidRDefault="00F471F5" w:rsidP="00F471F5">
            <w:pPr>
              <w:rPr>
                <w:color w:val="000000"/>
                <w:sz w:val="18"/>
                <w:szCs w:val="18"/>
                <w:lang w:val="en-GB" w:eastAsia="en-GB"/>
              </w:rPr>
            </w:pPr>
            <w:r w:rsidRPr="000B4E2C">
              <w:rPr>
                <w:sz w:val="18"/>
                <w:szCs w:val="18"/>
                <w:lang w:val="en-GB" w:eastAsia="en-GB"/>
              </w:rPr>
              <w:t>151</w:t>
            </w:r>
          </w:p>
        </w:tc>
        <w:tc>
          <w:tcPr>
            <w:tcW w:w="0" w:type="auto"/>
            <w:shd w:val="clear" w:color="auto" w:fill="auto"/>
            <w:hideMark/>
          </w:tcPr>
          <w:p w14:paraId="46C48D9B" w14:textId="77777777" w:rsidR="00F471F5" w:rsidRPr="000B4E2C" w:rsidRDefault="00F471F5" w:rsidP="00F471F5">
            <w:pPr>
              <w:rPr>
                <w:color w:val="000000"/>
                <w:sz w:val="18"/>
                <w:szCs w:val="18"/>
                <w:lang w:val="en-GB" w:eastAsia="en-GB"/>
              </w:rPr>
            </w:pPr>
            <w:r w:rsidRPr="000B4E2C">
              <w:rPr>
                <w:sz w:val="18"/>
                <w:szCs w:val="18"/>
                <w:lang w:val="en-GB" w:eastAsia="en-GB"/>
              </w:rPr>
              <w:t>91</w:t>
            </w:r>
          </w:p>
        </w:tc>
        <w:tc>
          <w:tcPr>
            <w:tcW w:w="0" w:type="auto"/>
            <w:shd w:val="clear" w:color="auto" w:fill="auto"/>
            <w:hideMark/>
          </w:tcPr>
          <w:p w14:paraId="7D795C48"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33D6225B" w14:textId="77777777" w:rsidR="00F471F5" w:rsidRPr="000B4E2C" w:rsidRDefault="00F471F5" w:rsidP="00F471F5">
            <w:pPr>
              <w:rPr>
                <w:color w:val="000000"/>
                <w:sz w:val="18"/>
                <w:szCs w:val="18"/>
                <w:lang w:val="en-GB" w:eastAsia="en-GB"/>
              </w:rPr>
            </w:pPr>
            <w:r w:rsidRPr="000B4E2C">
              <w:rPr>
                <w:sz w:val="18"/>
                <w:szCs w:val="18"/>
                <w:lang w:val="en-GB" w:eastAsia="en-GB"/>
              </w:rPr>
              <w:t>57%</w:t>
            </w:r>
          </w:p>
        </w:tc>
        <w:tc>
          <w:tcPr>
            <w:tcW w:w="0" w:type="auto"/>
            <w:shd w:val="clear" w:color="auto" w:fill="auto"/>
            <w:hideMark/>
          </w:tcPr>
          <w:p w14:paraId="38F0BBA0"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065AB64E"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1108542"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1D51449"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76781027" w14:textId="0A6AAE0B" w:rsidR="00F471F5" w:rsidRPr="000B4E2C" w:rsidRDefault="00F471F5" w:rsidP="00F471F5">
            <w:pPr>
              <w:rPr>
                <w:color w:val="000000"/>
                <w:sz w:val="18"/>
                <w:szCs w:val="18"/>
                <w:lang w:val="en-GB" w:eastAsia="en-GB"/>
              </w:rPr>
            </w:pPr>
            <w:r w:rsidRPr="000B4E2C">
              <w:rPr>
                <w:sz w:val="18"/>
                <w:szCs w:val="18"/>
                <w:lang w:val="en-GB" w:eastAsia="en-GB"/>
              </w:rPr>
              <w:t>Need of fluid resuscitation in the ICU, the fulfilment of severe sepsis criteria within the previous 2</w:t>
            </w:r>
            <w:r w:rsidR="000B4E2C" w:rsidRPr="000B4E2C">
              <w:rPr>
                <w:color w:val="00B0F0"/>
                <w:sz w:val="18"/>
                <w:szCs w:val="18"/>
                <w:lang w:val="en-GB" w:eastAsia="en-GB"/>
              </w:rPr>
              <w:t>4</w:t>
            </w:r>
            <w:r w:rsidR="000B4E2C" w:rsidRPr="000B4E2C">
              <w:rPr>
                <w:color w:val="00B0F0"/>
                <w:sz w:val="18"/>
                <w:szCs w:val="18"/>
                <w:lang w:val="en-GB" w:eastAsia="en-GB"/>
              </w:rPr>
              <w:t> </w:t>
            </w:r>
            <w:r w:rsidR="000B4E2C" w:rsidRPr="000B4E2C">
              <w:rPr>
                <w:color w:val="00B0F0"/>
                <w:sz w:val="18"/>
                <w:szCs w:val="18"/>
                <w:lang w:val="en-GB" w:eastAsia="en-GB"/>
              </w:rPr>
              <w:t xml:space="preserve">h </w:t>
            </w:r>
            <w:r w:rsidRPr="000B4E2C">
              <w:rPr>
                <w:sz w:val="18"/>
                <w:szCs w:val="18"/>
                <w:lang w:val="en-GB" w:eastAsia="en-GB"/>
              </w:rPr>
              <w:t>and the consent from patient or proxy</w:t>
            </w:r>
          </w:p>
        </w:tc>
        <w:tc>
          <w:tcPr>
            <w:tcW w:w="0" w:type="auto"/>
            <w:shd w:val="clear" w:color="auto" w:fill="auto"/>
            <w:hideMark/>
          </w:tcPr>
          <w:p w14:paraId="7710ADFD" w14:textId="71D7608C" w:rsidR="00F471F5" w:rsidRPr="000B4E2C" w:rsidRDefault="000B4E2C" w:rsidP="00F471F5">
            <w:pPr>
              <w:rPr>
                <w:sz w:val="18"/>
                <w:szCs w:val="18"/>
                <w:lang w:val="en-GB" w:eastAsia="en-GB"/>
              </w:rPr>
            </w:pPr>
            <w:r w:rsidRPr="000B4E2C">
              <w:rPr>
                <w:color w:val="00B0F0"/>
                <w:sz w:val="18"/>
                <w:szCs w:val="18"/>
                <w:lang w:val="en-GB" w:eastAsia="en-GB"/>
              </w:rPr>
              <w:t>&lt;</w:t>
            </w:r>
            <w:r w:rsidRPr="000B4E2C">
              <w:rPr>
                <w:color w:val="00B0F0"/>
                <w:sz w:val="18"/>
                <w:szCs w:val="18"/>
                <w:lang w:val="en-GB" w:eastAsia="en-GB"/>
              </w:rPr>
              <w:t> </w:t>
            </w:r>
            <w:r w:rsidR="00F471F5" w:rsidRPr="000B4E2C">
              <w:rPr>
                <w:sz w:val="18"/>
                <w:szCs w:val="18"/>
                <w:lang w:val="en-GB" w:eastAsia="en-GB"/>
              </w:rPr>
              <w:t xml:space="preserve">18 years; allergy towards HES or malic acid; any form of RRT; acute burn injury </w:t>
            </w:r>
            <w:r w:rsidRPr="000B4E2C">
              <w:rPr>
                <w:color w:val="00B0F0"/>
                <w:sz w:val="18"/>
                <w:szCs w:val="18"/>
                <w:lang w:val="en-GB" w:eastAsia="en-GB"/>
              </w:rPr>
              <w:t>&gt;</w:t>
            </w:r>
            <w:r w:rsidRPr="000B4E2C">
              <w:rPr>
                <w:color w:val="00B0F0"/>
                <w:sz w:val="18"/>
                <w:szCs w:val="18"/>
                <w:lang w:val="en-GB" w:eastAsia="en-GB"/>
              </w:rPr>
              <w:t> </w:t>
            </w:r>
            <w:r w:rsidR="00F471F5" w:rsidRPr="000B4E2C">
              <w:rPr>
                <w:sz w:val="18"/>
                <w:szCs w:val="18"/>
                <w:lang w:val="en-GB" w:eastAsia="en-GB"/>
              </w:rPr>
              <w:t>10% of body surface area; severe hyperkalaemia within the last 6 hrs; liver or kidney transplantation or intracranial bleeding during current hospital admission;</w:t>
            </w:r>
            <w:r w:rsidRPr="000B4E2C">
              <w:rPr>
                <w:sz w:val="18"/>
                <w:szCs w:val="18"/>
                <w:lang w:val="en-GB" w:eastAsia="en-GB"/>
              </w:rPr>
              <w:t xml:space="preserve"> </w:t>
            </w:r>
            <w:r w:rsidR="00F471F5" w:rsidRPr="000B4E2C">
              <w:rPr>
                <w:sz w:val="18"/>
                <w:szCs w:val="18"/>
                <w:lang w:val="en-GB" w:eastAsia="en-GB"/>
              </w:rPr>
              <w:t>enrolment into another ICU trial of drugs with potential action on circulation, renal function or coagulation.</w:t>
            </w:r>
          </w:p>
        </w:tc>
      </w:tr>
      <w:tr w:rsidR="000B4E2C" w:rsidRPr="000B4E2C" w14:paraId="0C6CFA15" w14:textId="77777777" w:rsidTr="000B4E2C">
        <w:trPr>
          <w:cantSplit/>
        </w:trPr>
        <w:tc>
          <w:tcPr>
            <w:tcW w:w="0" w:type="auto"/>
            <w:shd w:val="clear" w:color="auto" w:fill="auto"/>
            <w:hideMark/>
          </w:tcPr>
          <w:p w14:paraId="66BEA814" w14:textId="6AC93B1D" w:rsidR="00F471F5" w:rsidRPr="000B4E2C" w:rsidRDefault="00F471F5" w:rsidP="00F471F5">
            <w:pPr>
              <w:rPr>
                <w:color w:val="000000"/>
                <w:sz w:val="18"/>
                <w:szCs w:val="18"/>
                <w:lang w:val="en-GB" w:eastAsia="en-GB"/>
              </w:rPr>
            </w:pPr>
            <w:r w:rsidRPr="000B4E2C">
              <w:rPr>
                <w:sz w:val="18"/>
                <w:szCs w:val="18"/>
                <w:lang w:val="en-GB" w:eastAsia="en-GB"/>
              </w:rPr>
              <w:t>Park 2017,</w:t>
            </w:r>
            <w:r w:rsidRPr="000B4E2C">
              <w:rPr>
                <w:sz w:val="18"/>
                <w:szCs w:val="18"/>
                <w:vertAlign w:val="superscript"/>
                <w:lang w:val="en-GB" w:eastAsia="en-GB"/>
              </w:rPr>
              <w:t>59</w:t>
            </w:r>
            <w:r w:rsidRPr="000B4E2C">
              <w:rPr>
                <w:sz w:val="18"/>
                <w:szCs w:val="18"/>
                <w:lang w:val="en-GB" w:eastAsia="en-GB"/>
              </w:rPr>
              <w:t xml:space="preserve"> USA</w:t>
            </w:r>
          </w:p>
        </w:tc>
        <w:tc>
          <w:tcPr>
            <w:tcW w:w="0" w:type="auto"/>
            <w:shd w:val="clear" w:color="auto" w:fill="auto"/>
            <w:hideMark/>
          </w:tcPr>
          <w:p w14:paraId="3B42F051"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120A203B" w14:textId="77777777" w:rsidR="00F471F5" w:rsidRPr="000B4E2C" w:rsidRDefault="00F471F5" w:rsidP="00F471F5">
            <w:pPr>
              <w:rPr>
                <w:sz w:val="18"/>
                <w:szCs w:val="18"/>
                <w:lang w:val="en-GB" w:eastAsia="en-GB"/>
              </w:rPr>
            </w:pPr>
            <w:r w:rsidRPr="000B4E2C">
              <w:rPr>
                <w:sz w:val="18"/>
                <w:szCs w:val="18"/>
                <w:lang w:val="en-GB" w:eastAsia="en-GB"/>
              </w:rPr>
              <w:t>59</w:t>
            </w:r>
          </w:p>
          <w:p w14:paraId="298331E1" w14:textId="77777777" w:rsidR="00F471F5" w:rsidRPr="000B4E2C" w:rsidRDefault="00F471F5" w:rsidP="00F471F5">
            <w:pPr>
              <w:rPr>
                <w:color w:val="000000"/>
                <w:sz w:val="18"/>
                <w:szCs w:val="18"/>
                <w:lang w:val="en-GB" w:eastAsia="en-GB"/>
              </w:rPr>
            </w:pPr>
            <w:r w:rsidRPr="000B4E2C">
              <w:rPr>
                <w:sz w:val="18"/>
                <w:szCs w:val="18"/>
                <w:lang w:val="en-GB" w:eastAsia="en-GB"/>
              </w:rPr>
              <w:t>(11)</w:t>
            </w:r>
          </w:p>
        </w:tc>
        <w:tc>
          <w:tcPr>
            <w:tcW w:w="0" w:type="auto"/>
            <w:shd w:val="clear" w:color="auto" w:fill="auto"/>
            <w:hideMark/>
          </w:tcPr>
          <w:p w14:paraId="291D524A" w14:textId="77777777" w:rsidR="00F471F5" w:rsidRPr="000B4E2C" w:rsidRDefault="00F471F5" w:rsidP="00F471F5">
            <w:pPr>
              <w:rPr>
                <w:color w:val="000000"/>
                <w:sz w:val="18"/>
                <w:szCs w:val="18"/>
                <w:lang w:val="en-GB" w:eastAsia="en-GB"/>
              </w:rPr>
            </w:pPr>
            <w:r w:rsidRPr="000B4E2C">
              <w:rPr>
                <w:sz w:val="18"/>
                <w:szCs w:val="18"/>
                <w:lang w:val="en-GB" w:eastAsia="en-GB"/>
              </w:rPr>
              <w:t>2466</w:t>
            </w:r>
          </w:p>
        </w:tc>
        <w:tc>
          <w:tcPr>
            <w:tcW w:w="0" w:type="auto"/>
            <w:shd w:val="clear" w:color="auto" w:fill="auto"/>
            <w:hideMark/>
          </w:tcPr>
          <w:p w14:paraId="64EABAA5"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1C073D03" w14:textId="77777777" w:rsidR="00F471F5" w:rsidRPr="000B4E2C" w:rsidRDefault="00F471F5" w:rsidP="00F471F5">
            <w:pPr>
              <w:rPr>
                <w:color w:val="000000"/>
                <w:sz w:val="18"/>
                <w:szCs w:val="18"/>
                <w:lang w:val="en-GB" w:eastAsia="en-GB"/>
              </w:rPr>
            </w:pPr>
            <w:r w:rsidRPr="000B4E2C">
              <w:rPr>
                <w:sz w:val="18"/>
                <w:szCs w:val="18"/>
                <w:lang w:val="en-GB" w:eastAsia="en-GB"/>
              </w:rPr>
              <w:t>sCr (criteria not clearly defined)</w:t>
            </w:r>
          </w:p>
        </w:tc>
        <w:tc>
          <w:tcPr>
            <w:tcW w:w="0" w:type="auto"/>
            <w:shd w:val="clear" w:color="auto" w:fill="auto"/>
            <w:hideMark/>
          </w:tcPr>
          <w:p w14:paraId="5CBC533C" w14:textId="77777777" w:rsidR="00F471F5" w:rsidRPr="000B4E2C" w:rsidRDefault="00F471F5" w:rsidP="00F471F5">
            <w:pPr>
              <w:rPr>
                <w:color w:val="000000"/>
                <w:sz w:val="18"/>
                <w:szCs w:val="18"/>
                <w:lang w:val="en-GB" w:eastAsia="en-GB"/>
              </w:rPr>
            </w:pPr>
            <w:r w:rsidRPr="000B4E2C">
              <w:rPr>
                <w:sz w:val="18"/>
                <w:szCs w:val="18"/>
                <w:lang w:val="en-GB" w:eastAsia="en-GB"/>
              </w:rPr>
              <w:t>54%</w:t>
            </w:r>
          </w:p>
        </w:tc>
        <w:tc>
          <w:tcPr>
            <w:tcW w:w="0" w:type="auto"/>
            <w:shd w:val="clear" w:color="auto" w:fill="auto"/>
            <w:hideMark/>
          </w:tcPr>
          <w:p w14:paraId="3FD21903"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0D66DFB7" w14:textId="77777777" w:rsidR="000B4E2C" w:rsidRPr="000B4E2C" w:rsidRDefault="00F471F5" w:rsidP="00F471F5">
            <w:pPr>
              <w:rPr>
                <w:sz w:val="18"/>
                <w:szCs w:val="18"/>
                <w:lang w:val="en-GB" w:eastAsia="en-GB"/>
              </w:rPr>
            </w:pPr>
            <w:r w:rsidRPr="000B4E2C">
              <w:rPr>
                <w:sz w:val="18"/>
                <w:szCs w:val="18"/>
                <w:lang w:val="en-GB" w:eastAsia="en-GB"/>
              </w:rPr>
              <w:t>43</w:t>
            </w:r>
          </w:p>
          <w:p w14:paraId="46226B5E" w14:textId="7FA8E505" w:rsidR="00F471F5" w:rsidRPr="000B4E2C" w:rsidRDefault="00F471F5" w:rsidP="00F471F5">
            <w:pPr>
              <w:rPr>
                <w:color w:val="000000"/>
                <w:sz w:val="18"/>
                <w:szCs w:val="18"/>
                <w:lang w:val="en-GB" w:eastAsia="en-GB"/>
              </w:rPr>
            </w:pPr>
            <w:r w:rsidRPr="000B4E2C">
              <w:rPr>
                <w:sz w:val="18"/>
                <w:szCs w:val="18"/>
                <w:lang w:val="en-GB" w:eastAsia="en-GB"/>
              </w:rPr>
              <w:t>(18)</w:t>
            </w:r>
          </w:p>
        </w:tc>
        <w:tc>
          <w:tcPr>
            <w:tcW w:w="0" w:type="auto"/>
            <w:shd w:val="clear" w:color="auto" w:fill="auto"/>
            <w:noWrap/>
            <w:hideMark/>
          </w:tcPr>
          <w:p w14:paraId="317DD43C"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4343C888" w14:textId="77777777" w:rsidR="00F471F5" w:rsidRPr="000B4E2C" w:rsidRDefault="00F471F5" w:rsidP="00F471F5">
            <w:pPr>
              <w:rPr>
                <w:sz w:val="18"/>
                <w:szCs w:val="18"/>
                <w:lang w:val="en-GB" w:eastAsia="en-GB"/>
              </w:rPr>
            </w:pPr>
            <w:r w:rsidRPr="000B4E2C">
              <w:rPr>
                <w:sz w:val="18"/>
                <w:szCs w:val="18"/>
                <w:lang w:val="en-GB" w:eastAsia="en-GB"/>
              </w:rPr>
              <w:t>0</w:t>
            </w:r>
          </w:p>
        </w:tc>
        <w:tc>
          <w:tcPr>
            <w:tcW w:w="0" w:type="auto"/>
            <w:shd w:val="clear" w:color="auto" w:fill="auto"/>
            <w:hideMark/>
          </w:tcPr>
          <w:p w14:paraId="1A70CEDE" w14:textId="29283D54" w:rsidR="00F471F5" w:rsidRPr="000B4E2C" w:rsidRDefault="00F471F5" w:rsidP="00F471F5">
            <w:pPr>
              <w:rPr>
                <w:sz w:val="18"/>
                <w:szCs w:val="18"/>
                <w:lang w:val="en-GB" w:eastAsia="en-GB"/>
              </w:rPr>
            </w:pPr>
            <w:r w:rsidRPr="000B4E2C">
              <w:rPr>
                <w:sz w:val="18"/>
                <w:szCs w:val="18"/>
                <w:lang w:val="en-GB" w:eastAsia="en-GB"/>
              </w:rPr>
              <w:t>Adults with an eGFR of 20–70 ml</w:t>
            </w:r>
            <w:r w:rsidR="000B4E2C" w:rsidRPr="000B4E2C">
              <w:rPr>
                <w:color w:val="00B0F0"/>
                <w:sz w:val="18"/>
                <w:szCs w:val="18"/>
                <w:lang w:val="en-GB" w:eastAsia="en-GB"/>
              </w:rPr>
              <w:t>/</w:t>
            </w:r>
            <w:r w:rsidRPr="000B4E2C">
              <w:rPr>
                <w:sz w:val="18"/>
                <w:szCs w:val="18"/>
                <w:lang w:val="en-GB" w:eastAsia="en-GB"/>
              </w:rPr>
              <w:t>min per 1.73 m2 were enrolled</w:t>
            </w:r>
          </w:p>
        </w:tc>
        <w:tc>
          <w:tcPr>
            <w:tcW w:w="0" w:type="auto"/>
            <w:shd w:val="clear" w:color="auto" w:fill="auto"/>
            <w:hideMark/>
          </w:tcPr>
          <w:p w14:paraId="74BCDCBB" w14:textId="77777777" w:rsidR="00F471F5" w:rsidRPr="000B4E2C" w:rsidRDefault="00F471F5" w:rsidP="00F471F5">
            <w:pPr>
              <w:rPr>
                <w:sz w:val="18"/>
                <w:szCs w:val="18"/>
                <w:lang w:val="en-GB" w:eastAsia="en-GB"/>
              </w:rPr>
            </w:pPr>
            <w:r w:rsidRPr="000B4E2C">
              <w:rPr>
                <w:sz w:val="18"/>
                <w:szCs w:val="18"/>
                <w:lang w:val="en-GB" w:eastAsia="en-GB"/>
              </w:rPr>
              <w:t>Polycystic kidney disease, multiple myeloma, or GN on active immunosuppression</w:t>
            </w:r>
          </w:p>
        </w:tc>
      </w:tr>
      <w:tr w:rsidR="000B4E2C" w:rsidRPr="000B4E2C" w14:paraId="77758C0B" w14:textId="77777777" w:rsidTr="000B4E2C">
        <w:trPr>
          <w:cantSplit/>
        </w:trPr>
        <w:tc>
          <w:tcPr>
            <w:tcW w:w="0" w:type="auto"/>
            <w:shd w:val="clear" w:color="auto" w:fill="auto"/>
            <w:hideMark/>
          </w:tcPr>
          <w:p w14:paraId="4BC2ACC1" w14:textId="715BB0C1" w:rsidR="00F471F5" w:rsidRPr="000B4E2C" w:rsidRDefault="00F471F5" w:rsidP="00F471F5">
            <w:pPr>
              <w:rPr>
                <w:color w:val="000000"/>
                <w:sz w:val="18"/>
                <w:szCs w:val="18"/>
                <w:lang w:val="en-GB" w:eastAsia="en-GB"/>
              </w:rPr>
            </w:pPr>
            <w:r w:rsidRPr="000B4E2C">
              <w:rPr>
                <w:sz w:val="18"/>
                <w:szCs w:val="18"/>
                <w:lang w:val="en-GB" w:eastAsia="en-GB"/>
              </w:rPr>
              <w:t>Smith 2013,</w:t>
            </w:r>
            <w:r w:rsidRPr="000B4E2C">
              <w:rPr>
                <w:sz w:val="18"/>
                <w:szCs w:val="18"/>
                <w:vertAlign w:val="superscript"/>
                <w:lang w:val="en-GB" w:eastAsia="en-GB"/>
              </w:rPr>
              <w:t>79</w:t>
            </w:r>
            <w:r w:rsidRPr="000B4E2C">
              <w:rPr>
                <w:sz w:val="18"/>
                <w:szCs w:val="18"/>
                <w:lang w:val="en-GB" w:eastAsia="en-GB"/>
              </w:rPr>
              <w:t xml:space="preserve"> UK</w:t>
            </w:r>
          </w:p>
        </w:tc>
        <w:tc>
          <w:tcPr>
            <w:tcW w:w="0" w:type="auto"/>
            <w:shd w:val="clear" w:color="auto" w:fill="auto"/>
            <w:hideMark/>
          </w:tcPr>
          <w:p w14:paraId="066A39A4" w14:textId="77777777" w:rsidR="00F471F5" w:rsidRPr="000B4E2C" w:rsidRDefault="00F471F5" w:rsidP="00F471F5">
            <w:pPr>
              <w:rPr>
                <w:color w:val="000000"/>
                <w:sz w:val="18"/>
                <w:szCs w:val="18"/>
                <w:lang w:val="en-GB" w:eastAsia="en-GB"/>
              </w:rPr>
            </w:pPr>
            <w:r w:rsidRPr="000B4E2C">
              <w:rPr>
                <w:sz w:val="18"/>
                <w:szCs w:val="18"/>
                <w:lang w:val="en-GB" w:eastAsia="en-GB"/>
              </w:rPr>
              <w:t>uNGAL, BioPorto</w:t>
            </w:r>
          </w:p>
        </w:tc>
        <w:tc>
          <w:tcPr>
            <w:tcW w:w="0" w:type="auto"/>
            <w:shd w:val="clear" w:color="auto" w:fill="auto"/>
            <w:hideMark/>
          </w:tcPr>
          <w:p w14:paraId="3431EDAB" w14:textId="77777777" w:rsidR="00F471F5" w:rsidRPr="000B4E2C" w:rsidRDefault="00F471F5" w:rsidP="00F471F5">
            <w:pPr>
              <w:rPr>
                <w:sz w:val="18"/>
                <w:szCs w:val="18"/>
                <w:lang w:val="en-GB" w:eastAsia="en-GB"/>
              </w:rPr>
            </w:pPr>
            <w:r w:rsidRPr="000B4E2C">
              <w:rPr>
                <w:sz w:val="18"/>
                <w:szCs w:val="18"/>
                <w:lang w:val="en-GB" w:eastAsia="en-GB"/>
              </w:rPr>
              <w:t>69</w:t>
            </w:r>
          </w:p>
          <w:p w14:paraId="7A778F96" w14:textId="77777777" w:rsidR="00F471F5" w:rsidRPr="000B4E2C" w:rsidRDefault="00F471F5" w:rsidP="00F471F5">
            <w:pPr>
              <w:rPr>
                <w:color w:val="000000"/>
                <w:sz w:val="18"/>
                <w:szCs w:val="18"/>
                <w:lang w:val="en-GB" w:eastAsia="en-GB"/>
              </w:rPr>
            </w:pPr>
            <w:r w:rsidRPr="000B4E2C">
              <w:rPr>
                <w:sz w:val="18"/>
                <w:szCs w:val="18"/>
                <w:lang w:val="en-GB" w:eastAsia="en-GB"/>
              </w:rPr>
              <w:t>(12)</w:t>
            </w:r>
          </w:p>
        </w:tc>
        <w:tc>
          <w:tcPr>
            <w:tcW w:w="0" w:type="auto"/>
            <w:shd w:val="clear" w:color="auto" w:fill="auto"/>
            <w:hideMark/>
          </w:tcPr>
          <w:p w14:paraId="57CC5EDC" w14:textId="77777777" w:rsidR="00F471F5" w:rsidRPr="000B4E2C" w:rsidRDefault="00F471F5" w:rsidP="00F471F5">
            <w:pPr>
              <w:rPr>
                <w:color w:val="000000"/>
                <w:sz w:val="18"/>
                <w:szCs w:val="18"/>
                <w:lang w:val="en-GB" w:eastAsia="en-GB"/>
              </w:rPr>
            </w:pPr>
            <w:r w:rsidRPr="000B4E2C">
              <w:rPr>
                <w:sz w:val="18"/>
                <w:szCs w:val="18"/>
                <w:lang w:val="en-GB" w:eastAsia="en-GB"/>
              </w:rPr>
              <w:t>158</w:t>
            </w:r>
          </w:p>
        </w:tc>
        <w:tc>
          <w:tcPr>
            <w:tcW w:w="0" w:type="auto"/>
            <w:shd w:val="clear" w:color="auto" w:fill="auto"/>
            <w:hideMark/>
          </w:tcPr>
          <w:p w14:paraId="565FF104" w14:textId="77777777" w:rsidR="00F471F5" w:rsidRPr="000B4E2C" w:rsidRDefault="00F471F5" w:rsidP="00F471F5">
            <w:pPr>
              <w:rPr>
                <w:color w:val="000000"/>
                <w:sz w:val="18"/>
                <w:szCs w:val="18"/>
                <w:lang w:val="en-GB" w:eastAsia="en-GB"/>
              </w:rPr>
            </w:pPr>
            <w:r w:rsidRPr="000B4E2C">
              <w:rPr>
                <w:sz w:val="18"/>
                <w:szCs w:val="18"/>
                <w:lang w:val="en-GB" w:eastAsia="en-GB"/>
              </w:rPr>
              <w:t>40</w:t>
            </w:r>
          </w:p>
        </w:tc>
        <w:tc>
          <w:tcPr>
            <w:tcW w:w="0" w:type="auto"/>
            <w:shd w:val="clear" w:color="auto" w:fill="auto"/>
            <w:hideMark/>
          </w:tcPr>
          <w:p w14:paraId="39AE1127"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65D4D1D1" w14:textId="77777777" w:rsidR="00F471F5" w:rsidRPr="000B4E2C" w:rsidRDefault="00F471F5" w:rsidP="00F471F5">
            <w:pPr>
              <w:rPr>
                <w:color w:val="000000"/>
                <w:sz w:val="18"/>
                <w:szCs w:val="18"/>
                <w:lang w:val="en-GB" w:eastAsia="en-GB"/>
              </w:rPr>
            </w:pPr>
            <w:r w:rsidRPr="000B4E2C">
              <w:rPr>
                <w:sz w:val="18"/>
                <w:szCs w:val="18"/>
                <w:lang w:val="en-GB" w:eastAsia="en-GB"/>
              </w:rPr>
              <w:t>75%</w:t>
            </w:r>
          </w:p>
        </w:tc>
        <w:tc>
          <w:tcPr>
            <w:tcW w:w="0" w:type="auto"/>
            <w:shd w:val="clear" w:color="auto" w:fill="auto"/>
            <w:hideMark/>
          </w:tcPr>
          <w:p w14:paraId="30823829"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45C9EE0E" w14:textId="77777777" w:rsidR="000B4E2C" w:rsidRPr="000B4E2C" w:rsidRDefault="00F471F5" w:rsidP="00F471F5">
            <w:pPr>
              <w:rPr>
                <w:sz w:val="18"/>
                <w:szCs w:val="18"/>
                <w:lang w:val="en-GB" w:eastAsia="en-GB"/>
              </w:rPr>
            </w:pPr>
            <w:r w:rsidRPr="000B4E2C">
              <w:rPr>
                <w:sz w:val="18"/>
                <w:szCs w:val="18"/>
                <w:lang w:val="en-GB" w:eastAsia="en-GB"/>
              </w:rPr>
              <w:t>31</w:t>
            </w:r>
          </w:p>
          <w:p w14:paraId="43BE02F4" w14:textId="3EA11C5D" w:rsidR="00F471F5" w:rsidRPr="000B4E2C" w:rsidRDefault="00F471F5" w:rsidP="00F471F5">
            <w:pPr>
              <w:rPr>
                <w:color w:val="000000"/>
                <w:sz w:val="18"/>
                <w:szCs w:val="18"/>
                <w:lang w:val="en-GB" w:eastAsia="en-GB"/>
              </w:rPr>
            </w:pPr>
            <w:r w:rsidRPr="000B4E2C">
              <w:rPr>
                <w:sz w:val="18"/>
                <w:szCs w:val="18"/>
                <w:lang w:val="en-GB" w:eastAsia="en-GB"/>
              </w:rPr>
              <w:t>(11)</w:t>
            </w:r>
          </w:p>
        </w:tc>
        <w:tc>
          <w:tcPr>
            <w:tcW w:w="0" w:type="auto"/>
            <w:shd w:val="clear" w:color="auto" w:fill="auto"/>
            <w:noWrap/>
            <w:hideMark/>
          </w:tcPr>
          <w:p w14:paraId="6B841C63"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4641E253"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68945467"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1D76F3D9" w14:textId="77777777" w:rsidR="00F471F5" w:rsidRPr="000B4E2C" w:rsidRDefault="00F471F5" w:rsidP="00F471F5">
            <w:pPr>
              <w:rPr>
                <w:sz w:val="18"/>
                <w:szCs w:val="18"/>
                <w:lang w:val="en-GB" w:eastAsia="en-GB"/>
              </w:rPr>
            </w:pPr>
            <w:r w:rsidRPr="000B4E2C">
              <w:rPr>
                <w:sz w:val="18"/>
                <w:szCs w:val="18"/>
                <w:lang w:val="en-GB" w:eastAsia="en-GB"/>
              </w:rPr>
              <w:t>NR</w:t>
            </w:r>
          </w:p>
        </w:tc>
      </w:tr>
      <w:tr w:rsidR="000B4E2C" w:rsidRPr="000B4E2C" w14:paraId="0C2FA47D" w14:textId="77777777" w:rsidTr="000B4E2C">
        <w:trPr>
          <w:cantSplit/>
        </w:trPr>
        <w:tc>
          <w:tcPr>
            <w:tcW w:w="0" w:type="auto"/>
            <w:shd w:val="clear" w:color="auto" w:fill="auto"/>
            <w:hideMark/>
          </w:tcPr>
          <w:p w14:paraId="738A7562" w14:textId="5C4C22F5" w:rsidR="00F471F5" w:rsidRPr="000B4E2C" w:rsidRDefault="00F471F5" w:rsidP="00F471F5">
            <w:pPr>
              <w:rPr>
                <w:color w:val="000000"/>
                <w:sz w:val="18"/>
                <w:szCs w:val="18"/>
                <w:lang w:val="en-GB" w:eastAsia="en-GB"/>
              </w:rPr>
            </w:pPr>
            <w:r w:rsidRPr="000B4E2C">
              <w:rPr>
                <w:sz w:val="18"/>
                <w:szCs w:val="18"/>
                <w:lang w:val="en-GB" w:eastAsia="en-GB"/>
              </w:rPr>
              <w:t>Ariza 2016,</w:t>
            </w:r>
            <w:r w:rsidRPr="000B4E2C">
              <w:rPr>
                <w:sz w:val="18"/>
                <w:szCs w:val="18"/>
                <w:vertAlign w:val="superscript"/>
                <w:lang w:val="en-GB" w:eastAsia="en-GB"/>
              </w:rPr>
              <w:t>69</w:t>
            </w:r>
            <w:r w:rsidRPr="000B4E2C">
              <w:rPr>
                <w:sz w:val="18"/>
                <w:szCs w:val="18"/>
                <w:lang w:val="en-GB" w:eastAsia="en-GB"/>
              </w:rPr>
              <w:t xml:space="preserve"> European Countries</w:t>
            </w:r>
          </w:p>
        </w:tc>
        <w:tc>
          <w:tcPr>
            <w:tcW w:w="0" w:type="auto"/>
            <w:shd w:val="clear" w:color="auto" w:fill="auto"/>
            <w:hideMark/>
          </w:tcPr>
          <w:p w14:paraId="21C62651" w14:textId="77777777" w:rsidR="00F471F5" w:rsidRPr="000B4E2C" w:rsidRDefault="00F471F5" w:rsidP="00F471F5">
            <w:pPr>
              <w:rPr>
                <w:color w:val="000000"/>
                <w:sz w:val="18"/>
                <w:szCs w:val="18"/>
                <w:lang w:val="en-GB" w:eastAsia="en-GB"/>
              </w:rPr>
            </w:pPr>
            <w:r w:rsidRPr="000B4E2C">
              <w:rPr>
                <w:sz w:val="18"/>
                <w:szCs w:val="18"/>
                <w:lang w:val="en-GB" w:eastAsia="en-GB"/>
              </w:rPr>
              <w:t>uNGAL, BioPorto</w:t>
            </w:r>
          </w:p>
        </w:tc>
        <w:tc>
          <w:tcPr>
            <w:tcW w:w="0" w:type="auto"/>
            <w:shd w:val="clear" w:color="auto" w:fill="auto"/>
            <w:hideMark/>
          </w:tcPr>
          <w:p w14:paraId="1C55C08B" w14:textId="77777777" w:rsidR="000B4E2C" w:rsidRPr="000B4E2C" w:rsidRDefault="00F471F5" w:rsidP="00F471F5">
            <w:pPr>
              <w:rPr>
                <w:sz w:val="18"/>
                <w:szCs w:val="18"/>
                <w:lang w:val="en-GB" w:eastAsia="en-GB"/>
              </w:rPr>
            </w:pPr>
            <w:r w:rsidRPr="000B4E2C">
              <w:rPr>
                <w:sz w:val="18"/>
                <w:szCs w:val="18"/>
                <w:lang w:val="en-GB" w:eastAsia="en-GB"/>
              </w:rPr>
              <w:t>ACLF</w:t>
            </w:r>
          </w:p>
          <w:p w14:paraId="42943E0E" w14:textId="77777777" w:rsidR="000B4E2C" w:rsidRPr="000B4E2C" w:rsidRDefault="00F471F5" w:rsidP="00F471F5">
            <w:pPr>
              <w:rPr>
                <w:sz w:val="18"/>
                <w:szCs w:val="18"/>
                <w:lang w:val="en-GB" w:eastAsia="en-GB"/>
              </w:rPr>
            </w:pPr>
            <w:r w:rsidRPr="000B4E2C">
              <w:rPr>
                <w:sz w:val="18"/>
                <w:szCs w:val="18"/>
                <w:lang w:val="en-GB" w:eastAsia="en-GB"/>
              </w:rPr>
              <w:t>57</w:t>
            </w:r>
          </w:p>
          <w:p w14:paraId="210E3546" w14:textId="77777777" w:rsidR="000B4E2C" w:rsidRPr="000B4E2C" w:rsidRDefault="00F471F5" w:rsidP="00F471F5">
            <w:pPr>
              <w:rPr>
                <w:sz w:val="18"/>
                <w:szCs w:val="18"/>
                <w:lang w:val="en-GB" w:eastAsia="en-GB"/>
              </w:rPr>
            </w:pPr>
            <w:r w:rsidRPr="000B4E2C">
              <w:rPr>
                <w:sz w:val="18"/>
                <w:szCs w:val="18"/>
                <w:lang w:val="en-GB" w:eastAsia="en-GB"/>
              </w:rPr>
              <w:t>(11);</w:t>
            </w:r>
          </w:p>
          <w:p w14:paraId="24DB916C" w14:textId="4C1D7494" w:rsidR="00F471F5" w:rsidRPr="000B4E2C" w:rsidRDefault="00F471F5" w:rsidP="00F471F5">
            <w:pPr>
              <w:rPr>
                <w:sz w:val="18"/>
                <w:szCs w:val="18"/>
                <w:lang w:val="en-GB" w:eastAsia="en-GB"/>
              </w:rPr>
            </w:pPr>
            <w:r w:rsidRPr="000B4E2C">
              <w:rPr>
                <w:sz w:val="18"/>
                <w:szCs w:val="18"/>
                <w:lang w:val="en-GB" w:eastAsia="en-GB"/>
              </w:rPr>
              <w:t>No ACLF</w:t>
            </w:r>
          </w:p>
          <w:p w14:paraId="1666AC30" w14:textId="77777777" w:rsidR="00F471F5" w:rsidRPr="000B4E2C" w:rsidRDefault="00F471F5" w:rsidP="00F471F5">
            <w:pPr>
              <w:rPr>
                <w:sz w:val="18"/>
                <w:szCs w:val="18"/>
                <w:lang w:val="en-GB" w:eastAsia="en-GB"/>
              </w:rPr>
            </w:pPr>
            <w:r w:rsidRPr="000B4E2C">
              <w:rPr>
                <w:sz w:val="18"/>
                <w:szCs w:val="18"/>
                <w:lang w:val="en-GB" w:eastAsia="en-GB"/>
              </w:rPr>
              <w:t>57</w:t>
            </w:r>
          </w:p>
          <w:p w14:paraId="7BE859A4" w14:textId="77777777" w:rsidR="00F471F5" w:rsidRPr="000B4E2C" w:rsidRDefault="00F471F5" w:rsidP="00F471F5">
            <w:pPr>
              <w:rPr>
                <w:color w:val="000000"/>
                <w:sz w:val="18"/>
                <w:szCs w:val="18"/>
                <w:lang w:val="en-GB" w:eastAsia="en-GB"/>
              </w:rPr>
            </w:pPr>
            <w:r w:rsidRPr="000B4E2C">
              <w:rPr>
                <w:sz w:val="18"/>
                <w:szCs w:val="18"/>
                <w:lang w:val="en-GB" w:eastAsia="en-GB"/>
              </w:rPr>
              <w:t xml:space="preserve">(12) </w:t>
            </w:r>
          </w:p>
        </w:tc>
        <w:tc>
          <w:tcPr>
            <w:tcW w:w="0" w:type="auto"/>
            <w:shd w:val="clear" w:color="auto" w:fill="auto"/>
            <w:hideMark/>
          </w:tcPr>
          <w:p w14:paraId="1BC3EF3A" w14:textId="77777777" w:rsidR="00F471F5" w:rsidRPr="000B4E2C" w:rsidRDefault="00F471F5" w:rsidP="00F471F5">
            <w:pPr>
              <w:rPr>
                <w:color w:val="000000"/>
                <w:sz w:val="18"/>
                <w:szCs w:val="18"/>
                <w:lang w:val="en-GB" w:eastAsia="en-GB"/>
              </w:rPr>
            </w:pPr>
            <w:r w:rsidRPr="000B4E2C">
              <w:rPr>
                <w:sz w:val="18"/>
                <w:szCs w:val="18"/>
                <w:lang w:val="en-GB" w:eastAsia="en-GB"/>
              </w:rPr>
              <w:t>716</w:t>
            </w:r>
          </w:p>
        </w:tc>
        <w:tc>
          <w:tcPr>
            <w:tcW w:w="0" w:type="auto"/>
            <w:shd w:val="clear" w:color="auto" w:fill="auto"/>
            <w:hideMark/>
          </w:tcPr>
          <w:p w14:paraId="46BD4748"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35D8FF4C" w14:textId="77777777" w:rsidR="000B4E2C" w:rsidRPr="000B4E2C" w:rsidRDefault="00F471F5" w:rsidP="00F471F5">
            <w:pPr>
              <w:spacing w:line="276" w:lineRule="auto"/>
              <w:rPr>
                <w:sz w:val="18"/>
                <w:szCs w:val="18"/>
                <w:lang w:eastAsia="en-GB"/>
              </w:rPr>
            </w:pPr>
            <w:r w:rsidRPr="000B4E2C">
              <w:rPr>
                <w:sz w:val="18"/>
                <w:szCs w:val="18"/>
                <w:lang w:eastAsia="en-GB"/>
              </w:rPr>
              <w:t>sCr levels between</w:t>
            </w:r>
          </w:p>
          <w:p w14:paraId="359E62D6" w14:textId="7340305E" w:rsidR="00F471F5" w:rsidRPr="000B4E2C" w:rsidRDefault="000B4E2C" w:rsidP="00F471F5">
            <w:pPr>
              <w:spacing w:line="276" w:lineRule="auto"/>
              <w:rPr>
                <w:sz w:val="18"/>
                <w:szCs w:val="18"/>
                <w:lang w:eastAsia="en-GB"/>
              </w:rPr>
            </w:pPr>
            <w:r w:rsidRPr="000B4E2C">
              <w:rPr>
                <w:color w:val="00B0F0"/>
                <w:sz w:val="18"/>
                <w:szCs w:val="18"/>
                <w:lang w:eastAsia="en-GB"/>
              </w:rPr>
              <w:t>≥</w:t>
            </w:r>
            <w:r w:rsidRPr="000B4E2C">
              <w:rPr>
                <w:color w:val="00B0F0"/>
                <w:sz w:val="18"/>
                <w:szCs w:val="18"/>
                <w:lang w:eastAsia="en-GB"/>
              </w:rPr>
              <w:t> </w:t>
            </w:r>
            <w:r w:rsidRPr="000B4E2C">
              <w:rPr>
                <w:color w:val="00B0F0"/>
                <w:sz w:val="18"/>
                <w:szCs w:val="18"/>
                <w:lang w:eastAsia="en-GB"/>
              </w:rPr>
              <w:t>1</w:t>
            </w:r>
            <w:r w:rsidR="00F471F5" w:rsidRPr="000B4E2C">
              <w:rPr>
                <w:sz w:val="18"/>
                <w:szCs w:val="18"/>
                <w:lang w:eastAsia="en-GB"/>
              </w:rPr>
              <w:t>.5 and</w:t>
            </w:r>
          </w:p>
          <w:p w14:paraId="18427BEB" w14:textId="2D4B3650" w:rsidR="00F471F5" w:rsidRPr="000B4E2C" w:rsidRDefault="000B4E2C" w:rsidP="00F471F5">
            <w:pPr>
              <w:spacing w:line="276" w:lineRule="auto"/>
              <w:rPr>
                <w:color w:val="000000"/>
                <w:sz w:val="18"/>
                <w:szCs w:val="18"/>
                <w:lang w:eastAsia="en-GB"/>
              </w:rPr>
            </w:pPr>
            <w:r w:rsidRPr="000B4E2C">
              <w:rPr>
                <w:color w:val="00B0F0"/>
                <w:sz w:val="18"/>
                <w:szCs w:val="18"/>
                <w:lang w:eastAsia="en-GB"/>
              </w:rPr>
              <w:t>&lt;</w:t>
            </w:r>
            <w:r w:rsidRPr="000B4E2C">
              <w:rPr>
                <w:color w:val="00B0F0"/>
                <w:sz w:val="18"/>
                <w:szCs w:val="18"/>
                <w:lang w:eastAsia="en-GB"/>
              </w:rPr>
              <w:t> </w:t>
            </w:r>
            <w:r w:rsidRPr="000B4E2C">
              <w:rPr>
                <w:color w:val="00B0F0"/>
                <w:sz w:val="18"/>
                <w:szCs w:val="18"/>
                <w:lang w:eastAsia="en-GB"/>
              </w:rPr>
              <w:t>2</w:t>
            </w:r>
            <w:r w:rsidR="00F471F5" w:rsidRPr="000B4E2C">
              <w:rPr>
                <w:sz w:val="18"/>
                <w:szCs w:val="18"/>
                <w:lang w:eastAsia="en-GB"/>
              </w:rPr>
              <w:t xml:space="preserve"> mg/dL</w:t>
            </w:r>
          </w:p>
        </w:tc>
        <w:tc>
          <w:tcPr>
            <w:tcW w:w="0" w:type="auto"/>
            <w:shd w:val="clear" w:color="auto" w:fill="auto"/>
            <w:hideMark/>
          </w:tcPr>
          <w:p w14:paraId="61469478" w14:textId="77777777" w:rsidR="000B4E2C" w:rsidRPr="000B4E2C" w:rsidRDefault="00F471F5" w:rsidP="00F471F5">
            <w:pPr>
              <w:rPr>
                <w:sz w:val="18"/>
                <w:szCs w:val="18"/>
                <w:lang w:val="en-GB" w:eastAsia="en-GB"/>
              </w:rPr>
            </w:pPr>
            <w:r w:rsidRPr="000B4E2C">
              <w:rPr>
                <w:sz w:val="18"/>
                <w:szCs w:val="18"/>
                <w:lang w:val="en-GB" w:eastAsia="en-GB"/>
              </w:rPr>
              <w:t>ACLF</w:t>
            </w:r>
          </w:p>
          <w:p w14:paraId="005E13F9" w14:textId="391E7A4C" w:rsidR="00F471F5" w:rsidRPr="000B4E2C" w:rsidRDefault="00F471F5" w:rsidP="00F471F5">
            <w:pPr>
              <w:rPr>
                <w:sz w:val="18"/>
                <w:szCs w:val="18"/>
                <w:lang w:val="en-GB" w:eastAsia="en-GB"/>
              </w:rPr>
            </w:pPr>
            <w:r w:rsidRPr="000B4E2C">
              <w:rPr>
                <w:sz w:val="18"/>
                <w:szCs w:val="18"/>
                <w:lang w:val="en-GB" w:eastAsia="en-GB"/>
              </w:rPr>
              <w:t>66%</w:t>
            </w:r>
          </w:p>
          <w:p w14:paraId="3430D55B" w14:textId="77777777" w:rsidR="00F471F5" w:rsidRPr="000B4E2C" w:rsidRDefault="00F471F5" w:rsidP="00F471F5">
            <w:pPr>
              <w:rPr>
                <w:sz w:val="18"/>
                <w:szCs w:val="18"/>
                <w:lang w:val="en-GB" w:eastAsia="en-GB"/>
              </w:rPr>
            </w:pPr>
            <w:r w:rsidRPr="000B4E2C">
              <w:rPr>
                <w:sz w:val="18"/>
                <w:szCs w:val="18"/>
                <w:lang w:val="en-GB" w:eastAsia="en-GB"/>
              </w:rPr>
              <w:t>No ACLF</w:t>
            </w:r>
          </w:p>
          <w:p w14:paraId="5075C9BE" w14:textId="77777777" w:rsidR="00F471F5" w:rsidRPr="000B4E2C" w:rsidRDefault="00F471F5" w:rsidP="00F471F5">
            <w:pPr>
              <w:rPr>
                <w:color w:val="000000"/>
                <w:sz w:val="18"/>
                <w:szCs w:val="18"/>
                <w:lang w:val="en-GB" w:eastAsia="en-GB"/>
              </w:rPr>
            </w:pPr>
            <w:r w:rsidRPr="000B4E2C">
              <w:rPr>
                <w:sz w:val="18"/>
                <w:szCs w:val="18"/>
                <w:lang w:val="en-GB" w:eastAsia="en-GB"/>
              </w:rPr>
              <w:t xml:space="preserve">65%, </w:t>
            </w:r>
          </w:p>
        </w:tc>
        <w:tc>
          <w:tcPr>
            <w:tcW w:w="0" w:type="auto"/>
            <w:shd w:val="clear" w:color="auto" w:fill="auto"/>
            <w:hideMark/>
          </w:tcPr>
          <w:p w14:paraId="51C96367"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35F7370B"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807658E"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7ECFDA24" w14:textId="77777777" w:rsidR="00F471F5" w:rsidRPr="000B4E2C" w:rsidRDefault="00F471F5" w:rsidP="00F471F5">
            <w:pPr>
              <w:rPr>
                <w:sz w:val="18"/>
                <w:szCs w:val="18"/>
                <w:lang w:val="en-GB" w:eastAsia="en-GB"/>
              </w:rPr>
            </w:pPr>
            <w:r w:rsidRPr="000B4E2C">
              <w:rPr>
                <w:sz w:val="18"/>
                <w:szCs w:val="18"/>
                <w:lang w:val="en-GB" w:eastAsia="en-GB"/>
              </w:rPr>
              <w:t>0</w:t>
            </w:r>
          </w:p>
        </w:tc>
        <w:tc>
          <w:tcPr>
            <w:tcW w:w="0" w:type="auto"/>
            <w:shd w:val="clear" w:color="auto" w:fill="auto"/>
            <w:hideMark/>
          </w:tcPr>
          <w:p w14:paraId="06F083F4" w14:textId="77777777" w:rsidR="00F471F5" w:rsidRPr="000B4E2C" w:rsidRDefault="00F471F5" w:rsidP="00F471F5">
            <w:pPr>
              <w:rPr>
                <w:sz w:val="18"/>
                <w:szCs w:val="18"/>
                <w:lang w:val="en-GB" w:eastAsia="en-GB"/>
              </w:rPr>
            </w:pPr>
            <w:r w:rsidRPr="000B4E2C">
              <w:rPr>
                <w:sz w:val="18"/>
                <w:szCs w:val="18"/>
                <w:lang w:val="en-GB" w:eastAsia="en-GB"/>
              </w:rPr>
              <w:t>NR</w:t>
            </w:r>
          </w:p>
        </w:tc>
        <w:tc>
          <w:tcPr>
            <w:tcW w:w="0" w:type="auto"/>
            <w:shd w:val="clear" w:color="auto" w:fill="auto"/>
            <w:hideMark/>
          </w:tcPr>
          <w:p w14:paraId="5402D845" w14:textId="05A92561" w:rsidR="00F471F5" w:rsidRPr="000B4E2C" w:rsidRDefault="00F471F5" w:rsidP="00F471F5">
            <w:pPr>
              <w:rPr>
                <w:sz w:val="18"/>
                <w:szCs w:val="18"/>
                <w:lang w:val="en-GB" w:eastAsia="en-GB"/>
              </w:rPr>
            </w:pPr>
            <w:r w:rsidRPr="000B4E2C">
              <w:rPr>
                <w:sz w:val="18"/>
                <w:szCs w:val="18"/>
                <w:lang w:val="en-GB" w:eastAsia="en-GB"/>
              </w:rPr>
              <w:t xml:space="preserve">Urinary tract infection at the time of urine collection were excluded because the urine levels of NGAL may be increased </w:t>
            </w:r>
            <w:r w:rsidRPr="000B4E2C">
              <w:rPr>
                <w:sz w:val="18"/>
                <w:szCs w:val="18"/>
                <w:highlight w:val="magenta"/>
                <w:lang w:val="en-GB" w:eastAsia="en-GB"/>
              </w:rPr>
              <w:t>due to</w:t>
            </w:r>
            <w:r w:rsidRPr="000B4E2C">
              <w:rPr>
                <w:sz w:val="18"/>
                <w:szCs w:val="18"/>
                <w:lang w:val="en-GB" w:eastAsia="en-GB"/>
              </w:rPr>
              <w:t xml:space="preserve"> high </w:t>
            </w:r>
            <w:r w:rsidR="000B4E2C" w:rsidRPr="000B4E2C">
              <w:rPr>
                <w:color w:val="00B0F0"/>
                <w:sz w:val="18"/>
                <w:szCs w:val="18"/>
                <w:lang w:val="en-GB" w:eastAsia="en-GB"/>
              </w:rPr>
              <w:t>leucocyte</w:t>
            </w:r>
            <w:r w:rsidRPr="000B4E2C">
              <w:rPr>
                <w:sz w:val="18"/>
                <w:szCs w:val="18"/>
                <w:lang w:val="en-GB" w:eastAsia="en-GB"/>
              </w:rPr>
              <w:t xml:space="preserve"> concentration in urine</w:t>
            </w:r>
          </w:p>
        </w:tc>
      </w:tr>
      <w:tr w:rsidR="000B4E2C" w:rsidRPr="000B4E2C" w14:paraId="5184209E" w14:textId="77777777" w:rsidTr="000B4E2C">
        <w:trPr>
          <w:cantSplit/>
        </w:trPr>
        <w:tc>
          <w:tcPr>
            <w:tcW w:w="0" w:type="auto"/>
            <w:shd w:val="clear" w:color="auto" w:fill="auto"/>
            <w:hideMark/>
          </w:tcPr>
          <w:p w14:paraId="1AC60596" w14:textId="2DFC64DA" w:rsidR="00F471F5" w:rsidRPr="000B4E2C" w:rsidRDefault="00F471F5" w:rsidP="00F471F5">
            <w:pPr>
              <w:rPr>
                <w:color w:val="000000"/>
                <w:sz w:val="18"/>
                <w:szCs w:val="18"/>
                <w:lang w:val="en-GB" w:eastAsia="en-GB"/>
              </w:rPr>
            </w:pPr>
            <w:r w:rsidRPr="000B4E2C">
              <w:rPr>
                <w:sz w:val="18"/>
                <w:szCs w:val="18"/>
                <w:lang w:val="en-GB" w:eastAsia="en-GB"/>
              </w:rPr>
              <w:lastRenderedPageBreak/>
              <w:t>Treeprasertsuk 2015,</w:t>
            </w:r>
            <w:r w:rsidRPr="000B4E2C">
              <w:rPr>
                <w:sz w:val="18"/>
                <w:szCs w:val="18"/>
                <w:vertAlign w:val="superscript"/>
                <w:lang w:val="en-GB" w:eastAsia="en-GB"/>
              </w:rPr>
              <w:t>61</w:t>
            </w:r>
            <w:r w:rsidRPr="000B4E2C">
              <w:rPr>
                <w:sz w:val="18"/>
                <w:szCs w:val="18"/>
                <w:lang w:val="en-GB" w:eastAsia="en-GB"/>
              </w:rPr>
              <w:t xml:space="preserve"> Thailand</w:t>
            </w:r>
          </w:p>
        </w:tc>
        <w:tc>
          <w:tcPr>
            <w:tcW w:w="0" w:type="auto"/>
            <w:shd w:val="clear" w:color="auto" w:fill="auto"/>
            <w:hideMark/>
          </w:tcPr>
          <w:p w14:paraId="39D10B7B"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23B24C2C" w14:textId="77777777" w:rsidR="00F471F5" w:rsidRPr="000B4E2C" w:rsidRDefault="00F471F5" w:rsidP="00F471F5">
            <w:pPr>
              <w:rPr>
                <w:sz w:val="18"/>
                <w:szCs w:val="18"/>
                <w:lang w:val="en-GB" w:eastAsia="en-GB"/>
              </w:rPr>
            </w:pPr>
            <w:r w:rsidRPr="000B4E2C">
              <w:rPr>
                <w:sz w:val="18"/>
                <w:szCs w:val="18"/>
                <w:lang w:val="en-GB" w:eastAsia="en-GB"/>
              </w:rPr>
              <w:t>57</w:t>
            </w:r>
          </w:p>
          <w:p w14:paraId="0A20E956" w14:textId="77777777" w:rsidR="00F471F5" w:rsidRPr="000B4E2C" w:rsidRDefault="00F471F5" w:rsidP="00F471F5">
            <w:pPr>
              <w:rPr>
                <w:color w:val="000000"/>
                <w:sz w:val="18"/>
                <w:szCs w:val="18"/>
                <w:lang w:val="en-GB" w:eastAsia="en-GB"/>
              </w:rPr>
            </w:pPr>
            <w:r w:rsidRPr="000B4E2C">
              <w:rPr>
                <w:sz w:val="18"/>
                <w:szCs w:val="18"/>
                <w:lang w:val="en-GB" w:eastAsia="en-GB"/>
              </w:rPr>
              <w:t>(15)</w:t>
            </w:r>
          </w:p>
        </w:tc>
        <w:tc>
          <w:tcPr>
            <w:tcW w:w="0" w:type="auto"/>
            <w:shd w:val="clear" w:color="auto" w:fill="auto"/>
            <w:hideMark/>
          </w:tcPr>
          <w:p w14:paraId="2BA4484F" w14:textId="77777777" w:rsidR="00F471F5" w:rsidRPr="000B4E2C" w:rsidRDefault="00F471F5" w:rsidP="00F471F5">
            <w:pPr>
              <w:rPr>
                <w:color w:val="000000"/>
                <w:sz w:val="18"/>
                <w:szCs w:val="18"/>
                <w:lang w:val="en-GB" w:eastAsia="en-GB"/>
              </w:rPr>
            </w:pPr>
            <w:r w:rsidRPr="000B4E2C">
              <w:rPr>
                <w:sz w:val="18"/>
                <w:szCs w:val="18"/>
                <w:lang w:val="en-GB" w:eastAsia="en-GB"/>
              </w:rPr>
              <w:t>121</w:t>
            </w:r>
          </w:p>
        </w:tc>
        <w:tc>
          <w:tcPr>
            <w:tcW w:w="0" w:type="auto"/>
            <w:shd w:val="clear" w:color="auto" w:fill="auto"/>
            <w:hideMark/>
          </w:tcPr>
          <w:p w14:paraId="5876BDCA" w14:textId="77777777" w:rsidR="00F471F5" w:rsidRPr="000B4E2C" w:rsidRDefault="00F471F5" w:rsidP="00F471F5">
            <w:pPr>
              <w:rPr>
                <w:color w:val="000000"/>
                <w:sz w:val="18"/>
                <w:szCs w:val="18"/>
                <w:lang w:val="en-GB" w:eastAsia="en-GB"/>
              </w:rPr>
            </w:pPr>
            <w:r w:rsidRPr="000B4E2C">
              <w:rPr>
                <w:sz w:val="18"/>
                <w:szCs w:val="18"/>
                <w:lang w:val="en-GB" w:eastAsia="en-GB"/>
              </w:rPr>
              <w:t>35</w:t>
            </w:r>
          </w:p>
        </w:tc>
        <w:tc>
          <w:tcPr>
            <w:tcW w:w="0" w:type="auto"/>
            <w:shd w:val="clear" w:color="auto" w:fill="auto"/>
            <w:hideMark/>
          </w:tcPr>
          <w:p w14:paraId="5E5BC5F9" w14:textId="77777777" w:rsidR="00F471F5" w:rsidRPr="000B4E2C" w:rsidRDefault="00F471F5" w:rsidP="00F471F5">
            <w:pPr>
              <w:rPr>
                <w:color w:val="000000"/>
                <w:sz w:val="18"/>
                <w:szCs w:val="18"/>
                <w:lang w:val="en-GB" w:eastAsia="en-GB"/>
              </w:rPr>
            </w:pPr>
            <w:r w:rsidRPr="000B4E2C">
              <w:rPr>
                <w:sz w:val="18"/>
                <w:szCs w:val="18"/>
                <w:lang w:val="en-GB" w:eastAsia="en-GB"/>
              </w:rPr>
              <w:t>AKIN</w:t>
            </w:r>
          </w:p>
        </w:tc>
        <w:tc>
          <w:tcPr>
            <w:tcW w:w="0" w:type="auto"/>
            <w:shd w:val="clear" w:color="auto" w:fill="auto"/>
            <w:hideMark/>
          </w:tcPr>
          <w:p w14:paraId="01C6C843" w14:textId="77777777" w:rsidR="00F471F5" w:rsidRPr="000B4E2C" w:rsidRDefault="00F471F5" w:rsidP="00F471F5">
            <w:pPr>
              <w:rPr>
                <w:color w:val="000000"/>
                <w:sz w:val="18"/>
                <w:szCs w:val="18"/>
                <w:lang w:val="en-GB" w:eastAsia="en-GB"/>
              </w:rPr>
            </w:pPr>
            <w:r w:rsidRPr="000B4E2C">
              <w:rPr>
                <w:sz w:val="18"/>
                <w:szCs w:val="18"/>
                <w:lang w:val="en-GB" w:eastAsia="en-GB"/>
              </w:rPr>
              <w:t>62%</w:t>
            </w:r>
          </w:p>
        </w:tc>
        <w:tc>
          <w:tcPr>
            <w:tcW w:w="0" w:type="auto"/>
            <w:shd w:val="clear" w:color="auto" w:fill="auto"/>
            <w:hideMark/>
          </w:tcPr>
          <w:p w14:paraId="41FD6DE8"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326E46A2"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4B988E2A"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3692CEE1"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39175D9D" w14:textId="13125A67" w:rsidR="00F471F5" w:rsidRPr="000B4E2C" w:rsidRDefault="00F471F5" w:rsidP="00F471F5">
            <w:pPr>
              <w:rPr>
                <w:color w:val="000000"/>
                <w:sz w:val="18"/>
                <w:szCs w:val="18"/>
                <w:lang w:val="en-GB" w:eastAsia="en-GB"/>
              </w:rPr>
            </w:pPr>
            <w:r w:rsidRPr="000B4E2C">
              <w:rPr>
                <w:sz w:val="18"/>
                <w:szCs w:val="18"/>
                <w:lang w:val="en-GB" w:eastAsia="en-GB"/>
              </w:rPr>
              <w:t xml:space="preserve">Cirrhotic patients who were admitted with AKI-prone conditions. All patients had normal baseline serum creatinine within 3 months prior to admission with cirrhosis, aged </w:t>
            </w:r>
            <w:r w:rsidR="000B4E2C" w:rsidRPr="000B4E2C">
              <w:rPr>
                <w:color w:val="00B0F0"/>
                <w:sz w:val="18"/>
                <w:szCs w:val="18"/>
                <w:lang w:val="en-GB" w:eastAsia="en-GB"/>
              </w:rPr>
              <w:t>&gt;</w:t>
            </w:r>
            <w:r w:rsidR="000B4E2C" w:rsidRPr="000B4E2C">
              <w:rPr>
                <w:color w:val="00B0F0"/>
                <w:sz w:val="18"/>
                <w:szCs w:val="18"/>
                <w:lang w:val="en-GB" w:eastAsia="en-GB"/>
              </w:rPr>
              <w:t> </w:t>
            </w:r>
            <w:r w:rsidR="000B4E2C" w:rsidRPr="000B4E2C">
              <w:rPr>
                <w:color w:val="00B0F0"/>
                <w:sz w:val="18"/>
                <w:szCs w:val="18"/>
                <w:lang w:val="en-GB" w:eastAsia="en-GB"/>
              </w:rPr>
              <w:t>1</w:t>
            </w:r>
            <w:r w:rsidRPr="000B4E2C">
              <w:rPr>
                <w:sz w:val="18"/>
                <w:szCs w:val="18"/>
                <w:lang w:val="en-GB" w:eastAsia="en-GB"/>
              </w:rPr>
              <w:t>8 years</w:t>
            </w:r>
          </w:p>
        </w:tc>
        <w:tc>
          <w:tcPr>
            <w:tcW w:w="0" w:type="auto"/>
            <w:shd w:val="clear" w:color="auto" w:fill="auto"/>
            <w:hideMark/>
          </w:tcPr>
          <w:p w14:paraId="506F1BA3" w14:textId="77777777" w:rsidR="00F471F5" w:rsidRPr="000B4E2C" w:rsidRDefault="00F471F5" w:rsidP="00F471F5">
            <w:pPr>
              <w:rPr>
                <w:sz w:val="18"/>
                <w:szCs w:val="18"/>
                <w:lang w:val="en-GB" w:eastAsia="en-GB"/>
              </w:rPr>
            </w:pPr>
            <w:r w:rsidRPr="000B4E2C">
              <w:rPr>
                <w:sz w:val="18"/>
                <w:szCs w:val="18"/>
                <w:lang w:val="en-GB" w:eastAsia="en-GB"/>
              </w:rPr>
              <w:t>Exclusion criteria were chronic kidney disease, or previous liver or kidney transplantation. The diagnosis of cirrhosis was based on a combination of clinical, biochemical and imaging assessments or liver biopsy</w:t>
            </w:r>
          </w:p>
        </w:tc>
      </w:tr>
      <w:tr w:rsidR="000B4E2C" w:rsidRPr="000B4E2C" w14:paraId="08B6B803" w14:textId="77777777" w:rsidTr="000B4E2C">
        <w:trPr>
          <w:cantSplit/>
        </w:trPr>
        <w:tc>
          <w:tcPr>
            <w:tcW w:w="0" w:type="auto"/>
            <w:shd w:val="clear" w:color="auto" w:fill="auto"/>
            <w:hideMark/>
          </w:tcPr>
          <w:p w14:paraId="54E43686" w14:textId="3A446542" w:rsidR="00F471F5" w:rsidRPr="000B4E2C" w:rsidRDefault="00F471F5" w:rsidP="00F471F5">
            <w:pPr>
              <w:rPr>
                <w:color w:val="000000"/>
                <w:sz w:val="18"/>
                <w:szCs w:val="18"/>
                <w:lang w:val="en-GB" w:eastAsia="en-GB"/>
              </w:rPr>
            </w:pPr>
            <w:r w:rsidRPr="000B4E2C">
              <w:rPr>
                <w:sz w:val="18"/>
                <w:szCs w:val="18"/>
                <w:lang w:val="en-GB" w:eastAsia="en-GB"/>
              </w:rPr>
              <w:t>Barreto 2014,</w:t>
            </w:r>
            <w:r w:rsidRPr="000B4E2C">
              <w:rPr>
                <w:sz w:val="18"/>
                <w:szCs w:val="18"/>
                <w:vertAlign w:val="superscript"/>
                <w:lang w:val="en-GB" w:eastAsia="en-GB"/>
              </w:rPr>
              <w:t>70</w:t>
            </w:r>
            <w:r w:rsidRPr="000B4E2C">
              <w:rPr>
                <w:sz w:val="18"/>
                <w:szCs w:val="18"/>
                <w:lang w:val="en-GB" w:eastAsia="en-GB"/>
              </w:rPr>
              <w:t xml:space="preserve"> Spain</w:t>
            </w:r>
          </w:p>
        </w:tc>
        <w:tc>
          <w:tcPr>
            <w:tcW w:w="0" w:type="auto"/>
            <w:shd w:val="clear" w:color="auto" w:fill="auto"/>
            <w:hideMark/>
          </w:tcPr>
          <w:p w14:paraId="520C8673" w14:textId="77777777" w:rsidR="00F471F5" w:rsidRPr="000B4E2C" w:rsidRDefault="00F471F5" w:rsidP="00F471F5">
            <w:pPr>
              <w:rPr>
                <w:color w:val="000000"/>
                <w:sz w:val="18"/>
                <w:szCs w:val="18"/>
                <w:lang w:val="en-GB" w:eastAsia="en-GB"/>
              </w:rPr>
            </w:pPr>
            <w:r w:rsidRPr="000B4E2C">
              <w:rPr>
                <w:sz w:val="18"/>
                <w:szCs w:val="18"/>
                <w:lang w:val="en-GB" w:eastAsia="en-GB"/>
              </w:rPr>
              <w:t>uNGAL, BioPorto</w:t>
            </w:r>
          </w:p>
        </w:tc>
        <w:tc>
          <w:tcPr>
            <w:tcW w:w="0" w:type="auto"/>
            <w:shd w:val="clear" w:color="auto" w:fill="auto"/>
            <w:hideMark/>
          </w:tcPr>
          <w:p w14:paraId="458EC677" w14:textId="77777777" w:rsidR="00F471F5" w:rsidRPr="000B4E2C" w:rsidRDefault="00F471F5" w:rsidP="00F471F5">
            <w:pPr>
              <w:rPr>
                <w:sz w:val="18"/>
                <w:szCs w:val="18"/>
                <w:lang w:val="en-GB" w:eastAsia="en-GB"/>
              </w:rPr>
            </w:pPr>
            <w:r w:rsidRPr="000B4E2C">
              <w:rPr>
                <w:sz w:val="18"/>
                <w:szCs w:val="18"/>
                <w:lang w:val="en-GB" w:eastAsia="en-GB"/>
              </w:rPr>
              <w:t>58</w:t>
            </w:r>
          </w:p>
          <w:p w14:paraId="11609129" w14:textId="77777777" w:rsidR="00F471F5" w:rsidRPr="000B4E2C" w:rsidRDefault="00F471F5" w:rsidP="00F471F5">
            <w:pPr>
              <w:rPr>
                <w:color w:val="000000"/>
                <w:sz w:val="18"/>
                <w:szCs w:val="18"/>
                <w:lang w:val="en-GB" w:eastAsia="en-GB"/>
              </w:rPr>
            </w:pPr>
            <w:r w:rsidRPr="000B4E2C">
              <w:rPr>
                <w:sz w:val="18"/>
                <w:szCs w:val="18"/>
                <w:lang w:val="en-GB" w:eastAsia="en-GB"/>
              </w:rPr>
              <w:t>(12)</w:t>
            </w:r>
          </w:p>
        </w:tc>
        <w:tc>
          <w:tcPr>
            <w:tcW w:w="0" w:type="auto"/>
            <w:shd w:val="clear" w:color="auto" w:fill="auto"/>
            <w:hideMark/>
          </w:tcPr>
          <w:p w14:paraId="40AD81C6" w14:textId="77777777" w:rsidR="00F471F5" w:rsidRPr="000B4E2C" w:rsidRDefault="00F471F5" w:rsidP="00F471F5">
            <w:pPr>
              <w:rPr>
                <w:color w:val="000000"/>
                <w:sz w:val="18"/>
                <w:szCs w:val="18"/>
                <w:lang w:val="en-GB" w:eastAsia="en-GB"/>
              </w:rPr>
            </w:pPr>
            <w:r w:rsidRPr="000B4E2C">
              <w:rPr>
                <w:sz w:val="18"/>
                <w:szCs w:val="18"/>
                <w:lang w:val="en-GB" w:eastAsia="en-GB"/>
              </w:rPr>
              <w:t>132</w:t>
            </w:r>
          </w:p>
        </w:tc>
        <w:tc>
          <w:tcPr>
            <w:tcW w:w="0" w:type="auto"/>
            <w:shd w:val="clear" w:color="auto" w:fill="auto"/>
            <w:hideMark/>
          </w:tcPr>
          <w:p w14:paraId="5B586564" w14:textId="77777777" w:rsidR="00F471F5" w:rsidRPr="000B4E2C" w:rsidRDefault="00F471F5" w:rsidP="00F471F5">
            <w:pPr>
              <w:rPr>
                <w:color w:val="000000"/>
                <w:sz w:val="18"/>
                <w:szCs w:val="18"/>
                <w:lang w:val="en-GB" w:eastAsia="en-GB"/>
              </w:rPr>
            </w:pPr>
            <w:r w:rsidRPr="000B4E2C">
              <w:rPr>
                <w:sz w:val="18"/>
                <w:szCs w:val="18"/>
                <w:lang w:val="en-GB" w:eastAsia="en-GB"/>
              </w:rPr>
              <w:t>65</w:t>
            </w:r>
          </w:p>
        </w:tc>
        <w:tc>
          <w:tcPr>
            <w:tcW w:w="0" w:type="auto"/>
            <w:shd w:val="clear" w:color="auto" w:fill="auto"/>
            <w:hideMark/>
          </w:tcPr>
          <w:p w14:paraId="69368CB6" w14:textId="77777777" w:rsidR="00F471F5" w:rsidRPr="000B4E2C" w:rsidRDefault="00F471F5" w:rsidP="00F471F5">
            <w:pPr>
              <w:rPr>
                <w:color w:val="000000"/>
                <w:sz w:val="18"/>
                <w:szCs w:val="18"/>
                <w:lang w:val="en-GB" w:eastAsia="en-GB"/>
              </w:rPr>
            </w:pPr>
            <w:r w:rsidRPr="000B4E2C">
              <w:rPr>
                <w:sz w:val="18"/>
                <w:szCs w:val="18"/>
                <w:lang w:val="en-GB" w:eastAsia="en-GB"/>
              </w:rPr>
              <w:t>AKIN</w:t>
            </w:r>
          </w:p>
        </w:tc>
        <w:tc>
          <w:tcPr>
            <w:tcW w:w="0" w:type="auto"/>
            <w:shd w:val="clear" w:color="auto" w:fill="auto"/>
            <w:hideMark/>
          </w:tcPr>
          <w:p w14:paraId="6CC104B8" w14:textId="77777777" w:rsidR="00F471F5" w:rsidRPr="000B4E2C" w:rsidRDefault="00F471F5" w:rsidP="00F471F5">
            <w:pPr>
              <w:rPr>
                <w:color w:val="000000"/>
                <w:sz w:val="18"/>
                <w:szCs w:val="18"/>
                <w:lang w:val="en-GB" w:eastAsia="en-GB"/>
              </w:rPr>
            </w:pPr>
            <w:r w:rsidRPr="000B4E2C">
              <w:rPr>
                <w:sz w:val="18"/>
                <w:szCs w:val="18"/>
                <w:lang w:val="en-GB" w:eastAsia="en-GB"/>
              </w:rPr>
              <w:t>70%</w:t>
            </w:r>
          </w:p>
        </w:tc>
        <w:tc>
          <w:tcPr>
            <w:tcW w:w="0" w:type="auto"/>
            <w:shd w:val="clear" w:color="auto" w:fill="auto"/>
            <w:hideMark/>
          </w:tcPr>
          <w:p w14:paraId="43DF088B" w14:textId="77777777" w:rsidR="00F471F5" w:rsidRPr="000B4E2C" w:rsidRDefault="00F471F5" w:rsidP="00F471F5">
            <w:pPr>
              <w:rPr>
                <w:sz w:val="18"/>
                <w:szCs w:val="18"/>
                <w:lang w:val="en-GB" w:eastAsia="en-GB"/>
              </w:rPr>
            </w:pPr>
            <w:r w:rsidRPr="000B4E2C">
              <w:rPr>
                <w:sz w:val="18"/>
                <w:szCs w:val="18"/>
                <w:lang w:val="en-GB" w:eastAsia="en-GB"/>
              </w:rPr>
              <w:t>1.5</w:t>
            </w:r>
          </w:p>
          <w:p w14:paraId="5E57A685" w14:textId="77777777" w:rsidR="00F471F5" w:rsidRPr="000B4E2C" w:rsidRDefault="00F471F5" w:rsidP="00F471F5">
            <w:pPr>
              <w:rPr>
                <w:color w:val="000000"/>
                <w:sz w:val="18"/>
                <w:szCs w:val="18"/>
                <w:lang w:val="en-GB" w:eastAsia="en-GB"/>
              </w:rPr>
            </w:pPr>
            <w:r w:rsidRPr="000B4E2C">
              <w:rPr>
                <w:sz w:val="18"/>
                <w:szCs w:val="18"/>
                <w:lang w:val="en-GB" w:eastAsia="en-GB"/>
              </w:rPr>
              <w:t>(1.0) mg/dL</w:t>
            </w:r>
          </w:p>
        </w:tc>
        <w:tc>
          <w:tcPr>
            <w:tcW w:w="0" w:type="auto"/>
            <w:shd w:val="clear" w:color="auto" w:fill="auto"/>
            <w:noWrap/>
            <w:hideMark/>
          </w:tcPr>
          <w:p w14:paraId="639C16FA"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762A6CC7"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49C0714"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00C85C9E" w14:textId="77777777" w:rsidR="00F471F5" w:rsidRPr="000B4E2C" w:rsidRDefault="00F471F5" w:rsidP="00F471F5">
            <w:pPr>
              <w:rPr>
                <w:color w:val="000000"/>
                <w:sz w:val="18"/>
                <w:szCs w:val="18"/>
                <w:lang w:val="en-GB" w:eastAsia="en-GB"/>
              </w:rPr>
            </w:pPr>
            <w:r w:rsidRPr="000B4E2C">
              <w:rPr>
                <w:sz w:val="18"/>
                <w:szCs w:val="18"/>
                <w:lang w:val="en-GB" w:eastAsia="en-GB"/>
              </w:rPr>
              <w:t>Cirrhotic patients with a bacterial infection</w:t>
            </w:r>
          </w:p>
        </w:tc>
        <w:tc>
          <w:tcPr>
            <w:tcW w:w="0" w:type="auto"/>
            <w:shd w:val="clear" w:color="auto" w:fill="auto"/>
            <w:hideMark/>
          </w:tcPr>
          <w:p w14:paraId="2195BE6A" w14:textId="77777777" w:rsidR="00F471F5" w:rsidRPr="000B4E2C" w:rsidRDefault="00F471F5" w:rsidP="00F471F5">
            <w:pPr>
              <w:rPr>
                <w:sz w:val="18"/>
                <w:szCs w:val="18"/>
                <w:lang w:val="en-GB" w:eastAsia="en-GB"/>
              </w:rPr>
            </w:pPr>
            <w:r w:rsidRPr="000B4E2C">
              <w:rPr>
                <w:sz w:val="18"/>
                <w:szCs w:val="18"/>
                <w:lang w:val="en-GB" w:eastAsia="en-GB"/>
              </w:rPr>
              <w:t xml:space="preserve">Chronic haemodialysis before admission; previous liver and/or kidney transplantation; hepatocellular carcinoma outside the Milan criteria or any other advanced malignancy; lack of informed consent; and patients with urinary tract infection; these </w:t>
            </w:r>
            <w:r w:rsidRPr="000B4E2C">
              <w:rPr>
                <w:sz w:val="18"/>
                <w:szCs w:val="18"/>
                <w:highlight w:val="magenta"/>
                <w:lang w:val="en-GB" w:eastAsia="en-GB"/>
              </w:rPr>
              <w:t>latter</w:t>
            </w:r>
            <w:r w:rsidRPr="000B4E2C">
              <w:rPr>
                <w:sz w:val="18"/>
                <w:szCs w:val="18"/>
                <w:lang w:val="en-GB" w:eastAsia="en-GB"/>
              </w:rPr>
              <w:t xml:space="preserve"> patients were excluded because uNGAL levels are increased in these patients and may therefore not reflect any impairment of kidney function.</w:t>
            </w:r>
          </w:p>
        </w:tc>
      </w:tr>
      <w:tr w:rsidR="000B4E2C" w:rsidRPr="000B4E2C" w14:paraId="35C20CD0" w14:textId="77777777" w:rsidTr="000B4E2C">
        <w:trPr>
          <w:cantSplit/>
        </w:trPr>
        <w:tc>
          <w:tcPr>
            <w:tcW w:w="0" w:type="auto"/>
            <w:shd w:val="clear" w:color="auto" w:fill="auto"/>
            <w:hideMark/>
          </w:tcPr>
          <w:p w14:paraId="64BDFF5A" w14:textId="7B3C764A" w:rsidR="00F471F5" w:rsidRPr="000B4E2C" w:rsidRDefault="00F471F5" w:rsidP="00F471F5">
            <w:pPr>
              <w:rPr>
                <w:color w:val="000000"/>
                <w:sz w:val="18"/>
                <w:szCs w:val="18"/>
                <w:vertAlign w:val="superscript"/>
                <w:lang w:val="en-GB" w:eastAsia="en-GB"/>
              </w:rPr>
            </w:pPr>
            <w:r w:rsidRPr="000B4E2C">
              <w:rPr>
                <w:sz w:val="18"/>
                <w:szCs w:val="18"/>
                <w:lang w:val="en-GB" w:eastAsia="en-GB"/>
              </w:rPr>
              <w:lastRenderedPageBreak/>
              <w:t>Jaques 2019,</w:t>
            </w:r>
            <w:r w:rsidRPr="000B4E2C">
              <w:rPr>
                <w:sz w:val="18"/>
                <w:szCs w:val="18"/>
                <w:vertAlign w:val="superscript"/>
                <w:lang w:val="en-GB" w:eastAsia="en-GB"/>
              </w:rPr>
              <w:t>64</w:t>
            </w:r>
            <w:r w:rsidRPr="000B4E2C">
              <w:rPr>
                <w:sz w:val="18"/>
                <w:szCs w:val="18"/>
                <w:lang w:val="en-GB" w:eastAsia="en-GB"/>
              </w:rPr>
              <w:t xml:space="preserve"> Switzerland</w:t>
            </w:r>
          </w:p>
        </w:tc>
        <w:tc>
          <w:tcPr>
            <w:tcW w:w="0" w:type="auto"/>
            <w:shd w:val="clear" w:color="auto" w:fill="auto"/>
            <w:hideMark/>
          </w:tcPr>
          <w:p w14:paraId="67FA00FD" w14:textId="77777777" w:rsidR="00F471F5" w:rsidRPr="000B4E2C" w:rsidRDefault="00F471F5" w:rsidP="00F471F5">
            <w:pPr>
              <w:rPr>
                <w:color w:val="000000"/>
                <w:sz w:val="18"/>
                <w:szCs w:val="18"/>
                <w:lang w:val="en-GB" w:eastAsia="en-GB"/>
              </w:rPr>
            </w:pPr>
            <w:r w:rsidRPr="000B4E2C">
              <w:rPr>
                <w:sz w:val="18"/>
                <w:szCs w:val="18"/>
                <w:lang w:val="en-GB" w:eastAsia="en-GB"/>
              </w:rPr>
              <w:t>uNGAL, BioPorto &amp; pNGAL BioPorto</w:t>
            </w:r>
          </w:p>
        </w:tc>
        <w:tc>
          <w:tcPr>
            <w:tcW w:w="0" w:type="auto"/>
            <w:shd w:val="clear" w:color="auto" w:fill="auto"/>
            <w:hideMark/>
          </w:tcPr>
          <w:p w14:paraId="7D04D19C" w14:textId="77777777" w:rsidR="00F471F5" w:rsidRPr="000B4E2C" w:rsidRDefault="00F471F5" w:rsidP="00F471F5">
            <w:pPr>
              <w:rPr>
                <w:sz w:val="18"/>
                <w:szCs w:val="18"/>
                <w:lang w:val="en-GB" w:eastAsia="en-GB"/>
              </w:rPr>
            </w:pPr>
            <w:r w:rsidRPr="000B4E2C">
              <w:rPr>
                <w:sz w:val="18"/>
                <w:szCs w:val="18"/>
                <w:lang w:val="en-GB" w:eastAsia="en-GB"/>
              </w:rPr>
              <w:t>58</w:t>
            </w:r>
          </w:p>
          <w:p w14:paraId="3CEA367F" w14:textId="77777777" w:rsidR="00F471F5" w:rsidRPr="000B4E2C" w:rsidRDefault="00F471F5" w:rsidP="00F471F5">
            <w:pPr>
              <w:rPr>
                <w:color w:val="000000"/>
                <w:sz w:val="18"/>
                <w:szCs w:val="18"/>
                <w:lang w:val="en-GB" w:eastAsia="en-GB"/>
              </w:rPr>
            </w:pPr>
            <w:r w:rsidRPr="000B4E2C">
              <w:rPr>
                <w:sz w:val="18"/>
                <w:szCs w:val="18"/>
                <w:lang w:val="en-GB" w:eastAsia="en-GB"/>
              </w:rPr>
              <w:t>(10)</w:t>
            </w:r>
          </w:p>
        </w:tc>
        <w:tc>
          <w:tcPr>
            <w:tcW w:w="0" w:type="auto"/>
            <w:shd w:val="clear" w:color="auto" w:fill="auto"/>
            <w:hideMark/>
          </w:tcPr>
          <w:p w14:paraId="0039847A" w14:textId="77777777" w:rsidR="00F471F5" w:rsidRPr="000B4E2C" w:rsidRDefault="00F471F5" w:rsidP="00F471F5">
            <w:pPr>
              <w:rPr>
                <w:color w:val="000000"/>
                <w:sz w:val="18"/>
                <w:szCs w:val="18"/>
                <w:lang w:val="en-GB" w:eastAsia="en-GB"/>
              </w:rPr>
            </w:pPr>
            <w:r w:rsidRPr="000B4E2C">
              <w:rPr>
                <w:sz w:val="18"/>
                <w:szCs w:val="18"/>
                <w:lang w:val="en-GB" w:eastAsia="en-GB"/>
              </w:rPr>
              <w:t>105</w:t>
            </w:r>
          </w:p>
        </w:tc>
        <w:tc>
          <w:tcPr>
            <w:tcW w:w="0" w:type="auto"/>
            <w:shd w:val="clear" w:color="auto" w:fill="auto"/>
            <w:hideMark/>
          </w:tcPr>
          <w:p w14:paraId="399BE3BC" w14:textId="77777777" w:rsidR="00F471F5" w:rsidRPr="000B4E2C" w:rsidRDefault="00F471F5" w:rsidP="00F471F5">
            <w:pPr>
              <w:rPr>
                <w:color w:val="000000"/>
                <w:sz w:val="18"/>
                <w:szCs w:val="18"/>
                <w:lang w:val="en-GB" w:eastAsia="en-GB"/>
              </w:rPr>
            </w:pPr>
            <w:r w:rsidRPr="000B4E2C">
              <w:rPr>
                <w:sz w:val="18"/>
                <w:szCs w:val="18"/>
                <w:lang w:val="en-GB" w:eastAsia="en-GB"/>
              </w:rPr>
              <w:t>55</w:t>
            </w:r>
          </w:p>
        </w:tc>
        <w:tc>
          <w:tcPr>
            <w:tcW w:w="0" w:type="auto"/>
            <w:shd w:val="clear" w:color="auto" w:fill="auto"/>
            <w:hideMark/>
          </w:tcPr>
          <w:p w14:paraId="2C7C6B9B" w14:textId="77777777" w:rsidR="00F471F5" w:rsidRPr="000B4E2C" w:rsidRDefault="00F471F5" w:rsidP="00F471F5">
            <w:pPr>
              <w:rPr>
                <w:color w:val="000000"/>
                <w:sz w:val="18"/>
                <w:szCs w:val="18"/>
                <w:lang w:val="en-GB" w:eastAsia="en-GB"/>
              </w:rPr>
            </w:pPr>
            <w:r w:rsidRPr="000B4E2C">
              <w:rPr>
                <w:sz w:val="18"/>
                <w:szCs w:val="18"/>
                <w:lang w:val="en-GB" w:eastAsia="en-GB"/>
              </w:rPr>
              <w:t>AKIN</w:t>
            </w:r>
          </w:p>
        </w:tc>
        <w:tc>
          <w:tcPr>
            <w:tcW w:w="0" w:type="auto"/>
            <w:shd w:val="clear" w:color="auto" w:fill="auto"/>
            <w:hideMark/>
          </w:tcPr>
          <w:p w14:paraId="3C38E609" w14:textId="77777777" w:rsidR="00F471F5" w:rsidRPr="000B4E2C" w:rsidRDefault="00F471F5" w:rsidP="00F471F5">
            <w:pPr>
              <w:rPr>
                <w:color w:val="000000"/>
                <w:sz w:val="18"/>
                <w:szCs w:val="18"/>
                <w:lang w:val="en-GB" w:eastAsia="en-GB"/>
              </w:rPr>
            </w:pPr>
            <w:r w:rsidRPr="000B4E2C">
              <w:rPr>
                <w:sz w:val="18"/>
                <w:szCs w:val="18"/>
                <w:lang w:val="en-GB" w:eastAsia="en-GB"/>
              </w:rPr>
              <w:t>71%</w:t>
            </w:r>
          </w:p>
        </w:tc>
        <w:tc>
          <w:tcPr>
            <w:tcW w:w="0" w:type="auto"/>
            <w:shd w:val="clear" w:color="auto" w:fill="auto"/>
            <w:hideMark/>
          </w:tcPr>
          <w:p w14:paraId="6DDDC11B"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F4620D7"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7066D801"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3479A0F7"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3920EE49" w14:textId="045095D3" w:rsidR="00F471F5" w:rsidRPr="000B4E2C" w:rsidRDefault="00F471F5" w:rsidP="00F471F5">
            <w:pPr>
              <w:rPr>
                <w:color w:val="000000"/>
                <w:sz w:val="18"/>
                <w:szCs w:val="18"/>
                <w:lang w:val="en-GB" w:eastAsia="en-GB"/>
              </w:rPr>
            </w:pPr>
            <w:r w:rsidRPr="000B4E2C">
              <w:rPr>
                <w:sz w:val="18"/>
                <w:szCs w:val="18"/>
                <w:lang w:val="en-GB" w:eastAsia="en-GB"/>
              </w:rPr>
              <w:t xml:space="preserve">Inclusion criteria were age </w:t>
            </w:r>
            <w:r w:rsidR="000B4E2C" w:rsidRPr="000B4E2C">
              <w:rPr>
                <w:color w:val="00B0F0"/>
                <w:sz w:val="18"/>
                <w:szCs w:val="18"/>
                <w:lang w:val="en-GB" w:eastAsia="en-GB"/>
              </w:rPr>
              <w:t>≥</w:t>
            </w:r>
            <w:r w:rsidR="000B4E2C" w:rsidRPr="000B4E2C">
              <w:rPr>
                <w:color w:val="00B0F0"/>
                <w:sz w:val="18"/>
                <w:szCs w:val="18"/>
                <w:lang w:val="en-GB" w:eastAsia="en-GB"/>
              </w:rPr>
              <w:t> </w:t>
            </w:r>
            <w:r w:rsidRPr="000B4E2C">
              <w:rPr>
                <w:sz w:val="18"/>
                <w:szCs w:val="18"/>
                <w:lang w:val="en-GB" w:eastAsia="en-GB"/>
              </w:rPr>
              <w:t>18 years and known or suspected cirrhosis with ascites confirmed by ultrasonography.</w:t>
            </w:r>
          </w:p>
        </w:tc>
        <w:tc>
          <w:tcPr>
            <w:tcW w:w="0" w:type="auto"/>
            <w:shd w:val="clear" w:color="auto" w:fill="auto"/>
            <w:hideMark/>
          </w:tcPr>
          <w:p w14:paraId="3F623618" w14:textId="4F7179F4" w:rsidR="00F471F5" w:rsidRPr="000B4E2C" w:rsidRDefault="00F471F5" w:rsidP="00F471F5">
            <w:pPr>
              <w:rPr>
                <w:sz w:val="18"/>
                <w:szCs w:val="18"/>
                <w:lang w:val="en-GB" w:eastAsia="en-GB"/>
              </w:rPr>
            </w:pPr>
            <w:r w:rsidRPr="000B4E2C">
              <w:rPr>
                <w:sz w:val="18"/>
                <w:szCs w:val="18"/>
                <w:lang w:val="en-GB" w:eastAsia="en-GB"/>
              </w:rPr>
              <w:t>Exclusion criteria were proven multifocal hepatocellular carcinoma, known CKD stage V or dialysis before admission, prior kidney or liver transplantation, recent upper gastrointestinal bleeding, or more than 2</w:t>
            </w:r>
            <w:r w:rsidR="000B4E2C" w:rsidRPr="000B4E2C">
              <w:rPr>
                <w:color w:val="00B0F0"/>
                <w:sz w:val="18"/>
                <w:szCs w:val="18"/>
                <w:lang w:val="en-GB" w:eastAsia="en-GB"/>
              </w:rPr>
              <w:t>4</w:t>
            </w:r>
            <w:r w:rsidR="000B4E2C" w:rsidRPr="000B4E2C">
              <w:rPr>
                <w:color w:val="00B0F0"/>
                <w:sz w:val="18"/>
                <w:szCs w:val="18"/>
                <w:lang w:val="en-GB" w:eastAsia="en-GB"/>
              </w:rPr>
              <w:t> </w:t>
            </w:r>
            <w:r w:rsidR="000B4E2C" w:rsidRPr="000B4E2C">
              <w:rPr>
                <w:color w:val="00B0F0"/>
                <w:sz w:val="18"/>
                <w:szCs w:val="18"/>
                <w:lang w:val="en-GB" w:eastAsia="en-GB"/>
              </w:rPr>
              <w:t xml:space="preserve">h </w:t>
            </w:r>
            <w:r w:rsidRPr="000B4E2C">
              <w:rPr>
                <w:sz w:val="18"/>
                <w:szCs w:val="18"/>
                <w:lang w:val="en-GB" w:eastAsia="en-GB"/>
              </w:rPr>
              <w:t xml:space="preserve">delay between the admission and inclusion. Informed consent was sought from all eligible patients, or from a surrogate </w:t>
            </w:r>
            <w:r w:rsidR="000B4E2C" w:rsidRPr="000B4E2C">
              <w:rPr>
                <w:color w:val="00B0F0"/>
                <w:sz w:val="18"/>
                <w:szCs w:val="18"/>
                <w:lang w:val="en-GB" w:eastAsia="en-GB"/>
              </w:rPr>
              <w:t>decision-mak</w:t>
            </w:r>
            <w:r w:rsidRPr="000B4E2C">
              <w:rPr>
                <w:sz w:val="18"/>
                <w:szCs w:val="18"/>
                <w:lang w:val="en-GB" w:eastAsia="en-GB"/>
              </w:rPr>
              <w:t>er if the patient was unable to provide consent.</w:t>
            </w:r>
          </w:p>
        </w:tc>
      </w:tr>
      <w:tr w:rsidR="000B4E2C" w:rsidRPr="000B4E2C" w14:paraId="7C87232B" w14:textId="77777777" w:rsidTr="000B4E2C">
        <w:trPr>
          <w:cantSplit/>
        </w:trPr>
        <w:tc>
          <w:tcPr>
            <w:tcW w:w="0" w:type="auto"/>
            <w:shd w:val="clear" w:color="auto" w:fill="auto"/>
            <w:hideMark/>
          </w:tcPr>
          <w:p w14:paraId="70725616" w14:textId="26AD6CD8" w:rsidR="00F471F5" w:rsidRPr="000B4E2C" w:rsidRDefault="00F471F5" w:rsidP="00F471F5">
            <w:pPr>
              <w:rPr>
                <w:color w:val="000000"/>
                <w:sz w:val="18"/>
                <w:szCs w:val="18"/>
                <w:lang w:val="en-GB" w:eastAsia="en-GB"/>
              </w:rPr>
            </w:pPr>
            <w:r w:rsidRPr="000B4E2C">
              <w:rPr>
                <w:sz w:val="18"/>
                <w:szCs w:val="18"/>
                <w:lang w:val="en-GB" w:eastAsia="en-GB"/>
              </w:rPr>
              <w:t>Cho 2014,</w:t>
            </w:r>
            <w:r w:rsidRPr="000B4E2C">
              <w:rPr>
                <w:sz w:val="18"/>
                <w:szCs w:val="18"/>
                <w:vertAlign w:val="superscript"/>
                <w:lang w:val="en-GB" w:eastAsia="en-GB"/>
              </w:rPr>
              <w:t>68</w:t>
            </w:r>
            <w:r w:rsidRPr="000B4E2C">
              <w:rPr>
                <w:sz w:val="18"/>
                <w:szCs w:val="18"/>
                <w:lang w:val="en-GB" w:eastAsia="en-GB"/>
              </w:rPr>
              <w:t xml:space="preserve"> Korea</w:t>
            </w:r>
          </w:p>
        </w:tc>
        <w:tc>
          <w:tcPr>
            <w:tcW w:w="0" w:type="auto"/>
            <w:shd w:val="clear" w:color="auto" w:fill="auto"/>
            <w:hideMark/>
          </w:tcPr>
          <w:p w14:paraId="6D5D719E" w14:textId="77777777" w:rsidR="00F471F5" w:rsidRPr="000B4E2C" w:rsidRDefault="00F471F5" w:rsidP="00F471F5">
            <w:pPr>
              <w:rPr>
                <w:color w:val="000000"/>
                <w:sz w:val="18"/>
                <w:szCs w:val="18"/>
                <w:lang w:val="en-GB" w:eastAsia="en-GB"/>
              </w:rPr>
            </w:pPr>
            <w:r w:rsidRPr="000B4E2C">
              <w:rPr>
                <w:sz w:val="18"/>
                <w:szCs w:val="18"/>
                <w:lang w:val="en-GB" w:eastAsia="en-GB"/>
              </w:rPr>
              <w:t>uNGAL, BioPorto</w:t>
            </w:r>
          </w:p>
        </w:tc>
        <w:tc>
          <w:tcPr>
            <w:tcW w:w="0" w:type="auto"/>
            <w:shd w:val="clear" w:color="auto" w:fill="auto"/>
            <w:hideMark/>
          </w:tcPr>
          <w:p w14:paraId="34DC9C55" w14:textId="77777777" w:rsidR="00F471F5" w:rsidRPr="000B4E2C" w:rsidRDefault="00F471F5" w:rsidP="00F471F5">
            <w:pPr>
              <w:rPr>
                <w:sz w:val="18"/>
                <w:szCs w:val="18"/>
                <w:lang w:val="en-GB" w:eastAsia="en-GB"/>
              </w:rPr>
            </w:pPr>
            <w:r w:rsidRPr="000B4E2C">
              <w:rPr>
                <w:sz w:val="18"/>
                <w:szCs w:val="18"/>
                <w:lang w:val="en-GB" w:eastAsia="en-GB"/>
              </w:rPr>
              <w:t>57</w:t>
            </w:r>
          </w:p>
          <w:p w14:paraId="0E662BF1" w14:textId="77777777" w:rsidR="00F471F5" w:rsidRPr="000B4E2C" w:rsidRDefault="00F471F5" w:rsidP="00F471F5">
            <w:pPr>
              <w:rPr>
                <w:color w:val="000000"/>
                <w:sz w:val="18"/>
                <w:szCs w:val="18"/>
                <w:lang w:val="en-GB" w:eastAsia="en-GB"/>
              </w:rPr>
            </w:pPr>
            <w:r w:rsidRPr="000B4E2C">
              <w:rPr>
                <w:sz w:val="18"/>
                <w:szCs w:val="18"/>
                <w:lang w:val="en-GB" w:eastAsia="en-GB"/>
              </w:rPr>
              <w:t>(12)</w:t>
            </w:r>
          </w:p>
        </w:tc>
        <w:tc>
          <w:tcPr>
            <w:tcW w:w="0" w:type="auto"/>
            <w:shd w:val="clear" w:color="auto" w:fill="auto"/>
            <w:hideMark/>
          </w:tcPr>
          <w:p w14:paraId="00B085D6" w14:textId="77777777" w:rsidR="00F471F5" w:rsidRPr="000B4E2C" w:rsidRDefault="00F471F5" w:rsidP="00F471F5">
            <w:pPr>
              <w:rPr>
                <w:color w:val="000000"/>
                <w:sz w:val="18"/>
                <w:szCs w:val="18"/>
                <w:lang w:val="en-GB" w:eastAsia="en-GB"/>
              </w:rPr>
            </w:pPr>
            <w:r w:rsidRPr="000B4E2C">
              <w:rPr>
                <w:sz w:val="18"/>
                <w:szCs w:val="18"/>
                <w:lang w:val="en-GB" w:eastAsia="en-GB"/>
              </w:rPr>
              <w:t>135</w:t>
            </w:r>
          </w:p>
        </w:tc>
        <w:tc>
          <w:tcPr>
            <w:tcW w:w="0" w:type="auto"/>
            <w:shd w:val="clear" w:color="auto" w:fill="auto"/>
            <w:hideMark/>
          </w:tcPr>
          <w:p w14:paraId="0F0B0896" w14:textId="77777777" w:rsidR="00F471F5" w:rsidRPr="000B4E2C" w:rsidRDefault="00F471F5" w:rsidP="00F471F5">
            <w:pPr>
              <w:rPr>
                <w:color w:val="000000"/>
                <w:sz w:val="18"/>
                <w:szCs w:val="18"/>
                <w:lang w:val="en-GB" w:eastAsia="en-GB"/>
              </w:rPr>
            </w:pPr>
            <w:r w:rsidRPr="000B4E2C">
              <w:rPr>
                <w:sz w:val="18"/>
                <w:szCs w:val="18"/>
                <w:lang w:val="en-GB" w:eastAsia="en-GB"/>
              </w:rPr>
              <w:t>54</w:t>
            </w:r>
          </w:p>
        </w:tc>
        <w:tc>
          <w:tcPr>
            <w:tcW w:w="0" w:type="auto"/>
            <w:shd w:val="clear" w:color="auto" w:fill="auto"/>
            <w:hideMark/>
          </w:tcPr>
          <w:p w14:paraId="35550B8E" w14:textId="77777777" w:rsidR="00F471F5" w:rsidRPr="000B4E2C" w:rsidRDefault="00F471F5" w:rsidP="00F471F5">
            <w:pPr>
              <w:rPr>
                <w:color w:val="000000"/>
                <w:sz w:val="18"/>
                <w:szCs w:val="18"/>
                <w:lang w:val="en-GB" w:eastAsia="en-GB"/>
              </w:rPr>
            </w:pPr>
            <w:r w:rsidRPr="000B4E2C">
              <w:rPr>
                <w:sz w:val="18"/>
                <w:szCs w:val="18"/>
                <w:lang w:val="en-GB" w:eastAsia="en-GB"/>
              </w:rPr>
              <w:t>AKIN</w:t>
            </w:r>
          </w:p>
        </w:tc>
        <w:tc>
          <w:tcPr>
            <w:tcW w:w="0" w:type="auto"/>
            <w:shd w:val="clear" w:color="auto" w:fill="auto"/>
            <w:hideMark/>
          </w:tcPr>
          <w:p w14:paraId="1AA91A3F" w14:textId="77777777" w:rsidR="00F471F5" w:rsidRPr="000B4E2C" w:rsidRDefault="00F471F5" w:rsidP="00F471F5">
            <w:pPr>
              <w:rPr>
                <w:color w:val="000000"/>
                <w:sz w:val="18"/>
                <w:szCs w:val="18"/>
                <w:lang w:val="en-GB" w:eastAsia="en-GB"/>
              </w:rPr>
            </w:pPr>
            <w:r w:rsidRPr="000B4E2C">
              <w:rPr>
                <w:sz w:val="18"/>
                <w:szCs w:val="18"/>
                <w:lang w:val="en-GB" w:eastAsia="en-GB"/>
              </w:rPr>
              <w:t>63%</w:t>
            </w:r>
          </w:p>
        </w:tc>
        <w:tc>
          <w:tcPr>
            <w:tcW w:w="0" w:type="auto"/>
            <w:shd w:val="clear" w:color="auto" w:fill="auto"/>
            <w:hideMark/>
          </w:tcPr>
          <w:p w14:paraId="6460A1F0"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A315B79"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028F2D0B"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49BFAAAE"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5903AB14" w14:textId="77777777" w:rsidR="00F471F5" w:rsidRPr="000B4E2C" w:rsidRDefault="00F471F5" w:rsidP="00F471F5">
            <w:pPr>
              <w:rPr>
                <w:color w:val="000000"/>
                <w:sz w:val="18"/>
                <w:szCs w:val="18"/>
                <w:lang w:val="en-GB" w:eastAsia="en-GB"/>
              </w:rPr>
            </w:pPr>
            <w:r w:rsidRPr="000B4E2C">
              <w:rPr>
                <w:sz w:val="18"/>
                <w:szCs w:val="18"/>
                <w:lang w:val="en-GB" w:eastAsia="en-GB"/>
              </w:rPr>
              <w:t>Patients who planned to undergo elective hepatobiliary surgery</w:t>
            </w:r>
          </w:p>
        </w:tc>
        <w:tc>
          <w:tcPr>
            <w:tcW w:w="0" w:type="auto"/>
            <w:shd w:val="clear" w:color="auto" w:fill="auto"/>
            <w:hideMark/>
          </w:tcPr>
          <w:p w14:paraId="7CC71540" w14:textId="713BD9F2" w:rsidR="00F471F5" w:rsidRPr="000B4E2C" w:rsidRDefault="00F471F5" w:rsidP="00F471F5">
            <w:pPr>
              <w:rPr>
                <w:sz w:val="18"/>
                <w:szCs w:val="18"/>
                <w:lang w:val="en-GB" w:eastAsia="en-GB"/>
              </w:rPr>
            </w:pPr>
            <w:r w:rsidRPr="000B4E2C">
              <w:rPr>
                <w:sz w:val="18"/>
                <w:szCs w:val="18"/>
                <w:lang w:val="en-GB" w:eastAsia="en-GB"/>
              </w:rPr>
              <w:t xml:space="preserve">Patients </w:t>
            </w:r>
            <w:r w:rsidR="000B4E2C" w:rsidRPr="000B4E2C">
              <w:rPr>
                <w:color w:val="00B0F0"/>
                <w:sz w:val="18"/>
                <w:szCs w:val="18"/>
                <w:lang w:val="en-GB" w:eastAsia="en-GB"/>
              </w:rPr>
              <w:t>&lt;</w:t>
            </w:r>
            <w:r w:rsidR="000B4E2C" w:rsidRPr="000B4E2C">
              <w:rPr>
                <w:color w:val="00B0F0"/>
                <w:sz w:val="18"/>
                <w:szCs w:val="18"/>
                <w:lang w:val="en-GB" w:eastAsia="en-GB"/>
              </w:rPr>
              <w:t> </w:t>
            </w:r>
            <w:r w:rsidR="000B4E2C" w:rsidRPr="000B4E2C">
              <w:rPr>
                <w:color w:val="00B0F0"/>
                <w:sz w:val="18"/>
                <w:szCs w:val="18"/>
                <w:lang w:val="en-GB" w:eastAsia="en-GB"/>
              </w:rPr>
              <w:t>1</w:t>
            </w:r>
            <w:r w:rsidRPr="000B4E2C">
              <w:rPr>
                <w:sz w:val="18"/>
                <w:szCs w:val="18"/>
                <w:lang w:val="en-GB" w:eastAsia="en-GB"/>
              </w:rPr>
              <w:t>8 years</w:t>
            </w:r>
            <w:r w:rsidR="000B4E2C" w:rsidRPr="000B4E2C">
              <w:rPr>
                <w:sz w:val="18"/>
                <w:szCs w:val="18"/>
                <w:lang w:val="en-GB" w:eastAsia="en-GB"/>
              </w:rPr>
              <w:t xml:space="preserve"> </w:t>
            </w:r>
            <w:r w:rsidRPr="000B4E2C">
              <w:rPr>
                <w:sz w:val="18"/>
                <w:szCs w:val="18"/>
                <w:lang w:val="en-GB" w:eastAsia="en-GB"/>
              </w:rPr>
              <w:t>of age, with baseline estimated glomerular filtration rate</w:t>
            </w:r>
            <w:r w:rsidR="000B4E2C" w:rsidRPr="000B4E2C">
              <w:rPr>
                <w:sz w:val="18"/>
                <w:szCs w:val="18"/>
                <w:lang w:val="en-GB" w:eastAsia="en-GB"/>
              </w:rPr>
              <w:t xml:space="preserve"> </w:t>
            </w:r>
            <w:r w:rsidRPr="000B4E2C">
              <w:rPr>
                <w:sz w:val="18"/>
                <w:szCs w:val="18"/>
                <w:lang w:val="en-GB" w:eastAsia="en-GB"/>
              </w:rPr>
              <w:t xml:space="preserve">of </w:t>
            </w:r>
            <w:r w:rsidR="000B4E2C" w:rsidRPr="000B4E2C">
              <w:rPr>
                <w:color w:val="00B0F0"/>
                <w:sz w:val="18"/>
                <w:szCs w:val="18"/>
                <w:lang w:val="en-GB" w:eastAsia="en-GB"/>
              </w:rPr>
              <w:t>&lt;</w:t>
            </w:r>
            <w:r w:rsidR="000B4E2C" w:rsidRPr="000B4E2C">
              <w:rPr>
                <w:color w:val="00B0F0"/>
                <w:sz w:val="18"/>
                <w:szCs w:val="18"/>
                <w:lang w:val="en-GB" w:eastAsia="en-GB"/>
              </w:rPr>
              <w:t> </w:t>
            </w:r>
            <w:r w:rsidR="000B4E2C" w:rsidRPr="000B4E2C">
              <w:rPr>
                <w:color w:val="00B0F0"/>
                <w:sz w:val="18"/>
                <w:szCs w:val="18"/>
                <w:lang w:val="en-GB" w:eastAsia="en-GB"/>
              </w:rPr>
              <w:t>6</w:t>
            </w:r>
            <w:r w:rsidRPr="000B4E2C">
              <w:rPr>
                <w:sz w:val="18"/>
                <w:szCs w:val="18"/>
                <w:lang w:val="en-GB" w:eastAsia="en-GB"/>
              </w:rPr>
              <w:t>0 ml/min/1.73 m2, on maintenance RRT,</w:t>
            </w:r>
            <w:r w:rsidR="000B4E2C" w:rsidRPr="000B4E2C">
              <w:rPr>
                <w:sz w:val="18"/>
                <w:szCs w:val="18"/>
                <w:lang w:val="en-GB" w:eastAsia="en-GB"/>
              </w:rPr>
              <w:t xml:space="preserve"> </w:t>
            </w:r>
            <w:r w:rsidRPr="000B4E2C">
              <w:rPr>
                <w:sz w:val="18"/>
                <w:szCs w:val="18"/>
                <w:lang w:val="en-GB" w:eastAsia="en-GB"/>
              </w:rPr>
              <w:t>developed AKI preoperatively</w:t>
            </w:r>
          </w:p>
        </w:tc>
      </w:tr>
      <w:tr w:rsidR="000B4E2C" w:rsidRPr="000B4E2C" w14:paraId="7D0D86BD" w14:textId="77777777" w:rsidTr="000B4E2C">
        <w:trPr>
          <w:cantSplit/>
        </w:trPr>
        <w:tc>
          <w:tcPr>
            <w:tcW w:w="0" w:type="auto"/>
            <w:shd w:val="clear" w:color="auto" w:fill="auto"/>
            <w:hideMark/>
          </w:tcPr>
          <w:p w14:paraId="675D309D" w14:textId="71EF804A" w:rsidR="00F471F5" w:rsidRPr="000B4E2C" w:rsidRDefault="00F471F5" w:rsidP="00F471F5">
            <w:pPr>
              <w:rPr>
                <w:color w:val="000000"/>
                <w:sz w:val="18"/>
                <w:szCs w:val="18"/>
                <w:lang w:val="en-GB" w:eastAsia="en-GB"/>
              </w:rPr>
            </w:pPr>
            <w:r w:rsidRPr="000B4E2C">
              <w:rPr>
                <w:sz w:val="18"/>
                <w:szCs w:val="18"/>
                <w:lang w:val="en-GB" w:eastAsia="en-GB"/>
              </w:rPr>
              <w:t>Nickolas 2008,</w:t>
            </w:r>
            <w:r w:rsidRPr="000B4E2C">
              <w:rPr>
                <w:sz w:val="18"/>
                <w:szCs w:val="18"/>
                <w:vertAlign w:val="superscript"/>
                <w:lang w:val="en-GB" w:eastAsia="en-GB"/>
              </w:rPr>
              <w:t>76</w:t>
            </w:r>
            <w:r w:rsidRPr="000B4E2C">
              <w:rPr>
                <w:sz w:val="18"/>
                <w:szCs w:val="18"/>
                <w:lang w:val="en-GB" w:eastAsia="en-GB"/>
              </w:rPr>
              <w:t xml:space="preserve"> USA</w:t>
            </w:r>
          </w:p>
        </w:tc>
        <w:tc>
          <w:tcPr>
            <w:tcW w:w="0" w:type="auto"/>
            <w:shd w:val="clear" w:color="auto" w:fill="auto"/>
            <w:hideMark/>
          </w:tcPr>
          <w:p w14:paraId="7D1EEAF2" w14:textId="77777777" w:rsidR="00F471F5" w:rsidRPr="000B4E2C" w:rsidRDefault="00F471F5" w:rsidP="00F471F5">
            <w:pPr>
              <w:rPr>
                <w:color w:val="000000"/>
                <w:sz w:val="18"/>
                <w:szCs w:val="18"/>
                <w:lang w:val="en-GB" w:eastAsia="en-GB"/>
              </w:rPr>
            </w:pPr>
            <w:r w:rsidRPr="000B4E2C">
              <w:rPr>
                <w:sz w:val="18"/>
                <w:szCs w:val="18"/>
                <w:lang w:val="en-GB" w:eastAsia="en-GB"/>
              </w:rPr>
              <w:t>uNGAL, BioPorto</w:t>
            </w:r>
          </w:p>
        </w:tc>
        <w:tc>
          <w:tcPr>
            <w:tcW w:w="0" w:type="auto"/>
            <w:shd w:val="clear" w:color="auto" w:fill="auto"/>
            <w:hideMark/>
          </w:tcPr>
          <w:p w14:paraId="2628460B" w14:textId="77777777" w:rsidR="00F471F5" w:rsidRPr="000B4E2C" w:rsidRDefault="00F471F5" w:rsidP="00F471F5">
            <w:pPr>
              <w:rPr>
                <w:sz w:val="18"/>
                <w:szCs w:val="18"/>
                <w:lang w:val="en-GB" w:eastAsia="en-GB"/>
              </w:rPr>
            </w:pPr>
            <w:r w:rsidRPr="000B4E2C">
              <w:rPr>
                <w:sz w:val="18"/>
                <w:szCs w:val="18"/>
                <w:lang w:val="en-GB" w:eastAsia="en-GB"/>
              </w:rPr>
              <w:t>60</w:t>
            </w:r>
          </w:p>
          <w:p w14:paraId="7213DED9" w14:textId="77777777" w:rsidR="00F471F5" w:rsidRPr="000B4E2C" w:rsidRDefault="00F471F5" w:rsidP="00F471F5">
            <w:pPr>
              <w:rPr>
                <w:color w:val="000000"/>
                <w:sz w:val="18"/>
                <w:szCs w:val="18"/>
                <w:lang w:val="en-GB" w:eastAsia="en-GB"/>
              </w:rPr>
            </w:pPr>
            <w:r w:rsidRPr="000B4E2C">
              <w:rPr>
                <w:sz w:val="18"/>
                <w:szCs w:val="18"/>
                <w:lang w:val="en-GB" w:eastAsia="en-GB"/>
              </w:rPr>
              <w:t>(18)</w:t>
            </w:r>
          </w:p>
        </w:tc>
        <w:tc>
          <w:tcPr>
            <w:tcW w:w="0" w:type="auto"/>
            <w:shd w:val="clear" w:color="auto" w:fill="auto"/>
            <w:hideMark/>
          </w:tcPr>
          <w:p w14:paraId="7F591647" w14:textId="77777777" w:rsidR="00F471F5" w:rsidRPr="000B4E2C" w:rsidRDefault="00F471F5" w:rsidP="00F471F5">
            <w:pPr>
              <w:rPr>
                <w:color w:val="000000"/>
                <w:sz w:val="18"/>
                <w:szCs w:val="18"/>
                <w:lang w:val="en-GB" w:eastAsia="en-GB"/>
              </w:rPr>
            </w:pPr>
            <w:r w:rsidRPr="000B4E2C">
              <w:rPr>
                <w:sz w:val="18"/>
                <w:szCs w:val="18"/>
                <w:lang w:val="en-GB" w:eastAsia="en-GB"/>
              </w:rPr>
              <w:t>635</w:t>
            </w:r>
          </w:p>
        </w:tc>
        <w:tc>
          <w:tcPr>
            <w:tcW w:w="0" w:type="auto"/>
            <w:shd w:val="clear" w:color="auto" w:fill="auto"/>
            <w:hideMark/>
          </w:tcPr>
          <w:p w14:paraId="17B88DEB" w14:textId="77777777" w:rsidR="00F471F5" w:rsidRPr="000B4E2C" w:rsidRDefault="00F471F5" w:rsidP="00F471F5">
            <w:pPr>
              <w:rPr>
                <w:color w:val="000000"/>
                <w:sz w:val="18"/>
                <w:szCs w:val="18"/>
                <w:lang w:val="en-GB" w:eastAsia="en-GB"/>
              </w:rPr>
            </w:pPr>
            <w:r w:rsidRPr="000B4E2C">
              <w:rPr>
                <w:sz w:val="18"/>
                <w:szCs w:val="18"/>
                <w:lang w:val="en-GB" w:eastAsia="en-GB"/>
              </w:rPr>
              <w:t>30</w:t>
            </w:r>
          </w:p>
        </w:tc>
        <w:tc>
          <w:tcPr>
            <w:tcW w:w="0" w:type="auto"/>
            <w:shd w:val="clear" w:color="auto" w:fill="auto"/>
            <w:hideMark/>
          </w:tcPr>
          <w:p w14:paraId="1E29280C" w14:textId="77777777" w:rsidR="00F471F5" w:rsidRPr="000B4E2C" w:rsidRDefault="00F471F5" w:rsidP="00F471F5">
            <w:pPr>
              <w:rPr>
                <w:color w:val="000000"/>
                <w:sz w:val="18"/>
                <w:szCs w:val="18"/>
                <w:lang w:val="en-GB" w:eastAsia="en-GB"/>
              </w:rPr>
            </w:pPr>
            <w:r w:rsidRPr="000B4E2C">
              <w:rPr>
                <w:sz w:val="18"/>
                <w:szCs w:val="18"/>
                <w:lang w:val="en-GB" w:eastAsia="en-GB"/>
              </w:rPr>
              <w:t>RIFLE</w:t>
            </w:r>
          </w:p>
        </w:tc>
        <w:tc>
          <w:tcPr>
            <w:tcW w:w="0" w:type="auto"/>
            <w:shd w:val="clear" w:color="auto" w:fill="auto"/>
            <w:hideMark/>
          </w:tcPr>
          <w:p w14:paraId="2BF20643" w14:textId="77777777" w:rsidR="00F471F5" w:rsidRPr="000B4E2C" w:rsidRDefault="00F471F5" w:rsidP="00F471F5">
            <w:pPr>
              <w:rPr>
                <w:color w:val="000000"/>
                <w:sz w:val="18"/>
                <w:szCs w:val="18"/>
                <w:lang w:val="en-GB" w:eastAsia="en-GB"/>
              </w:rPr>
            </w:pPr>
            <w:r w:rsidRPr="000B4E2C">
              <w:rPr>
                <w:sz w:val="18"/>
                <w:szCs w:val="18"/>
                <w:lang w:val="en-GB" w:eastAsia="en-GB"/>
              </w:rPr>
              <w:t>51%</w:t>
            </w:r>
          </w:p>
        </w:tc>
        <w:tc>
          <w:tcPr>
            <w:tcW w:w="0" w:type="auto"/>
            <w:shd w:val="clear" w:color="auto" w:fill="auto"/>
            <w:hideMark/>
          </w:tcPr>
          <w:p w14:paraId="7EE71120" w14:textId="77777777" w:rsidR="00F471F5" w:rsidRPr="000B4E2C" w:rsidRDefault="00F471F5" w:rsidP="00F471F5">
            <w:pPr>
              <w:rPr>
                <w:sz w:val="18"/>
                <w:szCs w:val="18"/>
                <w:lang w:val="en-GB" w:eastAsia="en-GB"/>
              </w:rPr>
            </w:pPr>
            <w:r w:rsidRPr="000B4E2C">
              <w:rPr>
                <w:sz w:val="18"/>
                <w:szCs w:val="18"/>
                <w:lang w:val="en-GB" w:eastAsia="en-GB"/>
              </w:rPr>
              <w:t>1.4</w:t>
            </w:r>
          </w:p>
          <w:p w14:paraId="01890233" w14:textId="77777777" w:rsidR="00F471F5" w:rsidRPr="000B4E2C" w:rsidRDefault="00F471F5" w:rsidP="00F471F5">
            <w:pPr>
              <w:rPr>
                <w:color w:val="000000"/>
                <w:sz w:val="18"/>
                <w:szCs w:val="18"/>
                <w:lang w:val="en-GB" w:eastAsia="en-GB"/>
              </w:rPr>
            </w:pPr>
            <w:r w:rsidRPr="000B4E2C">
              <w:rPr>
                <w:sz w:val="18"/>
                <w:szCs w:val="18"/>
                <w:lang w:val="en-GB" w:eastAsia="en-GB"/>
              </w:rPr>
              <w:t>(1.8) mg/dL</w:t>
            </w:r>
          </w:p>
        </w:tc>
        <w:tc>
          <w:tcPr>
            <w:tcW w:w="0" w:type="auto"/>
            <w:shd w:val="clear" w:color="auto" w:fill="auto"/>
            <w:noWrap/>
            <w:hideMark/>
          </w:tcPr>
          <w:p w14:paraId="0025FE87"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4CA223A9"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033EEC97"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200710EF" w14:textId="5C27DE9E" w:rsidR="00F471F5" w:rsidRPr="000B4E2C" w:rsidRDefault="000B4E2C" w:rsidP="00F471F5">
            <w:pPr>
              <w:rPr>
                <w:color w:val="000000"/>
                <w:sz w:val="18"/>
                <w:szCs w:val="18"/>
                <w:lang w:val="en-GB" w:eastAsia="en-GB"/>
              </w:rPr>
            </w:pPr>
            <w:r w:rsidRPr="000B4E2C">
              <w:rPr>
                <w:color w:val="00B0F0"/>
                <w:sz w:val="18"/>
                <w:szCs w:val="18"/>
                <w:lang w:val="en-GB" w:eastAsia="en-GB"/>
              </w:rPr>
              <w:t>&gt;</w:t>
            </w:r>
            <w:r w:rsidRPr="000B4E2C">
              <w:rPr>
                <w:color w:val="00B0F0"/>
                <w:sz w:val="18"/>
                <w:szCs w:val="18"/>
                <w:lang w:val="en-GB" w:eastAsia="en-GB"/>
              </w:rPr>
              <w:t> </w:t>
            </w:r>
            <w:r w:rsidRPr="000B4E2C">
              <w:rPr>
                <w:color w:val="00B0F0"/>
                <w:sz w:val="18"/>
                <w:szCs w:val="18"/>
                <w:lang w:val="en-GB" w:eastAsia="en-GB"/>
              </w:rPr>
              <w:t>1</w:t>
            </w:r>
            <w:r w:rsidR="00F471F5" w:rsidRPr="000B4E2C">
              <w:rPr>
                <w:sz w:val="18"/>
                <w:szCs w:val="18"/>
                <w:lang w:val="en-GB" w:eastAsia="en-GB"/>
              </w:rPr>
              <w:t>8 years admitted to emergency department</w:t>
            </w:r>
          </w:p>
        </w:tc>
        <w:tc>
          <w:tcPr>
            <w:tcW w:w="0" w:type="auto"/>
            <w:shd w:val="clear" w:color="auto" w:fill="auto"/>
            <w:hideMark/>
          </w:tcPr>
          <w:p w14:paraId="4A215D85" w14:textId="06BB38E9" w:rsidR="00F471F5" w:rsidRPr="000B4E2C" w:rsidRDefault="00F471F5" w:rsidP="00F471F5">
            <w:pPr>
              <w:rPr>
                <w:sz w:val="18"/>
                <w:szCs w:val="18"/>
                <w:lang w:val="en-GB" w:eastAsia="en-GB"/>
              </w:rPr>
            </w:pPr>
            <w:r w:rsidRPr="000B4E2C">
              <w:rPr>
                <w:sz w:val="18"/>
                <w:szCs w:val="18"/>
                <w:lang w:val="en-GB" w:eastAsia="en-GB"/>
              </w:rPr>
              <w:t xml:space="preserve">Patients who were receiving </w:t>
            </w:r>
            <w:r w:rsidR="000B4E2C" w:rsidRPr="000B4E2C">
              <w:rPr>
                <w:color w:val="00B0F0"/>
                <w:sz w:val="18"/>
                <w:szCs w:val="18"/>
                <w:lang w:val="en-GB" w:eastAsia="en-GB"/>
              </w:rPr>
              <w:t>haemodialysis</w:t>
            </w:r>
            <w:r w:rsidRPr="000B4E2C">
              <w:rPr>
                <w:sz w:val="18"/>
                <w:szCs w:val="18"/>
                <w:lang w:val="en-GB" w:eastAsia="en-GB"/>
              </w:rPr>
              <w:t xml:space="preserve"> and patients without subsequent creatinine measurements</w:t>
            </w:r>
          </w:p>
        </w:tc>
      </w:tr>
      <w:tr w:rsidR="000B4E2C" w:rsidRPr="000B4E2C" w14:paraId="7938BC48" w14:textId="77777777" w:rsidTr="000B4E2C">
        <w:trPr>
          <w:cantSplit/>
        </w:trPr>
        <w:tc>
          <w:tcPr>
            <w:tcW w:w="0" w:type="auto"/>
            <w:shd w:val="clear" w:color="auto" w:fill="auto"/>
            <w:hideMark/>
          </w:tcPr>
          <w:p w14:paraId="0AF6EF2F" w14:textId="553A6951" w:rsidR="00F471F5" w:rsidRPr="000B4E2C" w:rsidRDefault="00F471F5" w:rsidP="00F471F5">
            <w:pPr>
              <w:rPr>
                <w:color w:val="000000"/>
                <w:sz w:val="18"/>
                <w:szCs w:val="18"/>
                <w:lang w:val="en-GB" w:eastAsia="en-GB"/>
              </w:rPr>
            </w:pPr>
            <w:r w:rsidRPr="000B4E2C">
              <w:rPr>
                <w:sz w:val="18"/>
                <w:szCs w:val="18"/>
                <w:lang w:val="en-GB" w:eastAsia="en-GB"/>
              </w:rPr>
              <w:lastRenderedPageBreak/>
              <w:t>Verna 2012,</w:t>
            </w:r>
            <w:r w:rsidRPr="000B4E2C">
              <w:rPr>
                <w:sz w:val="18"/>
                <w:szCs w:val="18"/>
                <w:vertAlign w:val="superscript"/>
                <w:lang w:val="en-GB" w:eastAsia="en-GB"/>
              </w:rPr>
              <w:t>81</w:t>
            </w:r>
            <w:r w:rsidRPr="000B4E2C">
              <w:rPr>
                <w:sz w:val="18"/>
                <w:szCs w:val="18"/>
                <w:lang w:val="en-GB" w:eastAsia="en-GB"/>
              </w:rPr>
              <w:t xml:space="preserve"> USA</w:t>
            </w:r>
          </w:p>
        </w:tc>
        <w:tc>
          <w:tcPr>
            <w:tcW w:w="0" w:type="auto"/>
            <w:shd w:val="clear" w:color="auto" w:fill="auto"/>
            <w:hideMark/>
          </w:tcPr>
          <w:p w14:paraId="3E428E8E" w14:textId="77777777" w:rsidR="00F471F5" w:rsidRPr="000B4E2C" w:rsidRDefault="00F471F5" w:rsidP="00F471F5">
            <w:pPr>
              <w:rPr>
                <w:color w:val="000000"/>
                <w:sz w:val="18"/>
                <w:szCs w:val="18"/>
                <w:lang w:val="en-GB" w:eastAsia="en-GB"/>
              </w:rPr>
            </w:pPr>
            <w:r w:rsidRPr="000B4E2C">
              <w:rPr>
                <w:sz w:val="18"/>
                <w:szCs w:val="18"/>
                <w:lang w:val="en-GB" w:eastAsia="en-GB"/>
              </w:rPr>
              <w:t>uNGAL, BioPorto</w:t>
            </w:r>
          </w:p>
        </w:tc>
        <w:tc>
          <w:tcPr>
            <w:tcW w:w="0" w:type="auto"/>
            <w:shd w:val="clear" w:color="auto" w:fill="auto"/>
            <w:hideMark/>
          </w:tcPr>
          <w:p w14:paraId="1A63A512" w14:textId="77777777" w:rsidR="00F471F5" w:rsidRPr="000B4E2C" w:rsidRDefault="00F471F5" w:rsidP="00F471F5">
            <w:pPr>
              <w:rPr>
                <w:sz w:val="18"/>
                <w:szCs w:val="18"/>
                <w:lang w:val="en-GB" w:eastAsia="en-GB"/>
              </w:rPr>
            </w:pPr>
            <w:r w:rsidRPr="000B4E2C">
              <w:rPr>
                <w:sz w:val="18"/>
                <w:szCs w:val="18"/>
                <w:lang w:val="en-GB" w:eastAsia="en-GB"/>
              </w:rPr>
              <w:t>56</w:t>
            </w:r>
          </w:p>
          <w:p w14:paraId="7BC061F3" w14:textId="77777777" w:rsidR="00F471F5" w:rsidRPr="000B4E2C" w:rsidRDefault="00F471F5" w:rsidP="00F471F5">
            <w:pPr>
              <w:rPr>
                <w:color w:val="000000"/>
                <w:sz w:val="18"/>
                <w:szCs w:val="18"/>
                <w:lang w:val="en-GB" w:eastAsia="en-GB"/>
              </w:rPr>
            </w:pPr>
            <w:r w:rsidRPr="000B4E2C">
              <w:rPr>
                <w:sz w:val="18"/>
                <w:szCs w:val="18"/>
                <w:lang w:val="en-GB" w:eastAsia="en-GB"/>
              </w:rPr>
              <w:t>(49, 62)</w:t>
            </w:r>
          </w:p>
        </w:tc>
        <w:tc>
          <w:tcPr>
            <w:tcW w:w="0" w:type="auto"/>
            <w:shd w:val="clear" w:color="auto" w:fill="auto"/>
            <w:hideMark/>
          </w:tcPr>
          <w:p w14:paraId="1E7AB33F" w14:textId="77777777" w:rsidR="00F471F5" w:rsidRPr="000B4E2C" w:rsidRDefault="00F471F5" w:rsidP="00F471F5">
            <w:pPr>
              <w:rPr>
                <w:color w:val="000000"/>
                <w:sz w:val="18"/>
                <w:szCs w:val="18"/>
                <w:lang w:val="en-GB" w:eastAsia="en-GB"/>
              </w:rPr>
            </w:pPr>
            <w:r w:rsidRPr="000B4E2C">
              <w:rPr>
                <w:sz w:val="18"/>
                <w:szCs w:val="18"/>
                <w:lang w:val="en-GB" w:eastAsia="en-GB"/>
              </w:rPr>
              <w:t>118</w:t>
            </w:r>
          </w:p>
        </w:tc>
        <w:tc>
          <w:tcPr>
            <w:tcW w:w="0" w:type="auto"/>
            <w:shd w:val="clear" w:color="auto" w:fill="auto"/>
            <w:hideMark/>
          </w:tcPr>
          <w:p w14:paraId="643B370D" w14:textId="77777777" w:rsidR="00F471F5" w:rsidRPr="000B4E2C" w:rsidRDefault="00F471F5" w:rsidP="00F471F5">
            <w:pPr>
              <w:rPr>
                <w:color w:val="000000"/>
                <w:sz w:val="18"/>
                <w:szCs w:val="18"/>
                <w:lang w:val="en-GB" w:eastAsia="en-GB"/>
              </w:rPr>
            </w:pPr>
            <w:r w:rsidRPr="000B4E2C">
              <w:rPr>
                <w:sz w:val="18"/>
                <w:szCs w:val="18"/>
                <w:lang w:val="en-GB" w:eastAsia="en-GB"/>
              </w:rPr>
              <w:t>52</w:t>
            </w:r>
          </w:p>
        </w:tc>
        <w:tc>
          <w:tcPr>
            <w:tcW w:w="0" w:type="auto"/>
            <w:shd w:val="clear" w:color="auto" w:fill="auto"/>
            <w:hideMark/>
          </w:tcPr>
          <w:p w14:paraId="705DCBD7" w14:textId="4CB168C9" w:rsidR="000B4E2C" w:rsidRPr="000B4E2C" w:rsidRDefault="00F471F5" w:rsidP="00F471F5">
            <w:pPr>
              <w:rPr>
                <w:sz w:val="18"/>
                <w:szCs w:val="18"/>
                <w:lang w:val="en-GB" w:eastAsia="en-GB"/>
              </w:rPr>
            </w:pPr>
            <w:r w:rsidRPr="000B4E2C">
              <w:rPr>
                <w:sz w:val="18"/>
                <w:szCs w:val="18"/>
                <w:lang w:val="en-GB" w:eastAsia="en-GB"/>
              </w:rPr>
              <w:t xml:space="preserve">Scr to </w:t>
            </w:r>
            <w:r w:rsidR="000B4E2C" w:rsidRPr="000B4E2C">
              <w:rPr>
                <w:color w:val="00B0F0"/>
                <w:sz w:val="18"/>
                <w:szCs w:val="18"/>
                <w:lang w:val="en-GB" w:eastAsia="en-GB"/>
              </w:rPr>
              <w:t>&gt;</w:t>
            </w:r>
            <w:r w:rsidR="000B4E2C" w:rsidRPr="000B4E2C">
              <w:rPr>
                <w:color w:val="00B0F0"/>
                <w:sz w:val="18"/>
                <w:szCs w:val="18"/>
                <w:lang w:val="en-GB" w:eastAsia="en-GB"/>
              </w:rPr>
              <w:t> </w:t>
            </w:r>
            <w:r w:rsidR="000B4E2C" w:rsidRPr="000B4E2C">
              <w:rPr>
                <w:color w:val="00B0F0"/>
                <w:sz w:val="18"/>
                <w:szCs w:val="18"/>
                <w:lang w:val="en-GB" w:eastAsia="en-GB"/>
              </w:rPr>
              <w:t>1</w:t>
            </w:r>
            <w:r w:rsidRPr="000B4E2C">
              <w:rPr>
                <w:sz w:val="18"/>
                <w:szCs w:val="18"/>
                <w:lang w:val="en-GB" w:eastAsia="en-GB"/>
              </w:rPr>
              <w:t>.5</w:t>
            </w:r>
          </w:p>
          <w:p w14:paraId="1598C8D7" w14:textId="3664105B" w:rsidR="00F471F5" w:rsidRPr="000B4E2C" w:rsidRDefault="00F471F5" w:rsidP="00F471F5">
            <w:pPr>
              <w:rPr>
                <w:sz w:val="18"/>
                <w:szCs w:val="18"/>
                <w:lang w:val="en-GB" w:eastAsia="en-GB"/>
              </w:rPr>
            </w:pPr>
            <w:r w:rsidRPr="000B4E2C">
              <w:rPr>
                <w:sz w:val="18"/>
                <w:szCs w:val="18"/>
                <w:lang w:val="en-GB" w:eastAsia="en-GB"/>
              </w:rPr>
              <w:t>and 0.3 mg/dL above baseline, not responding with 4</w:t>
            </w:r>
            <w:r w:rsidR="000B4E2C" w:rsidRPr="000B4E2C">
              <w:rPr>
                <w:color w:val="00B0F0"/>
                <w:sz w:val="18"/>
                <w:szCs w:val="18"/>
                <w:lang w:val="en-GB" w:eastAsia="en-GB"/>
              </w:rPr>
              <w:t>8</w:t>
            </w:r>
            <w:r w:rsidR="000B4E2C" w:rsidRPr="000B4E2C">
              <w:rPr>
                <w:color w:val="00B0F0"/>
                <w:sz w:val="18"/>
                <w:szCs w:val="18"/>
                <w:lang w:val="en-GB" w:eastAsia="en-GB"/>
              </w:rPr>
              <w:t> </w:t>
            </w:r>
            <w:r w:rsidR="000B4E2C" w:rsidRPr="000B4E2C">
              <w:rPr>
                <w:color w:val="00B0F0"/>
                <w:sz w:val="18"/>
                <w:szCs w:val="18"/>
                <w:lang w:val="en-GB" w:eastAsia="en-GB"/>
              </w:rPr>
              <w:t xml:space="preserve">h </w:t>
            </w:r>
            <w:r w:rsidRPr="000B4E2C">
              <w:rPr>
                <w:sz w:val="18"/>
                <w:szCs w:val="18"/>
                <w:lang w:val="en-GB" w:eastAsia="en-GB"/>
              </w:rPr>
              <w:t>of volume resuscitation</w:t>
            </w:r>
          </w:p>
          <w:p w14:paraId="215D9C0D" w14:textId="77777777" w:rsidR="00F471F5" w:rsidRPr="000B4E2C" w:rsidRDefault="00F471F5" w:rsidP="00F471F5">
            <w:pPr>
              <w:rPr>
                <w:color w:val="000000"/>
                <w:sz w:val="18"/>
                <w:szCs w:val="18"/>
                <w:lang w:val="en-GB" w:eastAsia="en-GB"/>
              </w:rPr>
            </w:pPr>
            <w:r w:rsidRPr="000B4E2C">
              <w:rPr>
                <w:sz w:val="18"/>
                <w:szCs w:val="18"/>
                <w:lang w:val="en-GB" w:eastAsia="en-GB"/>
              </w:rPr>
              <w:t>and not meeting the criteria for hepatorenal syndrome</w:t>
            </w:r>
          </w:p>
        </w:tc>
        <w:tc>
          <w:tcPr>
            <w:tcW w:w="0" w:type="auto"/>
            <w:shd w:val="clear" w:color="auto" w:fill="auto"/>
            <w:hideMark/>
          </w:tcPr>
          <w:p w14:paraId="1F385E30" w14:textId="77777777" w:rsidR="00F471F5" w:rsidRPr="000B4E2C" w:rsidRDefault="00F471F5" w:rsidP="00F471F5">
            <w:pPr>
              <w:rPr>
                <w:color w:val="000000"/>
                <w:sz w:val="18"/>
                <w:szCs w:val="18"/>
                <w:lang w:val="en-GB" w:eastAsia="en-GB"/>
              </w:rPr>
            </w:pPr>
            <w:r w:rsidRPr="000B4E2C">
              <w:rPr>
                <w:sz w:val="18"/>
                <w:szCs w:val="18"/>
                <w:lang w:val="en-GB" w:eastAsia="en-GB"/>
              </w:rPr>
              <w:t>61%</w:t>
            </w:r>
          </w:p>
        </w:tc>
        <w:tc>
          <w:tcPr>
            <w:tcW w:w="0" w:type="auto"/>
            <w:shd w:val="clear" w:color="auto" w:fill="auto"/>
            <w:hideMark/>
          </w:tcPr>
          <w:p w14:paraId="50822B82"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2CCBEC6D"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2639CF0A"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12C88A60" w14:textId="77777777" w:rsidR="00F471F5" w:rsidRPr="000B4E2C" w:rsidRDefault="00F471F5" w:rsidP="00F471F5">
            <w:pPr>
              <w:rPr>
                <w:sz w:val="18"/>
                <w:szCs w:val="18"/>
                <w:lang w:val="en-GB" w:eastAsia="en-GB"/>
              </w:rPr>
            </w:pPr>
            <w:r w:rsidRPr="000B4E2C">
              <w:rPr>
                <w:sz w:val="18"/>
                <w:szCs w:val="18"/>
                <w:lang w:val="en-GB" w:eastAsia="en-GB"/>
              </w:rPr>
              <w:t>0</w:t>
            </w:r>
          </w:p>
        </w:tc>
        <w:tc>
          <w:tcPr>
            <w:tcW w:w="0" w:type="auto"/>
            <w:shd w:val="clear" w:color="auto" w:fill="auto"/>
            <w:hideMark/>
          </w:tcPr>
          <w:p w14:paraId="32715340" w14:textId="77777777" w:rsidR="00F471F5" w:rsidRPr="000B4E2C" w:rsidRDefault="00F471F5" w:rsidP="00F471F5">
            <w:pPr>
              <w:rPr>
                <w:sz w:val="18"/>
                <w:szCs w:val="18"/>
                <w:lang w:val="en-GB" w:eastAsia="en-GB"/>
              </w:rPr>
            </w:pPr>
            <w:r w:rsidRPr="000B4E2C">
              <w:rPr>
                <w:sz w:val="18"/>
                <w:szCs w:val="18"/>
                <w:lang w:val="en-GB" w:eastAsia="en-GB"/>
              </w:rPr>
              <w:t>Adults with cirrhosis</w:t>
            </w:r>
          </w:p>
        </w:tc>
        <w:tc>
          <w:tcPr>
            <w:tcW w:w="0" w:type="auto"/>
            <w:shd w:val="clear" w:color="auto" w:fill="auto"/>
            <w:hideMark/>
          </w:tcPr>
          <w:p w14:paraId="409397F1" w14:textId="27B1D428" w:rsidR="00F471F5" w:rsidRPr="000B4E2C" w:rsidRDefault="00F471F5" w:rsidP="00F471F5">
            <w:pPr>
              <w:rPr>
                <w:sz w:val="18"/>
                <w:szCs w:val="18"/>
                <w:lang w:val="en-GB" w:eastAsia="en-GB"/>
              </w:rPr>
            </w:pPr>
            <w:r w:rsidRPr="000B4E2C">
              <w:rPr>
                <w:sz w:val="18"/>
                <w:szCs w:val="18"/>
                <w:lang w:val="en-GB" w:eastAsia="en-GB"/>
              </w:rPr>
              <w:t>Patients on chronic haemodialysis, anuria for the first 2</w:t>
            </w:r>
            <w:r w:rsidR="000B4E2C" w:rsidRPr="000B4E2C">
              <w:rPr>
                <w:color w:val="00B0F0"/>
                <w:sz w:val="18"/>
                <w:szCs w:val="18"/>
                <w:lang w:val="en-GB" w:eastAsia="en-GB"/>
              </w:rPr>
              <w:t>4</w:t>
            </w:r>
            <w:r w:rsidR="000B4E2C" w:rsidRPr="000B4E2C">
              <w:rPr>
                <w:color w:val="00B0F0"/>
                <w:sz w:val="18"/>
                <w:szCs w:val="18"/>
                <w:lang w:val="en-GB" w:eastAsia="en-GB"/>
              </w:rPr>
              <w:t> </w:t>
            </w:r>
            <w:r w:rsidR="000B4E2C" w:rsidRPr="000B4E2C">
              <w:rPr>
                <w:color w:val="00B0F0"/>
                <w:sz w:val="18"/>
                <w:szCs w:val="18"/>
                <w:lang w:val="en-GB" w:eastAsia="en-GB"/>
              </w:rPr>
              <w:t>h,</w:t>
            </w:r>
            <w:r w:rsidRPr="000B4E2C">
              <w:rPr>
                <w:sz w:val="18"/>
                <w:szCs w:val="18"/>
                <w:lang w:val="en-GB" w:eastAsia="en-GB"/>
              </w:rPr>
              <w:t xml:space="preserve"> urinary tract infection, proteinuria</w:t>
            </w:r>
            <w:r w:rsidR="000B4E2C" w:rsidRPr="000B4E2C">
              <w:rPr>
                <w:color w:val="00B0F0"/>
                <w:sz w:val="18"/>
                <w:szCs w:val="18"/>
                <w:lang w:val="en-GB" w:eastAsia="en-GB"/>
              </w:rPr>
              <w:t>&gt;</w:t>
            </w:r>
            <w:r w:rsidR="000B4E2C" w:rsidRPr="000B4E2C">
              <w:rPr>
                <w:color w:val="00B0F0"/>
                <w:sz w:val="18"/>
                <w:szCs w:val="18"/>
                <w:lang w:val="en-GB" w:eastAsia="en-GB"/>
              </w:rPr>
              <w:t> </w:t>
            </w:r>
            <w:r w:rsidR="000B4E2C" w:rsidRPr="000B4E2C">
              <w:rPr>
                <w:color w:val="00B0F0"/>
                <w:sz w:val="18"/>
                <w:szCs w:val="18"/>
                <w:lang w:val="en-GB" w:eastAsia="en-GB"/>
              </w:rPr>
              <w:t>5</w:t>
            </w:r>
            <w:r w:rsidRPr="000B4E2C">
              <w:rPr>
                <w:sz w:val="18"/>
                <w:szCs w:val="18"/>
                <w:lang w:val="en-GB" w:eastAsia="en-GB"/>
              </w:rPr>
              <w:t>00 mg/day, or urinary obstruction</w:t>
            </w:r>
          </w:p>
        </w:tc>
      </w:tr>
      <w:tr w:rsidR="000B4E2C" w:rsidRPr="000B4E2C" w14:paraId="78955607" w14:textId="77777777" w:rsidTr="000B4E2C">
        <w:trPr>
          <w:cantSplit/>
        </w:trPr>
        <w:tc>
          <w:tcPr>
            <w:tcW w:w="0" w:type="auto"/>
            <w:shd w:val="clear" w:color="auto" w:fill="auto"/>
            <w:hideMark/>
          </w:tcPr>
          <w:p w14:paraId="109C1E28" w14:textId="028F1AE3" w:rsidR="00F471F5" w:rsidRPr="000B4E2C" w:rsidRDefault="00F471F5" w:rsidP="00F471F5">
            <w:pPr>
              <w:rPr>
                <w:color w:val="000000"/>
                <w:sz w:val="18"/>
                <w:szCs w:val="18"/>
                <w:lang w:val="en-GB" w:eastAsia="en-GB"/>
              </w:rPr>
            </w:pPr>
            <w:r w:rsidRPr="000B4E2C">
              <w:rPr>
                <w:sz w:val="18"/>
                <w:szCs w:val="18"/>
                <w:lang w:val="en-GB" w:eastAsia="en-GB"/>
              </w:rPr>
              <w:t>Liebetrau 2013,</w:t>
            </w:r>
            <w:r w:rsidRPr="000B4E2C">
              <w:rPr>
                <w:sz w:val="18"/>
                <w:szCs w:val="18"/>
                <w:vertAlign w:val="superscript"/>
                <w:lang w:val="en-GB" w:eastAsia="en-GB"/>
              </w:rPr>
              <w:t>49</w:t>
            </w:r>
            <w:r w:rsidRPr="000B4E2C">
              <w:rPr>
                <w:sz w:val="18"/>
                <w:szCs w:val="18"/>
                <w:lang w:val="en-GB" w:eastAsia="en-GB"/>
              </w:rPr>
              <w:t xml:space="preserve"> Germany</w:t>
            </w:r>
          </w:p>
        </w:tc>
        <w:tc>
          <w:tcPr>
            <w:tcW w:w="0" w:type="auto"/>
            <w:shd w:val="clear" w:color="auto" w:fill="auto"/>
            <w:hideMark/>
          </w:tcPr>
          <w:p w14:paraId="503D8BB8"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1A9F0E63" w14:textId="77777777" w:rsidR="000B4E2C" w:rsidRPr="000B4E2C" w:rsidRDefault="00F471F5" w:rsidP="00F471F5">
            <w:pPr>
              <w:rPr>
                <w:sz w:val="18"/>
                <w:szCs w:val="18"/>
                <w:lang w:val="en-GB" w:eastAsia="en-GB"/>
              </w:rPr>
            </w:pPr>
            <w:r w:rsidRPr="000B4E2C">
              <w:rPr>
                <w:sz w:val="18"/>
                <w:szCs w:val="18"/>
                <w:lang w:val="en-GB" w:eastAsia="en-GB"/>
              </w:rPr>
              <w:t>AKI</w:t>
            </w:r>
          </w:p>
          <w:p w14:paraId="1DCC8A61" w14:textId="5961DE6E" w:rsidR="00F471F5" w:rsidRPr="000B4E2C" w:rsidRDefault="00F471F5" w:rsidP="00F471F5">
            <w:pPr>
              <w:rPr>
                <w:sz w:val="18"/>
                <w:szCs w:val="18"/>
                <w:lang w:val="en-GB" w:eastAsia="en-GB"/>
              </w:rPr>
            </w:pPr>
            <w:r w:rsidRPr="000B4E2C">
              <w:rPr>
                <w:sz w:val="18"/>
                <w:szCs w:val="18"/>
                <w:lang w:val="en-GB" w:eastAsia="en-GB"/>
              </w:rPr>
              <w:t>74</w:t>
            </w:r>
          </w:p>
          <w:p w14:paraId="4FB82EB7" w14:textId="77777777" w:rsidR="000B4E2C" w:rsidRPr="000B4E2C" w:rsidRDefault="00F471F5" w:rsidP="00F471F5">
            <w:pPr>
              <w:rPr>
                <w:sz w:val="18"/>
                <w:szCs w:val="18"/>
                <w:lang w:val="en-GB" w:eastAsia="en-GB"/>
              </w:rPr>
            </w:pPr>
            <w:r w:rsidRPr="000B4E2C">
              <w:rPr>
                <w:sz w:val="18"/>
                <w:szCs w:val="18"/>
                <w:lang w:val="en-GB" w:eastAsia="en-GB"/>
              </w:rPr>
              <w:t>(8);</w:t>
            </w:r>
          </w:p>
          <w:p w14:paraId="575FFF92" w14:textId="77777777" w:rsidR="000B4E2C" w:rsidRPr="000B4E2C" w:rsidRDefault="00F471F5" w:rsidP="00F471F5">
            <w:pPr>
              <w:rPr>
                <w:sz w:val="18"/>
                <w:szCs w:val="18"/>
                <w:lang w:val="en-GB" w:eastAsia="en-GB"/>
              </w:rPr>
            </w:pPr>
            <w:r w:rsidRPr="000B4E2C">
              <w:rPr>
                <w:sz w:val="18"/>
                <w:szCs w:val="18"/>
                <w:lang w:val="en-GB" w:eastAsia="en-GB"/>
              </w:rPr>
              <w:t>No AKI</w:t>
            </w:r>
          </w:p>
          <w:p w14:paraId="53DC4A33" w14:textId="67E500E3" w:rsidR="00F471F5" w:rsidRPr="000B4E2C" w:rsidRDefault="00F471F5" w:rsidP="00F471F5">
            <w:pPr>
              <w:rPr>
                <w:sz w:val="18"/>
                <w:szCs w:val="18"/>
                <w:lang w:val="en-GB" w:eastAsia="en-GB"/>
              </w:rPr>
            </w:pPr>
            <w:r w:rsidRPr="000B4E2C">
              <w:rPr>
                <w:sz w:val="18"/>
                <w:szCs w:val="18"/>
                <w:lang w:val="en-GB" w:eastAsia="en-GB"/>
              </w:rPr>
              <w:t>68</w:t>
            </w:r>
          </w:p>
          <w:p w14:paraId="4517671C" w14:textId="77777777" w:rsidR="00F471F5" w:rsidRPr="000B4E2C" w:rsidRDefault="00F471F5" w:rsidP="00F471F5">
            <w:pPr>
              <w:rPr>
                <w:color w:val="000000"/>
                <w:sz w:val="18"/>
                <w:szCs w:val="18"/>
                <w:lang w:val="en-GB" w:eastAsia="en-GB"/>
              </w:rPr>
            </w:pPr>
            <w:r w:rsidRPr="000B4E2C">
              <w:rPr>
                <w:sz w:val="18"/>
                <w:szCs w:val="18"/>
                <w:lang w:val="en-GB" w:eastAsia="en-GB"/>
              </w:rPr>
              <w:t xml:space="preserve">(11) </w:t>
            </w:r>
          </w:p>
        </w:tc>
        <w:tc>
          <w:tcPr>
            <w:tcW w:w="0" w:type="auto"/>
            <w:shd w:val="clear" w:color="auto" w:fill="auto"/>
            <w:hideMark/>
          </w:tcPr>
          <w:p w14:paraId="2DDB7C2F" w14:textId="77777777" w:rsidR="00F471F5" w:rsidRPr="000B4E2C" w:rsidRDefault="00F471F5" w:rsidP="00F471F5">
            <w:pPr>
              <w:rPr>
                <w:color w:val="000000"/>
                <w:sz w:val="18"/>
                <w:szCs w:val="18"/>
                <w:lang w:val="en-GB" w:eastAsia="en-GB"/>
              </w:rPr>
            </w:pPr>
            <w:r w:rsidRPr="000B4E2C">
              <w:rPr>
                <w:sz w:val="18"/>
                <w:szCs w:val="18"/>
                <w:lang w:val="en-GB" w:eastAsia="en-GB"/>
              </w:rPr>
              <w:t>141</w:t>
            </w:r>
          </w:p>
        </w:tc>
        <w:tc>
          <w:tcPr>
            <w:tcW w:w="0" w:type="auto"/>
            <w:shd w:val="clear" w:color="auto" w:fill="auto"/>
            <w:hideMark/>
          </w:tcPr>
          <w:p w14:paraId="5837D6D6" w14:textId="77777777" w:rsidR="00F471F5" w:rsidRPr="000B4E2C" w:rsidRDefault="00F471F5" w:rsidP="00F471F5">
            <w:pPr>
              <w:rPr>
                <w:color w:val="000000"/>
                <w:sz w:val="18"/>
                <w:szCs w:val="18"/>
                <w:lang w:val="en-GB" w:eastAsia="en-GB"/>
              </w:rPr>
            </w:pPr>
            <w:r w:rsidRPr="000B4E2C">
              <w:rPr>
                <w:sz w:val="18"/>
                <w:szCs w:val="18"/>
                <w:lang w:val="en-GB" w:eastAsia="en-GB"/>
              </w:rPr>
              <w:t>47</w:t>
            </w:r>
          </w:p>
        </w:tc>
        <w:tc>
          <w:tcPr>
            <w:tcW w:w="0" w:type="auto"/>
            <w:shd w:val="clear" w:color="auto" w:fill="auto"/>
            <w:hideMark/>
          </w:tcPr>
          <w:p w14:paraId="7139BFAF"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5B8B5592" w14:textId="77777777" w:rsidR="000B4E2C" w:rsidRPr="000B4E2C" w:rsidRDefault="00F471F5" w:rsidP="00F471F5">
            <w:pPr>
              <w:rPr>
                <w:sz w:val="18"/>
                <w:szCs w:val="18"/>
                <w:lang w:val="en-GB" w:eastAsia="en-GB"/>
              </w:rPr>
            </w:pPr>
            <w:r w:rsidRPr="000B4E2C">
              <w:rPr>
                <w:sz w:val="18"/>
                <w:szCs w:val="18"/>
                <w:lang w:val="en-GB" w:eastAsia="en-GB"/>
              </w:rPr>
              <w:t>AKI</w:t>
            </w:r>
          </w:p>
          <w:p w14:paraId="509CB9AF" w14:textId="18DC6E97" w:rsidR="00F471F5" w:rsidRPr="000B4E2C" w:rsidRDefault="00F471F5" w:rsidP="00F471F5">
            <w:pPr>
              <w:rPr>
                <w:sz w:val="18"/>
                <w:szCs w:val="18"/>
                <w:lang w:val="en-GB" w:eastAsia="en-GB"/>
              </w:rPr>
            </w:pPr>
            <w:r w:rsidRPr="000B4E2C">
              <w:rPr>
                <w:sz w:val="18"/>
                <w:szCs w:val="18"/>
                <w:lang w:val="en-GB" w:eastAsia="en-GB"/>
              </w:rPr>
              <w:t>60%</w:t>
            </w:r>
          </w:p>
          <w:p w14:paraId="278C3F33" w14:textId="77777777" w:rsidR="00F471F5" w:rsidRPr="000B4E2C" w:rsidRDefault="00F471F5" w:rsidP="00F471F5">
            <w:pPr>
              <w:rPr>
                <w:sz w:val="18"/>
                <w:szCs w:val="18"/>
                <w:lang w:val="en-GB" w:eastAsia="en-GB"/>
              </w:rPr>
            </w:pPr>
            <w:r w:rsidRPr="000B4E2C">
              <w:rPr>
                <w:sz w:val="18"/>
                <w:szCs w:val="18"/>
                <w:lang w:val="en-GB" w:eastAsia="en-GB"/>
              </w:rPr>
              <w:t>Non-AKI</w:t>
            </w:r>
          </w:p>
          <w:p w14:paraId="4A614C16" w14:textId="77777777" w:rsidR="00F471F5" w:rsidRPr="000B4E2C" w:rsidRDefault="00F471F5" w:rsidP="00F471F5">
            <w:pPr>
              <w:rPr>
                <w:color w:val="000000"/>
                <w:sz w:val="18"/>
                <w:szCs w:val="18"/>
                <w:lang w:val="en-GB" w:eastAsia="en-GB"/>
              </w:rPr>
            </w:pPr>
            <w:r w:rsidRPr="000B4E2C">
              <w:rPr>
                <w:sz w:val="18"/>
                <w:szCs w:val="18"/>
                <w:lang w:val="en-GB" w:eastAsia="en-GB"/>
              </w:rPr>
              <w:t xml:space="preserve">73%, </w:t>
            </w:r>
          </w:p>
        </w:tc>
        <w:tc>
          <w:tcPr>
            <w:tcW w:w="0" w:type="auto"/>
            <w:shd w:val="clear" w:color="auto" w:fill="auto"/>
            <w:hideMark/>
          </w:tcPr>
          <w:p w14:paraId="11B0C98D"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4630ECBB"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5DF698D9"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852B1A5"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7775E799" w14:textId="77777777" w:rsidR="00F471F5" w:rsidRPr="000B4E2C" w:rsidRDefault="00F471F5" w:rsidP="00F471F5">
            <w:pPr>
              <w:rPr>
                <w:color w:val="000000"/>
                <w:sz w:val="18"/>
                <w:szCs w:val="18"/>
                <w:lang w:val="en-GB" w:eastAsia="en-GB"/>
              </w:rPr>
            </w:pPr>
            <w:r w:rsidRPr="000B4E2C">
              <w:rPr>
                <w:sz w:val="18"/>
                <w:szCs w:val="18"/>
                <w:lang w:val="en-GB" w:eastAsia="en-GB"/>
              </w:rPr>
              <w:t>Consecutive patients scheduled to undergo elective major cardiac surgery (coronary artery bypass grafting and/or valve replacement) with the use of extracorporeal circulation</w:t>
            </w:r>
          </w:p>
        </w:tc>
        <w:tc>
          <w:tcPr>
            <w:tcW w:w="0" w:type="auto"/>
            <w:shd w:val="clear" w:color="auto" w:fill="auto"/>
            <w:hideMark/>
          </w:tcPr>
          <w:p w14:paraId="0142BE90" w14:textId="005A6688" w:rsidR="00F471F5" w:rsidRPr="000B4E2C" w:rsidRDefault="00F471F5" w:rsidP="00F471F5">
            <w:pPr>
              <w:rPr>
                <w:sz w:val="18"/>
                <w:szCs w:val="18"/>
                <w:lang w:val="en-GB" w:eastAsia="en-GB"/>
              </w:rPr>
            </w:pPr>
            <w:r w:rsidRPr="000B4E2C">
              <w:rPr>
                <w:sz w:val="18"/>
                <w:szCs w:val="18"/>
                <w:lang w:val="en-GB" w:eastAsia="en-GB"/>
              </w:rPr>
              <w:t xml:space="preserve">Patients with a preoperative estimated glomerular filtration rate (eGFR) of </w:t>
            </w:r>
            <w:r w:rsidR="000B4E2C" w:rsidRPr="000B4E2C">
              <w:rPr>
                <w:color w:val="00B0F0"/>
                <w:sz w:val="18"/>
                <w:szCs w:val="18"/>
                <w:lang w:val="en-GB" w:eastAsia="en-GB"/>
              </w:rPr>
              <w:t>&lt;</w:t>
            </w:r>
            <w:r w:rsidR="000B4E2C" w:rsidRPr="000B4E2C">
              <w:rPr>
                <w:color w:val="00B0F0"/>
                <w:sz w:val="18"/>
                <w:szCs w:val="18"/>
                <w:lang w:val="en-GB" w:eastAsia="en-GB"/>
              </w:rPr>
              <w:t> </w:t>
            </w:r>
            <w:r w:rsidR="000B4E2C" w:rsidRPr="000B4E2C">
              <w:rPr>
                <w:color w:val="00B0F0"/>
                <w:sz w:val="18"/>
                <w:szCs w:val="18"/>
                <w:lang w:val="en-GB" w:eastAsia="en-GB"/>
              </w:rPr>
              <w:t>3</w:t>
            </w:r>
            <w:r w:rsidRPr="000B4E2C">
              <w:rPr>
                <w:sz w:val="18"/>
                <w:szCs w:val="18"/>
                <w:lang w:val="en-GB" w:eastAsia="en-GB"/>
              </w:rPr>
              <w:t>0 ml/min/1.73 m2 body surface</w:t>
            </w:r>
          </w:p>
        </w:tc>
      </w:tr>
      <w:tr w:rsidR="000B4E2C" w:rsidRPr="000B4E2C" w14:paraId="38625720" w14:textId="77777777" w:rsidTr="000B4E2C">
        <w:trPr>
          <w:cantSplit/>
        </w:trPr>
        <w:tc>
          <w:tcPr>
            <w:tcW w:w="0" w:type="auto"/>
            <w:shd w:val="clear" w:color="auto" w:fill="auto"/>
            <w:hideMark/>
          </w:tcPr>
          <w:p w14:paraId="141241D5" w14:textId="1D4FA0EB" w:rsidR="00F471F5" w:rsidRPr="000B4E2C" w:rsidRDefault="00F471F5" w:rsidP="00F471F5">
            <w:pPr>
              <w:rPr>
                <w:color w:val="000000"/>
                <w:sz w:val="18"/>
                <w:szCs w:val="18"/>
                <w:lang w:val="en-GB" w:eastAsia="en-GB"/>
              </w:rPr>
            </w:pPr>
            <w:r w:rsidRPr="000B4E2C">
              <w:rPr>
                <w:sz w:val="18"/>
                <w:szCs w:val="18"/>
                <w:lang w:val="en-GB" w:eastAsia="en-GB"/>
              </w:rPr>
              <w:t>Parikh 2011,</w:t>
            </w:r>
            <w:r w:rsidRPr="000B4E2C">
              <w:rPr>
                <w:sz w:val="18"/>
                <w:szCs w:val="18"/>
                <w:vertAlign w:val="superscript"/>
                <w:lang w:val="en-GB" w:eastAsia="en-GB"/>
              </w:rPr>
              <w:t>86</w:t>
            </w:r>
            <w:r w:rsidRPr="000B4E2C">
              <w:rPr>
                <w:sz w:val="18"/>
                <w:szCs w:val="18"/>
                <w:lang w:val="en-GB" w:eastAsia="en-GB"/>
              </w:rPr>
              <w:t xml:space="preserve"> North America</w:t>
            </w:r>
          </w:p>
        </w:tc>
        <w:tc>
          <w:tcPr>
            <w:tcW w:w="0" w:type="auto"/>
            <w:shd w:val="clear" w:color="auto" w:fill="auto"/>
            <w:hideMark/>
          </w:tcPr>
          <w:p w14:paraId="1B744DFD"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57E0B2EF" w14:textId="77777777" w:rsidR="00F471F5" w:rsidRPr="000B4E2C" w:rsidRDefault="00F471F5" w:rsidP="00F471F5">
            <w:pPr>
              <w:rPr>
                <w:sz w:val="18"/>
                <w:szCs w:val="18"/>
                <w:lang w:val="en-GB" w:eastAsia="en-GB"/>
              </w:rPr>
            </w:pPr>
            <w:r w:rsidRPr="000B4E2C">
              <w:rPr>
                <w:sz w:val="18"/>
                <w:szCs w:val="18"/>
                <w:lang w:val="en-GB" w:eastAsia="en-GB"/>
              </w:rPr>
              <w:t>4</w:t>
            </w:r>
          </w:p>
          <w:p w14:paraId="623D545D" w14:textId="77777777" w:rsidR="00F471F5" w:rsidRPr="000B4E2C" w:rsidRDefault="00F471F5" w:rsidP="00F471F5">
            <w:pPr>
              <w:rPr>
                <w:color w:val="000000"/>
                <w:sz w:val="18"/>
                <w:szCs w:val="18"/>
                <w:lang w:val="en-GB" w:eastAsia="en-GB"/>
              </w:rPr>
            </w:pPr>
            <w:r w:rsidRPr="000B4E2C">
              <w:rPr>
                <w:sz w:val="18"/>
                <w:szCs w:val="18"/>
                <w:lang w:val="en-GB" w:eastAsia="en-GB"/>
              </w:rPr>
              <w:t>(5) years</w:t>
            </w:r>
          </w:p>
        </w:tc>
        <w:tc>
          <w:tcPr>
            <w:tcW w:w="0" w:type="auto"/>
            <w:shd w:val="clear" w:color="auto" w:fill="auto"/>
            <w:hideMark/>
          </w:tcPr>
          <w:p w14:paraId="65DA4FF2" w14:textId="77777777" w:rsidR="00F471F5" w:rsidRPr="000B4E2C" w:rsidRDefault="00F471F5" w:rsidP="00F471F5">
            <w:pPr>
              <w:rPr>
                <w:color w:val="000000"/>
                <w:sz w:val="18"/>
                <w:szCs w:val="18"/>
                <w:lang w:val="en-GB" w:eastAsia="en-GB"/>
              </w:rPr>
            </w:pPr>
            <w:r w:rsidRPr="000B4E2C">
              <w:rPr>
                <w:sz w:val="18"/>
                <w:szCs w:val="18"/>
                <w:lang w:val="en-GB" w:eastAsia="en-GB"/>
              </w:rPr>
              <w:t>311</w:t>
            </w:r>
          </w:p>
        </w:tc>
        <w:tc>
          <w:tcPr>
            <w:tcW w:w="0" w:type="auto"/>
            <w:shd w:val="clear" w:color="auto" w:fill="auto"/>
            <w:hideMark/>
          </w:tcPr>
          <w:p w14:paraId="0339E0CB" w14:textId="77777777" w:rsidR="00F471F5" w:rsidRPr="000B4E2C" w:rsidRDefault="00F471F5" w:rsidP="00F471F5">
            <w:pPr>
              <w:rPr>
                <w:color w:val="000000"/>
                <w:sz w:val="18"/>
                <w:szCs w:val="18"/>
                <w:lang w:val="en-GB" w:eastAsia="en-GB"/>
              </w:rPr>
            </w:pPr>
            <w:r w:rsidRPr="000B4E2C">
              <w:rPr>
                <w:sz w:val="18"/>
                <w:szCs w:val="18"/>
                <w:lang w:val="en-GB" w:eastAsia="en-GB"/>
              </w:rPr>
              <w:t>53</w:t>
            </w:r>
          </w:p>
        </w:tc>
        <w:tc>
          <w:tcPr>
            <w:tcW w:w="0" w:type="auto"/>
            <w:shd w:val="clear" w:color="auto" w:fill="auto"/>
            <w:hideMark/>
          </w:tcPr>
          <w:p w14:paraId="47BFB636" w14:textId="77777777" w:rsidR="000B4E2C" w:rsidRPr="000B4E2C" w:rsidRDefault="00F471F5" w:rsidP="00F471F5">
            <w:pPr>
              <w:rPr>
                <w:sz w:val="18"/>
                <w:szCs w:val="18"/>
                <w:lang w:val="en-GB" w:eastAsia="en-GB"/>
              </w:rPr>
            </w:pPr>
            <w:r w:rsidRPr="000B4E2C">
              <w:rPr>
                <w:sz w:val="18"/>
                <w:szCs w:val="18"/>
                <w:lang w:val="en-GB" w:eastAsia="en-GB"/>
              </w:rPr>
              <w:t>Receipt of</w:t>
            </w:r>
          </w:p>
          <w:p w14:paraId="37526271" w14:textId="77777777" w:rsidR="000B4E2C" w:rsidRPr="000B4E2C" w:rsidRDefault="00F471F5" w:rsidP="00F471F5">
            <w:pPr>
              <w:rPr>
                <w:sz w:val="18"/>
                <w:szCs w:val="18"/>
                <w:lang w:val="en-GB" w:eastAsia="en-GB"/>
              </w:rPr>
            </w:pPr>
            <w:r w:rsidRPr="000B4E2C">
              <w:rPr>
                <w:sz w:val="18"/>
                <w:szCs w:val="18"/>
                <w:lang w:val="en-GB" w:eastAsia="en-GB"/>
              </w:rPr>
              <w:t>acute dialysis,</w:t>
            </w:r>
          </w:p>
          <w:p w14:paraId="4123F1B7" w14:textId="77777777" w:rsidR="000B4E2C" w:rsidRPr="000B4E2C" w:rsidRDefault="00F471F5" w:rsidP="00F471F5">
            <w:pPr>
              <w:rPr>
                <w:sz w:val="18"/>
                <w:szCs w:val="18"/>
                <w:lang w:val="en-GB" w:eastAsia="en-GB"/>
              </w:rPr>
            </w:pPr>
            <w:r w:rsidRPr="000B4E2C">
              <w:rPr>
                <w:sz w:val="18"/>
                <w:szCs w:val="18"/>
                <w:lang w:val="en-GB" w:eastAsia="en-GB"/>
              </w:rPr>
              <w:t>or doubling</w:t>
            </w:r>
          </w:p>
          <w:p w14:paraId="240BE487" w14:textId="6E9765A9" w:rsidR="00F471F5" w:rsidRPr="000B4E2C" w:rsidRDefault="00F471F5" w:rsidP="00F471F5">
            <w:pPr>
              <w:rPr>
                <w:sz w:val="18"/>
                <w:szCs w:val="18"/>
                <w:lang w:val="en-GB" w:eastAsia="en-GB"/>
              </w:rPr>
            </w:pPr>
            <w:r w:rsidRPr="000B4E2C">
              <w:rPr>
                <w:sz w:val="18"/>
                <w:szCs w:val="18"/>
                <w:lang w:val="en-GB" w:eastAsia="en-GB"/>
              </w:rPr>
              <w:t>of sCr from baseline to ostoperative</w:t>
            </w:r>
          </w:p>
          <w:p w14:paraId="705AC16C" w14:textId="77777777" w:rsidR="000B4E2C" w:rsidRPr="000B4E2C" w:rsidRDefault="00F471F5" w:rsidP="00F471F5">
            <w:pPr>
              <w:rPr>
                <w:sz w:val="18"/>
                <w:szCs w:val="18"/>
                <w:lang w:val="en-GB" w:eastAsia="en-GB"/>
              </w:rPr>
            </w:pPr>
            <w:r w:rsidRPr="000B4E2C">
              <w:rPr>
                <w:sz w:val="18"/>
                <w:szCs w:val="18"/>
                <w:lang w:val="en-GB" w:eastAsia="en-GB"/>
              </w:rPr>
              <w:t>value</w:t>
            </w:r>
          </w:p>
          <w:p w14:paraId="0E370A66" w14:textId="1AFCD3EC" w:rsidR="00F471F5" w:rsidRPr="000B4E2C" w:rsidRDefault="00F471F5" w:rsidP="00F471F5">
            <w:pPr>
              <w:rPr>
                <w:sz w:val="18"/>
                <w:szCs w:val="18"/>
                <w:lang w:val="en-GB" w:eastAsia="en-GB"/>
              </w:rPr>
            </w:pPr>
            <w:r w:rsidRPr="000B4E2C">
              <w:rPr>
                <w:sz w:val="18"/>
                <w:szCs w:val="18"/>
                <w:lang w:val="en-GB" w:eastAsia="en-GB"/>
              </w:rPr>
              <w:t>consistent with RIFLE stage 1</w:t>
            </w:r>
          </w:p>
          <w:p w14:paraId="7096B036" w14:textId="77777777" w:rsidR="00F471F5" w:rsidRPr="000B4E2C" w:rsidRDefault="00F471F5" w:rsidP="00F471F5">
            <w:pPr>
              <w:rPr>
                <w:color w:val="000000"/>
                <w:sz w:val="18"/>
                <w:szCs w:val="18"/>
                <w:lang w:val="en-GB" w:eastAsia="en-GB"/>
              </w:rPr>
            </w:pPr>
            <w:r w:rsidRPr="000B4E2C">
              <w:rPr>
                <w:sz w:val="18"/>
                <w:szCs w:val="18"/>
                <w:lang w:val="en-GB" w:eastAsia="en-GB"/>
              </w:rPr>
              <w:t>or AKIN stage 2</w:t>
            </w:r>
          </w:p>
        </w:tc>
        <w:tc>
          <w:tcPr>
            <w:tcW w:w="0" w:type="auto"/>
            <w:shd w:val="clear" w:color="auto" w:fill="auto"/>
            <w:hideMark/>
          </w:tcPr>
          <w:p w14:paraId="5FF2FA8E" w14:textId="77777777" w:rsidR="00F471F5" w:rsidRPr="000B4E2C" w:rsidRDefault="00F471F5" w:rsidP="00F471F5">
            <w:pPr>
              <w:rPr>
                <w:color w:val="000000"/>
                <w:sz w:val="18"/>
                <w:szCs w:val="18"/>
                <w:lang w:val="en-GB" w:eastAsia="en-GB"/>
              </w:rPr>
            </w:pPr>
            <w:r w:rsidRPr="000B4E2C">
              <w:rPr>
                <w:sz w:val="18"/>
                <w:szCs w:val="18"/>
                <w:lang w:val="en-GB" w:eastAsia="en-GB"/>
              </w:rPr>
              <w:t>55%</w:t>
            </w:r>
          </w:p>
        </w:tc>
        <w:tc>
          <w:tcPr>
            <w:tcW w:w="0" w:type="auto"/>
            <w:shd w:val="clear" w:color="auto" w:fill="auto"/>
            <w:hideMark/>
          </w:tcPr>
          <w:p w14:paraId="07830C01"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012DEDE7" w14:textId="77777777" w:rsidR="000B4E2C" w:rsidRPr="000B4E2C" w:rsidRDefault="00F471F5" w:rsidP="00F471F5">
            <w:pPr>
              <w:rPr>
                <w:sz w:val="18"/>
                <w:szCs w:val="18"/>
                <w:lang w:val="en-GB" w:eastAsia="en-GB"/>
              </w:rPr>
            </w:pPr>
            <w:r w:rsidRPr="000B4E2C">
              <w:rPr>
                <w:sz w:val="18"/>
                <w:szCs w:val="18"/>
                <w:lang w:val="en-GB" w:eastAsia="en-GB"/>
              </w:rPr>
              <w:t>90</w:t>
            </w:r>
          </w:p>
          <w:p w14:paraId="72E7D297" w14:textId="64BB5161" w:rsidR="00F471F5" w:rsidRPr="000B4E2C" w:rsidRDefault="00F471F5" w:rsidP="00F471F5">
            <w:pPr>
              <w:rPr>
                <w:color w:val="000000"/>
                <w:sz w:val="18"/>
                <w:szCs w:val="18"/>
                <w:lang w:val="en-GB" w:eastAsia="en-GB"/>
              </w:rPr>
            </w:pPr>
            <w:r w:rsidRPr="000B4E2C">
              <w:rPr>
                <w:sz w:val="18"/>
                <w:szCs w:val="18"/>
                <w:lang w:val="en-GB" w:eastAsia="en-GB"/>
              </w:rPr>
              <w:t>(26)</w:t>
            </w:r>
          </w:p>
        </w:tc>
        <w:tc>
          <w:tcPr>
            <w:tcW w:w="0" w:type="auto"/>
            <w:shd w:val="clear" w:color="auto" w:fill="auto"/>
            <w:noWrap/>
            <w:hideMark/>
          </w:tcPr>
          <w:p w14:paraId="4286E73D"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4C61D6B7"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6077163A" w14:textId="77777777" w:rsidR="00F471F5" w:rsidRPr="000B4E2C" w:rsidRDefault="00F471F5" w:rsidP="00F471F5">
            <w:pPr>
              <w:rPr>
                <w:color w:val="000000"/>
                <w:sz w:val="18"/>
                <w:szCs w:val="18"/>
                <w:lang w:val="en-GB" w:eastAsia="en-GB"/>
              </w:rPr>
            </w:pPr>
            <w:r w:rsidRPr="000B4E2C">
              <w:rPr>
                <w:sz w:val="18"/>
                <w:szCs w:val="18"/>
                <w:lang w:val="en-GB" w:eastAsia="en-GB"/>
              </w:rPr>
              <w:t>All paediatric patients ages 1 month to 18 years undergoing cardiopulmonary bypass</w:t>
            </w:r>
          </w:p>
        </w:tc>
        <w:tc>
          <w:tcPr>
            <w:tcW w:w="0" w:type="auto"/>
            <w:shd w:val="clear" w:color="auto" w:fill="auto"/>
            <w:hideMark/>
          </w:tcPr>
          <w:p w14:paraId="539C908D" w14:textId="77777777" w:rsidR="00F471F5" w:rsidRPr="000B4E2C" w:rsidRDefault="00F471F5" w:rsidP="00F471F5">
            <w:pPr>
              <w:rPr>
                <w:sz w:val="18"/>
                <w:szCs w:val="18"/>
                <w:lang w:val="en-GB" w:eastAsia="en-GB"/>
              </w:rPr>
            </w:pPr>
            <w:r w:rsidRPr="000B4E2C">
              <w:rPr>
                <w:sz w:val="18"/>
                <w:szCs w:val="18"/>
                <w:lang w:val="en-GB" w:eastAsia="en-GB"/>
              </w:rPr>
              <w:t>Prior renal transplantation or dialysis</w:t>
            </w:r>
          </w:p>
        </w:tc>
      </w:tr>
      <w:tr w:rsidR="000B4E2C" w:rsidRPr="000B4E2C" w14:paraId="78A3806E" w14:textId="77777777" w:rsidTr="000B4E2C">
        <w:trPr>
          <w:cantSplit/>
        </w:trPr>
        <w:tc>
          <w:tcPr>
            <w:tcW w:w="0" w:type="auto"/>
            <w:shd w:val="clear" w:color="auto" w:fill="auto"/>
            <w:hideMark/>
          </w:tcPr>
          <w:p w14:paraId="2FB541AA" w14:textId="005CBF20" w:rsidR="00F471F5" w:rsidRPr="000B4E2C" w:rsidRDefault="00F471F5" w:rsidP="00F471F5">
            <w:pPr>
              <w:rPr>
                <w:color w:val="000000"/>
                <w:sz w:val="18"/>
                <w:szCs w:val="18"/>
                <w:lang w:val="en-GB" w:eastAsia="en-GB"/>
              </w:rPr>
            </w:pPr>
            <w:r w:rsidRPr="000B4E2C">
              <w:rPr>
                <w:sz w:val="18"/>
                <w:szCs w:val="18"/>
                <w:lang w:val="en-GB" w:eastAsia="en-GB"/>
              </w:rPr>
              <w:lastRenderedPageBreak/>
              <w:t>Dong 2017,</w:t>
            </w:r>
            <w:r w:rsidRPr="000B4E2C">
              <w:rPr>
                <w:sz w:val="18"/>
                <w:szCs w:val="18"/>
                <w:vertAlign w:val="superscript"/>
                <w:lang w:val="en-GB" w:eastAsia="en-GB"/>
              </w:rPr>
              <w:t>94</w:t>
            </w:r>
            <w:r w:rsidRPr="000B4E2C">
              <w:rPr>
                <w:sz w:val="18"/>
                <w:szCs w:val="18"/>
                <w:lang w:val="en-GB" w:eastAsia="en-GB"/>
              </w:rPr>
              <w:t xml:space="preserve"> USA</w:t>
            </w:r>
          </w:p>
        </w:tc>
        <w:tc>
          <w:tcPr>
            <w:tcW w:w="0" w:type="auto"/>
            <w:shd w:val="clear" w:color="auto" w:fill="auto"/>
            <w:hideMark/>
          </w:tcPr>
          <w:p w14:paraId="57A4E4D5" w14:textId="77777777" w:rsidR="00F471F5" w:rsidRPr="000B4E2C" w:rsidRDefault="00F471F5" w:rsidP="00F471F5">
            <w:pPr>
              <w:rPr>
                <w:color w:val="000000"/>
                <w:sz w:val="18"/>
                <w:szCs w:val="18"/>
                <w:lang w:val="en-GB" w:eastAsia="en-GB"/>
              </w:rPr>
            </w:pPr>
            <w:r w:rsidRPr="000B4E2C">
              <w:rPr>
                <w:sz w:val="18"/>
                <w:szCs w:val="18"/>
                <w:lang w:val="en-GB" w:eastAsia="en-GB"/>
              </w:rPr>
              <w:t>uNGAL, BioPorto</w:t>
            </w:r>
          </w:p>
        </w:tc>
        <w:tc>
          <w:tcPr>
            <w:tcW w:w="0" w:type="auto"/>
            <w:shd w:val="clear" w:color="auto" w:fill="auto"/>
            <w:hideMark/>
          </w:tcPr>
          <w:p w14:paraId="6BEBA38E" w14:textId="77777777" w:rsidR="00F471F5" w:rsidRPr="000B4E2C" w:rsidRDefault="00F471F5" w:rsidP="00F471F5">
            <w:pPr>
              <w:rPr>
                <w:sz w:val="18"/>
                <w:szCs w:val="18"/>
                <w:lang w:val="en-GB" w:eastAsia="en-GB"/>
              </w:rPr>
            </w:pPr>
            <w:r w:rsidRPr="000B4E2C">
              <w:rPr>
                <w:sz w:val="18"/>
                <w:szCs w:val="18"/>
                <w:lang w:val="en-GB" w:eastAsia="en-GB"/>
              </w:rPr>
              <w:t>AKI</w:t>
            </w:r>
          </w:p>
          <w:p w14:paraId="49EE792B" w14:textId="77777777" w:rsidR="00F471F5" w:rsidRPr="000B4E2C" w:rsidRDefault="00F471F5" w:rsidP="00F471F5">
            <w:pPr>
              <w:rPr>
                <w:sz w:val="18"/>
                <w:szCs w:val="18"/>
                <w:lang w:val="en-GB" w:eastAsia="en-GB"/>
              </w:rPr>
            </w:pPr>
            <w:r w:rsidRPr="000B4E2C">
              <w:rPr>
                <w:sz w:val="18"/>
                <w:szCs w:val="18"/>
                <w:lang w:val="en-GB" w:eastAsia="en-GB"/>
              </w:rPr>
              <w:t>1.4 years</w:t>
            </w:r>
          </w:p>
          <w:p w14:paraId="29D05110" w14:textId="5E606A40" w:rsidR="000B4E2C" w:rsidRPr="000B4E2C" w:rsidRDefault="00F471F5" w:rsidP="00F471F5">
            <w:pPr>
              <w:rPr>
                <w:sz w:val="18"/>
                <w:szCs w:val="18"/>
                <w:lang w:val="en-GB" w:eastAsia="en-GB"/>
              </w:rPr>
            </w:pPr>
            <w:r w:rsidRPr="000B4E2C">
              <w:rPr>
                <w:sz w:val="18"/>
                <w:szCs w:val="18"/>
                <w:lang w:val="en-GB" w:eastAsia="en-GB"/>
              </w:rPr>
              <w:t>(0.2</w:t>
            </w:r>
            <w:r w:rsidR="000B4E2C" w:rsidRPr="000B4E2C">
              <w:rPr>
                <w:color w:val="00B0F0"/>
                <w:sz w:val="18"/>
                <w:szCs w:val="18"/>
                <w:lang w:val="en-GB" w:eastAsia="en-GB"/>
              </w:rPr>
              <w:t>–</w:t>
            </w:r>
            <w:r w:rsidR="000B4E2C" w:rsidRPr="000B4E2C">
              <w:rPr>
                <w:color w:val="00B0F0"/>
                <w:sz w:val="18"/>
                <w:szCs w:val="18"/>
                <w:lang w:val="en-GB" w:eastAsia="en-GB"/>
              </w:rPr>
              <w:t>2</w:t>
            </w:r>
            <w:r w:rsidRPr="000B4E2C">
              <w:rPr>
                <w:sz w:val="18"/>
                <w:szCs w:val="18"/>
                <w:lang w:val="en-GB" w:eastAsia="en-GB"/>
              </w:rPr>
              <w:t>.7);</w:t>
            </w:r>
          </w:p>
          <w:p w14:paraId="41B9DC19" w14:textId="77777777" w:rsidR="000B4E2C" w:rsidRPr="000B4E2C" w:rsidRDefault="00F471F5" w:rsidP="00F471F5">
            <w:pPr>
              <w:rPr>
                <w:sz w:val="18"/>
                <w:szCs w:val="18"/>
                <w:lang w:val="en-GB" w:eastAsia="en-GB"/>
              </w:rPr>
            </w:pPr>
            <w:r w:rsidRPr="000B4E2C">
              <w:rPr>
                <w:sz w:val="18"/>
                <w:szCs w:val="18"/>
                <w:lang w:val="en-GB" w:eastAsia="en-GB"/>
              </w:rPr>
              <w:t>No AKI</w:t>
            </w:r>
          </w:p>
          <w:p w14:paraId="5F9F46B2" w14:textId="77777777" w:rsidR="000B4E2C" w:rsidRPr="000B4E2C" w:rsidRDefault="00F471F5" w:rsidP="00F471F5">
            <w:pPr>
              <w:rPr>
                <w:sz w:val="18"/>
                <w:szCs w:val="18"/>
                <w:lang w:val="en-GB" w:eastAsia="en-GB"/>
              </w:rPr>
            </w:pPr>
            <w:r w:rsidRPr="000B4E2C">
              <w:rPr>
                <w:sz w:val="18"/>
                <w:szCs w:val="18"/>
                <w:lang w:val="en-GB" w:eastAsia="en-GB"/>
              </w:rPr>
              <w:t>5 years</w:t>
            </w:r>
          </w:p>
          <w:p w14:paraId="2E2DFEF0" w14:textId="209FD659" w:rsidR="00F471F5" w:rsidRPr="000B4E2C" w:rsidRDefault="00F471F5" w:rsidP="00F471F5">
            <w:pPr>
              <w:rPr>
                <w:color w:val="000000"/>
                <w:sz w:val="18"/>
                <w:szCs w:val="18"/>
                <w:lang w:val="en-GB" w:eastAsia="en-GB"/>
              </w:rPr>
            </w:pPr>
            <w:r w:rsidRPr="000B4E2C">
              <w:rPr>
                <w:sz w:val="18"/>
                <w:szCs w:val="18"/>
                <w:lang w:val="en-GB" w:eastAsia="en-GB"/>
              </w:rPr>
              <w:t>(4.1</w:t>
            </w:r>
            <w:r w:rsidR="000B4E2C" w:rsidRPr="000B4E2C">
              <w:rPr>
                <w:color w:val="00B0F0"/>
                <w:sz w:val="18"/>
                <w:szCs w:val="18"/>
                <w:lang w:val="en-GB" w:eastAsia="en-GB"/>
              </w:rPr>
              <w:t>–</w:t>
            </w:r>
            <w:r w:rsidR="000B4E2C" w:rsidRPr="000B4E2C">
              <w:rPr>
                <w:color w:val="00B0F0"/>
                <w:sz w:val="18"/>
                <w:szCs w:val="18"/>
                <w:lang w:val="en-GB" w:eastAsia="en-GB"/>
              </w:rPr>
              <w:t>5</w:t>
            </w:r>
            <w:r w:rsidRPr="000B4E2C">
              <w:rPr>
                <w:sz w:val="18"/>
                <w:szCs w:val="18"/>
                <w:lang w:val="en-GB" w:eastAsia="en-GB"/>
              </w:rPr>
              <w:t xml:space="preserve">.9) </w:t>
            </w:r>
          </w:p>
        </w:tc>
        <w:tc>
          <w:tcPr>
            <w:tcW w:w="0" w:type="auto"/>
            <w:shd w:val="clear" w:color="auto" w:fill="auto"/>
            <w:hideMark/>
          </w:tcPr>
          <w:p w14:paraId="359A1408" w14:textId="77777777" w:rsidR="00F471F5" w:rsidRPr="000B4E2C" w:rsidRDefault="00F471F5" w:rsidP="00F471F5">
            <w:pPr>
              <w:rPr>
                <w:color w:val="000000"/>
                <w:sz w:val="18"/>
                <w:szCs w:val="18"/>
                <w:lang w:val="en-GB" w:eastAsia="en-GB"/>
              </w:rPr>
            </w:pPr>
            <w:r w:rsidRPr="000B4E2C">
              <w:rPr>
                <w:sz w:val="18"/>
                <w:szCs w:val="18"/>
                <w:lang w:val="en-GB" w:eastAsia="en-GB"/>
              </w:rPr>
              <w:t>150</w:t>
            </w:r>
          </w:p>
        </w:tc>
        <w:tc>
          <w:tcPr>
            <w:tcW w:w="0" w:type="auto"/>
            <w:shd w:val="clear" w:color="auto" w:fill="auto"/>
            <w:hideMark/>
          </w:tcPr>
          <w:p w14:paraId="72FF3E63" w14:textId="77777777" w:rsidR="00F471F5" w:rsidRPr="000B4E2C" w:rsidRDefault="00F471F5" w:rsidP="00F471F5">
            <w:pPr>
              <w:rPr>
                <w:color w:val="000000"/>
                <w:sz w:val="18"/>
                <w:szCs w:val="18"/>
                <w:lang w:val="en-GB" w:eastAsia="en-GB"/>
              </w:rPr>
            </w:pPr>
            <w:r w:rsidRPr="000B4E2C">
              <w:rPr>
                <w:sz w:val="18"/>
                <w:szCs w:val="18"/>
                <w:lang w:val="en-GB" w:eastAsia="en-GB"/>
              </w:rPr>
              <w:t>50</w:t>
            </w:r>
          </w:p>
        </w:tc>
        <w:tc>
          <w:tcPr>
            <w:tcW w:w="0" w:type="auto"/>
            <w:shd w:val="clear" w:color="auto" w:fill="auto"/>
            <w:hideMark/>
          </w:tcPr>
          <w:p w14:paraId="450940BE" w14:textId="77777777" w:rsidR="00F471F5" w:rsidRPr="000B4E2C" w:rsidRDefault="00F471F5" w:rsidP="00F471F5">
            <w:pPr>
              <w:rPr>
                <w:color w:val="000000"/>
                <w:sz w:val="18"/>
                <w:szCs w:val="18"/>
                <w:lang w:val="en-GB" w:eastAsia="en-GB"/>
              </w:rPr>
            </w:pPr>
            <w:r w:rsidRPr="000B4E2C">
              <w:rPr>
                <w:bCs/>
                <w:sz w:val="18"/>
                <w:szCs w:val="18"/>
                <w:lang w:eastAsia="en-GB"/>
              </w:rPr>
              <w:t>KDIGO</w:t>
            </w:r>
          </w:p>
        </w:tc>
        <w:tc>
          <w:tcPr>
            <w:tcW w:w="0" w:type="auto"/>
            <w:shd w:val="clear" w:color="auto" w:fill="auto"/>
            <w:hideMark/>
          </w:tcPr>
          <w:p w14:paraId="0F059EB4" w14:textId="77777777" w:rsidR="00F471F5" w:rsidRPr="000B4E2C" w:rsidRDefault="00F471F5" w:rsidP="00F471F5">
            <w:pPr>
              <w:rPr>
                <w:sz w:val="18"/>
                <w:szCs w:val="18"/>
                <w:lang w:val="en-GB" w:eastAsia="en-GB"/>
              </w:rPr>
            </w:pPr>
            <w:r w:rsidRPr="000B4E2C">
              <w:rPr>
                <w:sz w:val="18"/>
                <w:szCs w:val="18"/>
                <w:lang w:val="en-GB" w:eastAsia="en-GB"/>
              </w:rPr>
              <w:t>AKI:</w:t>
            </w:r>
          </w:p>
          <w:p w14:paraId="3BEAC139" w14:textId="77777777" w:rsidR="000B4E2C" w:rsidRPr="000B4E2C" w:rsidRDefault="00F471F5" w:rsidP="00F471F5">
            <w:pPr>
              <w:rPr>
                <w:sz w:val="18"/>
                <w:szCs w:val="18"/>
                <w:lang w:val="en-GB" w:eastAsia="en-GB"/>
              </w:rPr>
            </w:pPr>
            <w:r w:rsidRPr="000B4E2C">
              <w:rPr>
                <w:sz w:val="18"/>
                <w:szCs w:val="18"/>
                <w:lang w:val="en-GB" w:eastAsia="en-GB"/>
              </w:rPr>
              <w:t>40%;</w:t>
            </w:r>
          </w:p>
          <w:p w14:paraId="31FA601F" w14:textId="7C67F9E5" w:rsidR="00F471F5" w:rsidRPr="000B4E2C" w:rsidRDefault="00F471F5" w:rsidP="00F471F5">
            <w:pPr>
              <w:rPr>
                <w:sz w:val="18"/>
                <w:szCs w:val="18"/>
                <w:lang w:val="en-GB" w:eastAsia="en-GB"/>
              </w:rPr>
            </w:pPr>
            <w:r w:rsidRPr="000B4E2C">
              <w:rPr>
                <w:sz w:val="18"/>
                <w:szCs w:val="18"/>
                <w:lang w:val="en-GB" w:eastAsia="en-GB"/>
              </w:rPr>
              <w:t>No AKI:</w:t>
            </w:r>
          </w:p>
          <w:p w14:paraId="6D4641F4" w14:textId="77777777" w:rsidR="00F471F5" w:rsidRPr="000B4E2C" w:rsidRDefault="00F471F5" w:rsidP="00F471F5">
            <w:pPr>
              <w:rPr>
                <w:color w:val="000000"/>
                <w:sz w:val="18"/>
                <w:szCs w:val="18"/>
                <w:lang w:val="en-GB" w:eastAsia="en-GB"/>
              </w:rPr>
            </w:pPr>
            <w:r w:rsidRPr="000B4E2C">
              <w:rPr>
                <w:sz w:val="18"/>
                <w:szCs w:val="18"/>
                <w:lang w:val="en-GB" w:eastAsia="en-GB"/>
              </w:rPr>
              <w:t>57%</w:t>
            </w:r>
          </w:p>
        </w:tc>
        <w:tc>
          <w:tcPr>
            <w:tcW w:w="0" w:type="auto"/>
            <w:shd w:val="clear" w:color="auto" w:fill="auto"/>
            <w:hideMark/>
          </w:tcPr>
          <w:p w14:paraId="3B5D0C6D"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7BB282E4"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0A54681B"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32A9046"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72EDBDAB" w14:textId="77777777" w:rsidR="00F471F5" w:rsidRPr="000B4E2C" w:rsidRDefault="00F471F5" w:rsidP="00F471F5">
            <w:pPr>
              <w:rPr>
                <w:color w:val="000000"/>
                <w:sz w:val="18"/>
                <w:szCs w:val="18"/>
                <w:lang w:val="en-GB" w:eastAsia="en-GB"/>
              </w:rPr>
            </w:pPr>
            <w:r w:rsidRPr="000B4E2C">
              <w:rPr>
                <w:sz w:val="18"/>
                <w:szCs w:val="18"/>
                <w:lang w:val="en-GB" w:eastAsia="en-GB"/>
              </w:rPr>
              <w:t>All patients receiving CPB as long as the baseline SCr is normal for age</w:t>
            </w:r>
          </w:p>
        </w:tc>
        <w:tc>
          <w:tcPr>
            <w:tcW w:w="0" w:type="auto"/>
            <w:shd w:val="clear" w:color="auto" w:fill="auto"/>
            <w:hideMark/>
          </w:tcPr>
          <w:p w14:paraId="25924D12" w14:textId="77777777" w:rsidR="00F471F5" w:rsidRPr="000B4E2C" w:rsidRDefault="00F471F5" w:rsidP="00F471F5">
            <w:pPr>
              <w:rPr>
                <w:sz w:val="18"/>
                <w:szCs w:val="18"/>
                <w:lang w:val="en-GB" w:eastAsia="en-GB"/>
              </w:rPr>
            </w:pPr>
            <w:r w:rsidRPr="000B4E2C">
              <w:rPr>
                <w:sz w:val="18"/>
                <w:szCs w:val="18"/>
                <w:lang w:val="en-GB" w:eastAsia="en-GB"/>
              </w:rPr>
              <w:t>Pre-existing CKD</w:t>
            </w:r>
          </w:p>
        </w:tc>
      </w:tr>
      <w:tr w:rsidR="000B4E2C" w:rsidRPr="000B4E2C" w14:paraId="538BCE06" w14:textId="77777777" w:rsidTr="000B4E2C">
        <w:trPr>
          <w:cantSplit/>
        </w:trPr>
        <w:tc>
          <w:tcPr>
            <w:tcW w:w="0" w:type="auto"/>
            <w:shd w:val="clear" w:color="auto" w:fill="auto"/>
            <w:hideMark/>
          </w:tcPr>
          <w:p w14:paraId="3382F472" w14:textId="7E42371E" w:rsidR="00F471F5" w:rsidRPr="000B4E2C" w:rsidRDefault="00F471F5" w:rsidP="00F471F5">
            <w:pPr>
              <w:rPr>
                <w:color w:val="000000"/>
                <w:sz w:val="18"/>
                <w:szCs w:val="18"/>
                <w:lang w:val="en-GB" w:eastAsia="en-GB"/>
              </w:rPr>
            </w:pPr>
            <w:r w:rsidRPr="000B4E2C">
              <w:rPr>
                <w:sz w:val="18"/>
                <w:szCs w:val="18"/>
                <w:lang w:val="en-GB" w:eastAsia="en-GB"/>
              </w:rPr>
              <w:t>Bojan 2014,</w:t>
            </w:r>
            <w:r w:rsidRPr="000B4E2C">
              <w:rPr>
                <w:sz w:val="18"/>
                <w:szCs w:val="18"/>
                <w:vertAlign w:val="superscript"/>
                <w:lang w:val="en-GB" w:eastAsia="en-GB"/>
              </w:rPr>
              <w:t>88</w:t>
            </w:r>
            <w:r w:rsidRPr="000B4E2C">
              <w:rPr>
                <w:sz w:val="18"/>
                <w:szCs w:val="18"/>
                <w:lang w:val="en-GB" w:eastAsia="en-GB"/>
              </w:rPr>
              <w:t xml:space="preserve"> France</w:t>
            </w:r>
          </w:p>
        </w:tc>
        <w:tc>
          <w:tcPr>
            <w:tcW w:w="0" w:type="auto"/>
            <w:shd w:val="clear" w:color="auto" w:fill="auto"/>
            <w:hideMark/>
          </w:tcPr>
          <w:p w14:paraId="41E89640"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12D8F11D" w14:textId="47AA3382" w:rsidR="00F471F5" w:rsidRPr="000B4E2C" w:rsidRDefault="000B4E2C" w:rsidP="00F471F5">
            <w:pPr>
              <w:rPr>
                <w:color w:val="000000"/>
                <w:sz w:val="18"/>
                <w:szCs w:val="18"/>
                <w:lang w:val="en-GB" w:eastAsia="en-GB"/>
              </w:rPr>
            </w:pPr>
            <w:r w:rsidRPr="000B4E2C">
              <w:rPr>
                <w:color w:val="00B0F0"/>
                <w:sz w:val="18"/>
                <w:szCs w:val="18"/>
                <w:lang w:val="en-GB" w:eastAsia="en-GB"/>
              </w:rPr>
              <w:t>&lt;</w:t>
            </w:r>
            <w:r w:rsidRPr="000B4E2C">
              <w:rPr>
                <w:color w:val="00B0F0"/>
                <w:sz w:val="18"/>
                <w:szCs w:val="18"/>
                <w:lang w:val="en-GB" w:eastAsia="en-GB"/>
              </w:rPr>
              <w:t> </w:t>
            </w:r>
            <w:r w:rsidRPr="000B4E2C">
              <w:rPr>
                <w:color w:val="00B0F0"/>
                <w:sz w:val="18"/>
                <w:szCs w:val="18"/>
                <w:lang w:val="en-GB" w:eastAsia="en-GB"/>
              </w:rPr>
              <w:t>1</w:t>
            </w:r>
            <w:r w:rsidR="00F471F5" w:rsidRPr="000B4E2C">
              <w:rPr>
                <w:sz w:val="18"/>
                <w:szCs w:val="18"/>
                <w:lang w:val="en-GB" w:eastAsia="en-GB"/>
              </w:rPr>
              <w:t xml:space="preserve"> year</w:t>
            </w:r>
          </w:p>
        </w:tc>
        <w:tc>
          <w:tcPr>
            <w:tcW w:w="0" w:type="auto"/>
            <w:shd w:val="clear" w:color="auto" w:fill="auto"/>
            <w:hideMark/>
          </w:tcPr>
          <w:p w14:paraId="27A6B38A" w14:textId="77777777" w:rsidR="00F471F5" w:rsidRPr="000B4E2C" w:rsidRDefault="00F471F5" w:rsidP="00F471F5">
            <w:pPr>
              <w:rPr>
                <w:color w:val="000000"/>
                <w:sz w:val="18"/>
                <w:szCs w:val="18"/>
                <w:lang w:val="en-GB" w:eastAsia="en-GB"/>
              </w:rPr>
            </w:pPr>
            <w:r w:rsidRPr="000B4E2C">
              <w:rPr>
                <w:sz w:val="18"/>
                <w:szCs w:val="18"/>
                <w:lang w:val="en-GB" w:eastAsia="en-GB"/>
              </w:rPr>
              <w:t>100</w:t>
            </w:r>
          </w:p>
        </w:tc>
        <w:tc>
          <w:tcPr>
            <w:tcW w:w="0" w:type="auto"/>
            <w:shd w:val="clear" w:color="auto" w:fill="auto"/>
            <w:hideMark/>
          </w:tcPr>
          <w:p w14:paraId="41426BFB"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2C355487" w14:textId="77777777" w:rsidR="00F471F5" w:rsidRPr="000B4E2C" w:rsidRDefault="00F471F5" w:rsidP="00F471F5">
            <w:pPr>
              <w:rPr>
                <w:color w:val="000000"/>
                <w:sz w:val="18"/>
                <w:szCs w:val="18"/>
                <w:lang w:val="en-GB" w:eastAsia="en-GB"/>
              </w:rPr>
            </w:pPr>
            <w:r w:rsidRPr="000B4E2C">
              <w:rPr>
                <w:sz w:val="18"/>
                <w:szCs w:val="18"/>
                <w:lang w:val="en-GB" w:eastAsia="en-GB"/>
              </w:rPr>
              <w:t>AKIN</w:t>
            </w:r>
          </w:p>
        </w:tc>
        <w:tc>
          <w:tcPr>
            <w:tcW w:w="0" w:type="auto"/>
            <w:shd w:val="clear" w:color="auto" w:fill="auto"/>
            <w:hideMark/>
          </w:tcPr>
          <w:p w14:paraId="14F87871"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1B313FC6"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4B6855A9"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7CAB2037"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4BFFC66E" w14:textId="77777777" w:rsidR="00F471F5" w:rsidRPr="000B4E2C" w:rsidRDefault="00F471F5" w:rsidP="00F471F5">
            <w:pPr>
              <w:rPr>
                <w:sz w:val="18"/>
                <w:szCs w:val="18"/>
                <w:lang w:val="en-GB" w:eastAsia="en-GB"/>
              </w:rPr>
            </w:pPr>
            <w:r w:rsidRPr="000B4E2C">
              <w:rPr>
                <w:sz w:val="18"/>
                <w:szCs w:val="18"/>
                <w:lang w:val="en-GB" w:eastAsia="en-GB"/>
              </w:rPr>
              <w:t>0</w:t>
            </w:r>
          </w:p>
        </w:tc>
        <w:tc>
          <w:tcPr>
            <w:tcW w:w="0" w:type="auto"/>
            <w:shd w:val="clear" w:color="auto" w:fill="auto"/>
            <w:hideMark/>
          </w:tcPr>
          <w:p w14:paraId="2E6C4BE5" w14:textId="77777777" w:rsidR="00F471F5" w:rsidRPr="000B4E2C" w:rsidRDefault="00F471F5" w:rsidP="00F471F5">
            <w:pPr>
              <w:rPr>
                <w:sz w:val="18"/>
                <w:szCs w:val="18"/>
                <w:lang w:val="en-GB" w:eastAsia="en-GB"/>
              </w:rPr>
            </w:pPr>
            <w:r w:rsidRPr="000B4E2C">
              <w:rPr>
                <w:sz w:val="18"/>
                <w:szCs w:val="18"/>
                <w:lang w:val="en-GB" w:eastAsia="en-GB"/>
              </w:rPr>
              <w:t>Surgery with CPB</w:t>
            </w:r>
          </w:p>
        </w:tc>
        <w:tc>
          <w:tcPr>
            <w:tcW w:w="0" w:type="auto"/>
            <w:shd w:val="clear" w:color="auto" w:fill="auto"/>
            <w:hideMark/>
          </w:tcPr>
          <w:p w14:paraId="0BA8532E" w14:textId="77777777" w:rsidR="00F471F5" w:rsidRPr="000B4E2C" w:rsidRDefault="00F471F5" w:rsidP="00F471F5">
            <w:pPr>
              <w:rPr>
                <w:sz w:val="18"/>
                <w:szCs w:val="18"/>
                <w:lang w:val="en-GB" w:eastAsia="en-GB"/>
              </w:rPr>
            </w:pPr>
            <w:r w:rsidRPr="000B4E2C">
              <w:rPr>
                <w:sz w:val="18"/>
                <w:szCs w:val="18"/>
                <w:lang w:val="en-GB" w:eastAsia="en-GB"/>
              </w:rPr>
              <w:t>NR</w:t>
            </w:r>
          </w:p>
        </w:tc>
      </w:tr>
      <w:tr w:rsidR="000B4E2C" w:rsidRPr="000B4E2C" w14:paraId="0692812B" w14:textId="77777777" w:rsidTr="000B4E2C">
        <w:trPr>
          <w:cantSplit/>
        </w:trPr>
        <w:tc>
          <w:tcPr>
            <w:tcW w:w="0" w:type="auto"/>
            <w:shd w:val="clear" w:color="auto" w:fill="auto"/>
            <w:hideMark/>
          </w:tcPr>
          <w:p w14:paraId="356B8C81" w14:textId="35BA978E" w:rsidR="00F471F5" w:rsidRPr="000B4E2C" w:rsidRDefault="00F471F5" w:rsidP="00F471F5">
            <w:pPr>
              <w:rPr>
                <w:color w:val="000000"/>
                <w:sz w:val="18"/>
                <w:szCs w:val="18"/>
                <w:lang w:val="en-GB" w:eastAsia="en-GB"/>
              </w:rPr>
            </w:pPr>
            <w:r w:rsidRPr="000B4E2C">
              <w:rPr>
                <w:sz w:val="18"/>
                <w:szCs w:val="18"/>
                <w:lang w:val="en-GB" w:eastAsia="en-GB"/>
              </w:rPr>
              <w:t>Bennett 2013,</w:t>
            </w:r>
            <w:r w:rsidRPr="000B4E2C">
              <w:rPr>
                <w:sz w:val="18"/>
                <w:szCs w:val="18"/>
                <w:vertAlign w:val="superscript"/>
                <w:lang w:val="en-GB" w:eastAsia="en-GB"/>
              </w:rPr>
              <w:t>89</w:t>
            </w:r>
            <w:r w:rsidRPr="000B4E2C">
              <w:rPr>
                <w:sz w:val="18"/>
                <w:szCs w:val="18"/>
                <w:lang w:val="en-GB" w:eastAsia="en-GB"/>
              </w:rPr>
              <w:t xml:space="preserve"> USA</w:t>
            </w:r>
          </w:p>
        </w:tc>
        <w:tc>
          <w:tcPr>
            <w:tcW w:w="0" w:type="auto"/>
            <w:shd w:val="clear" w:color="auto" w:fill="auto"/>
            <w:hideMark/>
          </w:tcPr>
          <w:p w14:paraId="79F9FFE9"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06DB7FB0" w14:textId="77777777" w:rsidR="00F471F5" w:rsidRPr="000B4E2C" w:rsidRDefault="00F471F5" w:rsidP="00F471F5">
            <w:pPr>
              <w:rPr>
                <w:color w:val="000000"/>
                <w:sz w:val="18"/>
                <w:szCs w:val="18"/>
                <w:lang w:val="en-GB" w:eastAsia="en-GB"/>
              </w:rPr>
            </w:pPr>
            <w:r w:rsidRPr="000B4E2C">
              <w:rPr>
                <w:sz w:val="18"/>
                <w:szCs w:val="18"/>
                <w:lang w:val="en-GB" w:eastAsia="en-GB"/>
              </w:rPr>
              <w:t>4 years</w:t>
            </w:r>
          </w:p>
        </w:tc>
        <w:tc>
          <w:tcPr>
            <w:tcW w:w="0" w:type="auto"/>
            <w:shd w:val="clear" w:color="auto" w:fill="auto"/>
            <w:hideMark/>
          </w:tcPr>
          <w:p w14:paraId="2DBE4819" w14:textId="77777777" w:rsidR="00F471F5" w:rsidRPr="000B4E2C" w:rsidRDefault="00F471F5" w:rsidP="00F471F5">
            <w:pPr>
              <w:rPr>
                <w:color w:val="000000"/>
                <w:sz w:val="18"/>
                <w:szCs w:val="18"/>
                <w:lang w:val="en-GB" w:eastAsia="en-GB"/>
              </w:rPr>
            </w:pPr>
            <w:r w:rsidRPr="000B4E2C">
              <w:rPr>
                <w:sz w:val="18"/>
                <w:szCs w:val="18"/>
                <w:lang w:val="en-GB" w:eastAsia="en-GB"/>
              </w:rPr>
              <w:t>196</w:t>
            </w:r>
          </w:p>
        </w:tc>
        <w:tc>
          <w:tcPr>
            <w:tcW w:w="0" w:type="auto"/>
            <w:shd w:val="clear" w:color="auto" w:fill="auto"/>
            <w:hideMark/>
          </w:tcPr>
          <w:p w14:paraId="77E0B3A8" w14:textId="77777777" w:rsidR="00F471F5" w:rsidRPr="000B4E2C" w:rsidRDefault="00F471F5" w:rsidP="00F471F5">
            <w:pPr>
              <w:rPr>
                <w:color w:val="000000"/>
                <w:sz w:val="18"/>
                <w:szCs w:val="18"/>
                <w:lang w:val="en-GB" w:eastAsia="en-GB"/>
              </w:rPr>
            </w:pPr>
            <w:r w:rsidRPr="000B4E2C">
              <w:rPr>
                <w:sz w:val="18"/>
                <w:szCs w:val="18"/>
                <w:lang w:val="en-GB" w:eastAsia="en-GB"/>
              </w:rPr>
              <w:t>99</w:t>
            </w:r>
          </w:p>
        </w:tc>
        <w:tc>
          <w:tcPr>
            <w:tcW w:w="0" w:type="auto"/>
            <w:shd w:val="clear" w:color="auto" w:fill="auto"/>
            <w:hideMark/>
          </w:tcPr>
          <w:p w14:paraId="0259264D" w14:textId="77777777" w:rsidR="00F471F5" w:rsidRPr="000B4E2C" w:rsidRDefault="00F471F5" w:rsidP="00F471F5">
            <w:pPr>
              <w:rPr>
                <w:color w:val="000000"/>
                <w:sz w:val="18"/>
                <w:szCs w:val="18"/>
                <w:lang w:val="en-GB" w:eastAsia="en-GB"/>
              </w:rPr>
            </w:pPr>
            <w:r w:rsidRPr="000B4E2C">
              <w:rPr>
                <w:sz w:val="18"/>
                <w:szCs w:val="18"/>
                <w:lang w:val="en-GB" w:eastAsia="en-GB"/>
              </w:rPr>
              <w:t>50% or greater increase in sCr from baseline within 72 hours</w:t>
            </w:r>
          </w:p>
        </w:tc>
        <w:tc>
          <w:tcPr>
            <w:tcW w:w="0" w:type="auto"/>
            <w:shd w:val="clear" w:color="auto" w:fill="auto"/>
            <w:hideMark/>
          </w:tcPr>
          <w:p w14:paraId="311F0B99" w14:textId="77777777" w:rsidR="00F471F5" w:rsidRPr="000B4E2C" w:rsidRDefault="00F471F5" w:rsidP="00F471F5">
            <w:pPr>
              <w:rPr>
                <w:color w:val="000000"/>
                <w:sz w:val="18"/>
                <w:szCs w:val="18"/>
                <w:lang w:val="en-GB" w:eastAsia="en-GB"/>
              </w:rPr>
            </w:pPr>
            <w:r w:rsidRPr="000B4E2C">
              <w:rPr>
                <w:sz w:val="18"/>
                <w:szCs w:val="18"/>
                <w:lang w:val="en-GB" w:eastAsia="en-GB"/>
              </w:rPr>
              <w:t>54%</w:t>
            </w:r>
          </w:p>
        </w:tc>
        <w:tc>
          <w:tcPr>
            <w:tcW w:w="0" w:type="auto"/>
            <w:shd w:val="clear" w:color="auto" w:fill="auto"/>
            <w:hideMark/>
          </w:tcPr>
          <w:p w14:paraId="0F0CCC32"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79025BF3"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A8E658C"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73DA97D4"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23FF9668" w14:textId="77777777" w:rsidR="00F471F5" w:rsidRPr="000B4E2C" w:rsidRDefault="00F471F5" w:rsidP="00F471F5">
            <w:pPr>
              <w:rPr>
                <w:color w:val="000000"/>
                <w:sz w:val="18"/>
                <w:szCs w:val="18"/>
                <w:lang w:val="en-GB" w:eastAsia="en-GB"/>
              </w:rPr>
            </w:pPr>
            <w:r w:rsidRPr="000B4E2C">
              <w:rPr>
                <w:sz w:val="18"/>
                <w:szCs w:val="18"/>
                <w:lang w:val="en-GB" w:eastAsia="en-GB"/>
              </w:rPr>
              <w:t>Elective CPB surgery</w:t>
            </w:r>
          </w:p>
        </w:tc>
        <w:tc>
          <w:tcPr>
            <w:tcW w:w="0" w:type="auto"/>
            <w:shd w:val="clear" w:color="auto" w:fill="auto"/>
            <w:hideMark/>
          </w:tcPr>
          <w:p w14:paraId="1F39C6F6" w14:textId="77777777" w:rsidR="00F471F5" w:rsidRPr="000B4E2C" w:rsidRDefault="00F471F5" w:rsidP="00F471F5">
            <w:pPr>
              <w:rPr>
                <w:sz w:val="18"/>
                <w:szCs w:val="18"/>
                <w:lang w:val="en-GB" w:eastAsia="en-GB"/>
              </w:rPr>
            </w:pPr>
            <w:r w:rsidRPr="000B4E2C">
              <w:rPr>
                <w:sz w:val="18"/>
                <w:szCs w:val="18"/>
                <w:lang w:val="en-GB" w:eastAsia="en-GB"/>
              </w:rPr>
              <w:t>Pre-existing renal insufficiency, diabetes mellitus, peripheral vascular disease and use of nephrotoxic drugs before and during the study.</w:t>
            </w:r>
          </w:p>
        </w:tc>
      </w:tr>
      <w:tr w:rsidR="000B4E2C" w:rsidRPr="000B4E2C" w14:paraId="6C2DE382" w14:textId="77777777" w:rsidTr="000B4E2C">
        <w:trPr>
          <w:cantSplit/>
        </w:trPr>
        <w:tc>
          <w:tcPr>
            <w:tcW w:w="0" w:type="auto"/>
            <w:shd w:val="clear" w:color="auto" w:fill="auto"/>
            <w:hideMark/>
          </w:tcPr>
          <w:p w14:paraId="3D721222" w14:textId="7039691B" w:rsidR="00F471F5" w:rsidRPr="000B4E2C" w:rsidRDefault="00F471F5" w:rsidP="00F471F5">
            <w:pPr>
              <w:rPr>
                <w:color w:val="000000"/>
                <w:sz w:val="18"/>
                <w:szCs w:val="18"/>
                <w:lang w:val="en-GB" w:eastAsia="en-GB"/>
              </w:rPr>
            </w:pPr>
            <w:r w:rsidRPr="000B4E2C">
              <w:rPr>
                <w:sz w:val="18"/>
                <w:szCs w:val="18"/>
                <w:lang w:val="en-GB" w:eastAsia="en-GB"/>
              </w:rPr>
              <w:t>Cantinotti 2012,</w:t>
            </w:r>
            <w:r w:rsidRPr="000B4E2C">
              <w:rPr>
                <w:sz w:val="18"/>
                <w:szCs w:val="18"/>
                <w:vertAlign w:val="superscript"/>
                <w:lang w:val="en-GB" w:eastAsia="en-GB"/>
              </w:rPr>
              <w:t>90</w:t>
            </w:r>
            <w:r w:rsidRPr="000B4E2C">
              <w:rPr>
                <w:sz w:val="18"/>
                <w:szCs w:val="18"/>
                <w:lang w:val="en-GB" w:eastAsia="en-GB"/>
              </w:rPr>
              <w:t xml:space="preserve"> Italy</w:t>
            </w:r>
          </w:p>
        </w:tc>
        <w:tc>
          <w:tcPr>
            <w:tcW w:w="0" w:type="auto"/>
            <w:shd w:val="clear" w:color="auto" w:fill="auto"/>
            <w:hideMark/>
          </w:tcPr>
          <w:p w14:paraId="5C2E6F14"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7B091875" w14:textId="77777777" w:rsidR="000B4E2C" w:rsidRPr="000B4E2C" w:rsidRDefault="00F471F5" w:rsidP="00F471F5">
            <w:pPr>
              <w:rPr>
                <w:sz w:val="18"/>
                <w:szCs w:val="18"/>
                <w:lang w:val="en-GB" w:eastAsia="en-GB"/>
              </w:rPr>
            </w:pPr>
            <w:r w:rsidRPr="000B4E2C">
              <w:rPr>
                <w:sz w:val="18"/>
                <w:szCs w:val="18"/>
                <w:lang w:val="en-GB" w:eastAsia="en-GB"/>
              </w:rPr>
              <w:t>6 months</w:t>
            </w:r>
          </w:p>
          <w:p w14:paraId="4370D97B" w14:textId="38038B70" w:rsidR="00F471F5" w:rsidRPr="000B4E2C" w:rsidRDefault="00F471F5" w:rsidP="00F471F5">
            <w:pPr>
              <w:rPr>
                <w:color w:val="000000"/>
                <w:sz w:val="18"/>
                <w:szCs w:val="18"/>
                <w:lang w:val="en-GB" w:eastAsia="en-GB"/>
              </w:rPr>
            </w:pPr>
            <w:r w:rsidRPr="000B4E2C">
              <w:rPr>
                <w:sz w:val="18"/>
                <w:szCs w:val="18"/>
                <w:lang w:val="en-GB" w:eastAsia="en-GB"/>
              </w:rPr>
              <w:t>(1, 49)</w:t>
            </w:r>
          </w:p>
        </w:tc>
        <w:tc>
          <w:tcPr>
            <w:tcW w:w="0" w:type="auto"/>
            <w:shd w:val="clear" w:color="auto" w:fill="auto"/>
            <w:hideMark/>
          </w:tcPr>
          <w:p w14:paraId="5B541D39" w14:textId="77777777" w:rsidR="00F471F5" w:rsidRPr="000B4E2C" w:rsidRDefault="00F471F5" w:rsidP="00F471F5">
            <w:pPr>
              <w:rPr>
                <w:color w:val="000000"/>
                <w:sz w:val="18"/>
                <w:szCs w:val="18"/>
                <w:lang w:val="en-GB" w:eastAsia="en-GB"/>
              </w:rPr>
            </w:pPr>
            <w:r w:rsidRPr="000B4E2C">
              <w:rPr>
                <w:sz w:val="18"/>
                <w:szCs w:val="18"/>
                <w:lang w:val="en-GB" w:eastAsia="en-GB"/>
              </w:rPr>
              <w:t>135</w:t>
            </w:r>
          </w:p>
        </w:tc>
        <w:tc>
          <w:tcPr>
            <w:tcW w:w="0" w:type="auto"/>
            <w:shd w:val="clear" w:color="auto" w:fill="auto"/>
            <w:hideMark/>
          </w:tcPr>
          <w:p w14:paraId="44F1EFDE" w14:textId="77777777" w:rsidR="00F471F5" w:rsidRPr="000B4E2C" w:rsidRDefault="00F471F5" w:rsidP="00F471F5">
            <w:pPr>
              <w:rPr>
                <w:color w:val="000000"/>
                <w:sz w:val="18"/>
                <w:szCs w:val="18"/>
                <w:lang w:val="en-GB" w:eastAsia="en-GB"/>
              </w:rPr>
            </w:pPr>
            <w:r w:rsidRPr="000B4E2C">
              <w:rPr>
                <w:sz w:val="18"/>
                <w:szCs w:val="18"/>
                <w:lang w:val="en-GB" w:eastAsia="en-GB"/>
              </w:rPr>
              <w:t>52</w:t>
            </w:r>
          </w:p>
        </w:tc>
        <w:tc>
          <w:tcPr>
            <w:tcW w:w="0" w:type="auto"/>
            <w:shd w:val="clear" w:color="auto" w:fill="auto"/>
            <w:hideMark/>
          </w:tcPr>
          <w:p w14:paraId="108C0186" w14:textId="77777777" w:rsidR="00F471F5" w:rsidRPr="000B4E2C" w:rsidRDefault="00F471F5" w:rsidP="00F471F5">
            <w:pPr>
              <w:rPr>
                <w:color w:val="000000"/>
                <w:sz w:val="18"/>
                <w:szCs w:val="18"/>
                <w:lang w:val="en-GB" w:eastAsia="en-GB"/>
              </w:rPr>
            </w:pPr>
            <w:r w:rsidRPr="000B4E2C">
              <w:rPr>
                <w:bCs/>
                <w:sz w:val="18"/>
                <w:szCs w:val="18"/>
                <w:lang w:eastAsia="en-GB"/>
              </w:rPr>
              <w:t>RIFLE</w:t>
            </w:r>
          </w:p>
        </w:tc>
        <w:tc>
          <w:tcPr>
            <w:tcW w:w="0" w:type="auto"/>
            <w:shd w:val="clear" w:color="auto" w:fill="auto"/>
            <w:hideMark/>
          </w:tcPr>
          <w:p w14:paraId="66233E67" w14:textId="77777777" w:rsidR="00F471F5" w:rsidRPr="000B4E2C" w:rsidRDefault="00F471F5" w:rsidP="00F471F5">
            <w:pPr>
              <w:rPr>
                <w:color w:val="000000"/>
                <w:sz w:val="18"/>
                <w:szCs w:val="18"/>
                <w:lang w:val="en-GB" w:eastAsia="en-GB"/>
              </w:rPr>
            </w:pPr>
            <w:r w:rsidRPr="000B4E2C">
              <w:rPr>
                <w:sz w:val="18"/>
                <w:szCs w:val="18"/>
                <w:lang w:val="en-GB" w:eastAsia="en-GB"/>
              </w:rPr>
              <w:t>58%</w:t>
            </w:r>
          </w:p>
        </w:tc>
        <w:tc>
          <w:tcPr>
            <w:tcW w:w="0" w:type="auto"/>
            <w:shd w:val="clear" w:color="auto" w:fill="auto"/>
            <w:hideMark/>
          </w:tcPr>
          <w:p w14:paraId="711DF59E"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2564A66F"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2151C9DE"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9B9FF72"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4F89A24A" w14:textId="3F15DE7D" w:rsidR="00F471F5" w:rsidRPr="000B4E2C" w:rsidRDefault="00F471F5" w:rsidP="00F471F5">
            <w:pPr>
              <w:rPr>
                <w:color w:val="000000"/>
                <w:sz w:val="18"/>
                <w:szCs w:val="18"/>
                <w:lang w:val="en-GB" w:eastAsia="en-GB"/>
              </w:rPr>
            </w:pPr>
            <w:r w:rsidRPr="000B4E2C">
              <w:rPr>
                <w:sz w:val="18"/>
                <w:szCs w:val="18"/>
                <w:lang w:val="en-GB" w:eastAsia="en-GB"/>
              </w:rPr>
              <w:t>All patients undergoing cardiac surgery for correction</w:t>
            </w:r>
            <w:r w:rsidR="000B4E2C" w:rsidRPr="000B4E2C">
              <w:rPr>
                <w:color w:val="00B0F0"/>
                <w:sz w:val="18"/>
                <w:szCs w:val="18"/>
                <w:lang w:val="en-GB" w:eastAsia="en-GB"/>
              </w:rPr>
              <w:t>/</w:t>
            </w:r>
            <w:r w:rsidRPr="000B4E2C">
              <w:rPr>
                <w:sz w:val="18"/>
                <w:szCs w:val="18"/>
                <w:lang w:val="en-GB" w:eastAsia="en-GB"/>
              </w:rPr>
              <w:t>palliation of congenital heart defects</w:t>
            </w:r>
          </w:p>
        </w:tc>
        <w:tc>
          <w:tcPr>
            <w:tcW w:w="0" w:type="auto"/>
            <w:shd w:val="clear" w:color="auto" w:fill="auto"/>
            <w:hideMark/>
          </w:tcPr>
          <w:p w14:paraId="6E23BD9B" w14:textId="77777777" w:rsidR="00F471F5" w:rsidRPr="000B4E2C" w:rsidRDefault="00F471F5" w:rsidP="00F471F5">
            <w:pPr>
              <w:rPr>
                <w:sz w:val="18"/>
                <w:szCs w:val="18"/>
                <w:lang w:val="en-GB" w:eastAsia="en-GB"/>
              </w:rPr>
            </w:pPr>
            <w:r w:rsidRPr="000B4E2C">
              <w:rPr>
                <w:sz w:val="18"/>
                <w:szCs w:val="18"/>
                <w:lang w:val="en-GB" w:eastAsia="en-GB"/>
              </w:rPr>
              <w:t>History of prior renal transplantation or dialysis requirements</w:t>
            </w:r>
          </w:p>
        </w:tc>
      </w:tr>
      <w:tr w:rsidR="000B4E2C" w:rsidRPr="000B4E2C" w14:paraId="02175693" w14:textId="77777777" w:rsidTr="000B4E2C">
        <w:trPr>
          <w:cantSplit/>
        </w:trPr>
        <w:tc>
          <w:tcPr>
            <w:tcW w:w="0" w:type="auto"/>
            <w:shd w:val="clear" w:color="auto" w:fill="auto"/>
            <w:hideMark/>
          </w:tcPr>
          <w:p w14:paraId="377DEA56" w14:textId="380047D0" w:rsidR="00F471F5" w:rsidRPr="000B4E2C" w:rsidRDefault="00F471F5" w:rsidP="00510A3C">
            <w:pPr>
              <w:rPr>
                <w:color w:val="000000"/>
                <w:sz w:val="18"/>
                <w:szCs w:val="18"/>
                <w:lang w:val="en-GB" w:eastAsia="en-GB"/>
              </w:rPr>
            </w:pPr>
            <w:r w:rsidRPr="000B4E2C">
              <w:rPr>
                <w:sz w:val="18"/>
                <w:szCs w:val="18"/>
                <w:lang w:val="en-GB" w:eastAsia="en-GB"/>
              </w:rPr>
              <w:t>Alcaraz 2014,</w:t>
            </w:r>
            <w:r w:rsidR="00510A3C" w:rsidRPr="000B4E2C">
              <w:rPr>
                <w:sz w:val="18"/>
                <w:szCs w:val="18"/>
                <w:vertAlign w:val="superscript"/>
                <w:lang w:val="en-GB" w:eastAsia="en-GB"/>
              </w:rPr>
              <w:t>91</w:t>
            </w:r>
            <w:r w:rsidRPr="000B4E2C">
              <w:rPr>
                <w:sz w:val="18"/>
                <w:szCs w:val="18"/>
                <w:lang w:val="en-GB" w:eastAsia="en-GB"/>
              </w:rPr>
              <w:t xml:space="preserve"> Spain</w:t>
            </w:r>
          </w:p>
        </w:tc>
        <w:tc>
          <w:tcPr>
            <w:tcW w:w="0" w:type="auto"/>
            <w:shd w:val="clear" w:color="auto" w:fill="auto"/>
            <w:hideMark/>
          </w:tcPr>
          <w:p w14:paraId="7493C5AC"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64134EEB" w14:textId="77777777" w:rsidR="00F471F5" w:rsidRPr="000B4E2C" w:rsidRDefault="00F471F5" w:rsidP="00F471F5">
            <w:pPr>
              <w:rPr>
                <w:sz w:val="18"/>
                <w:szCs w:val="18"/>
                <w:lang w:val="en-GB" w:eastAsia="en-GB"/>
              </w:rPr>
            </w:pPr>
            <w:r w:rsidRPr="000B4E2C">
              <w:rPr>
                <w:sz w:val="18"/>
                <w:szCs w:val="18"/>
                <w:lang w:val="en-GB" w:eastAsia="en-GB"/>
              </w:rPr>
              <w:t>25 months</w:t>
            </w:r>
          </w:p>
          <w:p w14:paraId="53C77BE4" w14:textId="1AA7C128" w:rsidR="00F471F5" w:rsidRPr="000B4E2C" w:rsidRDefault="00F471F5" w:rsidP="00F471F5">
            <w:pPr>
              <w:rPr>
                <w:color w:val="000000"/>
                <w:sz w:val="18"/>
                <w:szCs w:val="18"/>
                <w:lang w:val="en-GB" w:eastAsia="en-GB"/>
              </w:rPr>
            </w:pPr>
            <w:r w:rsidRPr="000B4E2C">
              <w:rPr>
                <w:sz w:val="18"/>
                <w:szCs w:val="18"/>
                <w:lang w:val="en-GB" w:eastAsia="en-GB"/>
              </w:rPr>
              <w:t>(6.0</w:t>
            </w:r>
            <w:r w:rsidR="000B4E2C" w:rsidRPr="000B4E2C">
              <w:rPr>
                <w:color w:val="00B0F0"/>
                <w:sz w:val="18"/>
                <w:szCs w:val="18"/>
                <w:lang w:val="en-GB" w:eastAsia="en-GB"/>
              </w:rPr>
              <w:t>–</w:t>
            </w:r>
            <w:r w:rsidR="000B4E2C" w:rsidRPr="000B4E2C">
              <w:rPr>
                <w:color w:val="00B0F0"/>
                <w:sz w:val="18"/>
                <w:szCs w:val="18"/>
                <w:lang w:val="en-GB" w:eastAsia="en-GB"/>
              </w:rPr>
              <w:t>7</w:t>
            </w:r>
            <w:r w:rsidRPr="000B4E2C">
              <w:rPr>
                <w:sz w:val="18"/>
                <w:szCs w:val="18"/>
                <w:lang w:val="en-GB" w:eastAsia="en-GB"/>
              </w:rPr>
              <w:t>2.0)</w:t>
            </w:r>
          </w:p>
        </w:tc>
        <w:tc>
          <w:tcPr>
            <w:tcW w:w="0" w:type="auto"/>
            <w:shd w:val="clear" w:color="auto" w:fill="auto"/>
            <w:hideMark/>
          </w:tcPr>
          <w:p w14:paraId="26E8B099" w14:textId="77777777" w:rsidR="00F471F5" w:rsidRPr="000B4E2C" w:rsidRDefault="00F471F5" w:rsidP="00F471F5">
            <w:pPr>
              <w:rPr>
                <w:color w:val="000000"/>
                <w:sz w:val="18"/>
                <w:szCs w:val="18"/>
                <w:lang w:val="en-GB" w:eastAsia="en-GB"/>
              </w:rPr>
            </w:pPr>
            <w:r w:rsidRPr="000B4E2C">
              <w:rPr>
                <w:sz w:val="18"/>
                <w:szCs w:val="18"/>
                <w:lang w:val="en-GB" w:eastAsia="en-GB"/>
              </w:rPr>
              <w:t>106</w:t>
            </w:r>
          </w:p>
        </w:tc>
        <w:tc>
          <w:tcPr>
            <w:tcW w:w="0" w:type="auto"/>
            <w:shd w:val="clear" w:color="auto" w:fill="auto"/>
            <w:hideMark/>
          </w:tcPr>
          <w:p w14:paraId="47CB9E18" w14:textId="77777777" w:rsidR="00F471F5" w:rsidRPr="000B4E2C" w:rsidRDefault="00F471F5" w:rsidP="00F471F5">
            <w:pPr>
              <w:rPr>
                <w:color w:val="000000"/>
                <w:sz w:val="18"/>
                <w:szCs w:val="18"/>
                <w:lang w:val="en-GB" w:eastAsia="en-GB"/>
              </w:rPr>
            </w:pPr>
            <w:r w:rsidRPr="000B4E2C">
              <w:rPr>
                <w:sz w:val="18"/>
                <w:szCs w:val="18"/>
                <w:lang w:val="en-GB" w:eastAsia="en-GB"/>
              </w:rPr>
              <w:t>36</w:t>
            </w:r>
          </w:p>
        </w:tc>
        <w:tc>
          <w:tcPr>
            <w:tcW w:w="0" w:type="auto"/>
            <w:shd w:val="clear" w:color="auto" w:fill="auto"/>
            <w:hideMark/>
          </w:tcPr>
          <w:p w14:paraId="697CE79E" w14:textId="77777777" w:rsidR="00F471F5" w:rsidRPr="000B4E2C" w:rsidRDefault="00F471F5" w:rsidP="00F471F5">
            <w:pPr>
              <w:rPr>
                <w:sz w:val="18"/>
                <w:szCs w:val="18"/>
                <w:lang w:val="en-GB" w:eastAsia="en-GB"/>
              </w:rPr>
            </w:pPr>
            <w:r w:rsidRPr="000B4E2C">
              <w:rPr>
                <w:sz w:val="18"/>
                <w:szCs w:val="18"/>
                <w:lang w:val="en-GB" w:eastAsia="en-GB"/>
              </w:rPr>
              <w:t>Paediatric</w:t>
            </w:r>
          </w:p>
          <w:p w14:paraId="77CE7DA0" w14:textId="77777777" w:rsidR="00F471F5" w:rsidRPr="000B4E2C" w:rsidRDefault="00F471F5" w:rsidP="00F471F5">
            <w:pPr>
              <w:rPr>
                <w:color w:val="000000"/>
                <w:sz w:val="18"/>
                <w:szCs w:val="18"/>
                <w:lang w:val="en-GB" w:eastAsia="en-GB"/>
              </w:rPr>
            </w:pPr>
            <w:r w:rsidRPr="000B4E2C">
              <w:rPr>
                <w:sz w:val="18"/>
                <w:szCs w:val="18"/>
                <w:lang w:val="en-GB" w:eastAsia="en-GB"/>
              </w:rPr>
              <w:t>RIFLE criteria</w:t>
            </w:r>
          </w:p>
        </w:tc>
        <w:tc>
          <w:tcPr>
            <w:tcW w:w="0" w:type="auto"/>
            <w:shd w:val="clear" w:color="auto" w:fill="auto"/>
            <w:hideMark/>
          </w:tcPr>
          <w:p w14:paraId="47B64C2D" w14:textId="77777777" w:rsidR="00F471F5" w:rsidRPr="000B4E2C" w:rsidRDefault="00F471F5" w:rsidP="00F471F5">
            <w:pPr>
              <w:rPr>
                <w:color w:val="000000"/>
                <w:sz w:val="18"/>
                <w:szCs w:val="18"/>
                <w:lang w:val="en-GB" w:eastAsia="en-GB"/>
              </w:rPr>
            </w:pPr>
            <w:r w:rsidRPr="000B4E2C">
              <w:rPr>
                <w:sz w:val="18"/>
                <w:szCs w:val="18"/>
                <w:lang w:val="en-GB" w:eastAsia="en-GB"/>
              </w:rPr>
              <w:t>59%</w:t>
            </w:r>
          </w:p>
        </w:tc>
        <w:tc>
          <w:tcPr>
            <w:tcW w:w="0" w:type="auto"/>
            <w:shd w:val="clear" w:color="auto" w:fill="auto"/>
            <w:hideMark/>
          </w:tcPr>
          <w:p w14:paraId="3795274D"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70117D5A"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A02D15D"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0926DDBE"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3315664A" w14:textId="77777777" w:rsidR="00F471F5" w:rsidRPr="000B4E2C" w:rsidRDefault="00F471F5" w:rsidP="00F471F5">
            <w:pPr>
              <w:rPr>
                <w:color w:val="000000"/>
                <w:sz w:val="18"/>
                <w:szCs w:val="18"/>
                <w:lang w:val="en-GB" w:eastAsia="en-GB"/>
              </w:rPr>
            </w:pPr>
            <w:r w:rsidRPr="000B4E2C">
              <w:rPr>
                <w:sz w:val="18"/>
                <w:szCs w:val="18"/>
                <w:lang w:val="en-GB" w:eastAsia="en-GB"/>
              </w:rPr>
              <w:t>Cardiac surgery for congenital lesions</w:t>
            </w:r>
          </w:p>
        </w:tc>
        <w:tc>
          <w:tcPr>
            <w:tcW w:w="0" w:type="auto"/>
            <w:shd w:val="clear" w:color="auto" w:fill="auto"/>
            <w:hideMark/>
          </w:tcPr>
          <w:p w14:paraId="5701FB6D" w14:textId="77777777" w:rsidR="00F471F5" w:rsidRPr="000B4E2C" w:rsidRDefault="00F471F5" w:rsidP="00F471F5">
            <w:pPr>
              <w:rPr>
                <w:sz w:val="18"/>
                <w:szCs w:val="18"/>
                <w:lang w:val="en-GB" w:eastAsia="en-GB"/>
              </w:rPr>
            </w:pPr>
            <w:r w:rsidRPr="000B4E2C">
              <w:rPr>
                <w:sz w:val="18"/>
                <w:szCs w:val="18"/>
                <w:lang w:val="en-GB" w:eastAsia="en-GB"/>
              </w:rPr>
              <w:t>Pre-existing renal dysfunction and heart transplantation</w:t>
            </w:r>
          </w:p>
        </w:tc>
      </w:tr>
      <w:tr w:rsidR="000B4E2C" w:rsidRPr="000B4E2C" w14:paraId="49B97784" w14:textId="77777777" w:rsidTr="000B4E2C">
        <w:trPr>
          <w:cantSplit/>
        </w:trPr>
        <w:tc>
          <w:tcPr>
            <w:tcW w:w="0" w:type="auto"/>
            <w:shd w:val="clear" w:color="auto" w:fill="auto"/>
            <w:hideMark/>
          </w:tcPr>
          <w:p w14:paraId="5460EDF0" w14:textId="47F0A8A2" w:rsidR="00F471F5" w:rsidRPr="000B4E2C" w:rsidRDefault="00F471F5" w:rsidP="00510A3C">
            <w:pPr>
              <w:rPr>
                <w:color w:val="000000"/>
                <w:sz w:val="18"/>
                <w:szCs w:val="18"/>
                <w:lang w:val="en-GB" w:eastAsia="en-GB"/>
              </w:rPr>
            </w:pPr>
            <w:r w:rsidRPr="000B4E2C">
              <w:rPr>
                <w:sz w:val="18"/>
                <w:szCs w:val="18"/>
                <w:lang w:val="en-GB" w:eastAsia="en-GB"/>
              </w:rPr>
              <w:lastRenderedPageBreak/>
              <w:t>Lagos-Arevalo 2015,</w:t>
            </w:r>
            <w:r w:rsidR="00510A3C" w:rsidRPr="000B4E2C">
              <w:rPr>
                <w:sz w:val="18"/>
                <w:szCs w:val="18"/>
                <w:vertAlign w:val="superscript"/>
                <w:lang w:val="en-GB" w:eastAsia="en-GB"/>
              </w:rPr>
              <w:t>95</w:t>
            </w:r>
            <w:r w:rsidRPr="000B4E2C">
              <w:rPr>
                <w:sz w:val="18"/>
                <w:szCs w:val="18"/>
                <w:lang w:val="en-GB" w:eastAsia="en-GB"/>
              </w:rPr>
              <w:t xml:space="preserve"> Canada</w:t>
            </w:r>
          </w:p>
        </w:tc>
        <w:tc>
          <w:tcPr>
            <w:tcW w:w="0" w:type="auto"/>
            <w:shd w:val="clear" w:color="auto" w:fill="auto"/>
            <w:hideMark/>
          </w:tcPr>
          <w:p w14:paraId="2594F44C" w14:textId="77777777" w:rsidR="00F471F5" w:rsidRPr="000B4E2C" w:rsidRDefault="00F471F5" w:rsidP="00F471F5">
            <w:pPr>
              <w:rPr>
                <w:color w:val="000000"/>
                <w:sz w:val="18"/>
                <w:szCs w:val="18"/>
                <w:lang w:val="en-GB" w:eastAsia="en-GB"/>
              </w:rPr>
            </w:pPr>
            <w:r w:rsidRPr="000B4E2C">
              <w:rPr>
                <w:sz w:val="18"/>
                <w:szCs w:val="18"/>
                <w:lang w:val="en-GB" w:eastAsia="en-GB"/>
              </w:rPr>
              <w:t>uNGAL, BioPorto</w:t>
            </w:r>
          </w:p>
        </w:tc>
        <w:tc>
          <w:tcPr>
            <w:tcW w:w="0" w:type="auto"/>
            <w:shd w:val="clear" w:color="auto" w:fill="auto"/>
            <w:hideMark/>
          </w:tcPr>
          <w:p w14:paraId="5E6CC580" w14:textId="77777777" w:rsidR="00F471F5" w:rsidRPr="000B4E2C" w:rsidRDefault="00F471F5" w:rsidP="00F471F5">
            <w:pPr>
              <w:rPr>
                <w:sz w:val="18"/>
                <w:szCs w:val="18"/>
                <w:lang w:val="en-GB" w:eastAsia="en-GB"/>
              </w:rPr>
            </w:pPr>
            <w:r w:rsidRPr="000B4E2C">
              <w:rPr>
                <w:sz w:val="18"/>
                <w:szCs w:val="18"/>
                <w:lang w:val="en-GB" w:eastAsia="en-GB"/>
              </w:rPr>
              <w:t>SCr-AKI</w:t>
            </w:r>
          </w:p>
          <w:p w14:paraId="0DE19AB1" w14:textId="77777777" w:rsidR="00F471F5" w:rsidRPr="000B4E2C" w:rsidRDefault="00F471F5" w:rsidP="00F471F5">
            <w:pPr>
              <w:rPr>
                <w:sz w:val="18"/>
                <w:szCs w:val="18"/>
                <w:lang w:val="en-GB" w:eastAsia="en-GB"/>
              </w:rPr>
            </w:pPr>
            <w:r w:rsidRPr="000B4E2C">
              <w:rPr>
                <w:sz w:val="18"/>
                <w:szCs w:val="18"/>
                <w:lang w:val="en-GB" w:eastAsia="en-GB"/>
              </w:rPr>
              <w:t>4.0 years</w:t>
            </w:r>
          </w:p>
          <w:p w14:paraId="35317E2D" w14:textId="77777777" w:rsidR="000B4E2C" w:rsidRPr="000B4E2C" w:rsidRDefault="00F471F5" w:rsidP="00F471F5">
            <w:pPr>
              <w:rPr>
                <w:sz w:val="18"/>
                <w:szCs w:val="18"/>
                <w:lang w:val="en-GB" w:eastAsia="en-GB"/>
              </w:rPr>
            </w:pPr>
            <w:r w:rsidRPr="000B4E2C">
              <w:rPr>
                <w:sz w:val="18"/>
                <w:szCs w:val="18"/>
                <w:lang w:val="en-GB" w:eastAsia="en-GB"/>
              </w:rPr>
              <w:t>(5);</w:t>
            </w:r>
          </w:p>
          <w:p w14:paraId="26079F37" w14:textId="26FC395D" w:rsidR="00F471F5" w:rsidRPr="000B4E2C" w:rsidRDefault="00F471F5" w:rsidP="00F471F5">
            <w:pPr>
              <w:rPr>
                <w:sz w:val="18"/>
                <w:szCs w:val="18"/>
                <w:lang w:val="en-GB" w:eastAsia="en-GB"/>
              </w:rPr>
            </w:pPr>
            <w:r w:rsidRPr="000B4E2C">
              <w:rPr>
                <w:sz w:val="18"/>
                <w:szCs w:val="18"/>
                <w:lang w:val="en-GB" w:eastAsia="en-GB"/>
              </w:rPr>
              <w:t>No SCr-AKI</w:t>
            </w:r>
          </w:p>
          <w:p w14:paraId="0D73D5F4" w14:textId="77777777" w:rsidR="00F471F5" w:rsidRPr="000B4E2C" w:rsidRDefault="00F471F5" w:rsidP="00F471F5">
            <w:pPr>
              <w:rPr>
                <w:sz w:val="18"/>
                <w:szCs w:val="18"/>
                <w:lang w:val="en-GB" w:eastAsia="en-GB"/>
              </w:rPr>
            </w:pPr>
            <w:r w:rsidRPr="000B4E2C">
              <w:rPr>
                <w:sz w:val="18"/>
                <w:szCs w:val="18"/>
                <w:lang w:val="en-GB" w:eastAsia="en-GB"/>
              </w:rPr>
              <w:t>5.0 years</w:t>
            </w:r>
          </w:p>
          <w:p w14:paraId="2FE3A45E" w14:textId="77777777" w:rsidR="00F471F5" w:rsidRPr="000B4E2C" w:rsidRDefault="00F471F5" w:rsidP="00F471F5">
            <w:pPr>
              <w:rPr>
                <w:color w:val="000000"/>
                <w:sz w:val="18"/>
                <w:szCs w:val="18"/>
                <w:lang w:val="en-GB" w:eastAsia="en-GB"/>
              </w:rPr>
            </w:pPr>
            <w:r w:rsidRPr="000B4E2C">
              <w:rPr>
                <w:sz w:val="18"/>
                <w:szCs w:val="18"/>
                <w:lang w:val="en-GB" w:eastAsia="en-GB"/>
              </w:rPr>
              <w:t xml:space="preserve">(6) </w:t>
            </w:r>
          </w:p>
        </w:tc>
        <w:tc>
          <w:tcPr>
            <w:tcW w:w="0" w:type="auto"/>
            <w:shd w:val="clear" w:color="auto" w:fill="auto"/>
            <w:hideMark/>
          </w:tcPr>
          <w:p w14:paraId="4B2582DD" w14:textId="77777777" w:rsidR="00F471F5" w:rsidRPr="000B4E2C" w:rsidRDefault="00F471F5" w:rsidP="00F471F5">
            <w:pPr>
              <w:rPr>
                <w:color w:val="000000"/>
                <w:sz w:val="18"/>
                <w:szCs w:val="18"/>
                <w:lang w:val="en-GB" w:eastAsia="en-GB"/>
              </w:rPr>
            </w:pPr>
            <w:r w:rsidRPr="000B4E2C">
              <w:rPr>
                <w:sz w:val="18"/>
                <w:szCs w:val="18"/>
                <w:lang w:val="en-GB" w:eastAsia="en-GB"/>
              </w:rPr>
              <w:t>160</w:t>
            </w:r>
          </w:p>
        </w:tc>
        <w:tc>
          <w:tcPr>
            <w:tcW w:w="0" w:type="auto"/>
            <w:shd w:val="clear" w:color="auto" w:fill="auto"/>
            <w:hideMark/>
          </w:tcPr>
          <w:p w14:paraId="791A3485" w14:textId="77777777" w:rsidR="00F471F5" w:rsidRPr="000B4E2C" w:rsidRDefault="00F471F5" w:rsidP="00F471F5">
            <w:pPr>
              <w:rPr>
                <w:color w:val="000000"/>
                <w:sz w:val="18"/>
                <w:szCs w:val="18"/>
                <w:lang w:val="en-GB" w:eastAsia="en-GB"/>
              </w:rPr>
            </w:pPr>
            <w:r w:rsidRPr="000B4E2C">
              <w:rPr>
                <w:sz w:val="18"/>
                <w:szCs w:val="18"/>
                <w:lang w:val="en-GB" w:eastAsia="en-GB"/>
              </w:rPr>
              <w:t>70</w:t>
            </w:r>
          </w:p>
        </w:tc>
        <w:tc>
          <w:tcPr>
            <w:tcW w:w="0" w:type="auto"/>
            <w:shd w:val="clear" w:color="auto" w:fill="auto"/>
            <w:hideMark/>
          </w:tcPr>
          <w:p w14:paraId="7D5DC328" w14:textId="77777777" w:rsidR="00F471F5" w:rsidRPr="000B4E2C" w:rsidRDefault="00F471F5" w:rsidP="00F471F5">
            <w:pPr>
              <w:rPr>
                <w:color w:val="000000"/>
                <w:sz w:val="18"/>
                <w:szCs w:val="18"/>
                <w:lang w:val="en-GB" w:eastAsia="en-GB"/>
              </w:rPr>
            </w:pPr>
            <w:r w:rsidRPr="000B4E2C">
              <w:rPr>
                <w:sz w:val="18"/>
                <w:szCs w:val="18"/>
                <w:lang w:val="en-GB" w:eastAsia="en-GB"/>
              </w:rPr>
              <w:t>KDIGO</w:t>
            </w:r>
          </w:p>
        </w:tc>
        <w:tc>
          <w:tcPr>
            <w:tcW w:w="0" w:type="auto"/>
            <w:shd w:val="clear" w:color="auto" w:fill="auto"/>
            <w:hideMark/>
          </w:tcPr>
          <w:p w14:paraId="1114C4A7"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4C8FC87"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0D8CBA49"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6AD343EE"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45E1F141"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07F124C1" w14:textId="77777777" w:rsidR="00F471F5" w:rsidRPr="000B4E2C" w:rsidRDefault="00F471F5" w:rsidP="00F471F5">
            <w:pPr>
              <w:rPr>
                <w:color w:val="000000"/>
                <w:sz w:val="18"/>
                <w:szCs w:val="18"/>
                <w:lang w:val="en-GB" w:eastAsia="en-GB"/>
              </w:rPr>
            </w:pPr>
            <w:r w:rsidRPr="000B4E2C">
              <w:rPr>
                <w:sz w:val="18"/>
                <w:szCs w:val="18"/>
                <w:lang w:val="en-GB" w:eastAsia="en-GB"/>
              </w:rPr>
              <w:t>Children between 1 month and 18 years old who were not immediately post-operative from cardiac surgery admitted to PICU</w:t>
            </w:r>
          </w:p>
        </w:tc>
        <w:tc>
          <w:tcPr>
            <w:tcW w:w="0" w:type="auto"/>
            <w:shd w:val="clear" w:color="auto" w:fill="auto"/>
            <w:hideMark/>
          </w:tcPr>
          <w:p w14:paraId="491BC74C" w14:textId="2633AABA" w:rsidR="00F471F5" w:rsidRPr="000B4E2C" w:rsidRDefault="00F471F5" w:rsidP="00F471F5">
            <w:pPr>
              <w:rPr>
                <w:sz w:val="18"/>
                <w:szCs w:val="18"/>
                <w:lang w:val="en-GB" w:eastAsia="en-GB"/>
              </w:rPr>
            </w:pPr>
            <w:r w:rsidRPr="000B4E2C">
              <w:rPr>
                <w:sz w:val="18"/>
                <w:szCs w:val="18"/>
                <w:lang w:val="en-GB" w:eastAsia="en-GB"/>
              </w:rPr>
              <w:t>Known end-stage renal disease, having received a renal transplant, a high likelihood of death in the following 4</w:t>
            </w:r>
            <w:r w:rsidR="000B4E2C" w:rsidRPr="000B4E2C">
              <w:rPr>
                <w:color w:val="00B0F0"/>
                <w:sz w:val="18"/>
                <w:szCs w:val="18"/>
                <w:lang w:val="en-GB" w:eastAsia="en-GB"/>
              </w:rPr>
              <w:t>8</w:t>
            </w:r>
            <w:r w:rsidR="000B4E2C" w:rsidRPr="000B4E2C">
              <w:rPr>
                <w:color w:val="00B0F0"/>
                <w:sz w:val="18"/>
                <w:szCs w:val="18"/>
                <w:lang w:val="en-GB" w:eastAsia="en-GB"/>
              </w:rPr>
              <w:t> </w:t>
            </w:r>
            <w:r w:rsidR="000B4E2C" w:rsidRPr="000B4E2C">
              <w:rPr>
                <w:color w:val="00B0F0"/>
                <w:sz w:val="18"/>
                <w:szCs w:val="18"/>
                <w:lang w:val="en-GB" w:eastAsia="en-GB"/>
              </w:rPr>
              <w:t xml:space="preserve">h </w:t>
            </w:r>
            <w:r w:rsidRPr="000B4E2C">
              <w:rPr>
                <w:sz w:val="18"/>
                <w:szCs w:val="18"/>
                <w:lang w:val="en-GB" w:eastAsia="en-GB"/>
              </w:rPr>
              <w:t xml:space="preserve">(determined by the PICU attending staff) and presence of </w:t>
            </w:r>
            <w:r w:rsidR="000B4E2C" w:rsidRPr="000B4E2C">
              <w:rPr>
                <w:color w:val="00B0F0"/>
                <w:sz w:val="18"/>
                <w:szCs w:val="18"/>
                <w:lang w:val="en-GB" w:eastAsia="en-GB"/>
              </w:rPr>
              <w:t>&lt;</w:t>
            </w:r>
            <w:r w:rsidR="000B4E2C" w:rsidRPr="000B4E2C">
              <w:rPr>
                <w:color w:val="00B0F0"/>
                <w:sz w:val="18"/>
                <w:szCs w:val="18"/>
                <w:lang w:val="en-GB" w:eastAsia="en-GB"/>
              </w:rPr>
              <w:t> </w:t>
            </w:r>
            <w:r w:rsidR="000B4E2C" w:rsidRPr="000B4E2C">
              <w:rPr>
                <w:color w:val="00B0F0"/>
                <w:sz w:val="18"/>
                <w:szCs w:val="18"/>
                <w:lang w:val="en-GB" w:eastAsia="en-GB"/>
              </w:rPr>
              <w:t>2</w:t>
            </w:r>
            <w:r w:rsidRPr="000B4E2C">
              <w:rPr>
                <w:sz w:val="18"/>
                <w:szCs w:val="18"/>
                <w:lang w:val="en-GB" w:eastAsia="en-GB"/>
              </w:rPr>
              <w:t>5% of PICU days with both a CysC and a SCr value available (determined by dividing number of available daily values by PICU admission days)</w:t>
            </w:r>
          </w:p>
        </w:tc>
      </w:tr>
      <w:tr w:rsidR="000B4E2C" w:rsidRPr="000B4E2C" w14:paraId="164F3C63" w14:textId="77777777" w:rsidTr="000B4E2C">
        <w:trPr>
          <w:cantSplit/>
        </w:trPr>
        <w:tc>
          <w:tcPr>
            <w:tcW w:w="0" w:type="auto"/>
            <w:shd w:val="clear" w:color="auto" w:fill="auto"/>
            <w:hideMark/>
          </w:tcPr>
          <w:p w14:paraId="6B2AD2AD" w14:textId="5690B564" w:rsidR="00F471F5" w:rsidRPr="000B4E2C" w:rsidRDefault="00F471F5" w:rsidP="00510A3C">
            <w:pPr>
              <w:rPr>
                <w:color w:val="000000"/>
                <w:sz w:val="18"/>
                <w:szCs w:val="18"/>
                <w:lang w:val="en-GB" w:eastAsia="en-GB"/>
              </w:rPr>
            </w:pPr>
            <w:r w:rsidRPr="000B4E2C">
              <w:rPr>
                <w:sz w:val="18"/>
                <w:szCs w:val="18"/>
                <w:lang w:val="en-GB" w:eastAsia="en-GB"/>
              </w:rPr>
              <w:t>Zwiers 2015,</w:t>
            </w:r>
            <w:r w:rsidR="00510A3C" w:rsidRPr="000B4E2C">
              <w:rPr>
                <w:sz w:val="18"/>
                <w:szCs w:val="18"/>
                <w:vertAlign w:val="superscript"/>
                <w:lang w:val="en-GB" w:eastAsia="en-GB"/>
              </w:rPr>
              <w:t>93</w:t>
            </w:r>
            <w:r w:rsidRPr="000B4E2C">
              <w:rPr>
                <w:sz w:val="18"/>
                <w:szCs w:val="18"/>
                <w:lang w:val="en-GB" w:eastAsia="en-GB"/>
              </w:rPr>
              <w:t xml:space="preserve"> Netherlands</w:t>
            </w:r>
          </w:p>
        </w:tc>
        <w:tc>
          <w:tcPr>
            <w:tcW w:w="0" w:type="auto"/>
            <w:shd w:val="clear" w:color="auto" w:fill="auto"/>
            <w:hideMark/>
          </w:tcPr>
          <w:p w14:paraId="64E11AE0"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2AD0F019" w14:textId="77777777" w:rsidR="00F471F5" w:rsidRPr="000B4E2C" w:rsidRDefault="00F471F5" w:rsidP="00F471F5">
            <w:pPr>
              <w:rPr>
                <w:sz w:val="18"/>
                <w:szCs w:val="18"/>
                <w:lang w:val="en-GB" w:eastAsia="en-GB"/>
              </w:rPr>
            </w:pPr>
            <w:r w:rsidRPr="000B4E2C">
              <w:rPr>
                <w:sz w:val="18"/>
                <w:szCs w:val="18"/>
                <w:lang w:val="en-GB" w:eastAsia="en-GB"/>
              </w:rPr>
              <w:t>27</w:t>
            </w:r>
          </w:p>
          <w:p w14:paraId="2C97B810" w14:textId="77777777" w:rsidR="00F471F5" w:rsidRPr="000B4E2C" w:rsidRDefault="00F471F5" w:rsidP="00F471F5">
            <w:pPr>
              <w:rPr>
                <w:color w:val="000000"/>
                <w:sz w:val="18"/>
                <w:szCs w:val="18"/>
                <w:lang w:val="en-GB" w:eastAsia="en-GB"/>
              </w:rPr>
            </w:pPr>
            <w:r w:rsidRPr="000B4E2C">
              <w:rPr>
                <w:sz w:val="18"/>
                <w:szCs w:val="18"/>
                <w:lang w:val="en-GB" w:eastAsia="en-GB"/>
              </w:rPr>
              <w:t>(1, 85) days</w:t>
            </w:r>
          </w:p>
        </w:tc>
        <w:tc>
          <w:tcPr>
            <w:tcW w:w="0" w:type="auto"/>
            <w:shd w:val="clear" w:color="auto" w:fill="auto"/>
            <w:hideMark/>
          </w:tcPr>
          <w:p w14:paraId="537D1481" w14:textId="77777777" w:rsidR="00F471F5" w:rsidRPr="000B4E2C" w:rsidRDefault="00F471F5" w:rsidP="00F471F5">
            <w:pPr>
              <w:rPr>
                <w:color w:val="000000"/>
                <w:sz w:val="18"/>
                <w:szCs w:val="18"/>
                <w:lang w:val="en-GB" w:eastAsia="en-GB"/>
              </w:rPr>
            </w:pPr>
            <w:r w:rsidRPr="000B4E2C">
              <w:rPr>
                <w:sz w:val="18"/>
                <w:szCs w:val="18"/>
                <w:lang w:val="en-GB" w:eastAsia="en-GB"/>
              </w:rPr>
              <w:t>100</w:t>
            </w:r>
          </w:p>
        </w:tc>
        <w:tc>
          <w:tcPr>
            <w:tcW w:w="0" w:type="auto"/>
            <w:shd w:val="clear" w:color="auto" w:fill="auto"/>
            <w:hideMark/>
          </w:tcPr>
          <w:p w14:paraId="008878C7" w14:textId="77777777" w:rsidR="00F471F5" w:rsidRPr="000B4E2C" w:rsidRDefault="00F471F5" w:rsidP="00F471F5">
            <w:pPr>
              <w:rPr>
                <w:color w:val="000000"/>
                <w:sz w:val="18"/>
                <w:szCs w:val="18"/>
                <w:lang w:val="en-GB" w:eastAsia="en-GB"/>
              </w:rPr>
            </w:pPr>
            <w:r w:rsidRPr="000B4E2C">
              <w:rPr>
                <w:sz w:val="18"/>
                <w:szCs w:val="18"/>
                <w:lang w:val="en-GB" w:eastAsia="en-GB"/>
              </w:rPr>
              <w:t>35</w:t>
            </w:r>
          </w:p>
        </w:tc>
        <w:tc>
          <w:tcPr>
            <w:tcW w:w="0" w:type="auto"/>
            <w:shd w:val="clear" w:color="auto" w:fill="auto"/>
            <w:hideMark/>
          </w:tcPr>
          <w:p w14:paraId="0E8E0A97" w14:textId="77777777" w:rsidR="00F471F5" w:rsidRPr="000B4E2C" w:rsidRDefault="00F471F5" w:rsidP="00F471F5">
            <w:pPr>
              <w:rPr>
                <w:color w:val="000000"/>
                <w:sz w:val="18"/>
                <w:szCs w:val="18"/>
                <w:lang w:val="en-GB" w:eastAsia="en-GB"/>
              </w:rPr>
            </w:pPr>
            <w:r w:rsidRPr="000B4E2C">
              <w:rPr>
                <w:sz w:val="18"/>
                <w:szCs w:val="18"/>
                <w:lang w:val="en-GB" w:eastAsia="en-GB"/>
              </w:rPr>
              <w:t>RIFLE</w:t>
            </w:r>
          </w:p>
        </w:tc>
        <w:tc>
          <w:tcPr>
            <w:tcW w:w="0" w:type="auto"/>
            <w:shd w:val="clear" w:color="auto" w:fill="auto"/>
            <w:hideMark/>
          </w:tcPr>
          <w:p w14:paraId="7A390158" w14:textId="77777777" w:rsidR="00F471F5" w:rsidRPr="000B4E2C" w:rsidRDefault="00F471F5" w:rsidP="00F471F5">
            <w:pPr>
              <w:rPr>
                <w:color w:val="000000"/>
                <w:sz w:val="18"/>
                <w:szCs w:val="18"/>
                <w:lang w:val="en-GB" w:eastAsia="en-GB"/>
              </w:rPr>
            </w:pPr>
            <w:r w:rsidRPr="000B4E2C">
              <w:rPr>
                <w:sz w:val="18"/>
                <w:szCs w:val="18"/>
                <w:lang w:val="en-GB" w:eastAsia="en-GB"/>
              </w:rPr>
              <w:t>66%</w:t>
            </w:r>
          </w:p>
        </w:tc>
        <w:tc>
          <w:tcPr>
            <w:tcW w:w="0" w:type="auto"/>
            <w:shd w:val="clear" w:color="auto" w:fill="auto"/>
            <w:hideMark/>
          </w:tcPr>
          <w:p w14:paraId="77F5850A" w14:textId="77777777" w:rsidR="00F471F5" w:rsidRPr="000B4E2C" w:rsidRDefault="00F471F5" w:rsidP="00F471F5">
            <w:pPr>
              <w:rPr>
                <w:color w:val="000000"/>
                <w:sz w:val="18"/>
                <w:szCs w:val="18"/>
                <w:lang w:val="en-GB" w:eastAsia="en-GB"/>
              </w:rPr>
            </w:pPr>
            <w:r w:rsidRPr="000B4E2C">
              <w:rPr>
                <w:sz w:val="18"/>
                <w:szCs w:val="18"/>
                <w:lang w:val="en-GB" w:eastAsia="en-GB"/>
              </w:rPr>
              <w:t>N</w:t>
            </w:r>
          </w:p>
        </w:tc>
        <w:tc>
          <w:tcPr>
            <w:tcW w:w="0" w:type="auto"/>
            <w:shd w:val="clear" w:color="auto" w:fill="auto"/>
            <w:noWrap/>
            <w:hideMark/>
          </w:tcPr>
          <w:p w14:paraId="20FDC0CD"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41DA4F2A"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6F1BDE2A"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1B26DE48" w14:textId="77777777" w:rsidR="00F471F5" w:rsidRPr="000B4E2C" w:rsidRDefault="00F471F5" w:rsidP="00F471F5">
            <w:pPr>
              <w:rPr>
                <w:color w:val="000000"/>
                <w:sz w:val="18"/>
                <w:szCs w:val="18"/>
                <w:lang w:val="en-GB" w:eastAsia="en-GB"/>
              </w:rPr>
            </w:pPr>
            <w:r w:rsidRPr="000B4E2C">
              <w:rPr>
                <w:sz w:val="18"/>
                <w:szCs w:val="18"/>
                <w:lang w:val="en-GB" w:eastAsia="en-GB"/>
              </w:rPr>
              <w:t>Children (</w:t>
            </w:r>
            <w:r w:rsidRPr="000B4E2C">
              <w:rPr>
                <w:sz w:val="18"/>
                <w:szCs w:val="18"/>
                <w:highlight w:val="magenta"/>
                <w:lang w:val="en-GB" w:eastAsia="en-GB"/>
              </w:rPr>
              <w:t>born</w:t>
            </w:r>
            <w:r w:rsidRPr="000B4E2C">
              <w:rPr>
                <w:sz w:val="18"/>
                <w:szCs w:val="18"/>
                <w:lang w:val="en-GB" w:eastAsia="en-GB"/>
              </w:rPr>
              <w:t xml:space="preserve"> later than 37 weeks of gestational age) between the ages of 1 day and 1 year admitted to the ICU and requiring endotracheal intubation and mechanical ventilation.</w:t>
            </w:r>
          </w:p>
        </w:tc>
        <w:tc>
          <w:tcPr>
            <w:tcW w:w="0" w:type="auto"/>
            <w:shd w:val="clear" w:color="auto" w:fill="auto"/>
            <w:hideMark/>
          </w:tcPr>
          <w:p w14:paraId="3D2A2EB9" w14:textId="77777777" w:rsidR="00F471F5" w:rsidRPr="000B4E2C" w:rsidRDefault="00F471F5" w:rsidP="00F471F5">
            <w:pPr>
              <w:rPr>
                <w:sz w:val="18"/>
                <w:szCs w:val="18"/>
                <w:lang w:val="en-GB" w:eastAsia="en-GB"/>
              </w:rPr>
            </w:pPr>
            <w:r w:rsidRPr="000B4E2C">
              <w:rPr>
                <w:sz w:val="18"/>
                <w:szCs w:val="18"/>
                <w:lang w:val="en-GB" w:eastAsia="en-GB"/>
              </w:rPr>
              <w:t>Congenital abnormalities of the kidney or urinary tract, death was anticipated within 24 hours or they received mechanical ventilation for other reasons. Patients were excluded when treatment with extracorporeal membrane oxygenation was required within the study period.</w:t>
            </w:r>
          </w:p>
        </w:tc>
      </w:tr>
      <w:tr w:rsidR="000B4E2C" w:rsidRPr="000B4E2C" w14:paraId="0FDBB0F7" w14:textId="77777777" w:rsidTr="000B4E2C">
        <w:trPr>
          <w:cantSplit/>
        </w:trPr>
        <w:tc>
          <w:tcPr>
            <w:tcW w:w="0" w:type="auto"/>
            <w:shd w:val="clear" w:color="auto" w:fill="auto"/>
            <w:hideMark/>
          </w:tcPr>
          <w:p w14:paraId="78CC58E2" w14:textId="37CCEA73" w:rsidR="00F471F5" w:rsidRPr="000B4E2C" w:rsidRDefault="00F471F5" w:rsidP="00510A3C">
            <w:pPr>
              <w:rPr>
                <w:color w:val="000000"/>
                <w:sz w:val="18"/>
                <w:szCs w:val="18"/>
                <w:lang w:val="en-GB" w:eastAsia="en-GB"/>
              </w:rPr>
            </w:pPr>
            <w:r w:rsidRPr="000B4E2C">
              <w:rPr>
                <w:sz w:val="18"/>
                <w:szCs w:val="18"/>
                <w:lang w:val="en-GB" w:eastAsia="en-GB"/>
              </w:rPr>
              <w:t>Yang 2017,</w:t>
            </w:r>
            <w:r w:rsidR="00510A3C" w:rsidRPr="000B4E2C">
              <w:rPr>
                <w:sz w:val="18"/>
                <w:szCs w:val="18"/>
                <w:vertAlign w:val="superscript"/>
                <w:lang w:val="en-GB" w:eastAsia="en-GB"/>
              </w:rPr>
              <w:t>67</w:t>
            </w:r>
            <w:r w:rsidRPr="000B4E2C">
              <w:rPr>
                <w:sz w:val="18"/>
                <w:szCs w:val="18"/>
                <w:lang w:val="en-GB" w:eastAsia="en-GB"/>
              </w:rPr>
              <w:t xml:space="preserve"> China</w:t>
            </w:r>
          </w:p>
        </w:tc>
        <w:tc>
          <w:tcPr>
            <w:tcW w:w="0" w:type="auto"/>
            <w:shd w:val="clear" w:color="auto" w:fill="auto"/>
            <w:hideMark/>
          </w:tcPr>
          <w:p w14:paraId="527ADBC6" w14:textId="77777777" w:rsidR="00F471F5" w:rsidRPr="000B4E2C" w:rsidRDefault="00F471F5" w:rsidP="00F471F5">
            <w:pPr>
              <w:rPr>
                <w:color w:val="000000"/>
                <w:sz w:val="18"/>
                <w:szCs w:val="18"/>
                <w:lang w:val="en-GB" w:eastAsia="en-GB"/>
              </w:rPr>
            </w:pPr>
            <w:r w:rsidRPr="000B4E2C">
              <w:rPr>
                <w:sz w:val="18"/>
                <w:szCs w:val="18"/>
                <w:lang w:val="en-GB" w:eastAsia="en-GB"/>
              </w:rPr>
              <w:t>uNGAL, BioPorto</w:t>
            </w:r>
          </w:p>
        </w:tc>
        <w:tc>
          <w:tcPr>
            <w:tcW w:w="0" w:type="auto"/>
            <w:shd w:val="clear" w:color="auto" w:fill="auto"/>
            <w:hideMark/>
          </w:tcPr>
          <w:p w14:paraId="4E4E1691" w14:textId="77777777" w:rsidR="00F471F5" w:rsidRPr="000B4E2C" w:rsidRDefault="00F471F5" w:rsidP="00F471F5">
            <w:pPr>
              <w:rPr>
                <w:sz w:val="18"/>
                <w:szCs w:val="18"/>
                <w:lang w:val="en-GB" w:eastAsia="en-GB"/>
              </w:rPr>
            </w:pPr>
            <w:r w:rsidRPr="000B4E2C">
              <w:rPr>
                <w:sz w:val="18"/>
                <w:szCs w:val="18"/>
                <w:lang w:val="en-GB" w:eastAsia="en-GB"/>
              </w:rPr>
              <w:t>C:</w:t>
            </w:r>
          </w:p>
          <w:p w14:paraId="24C49823" w14:textId="77777777" w:rsidR="00F471F5" w:rsidRPr="000B4E2C" w:rsidRDefault="00F471F5" w:rsidP="00F471F5">
            <w:pPr>
              <w:rPr>
                <w:sz w:val="18"/>
                <w:szCs w:val="18"/>
                <w:lang w:val="en-GB" w:eastAsia="en-GB"/>
              </w:rPr>
            </w:pPr>
            <w:r w:rsidRPr="000B4E2C">
              <w:rPr>
                <w:sz w:val="18"/>
                <w:szCs w:val="18"/>
                <w:lang w:val="en-GB" w:eastAsia="en-GB"/>
              </w:rPr>
              <w:t>22 months</w:t>
            </w:r>
          </w:p>
          <w:p w14:paraId="27E69D28" w14:textId="77777777" w:rsidR="000B4E2C" w:rsidRPr="000B4E2C" w:rsidRDefault="00F471F5" w:rsidP="00F471F5">
            <w:pPr>
              <w:rPr>
                <w:sz w:val="18"/>
                <w:szCs w:val="18"/>
                <w:lang w:val="en-GB" w:eastAsia="en-GB"/>
              </w:rPr>
            </w:pPr>
            <w:r w:rsidRPr="000B4E2C">
              <w:rPr>
                <w:sz w:val="18"/>
                <w:szCs w:val="18"/>
                <w:lang w:val="en-GB" w:eastAsia="en-GB"/>
              </w:rPr>
              <w:t>(31);</w:t>
            </w:r>
          </w:p>
          <w:p w14:paraId="07741051" w14:textId="46C25293" w:rsidR="00F471F5" w:rsidRPr="000B4E2C" w:rsidRDefault="00F471F5" w:rsidP="00F471F5">
            <w:pPr>
              <w:rPr>
                <w:sz w:val="18"/>
                <w:szCs w:val="18"/>
                <w:lang w:val="en-GB" w:eastAsia="en-GB"/>
              </w:rPr>
            </w:pPr>
            <w:r w:rsidRPr="000B4E2C">
              <w:rPr>
                <w:sz w:val="18"/>
                <w:szCs w:val="18"/>
                <w:lang w:val="en-GB" w:eastAsia="en-GB"/>
              </w:rPr>
              <w:t>A:</w:t>
            </w:r>
          </w:p>
          <w:p w14:paraId="0AA2B764" w14:textId="77777777" w:rsidR="00F471F5" w:rsidRPr="000B4E2C" w:rsidRDefault="00F471F5" w:rsidP="00F471F5">
            <w:pPr>
              <w:rPr>
                <w:sz w:val="18"/>
                <w:szCs w:val="18"/>
                <w:lang w:val="en-GB" w:eastAsia="en-GB"/>
              </w:rPr>
            </w:pPr>
            <w:r w:rsidRPr="000B4E2C">
              <w:rPr>
                <w:sz w:val="18"/>
                <w:szCs w:val="18"/>
                <w:lang w:val="en-GB" w:eastAsia="en-GB"/>
              </w:rPr>
              <w:t>46 years</w:t>
            </w:r>
          </w:p>
          <w:p w14:paraId="1F622124" w14:textId="77777777" w:rsidR="00F471F5" w:rsidRPr="000B4E2C" w:rsidRDefault="00F471F5" w:rsidP="00F471F5">
            <w:pPr>
              <w:rPr>
                <w:color w:val="000000"/>
                <w:sz w:val="18"/>
                <w:szCs w:val="18"/>
                <w:lang w:val="en-GB" w:eastAsia="en-GB"/>
              </w:rPr>
            </w:pPr>
            <w:r w:rsidRPr="000B4E2C">
              <w:rPr>
                <w:sz w:val="18"/>
                <w:szCs w:val="18"/>
                <w:lang w:val="en-GB" w:eastAsia="en-GB"/>
              </w:rPr>
              <w:t xml:space="preserve">(15) </w:t>
            </w:r>
          </w:p>
        </w:tc>
        <w:tc>
          <w:tcPr>
            <w:tcW w:w="0" w:type="auto"/>
            <w:shd w:val="clear" w:color="auto" w:fill="auto"/>
            <w:hideMark/>
          </w:tcPr>
          <w:p w14:paraId="73EA031B" w14:textId="77777777" w:rsidR="000B4E2C" w:rsidRPr="000B4E2C" w:rsidRDefault="00F471F5" w:rsidP="00F471F5">
            <w:pPr>
              <w:rPr>
                <w:sz w:val="18"/>
                <w:szCs w:val="18"/>
                <w:lang w:val="en-GB" w:eastAsia="en-GB"/>
              </w:rPr>
            </w:pPr>
            <w:r w:rsidRPr="000B4E2C">
              <w:rPr>
                <w:sz w:val="18"/>
                <w:szCs w:val="18"/>
                <w:lang w:val="en-GB" w:eastAsia="en-GB"/>
              </w:rPr>
              <w:t>C: 323;</w:t>
            </w:r>
          </w:p>
          <w:p w14:paraId="57B8E2B8" w14:textId="5527D382" w:rsidR="00F471F5" w:rsidRPr="000B4E2C" w:rsidRDefault="00F471F5" w:rsidP="00F471F5">
            <w:pPr>
              <w:rPr>
                <w:color w:val="000000"/>
                <w:sz w:val="18"/>
                <w:szCs w:val="18"/>
                <w:lang w:val="en-GB" w:eastAsia="en-GB"/>
              </w:rPr>
            </w:pPr>
            <w:r w:rsidRPr="000B4E2C">
              <w:rPr>
                <w:sz w:val="18"/>
                <w:szCs w:val="18"/>
                <w:lang w:val="en-GB" w:eastAsia="en-GB"/>
              </w:rPr>
              <w:t>A: 398</w:t>
            </w:r>
          </w:p>
        </w:tc>
        <w:tc>
          <w:tcPr>
            <w:tcW w:w="0" w:type="auto"/>
            <w:shd w:val="clear" w:color="auto" w:fill="auto"/>
            <w:hideMark/>
          </w:tcPr>
          <w:p w14:paraId="6ADE9777" w14:textId="77777777" w:rsidR="00F471F5" w:rsidRPr="000B4E2C" w:rsidRDefault="00F471F5" w:rsidP="00F471F5">
            <w:pPr>
              <w:rPr>
                <w:color w:val="000000"/>
                <w:sz w:val="18"/>
                <w:szCs w:val="18"/>
                <w:lang w:val="en-GB" w:eastAsia="en-GB"/>
              </w:rPr>
            </w:pPr>
            <w:r w:rsidRPr="000B4E2C">
              <w:rPr>
                <w:sz w:val="18"/>
                <w:szCs w:val="18"/>
                <w:lang w:val="en-GB" w:eastAsia="en-GB"/>
              </w:rPr>
              <w:t>C: 126; A: 164</w:t>
            </w:r>
          </w:p>
        </w:tc>
        <w:tc>
          <w:tcPr>
            <w:tcW w:w="0" w:type="auto"/>
            <w:shd w:val="clear" w:color="auto" w:fill="auto"/>
            <w:hideMark/>
          </w:tcPr>
          <w:p w14:paraId="78659C46" w14:textId="77777777" w:rsidR="00F471F5" w:rsidRPr="000B4E2C" w:rsidRDefault="00F471F5" w:rsidP="00F471F5">
            <w:pPr>
              <w:rPr>
                <w:sz w:val="18"/>
                <w:szCs w:val="18"/>
                <w:lang w:eastAsia="en-GB"/>
              </w:rPr>
            </w:pPr>
            <w:r w:rsidRPr="000B4E2C">
              <w:rPr>
                <w:sz w:val="18"/>
                <w:szCs w:val="18"/>
                <w:lang w:eastAsia="en-GB"/>
              </w:rPr>
              <w:t>Acute dialysis</w:t>
            </w:r>
          </w:p>
          <w:p w14:paraId="7B2DE4F1" w14:textId="77777777" w:rsidR="000B4E2C" w:rsidRPr="000B4E2C" w:rsidRDefault="00F471F5" w:rsidP="00F471F5">
            <w:pPr>
              <w:rPr>
                <w:sz w:val="18"/>
                <w:szCs w:val="18"/>
                <w:lang w:eastAsia="en-GB"/>
              </w:rPr>
            </w:pPr>
            <w:r w:rsidRPr="000B4E2C">
              <w:rPr>
                <w:sz w:val="18"/>
                <w:szCs w:val="18"/>
                <w:lang w:eastAsia="en-GB"/>
              </w:rPr>
              <w:t>or doubling</w:t>
            </w:r>
          </w:p>
          <w:p w14:paraId="5EC78241" w14:textId="73861DB0" w:rsidR="00F471F5" w:rsidRPr="000B4E2C" w:rsidRDefault="00F471F5" w:rsidP="00F471F5">
            <w:pPr>
              <w:rPr>
                <w:bCs/>
                <w:sz w:val="18"/>
                <w:szCs w:val="18"/>
                <w:lang w:eastAsia="en-GB"/>
              </w:rPr>
            </w:pPr>
            <w:r w:rsidRPr="000B4E2C">
              <w:rPr>
                <w:sz w:val="18"/>
                <w:szCs w:val="18"/>
                <w:lang w:eastAsia="en-GB"/>
              </w:rPr>
              <w:t xml:space="preserve">of </w:t>
            </w:r>
            <w:r w:rsidRPr="000B4E2C">
              <w:rPr>
                <w:bCs/>
                <w:sz w:val="18"/>
                <w:szCs w:val="18"/>
                <w:lang w:eastAsia="en-GB"/>
              </w:rPr>
              <w:t>sCr</w:t>
            </w:r>
          </w:p>
          <w:p w14:paraId="7877E434" w14:textId="77777777" w:rsidR="000B4E2C" w:rsidRPr="000B4E2C" w:rsidRDefault="00F471F5" w:rsidP="00F471F5">
            <w:pPr>
              <w:rPr>
                <w:sz w:val="18"/>
                <w:szCs w:val="18"/>
                <w:lang w:eastAsia="en-GB"/>
              </w:rPr>
            </w:pPr>
            <w:r w:rsidRPr="000B4E2C">
              <w:rPr>
                <w:sz w:val="18"/>
                <w:szCs w:val="18"/>
                <w:lang w:eastAsia="en-GB"/>
              </w:rPr>
              <w:t>consistent</w:t>
            </w:r>
          </w:p>
          <w:p w14:paraId="00959E3B" w14:textId="2AB4E312" w:rsidR="00F471F5" w:rsidRPr="000B4E2C" w:rsidRDefault="00F471F5" w:rsidP="00F471F5">
            <w:pPr>
              <w:rPr>
                <w:color w:val="000000"/>
                <w:sz w:val="18"/>
                <w:szCs w:val="18"/>
                <w:lang w:val="en-GB" w:eastAsia="en-GB"/>
              </w:rPr>
            </w:pPr>
            <w:r w:rsidRPr="000B4E2C">
              <w:rPr>
                <w:sz w:val="18"/>
                <w:szCs w:val="18"/>
                <w:lang w:eastAsia="en-GB"/>
              </w:rPr>
              <w:t>with KDIGO stage 2 and 3 criteria</w:t>
            </w:r>
          </w:p>
        </w:tc>
        <w:tc>
          <w:tcPr>
            <w:tcW w:w="0" w:type="auto"/>
            <w:shd w:val="clear" w:color="auto" w:fill="auto"/>
            <w:hideMark/>
          </w:tcPr>
          <w:p w14:paraId="06E3EAC5" w14:textId="77777777" w:rsidR="00F471F5" w:rsidRPr="000B4E2C" w:rsidRDefault="00F471F5" w:rsidP="00F471F5">
            <w:pPr>
              <w:rPr>
                <w:sz w:val="18"/>
                <w:szCs w:val="18"/>
                <w:lang w:val="en-GB" w:eastAsia="en-GB"/>
              </w:rPr>
            </w:pPr>
            <w:r w:rsidRPr="000B4E2C">
              <w:rPr>
                <w:sz w:val="18"/>
                <w:szCs w:val="18"/>
                <w:lang w:val="en-GB" w:eastAsia="en-GB"/>
              </w:rPr>
              <w:t>C: 62%;</w:t>
            </w:r>
          </w:p>
          <w:p w14:paraId="70B236EB" w14:textId="77777777" w:rsidR="00F471F5" w:rsidRPr="000B4E2C" w:rsidRDefault="00F471F5" w:rsidP="00F471F5">
            <w:pPr>
              <w:rPr>
                <w:color w:val="000000"/>
                <w:sz w:val="18"/>
                <w:szCs w:val="18"/>
                <w:lang w:val="en-GB" w:eastAsia="en-GB"/>
              </w:rPr>
            </w:pPr>
            <w:r w:rsidRPr="000B4E2C">
              <w:rPr>
                <w:sz w:val="18"/>
                <w:szCs w:val="18"/>
                <w:lang w:val="en-GB" w:eastAsia="en-GB"/>
              </w:rPr>
              <w:t>A: 43%</w:t>
            </w:r>
          </w:p>
        </w:tc>
        <w:tc>
          <w:tcPr>
            <w:tcW w:w="0" w:type="auto"/>
            <w:shd w:val="clear" w:color="auto" w:fill="auto"/>
            <w:hideMark/>
          </w:tcPr>
          <w:p w14:paraId="7FF1D947" w14:textId="77777777" w:rsidR="00F471F5" w:rsidRPr="000B4E2C" w:rsidRDefault="00F471F5" w:rsidP="00F471F5">
            <w:pPr>
              <w:rPr>
                <w:sz w:val="18"/>
                <w:szCs w:val="18"/>
                <w:lang w:val="en-GB" w:eastAsia="en-GB"/>
              </w:rPr>
            </w:pPr>
            <w:r w:rsidRPr="000B4E2C">
              <w:rPr>
                <w:sz w:val="18"/>
                <w:szCs w:val="18"/>
                <w:lang w:val="en-GB" w:eastAsia="en-GB"/>
              </w:rPr>
              <w:t>C:</w:t>
            </w:r>
          </w:p>
          <w:p w14:paraId="7C2983C8" w14:textId="77777777" w:rsidR="00F471F5" w:rsidRPr="000B4E2C" w:rsidRDefault="00F471F5" w:rsidP="00F471F5">
            <w:pPr>
              <w:rPr>
                <w:sz w:val="18"/>
                <w:szCs w:val="18"/>
                <w:lang w:val="en-GB" w:eastAsia="en-GB"/>
              </w:rPr>
            </w:pPr>
            <w:r w:rsidRPr="000B4E2C">
              <w:rPr>
                <w:sz w:val="18"/>
                <w:szCs w:val="18"/>
                <w:lang w:val="en-GB" w:eastAsia="en-GB"/>
              </w:rPr>
              <w:t>29.3µmol/L</w:t>
            </w:r>
          </w:p>
          <w:p w14:paraId="5FB18DC2" w14:textId="77777777" w:rsidR="00F471F5" w:rsidRPr="000B4E2C" w:rsidRDefault="00F471F5" w:rsidP="00F471F5">
            <w:pPr>
              <w:rPr>
                <w:sz w:val="18"/>
                <w:szCs w:val="18"/>
                <w:lang w:val="en-GB" w:eastAsia="en-GB"/>
              </w:rPr>
            </w:pPr>
            <w:r w:rsidRPr="000B4E2C">
              <w:rPr>
                <w:sz w:val="18"/>
                <w:szCs w:val="18"/>
                <w:lang w:val="en-GB" w:eastAsia="en-GB"/>
              </w:rPr>
              <w:t>(SD 9.8);</w:t>
            </w:r>
          </w:p>
          <w:p w14:paraId="3998404A" w14:textId="77777777" w:rsidR="00F471F5" w:rsidRPr="000B4E2C" w:rsidRDefault="00F471F5" w:rsidP="00F471F5">
            <w:pPr>
              <w:rPr>
                <w:sz w:val="18"/>
                <w:szCs w:val="18"/>
                <w:lang w:val="en-GB" w:eastAsia="en-GB"/>
              </w:rPr>
            </w:pPr>
            <w:r w:rsidRPr="000B4E2C">
              <w:rPr>
                <w:sz w:val="18"/>
                <w:szCs w:val="18"/>
                <w:lang w:val="en-GB" w:eastAsia="en-GB"/>
              </w:rPr>
              <w:t>A:</w:t>
            </w:r>
          </w:p>
          <w:p w14:paraId="20E7378B" w14:textId="77777777" w:rsidR="00F471F5" w:rsidRPr="000B4E2C" w:rsidRDefault="00F471F5" w:rsidP="00F471F5">
            <w:pPr>
              <w:rPr>
                <w:sz w:val="18"/>
                <w:szCs w:val="18"/>
                <w:lang w:val="en-GB" w:eastAsia="en-GB"/>
              </w:rPr>
            </w:pPr>
            <w:r w:rsidRPr="000B4E2C">
              <w:rPr>
                <w:sz w:val="18"/>
                <w:szCs w:val="18"/>
                <w:lang w:val="en-GB" w:eastAsia="en-GB"/>
              </w:rPr>
              <w:t>76.6 µmol/L</w:t>
            </w:r>
          </w:p>
          <w:p w14:paraId="614A8F1C" w14:textId="77777777" w:rsidR="00F471F5" w:rsidRPr="000B4E2C" w:rsidRDefault="00F471F5" w:rsidP="00F471F5">
            <w:pPr>
              <w:rPr>
                <w:color w:val="000000"/>
                <w:sz w:val="18"/>
                <w:szCs w:val="18"/>
                <w:lang w:val="en-GB" w:eastAsia="en-GB"/>
              </w:rPr>
            </w:pPr>
            <w:r w:rsidRPr="000B4E2C">
              <w:rPr>
                <w:sz w:val="18"/>
                <w:szCs w:val="18"/>
                <w:lang w:val="en-GB" w:eastAsia="en-GB"/>
              </w:rPr>
              <w:t>(SD 24.2)</w:t>
            </w:r>
          </w:p>
        </w:tc>
        <w:tc>
          <w:tcPr>
            <w:tcW w:w="0" w:type="auto"/>
            <w:shd w:val="clear" w:color="auto" w:fill="auto"/>
            <w:noWrap/>
            <w:hideMark/>
          </w:tcPr>
          <w:p w14:paraId="3E80BEAB" w14:textId="77777777" w:rsidR="000B4E2C" w:rsidRPr="000B4E2C" w:rsidRDefault="00F471F5" w:rsidP="00F471F5">
            <w:pPr>
              <w:rPr>
                <w:sz w:val="18"/>
                <w:szCs w:val="18"/>
                <w:lang w:val="en-GB" w:eastAsia="en-GB"/>
              </w:rPr>
            </w:pPr>
            <w:r w:rsidRPr="000B4E2C">
              <w:rPr>
                <w:sz w:val="18"/>
                <w:szCs w:val="18"/>
                <w:lang w:val="en-GB" w:eastAsia="en-GB"/>
              </w:rPr>
              <w:t>C:</w:t>
            </w:r>
          </w:p>
          <w:p w14:paraId="195D39AB" w14:textId="2A7AA7B6" w:rsidR="00F471F5" w:rsidRPr="000B4E2C" w:rsidRDefault="00F471F5" w:rsidP="00F471F5">
            <w:pPr>
              <w:rPr>
                <w:sz w:val="18"/>
                <w:szCs w:val="18"/>
                <w:lang w:val="en-GB" w:eastAsia="en-GB"/>
              </w:rPr>
            </w:pPr>
            <w:r w:rsidRPr="000B4E2C">
              <w:rPr>
                <w:sz w:val="18"/>
                <w:szCs w:val="18"/>
                <w:lang w:val="en-GB" w:eastAsia="en-GB"/>
              </w:rPr>
              <w:t>101.6</w:t>
            </w:r>
            <w:r w:rsidR="000B4E2C" w:rsidRPr="000B4E2C">
              <w:rPr>
                <w:sz w:val="18"/>
                <w:szCs w:val="18"/>
                <w:lang w:val="en-GB" w:eastAsia="en-GB"/>
              </w:rPr>
              <w:t xml:space="preserve"> </w:t>
            </w:r>
            <w:r w:rsidRPr="000B4E2C">
              <w:rPr>
                <w:sz w:val="18"/>
                <w:szCs w:val="18"/>
                <w:lang w:val="en-GB" w:eastAsia="en-GB"/>
              </w:rPr>
              <w:t>(35);</w:t>
            </w:r>
          </w:p>
          <w:p w14:paraId="0F79F22C" w14:textId="77777777" w:rsidR="000B4E2C" w:rsidRPr="000B4E2C" w:rsidRDefault="00F471F5" w:rsidP="00F471F5">
            <w:pPr>
              <w:rPr>
                <w:sz w:val="18"/>
                <w:szCs w:val="18"/>
                <w:lang w:val="en-GB" w:eastAsia="en-GB"/>
              </w:rPr>
            </w:pPr>
            <w:r w:rsidRPr="000B4E2C">
              <w:rPr>
                <w:sz w:val="18"/>
                <w:szCs w:val="18"/>
                <w:lang w:val="en-GB" w:eastAsia="en-GB"/>
              </w:rPr>
              <w:t>A:</w:t>
            </w:r>
          </w:p>
          <w:p w14:paraId="0B3B7B14" w14:textId="77777777" w:rsidR="000B4E2C" w:rsidRPr="000B4E2C" w:rsidRDefault="00F471F5" w:rsidP="00F471F5">
            <w:pPr>
              <w:rPr>
                <w:sz w:val="18"/>
                <w:szCs w:val="18"/>
                <w:lang w:val="en-GB" w:eastAsia="en-GB"/>
              </w:rPr>
            </w:pPr>
            <w:r w:rsidRPr="000B4E2C">
              <w:rPr>
                <w:sz w:val="18"/>
                <w:szCs w:val="18"/>
                <w:lang w:val="en-GB" w:eastAsia="en-GB"/>
              </w:rPr>
              <w:t>93.5</w:t>
            </w:r>
          </w:p>
          <w:p w14:paraId="367A685E" w14:textId="544C3935" w:rsidR="00F471F5" w:rsidRPr="000B4E2C" w:rsidRDefault="00F471F5" w:rsidP="00F471F5">
            <w:pPr>
              <w:rPr>
                <w:color w:val="000000"/>
                <w:sz w:val="18"/>
                <w:szCs w:val="18"/>
                <w:lang w:val="en-GB" w:eastAsia="en-GB"/>
              </w:rPr>
            </w:pPr>
            <w:r w:rsidRPr="000B4E2C">
              <w:rPr>
                <w:sz w:val="18"/>
                <w:szCs w:val="18"/>
                <w:lang w:val="en-GB" w:eastAsia="en-GB"/>
              </w:rPr>
              <w:t>(23.7)</w:t>
            </w:r>
          </w:p>
        </w:tc>
        <w:tc>
          <w:tcPr>
            <w:tcW w:w="0" w:type="auto"/>
            <w:shd w:val="clear" w:color="auto" w:fill="auto"/>
            <w:noWrap/>
            <w:hideMark/>
          </w:tcPr>
          <w:p w14:paraId="1102BB96"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30E33060"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16C3A646" w14:textId="77777777" w:rsidR="00F471F5" w:rsidRPr="000B4E2C" w:rsidRDefault="00F471F5" w:rsidP="00F471F5">
            <w:pPr>
              <w:rPr>
                <w:color w:val="000000"/>
                <w:sz w:val="18"/>
                <w:szCs w:val="18"/>
                <w:lang w:val="en-GB" w:eastAsia="en-GB"/>
              </w:rPr>
            </w:pPr>
            <w:r w:rsidRPr="000B4E2C">
              <w:rPr>
                <w:sz w:val="18"/>
                <w:szCs w:val="18"/>
                <w:lang w:val="en-GB" w:eastAsia="en-GB"/>
              </w:rPr>
              <w:t>Patients receiving elective cardiac surgery (cardio pulmonary bypass).</w:t>
            </w:r>
          </w:p>
        </w:tc>
        <w:tc>
          <w:tcPr>
            <w:tcW w:w="0" w:type="auto"/>
            <w:shd w:val="clear" w:color="auto" w:fill="auto"/>
            <w:hideMark/>
          </w:tcPr>
          <w:p w14:paraId="6ACE8546" w14:textId="77777777" w:rsidR="00F471F5" w:rsidRPr="000B4E2C" w:rsidRDefault="00F471F5" w:rsidP="00F471F5">
            <w:pPr>
              <w:rPr>
                <w:sz w:val="18"/>
                <w:szCs w:val="18"/>
                <w:lang w:val="en-GB" w:eastAsia="en-GB"/>
              </w:rPr>
            </w:pPr>
            <w:r w:rsidRPr="000B4E2C">
              <w:rPr>
                <w:sz w:val="18"/>
                <w:szCs w:val="18"/>
                <w:lang w:val="en-GB" w:eastAsia="en-GB"/>
              </w:rPr>
              <w:t>Exposure to nephrotoxin within 4 weeks before surgery, pre-existing advanced and urinary tract infection or obstruction</w:t>
            </w:r>
          </w:p>
        </w:tc>
      </w:tr>
      <w:tr w:rsidR="000B4E2C" w:rsidRPr="000B4E2C" w14:paraId="688973FA" w14:textId="77777777" w:rsidTr="000B4E2C">
        <w:trPr>
          <w:cantSplit/>
        </w:trPr>
        <w:tc>
          <w:tcPr>
            <w:tcW w:w="0" w:type="auto"/>
            <w:shd w:val="clear" w:color="auto" w:fill="auto"/>
            <w:hideMark/>
          </w:tcPr>
          <w:p w14:paraId="7A20A1CF" w14:textId="3D89F481" w:rsidR="00F471F5" w:rsidRPr="000B4E2C" w:rsidRDefault="00F471F5" w:rsidP="00510A3C">
            <w:pPr>
              <w:rPr>
                <w:color w:val="000000"/>
                <w:sz w:val="18"/>
                <w:szCs w:val="18"/>
                <w:lang w:val="en-GB" w:eastAsia="en-GB"/>
              </w:rPr>
            </w:pPr>
            <w:r w:rsidRPr="000B4E2C">
              <w:rPr>
                <w:sz w:val="18"/>
                <w:szCs w:val="18"/>
                <w:lang w:val="en-GB" w:eastAsia="en-GB"/>
              </w:rPr>
              <w:lastRenderedPageBreak/>
              <w:t>Seitz 2013,</w:t>
            </w:r>
            <w:r w:rsidR="00510A3C" w:rsidRPr="000B4E2C">
              <w:rPr>
                <w:sz w:val="18"/>
                <w:szCs w:val="18"/>
                <w:vertAlign w:val="superscript"/>
                <w:lang w:val="en-GB" w:eastAsia="en-GB"/>
              </w:rPr>
              <w:t>92</w:t>
            </w:r>
            <w:r w:rsidRPr="000B4E2C">
              <w:rPr>
                <w:sz w:val="18"/>
                <w:szCs w:val="18"/>
                <w:lang w:val="en-GB" w:eastAsia="en-GB"/>
              </w:rPr>
              <w:t xml:space="preserve"> NR</w:t>
            </w:r>
          </w:p>
        </w:tc>
        <w:tc>
          <w:tcPr>
            <w:tcW w:w="0" w:type="auto"/>
            <w:shd w:val="clear" w:color="auto" w:fill="auto"/>
            <w:hideMark/>
          </w:tcPr>
          <w:p w14:paraId="50EC773D" w14:textId="77777777" w:rsidR="00F471F5" w:rsidRPr="000B4E2C" w:rsidRDefault="00F471F5" w:rsidP="00F471F5">
            <w:pPr>
              <w:rPr>
                <w:color w:val="000000"/>
                <w:sz w:val="18"/>
                <w:szCs w:val="18"/>
                <w:lang w:val="en-GB" w:eastAsia="en-GB"/>
              </w:rPr>
            </w:pPr>
            <w:r w:rsidRPr="000B4E2C">
              <w:rPr>
                <w:sz w:val="18"/>
                <w:szCs w:val="18"/>
                <w:lang w:val="en-GB" w:eastAsia="en-GB"/>
              </w:rPr>
              <w:t>uNGAL, ARCHITECT, Abbott</w:t>
            </w:r>
          </w:p>
        </w:tc>
        <w:tc>
          <w:tcPr>
            <w:tcW w:w="0" w:type="auto"/>
            <w:shd w:val="clear" w:color="auto" w:fill="auto"/>
            <w:hideMark/>
          </w:tcPr>
          <w:p w14:paraId="1AA72E83" w14:textId="77777777" w:rsidR="00F471F5" w:rsidRPr="000B4E2C" w:rsidRDefault="00F471F5" w:rsidP="00F471F5">
            <w:pPr>
              <w:rPr>
                <w:sz w:val="18"/>
                <w:szCs w:val="18"/>
                <w:lang w:val="en-GB" w:eastAsia="en-GB"/>
              </w:rPr>
            </w:pPr>
            <w:r w:rsidRPr="000B4E2C">
              <w:rPr>
                <w:sz w:val="18"/>
                <w:szCs w:val="18"/>
                <w:lang w:val="en-GB" w:eastAsia="en-GB"/>
              </w:rPr>
              <w:t>0 years</w:t>
            </w:r>
          </w:p>
          <w:p w14:paraId="1AB018C8" w14:textId="07695E65" w:rsidR="00F471F5" w:rsidRPr="000B4E2C" w:rsidRDefault="00F471F5" w:rsidP="00F471F5">
            <w:pPr>
              <w:rPr>
                <w:color w:val="000000"/>
                <w:sz w:val="18"/>
                <w:szCs w:val="18"/>
                <w:lang w:val="en-GB" w:eastAsia="en-GB"/>
              </w:rPr>
            </w:pPr>
            <w:r w:rsidRPr="000B4E2C">
              <w:rPr>
                <w:sz w:val="18"/>
                <w:szCs w:val="18"/>
                <w:lang w:val="en-GB" w:eastAsia="en-GB"/>
              </w:rPr>
              <w:t>(0</w:t>
            </w:r>
            <w:r w:rsidR="000B4E2C" w:rsidRPr="000B4E2C">
              <w:rPr>
                <w:color w:val="00B0F0"/>
                <w:sz w:val="18"/>
                <w:szCs w:val="18"/>
                <w:lang w:val="en-GB" w:eastAsia="en-GB"/>
              </w:rPr>
              <w:t>–</w:t>
            </w:r>
            <w:r w:rsidR="000B4E2C" w:rsidRPr="000B4E2C">
              <w:rPr>
                <w:color w:val="00B0F0"/>
                <w:sz w:val="18"/>
                <w:szCs w:val="18"/>
                <w:lang w:val="en-GB" w:eastAsia="en-GB"/>
              </w:rPr>
              <w:t>8</w:t>
            </w:r>
            <w:r w:rsidRPr="000B4E2C">
              <w:rPr>
                <w:sz w:val="18"/>
                <w:szCs w:val="18"/>
                <w:lang w:val="en-GB" w:eastAsia="en-GB"/>
              </w:rPr>
              <w:t xml:space="preserve">) </w:t>
            </w:r>
          </w:p>
        </w:tc>
        <w:tc>
          <w:tcPr>
            <w:tcW w:w="0" w:type="auto"/>
            <w:shd w:val="clear" w:color="auto" w:fill="auto"/>
            <w:hideMark/>
          </w:tcPr>
          <w:p w14:paraId="70B3652E" w14:textId="77777777" w:rsidR="00F471F5" w:rsidRPr="000B4E2C" w:rsidRDefault="00F471F5" w:rsidP="00F471F5">
            <w:pPr>
              <w:rPr>
                <w:color w:val="000000"/>
                <w:sz w:val="18"/>
                <w:szCs w:val="18"/>
                <w:lang w:val="en-GB" w:eastAsia="en-GB"/>
              </w:rPr>
            </w:pPr>
            <w:r w:rsidRPr="000B4E2C">
              <w:rPr>
                <w:sz w:val="18"/>
                <w:szCs w:val="18"/>
                <w:lang w:val="en-GB" w:eastAsia="en-GB"/>
              </w:rPr>
              <w:t>139</w:t>
            </w:r>
          </w:p>
        </w:tc>
        <w:tc>
          <w:tcPr>
            <w:tcW w:w="0" w:type="auto"/>
            <w:shd w:val="clear" w:color="auto" w:fill="auto"/>
            <w:hideMark/>
          </w:tcPr>
          <w:p w14:paraId="2D3D7C37" w14:textId="77777777" w:rsidR="00F471F5" w:rsidRPr="000B4E2C" w:rsidRDefault="00F471F5" w:rsidP="00F471F5">
            <w:pPr>
              <w:rPr>
                <w:color w:val="000000"/>
                <w:sz w:val="18"/>
                <w:szCs w:val="18"/>
                <w:lang w:val="en-GB" w:eastAsia="en-GB"/>
              </w:rPr>
            </w:pPr>
            <w:r w:rsidRPr="000B4E2C">
              <w:rPr>
                <w:sz w:val="18"/>
                <w:szCs w:val="18"/>
                <w:lang w:val="en-GB" w:eastAsia="en-GB"/>
              </w:rPr>
              <w:t>76</w:t>
            </w:r>
          </w:p>
        </w:tc>
        <w:tc>
          <w:tcPr>
            <w:tcW w:w="0" w:type="auto"/>
            <w:shd w:val="clear" w:color="auto" w:fill="auto"/>
            <w:hideMark/>
          </w:tcPr>
          <w:p w14:paraId="2AD3100A" w14:textId="77777777" w:rsidR="00F471F5" w:rsidRPr="000B4E2C" w:rsidRDefault="00F471F5" w:rsidP="00F471F5">
            <w:pPr>
              <w:rPr>
                <w:color w:val="000000"/>
                <w:sz w:val="18"/>
                <w:szCs w:val="18"/>
                <w:lang w:val="en-GB" w:eastAsia="en-GB"/>
              </w:rPr>
            </w:pPr>
            <w:r w:rsidRPr="000B4E2C">
              <w:rPr>
                <w:sz w:val="18"/>
                <w:szCs w:val="18"/>
                <w:lang w:val="en-GB" w:eastAsia="en-GB"/>
              </w:rPr>
              <w:t>RIFLE</w:t>
            </w:r>
          </w:p>
        </w:tc>
        <w:tc>
          <w:tcPr>
            <w:tcW w:w="0" w:type="auto"/>
            <w:shd w:val="clear" w:color="auto" w:fill="auto"/>
            <w:hideMark/>
          </w:tcPr>
          <w:p w14:paraId="7E1B2319" w14:textId="77777777" w:rsidR="00F471F5" w:rsidRPr="000B4E2C" w:rsidRDefault="00F471F5" w:rsidP="00F471F5">
            <w:pPr>
              <w:rPr>
                <w:color w:val="000000"/>
                <w:sz w:val="18"/>
                <w:szCs w:val="18"/>
                <w:lang w:val="en-GB" w:eastAsia="en-GB"/>
              </w:rPr>
            </w:pPr>
            <w:r w:rsidRPr="000B4E2C">
              <w:rPr>
                <w:sz w:val="18"/>
                <w:szCs w:val="18"/>
                <w:lang w:val="en-GB" w:eastAsia="en-GB"/>
              </w:rPr>
              <w:t>55%</w:t>
            </w:r>
          </w:p>
        </w:tc>
        <w:tc>
          <w:tcPr>
            <w:tcW w:w="0" w:type="auto"/>
            <w:shd w:val="clear" w:color="auto" w:fill="auto"/>
            <w:hideMark/>
          </w:tcPr>
          <w:p w14:paraId="721E839E" w14:textId="77777777" w:rsidR="00F471F5" w:rsidRPr="000B4E2C" w:rsidRDefault="00F471F5" w:rsidP="00F471F5">
            <w:pPr>
              <w:rPr>
                <w:sz w:val="18"/>
                <w:szCs w:val="18"/>
                <w:lang w:val="en-GB" w:eastAsia="en-GB"/>
              </w:rPr>
            </w:pPr>
            <w:r w:rsidRPr="000B4E2C">
              <w:rPr>
                <w:sz w:val="18"/>
                <w:szCs w:val="18"/>
                <w:lang w:val="en-GB" w:eastAsia="en-GB"/>
              </w:rPr>
              <w:t>0.38*mg/dl</w:t>
            </w:r>
          </w:p>
          <w:p w14:paraId="17AC4940" w14:textId="77777777" w:rsidR="00F471F5" w:rsidRPr="000B4E2C" w:rsidRDefault="00F471F5" w:rsidP="00F471F5">
            <w:pPr>
              <w:rPr>
                <w:color w:val="000000"/>
                <w:sz w:val="18"/>
                <w:szCs w:val="18"/>
                <w:lang w:val="en-GB" w:eastAsia="en-GB"/>
              </w:rPr>
            </w:pPr>
            <w:r w:rsidRPr="000B4E2C">
              <w:rPr>
                <w:sz w:val="18"/>
                <w:szCs w:val="18"/>
                <w:lang w:val="en-GB" w:eastAsia="en-GB"/>
              </w:rPr>
              <w:t>(SD NR)</w:t>
            </w:r>
          </w:p>
        </w:tc>
        <w:tc>
          <w:tcPr>
            <w:tcW w:w="0" w:type="auto"/>
            <w:shd w:val="clear" w:color="auto" w:fill="auto"/>
            <w:noWrap/>
            <w:hideMark/>
          </w:tcPr>
          <w:p w14:paraId="4782D1AC"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noWrap/>
            <w:hideMark/>
          </w:tcPr>
          <w:p w14:paraId="00B2A0E2" w14:textId="77777777" w:rsidR="00F471F5" w:rsidRPr="000B4E2C" w:rsidRDefault="00F471F5" w:rsidP="00F471F5">
            <w:pPr>
              <w:rPr>
                <w:color w:val="000000"/>
                <w:sz w:val="18"/>
                <w:szCs w:val="18"/>
                <w:lang w:val="en-GB" w:eastAsia="en-GB"/>
              </w:rPr>
            </w:pPr>
            <w:r w:rsidRPr="000B4E2C">
              <w:rPr>
                <w:sz w:val="18"/>
                <w:szCs w:val="18"/>
                <w:lang w:val="en-GB" w:eastAsia="en-GB"/>
              </w:rPr>
              <w:t>NR</w:t>
            </w:r>
          </w:p>
        </w:tc>
        <w:tc>
          <w:tcPr>
            <w:tcW w:w="0" w:type="auto"/>
            <w:shd w:val="clear" w:color="auto" w:fill="auto"/>
            <w:hideMark/>
          </w:tcPr>
          <w:p w14:paraId="5FD2B912" w14:textId="77777777" w:rsidR="00F471F5" w:rsidRPr="000B4E2C" w:rsidRDefault="00F471F5" w:rsidP="00F471F5">
            <w:pPr>
              <w:rPr>
                <w:color w:val="000000"/>
                <w:sz w:val="18"/>
                <w:szCs w:val="18"/>
                <w:lang w:val="en-GB" w:eastAsia="en-GB"/>
              </w:rPr>
            </w:pPr>
            <w:r w:rsidRPr="000B4E2C">
              <w:rPr>
                <w:sz w:val="18"/>
                <w:szCs w:val="18"/>
                <w:lang w:val="en-GB" w:eastAsia="en-GB"/>
              </w:rPr>
              <w:t>0</w:t>
            </w:r>
          </w:p>
        </w:tc>
        <w:tc>
          <w:tcPr>
            <w:tcW w:w="0" w:type="auto"/>
            <w:shd w:val="clear" w:color="auto" w:fill="auto"/>
            <w:hideMark/>
          </w:tcPr>
          <w:p w14:paraId="3212BF82" w14:textId="77777777" w:rsidR="00F471F5" w:rsidRPr="000B4E2C" w:rsidRDefault="00F471F5" w:rsidP="00F471F5">
            <w:pPr>
              <w:rPr>
                <w:color w:val="000000"/>
                <w:sz w:val="18"/>
                <w:szCs w:val="18"/>
                <w:lang w:val="en-GB" w:eastAsia="en-GB"/>
              </w:rPr>
            </w:pPr>
            <w:r w:rsidRPr="000B4E2C">
              <w:rPr>
                <w:sz w:val="18"/>
                <w:szCs w:val="18"/>
                <w:lang w:val="en-GB" w:eastAsia="en-GB"/>
              </w:rPr>
              <w:t>Patients undergoing CPB for surgical correction or palliation of congenital heart disease.</w:t>
            </w:r>
          </w:p>
        </w:tc>
        <w:tc>
          <w:tcPr>
            <w:tcW w:w="0" w:type="auto"/>
            <w:shd w:val="clear" w:color="auto" w:fill="auto"/>
            <w:hideMark/>
          </w:tcPr>
          <w:p w14:paraId="1449A69C" w14:textId="77777777" w:rsidR="00F471F5" w:rsidRPr="000B4E2C" w:rsidRDefault="00F471F5" w:rsidP="00F471F5">
            <w:pPr>
              <w:rPr>
                <w:sz w:val="18"/>
                <w:szCs w:val="18"/>
                <w:lang w:val="en-GB" w:eastAsia="en-GB"/>
              </w:rPr>
            </w:pPr>
            <w:r w:rsidRPr="000B4E2C">
              <w:rPr>
                <w:sz w:val="18"/>
                <w:szCs w:val="18"/>
                <w:lang w:val="en-GB" w:eastAsia="en-GB"/>
              </w:rPr>
              <w:t>Patients with pre-existing renal insufficiency, patients with history of nephrotoxin use during pre-op days.</w:t>
            </w:r>
          </w:p>
        </w:tc>
      </w:tr>
    </w:tbl>
    <w:p w14:paraId="7C333EB2" w14:textId="77777777" w:rsidR="00F471F5" w:rsidRPr="000B4E2C" w:rsidRDefault="00F471F5" w:rsidP="00F471F5">
      <w:pPr>
        <w:spacing w:after="160" w:line="259" w:lineRule="auto"/>
        <w:rPr>
          <w:rFonts w:ascii="Calibri" w:eastAsia="Calibri" w:hAnsi="Calibri"/>
          <w:sz w:val="22"/>
          <w:lang w:val="en-GB"/>
        </w:rPr>
      </w:pPr>
    </w:p>
    <w:p w14:paraId="54F91CB0" w14:textId="77777777" w:rsidR="00F471F5" w:rsidRPr="000B4E2C" w:rsidRDefault="00F471F5" w:rsidP="00F471F5">
      <w:pPr>
        <w:rPr>
          <w:sz w:val="18"/>
          <w:szCs w:val="18"/>
          <w:lang w:val="en-GB" w:eastAsia="en-GB"/>
        </w:rPr>
      </w:pPr>
      <w:r w:rsidRPr="000B4E2C">
        <w:rPr>
          <w:sz w:val="18"/>
          <w:szCs w:val="18"/>
          <w:lang w:val="en-GB" w:eastAsia="en-GB"/>
        </w:rPr>
        <w:t>C: Children, A: Adults, *Mean, **Median</w:t>
      </w:r>
    </w:p>
    <w:p w14:paraId="5FC467A4" w14:textId="77777777" w:rsidR="000B4E2C" w:rsidRPr="000B4E2C" w:rsidRDefault="002F0133" w:rsidP="00A0284C">
      <w:pPr>
        <w:pStyle w:val="Heading2"/>
        <w:rPr>
          <w:szCs w:val="24"/>
        </w:rPr>
      </w:pPr>
      <w:r w:rsidRPr="000B4E2C">
        <w:rPr>
          <w:sz w:val="18"/>
          <w:szCs w:val="18"/>
        </w:rPr>
        <w:lastRenderedPageBreak/>
        <w:t>.</w:t>
      </w:r>
      <w:r w:rsidR="000B4E2C" w:rsidRPr="000B4E2C">
        <w:rPr>
          <w:sz w:val="18"/>
          <w:szCs w:val="18"/>
        </w:rPr>
        <w:t xml:space="preserve"> </w:t>
      </w:r>
      <w:r w:rsidR="00A0284C" w:rsidRPr="000B4E2C">
        <w:rPr>
          <w:szCs w:val="24"/>
        </w:rPr>
        <w:t>Appendix 9</w:t>
      </w:r>
      <w:r w:rsidR="000B4E2C" w:rsidRPr="000B4E2C">
        <w:rPr>
          <w:szCs w:val="24"/>
        </w:rPr>
        <w:t xml:space="preserve"> </w:t>
      </w:r>
      <w:r w:rsidR="00A0284C" w:rsidRPr="000B4E2C">
        <w:rPr>
          <w:szCs w:val="24"/>
        </w:rPr>
        <w:t>QUADAS2 risk of bias and applicability assessment</w:t>
      </w:r>
    </w:p>
    <w:p w14:paraId="59A35A75" w14:textId="02ACB2F0" w:rsidR="00A0284C" w:rsidRPr="000B4E2C" w:rsidRDefault="000B4E2C" w:rsidP="00A0284C">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28</w:t>
      </w:r>
      <w:r w:rsidRPr="000B4E2C">
        <w:t xml:space="preserve"> </w:t>
      </w:r>
      <w:r w:rsidR="00A0284C" w:rsidRPr="000B4E2C">
        <w:t>QUADAS2 risk of bias and applicability assessment</w:t>
      </w:r>
    </w:p>
    <w:tbl>
      <w:tblPr>
        <w:tblW w:w="0" w:type="auto"/>
        <w:tblCellMar>
          <w:top w:w="40" w:type="dxa"/>
          <w:left w:w="60" w:type="dxa"/>
          <w:bottom w:w="40" w:type="dxa"/>
          <w:right w:w="60" w:type="dxa"/>
        </w:tblCellMar>
        <w:tblLook w:val="04A0" w:firstRow="1" w:lastRow="0" w:firstColumn="1" w:lastColumn="0" w:noHBand="0" w:noVBand="1"/>
      </w:tblPr>
      <w:tblGrid>
        <w:gridCol w:w="1571"/>
        <w:gridCol w:w="1911"/>
        <w:gridCol w:w="766"/>
        <w:gridCol w:w="766"/>
        <w:gridCol w:w="857"/>
        <w:gridCol w:w="766"/>
        <w:gridCol w:w="766"/>
        <w:gridCol w:w="766"/>
        <w:gridCol w:w="857"/>
      </w:tblGrid>
      <w:tr w:rsidR="00A0284C" w:rsidRPr="000B4E2C" w14:paraId="3C6409A9" w14:textId="77777777" w:rsidTr="000B4E2C">
        <w:trPr>
          <w:cantSplit/>
          <w:tblHeader/>
        </w:trPr>
        <w:tc>
          <w:tcPr>
            <w:tcW w:w="0" w:type="auto"/>
            <w:vMerge w:val="restart"/>
            <w:shd w:val="clear" w:color="auto" w:fill="auto"/>
            <w:vAlign w:val="center"/>
            <w:hideMark/>
          </w:tcPr>
          <w:p w14:paraId="6AD21025" w14:textId="77777777" w:rsidR="00A0284C" w:rsidRPr="000B4E2C" w:rsidRDefault="00A0284C" w:rsidP="00A0284C">
            <w:pPr>
              <w:jc w:val="center"/>
              <w:rPr>
                <w:b/>
                <w:bCs/>
                <w:color w:val="000000"/>
                <w:lang w:eastAsia="en-GB"/>
              </w:rPr>
            </w:pPr>
            <w:r w:rsidRPr="000B4E2C">
              <w:rPr>
                <w:b/>
                <w:bCs/>
                <w:lang w:eastAsia="en-GB"/>
              </w:rPr>
              <w:lastRenderedPageBreak/>
              <w:t>Study ID</w:t>
            </w:r>
          </w:p>
        </w:tc>
        <w:tc>
          <w:tcPr>
            <w:tcW w:w="0" w:type="auto"/>
            <w:vMerge w:val="restart"/>
            <w:shd w:val="clear" w:color="auto" w:fill="auto"/>
            <w:vAlign w:val="center"/>
            <w:hideMark/>
          </w:tcPr>
          <w:p w14:paraId="17C24CE3" w14:textId="77777777" w:rsidR="00A0284C" w:rsidRPr="000B4E2C" w:rsidRDefault="00A0284C" w:rsidP="00A0284C">
            <w:pPr>
              <w:jc w:val="center"/>
              <w:rPr>
                <w:b/>
                <w:bCs/>
                <w:color w:val="000000"/>
                <w:lang w:eastAsia="en-GB"/>
              </w:rPr>
            </w:pPr>
            <w:r w:rsidRPr="000B4E2C">
              <w:rPr>
                <w:b/>
                <w:bCs/>
                <w:lang w:eastAsia="en-GB"/>
              </w:rPr>
              <w:t>Assay</w:t>
            </w:r>
          </w:p>
        </w:tc>
        <w:tc>
          <w:tcPr>
            <w:tcW w:w="0" w:type="auto"/>
            <w:gridSpan w:val="4"/>
            <w:shd w:val="clear" w:color="auto" w:fill="auto"/>
            <w:vAlign w:val="center"/>
            <w:hideMark/>
          </w:tcPr>
          <w:p w14:paraId="140C543E" w14:textId="77777777" w:rsidR="00A0284C" w:rsidRPr="000B4E2C" w:rsidRDefault="00A0284C" w:rsidP="00A0284C">
            <w:pPr>
              <w:rPr>
                <w:b/>
                <w:bCs/>
                <w:color w:val="000000"/>
                <w:lang w:eastAsia="en-GB"/>
              </w:rPr>
            </w:pPr>
            <w:r w:rsidRPr="000B4E2C">
              <w:rPr>
                <w:b/>
                <w:bCs/>
                <w:lang w:eastAsia="en-GB"/>
              </w:rPr>
              <w:t>Risk of bias</w:t>
            </w:r>
          </w:p>
        </w:tc>
        <w:tc>
          <w:tcPr>
            <w:tcW w:w="0" w:type="auto"/>
            <w:gridSpan w:val="3"/>
            <w:shd w:val="clear" w:color="auto" w:fill="auto"/>
            <w:vAlign w:val="center"/>
            <w:hideMark/>
          </w:tcPr>
          <w:p w14:paraId="380895B5" w14:textId="77777777" w:rsidR="00A0284C" w:rsidRPr="000B4E2C" w:rsidRDefault="00A0284C" w:rsidP="00A0284C">
            <w:pPr>
              <w:rPr>
                <w:b/>
                <w:bCs/>
                <w:lang w:eastAsia="en-GB"/>
              </w:rPr>
            </w:pPr>
            <w:r w:rsidRPr="000B4E2C">
              <w:rPr>
                <w:b/>
                <w:bCs/>
                <w:lang w:eastAsia="en-GB"/>
              </w:rPr>
              <w:t>Applicability</w:t>
            </w:r>
          </w:p>
        </w:tc>
      </w:tr>
      <w:tr w:rsidR="00A0284C" w:rsidRPr="000B4E2C" w14:paraId="7DDBE7CA" w14:textId="77777777" w:rsidTr="000B4E2C">
        <w:trPr>
          <w:cantSplit/>
          <w:tblHeader/>
        </w:trPr>
        <w:tc>
          <w:tcPr>
            <w:tcW w:w="0" w:type="auto"/>
            <w:vMerge/>
            <w:shd w:val="clear" w:color="auto" w:fill="auto"/>
            <w:vAlign w:val="center"/>
            <w:hideMark/>
          </w:tcPr>
          <w:p w14:paraId="64D3681E" w14:textId="77777777" w:rsidR="00A0284C" w:rsidRPr="000B4E2C" w:rsidRDefault="00A0284C" w:rsidP="00A0284C">
            <w:pPr>
              <w:jc w:val="center"/>
              <w:rPr>
                <w:b/>
                <w:bCs/>
                <w:color w:val="000000"/>
                <w:lang w:eastAsia="en-GB"/>
              </w:rPr>
            </w:pPr>
          </w:p>
        </w:tc>
        <w:tc>
          <w:tcPr>
            <w:tcW w:w="0" w:type="auto"/>
            <w:vMerge/>
            <w:shd w:val="clear" w:color="auto" w:fill="auto"/>
            <w:vAlign w:val="center"/>
            <w:hideMark/>
          </w:tcPr>
          <w:p w14:paraId="1D4E2AEE" w14:textId="77777777" w:rsidR="00A0284C" w:rsidRPr="000B4E2C" w:rsidRDefault="00A0284C" w:rsidP="00A0284C">
            <w:pPr>
              <w:jc w:val="center"/>
              <w:rPr>
                <w:b/>
                <w:bCs/>
                <w:color w:val="000000"/>
                <w:lang w:eastAsia="en-GB"/>
              </w:rPr>
            </w:pPr>
          </w:p>
        </w:tc>
        <w:tc>
          <w:tcPr>
            <w:tcW w:w="0" w:type="auto"/>
            <w:shd w:val="clear" w:color="auto" w:fill="auto"/>
            <w:vAlign w:val="center"/>
            <w:hideMark/>
          </w:tcPr>
          <w:p w14:paraId="5AD1B2BE" w14:textId="77777777" w:rsidR="00A0284C" w:rsidRPr="000B4E2C" w:rsidRDefault="00A0284C" w:rsidP="00A0284C">
            <w:pPr>
              <w:jc w:val="center"/>
              <w:rPr>
                <w:b/>
                <w:bCs/>
                <w:color w:val="000000"/>
                <w:lang w:eastAsia="en-GB"/>
              </w:rPr>
            </w:pPr>
            <w:r w:rsidRPr="000B4E2C">
              <w:rPr>
                <w:b/>
                <w:bCs/>
                <w:lang w:eastAsia="en-GB"/>
              </w:rPr>
              <w:t>Patient selection</w:t>
            </w:r>
          </w:p>
        </w:tc>
        <w:tc>
          <w:tcPr>
            <w:tcW w:w="0" w:type="auto"/>
            <w:shd w:val="clear" w:color="auto" w:fill="auto"/>
            <w:vAlign w:val="center"/>
            <w:hideMark/>
          </w:tcPr>
          <w:p w14:paraId="39C30B66" w14:textId="77777777" w:rsidR="00A0284C" w:rsidRPr="000B4E2C" w:rsidRDefault="00A0284C" w:rsidP="00A0284C">
            <w:pPr>
              <w:jc w:val="center"/>
              <w:rPr>
                <w:b/>
                <w:bCs/>
                <w:color w:val="000000"/>
                <w:lang w:eastAsia="en-GB"/>
              </w:rPr>
            </w:pPr>
            <w:r w:rsidRPr="000B4E2C">
              <w:rPr>
                <w:b/>
                <w:bCs/>
                <w:lang w:eastAsia="en-GB"/>
              </w:rPr>
              <w:t>Index test</w:t>
            </w:r>
          </w:p>
        </w:tc>
        <w:tc>
          <w:tcPr>
            <w:tcW w:w="0" w:type="auto"/>
            <w:shd w:val="clear" w:color="auto" w:fill="auto"/>
            <w:vAlign w:val="center"/>
            <w:hideMark/>
          </w:tcPr>
          <w:p w14:paraId="0A9922DF" w14:textId="77777777" w:rsidR="00A0284C" w:rsidRPr="000B4E2C" w:rsidRDefault="00A0284C" w:rsidP="00A0284C">
            <w:pPr>
              <w:jc w:val="center"/>
              <w:rPr>
                <w:b/>
                <w:bCs/>
                <w:color w:val="000000"/>
                <w:lang w:eastAsia="en-GB"/>
              </w:rPr>
            </w:pPr>
            <w:r w:rsidRPr="000B4E2C">
              <w:rPr>
                <w:b/>
                <w:bCs/>
                <w:lang w:eastAsia="en-GB"/>
              </w:rPr>
              <w:t>Reference standard</w:t>
            </w:r>
          </w:p>
        </w:tc>
        <w:tc>
          <w:tcPr>
            <w:tcW w:w="0" w:type="auto"/>
            <w:shd w:val="clear" w:color="auto" w:fill="auto"/>
            <w:vAlign w:val="center"/>
            <w:hideMark/>
          </w:tcPr>
          <w:p w14:paraId="2FDB7E2F" w14:textId="77777777" w:rsidR="00A0284C" w:rsidRPr="000B4E2C" w:rsidRDefault="00A0284C" w:rsidP="00A0284C">
            <w:pPr>
              <w:jc w:val="center"/>
              <w:rPr>
                <w:b/>
                <w:bCs/>
                <w:color w:val="000000"/>
                <w:lang w:eastAsia="en-GB"/>
              </w:rPr>
            </w:pPr>
            <w:r w:rsidRPr="000B4E2C">
              <w:rPr>
                <w:b/>
                <w:bCs/>
                <w:lang w:eastAsia="en-GB"/>
              </w:rPr>
              <w:t>Flow and timing</w:t>
            </w:r>
          </w:p>
        </w:tc>
        <w:tc>
          <w:tcPr>
            <w:tcW w:w="0" w:type="auto"/>
            <w:shd w:val="clear" w:color="auto" w:fill="auto"/>
            <w:vAlign w:val="center"/>
            <w:hideMark/>
          </w:tcPr>
          <w:p w14:paraId="12849B42" w14:textId="77777777" w:rsidR="00A0284C" w:rsidRPr="000B4E2C" w:rsidRDefault="00A0284C" w:rsidP="00A0284C">
            <w:pPr>
              <w:jc w:val="center"/>
              <w:rPr>
                <w:b/>
                <w:bCs/>
                <w:color w:val="000000"/>
                <w:lang w:eastAsia="en-GB"/>
              </w:rPr>
            </w:pPr>
            <w:r w:rsidRPr="000B4E2C">
              <w:rPr>
                <w:b/>
                <w:bCs/>
                <w:lang w:eastAsia="en-GB"/>
              </w:rPr>
              <w:t>Patient selection</w:t>
            </w:r>
          </w:p>
        </w:tc>
        <w:tc>
          <w:tcPr>
            <w:tcW w:w="0" w:type="auto"/>
            <w:shd w:val="clear" w:color="auto" w:fill="auto"/>
            <w:vAlign w:val="center"/>
            <w:hideMark/>
          </w:tcPr>
          <w:p w14:paraId="0444DFB6" w14:textId="77777777" w:rsidR="00A0284C" w:rsidRPr="000B4E2C" w:rsidRDefault="00A0284C" w:rsidP="00A0284C">
            <w:pPr>
              <w:jc w:val="center"/>
              <w:rPr>
                <w:b/>
                <w:bCs/>
                <w:color w:val="000000"/>
                <w:lang w:eastAsia="en-GB"/>
              </w:rPr>
            </w:pPr>
            <w:r w:rsidRPr="000B4E2C">
              <w:rPr>
                <w:b/>
                <w:bCs/>
                <w:lang w:eastAsia="en-GB"/>
              </w:rPr>
              <w:t>Index test</w:t>
            </w:r>
          </w:p>
        </w:tc>
        <w:tc>
          <w:tcPr>
            <w:tcW w:w="0" w:type="auto"/>
            <w:shd w:val="clear" w:color="auto" w:fill="auto"/>
            <w:vAlign w:val="center"/>
            <w:hideMark/>
          </w:tcPr>
          <w:p w14:paraId="61470D73" w14:textId="77777777" w:rsidR="00A0284C" w:rsidRPr="000B4E2C" w:rsidRDefault="00A0284C" w:rsidP="00A0284C">
            <w:pPr>
              <w:jc w:val="center"/>
              <w:rPr>
                <w:b/>
                <w:bCs/>
                <w:lang w:eastAsia="en-GB"/>
              </w:rPr>
            </w:pPr>
            <w:r w:rsidRPr="000B4E2C">
              <w:rPr>
                <w:b/>
                <w:bCs/>
                <w:lang w:eastAsia="en-GB"/>
              </w:rPr>
              <w:t>Reference standard</w:t>
            </w:r>
          </w:p>
        </w:tc>
      </w:tr>
      <w:tr w:rsidR="00A0284C" w:rsidRPr="000B4E2C" w14:paraId="2FE94E3A" w14:textId="77777777" w:rsidTr="000B4E2C">
        <w:trPr>
          <w:cantSplit/>
          <w:tblHeader/>
        </w:trPr>
        <w:tc>
          <w:tcPr>
            <w:tcW w:w="0" w:type="auto"/>
            <w:shd w:val="clear" w:color="auto" w:fill="auto"/>
            <w:noWrap/>
            <w:vAlign w:val="center"/>
            <w:hideMark/>
          </w:tcPr>
          <w:p w14:paraId="7858299D" w14:textId="77777777" w:rsidR="00A0284C" w:rsidRPr="000B4E2C" w:rsidRDefault="00A0284C" w:rsidP="00A0284C">
            <w:pPr>
              <w:rPr>
                <w:color w:val="000000"/>
                <w:lang w:eastAsia="en-GB"/>
              </w:rPr>
            </w:pPr>
            <w:r w:rsidRPr="000B4E2C">
              <w:rPr>
                <w:lang w:eastAsia="en-GB"/>
              </w:rPr>
              <w:t>Albert 2018</w:t>
            </w:r>
          </w:p>
        </w:tc>
        <w:tc>
          <w:tcPr>
            <w:tcW w:w="0" w:type="auto"/>
            <w:shd w:val="clear" w:color="auto" w:fill="auto"/>
            <w:noWrap/>
            <w:vAlign w:val="center"/>
            <w:hideMark/>
          </w:tcPr>
          <w:p w14:paraId="69416857"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0D4CB8A3"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353EF53"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56112023"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A0AC883"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ABB35B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B086514"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4C1A8190" w14:textId="77777777" w:rsidR="00A0284C" w:rsidRPr="000B4E2C" w:rsidRDefault="00A0284C" w:rsidP="00A0284C">
            <w:pPr>
              <w:jc w:val="center"/>
              <w:rPr>
                <w:lang w:eastAsia="en-GB"/>
              </w:rPr>
            </w:pPr>
            <w:r w:rsidRPr="000B4E2C">
              <w:rPr>
                <w:lang w:eastAsia="en-GB"/>
              </w:rPr>
              <w:t>Low</w:t>
            </w:r>
          </w:p>
        </w:tc>
      </w:tr>
      <w:tr w:rsidR="00A0284C" w:rsidRPr="000B4E2C" w14:paraId="3D0A6416" w14:textId="77777777" w:rsidTr="000B4E2C">
        <w:trPr>
          <w:cantSplit/>
          <w:tblHeader/>
        </w:trPr>
        <w:tc>
          <w:tcPr>
            <w:tcW w:w="0" w:type="auto"/>
            <w:shd w:val="clear" w:color="auto" w:fill="auto"/>
            <w:noWrap/>
            <w:vAlign w:val="center"/>
            <w:hideMark/>
          </w:tcPr>
          <w:p w14:paraId="246AC38A" w14:textId="77777777" w:rsidR="00A0284C" w:rsidRPr="000B4E2C" w:rsidRDefault="00A0284C" w:rsidP="00A0284C">
            <w:pPr>
              <w:rPr>
                <w:color w:val="000000"/>
                <w:lang w:eastAsia="en-GB"/>
              </w:rPr>
            </w:pPr>
            <w:r w:rsidRPr="000B4E2C">
              <w:rPr>
                <w:lang w:eastAsia="en-GB"/>
              </w:rPr>
              <w:t>Alcaraz 2014</w:t>
            </w:r>
          </w:p>
        </w:tc>
        <w:tc>
          <w:tcPr>
            <w:tcW w:w="0" w:type="auto"/>
            <w:shd w:val="clear" w:color="auto" w:fill="auto"/>
            <w:noWrap/>
            <w:vAlign w:val="center"/>
            <w:hideMark/>
          </w:tcPr>
          <w:p w14:paraId="2EDC4F03"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54D003AD"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B29D8AB"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1F69E347"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C40D563"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E471274"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79BBDAA"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1CC7EE37" w14:textId="77777777" w:rsidR="00A0284C" w:rsidRPr="000B4E2C" w:rsidRDefault="00A0284C" w:rsidP="00A0284C">
            <w:pPr>
              <w:jc w:val="center"/>
              <w:rPr>
                <w:lang w:eastAsia="en-GB"/>
              </w:rPr>
            </w:pPr>
            <w:r w:rsidRPr="000B4E2C">
              <w:rPr>
                <w:lang w:eastAsia="en-GB"/>
              </w:rPr>
              <w:t>Low</w:t>
            </w:r>
          </w:p>
        </w:tc>
      </w:tr>
      <w:tr w:rsidR="00A0284C" w:rsidRPr="000B4E2C" w14:paraId="60D38D96" w14:textId="77777777" w:rsidTr="000B4E2C">
        <w:trPr>
          <w:cantSplit/>
          <w:tblHeader/>
        </w:trPr>
        <w:tc>
          <w:tcPr>
            <w:tcW w:w="0" w:type="auto"/>
            <w:shd w:val="clear" w:color="auto" w:fill="auto"/>
            <w:noWrap/>
            <w:vAlign w:val="center"/>
            <w:hideMark/>
          </w:tcPr>
          <w:p w14:paraId="52AE6AFF" w14:textId="77777777" w:rsidR="00A0284C" w:rsidRPr="000B4E2C" w:rsidRDefault="00A0284C" w:rsidP="00A0284C">
            <w:pPr>
              <w:rPr>
                <w:color w:val="000000"/>
                <w:lang w:eastAsia="en-GB"/>
              </w:rPr>
            </w:pPr>
            <w:r w:rsidRPr="000B4E2C">
              <w:rPr>
                <w:lang w:eastAsia="en-GB"/>
              </w:rPr>
              <w:t>Ariza 2016</w:t>
            </w:r>
          </w:p>
        </w:tc>
        <w:tc>
          <w:tcPr>
            <w:tcW w:w="0" w:type="auto"/>
            <w:shd w:val="clear" w:color="auto" w:fill="auto"/>
            <w:noWrap/>
            <w:vAlign w:val="center"/>
            <w:hideMark/>
          </w:tcPr>
          <w:p w14:paraId="084B8BA9"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55398FC3"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C4CFC9D"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5083E588"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F096BB8"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7765F7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7339282D"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72C73F47" w14:textId="77777777" w:rsidR="00A0284C" w:rsidRPr="000B4E2C" w:rsidRDefault="00A0284C" w:rsidP="00A0284C">
            <w:pPr>
              <w:jc w:val="center"/>
              <w:rPr>
                <w:lang w:eastAsia="en-GB"/>
              </w:rPr>
            </w:pPr>
            <w:r w:rsidRPr="000B4E2C">
              <w:rPr>
                <w:lang w:eastAsia="en-GB"/>
              </w:rPr>
              <w:t>Low</w:t>
            </w:r>
          </w:p>
        </w:tc>
      </w:tr>
      <w:tr w:rsidR="00A0284C" w:rsidRPr="000B4E2C" w14:paraId="58BA8555" w14:textId="77777777" w:rsidTr="000B4E2C">
        <w:trPr>
          <w:cantSplit/>
          <w:tblHeader/>
        </w:trPr>
        <w:tc>
          <w:tcPr>
            <w:tcW w:w="0" w:type="auto"/>
            <w:shd w:val="clear" w:color="auto" w:fill="auto"/>
            <w:noWrap/>
            <w:vAlign w:val="center"/>
            <w:hideMark/>
          </w:tcPr>
          <w:p w14:paraId="2EEBAB01" w14:textId="77777777" w:rsidR="00A0284C" w:rsidRPr="000B4E2C" w:rsidRDefault="00A0284C" w:rsidP="00A0284C">
            <w:pPr>
              <w:rPr>
                <w:color w:val="000000"/>
                <w:lang w:eastAsia="en-GB"/>
              </w:rPr>
            </w:pPr>
            <w:r w:rsidRPr="000B4E2C">
              <w:rPr>
                <w:lang w:eastAsia="en-GB"/>
              </w:rPr>
              <w:t>Asada 2016</w:t>
            </w:r>
          </w:p>
        </w:tc>
        <w:tc>
          <w:tcPr>
            <w:tcW w:w="0" w:type="auto"/>
            <w:shd w:val="clear" w:color="auto" w:fill="auto"/>
            <w:noWrap/>
            <w:vAlign w:val="center"/>
            <w:hideMark/>
          </w:tcPr>
          <w:p w14:paraId="220C1457"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44751251"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5A4C768E"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426D0A37"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C2DB7A5" w14:textId="77777777" w:rsidR="00A0284C" w:rsidRPr="000B4E2C" w:rsidRDefault="00A0284C" w:rsidP="00A0284C">
            <w:pPr>
              <w:jc w:val="center"/>
              <w:rPr>
                <w:color w:val="000000"/>
                <w:lang w:eastAsia="en-GB"/>
              </w:rPr>
            </w:pPr>
            <w:r w:rsidRPr="000B4E2C">
              <w:rPr>
                <w:lang w:eastAsia="en-GB"/>
              </w:rPr>
              <w:t>High</w:t>
            </w:r>
          </w:p>
        </w:tc>
        <w:tc>
          <w:tcPr>
            <w:tcW w:w="0" w:type="auto"/>
            <w:shd w:val="clear" w:color="auto" w:fill="auto"/>
            <w:noWrap/>
            <w:vAlign w:val="center"/>
            <w:hideMark/>
          </w:tcPr>
          <w:p w14:paraId="30EB22B6"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479F7E01"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4CB1B6B1" w14:textId="77777777" w:rsidR="00A0284C" w:rsidRPr="000B4E2C" w:rsidRDefault="00A0284C" w:rsidP="00A0284C">
            <w:pPr>
              <w:jc w:val="center"/>
              <w:rPr>
                <w:lang w:eastAsia="en-GB"/>
              </w:rPr>
            </w:pPr>
            <w:r w:rsidRPr="000B4E2C">
              <w:rPr>
                <w:lang w:eastAsia="en-GB"/>
              </w:rPr>
              <w:t>Low</w:t>
            </w:r>
          </w:p>
        </w:tc>
      </w:tr>
      <w:tr w:rsidR="00A0284C" w:rsidRPr="000B4E2C" w14:paraId="1ECAE479" w14:textId="77777777" w:rsidTr="000B4E2C">
        <w:trPr>
          <w:cantSplit/>
          <w:tblHeader/>
        </w:trPr>
        <w:tc>
          <w:tcPr>
            <w:tcW w:w="0" w:type="auto"/>
            <w:shd w:val="clear" w:color="auto" w:fill="auto"/>
            <w:noWrap/>
            <w:vAlign w:val="center"/>
            <w:hideMark/>
          </w:tcPr>
          <w:p w14:paraId="0699F057" w14:textId="77777777" w:rsidR="00A0284C" w:rsidRPr="000B4E2C" w:rsidRDefault="00A0284C" w:rsidP="00A0284C">
            <w:pPr>
              <w:rPr>
                <w:color w:val="000000"/>
                <w:lang w:eastAsia="en-GB"/>
              </w:rPr>
            </w:pPr>
            <w:r w:rsidRPr="000B4E2C">
              <w:rPr>
                <w:lang w:eastAsia="en-GB"/>
              </w:rPr>
              <w:t>Barreto 2014</w:t>
            </w:r>
          </w:p>
        </w:tc>
        <w:tc>
          <w:tcPr>
            <w:tcW w:w="0" w:type="auto"/>
            <w:shd w:val="clear" w:color="auto" w:fill="auto"/>
            <w:noWrap/>
            <w:vAlign w:val="center"/>
            <w:hideMark/>
          </w:tcPr>
          <w:p w14:paraId="5AA5E0A4"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28A7E5C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C268983"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7D764359"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D02A897"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A0A7B0E"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F1F8586"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275263C9" w14:textId="77777777" w:rsidR="00A0284C" w:rsidRPr="000B4E2C" w:rsidRDefault="00A0284C" w:rsidP="00A0284C">
            <w:pPr>
              <w:jc w:val="center"/>
              <w:rPr>
                <w:lang w:eastAsia="en-GB"/>
              </w:rPr>
            </w:pPr>
            <w:r w:rsidRPr="000B4E2C">
              <w:rPr>
                <w:lang w:eastAsia="en-GB"/>
              </w:rPr>
              <w:t>Low</w:t>
            </w:r>
          </w:p>
        </w:tc>
      </w:tr>
      <w:tr w:rsidR="00A0284C" w:rsidRPr="000B4E2C" w14:paraId="07B0A724" w14:textId="77777777" w:rsidTr="000B4E2C">
        <w:trPr>
          <w:cantSplit/>
          <w:tblHeader/>
        </w:trPr>
        <w:tc>
          <w:tcPr>
            <w:tcW w:w="0" w:type="auto"/>
            <w:shd w:val="clear" w:color="auto" w:fill="auto"/>
            <w:noWrap/>
            <w:vAlign w:val="center"/>
            <w:hideMark/>
          </w:tcPr>
          <w:p w14:paraId="68ABB040" w14:textId="77777777" w:rsidR="00A0284C" w:rsidRPr="000B4E2C" w:rsidRDefault="00A0284C" w:rsidP="00A0284C">
            <w:pPr>
              <w:rPr>
                <w:color w:val="000000"/>
                <w:lang w:eastAsia="en-GB"/>
              </w:rPr>
            </w:pPr>
            <w:r w:rsidRPr="000B4E2C">
              <w:rPr>
                <w:lang w:eastAsia="en-GB"/>
              </w:rPr>
              <w:t>Beitland 2016</w:t>
            </w:r>
          </w:p>
        </w:tc>
        <w:tc>
          <w:tcPr>
            <w:tcW w:w="0" w:type="auto"/>
            <w:shd w:val="clear" w:color="auto" w:fill="auto"/>
            <w:noWrap/>
            <w:vAlign w:val="center"/>
            <w:hideMark/>
          </w:tcPr>
          <w:p w14:paraId="1D956D3B" w14:textId="77777777" w:rsidR="00A0284C" w:rsidRPr="000B4E2C" w:rsidRDefault="00A0284C" w:rsidP="00A0284C">
            <w:pPr>
              <w:jc w:val="center"/>
              <w:rPr>
                <w:color w:val="000000"/>
                <w:lang w:eastAsia="en-GB"/>
              </w:rPr>
            </w:pPr>
            <w:r w:rsidRPr="000B4E2C">
              <w:rPr>
                <w:lang w:eastAsia="en-GB"/>
              </w:rPr>
              <w:t xml:space="preserve">NephC </w:t>
            </w:r>
          </w:p>
        </w:tc>
        <w:tc>
          <w:tcPr>
            <w:tcW w:w="0" w:type="auto"/>
            <w:shd w:val="clear" w:color="auto" w:fill="auto"/>
            <w:noWrap/>
            <w:vAlign w:val="center"/>
            <w:hideMark/>
          </w:tcPr>
          <w:p w14:paraId="088C2C1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483C539"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4E31D9E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9811D40"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94C122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660CC84"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vAlign w:val="center"/>
            <w:hideMark/>
          </w:tcPr>
          <w:p w14:paraId="1A92AAD7" w14:textId="77777777" w:rsidR="00A0284C" w:rsidRPr="000B4E2C" w:rsidRDefault="00A0284C" w:rsidP="00A0284C">
            <w:pPr>
              <w:jc w:val="center"/>
              <w:rPr>
                <w:lang w:eastAsia="en-GB"/>
              </w:rPr>
            </w:pPr>
            <w:r w:rsidRPr="000B4E2C">
              <w:rPr>
                <w:lang w:eastAsia="en-GB"/>
              </w:rPr>
              <w:t>Low</w:t>
            </w:r>
          </w:p>
        </w:tc>
      </w:tr>
      <w:tr w:rsidR="00A0284C" w:rsidRPr="000B4E2C" w14:paraId="697D4853" w14:textId="77777777" w:rsidTr="000B4E2C">
        <w:trPr>
          <w:cantSplit/>
          <w:tblHeader/>
        </w:trPr>
        <w:tc>
          <w:tcPr>
            <w:tcW w:w="0" w:type="auto"/>
            <w:shd w:val="clear" w:color="auto" w:fill="auto"/>
            <w:noWrap/>
            <w:vAlign w:val="center"/>
            <w:hideMark/>
          </w:tcPr>
          <w:p w14:paraId="1F08C9ED" w14:textId="77777777" w:rsidR="00A0284C" w:rsidRPr="000B4E2C" w:rsidRDefault="00A0284C" w:rsidP="00A0284C">
            <w:pPr>
              <w:rPr>
                <w:color w:val="000000"/>
                <w:lang w:eastAsia="en-GB"/>
              </w:rPr>
            </w:pPr>
            <w:r w:rsidRPr="000B4E2C">
              <w:rPr>
                <w:lang w:eastAsia="en-GB"/>
              </w:rPr>
              <w:t>Bennett 2013</w:t>
            </w:r>
          </w:p>
        </w:tc>
        <w:tc>
          <w:tcPr>
            <w:tcW w:w="0" w:type="auto"/>
            <w:shd w:val="clear" w:color="auto" w:fill="auto"/>
            <w:noWrap/>
            <w:vAlign w:val="center"/>
            <w:hideMark/>
          </w:tcPr>
          <w:p w14:paraId="2F374544"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76691612"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8809E9C"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39519A1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A905E63"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F81B82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E81C4B9"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2364B4EA" w14:textId="77777777" w:rsidR="00A0284C" w:rsidRPr="000B4E2C" w:rsidRDefault="00A0284C" w:rsidP="00A0284C">
            <w:pPr>
              <w:jc w:val="center"/>
              <w:rPr>
                <w:lang w:eastAsia="en-GB"/>
              </w:rPr>
            </w:pPr>
            <w:r w:rsidRPr="000B4E2C">
              <w:rPr>
                <w:lang w:eastAsia="en-GB"/>
              </w:rPr>
              <w:t>Low</w:t>
            </w:r>
          </w:p>
        </w:tc>
      </w:tr>
      <w:tr w:rsidR="00A0284C" w:rsidRPr="000B4E2C" w14:paraId="30455D4F" w14:textId="77777777" w:rsidTr="000B4E2C">
        <w:trPr>
          <w:cantSplit/>
          <w:tblHeader/>
        </w:trPr>
        <w:tc>
          <w:tcPr>
            <w:tcW w:w="0" w:type="auto"/>
            <w:shd w:val="clear" w:color="auto" w:fill="auto"/>
            <w:noWrap/>
            <w:vAlign w:val="center"/>
            <w:hideMark/>
          </w:tcPr>
          <w:p w14:paraId="064C97C2" w14:textId="77777777" w:rsidR="00A0284C" w:rsidRPr="000B4E2C" w:rsidRDefault="00A0284C" w:rsidP="00A0284C">
            <w:pPr>
              <w:rPr>
                <w:color w:val="000000"/>
                <w:lang w:eastAsia="en-GB"/>
              </w:rPr>
            </w:pPr>
            <w:r w:rsidRPr="000B4E2C">
              <w:rPr>
                <w:lang w:eastAsia="en-GB"/>
              </w:rPr>
              <w:t>Bihorac 2014</w:t>
            </w:r>
          </w:p>
        </w:tc>
        <w:tc>
          <w:tcPr>
            <w:tcW w:w="0" w:type="auto"/>
            <w:shd w:val="clear" w:color="auto" w:fill="auto"/>
            <w:noWrap/>
            <w:vAlign w:val="center"/>
            <w:hideMark/>
          </w:tcPr>
          <w:p w14:paraId="4366ADC4" w14:textId="77777777" w:rsidR="00A0284C" w:rsidRPr="000B4E2C" w:rsidRDefault="00A0284C" w:rsidP="00A0284C">
            <w:pPr>
              <w:jc w:val="center"/>
              <w:rPr>
                <w:color w:val="000000"/>
                <w:lang w:eastAsia="en-GB"/>
              </w:rPr>
            </w:pPr>
            <w:r w:rsidRPr="000B4E2C">
              <w:rPr>
                <w:lang w:eastAsia="en-GB"/>
              </w:rPr>
              <w:t xml:space="preserve">NephC </w:t>
            </w:r>
          </w:p>
        </w:tc>
        <w:tc>
          <w:tcPr>
            <w:tcW w:w="0" w:type="auto"/>
            <w:shd w:val="clear" w:color="auto" w:fill="auto"/>
            <w:noWrap/>
            <w:vAlign w:val="center"/>
            <w:hideMark/>
          </w:tcPr>
          <w:p w14:paraId="55250C32"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951CBC2"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2202930A"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7CFBE00"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7B8D7E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93F5A7C"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vAlign w:val="center"/>
            <w:hideMark/>
          </w:tcPr>
          <w:p w14:paraId="3E7F2F46" w14:textId="77777777" w:rsidR="00A0284C" w:rsidRPr="000B4E2C" w:rsidRDefault="00A0284C" w:rsidP="00A0284C">
            <w:pPr>
              <w:jc w:val="center"/>
              <w:rPr>
                <w:lang w:eastAsia="en-GB"/>
              </w:rPr>
            </w:pPr>
            <w:r w:rsidRPr="000B4E2C">
              <w:rPr>
                <w:lang w:eastAsia="en-GB"/>
              </w:rPr>
              <w:t>Low</w:t>
            </w:r>
          </w:p>
        </w:tc>
      </w:tr>
      <w:tr w:rsidR="00A0284C" w:rsidRPr="000B4E2C" w14:paraId="7B403A12" w14:textId="77777777" w:rsidTr="000B4E2C">
        <w:trPr>
          <w:cantSplit/>
          <w:tblHeader/>
        </w:trPr>
        <w:tc>
          <w:tcPr>
            <w:tcW w:w="0" w:type="auto"/>
            <w:shd w:val="clear" w:color="auto" w:fill="auto"/>
            <w:noWrap/>
            <w:vAlign w:val="center"/>
            <w:hideMark/>
          </w:tcPr>
          <w:p w14:paraId="7019611C" w14:textId="77777777" w:rsidR="00A0284C" w:rsidRPr="000B4E2C" w:rsidRDefault="00A0284C" w:rsidP="00A0284C">
            <w:pPr>
              <w:rPr>
                <w:color w:val="000000"/>
                <w:lang w:eastAsia="en-GB"/>
              </w:rPr>
            </w:pPr>
            <w:r w:rsidRPr="000B4E2C">
              <w:rPr>
                <w:lang w:eastAsia="en-GB"/>
              </w:rPr>
              <w:t>Bojan 2014</w:t>
            </w:r>
          </w:p>
        </w:tc>
        <w:tc>
          <w:tcPr>
            <w:tcW w:w="0" w:type="auto"/>
            <w:shd w:val="clear" w:color="auto" w:fill="auto"/>
            <w:noWrap/>
            <w:vAlign w:val="center"/>
            <w:hideMark/>
          </w:tcPr>
          <w:p w14:paraId="18AF5EF8"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1ADB03DF"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F304931"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5A74CC1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DC59E43"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155545F"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19286CC"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5D4A021F" w14:textId="77777777" w:rsidR="00A0284C" w:rsidRPr="000B4E2C" w:rsidRDefault="00A0284C" w:rsidP="00A0284C">
            <w:pPr>
              <w:jc w:val="center"/>
              <w:rPr>
                <w:lang w:eastAsia="en-GB"/>
              </w:rPr>
            </w:pPr>
            <w:r w:rsidRPr="000B4E2C">
              <w:rPr>
                <w:lang w:eastAsia="en-GB"/>
              </w:rPr>
              <w:t>Low</w:t>
            </w:r>
          </w:p>
        </w:tc>
      </w:tr>
      <w:tr w:rsidR="00A0284C" w:rsidRPr="000B4E2C" w14:paraId="7396CF60" w14:textId="77777777" w:rsidTr="000B4E2C">
        <w:trPr>
          <w:cantSplit/>
          <w:tblHeader/>
        </w:trPr>
        <w:tc>
          <w:tcPr>
            <w:tcW w:w="0" w:type="auto"/>
            <w:shd w:val="clear" w:color="auto" w:fill="auto"/>
            <w:noWrap/>
            <w:vAlign w:val="center"/>
            <w:hideMark/>
          </w:tcPr>
          <w:p w14:paraId="6A00CA6F" w14:textId="77777777" w:rsidR="00A0284C" w:rsidRPr="000B4E2C" w:rsidRDefault="00A0284C" w:rsidP="00A0284C">
            <w:pPr>
              <w:rPr>
                <w:color w:val="000000"/>
                <w:lang w:eastAsia="en-GB"/>
              </w:rPr>
            </w:pPr>
            <w:r w:rsidRPr="000B4E2C">
              <w:rPr>
                <w:lang w:eastAsia="en-GB"/>
              </w:rPr>
              <w:t>Cantinotti 2012</w:t>
            </w:r>
          </w:p>
        </w:tc>
        <w:tc>
          <w:tcPr>
            <w:tcW w:w="0" w:type="auto"/>
            <w:shd w:val="clear" w:color="auto" w:fill="auto"/>
            <w:noWrap/>
            <w:vAlign w:val="center"/>
            <w:hideMark/>
          </w:tcPr>
          <w:p w14:paraId="3B62F4F1"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5E5B9B9D"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7B6DBC9C"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3BE9A010"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CAE552A"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705ED73"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973094D"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2D38B57A" w14:textId="77777777" w:rsidR="00A0284C" w:rsidRPr="000B4E2C" w:rsidRDefault="00A0284C" w:rsidP="00A0284C">
            <w:pPr>
              <w:jc w:val="center"/>
              <w:rPr>
                <w:lang w:eastAsia="en-GB"/>
              </w:rPr>
            </w:pPr>
            <w:r w:rsidRPr="000B4E2C">
              <w:rPr>
                <w:lang w:eastAsia="en-GB"/>
              </w:rPr>
              <w:t>Low</w:t>
            </w:r>
          </w:p>
        </w:tc>
      </w:tr>
      <w:tr w:rsidR="00A0284C" w:rsidRPr="000B4E2C" w14:paraId="3D5410A0" w14:textId="77777777" w:rsidTr="000B4E2C">
        <w:trPr>
          <w:cantSplit/>
          <w:tblHeader/>
        </w:trPr>
        <w:tc>
          <w:tcPr>
            <w:tcW w:w="0" w:type="auto"/>
            <w:shd w:val="clear" w:color="auto" w:fill="auto"/>
            <w:noWrap/>
            <w:vAlign w:val="center"/>
            <w:hideMark/>
          </w:tcPr>
          <w:p w14:paraId="7B9E8FB5" w14:textId="77777777" w:rsidR="00A0284C" w:rsidRPr="000B4E2C" w:rsidRDefault="00A0284C" w:rsidP="00A0284C">
            <w:pPr>
              <w:rPr>
                <w:color w:val="000000"/>
                <w:lang w:eastAsia="en-GB"/>
              </w:rPr>
            </w:pPr>
            <w:r w:rsidRPr="000B4E2C">
              <w:rPr>
                <w:lang w:eastAsia="en-GB"/>
              </w:rPr>
              <w:t>Cho 2013</w:t>
            </w:r>
          </w:p>
        </w:tc>
        <w:tc>
          <w:tcPr>
            <w:tcW w:w="0" w:type="auto"/>
            <w:shd w:val="clear" w:color="auto" w:fill="auto"/>
            <w:noWrap/>
            <w:vAlign w:val="center"/>
            <w:hideMark/>
          </w:tcPr>
          <w:p w14:paraId="0CFBFA15"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39B5BDB0"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C3ADC69"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492668F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1955D69"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A2D804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7E9E01CB"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0EB7D431" w14:textId="77777777" w:rsidR="00A0284C" w:rsidRPr="000B4E2C" w:rsidRDefault="00A0284C" w:rsidP="00A0284C">
            <w:pPr>
              <w:jc w:val="center"/>
              <w:rPr>
                <w:lang w:eastAsia="en-GB"/>
              </w:rPr>
            </w:pPr>
            <w:r w:rsidRPr="000B4E2C">
              <w:rPr>
                <w:lang w:eastAsia="en-GB"/>
              </w:rPr>
              <w:t>Low</w:t>
            </w:r>
          </w:p>
        </w:tc>
      </w:tr>
      <w:tr w:rsidR="00A0284C" w:rsidRPr="000B4E2C" w14:paraId="63623611" w14:textId="77777777" w:rsidTr="000B4E2C">
        <w:trPr>
          <w:cantSplit/>
          <w:tblHeader/>
        </w:trPr>
        <w:tc>
          <w:tcPr>
            <w:tcW w:w="0" w:type="auto"/>
            <w:shd w:val="clear" w:color="auto" w:fill="auto"/>
            <w:noWrap/>
            <w:vAlign w:val="center"/>
            <w:hideMark/>
          </w:tcPr>
          <w:p w14:paraId="5D0EA623" w14:textId="77777777" w:rsidR="00A0284C" w:rsidRPr="000B4E2C" w:rsidRDefault="00A0284C" w:rsidP="00A0284C">
            <w:pPr>
              <w:rPr>
                <w:color w:val="000000"/>
                <w:lang w:eastAsia="en-GB"/>
              </w:rPr>
            </w:pPr>
            <w:r w:rsidRPr="000B4E2C">
              <w:rPr>
                <w:lang w:eastAsia="en-GB"/>
              </w:rPr>
              <w:t>Cho 2014</w:t>
            </w:r>
          </w:p>
        </w:tc>
        <w:tc>
          <w:tcPr>
            <w:tcW w:w="0" w:type="auto"/>
            <w:shd w:val="clear" w:color="auto" w:fill="auto"/>
            <w:noWrap/>
            <w:vAlign w:val="center"/>
            <w:hideMark/>
          </w:tcPr>
          <w:p w14:paraId="160868A8"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5BA3A3A3"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FC97D4E"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5FD8F20D"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0CAB8F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C267FD9"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C037071"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7AFD52E6" w14:textId="77777777" w:rsidR="00A0284C" w:rsidRPr="000B4E2C" w:rsidRDefault="00A0284C" w:rsidP="00A0284C">
            <w:pPr>
              <w:jc w:val="center"/>
              <w:rPr>
                <w:lang w:eastAsia="en-GB"/>
              </w:rPr>
            </w:pPr>
            <w:r w:rsidRPr="000B4E2C">
              <w:rPr>
                <w:lang w:eastAsia="en-GB"/>
              </w:rPr>
              <w:t>Low</w:t>
            </w:r>
          </w:p>
        </w:tc>
      </w:tr>
      <w:tr w:rsidR="00A0284C" w:rsidRPr="000B4E2C" w14:paraId="5E1CF8EC" w14:textId="77777777" w:rsidTr="000B4E2C">
        <w:trPr>
          <w:cantSplit/>
          <w:tblHeader/>
        </w:trPr>
        <w:tc>
          <w:tcPr>
            <w:tcW w:w="0" w:type="auto"/>
            <w:shd w:val="clear" w:color="auto" w:fill="auto"/>
            <w:noWrap/>
            <w:vAlign w:val="center"/>
            <w:hideMark/>
          </w:tcPr>
          <w:p w14:paraId="49C11566" w14:textId="77777777" w:rsidR="00A0284C" w:rsidRPr="000B4E2C" w:rsidRDefault="00A0284C" w:rsidP="00A0284C">
            <w:pPr>
              <w:rPr>
                <w:color w:val="000000"/>
                <w:lang w:eastAsia="en-GB"/>
              </w:rPr>
            </w:pPr>
            <w:r w:rsidRPr="000B4E2C">
              <w:rPr>
                <w:lang w:eastAsia="en-GB"/>
              </w:rPr>
              <w:t>Collins 2012</w:t>
            </w:r>
          </w:p>
        </w:tc>
        <w:tc>
          <w:tcPr>
            <w:tcW w:w="0" w:type="auto"/>
            <w:shd w:val="clear" w:color="auto" w:fill="auto"/>
            <w:noWrap/>
            <w:vAlign w:val="center"/>
            <w:hideMark/>
          </w:tcPr>
          <w:p w14:paraId="0F5EC120"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41239EA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E8A1EB9"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63C95F92"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F643F0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3D1D079"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33773E5"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2165EC0A" w14:textId="77777777" w:rsidR="00A0284C" w:rsidRPr="000B4E2C" w:rsidRDefault="00A0284C" w:rsidP="00A0284C">
            <w:pPr>
              <w:jc w:val="center"/>
              <w:rPr>
                <w:lang w:eastAsia="en-GB"/>
              </w:rPr>
            </w:pPr>
            <w:r w:rsidRPr="000B4E2C">
              <w:rPr>
                <w:lang w:eastAsia="en-GB"/>
              </w:rPr>
              <w:t>Low</w:t>
            </w:r>
          </w:p>
        </w:tc>
      </w:tr>
      <w:tr w:rsidR="00A0284C" w:rsidRPr="000B4E2C" w14:paraId="77C08D7B" w14:textId="77777777" w:rsidTr="000B4E2C">
        <w:trPr>
          <w:cantSplit/>
          <w:tblHeader/>
        </w:trPr>
        <w:tc>
          <w:tcPr>
            <w:tcW w:w="0" w:type="auto"/>
            <w:shd w:val="clear" w:color="auto" w:fill="auto"/>
            <w:noWrap/>
            <w:vAlign w:val="center"/>
            <w:hideMark/>
          </w:tcPr>
          <w:p w14:paraId="188665E8" w14:textId="77777777" w:rsidR="00A0284C" w:rsidRPr="000B4E2C" w:rsidRDefault="00A0284C" w:rsidP="00A0284C">
            <w:pPr>
              <w:rPr>
                <w:color w:val="000000"/>
                <w:lang w:eastAsia="en-GB"/>
              </w:rPr>
            </w:pPr>
            <w:r w:rsidRPr="000B4E2C">
              <w:rPr>
                <w:lang w:eastAsia="en-GB"/>
              </w:rPr>
              <w:t>Cullen 2014</w:t>
            </w:r>
          </w:p>
        </w:tc>
        <w:tc>
          <w:tcPr>
            <w:tcW w:w="0" w:type="auto"/>
            <w:shd w:val="clear" w:color="auto" w:fill="auto"/>
            <w:noWrap/>
            <w:vAlign w:val="center"/>
            <w:hideMark/>
          </w:tcPr>
          <w:p w14:paraId="77002588"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5BACD1B5"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0FF5FDF9"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6B1CFE8A"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25DE01B"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766B3BE7"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AE613CB"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3792046D" w14:textId="77777777" w:rsidR="00A0284C" w:rsidRPr="000B4E2C" w:rsidRDefault="00A0284C" w:rsidP="00A0284C">
            <w:pPr>
              <w:jc w:val="center"/>
              <w:rPr>
                <w:lang w:eastAsia="en-GB"/>
              </w:rPr>
            </w:pPr>
            <w:r w:rsidRPr="000B4E2C">
              <w:rPr>
                <w:lang w:eastAsia="en-GB"/>
              </w:rPr>
              <w:t>Low</w:t>
            </w:r>
          </w:p>
        </w:tc>
      </w:tr>
      <w:tr w:rsidR="00A0284C" w:rsidRPr="000B4E2C" w14:paraId="2AE1AAC6" w14:textId="77777777" w:rsidTr="000B4E2C">
        <w:trPr>
          <w:cantSplit/>
          <w:tblHeader/>
        </w:trPr>
        <w:tc>
          <w:tcPr>
            <w:tcW w:w="0" w:type="auto"/>
            <w:shd w:val="clear" w:color="auto" w:fill="auto"/>
            <w:noWrap/>
            <w:vAlign w:val="center"/>
            <w:hideMark/>
          </w:tcPr>
          <w:p w14:paraId="31009741" w14:textId="77777777" w:rsidR="00A0284C" w:rsidRPr="000B4E2C" w:rsidRDefault="00A0284C" w:rsidP="00A0284C">
            <w:pPr>
              <w:rPr>
                <w:color w:val="000000"/>
                <w:lang w:eastAsia="en-GB"/>
              </w:rPr>
            </w:pPr>
            <w:r w:rsidRPr="000B4E2C">
              <w:rPr>
                <w:lang w:eastAsia="en-GB"/>
              </w:rPr>
              <w:t>Cummings 2019</w:t>
            </w:r>
          </w:p>
        </w:tc>
        <w:tc>
          <w:tcPr>
            <w:tcW w:w="0" w:type="auto"/>
            <w:shd w:val="clear" w:color="auto" w:fill="auto"/>
            <w:noWrap/>
            <w:vAlign w:val="center"/>
            <w:hideMark/>
          </w:tcPr>
          <w:p w14:paraId="7EB75DEB" w14:textId="77777777" w:rsidR="00A0284C" w:rsidRPr="000B4E2C" w:rsidRDefault="00A0284C" w:rsidP="00A0284C">
            <w:pPr>
              <w:jc w:val="center"/>
              <w:rPr>
                <w:color w:val="000000"/>
                <w:lang w:eastAsia="en-GB"/>
              </w:rPr>
            </w:pPr>
            <w:r w:rsidRPr="000B4E2C">
              <w:rPr>
                <w:lang w:eastAsia="en-GB"/>
              </w:rPr>
              <w:t xml:space="preserve">NephC </w:t>
            </w:r>
          </w:p>
        </w:tc>
        <w:tc>
          <w:tcPr>
            <w:tcW w:w="0" w:type="auto"/>
            <w:shd w:val="clear" w:color="auto" w:fill="auto"/>
            <w:noWrap/>
            <w:vAlign w:val="center"/>
            <w:hideMark/>
          </w:tcPr>
          <w:p w14:paraId="5B9B013F"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48BB7E9"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5F1B404E"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37EE84C"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6A27E08"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2C9CB4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vAlign w:val="center"/>
            <w:hideMark/>
          </w:tcPr>
          <w:p w14:paraId="528747FE" w14:textId="77777777" w:rsidR="00A0284C" w:rsidRPr="000B4E2C" w:rsidRDefault="00A0284C" w:rsidP="00A0284C">
            <w:pPr>
              <w:jc w:val="center"/>
              <w:rPr>
                <w:lang w:eastAsia="en-GB"/>
              </w:rPr>
            </w:pPr>
            <w:r w:rsidRPr="000B4E2C">
              <w:rPr>
                <w:lang w:eastAsia="en-GB"/>
              </w:rPr>
              <w:t>Low</w:t>
            </w:r>
          </w:p>
        </w:tc>
      </w:tr>
      <w:tr w:rsidR="00A0284C" w:rsidRPr="000B4E2C" w14:paraId="54AB1FE2" w14:textId="77777777" w:rsidTr="000B4E2C">
        <w:trPr>
          <w:cantSplit/>
          <w:tblHeader/>
        </w:trPr>
        <w:tc>
          <w:tcPr>
            <w:tcW w:w="0" w:type="auto"/>
            <w:shd w:val="clear" w:color="auto" w:fill="auto"/>
            <w:noWrap/>
            <w:vAlign w:val="center"/>
            <w:hideMark/>
          </w:tcPr>
          <w:p w14:paraId="2E613D0E" w14:textId="77777777" w:rsidR="00A0284C" w:rsidRPr="000B4E2C" w:rsidRDefault="00A0284C" w:rsidP="00A0284C">
            <w:pPr>
              <w:rPr>
                <w:color w:val="000000"/>
                <w:lang w:eastAsia="en-GB"/>
              </w:rPr>
            </w:pPr>
            <w:r w:rsidRPr="000B4E2C">
              <w:rPr>
                <w:lang w:eastAsia="en-GB"/>
              </w:rPr>
              <w:t>De Loor 2017</w:t>
            </w:r>
          </w:p>
        </w:tc>
        <w:tc>
          <w:tcPr>
            <w:tcW w:w="0" w:type="auto"/>
            <w:shd w:val="clear" w:color="auto" w:fill="auto"/>
            <w:noWrap/>
            <w:vAlign w:val="center"/>
            <w:hideMark/>
          </w:tcPr>
          <w:p w14:paraId="637014BB"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5DD8312F"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9E3BD74"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40E7DBC4"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9E6B2C4"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264C46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ECF4390"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605FC23A" w14:textId="77777777" w:rsidR="00A0284C" w:rsidRPr="000B4E2C" w:rsidRDefault="00A0284C" w:rsidP="00A0284C">
            <w:pPr>
              <w:jc w:val="center"/>
              <w:rPr>
                <w:lang w:eastAsia="en-GB"/>
              </w:rPr>
            </w:pPr>
            <w:r w:rsidRPr="000B4E2C">
              <w:rPr>
                <w:lang w:eastAsia="en-GB"/>
              </w:rPr>
              <w:t>Low</w:t>
            </w:r>
          </w:p>
        </w:tc>
      </w:tr>
      <w:tr w:rsidR="00A0284C" w:rsidRPr="000B4E2C" w14:paraId="05FEA39E" w14:textId="77777777" w:rsidTr="000B4E2C">
        <w:trPr>
          <w:cantSplit/>
          <w:tblHeader/>
        </w:trPr>
        <w:tc>
          <w:tcPr>
            <w:tcW w:w="0" w:type="auto"/>
            <w:shd w:val="clear" w:color="auto" w:fill="auto"/>
            <w:noWrap/>
            <w:vAlign w:val="center"/>
            <w:hideMark/>
          </w:tcPr>
          <w:p w14:paraId="43F301C2" w14:textId="77777777" w:rsidR="00A0284C" w:rsidRPr="000B4E2C" w:rsidRDefault="00A0284C" w:rsidP="00A0284C">
            <w:pPr>
              <w:rPr>
                <w:color w:val="000000"/>
                <w:lang w:eastAsia="en-GB"/>
              </w:rPr>
            </w:pPr>
            <w:r w:rsidRPr="000B4E2C">
              <w:rPr>
                <w:lang w:eastAsia="en-GB"/>
              </w:rPr>
              <w:t>Di Leo 2018</w:t>
            </w:r>
          </w:p>
        </w:tc>
        <w:tc>
          <w:tcPr>
            <w:tcW w:w="0" w:type="auto"/>
            <w:shd w:val="clear" w:color="auto" w:fill="auto"/>
            <w:noWrap/>
            <w:vAlign w:val="center"/>
            <w:hideMark/>
          </w:tcPr>
          <w:p w14:paraId="5C975574" w14:textId="77777777" w:rsidR="00A0284C" w:rsidRPr="000B4E2C" w:rsidRDefault="00A0284C" w:rsidP="00A0284C">
            <w:pPr>
              <w:jc w:val="center"/>
              <w:rPr>
                <w:color w:val="000000"/>
                <w:lang w:eastAsia="en-GB"/>
              </w:rPr>
            </w:pPr>
            <w:r w:rsidRPr="000B4E2C">
              <w:rPr>
                <w:lang w:eastAsia="en-GB"/>
              </w:rPr>
              <w:t xml:space="preserve">NephC </w:t>
            </w:r>
          </w:p>
        </w:tc>
        <w:tc>
          <w:tcPr>
            <w:tcW w:w="0" w:type="auto"/>
            <w:shd w:val="clear" w:color="auto" w:fill="auto"/>
            <w:noWrap/>
            <w:vAlign w:val="center"/>
            <w:hideMark/>
          </w:tcPr>
          <w:p w14:paraId="34B6252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ABBECC2"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2676B308"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2BF0A9B"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606A7D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8619A2E"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vAlign w:val="center"/>
            <w:hideMark/>
          </w:tcPr>
          <w:p w14:paraId="43649D98" w14:textId="77777777" w:rsidR="00A0284C" w:rsidRPr="000B4E2C" w:rsidRDefault="00A0284C" w:rsidP="00A0284C">
            <w:pPr>
              <w:jc w:val="center"/>
              <w:rPr>
                <w:lang w:eastAsia="en-GB"/>
              </w:rPr>
            </w:pPr>
            <w:r w:rsidRPr="000B4E2C">
              <w:rPr>
                <w:lang w:eastAsia="en-GB"/>
              </w:rPr>
              <w:t>Low</w:t>
            </w:r>
          </w:p>
        </w:tc>
      </w:tr>
      <w:tr w:rsidR="00A0284C" w:rsidRPr="000B4E2C" w14:paraId="529C5DE5" w14:textId="77777777" w:rsidTr="000B4E2C">
        <w:trPr>
          <w:cantSplit/>
          <w:tblHeader/>
        </w:trPr>
        <w:tc>
          <w:tcPr>
            <w:tcW w:w="0" w:type="auto"/>
            <w:shd w:val="clear" w:color="auto" w:fill="auto"/>
            <w:noWrap/>
            <w:vAlign w:val="center"/>
            <w:hideMark/>
          </w:tcPr>
          <w:p w14:paraId="14D79E3F" w14:textId="77777777" w:rsidR="00A0284C" w:rsidRPr="000B4E2C" w:rsidRDefault="00A0284C" w:rsidP="00A0284C">
            <w:pPr>
              <w:rPr>
                <w:color w:val="000000"/>
                <w:lang w:eastAsia="en-GB"/>
              </w:rPr>
            </w:pPr>
            <w:r w:rsidRPr="000B4E2C">
              <w:rPr>
                <w:lang w:eastAsia="en-GB"/>
              </w:rPr>
              <w:t>Doi 2014</w:t>
            </w:r>
          </w:p>
        </w:tc>
        <w:tc>
          <w:tcPr>
            <w:tcW w:w="0" w:type="auto"/>
            <w:shd w:val="clear" w:color="auto" w:fill="auto"/>
            <w:noWrap/>
            <w:vAlign w:val="center"/>
            <w:hideMark/>
          </w:tcPr>
          <w:p w14:paraId="2EDE930E"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2BBC547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7300D435"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01D9EEF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0B0466E"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58AAA4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3B2443F"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78F10D69" w14:textId="77777777" w:rsidR="00A0284C" w:rsidRPr="000B4E2C" w:rsidRDefault="00A0284C" w:rsidP="00A0284C">
            <w:pPr>
              <w:jc w:val="center"/>
              <w:rPr>
                <w:lang w:eastAsia="en-GB"/>
              </w:rPr>
            </w:pPr>
            <w:r w:rsidRPr="000B4E2C">
              <w:rPr>
                <w:lang w:eastAsia="en-GB"/>
              </w:rPr>
              <w:t>Low</w:t>
            </w:r>
          </w:p>
        </w:tc>
      </w:tr>
      <w:tr w:rsidR="00A0284C" w:rsidRPr="000B4E2C" w14:paraId="67FAAD5E" w14:textId="77777777" w:rsidTr="000B4E2C">
        <w:trPr>
          <w:cantSplit/>
          <w:tblHeader/>
        </w:trPr>
        <w:tc>
          <w:tcPr>
            <w:tcW w:w="0" w:type="auto"/>
            <w:shd w:val="clear" w:color="auto" w:fill="auto"/>
            <w:noWrap/>
            <w:vAlign w:val="center"/>
            <w:hideMark/>
          </w:tcPr>
          <w:p w14:paraId="53CAF1A2" w14:textId="77777777" w:rsidR="00A0284C" w:rsidRPr="000B4E2C" w:rsidRDefault="00A0284C" w:rsidP="00A0284C">
            <w:pPr>
              <w:rPr>
                <w:color w:val="000000"/>
                <w:lang w:eastAsia="en-GB"/>
              </w:rPr>
            </w:pPr>
            <w:r w:rsidRPr="000B4E2C">
              <w:rPr>
                <w:lang w:eastAsia="en-GB"/>
              </w:rPr>
              <w:t>Dong 2017</w:t>
            </w:r>
          </w:p>
        </w:tc>
        <w:tc>
          <w:tcPr>
            <w:tcW w:w="0" w:type="auto"/>
            <w:shd w:val="clear" w:color="auto" w:fill="auto"/>
            <w:noWrap/>
            <w:vAlign w:val="center"/>
            <w:hideMark/>
          </w:tcPr>
          <w:p w14:paraId="2BA4ACB8"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6782D2A7"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0D83945"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2219D56C"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41D6367"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067B5817"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4EF0C86"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21C043ED" w14:textId="77777777" w:rsidR="00A0284C" w:rsidRPr="000B4E2C" w:rsidRDefault="00A0284C" w:rsidP="00A0284C">
            <w:pPr>
              <w:jc w:val="center"/>
              <w:rPr>
                <w:lang w:eastAsia="en-GB"/>
              </w:rPr>
            </w:pPr>
            <w:r w:rsidRPr="000B4E2C">
              <w:rPr>
                <w:lang w:eastAsia="en-GB"/>
              </w:rPr>
              <w:t>Low</w:t>
            </w:r>
          </w:p>
        </w:tc>
      </w:tr>
      <w:tr w:rsidR="00A0284C" w:rsidRPr="000B4E2C" w14:paraId="037533A8" w14:textId="77777777" w:rsidTr="000B4E2C">
        <w:trPr>
          <w:cantSplit/>
          <w:tblHeader/>
        </w:trPr>
        <w:tc>
          <w:tcPr>
            <w:tcW w:w="0" w:type="auto"/>
            <w:shd w:val="clear" w:color="auto" w:fill="auto"/>
            <w:noWrap/>
            <w:vAlign w:val="center"/>
            <w:hideMark/>
          </w:tcPr>
          <w:p w14:paraId="16D9D9ED" w14:textId="77777777" w:rsidR="00A0284C" w:rsidRPr="000B4E2C" w:rsidRDefault="00A0284C" w:rsidP="00A0284C">
            <w:pPr>
              <w:rPr>
                <w:color w:val="000000"/>
                <w:lang w:eastAsia="en-GB"/>
              </w:rPr>
            </w:pPr>
            <w:r w:rsidRPr="000B4E2C">
              <w:rPr>
                <w:lang w:eastAsia="en-GB"/>
              </w:rPr>
              <w:t>Dupont 2012</w:t>
            </w:r>
          </w:p>
        </w:tc>
        <w:tc>
          <w:tcPr>
            <w:tcW w:w="0" w:type="auto"/>
            <w:shd w:val="clear" w:color="auto" w:fill="auto"/>
            <w:noWrap/>
            <w:vAlign w:val="center"/>
            <w:hideMark/>
          </w:tcPr>
          <w:p w14:paraId="3E8A065B"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50229FCF"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B599E5E"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181D51A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7D1E41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A27DBDD"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62A65C8"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138F81DA" w14:textId="77777777" w:rsidR="00A0284C" w:rsidRPr="000B4E2C" w:rsidRDefault="00A0284C" w:rsidP="00A0284C">
            <w:pPr>
              <w:jc w:val="center"/>
              <w:rPr>
                <w:lang w:eastAsia="en-GB"/>
              </w:rPr>
            </w:pPr>
            <w:r w:rsidRPr="000B4E2C">
              <w:rPr>
                <w:lang w:eastAsia="en-GB"/>
              </w:rPr>
              <w:t>Low</w:t>
            </w:r>
          </w:p>
        </w:tc>
      </w:tr>
      <w:tr w:rsidR="00A0284C" w:rsidRPr="000B4E2C" w14:paraId="0F06D4BB" w14:textId="77777777" w:rsidTr="000B4E2C">
        <w:trPr>
          <w:cantSplit/>
          <w:tblHeader/>
        </w:trPr>
        <w:tc>
          <w:tcPr>
            <w:tcW w:w="0" w:type="auto"/>
            <w:shd w:val="clear" w:color="auto" w:fill="auto"/>
            <w:noWrap/>
            <w:vAlign w:val="center"/>
            <w:hideMark/>
          </w:tcPr>
          <w:p w14:paraId="424B74FF" w14:textId="77777777" w:rsidR="00A0284C" w:rsidRPr="000B4E2C" w:rsidRDefault="00A0284C" w:rsidP="00A0284C">
            <w:pPr>
              <w:rPr>
                <w:color w:val="000000"/>
                <w:lang w:eastAsia="en-GB"/>
              </w:rPr>
            </w:pPr>
            <w:r w:rsidRPr="000B4E2C">
              <w:rPr>
                <w:lang w:eastAsia="en-GB"/>
              </w:rPr>
              <w:t>Garcia-Alvarez 2015</w:t>
            </w:r>
          </w:p>
        </w:tc>
        <w:tc>
          <w:tcPr>
            <w:tcW w:w="0" w:type="auto"/>
            <w:shd w:val="clear" w:color="auto" w:fill="auto"/>
            <w:noWrap/>
            <w:vAlign w:val="center"/>
            <w:hideMark/>
          </w:tcPr>
          <w:p w14:paraId="63D4209E"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5BF44043"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45235A3"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20E08C4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1714B84"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26ADFBE"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9165F3A"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1A5020CB" w14:textId="77777777" w:rsidR="00A0284C" w:rsidRPr="000B4E2C" w:rsidRDefault="00A0284C" w:rsidP="00A0284C">
            <w:pPr>
              <w:jc w:val="center"/>
              <w:rPr>
                <w:lang w:eastAsia="en-GB"/>
              </w:rPr>
            </w:pPr>
            <w:r w:rsidRPr="000B4E2C">
              <w:rPr>
                <w:lang w:eastAsia="en-GB"/>
              </w:rPr>
              <w:t>Low</w:t>
            </w:r>
          </w:p>
        </w:tc>
      </w:tr>
      <w:tr w:rsidR="00A0284C" w:rsidRPr="000B4E2C" w14:paraId="29539CFB" w14:textId="77777777" w:rsidTr="000B4E2C">
        <w:trPr>
          <w:cantSplit/>
          <w:tblHeader/>
        </w:trPr>
        <w:tc>
          <w:tcPr>
            <w:tcW w:w="0" w:type="auto"/>
            <w:shd w:val="clear" w:color="auto" w:fill="auto"/>
            <w:noWrap/>
            <w:vAlign w:val="center"/>
            <w:hideMark/>
          </w:tcPr>
          <w:p w14:paraId="141BBA44" w14:textId="77777777" w:rsidR="00A0284C" w:rsidRPr="000B4E2C" w:rsidRDefault="00A0284C" w:rsidP="00A0284C">
            <w:pPr>
              <w:rPr>
                <w:color w:val="000000"/>
                <w:lang w:eastAsia="en-GB"/>
              </w:rPr>
            </w:pPr>
            <w:r w:rsidRPr="000B4E2C">
              <w:rPr>
                <w:lang w:eastAsia="en-GB"/>
              </w:rPr>
              <w:t>Gayat 2018</w:t>
            </w:r>
          </w:p>
        </w:tc>
        <w:tc>
          <w:tcPr>
            <w:tcW w:w="0" w:type="auto"/>
            <w:shd w:val="clear" w:color="auto" w:fill="auto"/>
            <w:noWrap/>
            <w:vAlign w:val="center"/>
            <w:hideMark/>
          </w:tcPr>
          <w:p w14:paraId="06C57C40" w14:textId="77777777" w:rsidR="00A0284C" w:rsidRPr="000B4E2C" w:rsidRDefault="00A0284C" w:rsidP="00A0284C">
            <w:pPr>
              <w:jc w:val="center"/>
              <w:rPr>
                <w:color w:val="000000"/>
                <w:lang w:eastAsia="en-GB"/>
              </w:rPr>
            </w:pPr>
            <w:r w:rsidRPr="000B4E2C">
              <w:rPr>
                <w:lang w:eastAsia="en-GB"/>
              </w:rPr>
              <w:t xml:space="preserve">NephC </w:t>
            </w:r>
          </w:p>
        </w:tc>
        <w:tc>
          <w:tcPr>
            <w:tcW w:w="0" w:type="auto"/>
            <w:shd w:val="clear" w:color="auto" w:fill="auto"/>
            <w:noWrap/>
            <w:vAlign w:val="center"/>
            <w:hideMark/>
          </w:tcPr>
          <w:p w14:paraId="613C69E8"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65B7CE22"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576BDAEC"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FBA7124"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E935104"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497BF40"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vAlign w:val="center"/>
            <w:hideMark/>
          </w:tcPr>
          <w:p w14:paraId="0C90C7F4" w14:textId="77777777" w:rsidR="00A0284C" w:rsidRPr="000B4E2C" w:rsidRDefault="00A0284C" w:rsidP="00A0284C">
            <w:pPr>
              <w:jc w:val="center"/>
              <w:rPr>
                <w:lang w:eastAsia="en-GB"/>
              </w:rPr>
            </w:pPr>
            <w:r w:rsidRPr="000B4E2C">
              <w:rPr>
                <w:lang w:eastAsia="en-GB"/>
              </w:rPr>
              <w:t>Low</w:t>
            </w:r>
          </w:p>
        </w:tc>
      </w:tr>
      <w:tr w:rsidR="00A0284C" w:rsidRPr="000B4E2C" w14:paraId="60ADCA5A" w14:textId="77777777" w:rsidTr="000B4E2C">
        <w:trPr>
          <w:cantSplit/>
          <w:tblHeader/>
        </w:trPr>
        <w:tc>
          <w:tcPr>
            <w:tcW w:w="0" w:type="auto"/>
            <w:shd w:val="clear" w:color="auto" w:fill="auto"/>
            <w:noWrap/>
            <w:vAlign w:val="center"/>
            <w:hideMark/>
          </w:tcPr>
          <w:p w14:paraId="07BA0BA6" w14:textId="77777777" w:rsidR="00A0284C" w:rsidRPr="000B4E2C" w:rsidRDefault="00A0284C" w:rsidP="00A0284C">
            <w:pPr>
              <w:rPr>
                <w:color w:val="000000"/>
                <w:lang w:eastAsia="en-GB"/>
              </w:rPr>
            </w:pPr>
            <w:r w:rsidRPr="000B4E2C">
              <w:rPr>
                <w:lang w:eastAsia="en-GB"/>
              </w:rPr>
              <w:t>Haase 2014</w:t>
            </w:r>
          </w:p>
        </w:tc>
        <w:tc>
          <w:tcPr>
            <w:tcW w:w="0" w:type="auto"/>
            <w:shd w:val="clear" w:color="auto" w:fill="auto"/>
            <w:noWrap/>
            <w:vAlign w:val="center"/>
            <w:hideMark/>
          </w:tcPr>
          <w:p w14:paraId="075D9734" w14:textId="77777777" w:rsidR="00A0284C" w:rsidRPr="000B4E2C" w:rsidRDefault="00A0284C" w:rsidP="00A0284C">
            <w:pPr>
              <w:jc w:val="center"/>
              <w:rPr>
                <w:color w:val="000000"/>
                <w:lang w:eastAsia="en-GB"/>
              </w:rPr>
            </w:pPr>
            <w:r w:rsidRPr="000B4E2C">
              <w:rPr>
                <w:lang w:eastAsia="en-GB"/>
              </w:rPr>
              <w:t>uNGAL, pNGAL</w:t>
            </w:r>
          </w:p>
        </w:tc>
        <w:tc>
          <w:tcPr>
            <w:tcW w:w="0" w:type="auto"/>
            <w:shd w:val="clear" w:color="auto" w:fill="auto"/>
            <w:noWrap/>
            <w:vAlign w:val="center"/>
            <w:hideMark/>
          </w:tcPr>
          <w:p w14:paraId="2C7E6CB3"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091CDB75"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331BD579"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DD93EC0"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24923A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AE926E3"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0D85CA47" w14:textId="77777777" w:rsidR="00A0284C" w:rsidRPr="000B4E2C" w:rsidRDefault="00A0284C" w:rsidP="00A0284C">
            <w:pPr>
              <w:jc w:val="center"/>
              <w:rPr>
                <w:lang w:eastAsia="en-GB"/>
              </w:rPr>
            </w:pPr>
            <w:r w:rsidRPr="000B4E2C">
              <w:rPr>
                <w:lang w:eastAsia="en-GB"/>
              </w:rPr>
              <w:t>Low</w:t>
            </w:r>
          </w:p>
        </w:tc>
      </w:tr>
      <w:tr w:rsidR="00A0284C" w:rsidRPr="000B4E2C" w14:paraId="2876EC69" w14:textId="77777777" w:rsidTr="000B4E2C">
        <w:trPr>
          <w:cantSplit/>
          <w:tblHeader/>
        </w:trPr>
        <w:tc>
          <w:tcPr>
            <w:tcW w:w="0" w:type="auto"/>
            <w:shd w:val="clear" w:color="auto" w:fill="auto"/>
            <w:noWrap/>
            <w:vAlign w:val="center"/>
            <w:hideMark/>
          </w:tcPr>
          <w:p w14:paraId="0638C041" w14:textId="77777777" w:rsidR="00A0284C" w:rsidRPr="000B4E2C" w:rsidRDefault="00A0284C" w:rsidP="00A0284C">
            <w:pPr>
              <w:rPr>
                <w:color w:val="000000"/>
                <w:lang w:eastAsia="en-GB"/>
              </w:rPr>
            </w:pPr>
            <w:r w:rsidRPr="000B4E2C">
              <w:rPr>
                <w:lang w:eastAsia="en-GB"/>
              </w:rPr>
              <w:t>Hjortrup 2015</w:t>
            </w:r>
          </w:p>
        </w:tc>
        <w:tc>
          <w:tcPr>
            <w:tcW w:w="0" w:type="auto"/>
            <w:shd w:val="clear" w:color="auto" w:fill="auto"/>
            <w:noWrap/>
            <w:vAlign w:val="center"/>
            <w:hideMark/>
          </w:tcPr>
          <w:p w14:paraId="4A34441F" w14:textId="77777777" w:rsidR="00A0284C" w:rsidRPr="000B4E2C" w:rsidRDefault="00A0284C" w:rsidP="00A0284C">
            <w:pPr>
              <w:jc w:val="center"/>
              <w:rPr>
                <w:color w:val="000000"/>
                <w:lang w:eastAsia="en-GB"/>
              </w:rPr>
            </w:pPr>
            <w:r w:rsidRPr="000B4E2C">
              <w:rPr>
                <w:lang w:eastAsia="en-GB"/>
              </w:rPr>
              <w:t>uNGAL, pNGAL</w:t>
            </w:r>
          </w:p>
        </w:tc>
        <w:tc>
          <w:tcPr>
            <w:tcW w:w="0" w:type="auto"/>
            <w:shd w:val="clear" w:color="auto" w:fill="auto"/>
            <w:noWrap/>
            <w:vAlign w:val="center"/>
            <w:hideMark/>
          </w:tcPr>
          <w:p w14:paraId="5226302E"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1E13232A"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5F38BC8D"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EA65334"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DD2AD88"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6582AB9"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3F6BDFD6" w14:textId="77777777" w:rsidR="00A0284C" w:rsidRPr="000B4E2C" w:rsidRDefault="00A0284C" w:rsidP="00A0284C">
            <w:pPr>
              <w:jc w:val="center"/>
              <w:rPr>
                <w:lang w:eastAsia="en-GB"/>
              </w:rPr>
            </w:pPr>
            <w:r w:rsidRPr="000B4E2C">
              <w:rPr>
                <w:lang w:eastAsia="en-GB"/>
              </w:rPr>
              <w:t>Low</w:t>
            </w:r>
          </w:p>
        </w:tc>
      </w:tr>
      <w:tr w:rsidR="00A0284C" w:rsidRPr="000B4E2C" w14:paraId="02CFE9D1" w14:textId="77777777" w:rsidTr="000B4E2C">
        <w:trPr>
          <w:cantSplit/>
          <w:tblHeader/>
        </w:trPr>
        <w:tc>
          <w:tcPr>
            <w:tcW w:w="0" w:type="auto"/>
            <w:shd w:val="clear" w:color="auto" w:fill="auto"/>
            <w:noWrap/>
            <w:vAlign w:val="center"/>
            <w:hideMark/>
          </w:tcPr>
          <w:p w14:paraId="75583F8C" w14:textId="77777777" w:rsidR="00A0284C" w:rsidRPr="000B4E2C" w:rsidRDefault="00A0284C" w:rsidP="00A0284C">
            <w:pPr>
              <w:rPr>
                <w:color w:val="000000"/>
                <w:lang w:eastAsia="en-GB"/>
              </w:rPr>
            </w:pPr>
            <w:r w:rsidRPr="000B4E2C">
              <w:rPr>
                <w:lang w:eastAsia="en-GB"/>
              </w:rPr>
              <w:t>Hoste 2014</w:t>
            </w:r>
          </w:p>
        </w:tc>
        <w:tc>
          <w:tcPr>
            <w:tcW w:w="0" w:type="auto"/>
            <w:shd w:val="clear" w:color="auto" w:fill="auto"/>
            <w:noWrap/>
            <w:vAlign w:val="center"/>
            <w:hideMark/>
          </w:tcPr>
          <w:p w14:paraId="558AE208" w14:textId="77777777" w:rsidR="00A0284C" w:rsidRPr="000B4E2C" w:rsidRDefault="00A0284C" w:rsidP="00A0284C">
            <w:pPr>
              <w:jc w:val="center"/>
              <w:rPr>
                <w:color w:val="000000"/>
                <w:lang w:eastAsia="en-GB"/>
              </w:rPr>
            </w:pPr>
            <w:r w:rsidRPr="000B4E2C">
              <w:rPr>
                <w:lang w:eastAsia="en-GB"/>
              </w:rPr>
              <w:t xml:space="preserve">NephC </w:t>
            </w:r>
          </w:p>
        </w:tc>
        <w:tc>
          <w:tcPr>
            <w:tcW w:w="0" w:type="auto"/>
            <w:shd w:val="clear" w:color="auto" w:fill="auto"/>
            <w:noWrap/>
            <w:vAlign w:val="center"/>
            <w:hideMark/>
          </w:tcPr>
          <w:p w14:paraId="4C0E36A1"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5852A3A4"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755CACA8"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7F58A050"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60B23DD"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746B801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vAlign w:val="center"/>
            <w:hideMark/>
          </w:tcPr>
          <w:p w14:paraId="5B1D0183" w14:textId="77777777" w:rsidR="00A0284C" w:rsidRPr="000B4E2C" w:rsidRDefault="00A0284C" w:rsidP="00A0284C">
            <w:pPr>
              <w:jc w:val="center"/>
              <w:rPr>
                <w:lang w:eastAsia="en-GB"/>
              </w:rPr>
            </w:pPr>
            <w:r w:rsidRPr="000B4E2C">
              <w:rPr>
                <w:lang w:eastAsia="en-GB"/>
              </w:rPr>
              <w:t>Low</w:t>
            </w:r>
          </w:p>
        </w:tc>
      </w:tr>
      <w:tr w:rsidR="00A0284C" w:rsidRPr="000B4E2C" w14:paraId="7BF882C5" w14:textId="77777777" w:rsidTr="000B4E2C">
        <w:trPr>
          <w:cantSplit/>
          <w:tblHeader/>
        </w:trPr>
        <w:tc>
          <w:tcPr>
            <w:tcW w:w="0" w:type="auto"/>
            <w:shd w:val="clear" w:color="auto" w:fill="auto"/>
            <w:noWrap/>
            <w:vAlign w:val="center"/>
            <w:hideMark/>
          </w:tcPr>
          <w:p w14:paraId="7D49A7A0" w14:textId="77777777" w:rsidR="00A0284C" w:rsidRPr="000B4E2C" w:rsidRDefault="00A0284C" w:rsidP="00A0284C">
            <w:pPr>
              <w:rPr>
                <w:color w:val="000000"/>
                <w:lang w:eastAsia="en-GB"/>
              </w:rPr>
            </w:pPr>
            <w:r w:rsidRPr="000B4E2C">
              <w:rPr>
                <w:lang w:eastAsia="en-GB"/>
              </w:rPr>
              <w:t>Isshiki 2018</w:t>
            </w:r>
          </w:p>
        </w:tc>
        <w:tc>
          <w:tcPr>
            <w:tcW w:w="0" w:type="auto"/>
            <w:shd w:val="clear" w:color="auto" w:fill="auto"/>
            <w:noWrap/>
            <w:vAlign w:val="center"/>
            <w:hideMark/>
          </w:tcPr>
          <w:p w14:paraId="0DB0A7E1"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4D252BCB"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60DE869"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7E99B99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A70DD12"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6DDDCE0"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86F2EFB"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2C6A101A" w14:textId="77777777" w:rsidR="00A0284C" w:rsidRPr="000B4E2C" w:rsidRDefault="00A0284C" w:rsidP="00A0284C">
            <w:pPr>
              <w:jc w:val="center"/>
              <w:rPr>
                <w:lang w:eastAsia="en-GB"/>
              </w:rPr>
            </w:pPr>
            <w:r w:rsidRPr="000B4E2C">
              <w:rPr>
                <w:lang w:eastAsia="en-GB"/>
              </w:rPr>
              <w:t>Low</w:t>
            </w:r>
          </w:p>
        </w:tc>
      </w:tr>
      <w:tr w:rsidR="00A0284C" w:rsidRPr="000B4E2C" w14:paraId="6DCE308C" w14:textId="77777777" w:rsidTr="000B4E2C">
        <w:trPr>
          <w:cantSplit/>
          <w:tblHeader/>
        </w:trPr>
        <w:tc>
          <w:tcPr>
            <w:tcW w:w="0" w:type="auto"/>
            <w:shd w:val="clear" w:color="auto" w:fill="auto"/>
            <w:noWrap/>
            <w:vAlign w:val="center"/>
            <w:hideMark/>
          </w:tcPr>
          <w:p w14:paraId="07BDAACB" w14:textId="77777777" w:rsidR="00A0284C" w:rsidRPr="000B4E2C" w:rsidRDefault="00A0284C" w:rsidP="00A0284C">
            <w:pPr>
              <w:rPr>
                <w:color w:val="000000"/>
                <w:lang w:eastAsia="en-GB"/>
              </w:rPr>
            </w:pPr>
            <w:r w:rsidRPr="000B4E2C">
              <w:rPr>
                <w:lang w:eastAsia="en-GB"/>
              </w:rPr>
              <w:t>Itenov 2017</w:t>
            </w:r>
          </w:p>
        </w:tc>
        <w:tc>
          <w:tcPr>
            <w:tcW w:w="0" w:type="auto"/>
            <w:shd w:val="clear" w:color="auto" w:fill="auto"/>
            <w:noWrap/>
            <w:vAlign w:val="center"/>
            <w:hideMark/>
          </w:tcPr>
          <w:p w14:paraId="124DDE87" w14:textId="77777777" w:rsidR="00A0284C" w:rsidRPr="000B4E2C" w:rsidRDefault="00A0284C" w:rsidP="00A0284C">
            <w:pPr>
              <w:jc w:val="center"/>
              <w:rPr>
                <w:color w:val="000000"/>
                <w:lang w:eastAsia="en-GB"/>
              </w:rPr>
            </w:pPr>
            <w:r w:rsidRPr="000B4E2C">
              <w:rPr>
                <w:lang w:eastAsia="en-GB"/>
              </w:rPr>
              <w:t xml:space="preserve">pNGAL </w:t>
            </w:r>
          </w:p>
        </w:tc>
        <w:tc>
          <w:tcPr>
            <w:tcW w:w="0" w:type="auto"/>
            <w:shd w:val="clear" w:color="auto" w:fill="auto"/>
            <w:noWrap/>
            <w:vAlign w:val="center"/>
            <w:hideMark/>
          </w:tcPr>
          <w:p w14:paraId="505E9E09"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8E19390"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60E6E26A"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488D3F4"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037EA24"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C1E5140"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121FECDA" w14:textId="77777777" w:rsidR="00A0284C" w:rsidRPr="000B4E2C" w:rsidRDefault="00A0284C" w:rsidP="00A0284C">
            <w:pPr>
              <w:jc w:val="center"/>
              <w:rPr>
                <w:lang w:eastAsia="en-GB"/>
              </w:rPr>
            </w:pPr>
            <w:r w:rsidRPr="000B4E2C">
              <w:rPr>
                <w:lang w:eastAsia="en-GB"/>
              </w:rPr>
              <w:t>Low</w:t>
            </w:r>
          </w:p>
        </w:tc>
      </w:tr>
      <w:tr w:rsidR="00A0284C" w:rsidRPr="000B4E2C" w14:paraId="3AE8D0C6" w14:textId="77777777" w:rsidTr="000B4E2C">
        <w:trPr>
          <w:cantSplit/>
          <w:tblHeader/>
        </w:trPr>
        <w:tc>
          <w:tcPr>
            <w:tcW w:w="0" w:type="auto"/>
            <w:shd w:val="clear" w:color="auto" w:fill="auto"/>
            <w:noWrap/>
            <w:vAlign w:val="center"/>
            <w:hideMark/>
          </w:tcPr>
          <w:p w14:paraId="1A296465" w14:textId="77777777" w:rsidR="00A0284C" w:rsidRPr="000B4E2C" w:rsidRDefault="00A0284C" w:rsidP="00A0284C">
            <w:pPr>
              <w:rPr>
                <w:color w:val="000000"/>
                <w:lang w:eastAsia="en-GB"/>
              </w:rPr>
            </w:pPr>
            <w:r w:rsidRPr="000B4E2C">
              <w:rPr>
                <w:lang w:eastAsia="en-GB"/>
              </w:rPr>
              <w:t>Jaques 2019</w:t>
            </w:r>
          </w:p>
        </w:tc>
        <w:tc>
          <w:tcPr>
            <w:tcW w:w="0" w:type="auto"/>
            <w:shd w:val="clear" w:color="auto" w:fill="auto"/>
            <w:noWrap/>
            <w:vAlign w:val="center"/>
            <w:hideMark/>
          </w:tcPr>
          <w:p w14:paraId="40FD4225" w14:textId="77777777" w:rsidR="00A0284C" w:rsidRPr="000B4E2C" w:rsidRDefault="00A0284C" w:rsidP="00A0284C">
            <w:pPr>
              <w:jc w:val="center"/>
              <w:rPr>
                <w:color w:val="000000"/>
                <w:lang w:eastAsia="en-GB"/>
              </w:rPr>
            </w:pPr>
            <w:r w:rsidRPr="000B4E2C">
              <w:rPr>
                <w:lang w:eastAsia="en-GB"/>
              </w:rPr>
              <w:t>uNGAL, pNGAL</w:t>
            </w:r>
          </w:p>
        </w:tc>
        <w:tc>
          <w:tcPr>
            <w:tcW w:w="0" w:type="auto"/>
            <w:shd w:val="clear" w:color="auto" w:fill="auto"/>
            <w:noWrap/>
            <w:vAlign w:val="center"/>
            <w:hideMark/>
          </w:tcPr>
          <w:p w14:paraId="4EDF5BE8"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9D5C4A5"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48E5E753"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6E83EE2" w14:textId="77777777" w:rsidR="00A0284C" w:rsidRPr="000B4E2C" w:rsidRDefault="00A0284C" w:rsidP="00A0284C">
            <w:pPr>
              <w:jc w:val="center"/>
              <w:rPr>
                <w:color w:val="000000"/>
                <w:lang w:eastAsia="en-GB"/>
              </w:rPr>
            </w:pPr>
            <w:r w:rsidRPr="000B4E2C">
              <w:rPr>
                <w:lang w:eastAsia="en-GB"/>
              </w:rPr>
              <w:t>High</w:t>
            </w:r>
          </w:p>
        </w:tc>
        <w:tc>
          <w:tcPr>
            <w:tcW w:w="0" w:type="auto"/>
            <w:shd w:val="clear" w:color="auto" w:fill="auto"/>
            <w:noWrap/>
            <w:vAlign w:val="center"/>
            <w:hideMark/>
          </w:tcPr>
          <w:p w14:paraId="06C134E1"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3D1647DF"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1AD00F54" w14:textId="77777777" w:rsidR="00A0284C" w:rsidRPr="000B4E2C" w:rsidRDefault="00A0284C" w:rsidP="00A0284C">
            <w:pPr>
              <w:jc w:val="center"/>
              <w:rPr>
                <w:lang w:eastAsia="en-GB"/>
              </w:rPr>
            </w:pPr>
            <w:r w:rsidRPr="000B4E2C">
              <w:rPr>
                <w:lang w:eastAsia="en-GB"/>
              </w:rPr>
              <w:t>Low</w:t>
            </w:r>
          </w:p>
        </w:tc>
      </w:tr>
      <w:tr w:rsidR="00A0284C" w:rsidRPr="000B4E2C" w14:paraId="2A8E02EB" w14:textId="77777777" w:rsidTr="000B4E2C">
        <w:trPr>
          <w:cantSplit/>
          <w:tblHeader/>
        </w:trPr>
        <w:tc>
          <w:tcPr>
            <w:tcW w:w="0" w:type="auto"/>
            <w:shd w:val="clear" w:color="auto" w:fill="auto"/>
            <w:noWrap/>
            <w:vAlign w:val="center"/>
            <w:hideMark/>
          </w:tcPr>
          <w:p w14:paraId="109E0BCE" w14:textId="77777777" w:rsidR="00A0284C" w:rsidRPr="000B4E2C" w:rsidRDefault="00A0284C" w:rsidP="00A0284C">
            <w:pPr>
              <w:rPr>
                <w:color w:val="000000"/>
                <w:lang w:eastAsia="en-GB"/>
              </w:rPr>
            </w:pPr>
            <w:r w:rsidRPr="000B4E2C">
              <w:rPr>
                <w:lang w:eastAsia="en-GB"/>
              </w:rPr>
              <w:t>Kashani 2013</w:t>
            </w:r>
          </w:p>
        </w:tc>
        <w:tc>
          <w:tcPr>
            <w:tcW w:w="0" w:type="auto"/>
            <w:shd w:val="clear" w:color="auto" w:fill="auto"/>
            <w:noWrap/>
            <w:vAlign w:val="center"/>
            <w:hideMark/>
          </w:tcPr>
          <w:p w14:paraId="1A37A971" w14:textId="77777777" w:rsidR="00A0284C" w:rsidRPr="000B4E2C" w:rsidRDefault="00A0284C" w:rsidP="00A0284C">
            <w:pPr>
              <w:jc w:val="center"/>
              <w:rPr>
                <w:color w:val="000000"/>
                <w:lang w:eastAsia="en-GB"/>
              </w:rPr>
            </w:pPr>
            <w:r w:rsidRPr="000B4E2C">
              <w:rPr>
                <w:lang w:eastAsia="en-GB"/>
              </w:rPr>
              <w:t xml:space="preserve">NephC </w:t>
            </w:r>
          </w:p>
        </w:tc>
        <w:tc>
          <w:tcPr>
            <w:tcW w:w="0" w:type="auto"/>
            <w:shd w:val="clear" w:color="auto" w:fill="auto"/>
            <w:noWrap/>
            <w:vAlign w:val="center"/>
            <w:hideMark/>
          </w:tcPr>
          <w:p w14:paraId="646C1217"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0FEE57B"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6DB67373"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B7805D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684640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FFDCAA9"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vAlign w:val="center"/>
            <w:hideMark/>
          </w:tcPr>
          <w:p w14:paraId="7654B418" w14:textId="77777777" w:rsidR="00A0284C" w:rsidRPr="000B4E2C" w:rsidRDefault="00A0284C" w:rsidP="00A0284C">
            <w:pPr>
              <w:jc w:val="center"/>
              <w:rPr>
                <w:lang w:eastAsia="en-GB"/>
              </w:rPr>
            </w:pPr>
            <w:r w:rsidRPr="000B4E2C">
              <w:rPr>
                <w:lang w:eastAsia="en-GB"/>
              </w:rPr>
              <w:t>Low</w:t>
            </w:r>
          </w:p>
        </w:tc>
      </w:tr>
      <w:tr w:rsidR="00A0284C" w:rsidRPr="000B4E2C" w14:paraId="5BFBA899" w14:textId="77777777" w:rsidTr="000B4E2C">
        <w:trPr>
          <w:cantSplit/>
          <w:tblHeader/>
        </w:trPr>
        <w:tc>
          <w:tcPr>
            <w:tcW w:w="0" w:type="auto"/>
            <w:shd w:val="clear" w:color="auto" w:fill="auto"/>
            <w:noWrap/>
            <w:vAlign w:val="center"/>
            <w:hideMark/>
          </w:tcPr>
          <w:p w14:paraId="2512B123" w14:textId="77777777" w:rsidR="00A0284C" w:rsidRPr="000B4E2C" w:rsidRDefault="00A0284C" w:rsidP="00A0284C">
            <w:pPr>
              <w:rPr>
                <w:color w:val="000000"/>
                <w:lang w:eastAsia="en-GB"/>
              </w:rPr>
            </w:pPr>
            <w:r w:rsidRPr="000B4E2C">
              <w:rPr>
                <w:lang w:eastAsia="en-GB"/>
              </w:rPr>
              <w:t>Kimmel 2016</w:t>
            </w:r>
          </w:p>
        </w:tc>
        <w:tc>
          <w:tcPr>
            <w:tcW w:w="0" w:type="auto"/>
            <w:shd w:val="clear" w:color="auto" w:fill="auto"/>
            <w:noWrap/>
            <w:vAlign w:val="center"/>
            <w:hideMark/>
          </w:tcPr>
          <w:p w14:paraId="5922554B" w14:textId="77777777" w:rsidR="00A0284C" w:rsidRPr="000B4E2C" w:rsidRDefault="00A0284C" w:rsidP="00A0284C">
            <w:pPr>
              <w:jc w:val="center"/>
              <w:rPr>
                <w:color w:val="000000"/>
                <w:lang w:eastAsia="en-GB"/>
              </w:rPr>
            </w:pPr>
            <w:r w:rsidRPr="000B4E2C">
              <w:rPr>
                <w:lang w:eastAsia="en-GB"/>
              </w:rPr>
              <w:t>NephC, uNGAL, pNGAL</w:t>
            </w:r>
          </w:p>
        </w:tc>
        <w:tc>
          <w:tcPr>
            <w:tcW w:w="0" w:type="auto"/>
            <w:shd w:val="clear" w:color="auto" w:fill="auto"/>
            <w:noWrap/>
            <w:vAlign w:val="center"/>
            <w:hideMark/>
          </w:tcPr>
          <w:p w14:paraId="152F0653"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48125D18"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038A2B6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6AECA8E"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A9D8AC4"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8E17198"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2BCFBFBE" w14:textId="77777777" w:rsidR="00A0284C" w:rsidRPr="000B4E2C" w:rsidRDefault="00A0284C" w:rsidP="00A0284C">
            <w:pPr>
              <w:jc w:val="center"/>
              <w:rPr>
                <w:lang w:eastAsia="en-GB"/>
              </w:rPr>
            </w:pPr>
            <w:r w:rsidRPr="000B4E2C">
              <w:rPr>
                <w:lang w:eastAsia="en-GB"/>
              </w:rPr>
              <w:t>Low</w:t>
            </w:r>
          </w:p>
        </w:tc>
      </w:tr>
      <w:tr w:rsidR="00A0284C" w:rsidRPr="000B4E2C" w14:paraId="60392DC7" w14:textId="77777777" w:rsidTr="000B4E2C">
        <w:trPr>
          <w:cantSplit/>
          <w:tblHeader/>
        </w:trPr>
        <w:tc>
          <w:tcPr>
            <w:tcW w:w="0" w:type="auto"/>
            <w:shd w:val="clear" w:color="auto" w:fill="auto"/>
            <w:noWrap/>
            <w:vAlign w:val="center"/>
            <w:hideMark/>
          </w:tcPr>
          <w:p w14:paraId="607FE7D9" w14:textId="77777777" w:rsidR="00A0284C" w:rsidRPr="000B4E2C" w:rsidRDefault="00A0284C" w:rsidP="00A0284C">
            <w:pPr>
              <w:rPr>
                <w:color w:val="000000"/>
                <w:lang w:eastAsia="en-GB"/>
              </w:rPr>
            </w:pPr>
            <w:r w:rsidRPr="000B4E2C">
              <w:rPr>
                <w:lang w:eastAsia="en-GB"/>
              </w:rPr>
              <w:t>Kokkoris 2012</w:t>
            </w:r>
          </w:p>
        </w:tc>
        <w:tc>
          <w:tcPr>
            <w:tcW w:w="0" w:type="auto"/>
            <w:shd w:val="clear" w:color="auto" w:fill="auto"/>
            <w:noWrap/>
            <w:vAlign w:val="center"/>
            <w:hideMark/>
          </w:tcPr>
          <w:p w14:paraId="25EE49BF" w14:textId="77777777" w:rsidR="00A0284C" w:rsidRPr="000B4E2C" w:rsidRDefault="00A0284C" w:rsidP="00A0284C">
            <w:pPr>
              <w:jc w:val="center"/>
              <w:rPr>
                <w:color w:val="000000"/>
                <w:lang w:eastAsia="en-GB"/>
              </w:rPr>
            </w:pPr>
            <w:r w:rsidRPr="000B4E2C">
              <w:rPr>
                <w:lang w:eastAsia="en-GB"/>
              </w:rPr>
              <w:t>uNGAL, pNGAL</w:t>
            </w:r>
          </w:p>
        </w:tc>
        <w:tc>
          <w:tcPr>
            <w:tcW w:w="0" w:type="auto"/>
            <w:shd w:val="clear" w:color="auto" w:fill="auto"/>
            <w:noWrap/>
            <w:vAlign w:val="center"/>
            <w:hideMark/>
          </w:tcPr>
          <w:p w14:paraId="418FFD07"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4BEACAD0"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09735C2A"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29A37F7E"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005EBC2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D64BA32"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2C47F971" w14:textId="77777777" w:rsidR="00A0284C" w:rsidRPr="000B4E2C" w:rsidRDefault="00A0284C" w:rsidP="00A0284C">
            <w:pPr>
              <w:jc w:val="center"/>
              <w:rPr>
                <w:lang w:eastAsia="en-GB"/>
              </w:rPr>
            </w:pPr>
            <w:r w:rsidRPr="000B4E2C">
              <w:rPr>
                <w:lang w:eastAsia="en-GB"/>
              </w:rPr>
              <w:t>Unclear</w:t>
            </w:r>
          </w:p>
        </w:tc>
      </w:tr>
      <w:tr w:rsidR="00A0284C" w:rsidRPr="000B4E2C" w14:paraId="791D5907" w14:textId="77777777" w:rsidTr="000B4E2C">
        <w:trPr>
          <w:cantSplit/>
          <w:tblHeader/>
        </w:trPr>
        <w:tc>
          <w:tcPr>
            <w:tcW w:w="0" w:type="auto"/>
            <w:shd w:val="clear" w:color="auto" w:fill="auto"/>
            <w:noWrap/>
            <w:vAlign w:val="center"/>
            <w:hideMark/>
          </w:tcPr>
          <w:p w14:paraId="0C9E214F" w14:textId="77777777" w:rsidR="00A0284C" w:rsidRPr="000B4E2C" w:rsidRDefault="00A0284C" w:rsidP="00A0284C">
            <w:pPr>
              <w:rPr>
                <w:color w:val="000000"/>
                <w:lang w:eastAsia="en-GB"/>
              </w:rPr>
            </w:pPr>
            <w:r w:rsidRPr="000B4E2C">
              <w:rPr>
                <w:lang w:eastAsia="en-GB"/>
              </w:rPr>
              <w:t>Lagos-Arevalo 2015</w:t>
            </w:r>
          </w:p>
        </w:tc>
        <w:tc>
          <w:tcPr>
            <w:tcW w:w="0" w:type="auto"/>
            <w:shd w:val="clear" w:color="auto" w:fill="auto"/>
            <w:noWrap/>
            <w:vAlign w:val="center"/>
            <w:hideMark/>
          </w:tcPr>
          <w:p w14:paraId="29708A66"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5D7A357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461B181"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22E38033"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CB9F24E"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49162A4"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8821248"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610432CA" w14:textId="77777777" w:rsidR="00A0284C" w:rsidRPr="000B4E2C" w:rsidRDefault="00A0284C" w:rsidP="00A0284C">
            <w:pPr>
              <w:jc w:val="center"/>
              <w:rPr>
                <w:lang w:eastAsia="en-GB"/>
              </w:rPr>
            </w:pPr>
            <w:r w:rsidRPr="000B4E2C">
              <w:rPr>
                <w:lang w:eastAsia="en-GB"/>
              </w:rPr>
              <w:t>Low</w:t>
            </w:r>
          </w:p>
        </w:tc>
      </w:tr>
      <w:tr w:rsidR="00A0284C" w:rsidRPr="000B4E2C" w14:paraId="41BE5D3C" w14:textId="77777777" w:rsidTr="000B4E2C">
        <w:trPr>
          <w:cantSplit/>
          <w:tblHeader/>
        </w:trPr>
        <w:tc>
          <w:tcPr>
            <w:tcW w:w="0" w:type="auto"/>
            <w:shd w:val="clear" w:color="auto" w:fill="auto"/>
            <w:noWrap/>
            <w:vAlign w:val="center"/>
            <w:hideMark/>
          </w:tcPr>
          <w:p w14:paraId="75ED6617" w14:textId="77777777" w:rsidR="00A0284C" w:rsidRPr="000B4E2C" w:rsidRDefault="00A0284C" w:rsidP="00A0284C">
            <w:pPr>
              <w:rPr>
                <w:color w:val="000000"/>
                <w:lang w:eastAsia="en-GB"/>
              </w:rPr>
            </w:pPr>
            <w:r w:rsidRPr="000B4E2C">
              <w:rPr>
                <w:lang w:eastAsia="en-GB"/>
              </w:rPr>
              <w:t>Lee 2018</w:t>
            </w:r>
          </w:p>
        </w:tc>
        <w:tc>
          <w:tcPr>
            <w:tcW w:w="0" w:type="auto"/>
            <w:shd w:val="clear" w:color="auto" w:fill="auto"/>
            <w:noWrap/>
            <w:vAlign w:val="center"/>
            <w:hideMark/>
          </w:tcPr>
          <w:p w14:paraId="2F7266A2" w14:textId="77777777" w:rsidR="00A0284C" w:rsidRPr="000B4E2C" w:rsidRDefault="00A0284C" w:rsidP="00A0284C">
            <w:pPr>
              <w:jc w:val="center"/>
              <w:rPr>
                <w:color w:val="000000"/>
                <w:lang w:eastAsia="en-GB"/>
              </w:rPr>
            </w:pPr>
            <w:r w:rsidRPr="000B4E2C">
              <w:rPr>
                <w:lang w:eastAsia="en-GB"/>
              </w:rPr>
              <w:t xml:space="preserve">pNGAL </w:t>
            </w:r>
          </w:p>
        </w:tc>
        <w:tc>
          <w:tcPr>
            <w:tcW w:w="0" w:type="auto"/>
            <w:shd w:val="clear" w:color="auto" w:fill="auto"/>
            <w:noWrap/>
            <w:vAlign w:val="center"/>
            <w:hideMark/>
          </w:tcPr>
          <w:p w14:paraId="52D82C71"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4A2DD1DA"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5AD87A20"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DD206FA"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D626722"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31B53AE"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4A65E2E6" w14:textId="77777777" w:rsidR="00A0284C" w:rsidRPr="000B4E2C" w:rsidRDefault="00A0284C" w:rsidP="00A0284C">
            <w:pPr>
              <w:jc w:val="center"/>
              <w:rPr>
                <w:lang w:eastAsia="en-GB"/>
              </w:rPr>
            </w:pPr>
            <w:r w:rsidRPr="000B4E2C">
              <w:rPr>
                <w:lang w:eastAsia="en-GB"/>
              </w:rPr>
              <w:t>Low</w:t>
            </w:r>
          </w:p>
        </w:tc>
      </w:tr>
      <w:tr w:rsidR="00A0284C" w:rsidRPr="000B4E2C" w14:paraId="62BFB8B3" w14:textId="77777777" w:rsidTr="000B4E2C">
        <w:trPr>
          <w:cantSplit/>
          <w:tblHeader/>
        </w:trPr>
        <w:tc>
          <w:tcPr>
            <w:tcW w:w="0" w:type="auto"/>
            <w:shd w:val="clear" w:color="auto" w:fill="auto"/>
            <w:noWrap/>
            <w:vAlign w:val="center"/>
            <w:hideMark/>
          </w:tcPr>
          <w:p w14:paraId="3F0BA2CF" w14:textId="77777777" w:rsidR="00A0284C" w:rsidRPr="000B4E2C" w:rsidRDefault="00A0284C" w:rsidP="00A0284C">
            <w:pPr>
              <w:rPr>
                <w:color w:val="000000"/>
                <w:lang w:eastAsia="en-GB"/>
              </w:rPr>
            </w:pPr>
            <w:r w:rsidRPr="000B4E2C">
              <w:rPr>
                <w:lang w:eastAsia="en-GB"/>
              </w:rPr>
              <w:t>Liebetrau 2013</w:t>
            </w:r>
          </w:p>
        </w:tc>
        <w:tc>
          <w:tcPr>
            <w:tcW w:w="0" w:type="auto"/>
            <w:shd w:val="clear" w:color="auto" w:fill="auto"/>
            <w:noWrap/>
            <w:vAlign w:val="center"/>
            <w:hideMark/>
          </w:tcPr>
          <w:p w14:paraId="3C71BB23"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722502AE"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0E4CCAB"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348C6E8D"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A79D41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7EC95688"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D098EC1"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42B63298" w14:textId="77777777" w:rsidR="00A0284C" w:rsidRPr="000B4E2C" w:rsidRDefault="00A0284C" w:rsidP="00A0284C">
            <w:pPr>
              <w:jc w:val="center"/>
              <w:rPr>
                <w:lang w:eastAsia="en-GB"/>
              </w:rPr>
            </w:pPr>
            <w:r w:rsidRPr="000B4E2C">
              <w:rPr>
                <w:lang w:eastAsia="en-GB"/>
              </w:rPr>
              <w:t>Low</w:t>
            </w:r>
          </w:p>
        </w:tc>
      </w:tr>
      <w:tr w:rsidR="00A0284C" w:rsidRPr="000B4E2C" w14:paraId="30D0A28F" w14:textId="77777777" w:rsidTr="000B4E2C">
        <w:trPr>
          <w:cantSplit/>
          <w:tblHeader/>
        </w:trPr>
        <w:tc>
          <w:tcPr>
            <w:tcW w:w="0" w:type="auto"/>
            <w:shd w:val="clear" w:color="auto" w:fill="auto"/>
            <w:noWrap/>
            <w:vAlign w:val="center"/>
            <w:hideMark/>
          </w:tcPr>
          <w:p w14:paraId="701D8FCE" w14:textId="77777777" w:rsidR="00A0284C" w:rsidRPr="000B4E2C" w:rsidRDefault="00A0284C" w:rsidP="00A0284C">
            <w:pPr>
              <w:rPr>
                <w:color w:val="000000"/>
                <w:lang w:eastAsia="en-GB"/>
              </w:rPr>
            </w:pPr>
            <w:r w:rsidRPr="000B4E2C">
              <w:rPr>
                <w:lang w:eastAsia="en-GB"/>
              </w:rPr>
              <w:t>Marino 2015</w:t>
            </w:r>
          </w:p>
        </w:tc>
        <w:tc>
          <w:tcPr>
            <w:tcW w:w="0" w:type="auto"/>
            <w:shd w:val="clear" w:color="auto" w:fill="auto"/>
            <w:noWrap/>
            <w:vAlign w:val="center"/>
            <w:hideMark/>
          </w:tcPr>
          <w:p w14:paraId="3922B770" w14:textId="77777777" w:rsidR="00A0284C" w:rsidRPr="000B4E2C" w:rsidRDefault="00A0284C" w:rsidP="00A0284C">
            <w:pPr>
              <w:jc w:val="center"/>
              <w:rPr>
                <w:color w:val="000000"/>
                <w:lang w:eastAsia="en-GB"/>
              </w:rPr>
            </w:pPr>
            <w:r w:rsidRPr="000B4E2C">
              <w:rPr>
                <w:lang w:eastAsia="en-GB"/>
              </w:rPr>
              <w:t xml:space="preserve">pNGAL </w:t>
            </w:r>
          </w:p>
        </w:tc>
        <w:tc>
          <w:tcPr>
            <w:tcW w:w="0" w:type="auto"/>
            <w:shd w:val="clear" w:color="auto" w:fill="auto"/>
            <w:noWrap/>
            <w:vAlign w:val="center"/>
            <w:hideMark/>
          </w:tcPr>
          <w:p w14:paraId="03E42938"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30E018A"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2B5DEDD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D7926DE"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BD4F87A"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744D3463"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50DFB286" w14:textId="77777777" w:rsidR="00A0284C" w:rsidRPr="000B4E2C" w:rsidRDefault="00A0284C" w:rsidP="00A0284C">
            <w:pPr>
              <w:jc w:val="center"/>
              <w:rPr>
                <w:lang w:eastAsia="en-GB"/>
              </w:rPr>
            </w:pPr>
            <w:r w:rsidRPr="000B4E2C">
              <w:rPr>
                <w:lang w:eastAsia="en-GB"/>
              </w:rPr>
              <w:t>Low</w:t>
            </w:r>
          </w:p>
        </w:tc>
      </w:tr>
      <w:tr w:rsidR="00A0284C" w:rsidRPr="000B4E2C" w14:paraId="5237091C" w14:textId="77777777" w:rsidTr="000B4E2C">
        <w:trPr>
          <w:cantSplit/>
          <w:tblHeader/>
        </w:trPr>
        <w:tc>
          <w:tcPr>
            <w:tcW w:w="0" w:type="auto"/>
            <w:shd w:val="clear" w:color="auto" w:fill="auto"/>
            <w:noWrap/>
            <w:vAlign w:val="center"/>
            <w:hideMark/>
          </w:tcPr>
          <w:p w14:paraId="4EF926A8" w14:textId="77777777" w:rsidR="00A0284C" w:rsidRPr="000B4E2C" w:rsidRDefault="00A0284C" w:rsidP="00A0284C">
            <w:pPr>
              <w:rPr>
                <w:color w:val="000000"/>
                <w:lang w:eastAsia="en-GB"/>
              </w:rPr>
            </w:pPr>
            <w:r w:rsidRPr="000B4E2C">
              <w:rPr>
                <w:lang w:eastAsia="en-GB"/>
              </w:rPr>
              <w:t>Martensson 2015</w:t>
            </w:r>
          </w:p>
        </w:tc>
        <w:tc>
          <w:tcPr>
            <w:tcW w:w="0" w:type="auto"/>
            <w:shd w:val="clear" w:color="auto" w:fill="auto"/>
            <w:noWrap/>
            <w:vAlign w:val="center"/>
            <w:hideMark/>
          </w:tcPr>
          <w:p w14:paraId="474CEBA6"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6CF9195E"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2B4F11BA"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1367D9AD"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21671CE"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218A8E8"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714812F"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38ACA4B2" w14:textId="77777777" w:rsidR="00A0284C" w:rsidRPr="000B4E2C" w:rsidRDefault="00A0284C" w:rsidP="00A0284C">
            <w:pPr>
              <w:jc w:val="center"/>
              <w:rPr>
                <w:lang w:eastAsia="en-GB"/>
              </w:rPr>
            </w:pPr>
            <w:r w:rsidRPr="000B4E2C">
              <w:rPr>
                <w:lang w:eastAsia="en-GB"/>
              </w:rPr>
              <w:t>Low</w:t>
            </w:r>
          </w:p>
        </w:tc>
      </w:tr>
      <w:tr w:rsidR="00A0284C" w:rsidRPr="000B4E2C" w14:paraId="16825E6D" w14:textId="77777777" w:rsidTr="000B4E2C">
        <w:trPr>
          <w:cantSplit/>
          <w:tblHeader/>
        </w:trPr>
        <w:tc>
          <w:tcPr>
            <w:tcW w:w="0" w:type="auto"/>
            <w:shd w:val="clear" w:color="auto" w:fill="auto"/>
            <w:noWrap/>
            <w:vAlign w:val="center"/>
            <w:hideMark/>
          </w:tcPr>
          <w:p w14:paraId="24655A87" w14:textId="77777777" w:rsidR="00A0284C" w:rsidRPr="000B4E2C" w:rsidRDefault="00A0284C" w:rsidP="00A0284C">
            <w:pPr>
              <w:rPr>
                <w:color w:val="000000"/>
                <w:lang w:eastAsia="en-GB"/>
              </w:rPr>
            </w:pPr>
            <w:r w:rsidRPr="000B4E2C">
              <w:rPr>
                <w:lang w:eastAsia="en-GB"/>
              </w:rPr>
              <w:lastRenderedPageBreak/>
              <w:t>Matsa 2014</w:t>
            </w:r>
          </w:p>
        </w:tc>
        <w:tc>
          <w:tcPr>
            <w:tcW w:w="0" w:type="auto"/>
            <w:shd w:val="clear" w:color="auto" w:fill="auto"/>
            <w:noWrap/>
            <w:vAlign w:val="center"/>
            <w:hideMark/>
          </w:tcPr>
          <w:p w14:paraId="5F4EC156" w14:textId="77777777" w:rsidR="00A0284C" w:rsidRPr="000B4E2C" w:rsidRDefault="00A0284C" w:rsidP="00A0284C">
            <w:pPr>
              <w:jc w:val="center"/>
              <w:rPr>
                <w:color w:val="000000"/>
                <w:lang w:eastAsia="en-GB"/>
              </w:rPr>
            </w:pPr>
            <w:r w:rsidRPr="000B4E2C">
              <w:rPr>
                <w:lang w:eastAsia="en-GB"/>
              </w:rPr>
              <w:t>uNGAL, pNGAL</w:t>
            </w:r>
          </w:p>
        </w:tc>
        <w:tc>
          <w:tcPr>
            <w:tcW w:w="0" w:type="auto"/>
            <w:shd w:val="clear" w:color="auto" w:fill="auto"/>
            <w:noWrap/>
            <w:vAlign w:val="center"/>
            <w:hideMark/>
          </w:tcPr>
          <w:p w14:paraId="6B5BE757"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FC6F269"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4E4E7F1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46E39C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3AB1F0D"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6D2D916"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71DF1700" w14:textId="77777777" w:rsidR="00A0284C" w:rsidRPr="000B4E2C" w:rsidRDefault="00A0284C" w:rsidP="00A0284C">
            <w:pPr>
              <w:jc w:val="center"/>
              <w:rPr>
                <w:lang w:eastAsia="en-GB"/>
              </w:rPr>
            </w:pPr>
            <w:r w:rsidRPr="000B4E2C">
              <w:rPr>
                <w:lang w:eastAsia="en-GB"/>
              </w:rPr>
              <w:t>Low</w:t>
            </w:r>
          </w:p>
        </w:tc>
      </w:tr>
      <w:tr w:rsidR="00A0284C" w:rsidRPr="000B4E2C" w14:paraId="0B88529F" w14:textId="77777777" w:rsidTr="000B4E2C">
        <w:trPr>
          <w:cantSplit/>
          <w:tblHeader/>
        </w:trPr>
        <w:tc>
          <w:tcPr>
            <w:tcW w:w="0" w:type="auto"/>
            <w:shd w:val="clear" w:color="auto" w:fill="auto"/>
            <w:noWrap/>
            <w:vAlign w:val="center"/>
            <w:hideMark/>
          </w:tcPr>
          <w:p w14:paraId="226D4627" w14:textId="77777777" w:rsidR="00A0284C" w:rsidRPr="000B4E2C" w:rsidRDefault="00A0284C" w:rsidP="00A0284C">
            <w:pPr>
              <w:rPr>
                <w:color w:val="000000"/>
                <w:lang w:eastAsia="en-GB"/>
              </w:rPr>
            </w:pPr>
            <w:r w:rsidRPr="000B4E2C">
              <w:rPr>
                <w:lang w:eastAsia="en-GB"/>
              </w:rPr>
              <w:t>Nickolas 2008</w:t>
            </w:r>
          </w:p>
        </w:tc>
        <w:tc>
          <w:tcPr>
            <w:tcW w:w="0" w:type="auto"/>
            <w:shd w:val="clear" w:color="auto" w:fill="auto"/>
            <w:noWrap/>
            <w:vAlign w:val="center"/>
            <w:hideMark/>
          </w:tcPr>
          <w:p w14:paraId="552915BE"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2433F01E"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778F7D6C"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56CB7FDC"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7F4FCDA"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C95208B"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00E5D2C"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32193162" w14:textId="77777777" w:rsidR="00A0284C" w:rsidRPr="000B4E2C" w:rsidRDefault="00A0284C" w:rsidP="00A0284C">
            <w:pPr>
              <w:jc w:val="center"/>
              <w:rPr>
                <w:lang w:eastAsia="en-GB"/>
              </w:rPr>
            </w:pPr>
            <w:r w:rsidRPr="000B4E2C">
              <w:rPr>
                <w:lang w:eastAsia="en-GB"/>
              </w:rPr>
              <w:t>Low</w:t>
            </w:r>
          </w:p>
        </w:tc>
      </w:tr>
      <w:tr w:rsidR="00A0284C" w:rsidRPr="000B4E2C" w14:paraId="4FEBBF2B" w14:textId="77777777" w:rsidTr="000B4E2C">
        <w:trPr>
          <w:cantSplit/>
          <w:tblHeader/>
        </w:trPr>
        <w:tc>
          <w:tcPr>
            <w:tcW w:w="0" w:type="auto"/>
            <w:shd w:val="clear" w:color="auto" w:fill="auto"/>
            <w:noWrap/>
            <w:vAlign w:val="center"/>
            <w:hideMark/>
          </w:tcPr>
          <w:p w14:paraId="07D66552" w14:textId="77777777" w:rsidR="00A0284C" w:rsidRPr="000B4E2C" w:rsidRDefault="00A0284C" w:rsidP="00A0284C">
            <w:pPr>
              <w:rPr>
                <w:color w:val="000000"/>
                <w:lang w:eastAsia="en-GB"/>
              </w:rPr>
            </w:pPr>
            <w:r w:rsidRPr="000B4E2C">
              <w:rPr>
                <w:lang w:eastAsia="en-GB"/>
              </w:rPr>
              <w:t>Nickolas 2012</w:t>
            </w:r>
          </w:p>
        </w:tc>
        <w:tc>
          <w:tcPr>
            <w:tcW w:w="0" w:type="auto"/>
            <w:shd w:val="clear" w:color="auto" w:fill="auto"/>
            <w:noWrap/>
            <w:vAlign w:val="center"/>
            <w:hideMark/>
          </w:tcPr>
          <w:p w14:paraId="46F9C02C"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764E3977"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1FF7022"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2F7DA364"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01F20168"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C2CB099"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97FB1CE"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52D4FC9C" w14:textId="77777777" w:rsidR="00A0284C" w:rsidRPr="000B4E2C" w:rsidRDefault="00A0284C" w:rsidP="00A0284C">
            <w:pPr>
              <w:jc w:val="center"/>
              <w:rPr>
                <w:lang w:eastAsia="en-GB"/>
              </w:rPr>
            </w:pPr>
            <w:r w:rsidRPr="000B4E2C">
              <w:rPr>
                <w:lang w:eastAsia="en-GB"/>
              </w:rPr>
              <w:t>Unclear</w:t>
            </w:r>
          </w:p>
        </w:tc>
      </w:tr>
      <w:tr w:rsidR="00A0284C" w:rsidRPr="000B4E2C" w14:paraId="6478B70F" w14:textId="77777777" w:rsidTr="000B4E2C">
        <w:trPr>
          <w:cantSplit/>
          <w:tblHeader/>
        </w:trPr>
        <w:tc>
          <w:tcPr>
            <w:tcW w:w="0" w:type="auto"/>
            <w:shd w:val="clear" w:color="auto" w:fill="auto"/>
            <w:noWrap/>
            <w:vAlign w:val="center"/>
            <w:hideMark/>
          </w:tcPr>
          <w:p w14:paraId="2211ADF0" w14:textId="77777777" w:rsidR="00A0284C" w:rsidRPr="000B4E2C" w:rsidRDefault="00A0284C" w:rsidP="00A0284C">
            <w:pPr>
              <w:rPr>
                <w:color w:val="000000"/>
                <w:lang w:eastAsia="en-GB"/>
              </w:rPr>
            </w:pPr>
            <w:r w:rsidRPr="000B4E2C">
              <w:rPr>
                <w:lang w:eastAsia="en-GB"/>
              </w:rPr>
              <w:t>Nisula 2015</w:t>
            </w:r>
          </w:p>
        </w:tc>
        <w:tc>
          <w:tcPr>
            <w:tcW w:w="0" w:type="auto"/>
            <w:shd w:val="clear" w:color="auto" w:fill="auto"/>
            <w:noWrap/>
            <w:vAlign w:val="center"/>
            <w:hideMark/>
          </w:tcPr>
          <w:p w14:paraId="1B4A9772"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17A0C04A"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CFDA27D"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794F5373"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73414BE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B09B0C4"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DCF0C92"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7B220DCF" w14:textId="77777777" w:rsidR="00A0284C" w:rsidRPr="000B4E2C" w:rsidRDefault="00A0284C" w:rsidP="00A0284C">
            <w:pPr>
              <w:jc w:val="center"/>
              <w:rPr>
                <w:lang w:eastAsia="en-GB"/>
              </w:rPr>
            </w:pPr>
            <w:r w:rsidRPr="000B4E2C">
              <w:rPr>
                <w:lang w:eastAsia="en-GB"/>
              </w:rPr>
              <w:t>Low</w:t>
            </w:r>
          </w:p>
        </w:tc>
      </w:tr>
      <w:tr w:rsidR="00A0284C" w:rsidRPr="000B4E2C" w14:paraId="7F40E1F4" w14:textId="77777777" w:rsidTr="000B4E2C">
        <w:trPr>
          <w:cantSplit/>
          <w:tblHeader/>
        </w:trPr>
        <w:tc>
          <w:tcPr>
            <w:tcW w:w="0" w:type="auto"/>
            <w:shd w:val="clear" w:color="auto" w:fill="auto"/>
            <w:noWrap/>
            <w:vAlign w:val="center"/>
            <w:hideMark/>
          </w:tcPr>
          <w:p w14:paraId="061393D8" w14:textId="77777777" w:rsidR="00A0284C" w:rsidRPr="000B4E2C" w:rsidRDefault="00A0284C" w:rsidP="00A0284C">
            <w:pPr>
              <w:rPr>
                <w:color w:val="000000"/>
                <w:lang w:eastAsia="en-GB"/>
              </w:rPr>
            </w:pPr>
            <w:r w:rsidRPr="000B4E2C">
              <w:rPr>
                <w:lang w:eastAsia="en-GB"/>
              </w:rPr>
              <w:t>Oezkur 2017</w:t>
            </w:r>
          </w:p>
        </w:tc>
        <w:tc>
          <w:tcPr>
            <w:tcW w:w="0" w:type="auto"/>
            <w:shd w:val="clear" w:color="auto" w:fill="auto"/>
            <w:noWrap/>
            <w:vAlign w:val="center"/>
            <w:hideMark/>
          </w:tcPr>
          <w:p w14:paraId="381B6D55" w14:textId="77777777" w:rsidR="00A0284C" w:rsidRPr="000B4E2C" w:rsidRDefault="00A0284C" w:rsidP="00A0284C">
            <w:pPr>
              <w:jc w:val="center"/>
              <w:rPr>
                <w:color w:val="000000"/>
                <w:lang w:eastAsia="en-GB"/>
              </w:rPr>
            </w:pPr>
            <w:r w:rsidRPr="000B4E2C">
              <w:rPr>
                <w:lang w:eastAsia="en-GB"/>
              </w:rPr>
              <w:t xml:space="preserve">NephC </w:t>
            </w:r>
          </w:p>
        </w:tc>
        <w:tc>
          <w:tcPr>
            <w:tcW w:w="0" w:type="auto"/>
            <w:shd w:val="clear" w:color="auto" w:fill="auto"/>
            <w:noWrap/>
            <w:vAlign w:val="center"/>
            <w:hideMark/>
          </w:tcPr>
          <w:p w14:paraId="0F3E21A2"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D9D0FD4"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6D7518E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0490413"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C2E228C"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0F01FF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vAlign w:val="center"/>
            <w:hideMark/>
          </w:tcPr>
          <w:p w14:paraId="3706142D" w14:textId="77777777" w:rsidR="00A0284C" w:rsidRPr="000B4E2C" w:rsidRDefault="00A0284C" w:rsidP="00A0284C">
            <w:pPr>
              <w:jc w:val="center"/>
              <w:rPr>
                <w:lang w:eastAsia="en-GB"/>
              </w:rPr>
            </w:pPr>
            <w:r w:rsidRPr="000B4E2C">
              <w:rPr>
                <w:lang w:eastAsia="en-GB"/>
              </w:rPr>
              <w:t>Low</w:t>
            </w:r>
          </w:p>
        </w:tc>
      </w:tr>
      <w:tr w:rsidR="00A0284C" w:rsidRPr="000B4E2C" w14:paraId="5BC569E3" w14:textId="77777777" w:rsidTr="000B4E2C">
        <w:trPr>
          <w:cantSplit/>
          <w:tblHeader/>
        </w:trPr>
        <w:tc>
          <w:tcPr>
            <w:tcW w:w="0" w:type="auto"/>
            <w:shd w:val="clear" w:color="auto" w:fill="auto"/>
            <w:noWrap/>
            <w:vAlign w:val="center"/>
            <w:hideMark/>
          </w:tcPr>
          <w:p w14:paraId="77294526" w14:textId="77777777" w:rsidR="00A0284C" w:rsidRPr="000B4E2C" w:rsidRDefault="00A0284C" w:rsidP="00A0284C">
            <w:pPr>
              <w:rPr>
                <w:color w:val="000000"/>
                <w:lang w:eastAsia="en-GB"/>
              </w:rPr>
            </w:pPr>
            <w:r w:rsidRPr="000B4E2C">
              <w:rPr>
                <w:lang w:eastAsia="en-GB"/>
              </w:rPr>
              <w:t>Parikh 2011</w:t>
            </w:r>
          </w:p>
        </w:tc>
        <w:tc>
          <w:tcPr>
            <w:tcW w:w="0" w:type="auto"/>
            <w:shd w:val="clear" w:color="auto" w:fill="auto"/>
            <w:noWrap/>
            <w:vAlign w:val="center"/>
            <w:hideMark/>
          </w:tcPr>
          <w:p w14:paraId="054EB839"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37FE0819"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7897310"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5F0FE754"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02A7C67"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78F32AB2"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3B9E01C"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2CD7542F" w14:textId="77777777" w:rsidR="00A0284C" w:rsidRPr="000B4E2C" w:rsidRDefault="00A0284C" w:rsidP="00A0284C">
            <w:pPr>
              <w:jc w:val="center"/>
              <w:rPr>
                <w:lang w:eastAsia="en-GB"/>
              </w:rPr>
            </w:pPr>
            <w:r w:rsidRPr="000B4E2C">
              <w:rPr>
                <w:lang w:eastAsia="en-GB"/>
              </w:rPr>
              <w:t>Low</w:t>
            </w:r>
          </w:p>
        </w:tc>
      </w:tr>
      <w:tr w:rsidR="00A0284C" w:rsidRPr="000B4E2C" w14:paraId="71BCF5E4" w14:textId="77777777" w:rsidTr="000B4E2C">
        <w:trPr>
          <w:cantSplit/>
          <w:tblHeader/>
        </w:trPr>
        <w:tc>
          <w:tcPr>
            <w:tcW w:w="0" w:type="auto"/>
            <w:shd w:val="clear" w:color="auto" w:fill="auto"/>
            <w:noWrap/>
            <w:vAlign w:val="center"/>
            <w:hideMark/>
          </w:tcPr>
          <w:p w14:paraId="3F7C0900" w14:textId="77777777" w:rsidR="00A0284C" w:rsidRPr="000B4E2C" w:rsidRDefault="00A0284C" w:rsidP="00A0284C">
            <w:pPr>
              <w:rPr>
                <w:color w:val="000000"/>
                <w:lang w:eastAsia="en-GB"/>
              </w:rPr>
            </w:pPr>
            <w:r w:rsidRPr="000B4E2C">
              <w:rPr>
                <w:lang w:eastAsia="en-GB"/>
              </w:rPr>
              <w:t>Parikh 2011</w:t>
            </w:r>
          </w:p>
        </w:tc>
        <w:tc>
          <w:tcPr>
            <w:tcW w:w="0" w:type="auto"/>
            <w:shd w:val="clear" w:color="auto" w:fill="auto"/>
            <w:noWrap/>
            <w:vAlign w:val="center"/>
            <w:hideMark/>
          </w:tcPr>
          <w:p w14:paraId="14720F2F"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76BD2ACE"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2200B88"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3267536C"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0F8291B"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B4DC69B"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1C8DAF6"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5184E11D" w14:textId="77777777" w:rsidR="00A0284C" w:rsidRPr="000B4E2C" w:rsidRDefault="00A0284C" w:rsidP="00A0284C">
            <w:pPr>
              <w:jc w:val="center"/>
              <w:rPr>
                <w:lang w:eastAsia="en-GB"/>
              </w:rPr>
            </w:pPr>
            <w:r w:rsidRPr="000B4E2C">
              <w:rPr>
                <w:lang w:eastAsia="en-GB"/>
              </w:rPr>
              <w:t>Low</w:t>
            </w:r>
          </w:p>
        </w:tc>
      </w:tr>
      <w:tr w:rsidR="00A0284C" w:rsidRPr="000B4E2C" w14:paraId="51396B77" w14:textId="77777777" w:rsidTr="000B4E2C">
        <w:trPr>
          <w:cantSplit/>
          <w:tblHeader/>
        </w:trPr>
        <w:tc>
          <w:tcPr>
            <w:tcW w:w="0" w:type="auto"/>
            <w:shd w:val="clear" w:color="auto" w:fill="auto"/>
            <w:noWrap/>
            <w:vAlign w:val="center"/>
            <w:hideMark/>
          </w:tcPr>
          <w:p w14:paraId="79321C4B" w14:textId="77777777" w:rsidR="00A0284C" w:rsidRPr="000B4E2C" w:rsidRDefault="00A0284C" w:rsidP="00A0284C">
            <w:pPr>
              <w:rPr>
                <w:color w:val="000000"/>
                <w:lang w:eastAsia="en-GB"/>
              </w:rPr>
            </w:pPr>
            <w:r w:rsidRPr="000B4E2C">
              <w:rPr>
                <w:lang w:eastAsia="en-GB"/>
              </w:rPr>
              <w:t>Park 2017</w:t>
            </w:r>
          </w:p>
        </w:tc>
        <w:tc>
          <w:tcPr>
            <w:tcW w:w="0" w:type="auto"/>
            <w:shd w:val="clear" w:color="auto" w:fill="auto"/>
            <w:noWrap/>
            <w:vAlign w:val="center"/>
            <w:hideMark/>
          </w:tcPr>
          <w:p w14:paraId="12745BD1"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14F30A10"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4AD5D6F0"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08A387D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49EDDA2"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5DA94EDD"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3436B45"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0C7720FE" w14:textId="77777777" w:rsidR="00A0284C" w:rsidRPr="000B4E2C" w:rsidRDefault="00A0284C" w:rsidP="00A0284C">
            <w:pPr>
              <w:jc w:val="center"/>
              <w:rPr>
                <w:lang w:eastAsia="en-GB"/>
              </w:rPr>
            </w:pPr>
            <w:r w:rsidRPr="000B4E2C">
              <w:rPr>
                <w:lang w:eastAsia="en-GB"/>
              </w:rPr>
              <w:t>Low</w:t>
            </w:r>
          </w:p>
        </w:tc>
      </w:tr>
      <w:tr w:rsidR="00A0284C" w:rsidRPr="000B4E2C" w14:paraId="66854438" w14:textId="77777777" w:rsidTr="000B4E2C">
        <w:trPr>
          <w:cantSplit/>
          <w:tblHeader/>
        </w:trPr>
        <w:tc>
          <w:tcPr>
            <w:tcW w:w="0" w:type="auto"/>
            <w:shd w:val="clear" w:color="auto" w:fill="auto"/>
            <w:noWrap/>
            <w:vAlign w:val="center"/>
            <w:hideMark/>
          </w:tcPr>
          <w:p w14:paraId="22DCA11A" w14:textId="77777777" w:rsidR="00A0284C" w:rsidRPr="000B4E2C" w:rsidRDefault="00A0284C" w:rsidP="00A0284C">
            <w:pPr>
              <w:rPr>
                <w:color w:val="000000"/>
                <w:lang w:eastAsia="en-GB"/>
              </w:rPr>
            </w:pPr>
            <w:r w:rsidRPr="000B4E2C">
              <w:rPr>
                <w:lang w:eastAsia="en-GB"/>
              </w:rPr>
              <w:t>Pipili 2014</w:t>
            </w:r>
          </w:p>
        </w:tc>
        <w:tc>
          <w:tcPr>
            <w:tcW w:w="0" w:type="auto"/>
            <w:shd w:val="clear" w:color="auto" w:fill="auto"/>
            <w:noWrap/>
            <w:vAlign w:val="center"/>
            <w:hideMark/>
          </w:tcPr>
          <w:p w14:paraId="051D395E"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4D2E733C"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A07A575"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6263391E"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39315E8"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CBC2F3D"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A6CF55A"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310D4E65" w14:textId="77777777" w:rsidR="00A0284C" w:rsidRPr="000B4E2C" w:rsidRDefault="00A0284C" w:rsidP="00A0284C">
            <w:pPr>
              <w:jc w:val="center"/>
              <w:rPr>
                <w:lang w:eastAsia="en-GB"/>
              </w:rPr>
            </w:pPr>
            <w:r w:rsidRPr="000B4E2C">
              <w:rPr>
                <w:lang w:eastAsia="en-GB"/>
              </w:rPr>
              <w:t>Low</w:t>
            </w:r>
          </w:p>
        </w:tc>
      </w:tr>
      <w:tr w:rsidR="00A0284C" w:rsidRPr="000B4E2C" w14:paraId="5E631E34" w14:textId="77777777" w:rsidTr="000B4E2C">
        <w:trPr>
          <w:cantSplit/>
          <w:tblHeader/>
        </w:trPr>
        <w:tc>
          <w:tcPr>
            <w:tcW w:w="0" w:type="auto"/>
            <w:shd w:val="clear" w:color="auto" w:fill="auto"/>
            <w:noWrap/>
            <w:vAlign w:val="center"/>
            <w:hideMark/>
          </w:tcPr>
          <w:p w14:paraId="2196F5C8" w14:textId="77777777" w:rsidR="00A0284C" w:rsidRPr="000B4E2C" w:rsidRDefault="00A0284C" w:rsidP="00A0284C">
            <w:pPr>
              <w:rPr>
                <w:color w:val="000000"/>
                <w:lang w:eastAsia="en-GB"/>
              </w:rPr>
            </w:pPr>
            <w:r w:rsidRPr="000B4E2C">
              <w:rPr>
                <w:lang w:eastAsia="en-GB"/>
              </w:rPr>
              <w:t>Schley 2015</w:t>
            </w:r>
          </w:p>
        </w:tc>
        <w:tc>
          <w:tcPr>
            <w:tcW w:w="0" w:type="auto"/>
            <w:shd w:val="clear" w:color="auto" w:fill="auto"/>
            <w:noWrap/>
            <w:vAlign w:val="center"/>
            <w:hideMark/>
          </w:tcPr>
          <w:p w14:paraId="375FC08A" w14:textId="77777777" w:rsidR="00A0284C" w:rsidRPr="000B4E2C" w:rsidRDefault="00A0284C" w:rsidP="00A0284C">
            <w:pPr>
              <w:jc w:val="center"/>
              <w:rPr>
                <w:color w:val="000000"/>
                <w:lang w:eastAsia="en-GB"/>
              </w:rPr>
            </w:pPr>
            <w:r w:rsidRPr="000B4E2C">
              <w:rPr>
                <w:lang w:eastAsia="en-GB"/>
              </w:rPr>
              <w:t>uNGAL, pNGAL</w:t>
            </w:r>
          </w:p>
        </w:tc>
        <w:tc>
          <w:tcPr>
            <w:tcW w:w="0" w:type="auto"/>
            <w:shd w:val="clear" w:color="auto" w:fill="auto"/>
            <w:noWrap/>
            <w:vAlign w:val="center"/>
            <w:hideMark/>
          </w:tcPr>
          <w:p w14:paraId="6F6A4187"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A60B840"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4B8951C8"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E133A0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72A5E63F"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17EF8A5"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5F15B239" w14:textId="77777777" w:rsidR="00A0284C" w:rsidRPr="000B4E2C" w:rsidRDefault="00A0284C" w:rsidP="00A0284C">
            <w:pPr>
              <w:jc w:val="center"/>
              <w:rPr>
                <w:lang w:eastAsia="en-GB"/>
              </w:rPr>
            </w:pPr>
            <w:r w:rsidRPr="000B4E2C">
              <w:rPr>
                <w:lang w:eastAsia="en-GB"/>
              </w:rPr>
              <w:t>Low</w:t>
            </w:r>
          </w:p>
        </w:tc>
      </w:tr>
      <w:tr w:rsidR="00A0284C" w:rsidRPr="000B4E2C" w14:paraId="40653A6F" w14:textId="77777777" w:rsidTr="000B4E2C">
        <w:trPr>
          <w:cantSplit/>
          <w:tblHeader/>
        </w:trPr>
        <w:tc>
          <w:tcPr>
            <w:tcW w:w="0" w:type="auto"/>
            <w:shd w:val="clear" w:color="auto" w:fill="auto"/>
            <w:noWrap/>
            <w:vAlign w:val="center"/>
            <w:hideMark/>
          </w:tcPr>
          <w:p w14:paraId="1B8AA781" w14:textId="77777777" w:rsidR="00A0284C" w:rsidRPr="000B4E2C" w:rsidRDefault="00A0284C" w:rsidP="00A0284C">
            <w:pPr>
              <w:rPr>
                <w:color w:val="000000"/>
                <w:lang w:eastAsia="en-GB"/>
              </w:rPr>
            </w:pPr>
            <w:r w:rsidRPr="000B4E2C">
              <w:rPr>
                <w:lang w:eastAsia="en-GB"/>
              </w:rPr>
              <w:t>Seitz 2013</w:t>
            </w:r>
          </w:p>
        </w:tc>
        <w:tc>
          <w:tcPr>
            <w:tcW w:w="0" w:type="auto"/>
            <w:shd w:val="clear" w:color="auto" w:fill="auto"/>
            <w:noWrap/>
            <w:vAlign w:val="center"/>
            <w:hideMark/>
          </w:tcPr>
          <w:p w14:paraId="3148C7F2"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502B5EB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ADD571E"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863DC10"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79FE1432"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359BFD2"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520A64B"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10985E45" w14:textId="77777777" w:rsidR="00A0284C" w:rsidRPr="000B4E2C" w:rsidRDefault="00A0284C" w:rsidP="00A0284C">
            <w:pPr>
              <w:jc w:val="center"/>
              <w:rPr>
                <w:lang w:eastAsia="en-GB"/>
              </w:rPr>
            </w:pPr>
            <w:r w:rsidRPr="000B4E2C">
              <w:rPr>
                <w:lang w:eastAsia="en-GB"/>
              </w:rPr>
              <w:t>Low</w:t>
            </w:r>
          </w:p>
        </w:tc>
      </w:tr>
      <w:tr w:rsidR="00A0284C" w:rsidRPr="000B4E2C" w14:paraId="393A09A9" w14:textId="77777777" w:rsidTr="000B4E2C">
        <w:trPr>
          <w:cantSplit/>
          <w:tblHeader/>
        </w:trPr>
        <w:tc>
          <w:tcPr>
            <w:tcW w:w="0" w:type="auto"/>
            <w:shd w:val="clear" w:color="auto" w:fill="auto"/>
            <w:noWrap/>
            <w:vAlign w:val="center"/>
            <w:hideMark/>
          </w:tcPr>
          <w:p w14:paraId="067F851A" w14:textId="77777777" w:rsidR="00A0284C" w:rsidRPr="000B4E2C" w:rsidRDefault="00A0284C" w:rsidP="00A0284C">
            <w:pPr>
              <w:rPr>
                <w:color w:val="000000"/>
                <w:lang w:eastAsia="en-GB"/>
              </w:rPr>
            </w:pPr>
            <w:r w:rsidRPr="000B4E2C">
              <w:rPr>
                <w:lang w:eastAsia="en-GB"/>
              </w:rPr>
              <w:t>Smith 2013</w:t>
            </w:r>
          </w:p>
        </w:tc>
        <w:tc>
          <w:tcPr>
            <w:tcW w:w="0" w:type="auto"/>
            <w:shd w:val="clear" w:color="auto" w:fill="auto"/>
            <w:noWrap/>
            <w:vAlign w:val="center"/>
            <w:hideMark/>
          </w:tcPr>
          <w:p w14:paraId="6521E293"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5FFE2114"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347E9E3"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68E4795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200FCA3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8CD37A9"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3DD1129"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22E7FF4E" w14:textId="77777777" w:rsidR="00A0284C" w:rsidRPr="000B4E2C" w:rsidRDefault="00A0284C" w:rsidP="00A0284C">
            <w:pPr>
              <w:jc w:val="center"/>
              <w:rPr>
                <w:lang w:eastAsia="en-GB"/>
              </w:rPr>
            </w:pPr>
            <w:r w:rsidRPr="000B4E2C">
              <w:rPr>
                <w:lang w:eastAsia="en-GB"/>
              </w:rPr>
              <w:t>Low</w:t>
            </w:r>
          </w:p>
        </w:tc>
      </w:tr>
      <w:tr w:rsidR="00A0284C" w:rsidRPr="000B4E2C" w14:paraId="178A032C" w14:textId="77777777" w:rsidTr="000B4E2C">
        <w:trPr>
          <w:cantSplit/>
          <w:tblHeader/>
        </w:trPr>
        <w:tc>
          <w:tcPr>
            <w:tcW w:w="0" w:type="auto"/>
            <w:shd w:val="clear" w:color="auto" w:fill="auto"/>
            <w:noWrap/>
            <w:vAlign w:val="center"/>
            <w:hideMark/>
          </w:tcPr>
          <w:p w14:paraId="02916653" w14:textId="77777777" w:rsidR="00A0284C" w:rsidRPr="000B4E2C" w:rsidRDefault="00A0284C" w:rsidP="00A0284C">
            <w:pPr>
              <w:rPr>
                <w:color w:val="000000"/>
                <w:lang w:eastAsia="en-GB"/>
              </w:rPr>
            </w:pPr>
            <w:r w:rsidRPr="000B4E2C">
              <w:rPr>
                <w:lang w:eastAsia="en-GB"/>
              </w:rPr>
              <w:t>Tecson 2017</w:t>
            </w:r>
          </w:p>
        </w:tc>
        <w:tc>
          <w:tcPr>
            <w:tcW w:w="0" w:type="auto"/>
            <w:shd w:val="clear" w:color="auto" w:fill="auto"/>
            <w:noWrap/>
            <w:vAlign w:val="center"/>
            <w:hideMark/>
          </w:tcPr>
          <w:p w14:paraId="1F0F2E09" w14:textId="77777777" w:rsidR="00A0284C" w:rsidRPr="000B4E2C" w:rsidRDefault="00A0284C" w:rsidP="00A0284C">
            <w:pPr>
              <w:jc w:val="center"/>
              <w:rPr>
                <w:color w:val="000000"/>
                <w:lang w:eastAsia="en-GB"/>
              </w:rPr>
            </w:pPr>
            <w:r w:rsidRPr="000B4E2C">
              <w:rPr>
                <w:lang w:eastAsia="en-GB"/>
              </w:rPr>
              <w:t>uNGAL, pNGAL</w:t>
            </w:r>
          </w:p>
        </w:tc>
        <w:tc>
          <w:tcPr>
            <w:tcW w:w="0" w:type="auto"/>
            <w:shd w:val="clear" w:color="auto" w:fill="auto"/>
            <w:noWrap/>
            <w:vAlign w:val="center"/>
            <w:hideMark/>
          </w:tcPr>
          <w:p w14:paraId="2465C55F"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F519D88"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29156A50"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59C34F0"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4A7A5AB"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E8B59B9"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72FE0EC8" w14:textId="77777777" w:rsidR="00A0284C" w:rsidRPr="000B4E2C" w:rsidRDefault="00A0284C" w:rsidP="00A0284C">
            <w:pPr>
              <w:jc w:val="center"/>
              <w:rPr>
                <w:lang w:eastAsia="en-GB"/>
              </w:rPr>
            </w:pPr>
            <w:r w:rsidRPr="000B4E2C">
              <w:rPr>
                <w:lang w:eastAsia="en-GB"/>
              </w:rPr>
              <w:t>Low</w:t>
            </w:r>
          </w:p>
        </w:tc>
      </w:tr>
      <w:tr w:rsidR="00A0284C" w:rsidRPr="000B4E2C" w14:paraId="62A486BE" w14:textId="77777777" w:rsidTr="000B4E2C">
        <w:trPr>
          <w:cantSplit/>
          <w:tblHeader/>
        </w:trPr>
        <w:tc>
          <w:tcPr>
            <w:tcW w:w="0" w:type="auto"/>
            <w:shd w:val="clear" w:color="auto" w:fill="auto"/>
            <w:noWrap/>
            <w:vAlign w:val="center"/>
            <w:hideMark/>
          </w:tcPr>
          <w:p w14:paraId="24A873D8" w14:textId="77777777" w:rsidR="00A0284C" w:rsidRPr="000B4E2C" w:rsidRDefault="00A0284C" w:rsidP="00A0284C">
            <w:pPr>
              <w:rPr>
                <w:color w:val="000000"/>
                <w:lang w:eastAsia="en-GB"/>
              </w:rPr>
            </w:pPr>
            <w:r w:rsidRPr="000B4E2C">
              <w:rPr>
                <w:lang w:eastAsia="en-GB"/>
              </w:rPr>
              <w:t>Thanakitcharu 2014</w:t>
            </w:r>
          </w:p>
        </w:tc>
        <w:tc>
          <w:tcPr>
            <w:tcW w:w="0" w:type="auto"/>
            <w:shd w:val="clear" w:color="auto" w:fill="auto"/>
            <w:noWrap/>
            <w:vAlign w:val="center"/>
            <w:hideMark/>
          </w:tcPr>
          <w:p w14:paraId="6D70FC88"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2294F029"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6CE0705"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68F03882"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2B4D06E"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4DACF9CE"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7FF8389C"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70A0C4A3" w14:textId="77777777" w:rsidR="00A0284C" w:rsidRPr="000B4E2C" w:rsidRDefault="00A0284C" w:rsidP="00A0284C">
            <w:pPr>
              <w:jc w:val="center"/>
              <w:rPr>
                <w:lang w:eastAsia="en-GB"/>
              </w:rPr>
            </w:pPr>
            <w:r w:rsidRPr="000B4E2C">
              <w:rPr>
                <w:lang w:eastAsia="en-GB"/>
              </w:rPr>
              <w:t>Low</w:t>
            </w:r>
          </w:p>
        </w:tc>
      </w:tr>
      <w:tr w:rsidR="00A0284C" w:rsidRPr="000B4E2C" w14:paraId="5910450C" w14:textId="77777777" w:rsidTr="000B4E2C">
        <w:trPr>
          <w:cantSplit/>
          <w:tblHeader/>
        </w:trPr>
        <w:tc>
          <w:tcPr>
            <w:tcW w:w="0" w:type="auto"/>
            <w:shd w:val="clear" w:color="auto" w:fill="auto"/>
            <w:noWrap/>
            <w:vAlign w:val="center"/>
            <w:hideMark/>
          </w:tcPr>
          <w:p w14:paraId="5CD205A8" w14:textId="77777777" w:rsidR="00A0284C" w:rsidRPr="000B4E2C" w:rsidRDefault="00A0284C" w:rsidP="00A0284C">
            <w:pPr>
              <w:rPr>
                <w:color w:val="000000"/>
                <w:lang w:eastAsia="en-GB"/>
              </w:rPr>
            </w:pPr>
            <w:r w:rsidRPr="000B4E2C">
              <w:rPr>
                <w:lang w:eastAsia="en-GB"/>
              </w:rPr>
              <w:t>Tidbury 2019</w:t>
            </w:r>
          </w:p>
        </w:tc>
        <w:tc>
          <w:tcPr>
            <w:tcW w:w="0" w:type="auto"/>
            <w:shd w:val="clear" w:color="auto" w:fill="auto"/>
            <w:noWrap/>
            <w:vAlign w:val="center"/>
            <w:hideMark/>
          </w:tcPr>
          <w:p w14:paraId="002FE7AF"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48D7DC6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C2EF4E6"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5075D420"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357AEC8"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65D922B8"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615D48B"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1E87C153" w14:textId="77777777" w:rsidR="00A0284C" w:rsidRPr="000B4E2C" w:rsidRDefault="00A0284C" w:rsidP="00A0284C">
            <w:pPr>
              <w:jc w:val="center"/>
              <w:rPr>
                <w:lang w:eastAsia="en-GB"/>
              </w:rPr>
            </w:pPr>
            <w:r w:rsidRPr="000B4E2C">
              <w:rPr>
                <w:lang w:eastAsia="en-GB"/>
              </w:rPr>
              <w:t>Low</w:t>
            </w:r>
          </w:p>
        </w:tc>
      </w:tr>
      <w:tr w:rsidR="00A0284C" w:rsidRPr="000B4E2C" w14:paraId="5114233C" w14:textId="77777777" w:rsidTr="000B4E2C">
        <w:trPr>
          <w:cantSplit/>
          <w:tblHeader/>
        </w:trPr>
        <w:tc>
          <w:tcPr>
            <w:tcW w:w="0" w:type="auto"/>
            <w:shd w:val="clear" w:color="auto" w:fill="auto"/>
            <w:noWrap/>
            <w:vAlign w:val="center"/>
            <w:hideMark/>
          </w:tcPr>
          <w:p w14:paraId="6035CA87" w14:textId="77777777" w:rsidR="00A0284C" w:rsidRPr="000B4E2C" w:rsidRDefault="00A0284C" w:rsidP="00A0284C">
            <w:pPr>
              <w:rPr>
                <w:color w:val="000000"/>
                <w:lang w:eastAsia="en-GB"/>
              </w:rPr>
            </w:pPr>
            <w:r w:rsidRPr="000B4E2C">
              <w:rPr>
                <w:lang w:eastAsia="en-GB"/>
              </w:rPr>
              <w:t>Treeprasertsuk 2015</w:t>
            </w:r>
          </w:p>
        </w:tc>
        <w:tc>
          <w:tcPr>
            <w:tcW w:w="0" w:type="auto"/>
            <w:shd w:val="clear" w:color="auto" w:fill="auto"/>
            <w:noWrap/>
            <w:vAlign w:val="center"/>
            <w:hideMark/>
          </w:tcPr>
          <w:p w14:paraId="0AA78FD6"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5945C2B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44B7BE8"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3EDD7189"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059711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12540414"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C2D37C0"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2DC09B57" w14:textId="77777777" w:rsidR="00A0284C" w:rsidRPr="000B4E2C" w:rsidRDefault="00A0284C" w:rsidP="00A0284C">
            <w:pPr>
              <w:jc w:val="center"/>
              <w:rPr>
                <w:lang w:eastAsia="en-GB"/>
              </w:rPr>
            </w:pPr>
            <w:r w:rsidRPr="000B4E2C">
              <w:rPr>
                <w:lang w:eastAsia="en-GB"/>
              </w:rPr>
              <w:t>Low</w:t>
            </w:r>
          </w:p>
        </w:tc>
      </w:tr>
      <w:tr w:rsidR="00A0284C" w:rsidRPr="000B4E2C" w14:paraId="78742895" w14:textId="77777777" w:rsidTr="000B4E2C">
        <w:trPr>
          <w:cantSplit/>
          <w:tblHeader/>
        </w:trPr>
        <w:tc>
          <w:tcPr>
            <w:tcW w:w="0" w:type="auto"/>
            <w:shd w:val="clear" w:color="auto" w:fill="auto"/>
            <w:noWrap/>
            <w:vAlign w:val="center"/>
            <w:hideMark/>
          </w:tcPr>
          <w:p w14:paraId="0C988B58" w14:textId="77777777" w:rsidR="00A0284C" w:rsidRPr="000B4E2C" w:rsidRDefault="00A0284C" w:rsidP="00A0284C">
            <w:pPr>
              <w:rPr>
                <w:color w:val="000000"/>
                <w:lang w:eastAsia="en-GB"/>
              </w:rPr>
            </w:pPr>
            <w:r w:rsidRPr="000B4E2C">
              <w:rPr>
                <w:lang w:eastAsia="en-GB"/>
              </w:rPr>
              <w:t>Verna 2012</w:t>
            </w:r>
          </w:p>
        </w:tc>
        <w:tc>
          <w:tcPr>
            <w:tcW w:w="0" w:type="auto"/>
            <w:shd w:val="clear" w:color="auto" w:fill="auto"/>
            <w:noWrap/>
            <w:vAlign w:val="center"/>
            <w:hideMark/>
          </w:tcPr>
          <w:p w14:paraId="53265A94"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016DAEAB"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7D293DC"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147F528A"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738E417C"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3732B9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45BBE94"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2EAB3099" w14:textId="77777777" w:rsidR="00A0284C" w:rsidRPr="000B4E2C" w:rsidRDefault="00A0284C" w:rsidP="00A0284C">
            <w:pPr>
              <w:jc w:val="center"/>
              <w:rPr>
                <w:lang w:eastAsia="en-GB"/>
              </w:rPr>
            </w:pPr>
            <w:r w:rsidRPr="000B4E2C">
              <w:rPr>
                <w:lang w:eastAsia="en-GB"/>
              </w:rPr>
              <w:t>Low</w:t>
            </w:r>
          </w:p>
        </w:tc>
      </w:tr>
      <w:tr w:rsidR="00A0284C" w:rsidRPr="000B4E2C" w14:paraId="5F52B2EA" w14:textId="77777777" w:rsidTr="000B4E2C">
        <w:trPr>
          <w:cantSplit/>
          <w:tblHeader/>
        </w:trPr>
        <w:tc>
          <w:tcPr>
            <w:tcW w:w="0" w:type="auto"/>
            <w:shd w:val="clear" w:color="auto" w:fill="auto"/>
            <w:noWrap/>
            <w:vAlign w:val="center"/>
            <w:hideMark/>
          </w:tcPr>
          <w:p w14:paraId="1B45D584" w14:textId="77777777" w:rsidR="00A0284C" w:rsidRPr="000B4E2C" w:rsidRDefault="00A0284C" w:rsidP="00A0284C">
            <w:pPr>
              <w:rPr>
                <w:color w:val="000000"/>
                <w:lang w:eastAsia="en-GB"/>
              </w:rPr>
            </w:pPr>
            <w:r w:rsidRPr="000B4E2C">
              <w:rPr>
                <w:lang w:eastAsia="en-GB"/>
              </w:rPr>
              <w:t>Yang 2017</w:t>
            </w:r>
          </w:p>
        </w:tc>
        <w:tc>
          <w:tcPr>
            <w:tcW w:w="0" w:type="auto"/>
            <w:shd w:val="clear" w:color="auto" w:fill="auto"/>
            <w:noWrap/>
            <w:vAlign w:val="center"/>
            <w:hideMark/>
          </w:tcPr>
          <w:p w14:paraId="611CE651"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2CBCA890"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C9B6ECF"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51F6D483"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5439337"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C734E7F"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E970360"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42695E47" w14:textId="77777777" w:rsidR="00A0284C" w:rsidRPr="000B4E2C" w:rsidRDefault="00A0284C" w:rsidP="00A0284C">
            <w:pPr>
              <w:jc w:val="center"/>
              <w:rPr>
                <w:lang w:eastAsia="en-GB"/>
              </w:rPr>
            </w:pPr>
            <w:r w:rsidRPr="000B4E2C">
              <w:rPr>
                <w:lang w:eastAsia="en-GB"/>
              </w:rPr>
              <w:t>Low</w:t>
            </w:r>
          </w:p>
        </w:tc>
      </w:tr>
      <w:tr w:rsidR="00A0284C" w:rsidRPr="000B4E2C" w14:paraId="3A796253" w14:textId="77777777" w:rsidTr="000B4E2C">
        <w:trPr>
          <w:cantSplit/>
          <w:tblHeader/>
        </w:trPr>
        <w:tc>
          <w:tcPr>
            <w:tcW w:w="0" w:type="auto"/>
            <w:shd w:val="clear" w:color="auto" w:fill="auto"/>
            <w:noWrap/>
            <w:vAlign w:val="center"/>
            <w:hideMark/>
          </w:tcPr>
          <w:p w14:paraId="02A6B525" w14:textId="77777777" w:rsidR="00A0284C" w:rsidRPr="000B4E2C" w:rsidRDefault="00A0284C" w:rsidP="00A0284C">
            <w:pPr>
              <w:rPr>
                <w:color w:val="000000"/>
                <w:lang w:eastAsia="en-GB"/>
              </w:rPr>
            </w:pPr>
            <w:r w:rsidRPr="000B4E2C">
              <w:rPr>
                <w:lang w:eastAsia="en-GB"/>
              </w:rPr>
              <w:t>Zelt 2018</w:t>
            </w:r>
          </w:p>
        </w:tc>
        <w:tc>
          <w:tcPr>
            <w:tcW w:w="0" w:type="auto"/>
            <w:shd w:val="clear" w:color="auto" w:fill="auto"/>
            <w:noWrap/>
            <w:vAlign w:val="center"/>
            <w:hideMark/>
          </w:tcPr>
          <w:p w14:paraId="508002C4" w14:textId="77777777" w:rsidR="00A0284C" w:rsidRPr="000B4E2C" w:rsidRDefault="00A0284C" w:rsidP="00A0284C">
            <w:pPr>
              <w:jc w:val="center"/>
              <w:rPr>
                <w:color w:val="000000"/>
                <w:lang w:eastAsia="en-GB"/>
              </w:rPr>
            </w:pPr>
            <w:r w:rsidRPr="000B4E2C">
              <w:rPr>
                <w:lang w:eastAsia="en-GB"/>
              </w:rPr>
              <w:t xml:space="preserve">pNGAL </w:t>
            </w:r>
          </w:p>
        </w:tc>
        <w:tc>
          <w:tcPr>
            <w:tcW w:w="0" w:type="auto"/>
            <w:shd w:val="clear" w:color="auto" w:fill="auto"/>
            <w:noWrap/>
            <w:vAlign w:val="center"/>
            <w:hideMark/>
          </w:tcPr>
          <w:p w14:paraId="59F6E72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700DCA3B"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5C14333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DFCBF1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43B7221"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7962C3C"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072BE83F" w14:textId="77777777" w:rsidR="00A0284C" w:rsidRPr="000B4E2C" w:rsidRDefault="00A0284C" w:rsidP="00A0284C">
            <w:pPr>
              <w:jc w:val="center"/>
              <w:rPr>
                <w:lang w:eastAsia="en-GB"/>
              </w:rPr>
            </w:pPr>
            <w:r w:rsidRPr="000B4E2C">
              <w:rPr>
                <w:lang w:eastAsia="en-GB"/>
              </w:rPr>
              <w:t>Low</w:t>
            </w:r>
          </w:p>
        </w:tc>
      </w:tr>
      <w:tr w:rsidR="00A0284C" w:rsidRPr="000B4E2C" w14:paraId="67A46D28" w14:textId="77777777" w:rsidTr="000B4E2C">
        <w:trPr>
          <w:cantSplit/>
          <w:tblHeader/>
        </w:trPr>
        <w:tc>
          <w:tcPr>
            <w:tcW w:w="0" w:type="auto"/>
            <w:shd w:val="clear" w:color="auto" w:fill="auto"/>
            <w:noWrap/>
            <w:vAlign w:val="center"/>
            <w:hideMark/>
          </w:tcPr>
          <w:p w14:paraId="5DBDCEC9" w14:textId="77777777" w:rsidR="00A0284C" w:rsidRPr="000B4E2C" w:rsidRDefault="00A0284C" w:rsidP="00A0284C">
            <w:pPr>
              <w:rPr>
                <w:color w:val="000000"/>
                <w:lang w:eastAsia="en-GB"/>
              </w:rPr>
            </w:pPr>
            <w:r w:rsidRPr="000B4E2C">
              <w:rPr>
                <w:lang w:eastAsia="en-GB"/>
              </w:rPr>
              <w:t>Zwiers 2015</w:t>
            </w:r>
          </w:p>
        </w:tc>
        <w:tc>
          <w:tcPr>
            <w:tcW w:w="0" w:type="auto"/>
            <w:shd w:val="clear" w:color="auto" w:fill="auto"/>
            <w:noWrap/>
            <w:vAlign w:val="center"/>
            <w:hideMark/>
          </w:tcPr>
          <w:p w14:paraId="55B2DD8B" w14:textId="77777777" w:rsidR="00A0284C" w:rsidRPr="000B4E2C" w:rsidRDefault="00A0284C" w:rsidP="00A0284C">
            <w:pPr>
              <w:jc w:val="center"/>
              <w:rPr>
                <w:color w:val="000000"/>
                <w:lang w:eastAsia="en-GB"/>
              </w:rPr>
            </w:pPr>
            <w:r w:rsidRPr="000B4E2C">
              <w:rPr>
                <w:lang w:eastAsia="en-GB"/>
              </w:rPr>
              <w:t xml:space="preserve">uNGAL </w:t>
            </w:r>
          </w:p>
        </w:tc>
        <w:tc>
          <w:tcPr>
            <w:tcW w:w="0" w:type="auto"/>
            <w:shd w:val="clear" w:color="auto" w:fill="auto"/>
            <w:noWrap/>
            <w:vAlign w:val="center"/>
            <w:hideMark/>
          </w:tcPr>
          <w:p w14:paraId="49EA063F"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31FE762E"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noWrap/>
            <w:vAlign w:val="center"/>
            <w:hideMark/>
          </w:tcPr>
          <w:p w14:paraId="0A088DA5"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052E98A2"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67A24056" w14:textId="77777777" w:rsidR="00A0284C" w:rsidRPr="000B4E2C" w:rsidRDefault="00A0284C" w:rsidP="00A0284C">
            <w:pPr>
              <w:jc w:val="center"/>
              <w:rPr>
                <w:color w:val="000000"/>
                <w:lang w:eastAsia="en-GB"/>
              </w:rPr>
            </w:pPr>
            <w:r w:rsidRPr="000B4E2C">
              <w:rPr>
                <w:lang w:eastAsia="en-GB"/>
              </w:rPr>
              <w:t>Low</w:t>
            </w:r>
          </w:p>
        </w:tc>
        <w:tc>
          <w:tcPr>
            <w:tcW w:w="0" w:type="auto"/>
            <w:shd w:val="clear" w:color="auto" w:fill="auto"/>
            <w:noWrap/>
            <w:vAlign w:val="center"/>
            <w:hideMark/>
          </w:tcPr>
          <w:p w14:paraId="568B1A01" w14:textId="77777777" w:rsidR="00A0284C" w:rsidRPr="000B4E2C" w:rsidRDefault="00A0284C" w:rsidP="00A0284C">
            <w:pPr>
              <w:jc w:val="center"/>
              <w:rPr>
                <w:color w:val="000000"/>
                <w:lang w:eastAsia="en-GB"/>
              </w:rPr>
            </w:pPr>
            <w:r w:rsidRPr="000B4E2C">
              <w:rPr>
                <w:lang w:eastAsia="en-GB"/>
              </w:rPr>
              <w:t>Unclear</w:t>
            </w:r>
          </w:p>
        </w:tc>
        <w:tc>
          <w:tcPr>
            <w:tcW w:w="0" w:type="auto"/>
            <w:shd w:val="clear" w:color="auto" w:fill="auto"/>
            <w:vAlign w:val="center"/>
            <w:hideMark/>
          </w:tcPr>
          <w:p w14:paraId="31716E62" w14:textId="77777777" w:rsidR="00A0284C" w:rsidRPr="000B4E2C" w:rsidRDefault="00A0284C" w:rsidP="00A0284C">
            <w:pPr>
              <w:jc w:val="center"/>
              <w:rPr>
                <w:lang w:eastAsia="en-GB"/>
              </w:rPr>
            </w:pPr>
            <w:r w:rsidRPr="000B4E2C">
              <w:rPr>
                <w:lang w:eastAsia="en-GB"/>
              </w:rPr>
              <w:t>Low</w:t>
            </w:r>
          </w:p>
        </w:tc>
      </w:tr>
      <w:tr w:rsidR="00A0284C" w:rsidRPr="000B4E2C" w14:paraId="1C874DE4" w14:textId="77777777" w:rsidTr="000B4E2C">
        <w:trPr>
          <w:cantSplit/>
          <w:tblHeader/>
        </w:trPr>
        <w:tc>
          <w:tcPr>
            <w:tcW w:w="0" w:type="auto"/>
            <w:shd w:val="clear" w:color="auto" w:fill="auto"/>
            <w:noWrap/>
          </w:tcPr>
          <w:p w14:paraId="29FC8348" w14:textId="77777777" w:rsidR="00A0284C" w:rsidRPr="000B4E2C" w:rsidRDefault="00A0284C" w:rsidP="00A0284C">
            <w:pPr>
              <w:jc w:val="center"/>
              <w:rPr>
                <w:color w:val="000000"/>
                <w:lang w:eastAsia="en-GB"/>
              </w:rPr>
            </w:pPr>
          </w:p>
        </w:tc>
        <w:tc>
          <w:tcPr>
            <w:tcW w:w="0" w:type="auto"/>
            <w:shd w:val="clear" w:color="auto" w:fill="auto"/>
            <w:noWrap/>
            <w:vAlign w:val="center"/>
          </w:tcPr>
          <w:p w14:paraId="57451C46" w14:textId="77777777" w:rsidR="00A0284C" w:rsidRPr="000B4E2C" w:rsidRDefault="00A0284C" w:rsidP="00A0284C">
            <w:pPr>
              <w:jc w:val="center"/>
              <w:rPr>
                <w:color w:val="000000"/>
                <w:lang w:eastAsia="en-GB"/>
              </w:rPr>
            </w:pPr>
          </w:p>
        </w:tc>
        <w:tc>
          <w:tcPr>
            <w:tcW w:w="0" w:type="auto"/>
            <w:shd w:val="clear" w:color="auto" w:fill="auto"/>
            <w:noWrap/>
          </w:tcPr>
          <w:p w14:paraId="115A8F56" w14:textId="77777777" w:rsidR="00A0284C" w:rsidRPr="000B4E2C" w:rsidRDefault="00A0284C" w:rsidP="00A0284C">
            <w:pPr>
              <w:jc w:val="center"/>
              <w:rPr>
                <w:color w:val="000000"/>
                <w:lang w:eastAsia="en-GB"/>
              </w:rPr>
            </w:pPr>
          </w:p>
        </w:tc>
        <w:tc>
          <w:tcPr>
            <w:tcW w:w="0" w:type="auto"/>
            <w:shd w:val="clear" w:color="auto" w:fill="auto"/>
            <w:noWrap/>
          </w:tcPr>
          <w:p w14:paraId="5A398AEA" w14:textId="77777777" w:rsidR="00A0284C" w:rsidRPr="000B4E2C" w:rsidRDefault="00A0284C" w:rsidP="00A0284C">
            <w:pPr>
              <w:jc w:val="center"/>
              <w:rPr>
                <w:color w:val="000000"/>
                <w:lang w:eastAsia="en-GB"/>
              </w:rPr>
            </w:pPr>
          </w:p>
        </w:tc>
        <w:tc>
          <w:tcPr>
            <w:tcW w:w="0" w:type="auto"/>
            <w:shd w:val="clear" w:color="auto" w:fill="auto"/>
            <w:noWrap/>
          </w:tcPr>
          <w:p w14:paraId="6C932772" w14:textId="77777777" w:rsidR="00A0284C" w:rsidRPr="000B4E2C" w:rsidRDefault="00A0284C" w:rsidP="00A0284C">
            <w:pPr>
              <w:jc w:val="center"/>
              <w:rPr>
                <w:color w:val="000000"/>
                <w:lang w:eastAsia="en-GB"/>
              </w:rPr>
            </w:pPr>
          </w:p>
        </w:tc>
        <w:tc>
          <w:tcPr>
            <w:tcW w:w="0" w:type="auto"/>
            <w:shd w:val="clear" w:color="auto" w:fill="auto"/>
            <w:noWrap/>
          </w:tcPr>
          <w:p w14:paraId="645D2497" w14:textId="77777777" w:rsidR="00A0284C" w:rsidRPr="000B4E2C" w:rsidRDefault="00A0284C" w:rsidP="00A0284C">
            <w:pPr>
              <w:jc w:val="center"/>
              <w:rPr>
                <w:color w:val="000000"/>
                <w:lang w:eastAsia="en-GB"/>
              </w:rPr>
            </w:pPr>
          </w:p>
        </w:tc>
        <w:tc>
          <w:tcPr>
            <w:tcW w:w="0" w:type="auto"/>
            <w:shd w:val="clear" w:color="auto" w:fill="auto"/>
            <w:noWrap/>
          </w:tcPr>
          <w:p w14:paraId="6451AF83" w14:textId="77777777" w:rsidR="00A0284C" w:rsidRPr="000B4E2C" w:rsidRDefault="00A0284C" w:rsidP="00A0284C">
            <w:pPr>
              <w:jc w:val="center"/>
              <w:rPr>
                <w:color w:val="000000"/>
                <w:lang w:eastAsia="en-GB"/>
              </w:rPr>
            </w:pPr>
          </w:p>
        </w:tc>
        <w:tc>
          <w:tcPr>
            <w:tcW w:w="0" w:type="auto"/>
            <w:shd w:val="clear" w:color="auto" w:fill="auto"/>
            <w:noWrap/>
          </w:tcPr>
          <w:p w14:paraId="2CC71BB1" w14:textId="77777777" w:rsidR="00A0284C" w:rsidRPr="000B4E2C" w:rsidRDefault="00A0284C" w:rsidP="00A0284C">
            <w:pPr>
              <w:jc w:val="center"/>
              <w:rPr>
                <w:color w:val="000000"/>
                <w:lang w:eastAsia="en-GB"/>
              </w:rPr>
            </w:pPr>
          </w:p>
        </w:tc>
        <w:tc>
          <w:tcPr>
            <w:tcW w:w="0" w:type="auto"/>
            <w:shd w:val="clear" w:color="auto" w:fill="auto"/>
            <w:noWrap/>
          </w:tcPr>
          <w:p w14:paraId="6D7E2CBD" w14:textId="77777777" w:rsidR="00A0284C" w:rsidRPr="000B4E2C" w:rsidRDefault="00A0284C" w:rsidP="00A0284C">
            <w:pPr>
              <w:jc w:val="center"/>
              <w:rPr>
                <w:lang w:eastAsia="en-GB"/>
              </w:rPr>
            </w:pPr>
          </w:p>
        </w:tc>
      </w:tr>
      <w:tr w:rsidR="00A0284C" w:rsidRPr="000B4E2C" w14:paraId="18527E5B" w14:textId="77777777" w:rsidTr="000B4E2C">
        <w:trPr>
          <w:cantSplit/>
          <w:tblHeader/>
        </w:trPr>
        <w:tc>
          <w:tcPr>
            <w:tcW w:w="0" w:type="auto"/>
            <w:shd w:val="clear" w:color="auto" w:fill="auto"/>
            <w:noWrap/>
            <w:hideMark/>
          </w:tcPr>
          <w:p w14:paraId="0DC3E7CB" w14:textId="77777777" w:rsidR="00A0284C" w:rsidRPr="000B4E2C" w:rsidRDefault="00A0284C" w:rsidP="00A0284C">
            <w:pPr>
              <w:rPr>
                <w:color w:val="000000"/>
                <w:lang w:eastAsia="en-GB"/>
              </w:rPr>
            </w:pPr>
            <w:r w:rsidRPr="000B4E2C">
              <w:rPr>
                <w:lang w:eastAsia="en-GB"/>
              </w:rPr>
              <w:t>LOW</w:t>
            </w:r>
          </w:p>
        </w:tc>
        <w:tc>
          <w:tcPr>
            <w:tcW w:w="0" w:type="auto"/>
            <w:shd w:val="clear" w:color="auto" w:fill="auto"/>
            <w:noWrap/>
            <w:vAlign w:val="center"/>
          </w:tcPr>
          <w:p w14:paraId="2FA0008F" w14:textId="77777777" w:rsidR="00A0284C" w:rsidRPr="000B4E2C" w:rsidRDefault="00A0284C" w:rsidP="00A0284C">
            <w:pPr>
              <w:jc w:val="center"/>
              <w:rPr>
                <w:color w:val="000000"/>
                <w:lang w:eastAsia="en-GB"/>
              </w:rPr>
            </w:pPr>
          </w:p>
        </w:tc>
        <w:tc>
          <w:tcPr>
            <w:tcW w:w="0" w:type="auto"/>
            <w:shd w:val="clear" w:color="auto" w:fill="auto"/>
            <w:noWrap/>
            <w:hideMark/>
          </w:tcPr>
          <w:p w14:paraId="28422F10" w14:textId="77777777" w:rsidR="00A0284C" w:rsidRPr="000B4E2C" w:rsidRDefault="00A0284C" w:rsidP="00A0284C">
            <w:pPr>
              <w:jc w:val="center"/>
              <w:rPr>
                <w:color w:val="000000"/>
                <w:lang w:eastAsia="en-GB"/>
              </w:rPr>
            </w:pPr>
            <w:r w:rsidRPr="000B4E2C">
              <w:rPr>
                <w:lang w:eastAsia="en-GB"/>
              </w:rPr>
              <w:t>45 (80%)</w:t>
            </w:r>
          </w:p>
        </w:tc>
        <w:tc>
          <w:tcPr>
            <w:tcW w:w="0" w:type="auto"/>
            <w:shd w:val="clear" w:color="auto" w:fill="auto"/>
            <w:noWrap/>
            <w:hideMark/>
          </w:tcPr>
          <w:p w14:paraId="0E144CBC" w14:textId="77777777" w:rsidR="00A0284C" w:rsidRPr="000B4E2C" w:rsidRDefault="00A0284C" w:rsidP="00A0284C">
            <w:pPr>
              <w:jc w:val="center"/>
              <w:rPr>
                <w:color w:val="000000"/>
                <w:lang w:eastAsia="en-GB"/>
              </w:rPr>
            </w:pPr>
            <w:r w:rsidRPr="000B4E2C">
              <w:rPr>
                <w:lang w:eastAsia="en-GB"/>
              </w:rPr>
              <w:t>1 (2%)</w:t>
            </w:r>
          </w:p>
        </w:tc>
        <w:tc>
          <w:tcPr>
            <w:tcW w:w="0" w:type="auto"/>
            <w:shd w:val="clear" w:color="auto" w:fill="auto"/>
            <w:noWrap/>
            <w:hideMark/>
          </w:tcPr>
          <w:p w14:paraId="3BD08C8F" w14:textId="77777777" w:rsidR="00A0284C" w:rsidRPr="000B4E2C" w:rsidRDefault="00A0284C" w:rsidP="00A0284C">
            <w:pPr>
              <w:jc w:val="center"/>
              <w:rPr>
                <w:color w:val="000000"/>
                <w:lang w:eastAsia="en-GB"/>
              </w:rPr>
            </w:pPr>
            <w:r w:rsidRPr="000B4E2C">
              <w:rPr>
                <w:lang w:eastAsia="en-GB"/>
              </w:rPr>
              <w:t>54 (96%)</w:t>
            </w:r>
          </w:p>
        </w:tc>
        <w:tc>
          <w:tcPr>
            <w:tcW w:w="0" w:type="auto"/>
            <w:shd w:val="clear" w:color="auto" w:fill="auto"/>
            <w:noWrap/>
            <w:hideMark/>
          </w:tcPr>
          <w:p w14:paraId="4AAD0FA2" w14:textId="77777777" w:rsidR="00A0284C" w:rsidRPr="000B4E2C" w:rsidRDefault="00A0284C" w:rsidP="00A0284C">
            <w:pPr>
              <w:jc w:val="center"/>
              <w:rPr>
                <w:color w:val="000000"/>
                <w:lang w:eastAsia="en-GB"/>
              </w:rPr>
            </w:pPr>
            <w:r w:rsidRPr="000B4E2C">
              <w:rPr>
                <w:lang w:eastAsia="en-GB"/>
              </w:rPr>
              <w:t>50 (89%)</w:t>
            </w:r>
          </w:p>
        </w:tc>
        <w:tc>
          <w:tcPr>
            <w:tcW w:w="0" w:type="auto"/>
            <w:shd w:val="clear" w:color="auto" w:fill="auto"/>
            <w:noWrap/>
            <w:hideMark/>
          </w:tcPr>
          <w:p w14:paraId="6C3D90D7" w14:textId="77777777" w:rsidR="00A0284C" w:rsidRPr="000B4E2C" w:rsidRDefault="00A0284C" w:rsidP="00A0284C">
            <w:pPr>
              <w:jc w:val="center"/>
              <w:rPr>
                <w:color w:val="000000"/>
                <w:lang w:eastAsia="en-GB"/>
              </w:rPr>
            </w:pPr>
            <w:r w:rsidRPr="000B4E2C">
              <w:rPr>
                <w:lang w:eastAsia="en-GB"/>
              </w:rPr>
              <w:t>54 (96%)</w:t>
            </w:r>
          </w:p>
        </w:tc>
        <w:tc>
          <w:tcPr>
            <w:tcW w:w="0" w:type="auto"/>
            <w:shd w:val="clear" w:color="auto" w:fill="auto"/>
            <w:noWrap/>
            <w:hideMark/>
          </w:tcPr>
          <w:p w14:paraId="10EA83E4" w14:textId="77777777" w:rsidR="00A0284C" w:rsidRPr="000B4E2C" w:rsidRDefault="00A0284C" w:rsidP="00A0284C">
            <w:pPr>
              <w:jc w:val="center"/>
              <w:rPr>
                <w:color w:val="000000"/>
                <w:lang w:eastAsia="en-GB"/>
              </w:rPr>
            </w:pPr>
            <w:r w:rsidRPr="000B4E2C">
              <w:rPr>
                <w:lang w:eastAsia="en-GB"/>
              </w:rPr>
              <w:t>8 (14%)</w:t>
            </w:r>
          </w:p>
        </w:tc>
        <w:tc>
          <w:tcPr>
            <w:tcW w:w="0" w:type="auto"/>
            <w:shd w:val="clear" w:color="auto" w:fill="auto"/>
            <w:noWrap/>
            <w:hideMark/>
          </w:tcPr>
          <w:p w14:paraId="0FD27801" w14:textId="77777777" w:rsidR="00A0284C" w:rsidRPr="000B4E2C" w:rsidRDefault="00A0284C" w:rsidP="00A0284C">
            <w:pPr>
              <w:jc w:val="center"/>
              <w:rPr>
                <w:lang w:eastAsia="en-GB"/>
              </w:rPr>
            </w:pPr>
            <w:r w:rsidRPr="000B4E2C">
              <w:rPr>
                <w:lang w:eastAsia="en-GB"/>
              </w:rPr>
              <w:t>54 (96%)</w:t>
            </w:r>
          </w:p>
        </w:tc>
      </w:tr>
      <w:tr w:rsidR="00A0284C" w:rsidRPr="000B4E2C" w14:paraId="73AA210B" w14:textId="77777777" w:rsidTr="000B4E2C">
        <w:trPr>
          <w:cantSplit/>
          <w:tblHeader/>
        </w:trPr>
        <w:tc>
          <w:tcPr>
            <w:tcW w:w="0" w:type="auto"/>
            <w:shd w:val="clear" w:color="auto" w:fill="auto"/>
            <w:noWrap/>
            <w:hideMark/>
          </w:tcPr>
          <w:p w14:paraId="2FC6212E" w14:textId="77777777" w:rsidR="00A0284C" w:rsidRPr="000B4E2C" w:rsidRDefault="00A0284C" w:rsidP="00A0284C">
            <w:pPr>
              <w:rPr>
                <w:color w:val="000000"/>
                <w:lang w:eastAsia="en-GB"/>
              </w:rPr>
            </w:pPr>
            <w:r w:rsidRPr="000B4E2C">
              <w:rPr>
                <w:lang w:eastAsia="en-GB"/>
              </w:rPr>
              <w:t>UNCLEAR</w:t>
            </w:r>
          </w:p>
        </w:tc>
        <w:tc>
          <w:tcPr>
            <w:tcW w:w="0" w:type="auto"/>
            <w:shd w:val="clear" w:color="auto" w:fill="auto"/>
            <w:noWrap/>
            <w:vAlign w:val="center"/>
          </w:tcPr>
          <w:p w14:paraId="5EF3BD6C" w14:textId="77777777" w:rsidR="00A0284C" w:rsidRPr="000B4E2C" w:rsidRDefault="00A0284C" w:rsidP="00A0284C">
            <w:pPr>
              <w:jc w:val="center"/>
              <w:rPr>
                <w:color w:val="000000"/>
                <w:lang w:eastAsia="en-GB"/>
              </w:rPr>
            </w:pPr>
          </w:p>
        </w:tc>
        <w:tc>
          <w:tcPr>
            <w:tcW w:w="0" w:type="auto"/>
            <w:shd w:val="clear" w:color="auto" w:fill="auto"/>
            <w:noWrap/>
            <w:hideMark/>
          </w:tcPr>
          <w:p w14:paraId="47B6BEA9" w14:textId="77777777" w:rsidR="00A0284C" w:rsidRPr="000B4E2C" w:rsidRDefault="00A0284C" w:rsidP="00A0284C">
            <w:pPr>
              <w:jc w:val="center"/>
              <w:rPr>
                <w:color w:val="000000"/>
                <w:lang w:eastAsia="en-GB"/>
              </w:rPr>
            </w:pPr>
            <w:r w:rsidRPr="000B4E2C">
              <w:rPr>
                <w:lang w:eastAsia="en-GB"/>
              </w:rPr>
              <w:t>11 (20%)</w:t>
            </w:r>
          </w:p>
        </w:tc>
        <w:tc>
          <w:tcPr>
            <w:tcW w:w="0" w:type="auto"/>
            <w:shd w:val="clear" w:color="auto" w:fill="auto"/>
            <w:noWrap/>
            <w:hideMark/>
          </w:tcPr>
          <w:p w14:paraId="48BD3ED9" w14:textId="77777777" w:rsidR="00A0284C" w:rsidRPr="000B4E2C" w:rsidRDefault="00A0284C" w:rsidP="00A0284C">
            <w:pPr>
              <w:jc w:val="center"/>
              <w:rPr>
                <w:color w:val="000000"/>
                <w:lang w:eastAsia="en-GB"/>
              </w:rPr>
            </w:pPr>
            <w:r w:rsidRPr="000B4E2C">
              <w:rPr>
                <w:lang w:eastAsia="en-GB"/>
              </w:rPr>
              <w:t>55 (98%)</w:t>
            </w:r>
          </w:p>
        </w:tc>
        <w:tc>
          <w:tcPr>
            <w:tcW w:w="0" w:type="auto"/>
            <w:shd w:val="clear" w:color="auto" w:fill="auto"/>
            <w:noWrap/>
            <w:hideMark/>
          </w:tcPr>
          <w:p w14:paraId="1F20E26D" w14:textId="77777777" w:rsidR="00A0284C" w:rsidRPr="000B4E2C" w:rsidRDefault="00A0284C" w:rsidP="00A0284C">
            <w:pPr>
              <w:jc w:val="center"/>
              <w:rPr>
                <w:color w:val="000000"/>
                <w:lang w:eastAsia="en-GB"/>
              </w:rPr>
            </w:pPr>
            <w:r w:rsidRPr="000B4E2C">
              <w:rPr>
                <w:lang w:eastAsia="en-GB"/>
              </w:rPr>
              <w:t>2 (4%)</w:t>
            </w:r>
          </w:p>
        </w:tc>
        <w:tc>
          <w:tcPr>
            <w:tcW w:w="0" w:type="auto"/>
            <w:shd w:val="clear" w:color="auto" w:fill="auto"/>
            <w:noWrap/>
            <w:hideMark/>
          </w:tcPr>
          <w:p w14:paraId="4B9B3009" w14:textId="77777777" w:rsidR="00A0284C" w:rsidRPr="000B4E2C" w:rsidRDefault="00A0284C" w:rsidP="00A0284C">
            <w:pPr>
              <w:jc w:val="center"/>
              <w:rPr>
                <w:color w:val="000000"/>
                <w:lang w:eastAsia="en-GB"/>
              </w:rPr>
            </w:pPr>
            <w:r w:rsidRPr="000B4E2C">
              <w:rPr>
                <w:lang w:eastAsia="en-GB"/>
              </w:rPr>
              <w:t>4 (7%)</w:t>
            </w:r>
          </w:p>
        </w:tc>
        <w:tc>
          <w:tcPr>
            <w:tcW w:w="0" w:type="auto"/>
            <w:shd w:val="clear" w:color="auto" w:fill="auto"/>
            <w:noWrap/>
            <w:hideMark/>
          </w:tcPr>
          <w:p w14:paraId="1B8EAB34" w14:textId="77777777" w:rsidR="00A0284C" w:rsidRPr="000B4E2C" w:rsidRDefault="00A0284C" w:rsidP="00A0284C">
            <w:pPr>
              <w:jc w:val="center"/>
              <w:rPr>
                <w:color w:val="000000"/>
                <w:lang w:eastAsia="en-GB"/>
              </w:rPr>
            </w:pPr>
            <w:r w:rsidRPr="000B4E2C">
              <w:rPr>
                <w:lang w:eastAsia="en-GB"/>
              </w:rPr>
              <w:t>2 (4%)</w:t>
            </w:r>
          </w:p>
        </w:tc>
        <w:tc>
          <w:tcPr>
            <w:tcW w:w="0" w:type="auto"/>
            <w:shd w:val="clear" w:color="auto" w:fill="auto"/>
            <w:noWrap/>
            <w:hideMark/>
          </w:tcPr>
          <w:p w14:paraId="4B4AACE0" w14:textId="77777777" w:rsidR="00A0284C" w:rsidRPr="000B4E2C" w:rsidRDefault="00A0284C" w:rsidP="00A0284C">
            <w:pPr>
              <w:jc w:val="center"/>
              <w:rPr>
                <w:color w:val="000000"/>
                <w:lang w:eastAsia="en-GB"/>
              </w:rPr>
            </w:pPr>
            <w:r w:rsidRPr="000B4E2C">
              <w:rPr>
                <w:lang w:eastAsia="en-GB"/>
              </w:rPr>
              <w:t>48 (86%)</w:t>
            </w:r>
          </w:p>
        </w:tc>
        <w:tc>
          <w:tcPr>
            <w:tcW w:w="0" w:type="auto"/>
            <w:shd w:val="clear" w:color="auto" w:fill="auto"/>
            <w:noWrap/>
            <w:hideMark/>
          </w:tcPr>
          <w:p w14:paraId="0AD6F60E" w14:textId="77777777" w:rsidR="00A0284C" w:rsidRPr="000B4E2C" w:rsidRDefault="00A0284C" w:rsidP="00A0284C">
            <w:pPr>
              <w:jc w:val="center"/>
              <w:rPr>
                <w:lang w:eastAsia="en-GB"/>
              </w:rPr>
            </w:pPr>
            <w:r w:rsidRPr="000B4E2C">
              <w:rPr>
                <w:lang w:eastAsia="en-GB"/>
              </w:rPr>
              <w:t>2 (4%)</w:t>
            </w:r>
          </w:p>
        </w:tc>
      </w:tr>
      <w:tr w:rsidR="00A0284C" w:rsidRPr="000B4E2C" w14:paraId="32857E1F" w14:textId="77777777" w:rsidTr="000B4E2C">
        <w:trPr>
          <w:cantSplit/>
          <w:tblHeader/>
        </w:trPr>
        <w:tc>
          <w:tcPr>
            <w:tcW w:w="0" w:type="auto"/>
            <w:shd w:val="clear" w:color="auto" w:fill="auto"/>
            <w:noWrap/>
            <w:hideMark/>
          </w:tcPr>
          <w:p w14:paraId="60C29868" w14:textId="77777777" w:rsidR="00A0284C" w:rsidRPr="000B4E2C" w:rsidRDefault="00A0284C" w:rsidP="00A0284C">
            <w:pPr>
              <w:rPr>
                <w:color w:val="000000"/>
                <w:lang w:eastAsia="en-GB"/>
              </w:rPr>
            </w:pPr>
            <w:r w:rsidRPr="000B4E2C">
              <w:rPr>
                <w:lang w:eastAsia="en-GB"/>
              </w:rPr>
              <w:t>HIGH</w:t>
            </w:r>
          </w:p>
        </w:tc>
        <w:tc>
          <w:tcPr>
            <w:tcW w:w="0" w:type="auto"/>
            <w:shd w:val="clear" w:color="auto" w:fill="auto"/>
            <w:noWrap/>
            <w:vAlign w:val="center"/>
          </w:tcPr>
          <w:p w14:paraId="245DBFE6" w14:textId="77777777" w:rsidR="00A0284C" w:rsidRPr="000B4E2C" w:rsidRDefault="00A0284C" w:rsidP="00A0284C">
            <w:pPr>
              <w:jc w:val="center"/>
              <w:rPr>
                <w:color w:val="000000"/>
                <w:lang w:eastAsia="en-GB"/>
              </w:rPr>
            </w:pPr>
          </w:p>
        </w:tc>
        <w:tc>
          <w:tcPr>
            <w:tcW w:w="0" w:type="auto"/>
            <w:shd w:val="clear" w:color="auto" w:fill="auto"/>
            <w:noWrap/>
            <w:hideMark/>
          </w:tcPr>
          <w:p w14:paraId="3B97A688" w14:textId="77777777" w:rsidR="00A0284C" w:rsidRPr="000B4E2C" w:rsidRDefault="00A0284C" w:rsidP="00A0284C">
            <w:pPr>
              <w:jc w:val="center"/>
              <w:rPr>
                <w:color w:val="000000"/>
                <w:lang w:eastAsia="en-GB"/>
              </w:rPr>
            </w:pPr>
            <w:r w:rsidRPr="000B4E2C">
              <w:rPr>
                <w:lang w:eastAsia="en-GB"/>
              </w:rPr>
              <w:t>0 (0%)</w:t>
            </w:r>
          </w:p>
        </w:tc>
        <w:tc>
          <w:tcPr>
            <w:tcW w:w="0" w:type="auto"/>
            <w:shd w:val="clear" w:color="auto" w:fill="auto"/>
            <w:noWrap/>
            <w:hideMark/>
          </w:tcPr>
          <w:p w14:paraId="43DC904A" w14:textId="77777777" w:rsidR="00A0284C" w:rsidRPr="000B4E2C" w:rsidRDefault="00A0284C" w:rsidP="00A0284C">
            <w:pPr>
              <w:jc w:val="center"/>
              <w:rPr>
                <w:color w:val="000000"/>
                <w:lang w:eastAsia="en-GB"/>
              </w:rPr>
            </w:pPr>
            <w:r w:rsidRPr="000B4E2C">
              <w:rPr>
                <w:lang w:eastAsia="en-GB"/>
              </w:rPr>
              <w:t>0 (0%)</w:t>
            </w:r>
          </w:p>
        </w:tc>
        <w:tc>
          <w:tcPr>
            <w:tcW w:w="0" w:type="auto"/>
            <w:shd w:val="clear" w:color="auto" w:fill="auto"/>
            <w:noWrap/>
            <w:hideMark/>
          </w:tcPr>
          <w:p w14:paraId="7F983B66" w14:textId="77777777" w:rsidR="00A0284C" w:rsidRPr="000B4E2C" w:rsidRDefault="00A0284C" w:rsidP="00A0284C">
            <w:pPr>
              <w:jc w:val="center"/>
              <w:rPr>
                <w:color w:val="000000"/>
                <w:lang w:eastAsia="en-GB"/>
              </w:rPr>
            </w:pPr>
            <w:r w:rsidRPr="000B4E2C">
              <w:rPr>
                <w:lang w:eastAsia="en-GB"/>
              </w:rPr>
              <w:t>0 (0%)</w:t>
            </w:r>
          </w:p>
        </w:tc>
        <w:tc>
          <w:tcPr>
            <w:tcW w:w="0" w:type="auto"/>
            <w:shd w:val="clear" w:color="auto" w:fill="auto"/>
            <w:noWrap/>
            <w:hideMark/>
          </w:tcPr>
          <w:p w14:paraId="0E2BB410" w14:textId="77777777" w:rsidR="00A0284C" w:rsidRPr="000B4E2C" w:rsidRDefault="00A0284C" w:rsidP="00A0284C">
            <w:pPr>
              <w:jc w:val="center"/>
              <w:rPr>
                <w:color w:val="000000"/>
                <w:lang w:eastAsia="en-GB"/>
              </w:rPr>
            </w:pPr>
            <w:r w:rsidRPr="000B4E2C">
              <w:rPr>
                <w:lang w:eastAsia="en-GB"/>
              </w:rPr>
              <w:t>2 (4%)</w:t>
            </w:r>
          </w:p>
        </w:tc>
        <w:tc>
          <w:tcPr>
            <w:tcW w:w="0" w:type="auto"/>
            <w:shd w:val="clear" w:color="auto" w:fill="auto"/>
            <w:noWrap/>
            <w:hideMark/>
          </w:tcPr>
          <w:p w14:paraId="3DA794F7" w14:textId="77777777" w:rsidR="00A0284C" w:rsidRPr="000B4E2C" w:rsidRDefault="00A0284C" w:rsidP="00A0284C">
            <w:pPr>
              <w:jc w:val="center"/>
              <w:rPr>
                <w:color w:val="000000"/>
                <w:lang w:eastAsia="en-GB"/>
              </w:rPr>
            </w:pPr>
            <w:r w:rsidRPr="000B4E2C">
              <w:rPr>
                <w:lang w:eastAsia="en-GB"/>
              </w:rPr>
              <w:t>0 (0%)</w:t>
            </w:r>
          </w:p>
        </w:tc>
        <w:tc>
          <w:tcPr>
            <w:tcW w:w="0" w:type="auto"/>
            <w:shd w:val="clear" w:color="auto" w:fill="auto"/>
            <w:noWrap/>
            <w:hideMark/>
          </w:tcPr>
          <w:p w14:paraId="610AA8B0" w14:textId="77777777" w:rsidR="00A0284C" w:rsidRPr="000B4E2C" w:rsidRDefault="00A0284C" w:rsidP="00A0284C">
            <w:pPr>
              <w:jc w:val="center"/>
              <w:rPr>
                <w:color w:val="000000"/>
                <w:lang w:eastAsia="en-GB"/>
              </w:rPr>
            </w:pPr>
            <w:r w:rsidRPr="000B4E2C">
              <w:rPr>
                <w:lang w:eastAsia="en-GB"/>
              </w:rPr>
              <w:t>0 (0%)</w:t>
            </w:r>
          </w:p>
        </w:tc>
        <w:tc>
          <w:tcPr>
            <w:tcW w:w="0" w:type="auto"/>
            <w:shd w:val="clear" w:color="auto" w:fill="auto"/>
            <w:noWrap/>
            <w:hideMark/>
          </w:tcPr>
          <w:p w14:paraId="70F6436C" w14:textId="77777777" w:rsidR="00A0284C" w:rsidRPr="000B4E2C" w:rsidRDefault="00A0284C" w:rsidP="00A0284C">
            <w:pPr>
              <w:jc w:val="center"/>
              <w:rPr>
                <w:lang w:eastAsia="en-GB"/>
              </w:rPr>
            </w:pPr>
            <w:r w:rsidRPr="000B4E2C">
              <w:rPr>
                <w:lang w:eastAsia="en-GB"/>
              </w:rPr>
              <w:t>0 (0%)</w:t>
            </w:r>
          </w:p>
        </w:tc>
      </w:tr>
    </w:tbl>
    <w:p w14:paraId="13ACC9CF" w14:textId="03E863DB" w:rsidR="000B4E2C" w:rsidRPr="000B4E2C" w:rsidRDefault="00A0284C" w:rsidP="00A0284C">
      <w:r w:rsidRPr="000B4E2C">
        <w:t>NephC</w:t>
      </w:r>
      <w:r w:rsidR="000B4E2C" w:rsidRPr="000B4E2C">
        <w:rPr>
          <w:color w:val="00B0F0"/>
        </w:rPr>
        <w:t> = </w:t>
      </w:r>
      <w:r w:rsidRPr="000B4E2C">
        <w:t>NephroCheck; uNGAL</w:t>
      </w:r>
      <w:r w:rsidR="000B4E2C" w:rsidRPr="000B4E2C">
        <w:rPr>
          <w:color w:val="00B0F0"/>
        </w:rPr>
        <w:t> = </w:t>
      </w:r>
      <w:r w:rsidRPr="000B4E2C">
        <w:t>urine NGAL; pNGAL</w:t>
      </w:r>
      <w:r w:rsidR="000B4E2C" w:rsidRPr="000B4E2C">
        <w:rPr>
          <w:color w:val="00B0F0"/>
        </w:rPr>
        <w:t> = </w:t>
      </w:r>
      <w:r w:rsidRPr="000B4E2C">
        <w:t>plasma NGAL</w:t>
      </w:r>
    </w:p>
    <w:p w14:paraId="7244BD8F" w14:textId="77777777" w:rsidR="000B4E2C" w:rsidRPr="000B4E2C" w:rsidRDefault="00A0284C" w:rsidP="00A0284C">
      <w:pPr>
        <w:pStyle w:val="Heading2"/>
        <w:rPr>
          <w:szCs w:val="24"/>
        </w:rPr>
      </w:pPr>
      <w:r w:rsidRPr="000B4E2C">
        <w:rPr>
          <w:szCs w:val="24"/>
        </w:rPr>
        <w:t xml:space="preserve">Appendix </w:t>
      </w:r>
      <w:r w:rsidR="00C44F99" w:rsidRPr="000B4E2C">
        <w:rPr>
          <w:szCs w:val="24"/>
        </w:rPr>
        <w:t>10</w:t>
      </w:r>
      <w:r w:rsidRPr="000B4E2C">
        <w:rPr>
          <w:szCs w:val="24"/>
        </w:rPr>
        <w:t xml:space="preserve"> PROBAST risk of bias and applicability assessment</w:t>
      </w:r>
    </w:p>
    <w:p w14:paraId="5248D80A" w14:textId="759782CD" w:rsidR="00A0284C" w:rsidRPr="000B4E2C" w:rsidRDefault="000B4E2C" w:rsidP="00A0284C">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29</w:t>
      </w:r>
      <w:r w:rsidRPr="000B4E2C">
        <w:t xml:space="preserve"> </w:t>
      </w:r>
      <w:r w:rsidR="00A0284C" w:rsidRPr="000B4E2C">
        <w:t xml:space="preserve">PROBAST risk of bias and applicability assessment </w:t>
      </w:r>
    </w:p>
    <w:tbl>
      <w:tblPr>
        <w:tblW w:w="0" w:type="auto"/>
        <w:tblCellMar>
          <w:top w:w="40" w:type="dxa"/>
          <w:left w:w="60" w:type="dxa"/>
          <w:bottom w:w="40" w:type="dxa"/>
          <w:right w:w="60" w:type="dxa"/>
        </w:tblCellMar>
        <w:tblLook w:val="04A0" w:firstRow="1" w:lastRow="0" w:firstColumn="1" w:lastColumn="0" w:noHBand="0" w:noVBand="1"/>
      </w:tblPr>
      <w:tblGrid>
        <w:gridCol w:w="1110"/>
        <w:gridCol w:w="1130"/>
        <w:gridCol w:w="868"/>
        <w:gridCol w:w="756"/>
        <w:gridCol w:w="677"/>
        <w:gridCol w:w="638"/>
        <w:gridCol w:w="773"/>
        <w:gridCol w:w="868"/>
        <w:gridCol w:w="756"/>
        <w:gridCol w:w="677"/>
        <w:gridCol w:w="773"/>
      </w:tblGrid>
      <w:tr w:rsidR="00A0284C" w:rsidRPr="000B4E2C" w14:paraId="33288F53" w14:textId="77777777" w:rsidTr="000B4E2C">
        <w:trPr>
          <w:cantSplit/>
        </w:trPr>
        <w:tc>
          <w:tcPr>
            <w:tcW w:w="0" w:type="auto"/>
            <w:shd w:val="clear" w:color="auto" w:fill="auto"/>
            <w:vAlign w:val="center"/>
            <w:hideMark/>
          </w:tcPr>
          <w:p w14:paraId="4F94CA21" w14:textId="77777777" w:rsidR="00A0284C" w:rsidRPr="000B4E2C" w:rsidRDefault="00A0284C" w:rsidP="00A0284C">
            <w:pPr>
              <w:rPr>
                <w:b/>
                <w:bCs/>
                <w:color w:val="000000"/>
                <w:lang w:val="en-GB" w:eastAsia="en-GB"/>
              </w:rPr>
            </w:pPr>
            <w:r w:rsidRPr="000B4E2C">
              <w:rPr>
                <w:b/>
                <w:bCs/>
                <w:lang w:val="en-GB" w:eastAsia="en-GB"/>
              </w:rPr>
              <w:t>Study</w:t>
            </w:r>
          </w:p>
        </w:tc>
        <w:tc>
          <w:tcPr>
            <w:tcW w:w="0" w:type="auto"/>
            <w:shd w:val="clear" w:color="auto" w:fill="auto"/>
            <w:vAlign w:val="center"/>
            <w:hideMark/>
          </w:tcPr>
          <w:p w14:paraId="1A1B2D4E" w14:textId="77777777" w:rsidR="00A0284C" w:rsidRPr="000B4E2C" w:rsidRDefault="00A0284C" w:rsidP="00A0284C">
            <w:pPr>
              <w:rPr>
                <w:b/>
                <w:bCs/>
                <w:color w:val="000000"/>
                <w:lang w:val="en-GB" w:eastAsia="en-GB"/>
              </w:rPr>
            </w:pPr>
            <w:r w:rsidRPr="000B4E2C">
              <w:rPr>
                <w:b/>
                <w:bCs/>
                <w:lang w:val="en-GB" w:eastAsia="en-GB"/>
              </w:rPr>
              <w:t>Test</w:t>
            </w:r>
          </w:p>
        </w:tc>
        <w:tc>
          <w:tcPr>
            <w:tcW w:w="0" w:type="auto"/>
            <w:gridSpan w:val="5"/>
            <w:shd w:val="clear" w:color="auto" w:fill="auto"/>
            <w:vAlign w:val="center"/>
            <w:hideMark/>
          </w:tcPr>
          <w:p w14:paraId="1FA5D098" w14:textId="77777777" w:rsidR="00A0284C" w:rsidRPr="000B4E2C" w:rsidRDefault="00A0284C" w:rsidP="00A0284C">
            <w:pPr>
              <w:jc w:val="center"/>
              <w:rPr>
                <w:b/>
                <w:bCs/>
                <w:color w:val="000000"/>
                <w:lang w:val="en-GB" w:eastAsia="en-GB"/>
              </w:rPr>
            </w:pPr>
            <w:r w:rsidRPr="000B4E2C">
              <w:rPr>
                <w:b/>
                <w:bCs/>
                <w:lang w:val="en-GB" w:eastAsia="en-GB"/>
              </w:rPr>
              <w:t>Risk of bias</w:t>
            </w:r>
          </w:p>
        </w:tc>
        <w:tc>
          <w:tcPr>
            <w:tcW w:w="0" w:type="auto"/>
            <w:gridSpan w:val="4"/>
            <w:shd w:val="clear" w:color="auto" w:fill="auto"/>
            <w:vAlign w:val="center"/>
            <w:hideMark/>
          </w:tcPr>
          <w:p w14:paraId="37402718" w14:textId="77777777" w:rsidR="00A0284C" w:rsidRPr="000B4E2C" w:rsidRDefault="00A0284C" w:rsidP="00A0284C">
            <w:pPr>
              <w:jc w:val="center"/>
              <w:rPr>
                <w:b/>
                <w:bCs/>
                <w:lang w:val="en-GB" w:eastAsia="en-GB"/>
              </w:rPr>
            </w:pPr>
            <w:r w:rsidRPr="000B4E2C">
              <w:rPr>
                <w:b/>
                <w:bCs/>
                <w:lang w:val="en-GB" w:eastAsia="en-GB"/>
              </w:rPr>
              <w:t>Applicability</w:t>
            </w:r>
          </w:p>
        </w:tc>
      </w:tr>
      <w:tr w:rsidR="000B4E2C" w:rsidRPr="000B4E2C" w14:paraId="122EB03D" w14:textId="77777777" w:rsidTr="000B4E2C">
        <w:trPr>
          <w:cantSplit/>
        </w:trPr>
        <w:tc>
          <w:tcPr>
            <w:tcW w:w="0" w:type="auto"/>
            <w:shd w:val="clear" w:color="auto" w:fill="auto"/>
            <w:vAlign w:val="center"/>
            <w:hideMark/>
          </w:tcPr>
          <w:p w14:paraId="360F2132" w14:textId="15BB9B27" w:rsidR="00A0284C" w:rsidRPr="000B4E2C" w:rsidRDefault="000B4E2C" w:rsidP="00A0284C">
            <w:pPr>
              <w:rPr>
                <w:b/>
                <w:bCs/>
                <w:color w:val="000000"/>
                <w:lang w:val="en-GB" w:eastAsia="en-GB"/>
              </w:rPr>
            </w:pPr>
            <w:r w:rsidRPr="000B4E2C">
              <w:rPr>
                <w:b/>
                <w:bCs/>
                <w:lang w:val="en-GB" w:eastAsia="en-GB"/>
              </w:rPr>
              <w:t xml:space="preserve"> </w:t>
            </w:r>
          </w:p>
        </w:tc>
        <w:tc>
          <w:tcPr>
            <w:tcW w:w="0" w:type="auto"/>
            <w:shd w:val="clear" w:color="auto" w:fill="auto"/>
            <w:vAlign w:val="center"/>
            <w:hideMark/>
          </w:tcPr>
          <w:p w14:paraId="7D793DEC" w14:textId="6A1CE825" w:rsidR="00A0284C" w:rsidRPr="000B4E2C" w:rsidRDefault="000B4E2C" w:rsidP="00A0284C">
            <w:pPr>
              <w:rPr>
                <w:b/>
                <w:bCs/>
                <w:color w:val="000000"/>
                <w:lang w:val="en-GB" w:eastAsia="en-GB"/>
              </w:rPr>
            </w:pPr>
            <w:r w:rsidRPr="000B4E2C">
              <w:rPr>
                <w:b/>
                <w:bCs/>
                <w:lang w:val="en-GB" w:eastAsia="en-GB"/>
              </w:rPr>
              <w:t xml:space="preserve"> </w:t>
            </w:r>
          </w:p>
        </w:tc>
        <w:tc>
          <w:tcPr>
            <w:tcW w:w="0" w:type="auto"/>
            <w:shd w:val="clear" w:color="auto" w:fill="auto"/>
            <w:vAlign w:val="center"/>
            <w:hideMark/>
          </w:tcPr>
          <w:p w14:paraId="2F4980DE" w14:textId="77777777" w:rsidR="00A0284C" w:rsidRPr="000B4E2C" w:rsidRDefault="00A0284C" w:rsidP="00A0284C">
            <w:pPr>
              <w:jc w:val="center"/>
              <w:rPr>
                <w:b/>
                <w:bCs/>
                <w:color w:val="000000"/>
                <w:lang w:val="en-GB" w:eastAsia="en-GB"/>
              </w:rPr>
            </w:pPr>
            <w:r w:rsidRPr="000B4E2C">
              <w:rPr>
                <w:b/>
                <w:bCs/>
                <w:lang w:val="en-GB" w:eastAsia="en-GB"/>
              </w:rPr>
              <w:t>Participants</w:t>
            </w:r>
          </w:p>
        </w:tc>
        <w:tc>
          <w:tcPr>
            <w:tcW w:w="0" w:type="auto"/>
            <w:shd w:val="clear" w:color="auto" w:fill="auto"/>
            <w:vAlign w:val="center"/>
            <w:hideMark/>
          </w:tcPr>
          <w:p w14:paraId="31E1A17C" w14:textId="77777777" w:rsidR="00A0284C" w:rsidRPr="000B4E2C" w:rsidRDefault="00A0284C" w:rsidP="00A0284C">
            <w:pPr>
              <w:jc w:val="center"/>
              <w:rPr>
                <w:b/>
                <w:bCs/>
                <w:color w:val="000000"/>
                <w:lang w:val="en-GB" w:eastAsia="en-GB"/>
              </w:rPr>
            </w:pPr>
            <w:r w:rsidRPr="000B4E2C">
              <w:rPr>
                <w:b/>
                <w:bCs/>
                <w:lang w:val="en-GB" w:eastAsia="en-GB"/>
              </w:rPr>
              <w:t>Predictors</w:t>
            </w:r>
          </w:p>
        </w:tc>
        <w:tc>
          <w:tcPr>
            <w:tcW w:w="0" w:type="auto"/>
            <w:shd w:val="clear" w:color="auto" w:fill="auto"/>
            <w:vAlign w:val="center"/>
            <w:hideMark/>
          </w:tcPr>
          <w:p w14:paraId="37FCEDE9" w14:textId="77777777" w:rsidR="00A0284C" w:rsidRPr="000B4E2C" w:rsidRDefault="00A0284C" w:rsidP="00A0284C">
            <w:pPr>
              <w:jc w:val="center"/>
              <w:rPr>
                <w:b/>
                <w:bCs/>
                <w:color w:val="000000"/>
                <w:lang w:val="en-GB" w:eastAsia="en-GB"/>
              </w:rPr>
            </w:pPr>
            <w:r w:rsidRPr="000B4E2C">
              <w:rPr>
                <w:b/>
                <w:bCs/>
                <w:lang w:val="en-GB" w:eastAsia="en-GB"/>
              </w:rPr>
              <w:t>Outcome</w:t>
            </w:r>
          </w:p>
        </w:tc>
        <w:tc>
          <w:tcPr>
            <w:tcW w:w="0" w:type="auto"/>
            <w:shd w:val="clear" w:color="auto" w:fill="auto"/>
            <w:vAlign w:val="center"/>
            <w:hideMark/>
          </w:tcPr>
          <w:p w14:paraId="7D3FD1A4" w14:textId="77777777" w:rsidR="00A0284C" w:rsidRPr="000B4E2C" w:rsidRDefault="00A0284C" w:rsidP="00A0284C">
            <w:pPr>
              <w:jc w:val="center"/>
              <w:rPr>
                <w:b/>
                <w:bCs/>
                <w:color w:val="000000"/>
                <w:lang w:val="en-GB" w:eastAsia="en-GB"/>
              </w:rPr>
            </w:pPr>
            <w:r w:rsidRPr="000B4E2C">
              <w:rPr>
                <w:b/>
                <w:bCs/>
                <w:lang w:val="en-GB" w:eastAsia="en-GB"/>
              </w:rPr>
              <w:t>Analysis</w:t>
            </w:r>
          </w:p>
        </w:tc>
        <w:tc>
          <w:tcPr>
            <w:tcW w:w="0" w:type="auto"/>
            <w:shd w:val="clear" w:color="auto" w:fill="auto"/>
            <w:vAlign w:val="center"/>
            <w:hideMark/>
          </w:tcPr>
          <w:p w14:paraId="145A8428" w14:textId="77777777" w:rsidR="00A0284C" w:rsidRPr="000B4E2C" w:rsidRDefault="00A0284C" w:rsidP="00A0284C">
            <w:pPr>
              <w:jc w:val="center"/>
              <w:rPr>
                <w:b/>
                <w:bCs/>
                <w:color w:val="000000"/>
                <w:lang w:val="en-GB" w:eastAsia="en-GB"/>
              </w:rPr>
            </w:pPr>
            <w:r w:rsidRPr="000B4E2C">
              <w:rPr>
                <w:b/>
                <w:bCs/>
                <w:lang w:val="en-GB" w:eastAsia="en-GB"/>
              </w:rPr>
              <w:t>Overall judgement</w:t>
            </w:r>
          </w:p>
        </w:tc>
        <w:tc>
          <w:tcPr>
            <w:tcW w:w="0" w:type="auto"/>
            <w:shd w:val="clear" w:color="auto" w:fill="auto"/>
            <w:vAlign w:val="center"/>
            <w:hideMark/>
          </w:tcPr>
          <w:p w14:paraId="6F8CA481" w14:textId="77777777" w:rsidR="00A0284C" w:rsidRPr="000B4E2C" w:rsidRDefault="00A0284C" w:rsidP="00A0284C">
            <w:pPr>
              <w:jc w:val="center"/>
              <w:rPr>
                <w:b/>
                <w:bCs/>
                <w:color w:val="000000"/>
                <w:lang w:val="en-GB" w:eastAsia="en-GB"/>
              </w:rPr>
            </w:pPr>
            <w:r w:rsidRPr="000B4E2C">
              <w:rPr>
                <w:b/>
                <w:bCs/>
                <w:lang w:val="en-GB" w:eastAsia="en-GB"/>
              </w:rPr>
              <w:t>Participants</w:t>
            </w:r>
          </w:p>
        </w:tc>
        <w:tc>
          <w:tcPr>
            <w:tcW w:w="0" w:type="auto"/>
            <w:shd w:val="clear" w:color="auto" w:fill="auto"/>
            <w:vAlign w:val="center"/>
            <w:hideMark/>
          </w:tcPr>
          <w:p w14:paraId="018FEEFD" w14:textId="77777777" w:rsidR="00A0284C" w:rsidRPr="000B4E2C" w:rsidRDefault="00A0284C" w:rsidP="00A0284C">
            <w:pPr>
              <w:jc w:val="center"/>
              <w:rPr>
                <w:b/>
                <w:bCs/>
                <w:color w:val="000000"/>
                <w:lang w:val="en-GB" w:eastAsia="en-GB"/>
              </w:rPr>
            </w:pPr>
            <w:r w:rsidRPr="000B4E2C">
              <w:rPr>
                <w:b/>
                <w:bCs/>
                <w:lang w:val="en-GB" w:eastAsia="en-GB"/>
              </w:rPr>
              <w:t>Predictors</w:t>
            </w:r>
          </w:p>
        </w:tc>
        <w:tc>
          <w:tcPr>
            <w:tcW w:w="0" w:type="auto"/>
            <w:shd w:val="clear" w:color="auto" w:fill="auto"/>
            <w:vAlign w:val="center"/>
            <w:hideMark/>
          </w:tcPr>
          <w:p w14:paraId="09D018C9" w14:textId="77777777" w:rsidR="00A0284C" w:rsidRPr="000B4E2C" w:rsidRDefault="00A0284C" w:rsidP="00A0284C">
            <w:pPr>
              <w:jc w:val="center"/>
              <w:rPr>
                <w:b/>
                <w:bCs/>
                <w:color w:val="000000"/>
                <w:lang w:val="en-GB" w:eastAsia="en-GB"/>
              </w:rPr>
            </w:pPr>
            <w:r w:rsidRPr="000B4E2C">
              <w:rPr>
                <w:b/>
                <w:bCs/>
                <w:lang w:val="en-GB" w:eastAsia="en-GB"/>
              </w:rPr>
              <w:t>Outcome</w:t>
            </w:r>
          </w:p>
        </w:tc>
        <w:tc>
          <w:tcPr>
            <w:tcW w:w="0" w:type="auto"/>
            <w:shd w:val="clear" w:color="auto" w:fill="auto"/>
            <w:vAlign w:val="center"/>
            <w:hideMark/>
          </w:tcPr>
          <w:p w14:paraId="0F538554" w14:textId="77777777" w:rsidR="00A0284C" w:rsidRPr="000B4E2C" w:rsidRDefault="00A0284C" w:rsidP="00A0284C">
            <w:pPr>
              <w:jc w:val="center"/>
              <w:rPr>
                <w:b/>
                <w:bCs/>
                <w:lang w:val="en-GB" w:eastAsia="en-GB"/>
              </w:rPr>
            </w:pPr>
            <w:r w:rsidRPr="000B4E2C">
              <w:rPr>
                <w:b/>
                <w:bCs/>
                <w:lang w:val="en-GB" w:eastAsia="en-GB"/>
              </w:rPr>
              <w:t>Overall judgement</w:t>
            </w:r>
          </w:p>
        </w:tc>
      </w:tr>
      <w:tr w:rsidR="000B4E2C" w:rsidRPr="000B4E2C" w14:paraId="3FCC7023" w14:textId="77777777" w:rsidTr="000B4E2C">
        <w:trPr>
          <w:cantSplit/>
        </w:trPr>
        <w:tc>
          <w:tcPr>
            <w:tcW w:w="0" w:type="auto"/>
            <w:shd w:val="clear" w:color="auto" w:fill="auto"/>
            <w:vAlign w:val="center"/>
            <w:hideMark/>
          </w:tcPr>
          <w:p w14:paraId="242BBF49" w14:textId="77777777" w:rsidR="00A0284C" w:rsidRPr="000B4E2C" w:rsidRDefault="00A0284C" w:rsidP="00A0284C">
            <w:pPr>
              <w:rPr>
                <w:color w:val="000000"/>
                <w:lang w:val="en-GB" w:eastAsia="en-GB"/>
              </w:rPr>
            </w:pPr>
            <w:r w:rsidRPr="000B4E2C">
              <w:rPr>
                <w:lang w:val="en-GB" w:eastAsia="en-GB"/>
              </w:rPr>
              <w:t>Garcia-Alvarez 2015</w:t>
            </w:r>
          </w:p>
        </w:tc>
        <w:tc>
          <w:tcPr>
            <w:tcW w:w="0" w:type="auto"/>
            <w:shd w:val="clear" w:color="auto" w:fill="auto"/>
            <w:noWrap/>
            <w:vAlign w:val="bottom"/>
            <w:hideMark/>
          </w:tcPr>
          <w:p w14:paraId="3D56084F" w14:textId="77777777" w:rsidR="00A0284C" w:rsidRPr="000B4E2C" w:rsidRDefault="00A0284C" w:rsidP="00A0284C">
            <w:pPr>
              <w:rPr>
                <w:color w:val="000000"/>
                <w:lang w:val="en-GB" w:eastAsia="en-GB"/>
              </w:rPr>
            </w:pPr>
            <w:r w:rsidRPr="000B4E2C">
              <w:rPr>
                <w:lang w:val="en-GB" w:eastAsia="en-GB"/>
              </w:rPr>
              <w:t>uNGAL</w:t>
            </w:r>
          </w:p>
        </w:tc>
        <w:tc>
          <w:tcPr>
            <w:tcW w:w="0" w:type="auto"/>
            <w:shd w:val="clear" w:color="auto" w:fill="auto"/>
            <w:noWrap/>
            <w:vAlign w:val="bottom"/>
            <w:hideMark/>
          </w:tcPr>
          <w:p w14:paraId="2889840C"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3E9B8B23"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7035A231"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549C21E4" w14:textId="77777777" w:rsidR="00A0284C" w:rsidRPr="000B4E2C" w:rsidRDefault="00A0284C" w:rsidP="00A0284C">
            <w:pPr>
              <w:rPr>
                <w:color w:val="000000"/>
                <w:lang w:val="en-GB" w:eastAsia="en-GB"/>
              </w:rPr>
            </w:pPr>
            <w:r w:rsidRPr="000B4E2C">
              <w:rPr>
                <w:lang w:val="en-GB" w:eastAsia="en-GB"/>
              </w:rPr>
              <w:t>High</w:t>
            </w:r>
          </w:p>
        </w:tc>
        <w:tc>
          <w:tcPr>
            <w:tcW w:w="0" w:type="auto"/>
            <w:shd w:val="clear" w:color="auto" w:fill="auto"/>
            <w:noWrap/>
            <w:vAlign w:val="bottom"/>
            <w:hideMark/>
          </w:tcPr>
          <w:p w14:paraId="04CD1DD8" w14:textId="77777777" w:rsidR="00A0284C" w:rsidRPr="000B4E2C" w:rsidRDefault="00A0284C" w:rsidP="00A0284C">
            <w:pPr>
              <w:rPr>
                <w:color w:val="000000"/>
                <w:lang w:val="en-GB" w:eastAsia="en-GB"/>
              </w:rPr>
            </w:pPr>
            <w:r w:rsidRPr="000B4E2C">
              <w:rPr>
                <w:lang w:val="en-GB" w:eastAsia="en-GB"/>
              </w:rPr>
              <w:t>High</w:t>
            </w:r>
          </w:p>
        </w:tc>
        <w:tc>
          <w:tcPr>
            <w:tcW w:w="0" w:type="auto"/>
            <w:shd w:val="clear" w:color="auto" w:fill="auto"/>
            <w:noWrap/>
            <w:vAlign w:val="bottom"/>
            <w:hideMark/>
          </w:tcPr>
          <w:p w14:paraId="4BFE9E2A"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0206A207"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5382A82E"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567ACB0C" w14:textId="77777777" w:rsidR="00A0284C" w:rsidRPr="000B4E2C" w:rsidRDefault="00A0284C" w:rsidP="00A0284C">
            <w:pPr>
              <w:rPr>
                <w:lang w:val="en-GB" w:eastAsia="en-GB"/>
              </w:rPr>
            </w:pPr>
            <w:r w:rsidRPr="000B4E2C">
              <w:rPr>
                <w:lang w:val="en-GB" w:eastAsia="en-GB"/>
              </w:rPr>
              <w:t>Low</w:t>
            </w:r>
          </w:p>
        </w:tc>
      </w:tr>
      <w:tr w:rsidR="000B4E2C" w:rsidRPr="000B4E2C" w14:paraId="6D2D459B" w14:textId="77777777" w:rsidTr="000B4E2C">
        <w:trPr>
          <w:cantSplit/>
        </w:trPr>
        <w:tc>
          <w:tcPr>
            <w:tcW w:w="0" w:type="auto"/>
            <w:shd w:val="clear" w:color="auto" w:fill="auto"/>
            <w:vAlign w:val="center"/>
            <w:hideMark/>
          </w:tcPr>
          <w:p w14:paraId="20F6D452" w14:textId="77777777" w:rsidR="00A0284C" w:rsidRPr="000B4E2C" w:rsidRDefault="00A0284C" w:rsidP="00A0284C">
            <w:pPr>
              <w:rPr>
                <w:color w:val="000000"/>
                <w:lang w:val="en-GB" w:eastAsia="en-GB"/>
              </w:rPr>
            </w:pPr>
            <w:r w:rsidRPr="000B4E2C">
              <w:rPr>
                <w:lang w:val="en-GB" w:eastAsia="en-GB"/>
              </w:rPr>
              <w:t>Bennett 2013</w:t>
            </w:r>
          </w:p>
        </w:tc>
        <w:tc>
          <w:tcPr>
            <w:tcW w:w="0" w:type="auto"/>
            <w:shd w:val="clear" w:color="auto" w:fill="auto"/>
            <w:noWrap/>
            <w:vAlign w:val="bottom"/>
            <w:hideMark/>
          </w:tcPr>
          <w:p w14:paraId="383C0CF4" w14:textId="77777777" w:rsidR="00A0284C" w:rsidRPr="000B4E2C" w:rsidRDefault="00A0284C" w:rsidP="00A0284C">
            <w:pPr>
              <w:rPr>
                <w:color w:val="000000"/>
                <w:lang w:val="en-GB" w:eastAsia="en-GB"/>
              </w:rPr>
            </w:pPr>
            <w:r w:rsidRPr="000B4E2C">
              <w:rPr>
                <w:lang w:val="en-GB" w:eastAsia="en-GB"/>
              </w:rPr>
              <w:t>uNGAL</w:t>
            </w:r>
          </w:p>
        </w:tc>
        <w:tc>
          <w:tcPr>
            <w:tcW w:w="0" w:type="auto"/>
            <w:shd w:val="clear" w:color="auto" w:fill="auto"/>
            <w:noWrap/>
            <w:vAlign w:val="bottom"/>
            <w:hideMark/>
          </w:tcPr>
          <w:p w14:paraId="72C9CB33"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42854635"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0DE341A3"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6259D0A5" w14:textId="77777777" w:rsidR="00A0284C" w:rsidRPr="000B4E2C" w:rsidRDefault="00A0284C" w:rsidP="00A0284C">
            <w:pPr>
              <w:rPr>
                <w:color w:val="000000"/>
                <w:lang w:val="en-GB" w:eastAsia="en-GB"/>
              </w:rPr>
            </w:pPr>
            <w:r w:rsidRPr="000B4E2C">
              <w:rPr>
                <w:lang w:val="en-GB" w:eastAsia="en-GB"/>
              </w:rPr>
              <w:t>High</w:t>
            </w:r>
          </w:p>
        </w:tc>
        <w:tc>
          <w:tcPr>
            <w:tcW w:w="0" w:type="auto"/>
            <w:shd w:val="clear" w:color="auto" w:fill="auto"/>
            <w:noWrap/>
            <w:vAlign w:val="bottom"/>
            <w:hideMark/>
          </w:tcPr>
          <w:p w14:paraId="2AA64041" w14:textId="77777777" w:rsidR="00A0284C" w:rsidRPr="000B4E2C" w:rsidRDefault="00A0284C" w:rsidP="00A0284C">
            <w:pPr>
              <w:rPr>
                <w:color w:val="000000"/>
                <w:lang w:val="en-GB" w:eastAsia="en-GB"/>
              </w:rPr>
            </w:pPr>
            <w:r w:rsidRPr="000B4E2C">
              <w:rPr>
                <w:lang w:val="en-GB" w:eastAsia="en-GB"/>
              </w:rPr>
              <w:t>High</w:t>
            </w:r>
          </w:p>
        </w:tc>
        <w:tc>
          <w:tcPr>
            <w:tcW w:w="0" w:type="auto"/>
            <w:shd w:val="clear" w:color="auto" w:fill="auto"/>
            <w:noWrap/>
            <w:vAlign w:val="bottom"/>
            <w:hideMark/>
          </w:tcPr>
          <w:p w14:paraId="46FBD02F"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456E7B5B"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3A7F3B8F"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3E1CAD33" w14:textId="77777777" w:rsidR="00A0284C" w:rsidRPr="000B4E2C" w:rsidRDefault="00A0284C" w:rsidP="00A0284C">
            <w:pPr>
              <w:rPr>
                <w:lang w:val="en-GB" w:eastAsia="en-GB"/>
              </w:rPr>
            </w:pPr>
            <w:r w:rsidRPr="000B4E2C">
              <w:rPr>
                <w:lang w:val="en-GB" w:eastAsia="en-GB"/>
              </w:rPr>
              <w:t>Low</w:t>
            </w:r>
          </w:p>
        </w:tc>
      </w:tr>
      <w:tr w:rsidR="000B4E2C" w:rsidRPr="000B4E2C" w14:paraId="0ED8CFA9" w14:textId="77777777" w:rsidTr="000B4E2C">
        <w:trPr>
          <w:cantSplit/>
        </w:trPr>
        <w:tc>
          <w:tcPr>
            <w:tcW w:w="0" w:type="auto"/>
            <w:shd w:val="clear" w:color="auto" w:fill="auto"/>
            <w:vAlign w:val="center"/>
            <w:hideMark/>
          </w:tcPr>
          <w:p w14:paraId="7CD44178" w14:textId="77777777" w:rsidR="00A0284C" w:rsidRPr="000B4E2C" w:rsidRDefault="00A0284C" w:rsidP="00A0284C">
            <w:pPr>
              <w:rPr>
                <w:color w:val="000000"/>
                <w:lang w:val="en-GB" w:eastAsia="en-GB"/>
              </w:rPr>
            </w:pPr>
            <w:r w:rsidRPr="000B4E2C">
              <w:rPr>
                <w:lang w:val="en-GB" w:eastAsia="en-GB"/>
              </w:rPr>
              <w:t xml:space="preserve">Cullen 2014 </w:t>
            </w:r>
          </w:p>
        </w:tc>
        <w:tc>
          <w:tcPr>
            <w:tcW w:w="0" w:type="auto"/>
            <w:shd w:val="clear" w:color="auto" w:fill="auto"/>
            <w:noWrap/>
            <w:vAlign w:val="bottom"/>
            <w:hideMark/>
          </w:tcPr>
          <w:p w14:paraId="75E083AA" w14:textId="77777777" w:rsidR="00A0284C" w:rsidRPr="000B4E2C" w:rsidRDefault="00A0284C" w:rsidP="00A0284C">
            <w:pPr>
              <w:rPr>
                <w:color w:val="000000"/>
                <w:lang w:val="en-GB" w:eastAsia="en-GB"/>
              </w:rPr>
            </w:pPr>
            <w:r w:rsidRPr="000B4E2C">
              <w:rPr>
                <w:lang w:val="en-GB" w:eastAsia="en-GB"/>
              </w:rPr>
              <w:t>uNGAL</w:t>
            </w:r>
          </w:p>
        </w:tc>
        <w:tc>
          <w:tcPr>
            <w:tcW w:w="0" w:type="auto"/>
            <w:shd w:val="clear" w:color="auto" w:fill="auto"/>
            <w:noWrap/>
            <w:vAlign w:val="bottom"/>
            <w:hideMark/>
          </w:tcPr>
          <w:p w14:paraId="41280054"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36A15BD3"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674C882A"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7E109D47" w14:textId="77777777" w:rsidR="00A0284C" w:rsidRPr="000B4E2C" w:rsidRDefault="00A0284C" w:rsidP="00A0284C">
            <w:pPr>
              <w:rPr>
                <w:color w:val="000000"/>
                <w:lang w:val="en-GB" w:eastAsia="en-GB"/>
              </w:rPr>
            </w:pPr>
            <w:r w:rsidRPr="000B4E2C">
              <w:rPr>
                <w:lang w:val="en-GB" w:eastAsia="en-GB"/>
              </w:rPr>
              <w:t>High</w:t>
            </w:r>
          </w:p>
        </w:tc>
        <w:tc>
          <w:tcPr>
            <w:tcW w:w="0" w:type="auto"/>
            <w:shd w:val="clear" w:color="auto" w:fill="auto"/>
            <w:noWrap/>
            <w:vAlign w:val="bottom"/>
            <w:hideMark/>
          </w:tcPr>
          <w:p w14:paraId="5E6EADD1" w14:textId="77777777" w:rsidR="00A0284C" w:rsidRPr="000B4E2C" w:rsidRDefault="00A0284C" w:rsidP="00A0284C">
            <w:pPr>
              <w:rPr>
                <w:color w:val="000000"/>
                <w:lang w:val="en-GB" w:eastAsia="en-GB"/>
              </w:rPr>
            </w:pPr>
            <w:r w:rsidRPr="000B4E2C">
              <w:rPr>
                <w:lang w:val="en-GB" w:eastAsia="en-GB"/>
              </w:rPr>
              <w:t>High</w:t>
            </w:r>
          </w:p>
        </w:tc>
        <w:tc>
          <w:tcPr>
            <w:tcW w:w="0" w:type="auto"/>
            <w:shd w:val="clear" w:color="auto" w:fill="auto"/>
            <w:noWrap/>
            <w:vAlign w:val="bottom"/>
            <w:hideMark/>
          </w:tcPr>
          <w:p w14:paraId="570F2309"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7ABFF0A0"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307F1A98"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172C056C" w14:textId="77777777" w:rsidR="00A0284C" w:rsidRPr="000B4E2C" w:rsidRDefault="00A0284C" w:rsidP="00A0284C">
            <w:pPr>
              <w:rPr>
                <w:lang w:val="en-GB" w:eastAsia="en-GB"/>
              </w:rPr>
            </w:pPr>
            <w:r w:rsidRPr="000B4E2C">
              <w:rPr>
                <w:lang w:val="en-GB" w:eastAsia="en-GB"/>
              </w:rPr>
              <w:t>Low</w:t>
            </w:r>
          </w:p>
        </w:tc>
      </w:tr>
      <w:tr w:rsidR="000B4E2C" w:rsidRPr="000B4E2C" w14:paraId="6504E80A" w14:textId="77777777" w:rsidTr="000B4E2C">
        <w:trPr>
          <w:cantSplit/>
        </w:trPr>
        <w:tc>
          <w:tcPr>
            <w:tcW w:w="0" w:type="auto"/>
            <w:shd w:val="clear" w:color="auto" w:fill="auto"/>
            <w:vAlign w:val="center"/>
            <w:hideMark/>
          </w:tcPr>
          <w:p w14:paraId="2EA34E8D" w14:textId="77777777" w:rsidR="00A0284C" w:rsidRPr="000B4E2C" w:rsidRDefault="00A0284C" w:rsidP="00A0284C">
            <w:pPr>
              <w:rPr>
                <w:color w:val="000000"/>
                <w:lang w:val="en-GB" w:eastAsia="en-GB"/>
              </w:rPr>
            </w:pPr>
            <w:r w:rsidRPr="000B4E2C">
              <w:rPr>
                <w:lang w:val="en-GB" w:eastAsia="en-GB"/>
              </w:rPr>
              <w:t>Doi 2014</w:t>
            </w:r>
          </w:p>
        </w:tc>
        <w:tc>
          <w:tcPr>
            <w:tcW w:w="0" w:type="auto"/>
            <w:shd w:val="clear" w:color="auto" w:fill="auto"/>
            <w:noWrap/>
            <w:vAlign w:val="bottom"/>
            <w:hideMark/>
          </w:tcPr>
          <w:p w14:paraId="4A094DFD" w14:textId="77777777" w:rsidR="00A0284C" w:rsidRPr="000B4E2C" w:rsidRDefault="00A0284C" w:rsidP="00A0284C">
            <w:pPr>
              <w:rPr>
                <w:color w:val="000000"/>
                <w:lang w:val="en-GB" w:eastAsia="en-GB"/>
              </w:rPr>
            </w:pPr>
            <w:r w:rsidRPr="000B4E2C">
              <w:rPr>
                <w:lang w:val="en-GB" w:eastAsia="en-GB"/>
              </w:rPr>
              <w:t>uNGAL</w:t>
            </w:r>
          </w:p>
        </w:tc>
        <w:tc>
          <w:tcPr>
            <w:tcW w:w="0" w:type="auto"/>
            <w:shd w:val="clear" w:color="auto" w:fill="auto"/>
            <w:noWrap/>
            <w:vAlign w:val="bottom"/>
            <w:hideMark/>
          </w:tcPr>
          <w:p w14:paraId="6201C9C9"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79A70CEA"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18A7789A"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6BCA6EB4"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5005E986"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0DDC9685"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628721D0"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75291CEC"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45478D4F" w14:textId="77777777" w:rsidR="00A0284C" w:rsidRPr="000B4E2C" w:rsidRDefault="00A0284C" w:rsidP="00A0284C">
            <w:pPr>
              <w:rPr>
                <w:lang w:val="en-GB" w:eastAsia="en-GB"/>
              </w:rPr>
            </w:pPr>
            <w:r w:rsidRPr="000B4E2C">
              <w:rPr>
                <w:lang w:val="en-GB" w:eastAsia="en-GB"/>
              </w:rPr>
              <w:t>Low</w:t>
            </w:r>
          </w:p>
        </w:tc>
      </w:tr>
      <w:tr w:rsidR="000B4E2C" w:rsidRPr="000B4E2C" w14:paraId="203FED37" w14:textId="77777777" w:rsidTr="000B4E2C">
        <w:trPr>
          <w:cantSplit/>
        </w:trPr>
        <w:tc>
          <w:tcPr>
            <w:tcW w:w="0" w:type="auto"/>
            <w:shd w:val="clear" w:color="auto" w:fill="auto"/>
            <w:vAlign w:val="center"/>
            <w:hideMark/>
          </w:tcPr>
          <w:p w14:paraId="0846A765" w14:textId="77777777" w:rsidR="00A0284C" w:rsidRPr="000B4E2C" w:rsidRDefault="00A0284C" w:rsidP="00A0284C">
            <w:pPr>
              <w:rPr>
                <w:color w:val="000000"/>
                <w:lang w:val="en-GB" w:eastAsia="en-GB"/>
              </w:rPr>
            </w:pPr>
            <w:r w:rsidRPr="000B4E2C">
              <w:rPr>
                <w:lang w:val="en-GB" w:eastAsia="en-GB"/>
              </w:rPr>
              <w:t>Nisula 2015</w:t>
            </w:r>
          </w:p>
        </w:tc>
        <w:tc>
          <w:tcPr>
            <w:tcW w:w="0" w:type="auto"/>
            <w:shd w:val="clear" w:color="auto" w:fill="auto"/>
            <w:noWrap/>
            <w:vAlign w:val="bottom"/>
            <w:hideMark/>
          </w:tcPr>
          <w:p w14:paraId="1990866A" w14:textId="77777777" w:rsidR="00A0284C" w:rsidRPr="000B4E2C" w:rsidRDefault="00A0284C" w:rsidP="00A0284C">
            <w:pPr>
              <w:rPr>
                <w:color w:val="000000"/>
                <w:lang w:val="en-GB" w:eastAsia="en-GB"/>
              </w:rPr>
            </w:pPr>
            <w:r w:rsidRPr="000B4E2C">
              <w:rPr>
                <w:lang w:val="en-GB" w:eastAsia="en-GB"/>
              </w:rPr>
              <w:t>uNGAL</w:t>
            </w:r>
          </w:p>
        </w:tc>
        <w:tc>
          <w:tcPr>
            <w:tcW w:w="0" w:type="auto"/>
            <w:shd w:val="clear" w:color="auto" w:fill="auto"/>
            <w:noWrap/>
            <w:vAlign w:val="bottom"/>
            <w:hideMark/>
          </w:tcPr>
          <w:p w14:paraId="5881573D"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74FCAAFB"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1C3847A3"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3620F3C9" w14:textId="77777777" w:rsidR="00A0284C" w:rsidRPr="000B4E2C" w:rsidRDefault="00A0284C" w:rsidP="00A0284C">
            <w:pPr>
              <w:rPr>
                <w:color w:val="000000"/>
                <w:lang w:val="en-GB" w:eastAsia="en-GB"/>
              </w:rPr>
            </w:pPr>
            <w:r w:rsidRPr="000B4E2C">
              <w:rPr>
                <w:lang w:val="en-GB" w:eastAsia="en-GB"/>
              </w:rPr>
              <w:t>High</w:t>
            </w:r>
          </w:p>
        </w:tc>
        <w:tc>
          <w:tcPr>
            <w:tcW w:w="0" w:type="auto"/>
            <w:shd w:val="clear" w:color="auto" w:fill="auto"/>
            <w:noWrap/>
            <w:vAlign w:val="bottom"/>
            <w:hideMark/>
          </w:tcPr>
          <w:p w14:paraId="29352902" w14:textId="77777777" w:rsidR="00A0284C" w:rsidRPr="000B4E2C" w:rsidRDefault="00A0284C" w:rsidP="00A0284C">
            <w:pPr>
              <w:rPr>
                <w:color w:val="000000"/>
                <w:lang w:val="en-GB" w:eastAsia="en-GB"/>
              </w:rPr>
            </w:pPr>
            <w:r w:rsidRPr="000B4E2C">
              <w:rPr>
                <w:lang w:val="en-GB" w:eastAsia="en-GB"/>
              </w:rPr>
              <w:t>High</w:t>
            </w:r>
          </w:p>
        </w:tc>
        <w:tc>
          <w:tcPr>
            <w:tcW w:w="0" w:type="auto"/>
            <w:shd w:val="clear" w:color="auto" w:fill="auto"/>
            <w:noWrap/>
            <w:vAlign w:val="bottom"/>
            <w:hideMark/>
          </w:tcPr>
          <w:p w14:paraId="7772F409"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1008F3F6"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4283CD0E"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555E5DC3" w14:textId="77777777" w:rsidR="00A0284C" w:rsidRPr="000B4E2C" w:rsidRDefault="00A0284C" w:rsidP="00A0284C">
            <w:pPr>
              <w:rPr>
                <w:lang w:val="en-GB" w:eastAsia="en-GB"/>
              </w:rPr>
            </w:pPr>
            <w:r w:rsidRPr="000B4E2C">
              <w:rPr>
                <w:lang w:val="en-GB" w:eastAsia="en-GB"/>
              </w:rPr>
              <w:t>Low</w:t>
            </w:r>
          </w:p>
        </w:tc>
      </w:tr>
      <w:tr w:rsidR="000B4E2C" w:rsidRPr="000B4E2C" w14:paraId="6E18F845" w14:textId="77777777" w:rsidTr="000B4E2C">
        <w:trPr>
          <w:cantSplit/>
        </w:trPr>
        <w:tc>
          <w:tcPr>
            <w:tcW w:w="0" w:type="auto"/>
            <w:shd w:val="clear" w:color="auto" w:fill="auto"/>
            <w:vAlign w:val="center"/>
            <w:hideMark/>
          </w:tcPr>
          <w:p w14:paraId="4F7C159F" w14:textId="77777777" w:rsidR="00A0284C" w:rsidRPr="000B4E2C" w:rsidRDefault="00A0284C" w:rsidP="00A0284C">
            <w:pPr>
              <w:rPr>
                <w:color w:val="000000"/>
                <w:lang w:val="en-GB" w:eastAsia="en-GB"/>
              </w:rPr>
            </w:pPr>
            <w:r w:rsidRPr="000B4E2C">
              <w:rPr>
                <w:lang w:val="en-GB" w:eastAsia="en-GB"/>
              </w:rPr>
              <w:lastRenderedPageBreak/>
              <w:t xml:space="preserve">Marino 2015 </w:t>
            </w:r>
          </w:p>
        </w:tc>
        <w:tc>
          <w:tcPr>
            <w:tcW w:w="0" w:type="auto"/>
            <w:shd w:val="clear" w:color="auto" w:fill="auto"/>
            <w:noWrap/>
            <w:vAlign w:val="bottom"/>
            <w:hideMark/>
          </w:tcPr>
          <w:p w14:paraId="665648E7" w14:textId="77777777" w:rsidR="00A0284C" w:rsidRPr="000B4E2C" w:rsidRDefault="00A0284C" w:rsidP="00A0284C">
            <w:pPr>
              <w:rPr>
                <w:color w:val="000000"/>
                <w:lang w:val="en-GB" w:eastAsia="en-GB"/>
              </w:rPr>
            </w:pPr>
            <w:r w:rsidRPr="000B4E2C">
              <w:rPr>
                <w:lang w:val="en-GB" w:eastAsia="en-GB"/>
              </w:rPr>
              <w:t>pNGAL</w:t>
            </w:r>
          </w:p>
        </w:tc>
        <w:tc>
          <w:tcPr>
            <w:tcW w:w="0" w:type="auto"/>
            <w:shd w:val="clear" w:color="auto" w:fill="auto"/>
            <w:noWrap/>
            <w:vAlign w:val="bottom"/>
            <w:hideMark/>
          </w:tcPr>
          <w:p w14:paraId="1737C573"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519E8619"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498B4533"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7EEA8061"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054BF4B0"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4DF6C9B2"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0FA48FA1"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3726BE6C"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64641225" w14:textId="77777777" w:rsidR="00A0284C" w:rsidRPr="000B4E2C" w:rsidRDefault="00A0284C" w:rsidP="00A0284C">
            <w:pPr>
              <w:rPr>
                <w:lang w:val="en-GB" w:eastAsia="en-GB"/>
              </w:rPr>
            </w:pPr>
            <w:r w:rsidRPr="000B4E2C">
              <w:rPr>
                <w:lang w:val="en-GB" w:eastAsia="en-GB"/>
              </w:rPr>
              <w:t>Low</w:t>
            </w:r>
          </w:p>
        </w:tc>
      </w:tr>
      <w:tr w:rsidR="000B4E2C" w:rsidRPr="000B4E2C" w14:paraId="7921CDF5" w14:textId="77777777" w:rsidTr="000B4E2C">
        <w:trPr>
          <w:cantSplit/>
        </w:trPr>
        <w:tc>
          <w:tcPr>
            <w:tcW w:w="0" w:type="auto"/>
            <w:shd w:val="clear" w:color="auto" w:fill="auto"/>
            <w:vAlign w:val="center"/>
            <w:hideMark/>
          </w:tcPr>
          <w:p w14:paraId="4EF95F4F" w14:textId="77777777" w:rsidR="00A0284C" w:rsidRPr="000B4E2C" w:rsidRDefault="00A0284C" w:rsidP="00A0284C">
            <w:pPr>
              <w:rPr>
                <w:color w:val="000000"/>
                <w:lang w:val="en-GB" w:eastAsia="en-GB"/>
              </w:rPr>
            </w:pPr>
            <w:r w:rsidRPr="000B4E2C">
              <w:rPr>
                <w:lang w:val="en-GB" w:eastAsia="en-GB"/>
              </w:rPr>
              <w:t>Hjortrup 2015</w:t>
            </w:r>
          </w:p>
        </w:tc>
        <w:tc>
          <w:tcPr>
            <w:tcW w:w="0" w:type="auto"/>
            <w:shd w:val="clear" w:color="auto" w:fill="auto"/>
            <w:noWrap/>
            <w:vAlign w:val="center"/>
            <w:hideMark/>
          </w:tcPr>
          <w:p w14:paraId="4FCA376F" w14:textId="77777777" w:rsidR="00A0284C" w:rsidRPr="000B4E2C" w:rsidRDefault="00A0284C" w:rsidP="00A0284C">
            <w:pPr>
              <w:rPr>
                <w:color w:val="000000"/>
                <w:lang w:val="en-GB" w:eastAsia="en-GB"/>
              </w:rPr>
            </w:pPr>
            <w:r w:rsidRPr="000B4E2C">
              <w:rPr>
                <w:lang w:val="en-GB" w:eastAsia="en-GB"/>
              </w:rPr>
              <w:t>uNGAL, pNGAL</w:t>
            </w:r>
          </w:p>
        </w:tc>
        <w:tc>
          <w:tcPr>
            <w:tcW w:w="0" w:type="auto"/>
            <w:shd w:val="clear" w:color="auto" w:fill="auto"/>
            <w:noWrap/>
            <w:vAlign w:val="bottom"/>
            <w:hideMark/>
          </w:tcPr>
          <w:p w14:paraId="1BBD8015"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4FE7688A"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7BA257D6"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1E10A78D"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7FF89AF8"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7F5E189F"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57E387C4"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4EDC5BB8"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76B782CC" w14:textId="77777777" w:rsidR="00A0284C" w:rsidRPr="000B4E2C" w:rsidRDefault="00A0284C" w:rsidP="00A0284C">
            <w:pPr>
              <w:rPr>
                <w:lang w:val="en-GB" w:eastAsia="en-GB"/>
              </w:rPr>
            </w:pPr>
            <w:r w:rsidRPr="000B4E2C">
              <w:rPr>
                <w:lang w:val="en-GB" w:eastAsia="en-GB"/>
              </w:rPr>
              <w:t>Unclear</w:t>
            </w:r>
          </w:p>
        </w:tc>
      </w:tr>
      <w:tr w:rsidR="000B4E2C" w:rsidRPr="000B4E2C" w14:paraId="245DFF0C" w14:textId="77777777" w:rsidTr="000B4E2C">
        <w:trPr>
          <w:cantSplit/>
        </w:trPr>
        <w:tc>
          <w:tcPr>
            <w:tcW w:w="0" w:type="auto"/>
            <w:shd w:val="clear" w:color="auto" w:fill="auto"/>
            <w:vAlign w:val="center"/>
            <w:hideMark/>
          </w:tcPr>
          <w:p w14:paraId="20E727F7" w14:textId="77777777" w:rsidR="00A0284C" w:rsidRPr="000B4E2C" w:rsidRDefault="00A0284C" w:rsidP="00A0284C">
            <w:pPr>
              <w:rPr>
                <w:color w:val="000000"/>
                <w:lang w:val="en-GB" w:eastAsia="en-GB"/>
              </w:rPr>
            </w:pPr>
            <w:r w:rsidRPr="000B4E2C">
              <w:rPr>
                <w:lang w:val="en-GB" w:eastAsia="en-GB"/>
              </w:rPr>
              <w:t>Treeprasertsuk 2015</w:t>
            </w:r>
          </w:p>
        </w:tc>
        <w:tc>
          <w:tcPr>
            <w:tcW w:w="0" w:type="auto"/>
            <w:shd w:val="clear" w:color="auto" w:fill="auto"/>
            <w:noWrap/>
            <w:vAlign w:val="bottom"/>
            <w:hideMark/>
          </w:tcPr>
          <w:p w14:paraId="5EF5013A" w14:textId="77777777" w:rsidR="00A0284C" w:rsidRPr="000B4E2C" w:rsidRDefault="00A0284C" w:rsidP="00A0284C">
            <w:pPr>
              <w:rPr>
                <w:color w:val="000000"/>
                <w:lang w:val="en-GB" w:eastAsia="en-GB"/>
              </w:rPr>
            </w:pPr>
            <w:r w:rsidRPr="000B4E2C">
              <w:rPr>
                <w:lang w:val="en-GB" w:eastAsia="en-GB"/>
              </w:rPr>
              <w:t>uNGAL</w:t>
            </w:r>
          </w:p>
        </w:tc>
        <w:tc>
          <w:tcPr>
            <w:tcW w:w="0" w:type="auto"/>
            <w:shd w:val="clear" w:color="auto" w:fill="auto"/>
            <w:noWrap/>
            <w:vAlign w:val="bottom"/>
            <w:hideMark/>
          </w:tcPr>
          <w:p w14:paraId="783CE762"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53858839"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44C7C2A8"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3E83799A"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54DCE93A"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39EC3F92"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374F944A"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02F8A2F8"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1790AD88" w14:textId="77777777" w:rsidR="00A0284C" w:rsidRPr="000B4E2C" w:rsidRDefault="00A0284C" w:rsidP="00A0284C">
            <w:pPr>
              <w:rPr>
                <w:lang w:val="en-GB" w:eastAsia="en-GB"/>
              </w:rPr>
            </w:pPr>
            <w:r w:rsidRPr="000B4E2C">
              <w:rPr>
                <w:lang w:val="en-GB" w:eastAsia="en-GB"/>
              </w:rPr>
              <w:t>Low</w:t>
            </w:r>
          </w:p>
        </w:tc>
      </w:tr>
      <w:tr w:rsidR="000B4E2C" w:rsidRPr="000B4E2C" w14:paraId="3A7FF614" w14:textId="77777777" w:rsidTr="000B4E2C">
        <w:trPr>
          <w:cantSplit/>
        </w:trPr>
        <w:tc>
          <w:tcPr>
            <w:tcW w:w="0" w:type="auto"/>
            <w:shd w:val="clear" w:color="auto" w:fill="auto"/>
            <w:vAlign w:val="center"/>
            <w:hideMark/>
          </w:tcPr>
          <w:p w14:paraId="450E2229" w14:textId="77777777" w:rsidR="00A0284C" w:rsidRPr="000B4E2C" w:rsidRDefault="00A0284C" w:rsidP="00A0284C">
            <w:pPr>
              <w:rPr>
                <w:color w:val="000000"/>
                <w:lang w:val="en-GB" w:eastAsia="en-GB"/>
              </w:rPr>
            </w:pPr>
            <w:r w:rsidRPr="000B4E2C">
              <w:rPr>
                <w:lang w:val="en-GB" w:eastAsia="en-GB"/>
              </w:rPr>
              <w:t>Gayat 2018</w:t>
            </w:r>
          </w:p>
        </w:tc>
        <w:tc>
          <w:tcPr>
            <w:tcW w:w="0" w:type="auto"/>
            <w:shd w:val="clear" w:color="auto" w:fill="auto"/>
            <w:noWrap/>
            <w:vAlign w:val="bottom"/>
            <w:hideMark/>
          </w:tcPr>
          <w:p w14:paraId="4A415E94" w14:textId="77777777" w:rsidR="00A0284C" w:rsidRPr="000B4E2C" w:rsidRDefault="00A0284C" w:rsidP="00A0284C">
            <w:pPr>
              <w:rPr>
                <w:color w:val="000000"/>
                <w:lang w:val="en-GB" w:eastAsia="en-GB"/>
              </w:rPr>
            </w:pPr>
            <w:r w:rsidRPr="000B4E2C">
              <w:rPr>
                <w:lang w:val="en-GB" w:eastAsia="en-GB"/>
              </w:rPr>
              <w:t>NephC</w:t>
            </w:r>
          </w:p>
        </w:tc>
        <w:tc>
          <w:tcPr>
            <w:tcW w:w="0" w:type="auto"/>
            <w:shd w:val="clear" w:color="auto" w:fill="auto"/>
            <w:noWrap/>
            <w:vAlign w:val="bottom"/>
            <w:hideMark/>
          </w:tcPr>
          <w:p w14:paraId="48D62BE2"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5B5E47F4"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4AFB4716"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24E302F7" w14:textId="77777777" w:rsidR="00A0284C" w:rsidRPr="000B4E2C" w:rsidRDefault="00A0284C" w:rsidP="00A0284C">
            <w:pPr>
              <w:rPr>
                <w:color w:val="000000"/>
                <w:lang w:val="en-GB" w:eastAsia="en-GB"/>
              </w:rPr>
            </w:pPr>
            <w:r w:rsidRPr="000B4E2C">
              <w:rPr>
                <w:lang w:val="en-GB" w:eastAsia="en-GB"/>
              </w:rPr>
              <w:t>High</w:t>
            </w:r>
          </w:p>
        </w:tc>
        <w:tc>
          <w:tcPr>
            <w:tcW w:w="0" w:type="auto"/>
            <w:shd w:val="clear" w:color="auto" w:fill="auto"/>
            <w:noWrap/>
            <w:vAlign w:val="bottom"/>
            <w:hideMark/>
          </w:tcPr>
          <w:p w14:paraId="33F58DC1" w14:textId="77777777" w:rsidR="00A0284C" w:rsidRPr="000B4E2C" w:rsidRDefault="00A0284C" w:rsidP="00A0284C">
            <w:pPr>
              <w:rPr>
                <w:color w:val="000000"/>
                <w:lang w:val="en-GB" w:eastAsia="en-GB"/>
              </w:rPr>
            </w:pPr>
            <w:r w:rsidRPr="000B4E2C">
              <w:rPr>
                <w:lang w:val="en-GB" w:eastAsia="en-GB"/>
              </w:rPr>
              <w:t>High</w:t>
            </w:r>
          </w:p>
        </w:tc>
        <w:tc>
          <w:tcPr>
            <w:tcW w:w="0" w:type="auto"/>
            <w:shd w:val="clear" w:color="auto" w:fill="auto"/>
            <w:noWrap/>
            <w:vAlign w:val="bottom"/>
            <w:hideMark/>
          </w:tcPr>
          <w:p w14:paraId="6E4BFEA6"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747528D4"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4DAC370A"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62C8555F" w14:textId="77777777" w:rsidR="00A0284C" w:rsidRPr="000B4E2C" w:rsidRDefault="00A0284C" w:rsidP="00A0284C">
            <w:pPr>
              <w:rPr>
                <w:lang w:val="en-GB" w:eastAsia="en-GB"/>
              </w:rPr>
            </w:pPr>
            <w:r w:rsidRPr="000B4E2C">
              <w:rPr>
                <w:lang w:val="en-GB" w:eastAsia="en-GB"/>
              </w:rPr>
              <w:t>Unclear</w:t>
            </w:r>
          </w:p>
        </w:tc>
      </w:tr>
      <w:tr w:rsidR="000B4E2C" w:rsidRPr="000B4E2C" w14:paraId="6509708C" w14:textId="77777777" w:rsidTr="000B4E2C">
        <w:trPr>
          <w:cantSplit/>
        </w:trPr>
        <w:tc>
          <w:tcPr>
            <w:tcW w:w="0" w:type="auto"/>
            <w:shd w:val="clear" w:color="auto" w:fill="auto"/>
            <w:noWrap/>
            <w:vAlign w:val="center"/>
            <w:hideMark/>
          </w:tcPr>
          <w:p w14:paraId="5A102B90" w14:textId="77777777" w:rsidR="00A0284C" w:rsidRPr="000B4E2C" w:rsidRDefault="00A0284C" w:rsidP="00A0284C">
            <w:pPr>
              <w:rPr>
                <w:color w:val="000000"/>
                <w:lang w:val="en-GB" w:eastAsia="en-GB"/>
              </w:rPr>
            </w:pPr>
            <w:r w:rsidRPr="000B4E2C">
              <w:rPr>
                <w:lang w:val="en-GB" w:eastAsia="en-GB"/>
              </w:rPr>
              <w:t>Martensson 2015</w:t>
            </w:r>
          </w:p>
        </w:tc>
        <w:tc>
          <w:tcPr>
            <w:tcW w:w="0" w:type="auto"/>
            <w:shd w:val="clear" w:color="auto" w:fill="auto"/>
            <w:noWrap/>
            <w:vAlign w:val="center"/>
            <w:hideMark/>
          </w:tcPr>
          <w:p w14:paraId="39642C66" w14:textId="77777777" w:rsidR="00A0284C" w:rsidRPr="000B4E2C" w:rsidRDefault="00A0284C" w:rsidP="00A0284C">
            <w:pPr>
              <w:rPr>
                <w:color w:val="000000"/>
                <w:lang w:val="en-GB" w:eastAsia="en-GB"/>
              </w:rPr>
            </w:pPr>
            <w:r w:rsidRPr="000B4E2C">
              <w:rPr>
                <w:lang w:val="en-GB" w:eastAsia="en-GB"/>
              </w:rPr>
              <w:t>uNGAL</w:t>
            </w:r>
          </w:p>
        </w:tc>
        <w:tc>
          <w:tcPr>
            <w:tcW w:w="0" w:type="auto"/>
            <w:shd w:val="clear" w:color="auto" w:fill="auto"/>
            <w:noWrap/>
            <w:vAlign w:val="bottom"/>
            <w:hideMark/>
          </w:tcPr>
          <w:p w14:paraId="53080CE9"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76E427E6"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29DB99EB"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68AC8D7B"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3EBCA1F8"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659E6B5A"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098947BF"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72921B03"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6A233DDE" w14:textId="77777777" w:rsidR="00A0284C" w:rsidRPr="000B4E2C" w:rsidRDefault="00A0284C" w:rsidP="00A0284C">
            <w:pPr>
              <w:rPr>
                <w:lang w:val="en-GB" w:eastAsia="en-GB"/>
              </w:rPr>
            </w:pPr>
            <w:r w:rsidRPr="000B4E2C">
              <w:rPr>
                <w:lang w:val="en-GB" w:eastAsia="en-GB"/>
              </w:rPr>
              <w:t>Unclear</w:t>
            </w:r>
          </w:p>
        </w:tc>
      </w:tr>
      <w:tr w:rsidR="000B4E2C" w:rsidRPr="000B4E2C" w14:paraId="075CB6B9" w14:textId="77777777" w:rsidTr="000B4E2C">
        <w:trPr>
          <w:cantSplit/>
        </w:trPr>
        <w:tc>
          <w:tcPr>
            <w:tcW w:w="0" w:type="auto"/>
            <w:shd w:val="clear" w:color="auto" w:fill="auto"/>
            <w:noWrap/>
            <w:vAlign w:val="bottom"/>
            <w:hideMark/>
          </w:tcPr>
          <w:p w14:paraId="362F9136" w14:textId="77777777" w:rsidR="00A0284C" w:rsidRPr="000B4E2C" w:rsidRDefault="00A0284C" w:rsidP="00A0284C">
            <w:pPr>
              <w:rPr>
                <w:color w:val="000000"/>
                <w:lang w:val="en-GB" w:eastAsia="en-GB"/>
              </w:rPr>
            </w:pPr>
            <w:r w:rsidRPr="000B4E2C">
              <w:rPr>
                <w:lang w:val="en-GB" w:eastAsia="en-GB"/>
              </w:rPr>
              <w:t>Isshiki 2018</w:t>
            </w:r>
          </w:p>
        </w:tc>
        <w:tc>
          <w:tcPr>
            <w:tcW w:w="0" w:type="auto"/>
            <w:shd w:val="clear" w:color="auto" w:fill="auto"/>
            <w:noWrap/>
            <w:vAlign w:val="bottom"/>
            <w:hideMark/>
          </w:tcPr>
          <w:p w14:paraId="59E2A31A" w14:textId="77777777" w:rsidR="00A0284C" w:rsidRPr="000B4E2C" w:rsidRDefault="00A0284C" w:rsidP="00A0284C">
            <w:pPr>
              <w:rPr>
                <w:color w:val="000000"/>
                <w:lang w:val="en-GB" w:eastAsia="en-GB"/>
              </w:rPr>
            </w:pPr>
            <w:r w:rsidRPr="000B4E2C">
              <w:rPr>
                <w:lang w:val="en-GB" w:eastAsia="en-GB"/>
              </w:rPr>
              <w:t>uNGAL</w:t>
            </w:r>
          </w:p>
        </w:tc>
        <w:tc>
          <w:tcPr>
            <w:tcW w:w="0" w:type="auto"/>
            <w:shd w:val="clear" w:color="auto" w:fill="auto"/>
            <w:noWrap/>
            <w:vAlign w:val="bottom"/>
            <w:hideMark/>
          </w:tcPr>
          <w:p w14:paraId="6697F828"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6F17FCF5"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06502876"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4C2CE83F"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71D68742"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4E0FEF07"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5451C9B7"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60B45A14"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01F0A0FD" w14:textId="77777777" w:rsidR="00A0284C" w:rsidRPr="000B4E2C" w:rsidRDefault="00A0284C" w:rsidP="00A0284C">
            <w:pPr>
              <w:rPr>
                <w:lang w:val="en-GB" w:eastAsia="en-GB"/>
              </w:rPr>
            </w:pPr>
            <w:r w:rsidRPr="000B4E2C">
              <w:rPr>
                <w:lang w:val="en-GB" w:eastAsia="en-GB"/>
              </w:rPr>
              <w:t>Low</w:t>
            </w:r>
          </w:p>
        </w:tc>
      </w:tr>
      <w:tr w:rsidR="000B4E2C" w:rsidRPr="000B4E2C" w14:paraId="018CA061" w14:textId="77777777" w:rsidTr="000B4E2C">
        <w:trPr>
          <w:cantSplit/>
        </w:trPr>
        <w:tc>
          <w:tcPr>
            <w:tcW w:w="0" w:type="auto"/>
            <w:shd w:val="clear" w:color="auto" w:fill="auto"/>
            <w:noWrap/>
            <w:vAlign w:val="bottom"/>
            <w:hideMark/>
          </w:tcPr>
          <w:p w14:paraId="0ADA7C27" w14:textId="77777777" w:rsidR="00A0284C" w:rsidRPr="000B4E2C" w:rsidRDefault="00A0284C" w:rsidP="00A0284C">
            <w:pPr>
              <w:rPr>
                <w:color w:val="000000"/>
                <w:lang w:val="en-GB" w:eastAsia="en-GB"/>
              </w:rPr>
            </w:pPr>
            <w:r w:rsidRPr="000B4E2C">
              <w:rPr>
                <w:lang w:val="en-GB" w:eastAsia="en-GB"/>
              </w:rPr>
              <w:t>Lee 2018</w:t>
            </w:r>
          </w:p>
        </w:tc>
        <w:tc>
          <w:tcPr>
            <w:tcW w:w="0" w:type="auto"/>
            <w:shd w:val="clear" w:color="auto" w:fill="auto"/>
            <w:noWrap/>
            <w:vAlign w:val="bottom"/>
            <w:hideMark/>
          </w:tcPr>
          <w:p w14:paraId="7AD99D53" w14:textId="77777777" w:rsidR="00A0284C" w:rsidRPr="000B4E2C" w:rsidRDefault="00A0284C" w:rsidP="00A0284C">
            <w:pPr>
              <w:rPr>
                <w:color w:val="000000"/>
                <w:lang w:val="en-GB" w:eastAsia="en-GB"/>
              </w:rPr>
            </w:pPr>
            <w:r w:rsidRPr="000B4E2C">
              <w:rPr>
                <w:lang w:val="en-GB" w:eastAsia="en-GB"/>
              </w:rPr>
              <w:t>pNGAL</w:t>
            </w:r>
          </w:p>
        </w:tc>
        <w:tc>
          <w:tcPr>
            <w:tcW w:w="0" w:type="auto"/>
            <w:shd w:val="clear" w:color="auto" w:fill="auto"/>
            <w:noWrap/>
            <w:vAlign w:val="bottom"/>
            <w:hideMark/>
          </w:tcPr>
          <w:p w14:paraId="097580CE"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7BDB10F6"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1E269B11"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4A178BA7"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04557384" w14:textId="77777777" w:rsidR="00A0284C" w:rsidRPr="000B4E2C" w:rsidRDefault="00A0284C" w:rsidP="00A0284C">
            <w:pPr>
              <w:rPr>
                <w:color w:val="000000"/>
                <w:lang w:val="en-GB" w:eastAsia="en-GB"/>
              </w:rPr>
            </w:pPr>
            <w:r w:rsidRPr="000B4E2C">
              <w:rPr>
                <w:lang w:val="en-GB" w:eastAsia="en-GB"/>
              </w:rPr>
              <w:t>Unclear</w:t>
            </w:r>
          </w:p>
        </w:tc>
        <w:tc>
          <w:tcPr>
            <w:tcW w:w="0" w:type="auto"/>
            <w:shd w:val="clear" w:color="auto" w:fill="auto"/>
            <w:noWrap/>
            <w:vAlign w:val="bottom"/>
            <w:hideMark/>
          </w:tcPr>
          <w:p w14:paraId="5D3D4D5E"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13CDF4C1"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5F334F47" w14:textId="77777777" w:rsidR="00A0284C" w:rsidRPr="000B4E2C" w:rsidRDefault="00A0284C" w:rsidP="00A0284C">
            <w:pPr>
              <w:rPr>
                <w:color w:val="000000"/>
                <w:lang w:val="en-GB" w:eastAsia="en-GB"/>
              </w:rPr>
            </w:pPr>
            <w:r w:rsidRPr="000B4E2C">
              <w:rPr>
                <w:lang w:val="en-GB" w:eastAsia="en-GB"/>
              </w:rPr>
              <w:t>Low</w:t>
            </w:r>
          </w:p>
        </w:tc>
        <w:tc>
          <w:tcPr>
            <w:tcW w:w="0" w:type="auto"/>
            <w:shd w:val="clear" w:color="auto" w:fill="auto"/>
            <w:noWrap/>
            <w:vAlign w:val="bottom"/>
            <w:hideMark/>
          </w:tcPr>
          <w:p w14:paraId="4E75355A" w14:textId="77777777" w:rsidR="00A0284C" w:rsidRPr="000B4E2C" w:rsidRDefault="00A0284C" w:rsidP="00A0284C">
            <w:pPr>
              <w:rPr>
                <w:lang w:val="en-GB" w:eastAsia="en-GB"/>
              </w:rPr>
            </w:pPr>
            <w:r w:rsidRPr="000B4E2C">
              <w:rPr>
                <w:lang w:val="en-GB" w:eastAsia="en-GB"/>
              </w:rPr>
              <w:t>Low</w:t>
            </w:r>
          </w:p>
        </w:tc>
      </w:tr>
    </w:tbl>
    <w:p w14:paraId="0BC937BF" w14:textId="77777777" w:rsidR="000B4E2C" w:rsidRPr="000B4E2C" w:rsidRDefault="000B4E2C" w:rsidP="00403D2C">
      <w:pPr>
        <w:pStyle w:val="Heading2"/>
        <w:rPr>
          <w:szCs w:val="24"/>
          <w:lang w:val="pt-BR"/>
        </w:rPr>
      </w:pPr>
      <w:r w:rsidRPr="000B4E2C">
        <w:t xml:space="preserve"> </w:t>
      </w:r>
      <w:r w:rsidR="00C44F99" w:rsidRPr="000B4E2C">
        <w:rPr>
          <w:szCs w:val="24"/>
          <w:lang w:val="pt-BR"/>
        </w:rPr>
        <w:t>Appendix 11</w:t>
      </w:r>
      <w:r w:rsidRPr="000B4E2C">
        <w:rPr>
          <w:szCs w:val="24"/>
          <w:lang w:val="pt-BR"/>
        </w:rPr>
        <w:t xml:space="preserve"> </w:t>
      </w:r>
      <w:r w:rsidR="00403D2C" w:rsidRPr="000B4E2C">
        <w:rPr>
          <w:szCs w:val="24"/>
          <w:lang w:val="pt-BR"/>
        </w:rPr>
        <w:t>Forest plots of sensitivity and specificity estimates and HSROC plots</w:t>
      </w:r>
    </w:p>
    <w:p w14:paraId="72898DBD" w14:textId="61E33093" w:rsidR="000B4E2C" w:rsidRPr="000B4E2C" w:rsidRDefault="000B4E2C" w:rsidP="00403D2C">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26</w:t>
      </w:r>
      <w:r w:rsidRPr="000B4E2C">
        <w:t xml:space="preserve"> </w:t>
      </w:r>
      <w:r w:rsidR="00403D2C" w:rsidRPr="000B4E2C">
        <w:t>Forest plots of sensitivity and specificity for NephroCheck for detection of AKI in adults</w:t>
      </w:r>
      <w:r w:rsidRPr="000B4E2C">
        <w:rPr>
          <w:color w:val="00B0F0"/>
        </w:rPr>
        <w:t xml:space="preserve"> – </w:t>
      </w:r>
      <w:r w:rsidR="00403D2C" w:rsidRPr="000B4E2C">
        <w:t>critical care setting</w:t>
      </w:r>
    </w:p>
    <w:p w14:paraId="493ED16A" w14:textId="2C06A794" w:rsidR="000B4E2C" w:rsidRPr="000B4E2C" w:rsidRDefault="000B4E2C" w:rsidP="00403D2C">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27</w:t>
      </w:r>
      <w:r w:rsidRPr="000B4E2C">
        <w:rPr>
          <w:b/>
          <w:szCs w:val="24"/>
        </w:rPr>
        <w:t xml:space="preserve"> </w:t>
      </w:r>
      <w:r w:rsidR="00403D2C" w:rsidRPr="000B4E2C">
        <w:rPr>
          <w:b/>
          <w:szCs w:val="24"/>
        </w:rPr>
        <w:t>HSROC for NephroCheck studies</w:t>
      </w:r>
      <w:r w:rsidRPr="000B4E2C">
        <w:rPr>
          <w:b/>
          <w:color w:val="00B0F0"/>
          <w:szCs w:val="24"/>
        </w:rPr>
        <w:t xml:space="preserve"> – </w:t>
      </w:r>
      <w:r w:rsidR="00403D2C" w:rsidRPr="000B4E2C">
        <w:rPr>
          <w:b/>
          <w:szCs w:val="24"/>
        </w:rPr>
        <w:t>critical care setting</w:t>
      </w:r>
    </w:p>
    <w:p w14:paraId="0A3CAB11" w14:textId="268BE2E9" w:rsidR="000B4E2C" w:rsidRPr="000B4E2C" w:rsidRDefault="000B4E2C" w:rsidP="00403D2C">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28</w:t>
      </w:r>
      <w:r w:rsidRPr="000B4E2C">
        <w:t xml:space="preserve"> </w:t>
      </w:r>
      <w:r w:rsidR="00403D2C" w:rsidRPr="000B4E2C">
        <w:t>Forest plots of sensitivity and specificity for ARCHITECT urine NGAL for detection of AKI in adults</w:t>
      </w:r>
      <w:r w:rsidRPr="000B4E2C">
        <w:rPr>
          <w:color w:val="00B0F0"/>
        </w:rPr>
        <w:t xml:space="preserve"> – </w:t>
      </w:r>
      <w:r w:rsidR="00403D2C" w:rsidRPr="000B4E2C">
        <w:t>critical care setting</w:t>
      </w:r>
    </w:p>
    <w:p w14:paraId="1E15C562" w14:textId="55BC09E5" w:rsidR="000B4E2C" w:rsidRPr="000B4E2C" w:rsidRDefault="000B4E2C" w:rsidP="00403D2C">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29</w:t>
      </w:r>
      <w:r w:rsidRPr="000B4E2C">
        <w:t xml:space="preserve"> </w:t>
      </w:r>
      <w:r w:rsidR="00403D2C" w:rsidRPr="000B4E2C">
        <w:t>HSROC for ARCHITECT urine NGAL studies</w:t>
      </w:r>
      <w:r w:rsidRPr="000B4E2C">
        <w:rPr>
          <w:color w:val="00B0F0"/>
        </w:rPr>
        <w:t xml:space="preserve"> – </w:t>
      </w:r>
      <w:r w:rsidR="00403D2C" w:rsidRPr="000B4E2C">
        <w:t>clinical care setting (adult population)</w:t>
      </w:r>
    </w:p>
    <w:p w14:paraId="32B603FF" w14:textId="2ACCCCB4" w:rsidR="000B4E2C" w:rsidRPr="000B4E2C" w:rsidRDefault="000B4E2C" w:rsidP="00403D2C">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30</w:t>
      </w:r>
      <w:r w:rsidRPr="000B4E2C">
        <w:t xml:space="preserve"> </w:t>
      </w:r>
      <w:r w:rsidR="00403D2C" w:rsidRPr="000B4E2C">
        <w:t>Forest plots of sensitivity and specificity for BioPorto urine NGAL for detection of AKI in adults</w:t>
      </w:r>
      <w:r w:rsidRPr="000B4E2C">
        <w:rPr>
          <w:color w:val="00B0F0"/>
        </w:rPr>
        <w:t xml:space="preserve"> – </w:t>
      </w:r>
      <w:r w:rsidR="00403D2C" w:rsidRPr="000B4E2C">
        <w:t>critical care setting</w:t>
      </w:r>
    </w:p>
    <w:p w14:paraId="7EAFAA8D" w14:textId="36DAABAF" w:rsidR="000B4E2C" w:rsidRPr="000B4E2C" w:rsidRDefault="000B4E2C" w:rsidP="00403D2C">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31</w:t>
      </w:r>
      <w:r w:rsidR="00403D2C" w:rsidRPr="000B4E2C">
        <w:t xml:space="preserve"> HSROC for BioPorto urine NGAL studies</w:t>
      </w:r>
      <w:r w:rsidRPr="000B4E2C">
        <w:rPr>
          <w:color w:val="00B0F0"/>
        </w:rPr>
        <w:t xml:space="preserve"> – </w:t>
      </w:r>
      <w:r w:rsidR="00403D2C" w:rsidRPr="000B4E2C">
        <w:t>critical care setting</w:t>
      </w:r>
    </w:p>
    <w:p w14:paraId="0395D86B" w14:textId="0584A9C8" w:rsidR="000B4E2C" w:rsidRPr="000B4E2C" w:rsidRDefault="000B4E2C" w:rsidP="00403D2C">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32</w:t>
      </w:r>
      <w:r w:rsidRPr="000B4E2C">
        <w:t xml:space="preserve"> </w:t>
      </w:r>
      <w:r w:rsidR="00403D2C" w:rsidRPr="000B4E2C">
        <w:t>Forest plots of sensitivity and specificity for all urine NGAL assays (Abbott and BioPorto) for detection of AKI in adults admitted to critical care</w:t>
      </w:r>
    </w:p>
    <w:p w14:paraId="513DAFC1" w14:textId="32D77DCC" w:rsidR="000B4E2C" w:rsidRPr="000B4E2C" w:rsidRDefault="000B4E2C" w:rsidP="00403D2C">
      <w:pPr>
        <w:pStyle w:val="Heading2"/>
      </w:pPr>
      <w:r w:rsidRPr="000B4E2C">
        <w:rPr>
          <w:i/>
          <w:color w:val="FF0000"/>
        </w:rPr>
        <w:t>F</w:t>
      </w:r>
      <w:r w:rsidRPr="000B4E2C">
        <w:rPr>
          <w:i/>
          <w:color w:val="FF0000"/>
        </w:rPr>
        <w:t>igure</w:t>
      </w:r>
      <w:r w:rsidRPr="000B4E2C">
        <w:rPr>
          <w:i/>
          <w:color w:val="FF0000"/>
        </w:rPr>
        <w:t xml:space="preserve"> </w:t>
      </w:r>
      <w:r w:rsidRPr="000B4E2C">
        <w:rPr>
          <w:i/>
          <w:color w:val="FF0000"/>
        </w:rPr>
        <w:t>33</w:t>
      </w:r>
      <w:r w:rsidRPr="000B4E2C">
        <w:t xml:space="preserve"> </w:t>
      </w:r>
      <w:r w:rsidR="00403D2C" w:rsidRPr="000B4E2C">
        <w:t>HSROC for all urine NGAL assays (Abbott and BioPorto) for detection of AKI in adults- critical care setting</w:t>
      </w:r>
    </w:p>
    <w:p w14:paraId="132A9813" w14:textId="269C322D" w:rsidR="00482559" w:rsidRPr="000B4E2C" w:rsidRDefault="00482559" w:rsidP="00482559">
      <w:pPr>
        <w:spacing w:after="200" w:line="276" w:lineRule="auto"/>
        <w:rPr>
          <w:b/>
          <w:szCs w:val="24"/>
          <w:lang w:val="pt-BR"/>
        </w:rPr>
      </w:pPr>
      <w:r w:rsidRPr="000B4E2C">
        <w:rPr>
          <w:b/>
          <w:szCs w:val="24"/>
          <w:lang w:val="pt-BR"/>
        </w:rPr>
        <w:t>References of studies included in the figures above (in alphabetical order)</w:t>
      </w:r>
    </w:p>
    <w:p w14:paraId="6418DBAE" w14:textId="77777777" w:rsidR="00482559" w:rsidRPr="000B4E2C" w:rsidRDefault="00482559" w:rsidP="00482559">
      <w:pPr>
        <w:pStyle w:val="EndNoteBibliography"/>
        <w:rPr>
          <w:highlight w:val="green"/>
        </w:rPr>
      </w:pPr>
      <w:r w:rsidRPr="000B4E2C">
        <w:rPr>
          <w:highlight w:val="green"/>
        </w:rPr>
        <w:t>Barreto R, Elia C, Sola E, et al. Urinary neutrophil gelatinase-associated lipocalin predicts kidney outcome and death in patients with cirrhosis and bacterial infections</w:t>
      </w:r>
      <w:r w:rsidRPr="000B4E2C">
        <w:rPr>
          <w:i/>
          <w:highlight w:val="green"/>
        </w:rPr>
        <w:t>. Journal of Hepatology</w:t>
      </w:r>
      <w:r w:rsidRPr="000B4E2C">
        <w:rPr>
          <w:highlight w:val="green"/>
        </w:rPr>
        <w:t xml:space="preserve"> 2014; 61(1), 35-42.</w:t>
      </w:r>
    </w:p>
    <w:p w14:paraId="28B086B1" w14:textId="77777777" w:rsidR="00482559" w:rsidRPr="000B4E2C" w:rsidRDefault="00482559" w:rsidP="00482559">
      <w:pPr>
        <w:pStyle w:val="EndNoteBibliography"/>
        <w:rPr>
          <w:highlight w:val="green"/>
        </w:rPr>
      </w:pPr>
    </w:p>
    <w:p w14:paraId="172BFE08" w14:textId="77777777" w:rsidR="00482559" w:rsidRPr="000B4E2C" w:rsidRDefault="00482559" w:rsidP="00482559">
      <w:pPr>
        <w:pStyle w:val="EndNoteBibliography"/>
        <w:rPr>
          <w:highlight w:val="green"/>
        </w:rPr>
      </w:pPr>
      <w:r w:rsidRPr="000B4E2C">
        <w:rPr>
          <w:highlight w:val="green"/>
        </w:rPr>
        <w:t>Bihorac A, Chawla LS, Shaw AD, et al. Validation of cell-cycle arrest biomarkers for acute kidney injury using clinical adjudication</w:t>
      </w:r>
      <w:r w:rsidRPr="000B4E2C">
        <w:rPr>
          <w:i/>
          <w:highlight w:val="green"/>
        </w:rPr>
        <w:t>. American Journal of Respiratory and Critical Care Medicine</w:t>
      </w:r>
      <w:r w:rsidRPr="000B4E2C">
        <w:rPr>
          <w:highlight w:val="green"/>
        </w:rPr>
        <w:t xml:space="preserve"> 2014; 189(8), 932-9.</w:t>
      </w:r>
    </w:p>
    <w:p w14:paraId="0DBD488F" w14:textId="77777777" w:rsidR="00482559" w:rsidRPr="000B4E2C" w:rsidRDefault="00482559" w:rsidP="00482559">
      <w:pPr>
        <w:pStyle w:val="EndNoteBibliography"/>
        <w:rPr>
          <w:highlight w:val="green"/>
        </w:rPr>
      </w:pPr>
    </w:p>
    <w:p w14:paraId="31954CA6" w14:textId="77777777" w:rsidR="00482559" w:rsidRPr="000B4E2C" w:rsidRDefault="00482559" w:rsidP="00482559">
      <w:pPr>
        <w:pStyle w:val="EndNoteBibliography"/>
        <w:rPr>
          <w:highlight w:val="green"/>
        </w:rPr>
      </w:pPr>
      <w:r w:rsidRPr="000B4E2C">
        <w:rPr>
          <w:highlight w:val="green"/>
        </w:rPr>
        <w:t>Cho E, Yang HN, Jo SK, et al. The role of urinary liver-type fatty acid-binding protein in critically ill patients</w:t>
      </w:r>
      <w:r w:rsidRPr="000B4E2C">
        <w:rPr>
          <w:i/>
          <w:highlight w:val="green"/>
        </w:rPr>
        <w:t>. Journal of Korean Medical Science</w:t>
      </w:r>
      <w:r w:rsidRPr="000B4E2C">
        <w:rPr>
          <w:highlight w:val="green"/>
        </w:rPr>
        <w:t xml:space="preserve"> 2013; 28(1), 100-5.</w:t>
      </w:r>
    </w:p>
    <w:p w14:paraId="47AA46B5" w14:textId="77777777" w:rsidR="00482559" w:rsidRPr="000B4E2C" w:rsidRDefault="00482559" w:rsidP="00482559">
      <w:pPr>
        <w:pStyle w:val="EndNoteBibliography"/>
        <w:rPr>
          <w:highlight w:val="green"/>
        </w:rPr>
      </w:pPr>
    </w:p>
    <w:p w14:paraId="6A6775C1" w14:textId="77777777" w:rsidR="00482559" w:rsidRPr="000B4E2C" w:rsidRDefault="00482559" w:rsidP="00482559">
      <w:pPr>
        <w:pStyle w:val="EndNoteBibliography"/>
        <w:rPr>
          <w:highlight w:val="green"/>
        </w:rPr>
      </w:pPr>
      <w:r w:rsidRPr="000B4E2C">
        <w:rPr>
          <w:highlight w:val="green"/>
        </w:rPr>
        <w:t>Di Leo L, Nalesso F, Garzotto F, et al. Predicting Acute Kidney Injury in Intensive Care Unit Patients: The Role of Tissue Inhibitor of Metalloproteinases-2 and Insulin-Like Growth Factor-Binding Protein-7 Biomarkers</w:t>
      </w:r>
      <w:r w:rsidRPr="000B4E2C">
        <w:rPr>
          <w:i/>
          <w:highlight w:val="green"/>
        </w:rPr>
        <w:t>. Blood Purification</w:t>
      </w:r>
      <w:r w:rsidRPr="000B4E2C">
        <w:rPr>
          <w:highlight w:val="green"/>
        </w:rPr>
        <w:t xml:space="preserve"> 2018; 45(1-3), 270-7.</w:t>
      </w:r>
    </w:p>
    <w:p w14:paraId="1E1D4B73" w14:textId="77777777" w:rsidR="00482559" w:rsidRPr="000B4E2C" w:rsidRDefault="00482559" w:rsidP="00482559">
      <w:pPr>
        <w:pStyle w:val="EndNoteBibliography"/>
        <w:rPr>
          <w:highlight w:val="green"/>
        </w:rPr>
      </w:pPr>
    </w:p>
    <w:p w14:paraId="64E4488D" w14:textId="77777777" w:rsidR="00482559" w:rsidRPr="000B4E2C" w:rsidRDefault="00482559" w:rsidP="00482559">
      <w:pPr>
        <w:pStyle w:val="EndNoteBibliography"/>
        <w:rPr>
          <w:highlight w:val="green"/>
        </w:rPr>
      </w:pPr>
      <w:r w:rsidRPr="000B4E2C">
        <w:rPr>
          <w:highlight w:val="green"/>
        </w:rPr>
        <w:t>Dupont M, Shrestha K, Singh D, et al. Lack of significant renal tubular injury despite acute kidney injury in acute decompensated heart failure</w:t>
      </w:r>
      <w:r w:rsidRPr="000B4E2C">
        <w:rPr>
          <w:i/>
          <w:highlight w:val="green"/>
        </w:rPr>
        <w:t>. European Journal of Heart Failure</w:t>
      </w:r>
      <w:r w:rsidRPr="000B4E2C">
        <w:rPr>
          <w:highlight w:val="green"/>
        </w:rPr>
        <w:t xml:space="preserve"> 2012; 14(6), 597-604.</w:t>
      </w:r>
    </w:p>
    <w:p w14:paraId="24C037E5" w14:textId="77777777" w:rsidR="00482559" w:rsidRPr="000B4E2C" w:rsidRDefault="00482559" w:rsidP="00482559">
      <w:pPr>
        <w:pStyle w:val="EndNoteBibliography"/>
        <w:rPr>
          <w:highlight w:val="green"/>
        </w:rPr>
      </w:pPr>
    </w:p>
    <w:p w14:paraId="7D2D0A87" w14:textId="77777777" w:rsidR="00482559" w:rsidRPr="000B4E2C" w:rsidRDefault="00482559" w:rsidP="00482559">
      <w:pPr>
        <w:pStyle w:val="EndNoteBibliography"/>
        <w:rPr>
          <w:highlight w:val="green"/>
        </w:rPr>
      </w:pPr>
      <w:r w:rsidRPr="000B4E2C">
        <w:rPr>
          <w:highlight w:val="green"/>
        </w:rPr>
        <w:t>Hjortrup PB, Haase N, Treschow F, et al. Predictive value of NGAL for use of renal replacement therapy in patients with severe sepsis</w:t>
      </w:r>
      <w:r w:rsidRPr="000B4E2C">
        <w:rPr>
          <w:i/>
          <w:highlight w:val="green"/>
        </w:rPr>
        <w:t>. Acta Anaesthesiologica Scandinavica</w:t>
      </w:r>
      <w:r w:rsidRPr="000B4E2C">
        <w:rPr>
          <w:highlight w:val="green"/>
        </w:rPr>
        <w:t xml:space="preserve"> 2015; 59(1), 25-34.</w:t>
      </w:r>
    </w:p>
    <w:p w14:paraId="43F9E20A" w14:textId="77777777" w:rsidR="00482559" w:rsidRPr="000B4E2C" w:rsidRDefault="00482559" w:rsidP="00482559">
      <w:pPr>
        <w:pStyle w:val="EndNoteBibliography"/>
        <w:rPr>
          <w:highlight w:val="green"/>
        </w:rPr>
      </w:pPr>
    </w:p>
    <w:p w14:paraId="6461835B" w14:textId="77777777" w:rsidR="00482559" w:rsidRPr="000B4E2C" w:rsidRDefault="00482559" w:rsidP="00482559">
      <w:pPr>
        <w:pStyle w:val="EndNoteBibliography"/>
        <w:rPr>
          <w:highlight w:val="green"/>
        </w:rPr>
      </w:pPr>
      <w:r w:rsidRPr="000B4E2C">
        <w:rPr>
          <w:highlight w:val="green"/>
        </w:rPr>
        <w:t>Hoste EAJ, McCullough PA, Kashani K, et al. Derivation and validation of cutoffs for clinical use of cell cycle arrest biomarkers</w:t>
      </w:r>
      <w:r w:rsidRPr="000B4E2C">
        <w:rPr>
          <w:i/>
          <w:highlight w:val="green"/>
        </w:rPr>
        <w:t>. Nephrology Dialysis Transplantation</w:t>
      </w:r>
      <w:r w:rsidRPr="000B4E2C">
        <w:rPr>
          <w:highlight w:val="green"/>
        </w:rPr>
        <w:t xml:space="preserve"> 2014; 29(11), 2054-61.</w:t>
      </w:r>
    </w:p>
    <w:p w14:paraId="0BF91F37" w14:textId="77777777" w:rsidR="00482559" w:rsidRPr="000B4E2C" w:rsidRDefault="00482559" w:rsidP="00482559">
      <w:pPr>
        <w:pStyle w:val="EndNoteBibliography"/>
        <w:rPr>
          <w:highlight w:val="green"/>
        </w:rPr>
      </w:pPr>
    </w:p>
    <w:p w14:paraId="6F2F3CB2" w14:textId="77777777" w:rsidR="00482559" w:rsidRPr="000B4E2C" w:rsidRDefault="00482559" w:rsidP="00482559">
      <w:pPr>
        <w:pStyle w:val="EndNoteBibliography"/>
        <w:rPr>
          <w:highlight w:val="green"/>
        </w:rPr>
      </w:pPr>
      <w:r w:rsidRPr="000B4E2C">
        <w:rPr>
          <w:highlight w:val="green"/>
        </w:rPr>
        <w:t>Kashani K, Al-Khafaji A, Ardiles T, et al. Discovery and validation of cell cycle arrest biomarkers in human acute kidney injury</w:t>
      </w:r>
      <w:r w:rsidRPr="000B4E2C">
        <w:rPr>
          <w:i/>
          <w:highlight w:val="green"/>
        </w:rPr>
        <w:t>. Critical Care</w:t>
      </w:r>
      <w:r w:rsidRPr="000B4E2C">
        <w:rPr>
          <w:highlight w:val="green"/>
        </w:rPr>
        <w:t xml:space="preserve"> 2013; 17(1), R25.</w:t>
      </w:r>
    </w:p>
    <w:p w14:paraId="02386FF4" w14:textId="77777777" w:rsidR="00482559" w:rsidRPr="000B4E2C" w:rsidRDefault="00482559" w:rsidP="00482559">
      <w:pPr>
        <w:pStyle w:val="EndNoteBibliography"/>
        <w:rPr>
          <w:highlight w:val="green"/>
        </w:rPr>
      </w:pPr>
    </w:p>
    <w:p w14:paraId="4A2B9DB6" w14:textId="77777777" w:rsidR="00482559" w:rsidRPr="000B4E2C" w:rsidRDefault="00482559" w:rsidP="00482559">
      <w:pPr>
        <w:pStyle w:val="EndNoteBibliography"/>
        <w:rPr>
          <w:highlight w:val="green"/>
        </w:rPr>
      </w:pPr>
      <w:r w:rsidRPr="000B4E2C">
        <w:rPr>
          <w:highlight w:val="green"/>
        </w:rPr>
        <w:lastRenderedPageBreak/>
        <w:t>Kimmel M, Shi J, Latus J, et al. Association of renal stress/damage and filtration biomarkers with subsequent AKI during hospitalization among patients presenting to the emergency department</w:t>
      </w:r>
      <w:r w:rsidRPr="000B4E2C">
        <w:rPr>
          <w:i/>
          <w:highlight w:val="green"/>
        </w:rPr>
        <w:t>. Clinical Journal of the American Society of Nephrology</w:t>
      </w:r>
      <w:r w:rsidRPr="000B4E2C">
        <w:rPr>
          <w:highlight w:val="green"/>
        </w:rPr>
        <w:t xml:space="preserve"> 2016; 11(6), 938-46.</w:t>
      </w:r>
    </w:p>
    <w:p w14:paraId="064E2032" w14:textId="77777777" w:rsidR="00482559" w:rsidRPr="000B4E2C" w:rsidRDefault="00482559" w:rsidP="00482559">
      <w:pPr>
        <w:pStyle w:val="EndNoteBibliography"/>
        <w:rPr>
          <w:highlight w:val="green"/>
        </w:rPr>
      </w:pPr>
    </w:p>
    <w:p w14:paraId="7E35D6CE" w14:textId="77777777" w:rsidR="00482559" w:rsidRPr="000B4E2C" w:rsidRDefault="00482559" w:rsidP="00482559">
      <w:pPr>
        <w:pStyle w:val="EndNoteBibliography"/>
        <w:rPr>
          <w:highlight w:val="green"/>
        </w:rPr>
      </w:pPr>
      <w:r w:rsidRPr="000B4E2C">
        <w:rPr>
          <w:highlight w:val="green"/>
        </w:rPr>
        <w:t>Kokkoris S, Parisi M, Ioannidou S, et al. Combination of renal biomarkers predicts acute kidney injury in critically ill adults</w:t>
      </w:r>
      <w:r w:rsidRPr="000B4E2C">
        <w:rPr>
          <w:i/>
          <w:highlight w:val="green"/>
        </w:rPr>
        <w:t>. Renal Failure</w:t>
      </w:r>
      <w:r w:rsidRPr="000B4E2C">
        <w:rPr>
          <w:highlight w:val="green"/>
        </w:rPr>
        <w:t xml:space="preserve"> 2012; 34(9), 1100-8.</w:t>
      </w:r>
    </w:p>
    <w:p w14:paraId="727EA953" w14:textId="77777777" w:rsidR="00482559" w:rsidRPr="000B4E2C" w:rsidRDefault="00482559" w:rsidP="00482559">
      <w:pPr>
        <w:pStyle w:val="EndNoteBibliography"/>
        <w:rPr>
          <w:highlight w:val="green"/>
        </w:rPr>
      </w:pPr>
    </w:p>
    <w:p w14:paraId="0032C52D" w14:textId="77777777" w:rsidR="00482559" w:rsidRPr="000B4E2C" w:rsidRDefault="00482559" w:rsidP="00482559">
      <w:pPr>
        <w:pStyle w:val="EndNoteBibliography"/>
        <w:rPr>
          <w:highlight w:val="green"/>
        </w:rPr>
      </w:pPr>
      <w:r w:rsidRPr="000B4E2C">
        <w:rPr>
          <w:highlight w:val="green"/>
        </w:rPr>
        <w:t>Matsa R, Ashley E, Sharma V, et al. Plasma and urine neutrophil gelatinase-associated lipocalin in the diagnosis of new onset acute kidney injury in critically ill patients</w:t>
      </w:r>
      <w:r w:rsidRPr="000B4E2C">
        <w:rPr>
          <w:i/>
          <w:highlight w:val="green"/>
        </w:rPr>
        <w:t>. Critical Care</w:t>
      </w:r>
      <w:r w:rsidRPr="000B4E2C">
        <w:rPr>
          <w:highlight w:val="green"/>
        </w:rPr>
        <w:t xml:space="preserve"> 2014; 18(4), R137.</w:t>
      </w:r>
    </w:p>
    <w:p w14:paraId="36C2F1BE" w14:textId="77777777" w:rsidR="00482559" w:rsidRPr="000B4E2C" w:rsidRDefault="00482559" w:rsidP="00482559">
      <w:pPr>
        <w:pStyle w:val="EndNoteBibliography"/>
        <w:rPr>
          <w:highlight w:val="green"/>
        </w:rPr>
      </w:pPr>
    </w:p>
    <w:p w14:paraId="6FC0C7CF" w14:textId="5FCD3925" w:rsidR="00482559" w:rsidRPr="000B4E2C" w:rsidRDefault="00482559" w:rsidP="00482559">
      <w:pPr>
        <w:pStyle w:val="EndNoteBibliography"/>
        <w:rPr>
          <w:highlight w:val="green"/>
        </w:rPr>
      </w:pPr>
      <w:r w:rsidRPr="000B4E2C">
        <w:rPr>
          <w:highlight w:val="green"/>
        </w:rPr>
        <w:t>Nickolas TL, O</w:t>
      </w:r>
      <w:r w:rsidR="0072128A" w:rsidRPr="000B4E2C">
        <w:rPr>
          <w:color w:val="00B0F0"/>
          <w:highlight w:val="green"/>
        </w:rPr>
        <w:t>’</w:t>
      </w:r>
      <w:r w:rsidRPr="000B4E2C">
        <w:rPr>
          <w:highlight w:val="green"/>
        </w:rPr>
        <w:t>Rourke MJ, Yang J, et al. Sensitivity and specificity of a single emergency department measurement of urinary neutrophil gelatinase-associated lipocalin for diagnosing acute kidney injury</w:t>
      </w:r>
      <w:r w:rsidRPr="000B4E2C">
        <w:rPr>
          <w:i/>
          <w:highlight w:val="green"/>
        </w:rPr>
        <w:t>. Annals of Internal Medicine</w:t>
      </w:r>
      <w:r w:rsidRPr="000B4E2C">
        <w:rPr>
          <w:highlight w:val="green"/>
        </w:rPr>
        <w:t xml:space="preserve"> 2008; 148(11), 810-9.</w:t>
      </w:r>
    </w:p>
    <w:p w14:paraId="51BE4ADB" w14:textId="77777777" w:rsidR="00482559" w:rsidRPr="000B4E2C" w:rsidRDefault="00482559" w:rsidP="00482559">
      <w:pPr>
        <w:pStyle w:val="EndNoteBibliography"/>
        <w:rPr>
          <w:highlight w:val="green"/>
        </w:rPr>
      </w:pPr>
    </w:p>
    <w:p w14:paraId="0C4A9ABD" w14:textId="77777777" w:rsidR="00482559" w:rsidRPr="000B4E2C" w:rsidRDefault="00482559" w:rsidP="00482559">
      <w:pPr>
        <w:pStyle w:val="EndNoteBibliography"/>
        <w:rPr>
          <w:highlight w:val="green"/>
        </w:rPr>
      </w:pPr>
      <w:r w:rsidRPr="000B4E2C">
        <w:rPr>
          <w:highlight w:val="green"/>
        </w:rPr>
        <w:t>Nickolas TL, Schmidt-Ott KM, Canetta P, et al. Diagnostic and prognostic stratification in the emergency department using urinary biomarkers of nephron damage: A multicenter prospective cohort study</w:t>
      </w:r>
      <w:r w:rsidRPr="000B4E2C">
        <w:rPr>
          <w:i/>
          <w:highlight w:val="green"/>
        </w:rPr>
        <w:t>. Journal of the American College of Cardiology</w:t>
      </w:r>
      <w:r w:rsidRPr="000B4E2C">
        <w:rPr>
          <w:highlight w:val="green"/>
        </w:rPr>
        <w:t xml:space="preserve"> 2012; 59(3), 246-55.</w:t>
      </w:r>
    </w:p>
    <w:p w14:paraId="251EFCB5" w14:textId="77777777" w:rsidR="00482559" w:rsidRPr="000B4E2C" w:rsidRDefault="00482559" w:rsidP="00482559">
      <w:pPr>
        <w:pStyle w:val="EndNoteBibliography"/>
        <w:rPr>
          <w:highlight w:val="green"/>
        </w:rPr>
      </w:pPr>
    </w:p>
    <w:p w14:paraId="30D18080" w14:textId="77777777" w:rsidR="00482559" w:rsidRPr="000B4E2C" w:rsidRDefault="00482559" w:rsidP="00482559">
      <w:pPr>
        <w:pStyle w:val="EndNoteBibliography"/>
        <w:rPr>
          <w:highlight w:val="green"/>
        </w:rPr>
      </w:pPr>
      <w:r w:rsidRPr="000B4E2C">
        <w:rPr>
          <w:highlight w:val="green"/>
        </w:rPr>
        <w:t>Tecson KM, Erhardtsen E, Eriksen PM, et al. Optimal cut points of plasma and urine neutrophil gelatinase-associated lipocalin for the prediction of acute kidney injury among critically ill adults: Retrospective determination and clinical validation of a prospective multicentre study</w:t>
      </w:r>
      <w:r w:rsidRPr="000B4E2C">
        <w:rPr>
          <w:i/>
          <w:highlight w:val="green"/>
        </w:rPr>
        <w:t>. BMJ Open</w:t>
      </w:r>
      <w:r w:rsidRPr="000B4E2C">
        <w:rPr>
          <w:highlight w:val="green"/>
        </w:rPr>
        <w:t xml:space="preserve"> 2017; 7(7), e016028.</w:t>
      </w:r>
    </w:p>
    <w:p w14:paraId="703B72AF" w14:textId="77777777" w:rsidR="00482559" w:rsidRPr="000B4E2C" w:rsidRDefault="00482559" w:rsidP="00482559">
      <w:pPr>
        <w:pStyle w:val="EndNoteBibliography"/>
        <w:rPr>
          <w:highlight w:val="green"/>
        </w:rPr>
      </w:pPr>
    </w:p>
    <w:p w14:paraId="33AB88A7" w14:textId="77777777" w:rsidR="00482559" w:rsidRPr="000B4E2C" w:rsidRDefault="00482559" w:rsidP="00482559">
      <w:pPr>
        <w:pStyle w:val="EndNoteBibliography"/>
        <w:rPr>
          <w:highlight w:val="green"/>
        </w:rPr>
      </w:pPr>
      <w:r w:rsidRPr="000B4E2C">
        <w:rPr>
          <w:highlight w:val="green"/>
        </w:rPr>
        <w:t>Thanakitcharu P, Jirajan B. Determination of urinary neutrophil gelatinase-associated lipocalin (NGAL) cut-off level for early detection of acute kidney injury in Thai adult patients undergoing open cardiac surgery</w:t>
      </w:r>
      <w:r w:rsidRPr="000B4E2C">
        <w:rPr>
          <w:i/>
          <w:highlight w:val="green"/>
        </w:rPr>
        <w:t>. Journal of the Medical Association of Thailand</w:t>
      </w:r>
      <w:r w:rsidRPr="000B4E2C">
        <w:rPr>
          <w:highlight w:val="green"/>
        </w:rPr>
        <w:t xml:space="preserve"> 2014; 97(Supplement 11), S48-S55.</w:t>
      </w:r>
    </w:p>
    <w:p w14:paraId="56A649DB" w14:textId="77777777" w:rsidR="00482559" w:rsidRPr="000B4E2C" w:rsidRDefault="00482559" w:rsidP="00482559">
      <w:pPr>
        <w:pStyle w:val="EndNoteBibliography"/>
        <w:rPr>
          <w:highlight w:val="green"/>
        </w:rPr>
      </w:pPr>
    </w:p>
    <w:p w14:paraId="11D5B376" w14:textId="77777777" w:rsidR="000B4E2C" w:rsidRPr="000B4E2C" w:rsidRDefault="00482559" w:rsidP="00482559">
      <w:pPr>
        <w:pStyle w:val="EndNoteBibliography"/>
      </w:pPr>
      <w:r w:rsidRPr="000B4E2C">
        <w:rPr>
          <w:highlight w:val="green"/>
        </w:rPr>
        <w:t>Treeprasertsuk S, Wongkarnjana A, Jaruvongvanich V, et al. Urine neutrophil gelatinase-associated lipocalin: A diagnostic and prognostic marker for acute kidney injury (AKI) in hospitalized cirrhotic patients with AKI-prone conditions</w:t>
      </w:r>
      <w:r w:rsidRPr="000B4E2C">
        <w:rPr>
          <w:i/>
          <w:highlight w:val="green"/>
        </w:rPr>
        <w:t>. BMC Gastroenterology</w:t>
      </w:r>
      <w:r w:rsidRPr="000B4E2C">
        <w:rPr>
          <w:highlight w:val="green"/>
        </w:rPr>
        <w:t xml:space="preserve"> 2015; 15(1).</w:t>
      </w:r>
    </w:p>
    <w:p w14:paraId="4C52331D" w14:textId="77777777" w:rsidR="000B4E2C" w:rsidRPr="000B4E2C" w:rsidRDefault="00A32616" w:rsidP="007D5F15">
      <w:pPr>
        <w:spacing w:after="200" w:line="276" w:lineRule="auto"/>
        <w:rPr>
          <w:b/>
        </w:rPr>
      </w:pPr>
      <w:r w:rsidRPr="000B4E2C">
        <w:rPr>
          <w:b/>
          <w:lang w:val="pt-BR"/>
        </w:rPr>
        <w:t>Appendix 1</w:t>
      </w:r>
      <w:r w:rsidR="00C44F99" w:rsidRPr="000B4E2C">
        <w:rPr>
          <w:b/>
          <w:lang w:val="pt-BR"/>
        </w:rPr>
        <w:t>2</w:t>
      </w:r>
      <w:r w:rsidR="000B4E2C" w:rsidRPr="000B4E2C">
        <w:rPr>
          <w:b/>
          <w:lang w:val="pt-BR"/>
        </w:rPr>
        <w:t xml:space="preserve"> </w:t>
      </w:r>
      <w:r w:rsidR="00F00233" w:rsidRPr="000B4E2C">
        <w:rPr>
          <w:b/>
        </w:rPr>
        <w:t>Forest plots of AUC meta-analyses</w:t>
      </w:r>
      <w:r w:rsidR="00717AEB" w:rsidRPr="000B4E2C">
        <w:rPr>
          <w:b/>
        </w:rPr>
        <w:t xml:space="preserve"> for detection of AKI</w:t>
      </w:r>
    </w:p>
    <w:p w14:paraId="25A158F0" w14:textId="0462EAFB"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34</w:t>
      </w:r>
      <w:r w:rsidR="00F00233" w:rsidRPr="000B4E2C">
        <w:rPr>
          <w:b/>
          <w:szCs w:val="24"/>
        </w:rPr>
        <w:tab/>
        <w:t>NephroCheck across all settings</w:t>
      </w:r>
      <w:r w:rsidR="00F9393E" w:rsidRPr="000B4E2C">
        <w:rPr>
          <w:b/>
          <w:szCs w:val="24"/>
        </w:rPr>
        <w:t xml:space="preserve"> (adult population)</w:t>
      </w:r>
    </w:p>
    <w:p w14:paraId="725C59DF" w14:textId="559ED9C6" w:rsidR="00F00233"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35</w:t>
      </w:r>
      <w:r w:rsidR="00F00233" w:rsidRPr="000B4E2C">
        <w:rPr>
          <w:b/>
          <w:szCs w:val="24"/>
        </w:rPr>
        <w:tab/>
        <w:t>NephroCheck critical care</w:t>
      </w:r>
      <w:r w:rsidR="00F9393E" w:rsidRPr="000B4E2C">
        <w:rPr>
          <w:b/>
          <w:szCs w:val="24"/>
        </w:rPr>
        <w:t xml:space="preserve"> (adult population)</w:t>
      </w:r>
    </w:p>
    <w:p w14:paraId="3E724B12" w14:textId="77777777" w:rsidR="00F00233" w:rsidRPr="000B4E2C" w:rsidRDefault="00F00233" w:rsidP="00F00233">
      <w:pPr>
        <w:rPr>
          <w:i/>
          <w:color w:val="FF0000"/>
          <w:szCs w:val="24"/>
        </w:rPr>
      </w:pPr>
    </w:p>
    <w:p w14:paraId="0B259259" w14:textId="012103C7"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36</w:t>
      </w:r>
      <w:r w:rsidR="00F00233" w:rsidRPr="000B4E2C">
        <w:rPr>
          <w:b/>
          <w:szCs w:val="24"/>
        </w:rPr>
        <w:tab/>
      </w:r>
      <w:r w:rsidR="001611A3" w:rsidRPr="000B4E2C">
        <w:rPr>
          <w:b/>
          <w:szCs w:val="24"/>
        </w:rPr>
        <w:t xml:space="preserve">ARCHITECT </w:t>
      </w:r>
      <w:r w:rsidR="00F00233" w:rsidRPr="000B4E2C">
        <w:rPr>
          <w:b/>
          <w:szCs w:val="24"/>
        </w:rPr>
        <w:t>u</w:t>
      </w:r>
      <w:r w:rsidR="001611A3" w:rsidRPr="000B4E2C">
        <w:rPr>
          <w:b/>
          <w:szCs w:val="24"/>
        </w:rPr>
        <w:t xml:space="preserve">rine </w:t>
      </w:r>
      <w:r w:rsidR="00F00233" w:rsidRPr="000B4E2C">
        <w:rPr>
          <w:b/>
          <w:szCs w:val="24"/>
        </w:rPr>
        <w:t>NGAL (Abbott) all settings</w:t>
      </w:r>
      <w:r w:rsidR="00F9393E" w:rsidRPr="000B4E2C">
        <w:rPr>
          <w:b/>
          <w:szCs w:val="24"/>
        </w:rPr>
        <w:t xml:space="preserve"> (adult population)</w:t>
      </w:r>
    </w:p>
    <w:p w14:paraId="3F73F903" w14:textId="5FD757C8"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37</w:t>
      </w:r>
      <w:r w:rsidR="00F00233" w:rsidRPr="000B4E2C">
        <w:rPr>
          <w:b/>
          <w:szCs w:val="24"/>
        </w:rPr>
        <w:tab/>
        <w:t xml:space="preserve">ARCHITECT </w:t>
      </w:r>
      <w:r w:rsidR="001611A3" w:rsidRPr="000B4E2C">
        <w:rPr>
          <w:b/>
          <w:szCs w:val="24"/>
        </w:rPr>
        <w:t xml:space="preserve">urine NGAL </w:t>
      </w:r>
      <w:r w:rsidR="00F00233" w:rsidRPr="000B4E2C">
        <w:rPr>
          <w:b/>
          <w:szCs w:val="24"/>
        </w:rPr>
        <w:t>(Abbott) cardiac surgery</w:t>
      </w:r>
      <w:r w:rsidR="00F9393E" w:rsidRPr="000B4E2C">
        <w:rPr>
          <w:b/>
          <w:szCs w:val="24"/>
        </w:rPr>
        <w:t xml:space="preserve"> (adult population)</w:t>
      </w:r>
    </w:p>
    <w:p w14:paraId="2255A06F" w14:textId="27D13596"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38</w:t>
      </w:r>
      <w:r w:rsidR="00F00233" w:rsidRPr="000B4E2C">
        <w:rPr>
          <w:b/>
          <w:szCs w:val="24"/>
        </w:rPr>
        <w:tab/>
      </w:r>
      <w:r w:rsidR="001611A3" w:rsidRPr="000B4E2C">
        <w:rPr>
          <w:b/>
          <w:szCs w:val="24"/>
        </w:rPr>
        <w:t xml:space="preserve">ARCHITECT </w:t>
      </w:r>
      <w:r w:rsidR="00F00233" w:rsidRPr="000B4E2C">
        <w:rPr>
          <w:b/>
          <w:szCs w:val="24"/>
        </w:rPr>
        <w:t>u</w:t>
      </w:r>
      <w:r w:rsidR="001611A3" w:rsidRPr="000B4E2C">
        <w:rPr>
          <w:b/>
          <w:szCs w:val="24"/>
        </w:rPr>
        <w:t xml:space="preserve">rine </w:t>
      </w:r>
      <w:r w:rsidR="00F00233" w:rsidRPr="000B4E2C">
        <w:rPr>
          <w:b/>
          <w:szCs w:val="24"/>
        </w:rPr>
        <w:t>NGAL (Abbott) critical care</w:t>
      </w:r>
      <w:r w:rsidR="00F9393E" w:rsidRPr="000B4E2C">
        <w:rPr>
          <w:b/>
          <w:szCs w:val="24"/>
        </w:rPr>
        <w:t xml:space="preserve"> (adult population)</w:t>
      </w:r>
    </w:p>
    <w:p w14:paraId="5E80CBFA" w14:textId="7CE88F58"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39</w:t>
      </w:r>
      <w:r w:rsidR="00F00233" w:rsidRPr="000B4E2C">
        <w:rPr>
          <w:b/>
          <w:szCs w:val="24"/>
        </w:rPr>
        <w:tab/>
      </w:r>
      <w:r w:rsidR="001611A3" w:rsidRPr="000B4E2C">
        <w:rPr>
          <w:b/>
          <w:szCs w:val="24"/>
        </w:rPr>
        <w:t xml:space="preserve">BioPorto </w:t>
      </w:r>
      <w:r w:rsidR="00F00233" w:rsidRPr="000B4E2C">
        <w:rPr>
          <w:b/>
          <w:szCs w:val="24"/>
        </w:rPr>
        <w:t>u</w:t>
      </w:r>
      <w:r w:rsidR="001611A3" w:rsidRPr="000B4E2C">
        <w:rPr>
          <w:b/>
          <w:szCs w:val="24"/>
        </w:rPr>
        <w:t xml:space="preserve">rine </w:t>
      </w:r>
      <w:r w:rsidR="00F00233" w:rsidRPr="000B4E2C">
        <w:rPr>
          <w:b/>
          <w:szCs w:val="24"/>
        </w:rPr>
        <w:t>NGAL across settings</w:t>
      </w:r>
      <w:r w:rsidR="00F9393E" w:rsidRPr="000B4E2C">
        <w:rPr>
          <w:b/>
          <w:szCs w:val="24"/>
        </w:rPr>
        <w:t xml:space="preserve"> (adult population)</w:t>
      </w:r>
    </w:p>
    <w:p w14:paraId="32DE3179" w14:textId="723F2C5E"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40</w:t>
      </w:r>
      <w:r w:rsidR="00F00233" w:rsidRPr="000B4E2C">
        <w:rPr>
          <w:b/>
          <w:szCs w:val="24"/>
        </w:rPr>
        <w:tab/>
      </w:r>
      <w:r w:rsidR="001611A3" w:rsidRPr="000B4E2C">
        <w:rPr>
          <w:b/>
          <w:szCs w:val="24"/>
        </w:rPr>
        <w:t xml:space="preserve">BioPorto </w:t>
      </w:r>
      <w:r w:rsidR="00F00233" w:rsidRPr="000B4E2C">
        <w:rPr>
          <w:b/>
          <w:szCs w:val="24"/>
        </w:rPr>
        <w:t>u</w:t>
      </w:r>
      <w:r w:rsidR="001611A3" w:rsidRPr="000B4E2C">
        <w:rPr>
          <w:b/>
          <w:szCs w:val="24"/>
        </w:rPr>
        <w:t xml:space="preserve">rine </w:t>
      </w:r>
      <w:r w:rsidR="00F00233" w:rsidRPr="000B4E2C">
        <w:rPr>
          <w:b/>
          <w:szCs w:val="24"/>
        </w:rPr>
        <w:t>NGAL cardiac surgery</w:t>
      </w:r>
      <w:r w:rsidR="00F9393E" w:rsidRPr="000B4E2C">
        <w:rPr>
          <w:b/>
          <w:szCs w:val="24"/>
        </w:rPr>
        <w:t xml:space="preserve"> (adult population)</w:t>
      </w:r>
    </w:p>
    <w:p w14:paraId="157E8C3F" w14:textId="522EC9BB"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41</w:t>
      </w:r>
      <w:r w:rsidR="00F00233" w:rsidRPr="000B4E2C">
        <w:rPr>
          <w:b/>
          <w:szCs w:val="24"/>
        </w:rPr>
        <w:tab/>
      </w:r>
      <w:r w:rsidR="001611A3" w:rsidRPr="000B4E2C">
        <w:rPr>
          <w:b/>
          <w:szCs w:val="24"/>
        </w:rPr>
        <w:t xml:space="preserve">BioPorto </w:t>
      </w:r>
      <w:r w:rsidR="00F00233" w:rsidRPr="000B4E2C">
        <w:rPr>
          <w:b/>
          <w:szCs w:val="24"/>
        </w:rPr>
        <w:t>u</w:t>
      </w:r>
      <w:r w:rsidR="001611A3" w:rsidRPr="000B4E2C">
        <w:rPr>
          <w:b/>
          <w:szCs w:val="24"/>
        </w:rPr>
        <w:t xml:space="preserve">rine </w:t>
      </w:r>
      <w:r w:rsidR="00F00233" w:rsidRPr="000B4E2C">
        <w:rPr>
          <w:b/>
          <w:szCs w:val="24"/>
        </w:rPr>
        <w:t>NGAL critical care</w:t>
      </w:r>
      <w:r w:rsidR="00F9393E" w:rsidRPr="000B4E2C">
        <w:rPr>
          <w:b/>
          <w:szCs w:val="24"/>
        </w:rPr>
        <w:t xml:space="preserve"> (adult population)</w:t>
      </w:r>
    </w:p>
    <w:p w14:paraId="7CEDE4B0" w14:textId="45895694"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42</w:t>
      </w:r>
      <w:r w:rsidR="00F00233" w:rsidRPr="000B4E2C">
        <w:rPr>
          <w:b/>
          <w:szCs w:val="24"/>
        </w:rPr>
        <w:tab/>
      </w:r>
      <w:r w:rsidR="00F9393E" w:rsidRPr="000B4E2C">
        <w:rPr>
          <w:b/>
          <w:szCs w:val="24"/>
        </w:rPr>
        <w:t>U</w:t>
      </w:r>
      <w:r w:rsidR="001611A3" w:rsidRPr="000B4E2C">
        <w:rPr>
          <w:b/>
          <w:szCs w:val="24"/>
        </w:rPr>
        <w:t xml:space="preserve">rine </w:t>
      </w:r>
      <w:r w:rsidR="00F00233" w:rsidRPr="000B4E2C">
        <w:rPr>
          <w:b/>
          <w:szCs w:val="24"/>
        </w:rPr>
        <w:t xml:space="preserve">NGAL (Abbott and </w:t>
      </w:r>
      <w:r w:rsidR="009D7F5A" w:rsidRPr="000B4E2C">
        <w:rPr>
          <w:b/>
          <w:szCs w:val="24"/>
        </w:rPr>
        <w:t>BioPorto</w:t>
      </w:r>
      <w:r w:rsidR="00F00233" w:rsidRPr="000B4E2C">
        <w:rPr>
          <w:b/>
          <w:szCs w:val="24"/>
        </w:rPr>
        <w:t>) cardiac surgery</w:t>
      </w:r>
      <w:r w:rsidR="00F9393E" w:rsidRPr="000B4E2C">
        <w:rPr>
          <w:b/>
          <w:szCs w:val="24"/>
        </w:rPr>
        <w:t xml:space="preserve"> (adult population)</w:t>
      </w:r>
    </w:p>
    <w:p w14:paraId="22DC1059" w14:textId="308FFEB5"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43</w:t>
      </w:r>
      <w:r w:rsidR="00F00233" w:rsidRPr="000B4E2C">
        <w:rPr>
          <w:b/>
          <w:szCs w:val="24"/>
        </w:rPr>
        <w:tab/>
      </w:r>
      <w:r w:rsidR="00F9393E" w:rsidRPr="000B4E2C">
        <w:rPr>
          <w:b/>
          <w:szCs w:val="24"/>
        </w:rPr>
        <w:t>U</w:t>
      </w:r>
      <w:r w:rsidR="001611A3" w:rsidRPr="000B4E2C">
        <w:rPr>
          <w:b/>
          <w:szCs w:val="24"/>
        </w:rPr>
        <w:t xml:space="preserve">rine </w:t>
      </w:r>
      <w:r w:rsidR="00F00233" w:rsidRPr="000B4E2C">
        <w:rPr>
          <w:b/>
          <w:szCs w:val="24"/>
        </w:rPr>
        <w:t xml:space="preserve">NGAL (Abbott and </w:t>
      </w:r>
      <w:r w:rsidR="009D7F5A" w:rsidRPr="000B4E2C">
        <w:rPr>
          <w:b/>
          <w:szCs w:val="24"/>
        </w:rPr>
        <w:t>BioPorto</w:t>
      </w:r>
      <w:r w:rsidR="00F00233" w:rsidRPr="000B4E2C">
        <w:rPr>
          <w:b/>
          <w:szCs w:val="24"/>
        </w:rPr>
        <w:t>) critical care</w:t>
      </w:r>
      <w:r w:rsidR="00F9393E" w:rsidRPr="000B4E2C">
        <w:rPr>
          <w:b/>
          <w:szCs w:val="24"/>
        </w:rPr>
        <w:t xml:space="preserve"> (adult population)</w:t>
      </w:r>
    </w:p>
    <w:p w14:paraId="1CE50E72" w14:textId="1891DDDB"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44</w:t>
      </w:r>
      <w:r w:rsidR="00F00233" w:rsidRPr="000B4E2C">
        <w:rPr>
          <w:b/>
          <w:szCs w:val="24"/>
        </w:rPr>
        <w:tab/>
      </w:r>
      <w:r w:rsidR="00F9393E" w:rsidRPr="000B4E2C">
        <w:rPr>
          <w:b/>
          <w:szCs w:val="24"/>
        </w:rPr>
        <w:t>U</w:t>
      </w:r>
      <w:r w:rsidR="001611A3" w:rsidRPr="000B4E2C">
        <w:rPr>
          <w:b/>
          <w:szCs w:val="24"/>
        </w:rPr>
        <w:t xml:space="preserve">rine </w:t>
      </w:r>
      <w:r w:rsidR="00F00233" w:rsidRPr="000B4E2C">
        <w:rPr>
          <w:b/>
          <w:szCs w:val="24"/>
        </w:rPr>
        <w:t xml:space="preserve">NGAL (Abbott and </w:t>
      </w:r>
      <w:r w:rsidR="009D7F5A" w:rsidRPr="000B4E2C">
        <w:rPr>
          <w:b/>
          <w:szCs w:val="24"/>
        </w:rPr>
        <w:t>BioPorto</w:t>
      </w:r>
      <w:r w:rsidR="00F00233" w:rsidRPr="000B4E2C">
        <w:rPr>
          <w:b/>
          <w:szCs w:val="24"/>
        </w:rPr>
        <w:t>) all settings</w:t>
      </w:r>
      <w:r w:rsidR="00F9393E" w:rsidRPr="000B4E2C">
        <w:rPr>
          <w:b/>
          <w:szCs w:val="24"/>
        </w:rPr>
        <w:t xml:space="preserve"> (adult population)</w:t>
      </w:r>
    </w:p>
    <w:p w14:paraId="1DAAE4D5" w14:textId="40B5C2BD"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45</w:t>
      </w:r>
      <w:r w:rsidR="00F00233" w:rsidRPr="000B4E2C">
        <w:rPr>
          <w:b/>
          <w:szCs w:val="24"/>
        </w:rPr>
        <w:tab/>
      </w:r>
      <w:r w:rsidR="001611A3" w:rsidRPr="000B4E2C">
        <w:rPr>
          <w:b/>
          <w:szCs w:val="24"/>
        </w:rPr>
        <w:t xml:space="preserve">BioPorto </w:t>
      </w:r>
      <w:r w:rsidR="00F00233" w:rsidRPr="000B4E2C">
        <w:rPr>
          <w:b/>
          <w:szCs w:val="24"/>
        </w:rPr>
        <w:t>p</w:t>
      </w:r>
      <w:r w:rsidR="001611A3" w:rsidRPr="000B4E2C">
        <w:rPr>
          <w:b/>
          <w:szCs w:val="24"/>
        </w:rPr>
        <w:t xml:space="preserve">lasma </w:t>
      </w:r>
      <w:r w:rsidR="00F00233" w:rsidRPr="000B4E2C">
        <w:rPr>
          <w:b/>
          <w:szCs w:val="24"/>
        </w:rPr>
        <w:t>NGAL across all settings</w:t>
      </w:r>
      <w:r w:rsidR="00F9393E" w:rsidRPr="000B4E2C">
        <w:rPr>
          <w:b/>
          <w:szCs w:val="24"/>
        </w:rPr>
        <w:t xml:space="preserve"> (adult population)</w:t>
      </w:r>
    </w:p>
    <w:p w14:paraId="2AE51268" w14:textId="3A7ADA0C"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46</w:t>
      </w:r>
      <w:r w:rsidR="00F00233" w:rsidRPr="000B4E2C">
        <w:rPr>
          <w:b/>
          <w:szCs w:val="24"/>
        </w:rPr>
        <w:tab/>
      </w:r>
      <w:r w:rsidR="001611A3" w:rsidRPr="000B4E2C">
        <w:rPr>
          <w:b/>
          <w:szCs w:val="24"/>
        </w:rPr>
        <w:t xml:space="preserve">BioPorto </w:t>
      </w:r>
      <w:r w:rsidR="00F00233" w:rsidRPr="000B4E2C">
        <w:rPr>
          <w:b/>
          <w:szCs w:val="24"/>
        </w:rPr>
        <w:t>p</w:t>
      </w:r>
      <w:r w:rsidR="001611A3" w:rsidRPr="000B4E2C">
        <w:rPr>
          <w:b/>
          <w:szCs w:val="24"/>
        </w:rPr>
        <w:t xml:space="preserve">lasma </w:t>
      </w:r>
      <w:r w:rsidR="00F00233" w:rsidRPr="000B4E2C">
        <w:rPr>
          <w:b/>
          <w:szCs w:val="24"/>
        </w:rPr>
        <w:t>NGAL cardiac surgery</w:t>
      </w:r>
      <w:r w:rsidR="00F9393E" w:rsidRPr="000B4E2C">
        <w:rPr>
          <w:b/>
          <w:szCs w:val="24"/>
        </w:rPr>
        <w:t xml:space="preserve"> (adult population)</w:t>
      </w:r>
    </w:p>
    <w:p w14:paraId="62FC09C4" w14:textId="36097381"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47</w:t>
      </w:r>
      <w:r w:rsidR="00F00233" w:rsidRPr="000B4E2C">
        <w:rPr>
          <w:b/>
          <w:szCs w:val="24"/>
        </w:rPr>
        <w:tab/>
      </w:r>
      <w:r w:rsidR="001611A3" w:rsidRPr="000B4E2C">
        <w:rPr>
          <w:b/>
          <w:szCs w:val="24"/>
        </w:rPr>
        <w:t xml:space="preserve">BioPorto </w:t>
      </w:r>
      <w:r w:rsidR="00F00233" w:rsidRPr="000B4E2C">
        <w:rPr>
          <w:b/>
          <w:szCs w:val="24"/>
        </w:rPr>
        <w:t>p</w:t>
      </w:r>
      <w:r w:rsidR="001611A3" w:rsidRPr="000B4E2C">
        <w:rPr>
          <w:b/>
          <w:szCs w:val="24"/>
        </w:rPr>
        <w:t xml:space="preserve">lasma </w:t>
      </w:r>
      <w:r w:rsidR="00F00233" w:rsidRPr="000B4E2C">
        <w:rPr>
          <w:b/>
          <w:szCs w:val="24"/>
        </w:rPr>
        <w:t>NGAL critical care</w:t>
      </w:r>
      <w:r w:rsidR="00F9393E" w:rsidRPr="000B4E2C">
        <w:rPr>
          <w:b/>
          <w:szCs w:val="24"/>
        </w:rPr>
        <w:t xml:space="preserve"> (adult population)</w:t>
      </w:r>
    </w:p>
    <w:p w14:paraId="4123A97E" w14:textId="638F7A8F"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48</w:t>
      </w:r>
      <w:r w:rsidR="00F00233" w:rsidRPr="000B4E2C">
        <w:rPr>
          <w:b/>
          <w:szCs w:val="24"/>
        </w:rPr>
        <w:tab/>
      </w:r>
      <w:r w:rsidR="00F9393E" w:rsidRPr="000B4E2C">
        <w:rPr>
          <w:b/>
          <w:szCs w:val="24"/>
        </w:rPr>
        <w:t>U</w:t>
      </w:r>
      <w:r w:rsidR="001611A3" w:rsidRPr="000B4E2C">
        <w:rPr>
          <w:b/>
          <w:szCs w:val="24"/>
        </w:rPr>
        <w:t xml:space="preserve">rine </w:t>
      </w:r>
      <w:r w:rsidR="00F00233" w:rsidRPr="000B4E2C">
        <w:rPr>
          <w:b/>
          <w:szCs w:val="24"/>
        </w:rPr>
        <w:t xml:space="preserve">NGAL (Abbott and </w:t>
      </w:r>
      <w:r w:rsidR="009D7F5A" w:rsidRPr="000B4E2C">
        <w:rPr>
          <w:b/>
          <w:szCs w:val="24"/>
        </w:rPr>
        <w:t>BioPorto</w:t>
      </w:r>
      <w:r w:rsidR="00F00233" w:rsidRPr="000B4E2C">
        <w:rPr>
          <w:b/>
          <w:szCs w:val="24"/>
        </w:rPr>
        <w:t>) across settings</w:t>
      </w:r>
      <w:r w:rsidR="00F9393E" w:rsidRPr="000B4E2C">
        <w:rPr>
          <w:b/>
          <w:szCs w:val="24"/>
        </w:rPr>
        <w:t xml:space="preserve"> (child population)</w:t>
      </w:r>
    </w:p>
    <w:p w14:paraId="3C8AE930" w14:textId="1EED00ED" w:rsidR="000B4E2C" w:rsidRPr="000B4E2C" w:rsidRDefault="000B4E2C" w:rsidP="00F9393E">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49</w:t>
      </w:r>
      <w:r w:rsidR="00F00233" w:rsidRPr="000B4E2C">
        <w:rPr>
          <w:b/>
          <w:szCs w:val="24"/>
        </w:rPr>
        <w:tab/>
        <w:t xml:space="preserve">ARCHITECT </w:t>
      </w:r>
      <w:r w:rsidR="001611A3" w:rsidRPr="000B4E2C">
        <w:rPr>
          <w:b/>
          <w:szCs w:val="24"/>
        </w:rPr>
        <w:t xml:space="preserve">urine NGAL </w:t>
      </w:r>
      <w:r w:rsidR="00F00233" w:rsidRPr="000B4E2C">
        <w:rPr>
          <w:b/>
          <w:szCs w:val="24"/>
        </w:rPr>
        <w:t>(Abbott) cardiac surgery</w:t>
      </w:r>
      <w:r w:rsidR="00F9393E" w:rsidRPr="000B4E2C">
        <w:rPr>
          <w:b/>
          <w:szCs w:val="24"/>
        </w:rPr>
        <w:t xml:space="preserve"> (child population)</w:t>
      </w:r>
    </w:p>
    <w:p w14:paraId="59A71EFF" w14:textId="78E4DDF3" w:rsidR="000B4E2C" w:rsidRPr="000B4E2C" w:rsidRDefault="000B4E2C" w:rsidP="00F9393E">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50</w:t>
      </w:r>
      <w:r w:rsidR="00F00233" w:rsidRPr="000B4E2C">
        <w:rPr>
          <w:b/>
          <w:szCs w:val="24"/>
        </w:rPr>
        <w:tab/>
      </w:r>
      <w:r w:rsidR="00F9393E" w:rsidRPr="000B4E2C">
        <w:rPr>
          <w:b/>
          <w:szCs w:val="24"/>
        </w:rPr>
        <w:t>U</w:t>
      </w:r>
      <w:r w:rsidR="001611A3" w:rsidRPr="000B4E2C">
        <w:rPr>
          <w:b/>
          <w:szCs w:val="24"/>
        </w:rPr>
        <w:t xml:space="preserve">rine </w:t>
      </w:r>
      <w:r w:rsidR="00F00233" w:rsidRPr="000B4E2C">
        <w:rPr>
          <w:b/>
          <w:szCs w:val="24"/>
        </w:rPr>
        <w:t xml:space="preserve">NGAL (Abbott and </w:t>
      </w:r>
      <w:r w:rsidR="009D7F5A" w:rsidRPr="000B4E2C">
        <w:rPr>
          <w:b/>
          <w:szCs w:val="24"/>
        </w:rPr>
        <w:t>BioPorto</w:t>
      </w:r>
      <w:r w:rsidR="00F00233" w:rsidRPr="000B4E2C">
        <w:rPr>
          <w:b/>
          <w:szCs w:val="24"/>
        </w:rPr>
        <w:t>) all cardiac surgery</w:t>
      </w:r>
      <w:r w:rsidR="00F9393E" w:rsidRPr="000B4E2C">
        <w:rPr>
          <w:b/>
          <w:szCs w:val="24"/>
        </w:rPr>
        <w:t xml:space="preserve"> (child population)</w:t>
      </w:r>
    </w:p>
    <w:p w14:paraId="5B2DCA95" w14:textId="3820B406" w:rsidR="0050641B" w:rsidRPr="000B4E2C" w:rsidRDefault="0050641B" w:rsidP="0050641B">
      <w:pPr>
        <w:spacing w:after="200" w:line="276" w:lineRule="auto"/>
        <w:rPr>
          <w:b/>
          <w:szCs w:val="24"/>
          <w:lang w:val="pt-BR"/>
        </w:rPr>
      </w:pPr>
      <w:r w:rsidRPr="000B4E2C">
        <w:rPr>
          <w:b/>
          <w:szCs w:val="24"/>
          <w:lang w:val="pt-BR"/>
        </w:rPr>
        <w:t>References of studies included in the figures above (in alphabetical order)</w:t>
      </w:r>
    </w:p>
    <w:p w14:paraId="06C19345" w14:textId="77777777" w:rsidR="0050641B" w:rsidRPr="000B4E2C" w:rsidRDefault="0050641B" w:rsidP="0050641B">
      <w:pPr>
        <w:pStyle w:val="EndNoteBibliography"/>
        <w:rPr>
          <w:highlight w:val="green"/>
        </w:rPr>
      </w:pPr>
      <w:r w:rsidRPr="000B4E2C">
        <w:rPr>
          <w:highlight w:val="green"/>
        </w:rPr>
        <w:t>Albert C, Albert A, Bellomo R, et al. Urinary neutrophil gelatinase-associated lipocalin-guided risk assessment for major adverse kidney events after open-heart surgery</w:t>
      </w:r>
      <w:r w:rsidRPr="000B4E2C">
        <w:rPr>
          <w:i/>
          <w:highlight w:val="green"/>
        </w:rPr>
        <w:t>. Biomarkers in Medicine</w:t>
      </w:r>
      <w:r w:rsidRPr="000B4E2C">
        <w:rPr>
          <w:highlight w:val="green"/>
        </w:rPr>
        <w:t xml:space="preserve"> 2018; 12(9), 975-85.</w:t>
      </w:r>
    </w:p>
    <w:p w14:paraId="4B3B6913" w14:textId="77777777" w:rsidR="0050641B" w:rsidRPr="000B4E2C" w:rsidRDefault="0050641B" w:rsidP="0050641B">
      <w:pPr>
        <w:pStyle w:val="EndNoteBibliography"/>
        <w:rPr>
          <w:highlight w:val="green"/>
        </w:rPr>
      </w:pPr>
    </w:p>
    <w:p w14:paraId="413AE1C8" w14:textId="77777777" w:rsidR="0050641B" w:rsidRPr="000B4E2C" w:rsidRDefault="0050641B" w:rsidP="0050641B">
      <w:pPr>
        <w:pStyle w:val="EndNoteBibliography"/>
        <w:rPr>
          <w:highlight w:val="green"/>
        </w:rPr>
      </w:pPr>
      <w:r w:rsidRPr="000B4E2C">
        <w:rPr>
          <w:highlight w:val="green"/>
        </w:rPr>
        <w:t>Alcaraz AJ, Gil-Ruiz MA, Castillo A, et al. Postoperative neutrophil gelatinase-associated lipocalin predicts acute kidney injury after pediatric cardiac surgery</w:t>
      </w:r>
      <w:r w:rsidRPr="000B4E2C">
        <w:rPr>
          <w:i/>
          <w:highlight w:val="green"/>
        </w:rPr>
        <w:t>. Pediatric Critical Care Medicine</w:t>
      </w:r>
      <w:r w:rsidRPr="000B4E2C">
        <w:rPr>
          <w:highlight w:val="green"/>
        </w:rPr>
        <w:t xml:space="preserve"> 2014; 15(2), 121-30.</w:t>
      </w:r>
    </w:p>
    <w:p w14:paraId="0AF4945F" w14:textId="77777777" w:rsidR="0050641B" w:rsidRPr="000B4E2C" w:rsidRDefault="0050641B" w:rsidP="0050641B">
      <w:pPr>
        <w:pStyle w:val="EndNoteBibliography"/>
        <w:rPr>
          <w:highlight w:val="green"/>
        </w:rPr>
      </w:pPr>
    </w:p>
    <w:p w14:paraId="63ECA467" w14:textId="77777777" w:rsidR="0050641B" w:rsidRPr="000B4E2C" w:rsidRDefault="0050641B" w:rsidP="0050641B">
      <w:pPr>
        <w:pStyle w:val="EndNoteBibliography"/>
        <w:rPr>
          <w:highlight w:val="green"/>
        </w:rPr>
      </w:pPr>
      <w:r w:rsidRPr="000B4E2C">
        <w:rPr>
          <w:highlight w:val="green"/>
        </w:rPr>
        <w:lastRenderedPageBreak/>
        <w:t>Asada T, Isshiki R, Hayase N, et al. Impact of clinical context on acute kidney injury biomarker performances: differences between neutrophil gelatinase-associated lipocalin and L-type fatty acid-binding protein</w:t>
      </w:r>
      <w:r w:rsidRPr="000B4E2C">
        <w:rPr>
          <w:i/>
          <w:highlight w:val="green"/>
        </w:rPr>
        <w:t>. Scientific reports</w:t>
      </w:r>
      <w:r w:rsidRPr="000B4E2C">
        <w:rPr>
          <w:highlight w:val="green"/>
        </w:rPr>
        <w:t xml:space="preserve"> 2016; 6(33077.</w:t>
      </w:r>
    </w:p>
    <w:p w14:paraId="086BDD7C" w14:textId="77777777" w:rsidR="0050641B" w:rsidRPr="000B4E2C" w:rsidRDefault="0050641B" w:rsidP="0050641B">
      <w:pPr>
        <w:pStyle w:val="EndNoteBibliography"/>
        <w:rPr>
          <w:highlight w:val="green"/>
        </w:rPr>
      </w:pPr>
    </w:p>
    <w:p w14:paraId="2D1C9E43" w14:textId="77777777" w:rsidR="0050641B" w:rsidRPr="000B4E2C" w:rsidRDefault="0050641B" w:rsidP="0050641B">
      <w:pPr>
        <w:pStyle w:val="EndNoteBibliography"/>
        <w:rPr>
          <w:highlight w:val="green"/>
        </w:rPr>
      </w:pPr>
      <w:r w:rsidRPr="000B4E2C">
        <w:rPr>
          <w:highlight w:val="green"/>
        </w:rPr>
        <w:t>Barreto R, Elia C, Sola E, et al. Urinary neutrophil gelatinase-associated lipocalin predicts kidney outcome and death in patients with cirrhosis and bacterial infections</w:t>
      </w:r>
      <w:r w:rsidRPr="000B4E2C">
        <w:rPr>
          <w:i/>
          <w:highlight w:val="green"/>
        </w:rPr>
        <w:t>. Journal of Hepatology</w:t>
      </w:r>
      <w:r w:rsidRPr="000B4E2C">
        <w:rPr>
          <w:highlight w:val="green"/>
        </w:rPr>
        <w:t xml:space="preserve"> 2014; 61(1), 35-42.</w:t>
      </w:r>
    </w:p>
    <w:p w14:paraId="3DF03D5E" w14:textId="77777777" w:rsidR="0050641B" w:rsidRPr="000B4E2C" w:rsidRDefault="0050641B" w:rsidP="0050641B">
      <w:pPr>
        <w:pStyle w:val="EndNoteBibliography"/>
        <w:rPr>
          <w:highlight w:val="green"/>
        </w:rPr>
      </w:pPr>
    </w:p>
    <w:p w14:paraId="446F0E7F" w14:textId="77777777" w:rsidR="0050641B" w:rsidRPr="000B4E2C" w:rsidRDefault="0050641B" w:rsidP="0050641B">
      <w:pPr>
        <w:pStyle w:val="EndNoteBibliography"/>
        <w:rPr>
          <w:highlight w:val="green"/>
        </w:rPr>
      </w:pPr>
      <w:r w:rsidRPr="000B4E2C">
        <w:rPr>
          <w:highlight w:val="green"/>
        </w:rPr>
        <w:t>Bennett M, Dent CL, Ma Q, et al. Urine NGAL predicts severity of acute kidney injury after cardiac surgery: a prospective study</w:t>
      </w:r>
      <w:r w:rsidRPr="000B4E2C">
        <w:rPr>
          <w:i/>
          <w:highlight w:val="green"/>
        </w:rPr>
        <w:t>. Clinical Journal of The American Society of Nephrology: CJASN</w:t>
      </w:r>
      <w:r w:rsidRPr="000B4E2C">
        <w:rPr>
          <w:highlight w:val="green"/>
        </w:rPr>
        <w:t xml:space="preserve"> 2008; 3(3), 665-73.</w:t>
      </w:r>
    </w:p>
    <w:p w14:paraId="738C05AF" w14:textId="77777777" w:rsidR="0050641B" w:rsidRPr="000B4E2C" w:rsidRDefault="0050641B" w:rsidP="0050641B">
      <w:pPr>
        <w:pStyle w:val="EndNoteBibliography"/>
        <w:rPr>
          <w:highlight w:val="green"/>
        </w:rPr>
      </w:pPr>
    </w:p>
    <w:p w14:paraId="5DC30BD3" w14:textId="77777777" w:rsidR="0050641B" w:rsidRPr="000B4E2C" w:rsidRDefault="0050641B" w:rsidP="0050641B">
      <w:pPr>
        <w:pStyle w:val="EndNoteBibliography"/>
        <w:rPr>
          <w:highlight w:val="green"/>
        </w:rPr>
      </w:pPr>
      <w:r w:rsidRPr="000B4E2C">
        <w:rPr>
          <w:highlight w:val="green"/>
        </w:rPr>
        <w:t>Bihorac A, Chawla LS, Shaw AD, et al. Validation of cell-cycle arrest biomarkers for acute kidney injury using clinical adjudication</w:t>
      </w:r>
      <w:r w:rsidRPr="000B4E2C">
        <w:rPr>
          <w:i/>
          <w:highlight w:val="green"/>
        </w:rPr>
        <w:t>. American Journal of Respiratory and Critical Care Medicine</w:t>
      </w:r>
      <w:r w:rsidRPr="000B4E2C">
        <w:rPr>
          <w:highlight w:val="green"/>
        </w:rPr>
        <w:t xml:space="preserve"> 2014; 189(8), 932-9.</w:t>
      </w:r>
    </w:p>
    <w:p w14:paraId="1EA9843B" w14:textId="77777777" w:rsidR="0050641B" w:rsidRPr="000B4E2C" w:rsidRDefault="0050641B" w:rsidP="0050641B">
      <w:pPr>
        <w:pStyle w:val="EndNoteBibliography"/>
        <w:rPr>
          <w:highlight w:val="green"/>
        </w:rPr>
      </w:pPr>
    </w:p>
    <w:p w14:paraId="68429875" w14:textId="77777777" w:rsidR="0050641B" w:rsidRPr="000B4E2C" w:rsidRDefault="0050641B" w:rsidP="0050641B">
      <w:pPr>
        <w:pStyle w:val="EndNoteBibliography"/>
        <w:rPr>
          <w:highlight w:val="green"/>
        </w:rPr>
      </w:pPr>
      <w:r w:rsidRPr="000B4E2C">
        <w:rPr>
          <w:highlight w:val="green"/>
        </w:rPr>
        <w:t>Cantinotti M, Storti S, Lorenzoni V, et al. The combined use of neutrophil gelatinase-associated lipocalin and brain natriuretic peptide improves risk stratification in pediatric cardiac surgery</w:t>
      </w:r>
      <w:r w:rsidRPr="000B4E2C">
        <w:rPr>
          <w:i/>
          <w:highlight w:val="green"/>
        </w:rPr>
        <w:t>. Clinical Chemistry and Laboratory Medicine</w:t>
      </w:r>
      <w:r w:rsidRPr="000B4E2C">
        <w:rPr>
          <w:highlight w:val="green"/>
        </w:rPr>
        <w:t xml:space="preserve"> 2012; 50(11), 2009-17.</w:t>
      </w:r>
    </w:p>
    <w:p w14:paraId="5DDFB637" w14:textId="77777777" w:rsidR="0050641B" w:rsidRPr="000B4E2C" w:rsidRDefault="0050641B" w:rsidP="0050641B">
      <w:pPr>
        <w:pStyle w:val="EndNoteBibliography"/>
        <w:rPr>
          <w:highlight w:val="green"/>
        </w:rPr>
      </w:pPr>
    </w:p>
    <w:p w14:paraId="6A5E4387" w14:textId="77777777" w:rsidR="0050641B" w:rsidRPr="000B4E2C" w:rsidRDefault="0050641B" w:rsidP="0050641B">
      <w:pPr>
        <w:pStyle w:val="EndNoteBibliography"/>
        <w:rPr>
          <w:highlight w:val="green"/>
        </w:rPr>
      </w:pPr>
      <w:r w:rsidRPr="000B4E2C">
        <w:rPr>
          <w:highlight w:val="green"/>
        </w:rPr>
        <w:t>Cho E, Kim SC, Kim MG, et al. The incidence and risk factors of acute kidney injury after hepatobiliary surgery: A prospective observational study</w:t>
      </w:r>
      <w:r w:rsidRPr="000B4E2C">
        <w:rPr>
          <w:i/>
          <w:highlight w:val="green"/>
        </w:rPr>
        <w:t>. BMC Nephrology</w:t>
      </w:r>
      <w:r w:rsidRPr="000B4E2C">
        <w:rPr>
          <w:highlight w:val="green"/>
        </w:rPr>
        <w:t xml:space="preserve"> 2014; 15(1), 169.</w:t>
      </w:r>
    </w:p>
    <w:p w14:paraId="3D51934B" w14:textId="77777777" w:rsidR="0050641B" w:rsidRPr="000B4E2C" w:rsidRDefault="0050641B" w:rsidP="0050641B">
      <w:pPr>
        <w:pStyle w:val="EndNoteBibliography"/>
        <w:rPr>
          <w:highlight w:val="green"/>
        </w:rPr>
      </w:pPr>
    </w:p>
    <w:p w14:paraId="7D8C8ABF" w14:textId="77777777" w:rsidR="0050641B" w:rsidRPr="000B4E2C" w:rsidRDefault="0050641B" w:rsidP="0050641B">
      <w:pPr>
        <w:pStyle w:val="EndNoteBibliography"/>
        <w:rPr>
          <w:highlight w:val="green"/>
        </w:rPr>
      </w:pPr>
      <w:r w:rsidRPr="000B4E2C">
        <w:rPr>
          <w:highlight w:val="green"/>
        </w:rPr>
        <w:t>Cho E, Yang HN, Jo SK, et al. The role of urinary liver-type fatty acid-binding protein in critically ill patients</w:t>
      </w:r>
      <w:r w:rsidRPr="000B4E2C">
        <w:rPr>
          <w:i/>
          <w:highlight w:val="green"/>
        </w:rPr>
        <w:t>. Journal of Korean Medical Science</w:t>
      </w:r>
      <w:r w:rsidRPr="000B4E2C">
        <w:rPr>
          <w:highlight w:val="green"/>
        </w:rPr>
        <w:t xml:space="preserve"> 2013; 28(1), 100-5.</w:t>
      </w:r>
    </w:p>
    <w:p w14:paraId="13B3ADD0" w14:textId="77777777" w:rsidR="0050641B" w:rsidRPr="000B4E2C" w:rsidRDefault="0050641B" w:rsidP="0050641B">
      <w:pPr>
        <w:pStyle w:val="EndNoteBibliography"/>
        <w:rPr>
          <w:highlight w:val="green"/>
        </w:rPr>
      </w:pPr>
    </w:p>
    <w:p w14:paraId="6F1FB1BE" w14:textId="77777777" w:rsidR="0050641B" w:rsidRPr="000B4E2C" w:rsidRDefault="0050641B" w:rsidP="0050641B">
      <w:pPr>
        <w:pStyle w:val="EndNoteBibliography"/>
        <w:rPr>
          <w:highlight w:val="green"/>
        </w:rPr>
      </w:pPr>
      <w:r w:rsidRPr="000B4E2C">
        <w:rPr>
          <w:highlight w:val="green"/>
        </w:rPr>
        <w:t>Cullen MR, Jhanji S, Pearse RM, et al. Neutrophil gelatinase-associated lipocalin and albuminuria as predictors of acute kidney injury in patients treated with goal-directed haemodynamic therapy after major abdominal surgery</w:t>
      </w:r>
      <w:r w:rsidRPr="000B4E2C">
        <w:rPr>
          <w:i/>
          <w:highlight w:val="green"/>
        </w:rPr>
        <w:t>. Annals of Clinical Biochemistry</w:t>
      </w:r>
      <w:r w:rsidRPr="000B4E2C">
        <w:rPr>
          <w:highlight w:val="green"/>
        </w:rPr>
        <w:t xml:space="preserve"> 2014; 51(3), 392-9.</w:t>
      </w:r>
    </w:p>
    <w:p w14:paraId="2DF2B42B" w14:textId="77777777" w:rsidR="0050641B" w:rsidRPr="000B4E2C" w:rsidRDefault="0050641B" w:rsidP="0050641B">
      <w:pPr>
        <w:pStyle w:val="EndNoteBibliography"/>
        <w:rPr>
          <w:highlight w:val="green"/>
        </w:rPr>
      </w:pPr>
    </w:p>
    <w:p w14:paraId="52F6B00F" w14:textId="77777777" w:rsidR="0050641B" w:rsidRPr="000B4E2C" w:rsidRDefault="0050641B" w:rsidP="0050641B">
      <w:pPr>
        <w:pStyle w:val="EndNoteBibliography"/>
        <w:rPr>
          <w:highlight w:val="green"/>
        </w:rPr>
      </w:pPr>
      <w:r w:rsidRPr="000B4E2C">
        <w:rPr>
          <w:highlight w:val="green"/>
        </w:rPr>
        <w:t>Cummings JJ, Shaw AD, Shi J, et al. Intraoperative prediction of cardiac surgery-associated acute kidney injury using urinary biomarkers of cell cycle arrest</w:t>
      </w:r>
      <w:r w:rsidRPr="000B4E2C">
        <w:rPr>
          <w:i/>
          <w:highlight w:val="green"/>
        </w:rPr>
        <w:t>. Journal of Thoracic and Cardiovascular Surgery</w:t>
      </w:r>
      <w:r w:rsidRPr="000B4E2C">
        <w:rPr>
          <w:highlight w:val="green"/>
        </w:rPr>
        <w:t xml:space="preserve"> 2019; 157(4), 1545.</w:t>
      </w:r>
    </w:p>
    <w:p w14:paraId="5CCD1281" w14:textId="77777777" w:rsidR="0050641B" w:rsidRPr="000B4E2C" w:rsidRDefault="0050641B" w:rsidP="0050641B">
      <w:pPr>
        <w:pStyle w:val="EndNoteBibliography"/>
        <w:rPr>
          <w:highlight w:val="green"/>
        </w:rPr>
      </w:pPr>
    </w:p>
    <w:p w14:paraId="424BBDA6" w14:textId="77777777" w:rsidR="0050641B" w:rsidRPr="000B4E2C" w:rsidRDefault="0050641B" w:rsidP="0050641B">
      <w:pPr>
        <w:pStyle w:val="EndNoteBibliography"/>
        <w:rPr>
          <w:highlight w:val="green"/>
        </w:rPr>
      </w:pPr>
      <w:r w:rsidRPr="000B4E2C">
        <w:rPr>
          <w:highlight w:val="green"/>
        </w:rPr>
        <w:t>De Loor J, Herck I, Francois K, et al. Diagnosis of cardiac surgery-associated acute kidney injury: differential roles of creatinine, chitinase 3-like protein 1 and neutrophil gelatinase-associated lipocalin: a prospective cohort study</w:t>
      </w:r>
      <w:r w:rsidRPr="000B4E2C">
        <w:rPr>
          <w:i/>
          <w:highlight w:val="green"/>
        </w:rPr>
        <w:t>. Annals of Intensive Care</w:t>
      </w:r>
      <w:r w:rsidRPr="000B4E2C">
        <w:rPr>
          <w:highlight w:val="green"/>
        </w:rPr>
        <w:t xml:space="preserve"> 2017; 7(1), 24.</w:t>
      </w:r>
    </w:p>
    <w:p w14:paraId="6EB75A86" w14:textId="77777777" w:rsidR="0050641B" w:rsidRPr="000B4E2C" w:rsidRDefault="0050641B" w:rsidP="0050641B">
      <w:pPr>
        <w:pStyle w:val="EndNoteBibliography"/>
        <w:rPr>
          <w:highlight w:val="green"/>
        </w:rPr>
      </w:pPr>
    </w:p>
    <w:p w14:paraId="0B18C2FD" w14:textId="77777777" w:rsidR="0050641B" w:rsidRPr="000B4E2C" w:rsidRDefault="0050641B" w:rsidP="0050641B">
      <w:pPr>
        <w:pStyle w:val="EndNoteBibliography"/>
        <w:rPr>
          <w:highlight w:val="green"/>
        </w:rPr>
      </w:pPr>
      <w:r w:rsidRPr="000B4E2C">
        <w:rPr>
          <w:highlight w:val="green"/>
        </w:rPr>
        <w:t>Di Leo L, Nalesso F, Garzotto F, et al. Predicting Acute Kidney Injury in Intensive Care Unit Patients: The Role of Tissue Inhibitor of Metalloproteinases-2 and Insulin-Like Growth Factor-Binding Protein-7 Biomarkers</w:t>
      </w:r>
      <w:r w:rsidRPr="000B4E2C">
        <w:rPr>
          <w:i/>
          <w:highlight w:val="green"/>
        </w:rPr>
        <w:t>. Blood Purification</w:t>
      </w:r>
      <w:r w:rsidRPr="000B4E2C">
        <w:rPr>
          <w:highlight w:val="green"/>
        </w:rPr>
        <w:t xml:space="preserve"> 2018; 45(1-3), 270-7.</w:t>
      </w:r>
    </w:p>
    <w:p w14:paraId="4FFD2493" w14:textId="77777777" w:rsidR="0050641B" w:rsidRPr="000B4E2C" w:rsidRDefault="0050641B" w:rsidP="0050641B">
      <w:pPr>
        <w:pStyle w:val="EndNoteBibliography"/>
        <w:rPr>
          <w:highlight w:val="green"/>
        </w:rPr>
      </w:pPr>
    </w:p>
    <w:p w14:paraId="3D70EBE0" w14:textId="77777777" w:rsidR="0050641B" w:rsidRPr="000B4E2C" w:rsidRDefault="0050641B" w:rsidP="0050641B">
      <w:pPr>
        <w:pStyle w:val="EndNoteBibliography"/>
        <w:rPr>
          <w:highlight w:val="green"/>
        </w:rPr>
      </w:pPr>
      <w:r w:rsidRPr="000B4E2C">
        <w:rPr>
          <w:highlight w:val="green"/>
        </w:rPr>
        <w:t>Doi K, Noiri E, Nangaku M, et al. Repulsive guidance cue semaphorin 3A in urine predicts the progression of acute kidney injury in adult patients from a mixed intensive care unit</w:t>
      </w:r>
      <w:r w:rsidRPr="000B4E2C">
        <w:rPr>
          <w:i/>
          <w:highlight w:val="green"/>
        </w:rPr>
        <w:t>. Nephrology Dialysis Transplantation</w:t>
      </w:r>
      <w:r w:rsidRPr="000B4E2C">
        <w:rPr>
          <w:highlight w:val="green"/>
        </w:rPr>
        <w:t xml:space="preserve"> 2014; 29(1), 73-80.</w:t>
      </w:r>
    </w:p>
    <w:p w14:paraId="3015CD5D" w14:textId="77777777" w:rsidR="0050641B" w:rsidRPr="000B4E2C" w:rsidRDefault="0050641B" w:rsidP="0050641B">
      <w:pPr>
        <w:pStyle w:val="EndNoteBibliography"/>
        <w:rPr>
          <w:highlight w:val="green"/>
        </w:rPr>
      </w:pPr>
    </w:p>
    <w:p w14:paraId="4F742C38" w14:textId="77777777" w:rsidR="0050641B" w:rsidRPr="000B4E2C" w:rsidRDefault="0050641B" w:rsidP="0050641B">
      <w:pPr>
        <w:pStyle w:val="EndNoteBibliography"/>
        <w:rPr>
          <w:highlight w:val="green"/>
        </w:rPr>
      </w:pPr>
      <w:r w:rsidRPr="000B4E2C">
        <w:rPr>
          <w:highlight w:val="green"/>
        </w:rPr>
        <w:t>Dong L, Ma Q, Bennett M, et al. Urinary biomarkers of cell cycle arrest are delayed predictors of acute kidney injury after pediatric cardiopulmonary bypass</w:t>
      </w:r>
      <w:r w:rsidRPr="000B4E2C">
        <w:rPr>
          <w:i/>
          <w:highlight w:val="green"/>
        </w:rPr>
        <w:t>. Pediatric Nephrology</w:t>
      </w:r>
      <w:r w:rsidRPr="000B4E2C">
        <w:rPr>
          <w:highlight w:val="green"/>
        </w:rPr>
        <w:t xml:space="preserve"> 2017; 32(12), 2351-60.</w:t>
      </w:r>
    </w:p>
    <w:p w14:paraId="36D14C77" w14:textId="77777777" w:rsidR="0050641B" w:rsidRPr="000B4E2C" w:rsidRDefault="0050641B" w:rsidP="0050641B">
      <w:pPr>
        <w:pStyle w:val="EndNoteBibliography"/>
        <w:rPr>
          <w:highlight w:val="green"/>
        </w:rPr>
      </w:pPr>
    </w:p>
    <w:p w14:paraId="166F4F32" w14:textId="77777777" w:rsidR="0050641B" w:rsidRPr="000B4E2C" w:rsidRDefault="0050641B" w:rsidP="0050641B">
      <w:pPr>
        <w:pStyle w:val="EndNoteBibliography"/>
        <w:rPr>
          <w:highlight w:val="green"/>
        </w:rPr>
      </w:pPr>
      <w:r w:rsidRPr="000B4E2C">
        <w:rPr>
          <w:highlight w:val="green"/>
        </w:rPr>
        <w:t>Dupont M, Shrestha K, Singh D, et al. Lack of significant renal tubular injury despite acute kidney injury in acute decompensated heart failure</w:t>
      </w:r>
      <w:r w:rsidRPr="000B4E2C">
        <w:rPr>
          <w:i/>
          <w:highlight w:val="green"/>
        </w:rPr>
        <w:t>. European Journal of Heart Failure</w:t>
      </w:r>
      <w:r w:rsidRPr="000B4E2C">
        <w:rPr>
          <w:highlight w:val="green"/>
        </w:rPr>
        <w:t xml:space="preserve"> 2012; 14(6), 597-604.</w:t>
      </w:r>
    </w:p>
    <w:p w14:paraId="473DDC19" w14:textId="77777777" w:rsidR="0050641B" w:rsidRPr="000B4E2C" w:rsidRDefault="0050641B" w:rsidP="0050641B">
      <w:pPr>
        <w:pStyle w:val="EndNoteBibliography"/>
        <w:rPr>
          <w:highlight w:val="green"/>
        </w:rPr>
      </w:pPr>
    </w:p>
    <w:p w14:paraId="2B3187FF" w14:textId="77777777" w:rsidR="0050641B" w:rsidRPr="000B4E2C" w:rsidRDefault="0050641B" w:rsidP="0050641B">
      <w:pPr>
        <w:pStyle w:val="EndNoteBibliography"/>
        <w:rPr>
          <w:highlight w:val="green"/>
        </w:rPr>
      </w:pPr>
      <w:r w:rsidRPr="000B4E2C">
        <w:rPr>
          <w:highlight w:val="green"/>
        </w:rPr>
        <w:t>Garcia-Alvarez M, Glassford NJ, Betbese AJ, et al. Urinary Neutrophil Gelatinase-Associated Lipocalin as Predictor of Short- or Long-Term Outcomes in Cardiac Surgery Patients</w:t>
      </w:r>
      <w:r w:rsidRPr="000B4E2C">
        <w:rPr>
          <w:i/>
          <w:highlight w:val="green"/>
        </w:rPr>
        <w:t>. Journal of Cardiothoracic and Vascular Anesthesia</w:t>
      </w:r>
      <w:r w:rsidRPr="000B4E2C">
        <w:rPr>
          <w:highlight w:val="green"/>
        </w:rPr>
        <w:t xml:space="preserve"> 2015; 29(6), 1480-8.</w:t>
      </w:r>
    </w:p>
    <w:p w14:paraId="263AFE1B" w14:textId="77777777" w:rsidR="0050641B" w:rsidRPr="000B4E2C" w:rsidRDefault="0050641B" w:rsidP="0050641B">
      <w:pPr>
        <w:pStyle w:val="EndNoteBibliography"/>
        <w:rPr>
          <w:highlight w:val="green"/>
        </w:rPr>
      </w:pPr>
    </w:p>
    <w:p w14:paraId="40331BB0" w14:textId="77777777" w:rsidR="0050641B" w:rsidRPr="000B4E2C" w:rsidRDefault="0050641B" w:rsidP="0050641B">
      <w:pPr>
        <w:pStyle w:val="EndNoteBibliography"/>
        <w:rPr>
          <w:highlight w:val="green"/>
        </w:rPr>
      </w:pPr>
      <w:r w:rsidRPr="000B4E2C">
        <w:rPr>
          <w:highlight w:val="green"/>
        </w:rPr>
        <w:t>Gayat E, Touchard C, Hollinger A, et al. Back-to-back comparison of penKID with NephroCheck to predict acute kidney injury at admission in intensive care unit: A brief report</w:t>
      </w:r>
      <w:r w:rsidRPr="000B4E2C">
        <w:rPr>
          <w:i/>
          <w:highlight w:val="green"/>
        </w:rPr>
        <w:t>. Critical Care</w:t>
      </w:r>
      <w:r w:rsidRPr="000B4E2C">
        <w:rPr>
          <w:highlight w:val="green"/>
        </w:rPr>
        <w:t xml:space="preserve"> 2018; 22(1), 24.</w:t>
      </w:r>
    </w:p>
    <w:p w14:paraId="03BA0C87" w14:textId="77777777" w:rsidR="0050641B" w:rsidRPr="000B4E2C" w:rsidRDefault="0050641B" w:rsidP="0050641B">
      <w:pPr>
        <w:pStyle w:val="EndNoteBibliography"/>
        <w:rPr>
          <w:highlight w:val="green"/>
        </w:rPr>
      </w:pPr>
    </w:p>
    <w:p w14:paraId="137F4580" w14:textId="77777777" w:rsidR="0050641B" w:rsidRPr="000B4E2C" w:rsidRDefault="0050641B" w:rsidP="0050641B">
      <w:pPr>
        <w:pStyle w:val="EndNoteBibliography"/>
        <w:rPr>
          <w:highlight w:val="green"/>
        </w:rPr>
      </w:pPr>
      <w:r w:rsidRPr="000B4E2C">
        <w:rPr>
          <w:highlight w:val="green"/>
        </w:rPr>
        <w:lastRenderedPageBreak/>
        <w:t>Haase M, Bellomo R, Albert C, et al. The identification of three novel biomarkers of major adverse kidney events</w:t>
      </w:r>
      <w:r w:rsidRPr="000B4E2C">
        <w:rPr>
          <w:i/>
          <w:highlight w:val="green"/>
        </w:rPr>
        <w:t>. Biomarkers in Medicine</w:t>
      </w:r>
      <w:r w:rsidRPr="000B4E2C">
        <w:rPr>
          <w:highlight w:val="green"/>
        </w:rPr>
        <w:t xml:space="preserve"> 2014; 8(10), 1207-17.</w:t>
      </w:r>
    </w:p>
    <w:p w14:paraId="149A0AA8" w14:textId="77777777" w:rsidR="0050641B" w:rsidRPr="000B4E2C" w:rsidRDefault="0050641B" w:rsidP="0050641B">
      <w:pPr>
        <w:pStyle w:val="EndNoteBibliography"/>
        <w:rPr>
          <w:highlight w:val="green"/>
        </w:rPr>
      </w:pPr>
    </w:p>
    <w:p w14:paraId="7497899F" w14:textId="77777777" w:rsidR="0050641B" w:rsidRPr="000B4E2C" w:rsidRDefault="0050641B" w:rsidP="0050641B">
      <w:pPr>
        <w:pStyle w:val="EndNoteBibliography"/>
        <w:rPr>
          <w:highlight w:val="green"/>
        </w:rPr>
      </w:pPr>
      <w:r w:rsidRPr="000B4E2C">
        <w:rPr>
          <w:highlight w:val="green"/>
        </w:rPr>
        <w:t>Hjortrup PB, Haase N, Treschow F, et al. Predictive value of NGAL for use of renal replacement therapy in patients with severe sepsis</w:t>
      </w:r>
      <w:r w:rsidRPr="000B4E2C">
        <w:rPr>
          <w:i/>
          <w:highlight w:val="green"/>
        </w:rPr>
        <w:t>. Acta Anaesthesiologica Scandinavica</w:t>
      </w:r>
      <w:r w:rsidRPr="000B4E2C">
        <w:rPr>
          <w:highlight w:val="green"/>
        </w:rPr>
        <w:t xml:space="preserve"> 2015; 59(1), 25-34.</w:t>
      </w:r>
    </w:p>
    <w:p w14:paraId="74879A9C" w14:textId="77777777" w:rsidR="0050641B" w:rsidRPr="000B4E2C" w:rsidRDefault="0050641B" w:rsidP="0050641B">
      <w:pPr>
        <w:pStyle w:val="EndNoteBibliography"/>
        <w:rPr>
          <w:highlight w:val="green"/>
        </w:rPr>
      </w:pPr>
    </w:p>
    <w:p w14:paraId="11434AA3" w14:textId="77777777" w:rsidR="0050641B" w:rsidRPr="000B4E2C" w:rsidRDefault="0050641B" w:rsidP="0050641B">
      <w:pPr>
        <w:pStyle w:val="EndNoteBibliography"/>
        <w:rPr>
          <w:highlight w:val="green"/>
        </w:rPr>
      </w:pPr>
      <w:r w:rsidRPr="000B4E2C">
        <w:rPr>
          <w:highlight w:val="green"/>
        </w:rPr>
        <w:t>Hoste EAJ, McCullough PA, Kashani K, et al. Derivation and validation of cutoffs for clinical use of cell cycle arrest biomarkers</w:t>
      </w:r>
      <w:r w:rsidRPr="000B4E2C">
        <w:rPr>
          <w:i/>
          <w:highlight w:val="green"/>
        </w:rPr>
        <w:t>. Nephrology Dialysis Transplantation</w:t>
      </w:r>
      <w:r w:rsidRPr="000B4E2C">
        <w:rPr>
          <w:highlight w:val="green"/>
        </w:rPr>
        <w:t xml:space="preserve"> 2014; 29(11), 2054-61.</w:t>
      </w:r>
    </w:p>
    <w:p w14:paraId="5D92FB59" w14:textId="77777777" w:rsidR="0050641B" w:rsidRPr="000B4E2C" w:rsidRDefault="0050641B" w:rsidP="0050641B">
      <w:pPr>
        <w:pStyle w:val="EndNoteBibliography"/>
        <w:rPr>
          <w:highlight w:val="green"/>
        </w:rPr>
      </w:pPr>
    </w:p>
    <w:p w14:paraId="6AC15EA5" w14:textId="77777777" w:rsidR="0050641B" w:rsidRPr="000B4E2C" w:rsidRDefault="0050641B" w:rsidP="0050641B">
      <w:pPr>
        <w:pStyle w:val="EndNoteBibliography"/>
        <w:rPr>
          <w:highlight w:val="green"/>
        </w:rPr>
      </w:pPr>
      <w:r w:rsidRPr="000B4E2C">
        <w:rPr>
          <w:highlight w:val="green"/>
        </w:rPr>
        <w:t>Isshiki R, Asada T, Sumida M, et al. Modest impact of serial measurements of acute kidney injury biomarkers in an adult intensive care unit</w:t>
      </w:r>
      <w:r w:rsidRPr="000B4E2C">
        <w:rPr>
          <w:i/>
          <w:highlight w:val="green"/>
        </w:rPr>
        <w:t>. Nephron</w:t>
      </w:r>
      <w:r w:rsidRPr="000B4E2C">
        <w:rPr>
          <w:highlight w:val="green"/>
        </w:rPr>
        <w:t xml:space="preserve"> 2018; 139(3), 243-53.</w:t>
      </w:r>
    </w:p>
    <w:p w14:paraId="1758CD90" w14:textId="77777777" w:rsidR="0050641B" w:rsidRPr="000B4E2C" w:rsidRDefault="0050641B" w:rsidP="0050641B">
      <w:pPr>
        <w:pStyle w:val="EndNoteBibliography"/>
        <w:rPr>
          <w:highlight w:val="green"/>
        </w:rPr>
      </w:pPr>
    </w:p>
    <w:p w14:paraId="44D2DD30" w14:textId="77777777" w:rsidR="0050641B" w:rsidRPr="000B4E2C" w:rsidRDefault="0050641B" w:rsidP="0050641B">
      <w:pPr>
        <w:pStyle w:val="EndNoteBibliography"/>
        <w:rPr>
          <w:highlight w:val="green"/>
        </w:rPr>
      </w:pPr>
      <w:r w:rsidRPr="000B4E2C">
        <w:rPr>
          <w:highlight w:val="green"/>
        </w:rPr>
        <w:t>Jaques DA, Spahr L, Berra G, et al. Biomarkers for acute kidney injury in decompensated cirrhosis: A prospective study</w:t>
      </w:r>
      <w:r w:rsidRPr="000B4E2C">
        <w:rPr>
          <w:i/>
          <w:highlight w:val="green"/>
        </w:rPr>
        <w:t>. Nephrology</w:t>
      </w:r>
      <w:r w:rsidRPr="000B4E2C">
        <w:rPr>
          <w:highlight w:val="green"/>
        </w:rPr>
        <w:t xml:space="preserve"> 2019; 24(2), 170-80.</w:t>
      </w:r>
    </w:p>
    <w:p w14:paraId="687C460A" w14:textId="77777777" w:rsidR="0050641B" w:rsidRPr="000B4E2C" w:rsidRDefault="0050641B" w:rsidP="0050641B">
      <w:pPr>
        <w:pStyle w:val="EndNoteBibliography"/>
        <w:rPr>
          <w:highlight w:val="green"/>
        </w:rPr>
      </w:pPr>
    </w:p>
    <w:p w14:paraId="0297D20A" w14:textId="77777777" w:rsidR="0050641B" w:rsidRPr="000B4E2C" w:rsidRDefault="0050641B" w:rsidP="0050641B">
      <w:pPr>
        <w:pStyle w:val="EndNoteBibliography"/>
        <w:rPr>
          <w:highlight w:val="green"/>
        </w:rPr>
      </w:pPr>
      <w:r w:rsidRPr="000B4E2C">
        <w:rPr>
          <w:highlight w:val="green"/>
        </w:rPr>
        <w:t>Kashani K, Al-Khafaji A, Ardiles T, et al. Discovery and validation of cell cycle arrest biomarkers in human acute kidney injury</w:t>
      </w:r>
      <w:r w:rsidRPr="000B4E2C">
        <w:rPr>
          <w:i/>
          <w:highlight w:val="green"/>
        </w:rPr>
        <w:t>. Critical Care</w:t>
      </w:r>
      <w:r w:rsidRPr="000B4E2C">
        <w:rPr>
          <w:highlight w:val="green"/>
        </w:rPr>
        <w:t xml:space="preserve"> 2013; 17(1), R25.</w:t>
      </w:r>
    </w:p>
    <w:p w14:paraId="15618C66" w14:textId="77777777" w:rsidR="0050641B" w:rsidRPr="000B4E2C" w:rsidRDefault="0050641B" w:rsidP="0050641B">
      <w:pPr>
        <w:pStyle w:val="EndNoteBibliography"/>
        <w:rPr>
          <w:highlight w:val="green"/>
        </w:rPr>
      </w:pPr>
    </w:p>
    <w:p w14:paraId="5A53D276" w14:textId="77777777" w:rsidR="0050641B" w:rsidRPr="000B4E2C" w:rsidRDefault="0050641B" w:rsidP="0050641B">
      <w:pPr>
        <w:pStyle w:val="EndNoteBibliography"/>
        <w:rPr>
          <w:highlight w:val="green"/>
        </w:rPr>
      </w:pPr>
      <w:r w:rsidRPr="000B4E2C">
        <w:rPr>
          <w:highlight w:val="green"/>
        </w:rPr>
        <w:t>Kimmel M, Shi J, Latus J, et al. Association of renal stress/damage and filtration biomarkers with subsequent AKI during hospitalization among patients presenting to the emergency department</w:t>
      </w:r>
      <w:r w:rsidRPr="000B4E2C">
        <w:rPr>
          <w:i/>
          <w:highlight w:val="green"/>
        </w:rPr>
        <w:t>. Clinical Journal of the American Society of Nephrology</w:t>
      </w:r>
      <w:r w:rsidRPr="000B4E2C">
        <w:rPr>
          <w:highlight w:val="green"/>
        </w:rPr>
        <w:t xml:space="preserve"> 2016; 11(6), 938-46.</w:t>
      </w:r>
    </w:p>
    <w:p w14:paraId="5CBDEC8E" w14:textId="77777777" w:rsidR="0050641B" w:rsidRPr="000B4E2C" w:rsidRDefault="0050641B" w:rsidP="0050641B">
      <w:pPr>
        <w:pStyle w:val="EndNoteBibliography"/>
        <w:rPr>
          <w:highlight w:val="green"/>
        </w:rPr>
      </w:pPr>
    </w:p>
    <w:p w14:paraId="7D28EECE" w14:textId="77777777" w:rsidR="0050641B" w:rsidRPr="000B4E2C" w:rsidRDefault="0050641B" w:rsidP="0050641B">
      <w:pPr>
        <w:pStyle w:val="EndNoteBibliography"/>
        <w:rPr>
          <w:highlight w:val="green"/>
        </w:rPr>
      </w:pPr>
      <w:r w:rsidRPr="000B4E2C">
        <w:rPr>
          <w:highlight w:val="green"/>
        </w:rPr>
        <w:t>Kokkoris S, Parisi M, Ioannidou S, et al. Combination of renal biomarkers predicts acute kidney injury in critically ill adults</w:t>
      </w:r>
      <w:r w:rsidRPr="000B4E2C">
        <w:rPr>
          <w:i/>
          <w:highlight w:val="green"/>
        </w:rPr>
        <w:t>. Renal Failure</w:t>
      </w:r>
      <w:r w:rsidRPr="000B4E2C">
        <w:rPr>
          <w:highlight w:val="green"/>
        </w:rPr>
        <w:t xml:space="preserve"> 2012; 34(9), 1100-8.</w:t>
      </w:r>
    </w:p>
    <w:p w14:paraId="265E5245" w14:textId="77777777" w:rsidR="0050641B" w:rsidRPr="000B4E2C" w:rsidRDefault="0050641B" w:rsidP="0050641B">
      <w:pPr>
        <w:pStyle w:val="EndNoteBibliography"/>
        <w:rPr>
          <w:highlight w:val="green"/>
        </w:rPr>
      </w:pPr>
    </w:p>
    <w:p w14:paraId="0B86D73E" w14:textId="77777777" w:rsidR="0050641B" w:rsidRPr="000B4E2C" w:rsidRDefault="0050641B" w:rsidP="0050641B">
      <w:pPr>
        <w:pStyle w:val="EndNoteBibliography"/>
        <w:rPr>
          <w:highlight w:val="green"/>
        </w:rPr>
      </w:pPr>
      <w:r w:rsidRPr="000B4E2C">
        <w:rPr>
          <w:highlight w:val="green"/>
        </w:rPr>
        <w:t>Lagos-Arevalo P, Palijan A, Vertullo L, et al. Cystatin C in acute kidney injury diagnosis: early biomarker or alternative to serum creatinine?</w:t>
      </w:r>
      <w:r w:rsidRPr="000B4E2C">
        <w:rPr>
          <w:i/>
          <w:highlight w:val="green"/>
        </w:rPr>
        <w:t xml:space="preserve"> Pediatric Nephrology</w:t>
      </w:r>
      <w:r w:rsidRPr="000B4E2C">
        <w:rPr>
          <w:highlight w:val="green"/>
        </w:rPr>
        <w:t xml:space="preserve"> 2015; 30(4), 665-76.</w:t>
      </w:r>
    </w:p>
    <w:p w14:paraId="4EFC2583" w14:textId="77777777" w:rsidR="0050641B" w:rsidRPr="000B4E2C" w:rsidRDefault="0050641B" w:rsidP="0050641B">
      <w:pPr>
        <w:pStyle w:val="EndNoteBibliography"/>
        <w:rPr>
          <w:highlight w:val="green"/>
        </w:rPr>
      </w:pPr>
    </w:p>
    <w:p w14:paraId="3A37F113" w14:textId="77777777" w:rsidR="0050641B" w:rsidRPr="000B4E2C" w:rsidRDefault="0050641B" w:rsidP="0050641B">
      <w:pPr>
        <w:pStyle w:val="EndNoteBibliography"/>
        <w:rPr>
          <w:highlight w:val="green"/>
        </w:rPr>
      </w:pPr>
      <w:r w:rsidRPr="000B4E2C">
        <w:rPr>
          <w:highlight w:val="green"/>
        </w:rPr>
        <w:t>Lee DH, Lee BK, Cho YS, et al. Plasma neutrophil gelatinase-associated lipocalin measured immediately after restoration of spontaneous circulation predicts acute kidney injury in cardiac arrest survivors who underwent therapeutic hypothermia</w:t>
      </w:r>
      <w:r w:rsidRPr="000B4E2C">
        <w:rPr>
          <w:i/>
          <w:highlight w:val="green"/>
        </w:rPr>
        <w:t>. Therapeutic Hypothermia and Temperature Management</w:t>
      </w:r>
      <w:r w:rsidRPr="000B4E2C">
        <w:rPr>
          <w:highlight w:val="green"/>
        </w:rPr>
        <w:t xml:space="preserve"> 2018; 8(2), 99-107.</w:t>
      </w:r>
    </w:p>
    <w:p w14:paraId="0F28419E" w14:textId="77777777" w:rsidR="0050641B" w:rsidRPr="000B4E2C" w:rsidRDefault="0050641B" w:rsidP="0050641B">
      <w:pPr>
        <w:pStyle w:val="EndNoteBibliography"/>
        <w:rPr>
          <w:highlight w:val="green"/>
        </w:rPr>
      </w:pPr>
    </w:p>
    <w:p w14:paraId="166A0A77" w14:textId="77777777" w:rsidR="0050641B" w:rsidRPr="000B4E2C" w:rsidRDefault="0050641B" w:rsidP="0050641B">
      <w:pPr>
        <w:pStyle w:val="EndNoteBibliography"/>
        <w:rPr>
          <w:highlight w:val="green"/>
        </w:rPr>
      </w:pPr>
      <w:r w:rsidRPr="000B4E2C">
        <w:rPr>
          <w:highlight w:val="green"/>
        </w:rPr>
        <w:t>Liebetrau C, Dorr O, Baumgarten H, et al. Neutrophil gelatinase-associated lipocalin (NGAL) for the early detection of cardiac surgery associated acute kidney injury</w:t>
      </w:r>
      <w:r w:rsidRPr="000B4E2C">
        <w:rPr>
          <w:i/>
          <w:highlight w:val="green"/>
        </w:rPr>
        <w:t>. Scandinavian Journal of Clinical and Laboratory Investigation</w:t>
      </w:r>
      <w:r w:rsidRPr="000B4E2C">
        <w:rPr>
          <w:highlight w:val="green"/>
        </w:rPr>
        <w:t xml:space="preserve"> 2013; 73(5), 392-9.</w:t>
      </w:r>
    </w:p>
    <w:p w14:paraId="7D203651" w14:textId="77777777" w:rsidR="0050641B" w:rsidRPr="000B4E2C" w:rsidRDefault="0050641B" w:rsidP="0050641B">
      <w:pPr>
        <w:pStyle w:val="EndNoteBibliography"/>
        <w:rPr>
          <w:highlight w:val="green"/>
        </w:rPr>
      </w:pPr>
    </w:p>
    <w:p w14:paraId="57D0BF61" w14:textId="77777777" w:rsidR="0050641B" w:rsidRPr="000B4E2C" w:rsidRDefault="0050641B" w:rsidP="0050641B">
      <w:pPr>
        <w:pStyle w:val="EndNoteBibliography"/>
        <w:rPr>
          <w:highlight w:val="green"/>
        </w:rPr>
      </w:pPr>
      <w:r w:rsidRPr="000B4E2C">
        <w:rPr>
          <w:highlight w:val="green"/>
        </w:rPr>
        <w:t>Marino R, Struck J, Hartmann O, et al. Diagnostic and short-term prognostic utility of plasma pro-enkephalin (pro-ENK) for acute kidney injury in patients admitted with sepsis in the emergency department</w:t>
      </w:r>
      <w:r w:rsidRPr="000B4E2C">
        <w:rPr>
          <w:i/>
          <w:highlight w:val="green"/>
        </w:rPr>
        <w:t>. Journal of Nephrology</w:t>
      </w:r>
      <w:r w:rsidRPr="000B4E2C">
        <w:rPr>
          <w:highlight w:val="green"/>
        </w:rPr>
        <w:t xml:space="preserve"> 2015; 28(6), 717-24.</w:t>
      </w:r>
    </w:p>
    <w:p w14:paraId="7E4AD31D" w14:textId="77777777" w:rsidR="0050641B" w:rsidRPr="000B4E2C" w:rsidRDefault="0050641B" w:rsidP="0050641B">
      <w:pPr>
        <w:pStyle w:val="EndNoteBibliography"/>
        <w:rPr>
          <w:highlight w:val="green"/>
        </w:rPr>
      </w:pPr>
    </w:p>
    <w:p w14:paraId="1791E870" w14:textId="77777777" w:rsidR="0050641B" w:rsidRPr="000B4E2C" w:rsidRDefault="0050641B" w:rsidP="0050641B">
      <w:pPr>
        <w:pStyle w:val="EndNoteBibliography"/>
        <w:rPr>
          <w:highlight w:val="green"/>
        </w:rPr>
      </w:pPr>
      <w:r w:rsidRPr="000B4E2C">
        <w:rPr>
          <w:highlight w:val="green"/>
        </w:rPr>
        <w:t>Martensson J, Glassford NJ, Jones S, et al. Urinary neutrophil gelatinase-associated lipocalin to hepcidin ratio as a biomarker of acute kidney injury in intensive care unit patients</w:t>
      </w:r>
      <w:r w:rsidRPr="000B4E2C">
        <w:rPr>
          <w:i/>
          <w:highlight w:val="green"/>
        </w:rPr>
        <w:t>. Minerva Anestesiologica</w:t>
      </w:r>
      <w:r w:rsidRPr="000B4E2C">
        <w:rPr>
          <w:highlight w:val="green"/>
        </w:rPr>
        <w:t xml:space="preserve"> 2015; 81(11), 1192-200.</w:t>
      </w:r>
    </w:p>
    <w:p w14:paraId="538ECF8D" w14:textId="77777777" w:rsidR="0050641B" w:rsidRPr="000B4E2C" w:rsidRDefault="0050641B" w:rsidP="0050641B">
      <w:pPr>
        <w:pStyle w:val="EndNoteBibliography"/>
        <w:rPr>
          <w:highlight w:val="green"/>
        </w:rPr>
      </w:pPr>
    </w:p>
    <w:p w14:paraId="28BD3D46" w14:textId="77777777" w:rsidR="0050641B" w:rsidRPr="000B4E2C" w:rsidRDefault="0050641B" w:rsidP="0050641B">
      <w:pPr>
        <w:pStyle w:val="EndNoteBibliography"/>
        <w:rPr>
          <w:highlight w:val="green"/>
        </w:rPr>
      </w:pPr>
      <w:r w:rsidRPr="000B4E2C">
        <w:rPr>
          <w:highlight w:val="green"/>
        </w:rPr>
        <w:t>Matsa R, Ashley E, Sharma V, et al. Plasma and urine neutrophil gelatinase-associated lipocalin in the diagnosis of new onset acute kidney injury in critically ill patients</w:t>
      </w:r>
      <w:r w:rsidRPr="000B4E2C">
        <w:rPr>
          <w:i/>
          <w:highlight w:val="green"/>
        </w:rPr>
        <w:t>. Critical Care</w:t>
      </w:r>
      <w:r w:rsidRPr="000B4E2C">
        <w:rPr>
          <w:highlight w:val="green"/>
        </w:rPr>
        <w:t xml:space="preserve"> 2014; 18(4), R137.</w:t>
      </w:r>
    </w:p>
    <w:p w14:paraId="7EE4733A" w14:textId="77777777" w:rsidR="0050641B" w:rsidRPr="000B4E2C" w:rsidRDefault="0050641B" w:rsidP="0050641B">
      <w:pPr>
        <w:pStyle w:val="EndNoteBibliography"/>
        <w:rPr>
          <w:highlight w:val="green"/>
        </w:rPr>
      </w:pPr>
    </w:p>
    <w:p w14:paraId="1D257F3E" w14:textId="72D4D5F5" w:rsidR="0050641B" w:rsidRPr="000B4E2C" w:rsidRDefault="0050641B" w:rsidP="0050641B">
      <w:pPr>
        <w:pStyle w:val="EndNoteBibliography"/>
        <w:rPr>
          <w:highlight w:val="green"/>
        </w:rPr>
      </w:pPr>
      <w:r w:rsidRPr="000B4E2C">
        <w:rPr>
          <w:highlight w:val="green"/>
        </w:rPr>
        <w:t>Nickolas TL, O</w:t>
      </w:r>
      <w:r w:rsidR="0072128A" w:rsidRPr="000B4E2C">
        <w:rPr>
          <w:color w:val="00B0F0"/>
          <w:highlight w:val="green"/>
        </w:rPr>
        <w:t>’</w:t>
      </w:r>
      <w:r w:rsidRPr="000B4E2C">
        <w:rPr>
          <w:highlight w:val="green"/>
        </w:rPr>
        <w:t>Rourke MJ, Yang J, et al. Sensitivity and specificity of a single emergency department measurement of urinary neutrophil gelatinase-associated lipocalin for diagnosing acute kidney injury</w:t>
      </w:r>
      <w:r w:rsidRPr="000B4E2C">
        <w:rPr>
          <w:i/>
          <w:highlight w:val="green"/>
        </w:rPr>
        <w:t>. Annals of Internal Medicine</w:t>
      </w:r>
      <w:r w:rsidRPr="000B4E2C">
        <w:rPr>
          <w:highlight w:val="green"/>
        </w:rPr>
        <w:t xml:space="preserve"> 2008; 148(11), 810-9.</w:t>
      </w:r>
    </w:p>
    <w:p w14:paraId="428F3B13" w14:textId="77777777" w:rsidR="0050641B" w:rsidRPr="000B4E2C" w:rsidRDefault="0050641B" w:rsidP="0050641B">
      <w:pPr>
        <w:pStyle w:val="EndNoteBibliography"/>
        <w:rPr>
          <w:highlight w:val="green"/>
        </w:rPr>
      </w:pPr>
    </w:p>
    <w:p w14:paraId="0BDA21AC" w14:textId="77777777" w:rsidR="0050641B" w:rsidRPr="000B4E2C" w:rsidRDefault="0050641B" w:rsidP="0050641B">
      <w:pPr>
        <w:pStyle w:val="EndNoteBibliography"/>
        <w:rPr>
          <w:highlight w:val="green"/>
        </w:rPr>
      </w:pPr>
      <w:r w:rsidRPr="000B4E2C">
        <w:rPr>
          <w:highlight w:val="green"/>
        </w:rPr>
        <w:t>Nickolas TL, Schmidt-Ott KM, Canetta P, et al. Diagnostic and prognostic stratification in the emergency department using urinary biomarkers of nephron damage: A multicenter prospective cohort study</w:t>
      </w:r>
      <w:r w:rsidRPr="000B4E2C">
        <w:rPr>
          <w:i/>
          <w:highlight w:val="green"/>
        </w:rPr>
        <w:t>. Journal of the American College of Cardiology</w:t>
      </w:r>
      <w:r w:rsidRPr="000B4E2C">
        <w:rPr>
          <w:highlight w:val="green"/>
        </w:rPr>
        <w:t xml:space="preserve"> 2012; 59(3), 246-55.</w:t>
      </w:r>
    </w:p>
    <w:p w14:paraId="4A4A67D3" w14:textId="77777777" w:rsidR="0050641B" w:rsidRPr="000B4E2C" w:rsidRDefault="0050641B" w:rsidP="0050641B">
      <w:pPr>
        <w:pStyle w:val="EndNoteBibliography"/>
        <w:rPr>
          <w:highlight w:val="green"/>
        </w:rPr>
      </w:pPr>
    </w:p>
    <w:p w14:paraId="237DE72A" w14:textId="77777777" w:rsidR="0050641B" w:rsidRPr="000B4E2C" w:rsidRDefault="0050641B" w:rsidP="0050641B">
      <w:pPr>
        <w:pStyle w:val="EndNoteBibliography"/>
        <w:rPr>
          <w:highlight w:val="green"/>
        </w:rPr>
      </w:pPr>
      <w:r w:rsidRPr="000B4E2C">
        <w:rPr>
          <w:highlight w:val="green"/>
        </w:rPr>
        <w:t>Nisula S, Yang R, Vaara ST, et al. Predictive value of urine interleukin-18 in the evolution and outcome of acute kidney injury in critically ill adult patients</w:t>
      </w:r>
      <w:r w:rsidRPr="000B4E2C">
        <w:rPr>
          <w:i/>
          <w:highlight w:val="green"/>
        </w:rPr>
        <w:t>. British Journal of Anaesthesia</w:t>
      </w:r>
      <w:r w:rsidRPr="000B4E2C">
        <w:rPr>
          <w:highlight w:val="green"/>
        </w:rPr>
        <w:t xml:space="preserve"> 2015; 114(3), 460-8.</w:t>
      </w:r>
    </w:p>
    <w:p w14:paraId="301A041C" w14:textId="77777777" w:rsidR="0050641B" w:rsidRPr="000B4E2C" w:rsidRDefault="0050641B" w:rsidP="0050641B">
      <w:pPr>
        <w:pStyle w:val="EndNoteBibliography"/>
        <w:rPr>
          <w:highlight w:val="green"/>
        </w:rPr>
      </w:pPr>
    </w:p>
    <w:p w14:paraId="711C7571" w14:textId="77777777" w:rsidR="0050641B" w:rsidRPr="000B4E2C" w:rsidRDefault="0050641B" w:rsidP="0050641B">
      <w:pPr>
        <w:pStyle w:val="EndNoteBibliography"/>
        <w:rPr>
          <w:highlight w:val="green"/>
        </w:rPr>
      </w:pPr>
      <w:r w:rsidRPr="000B4E2C">
        <w:rPr>
          <w:highlight w:val="green"/>
        </w:rPr>
        <w:t>Parikh CR, Coca SG, Thiessen-Philbrook H, et al. Postoperative biomarkers predict acute kidney injury and poor outcomes after adult cardiac surgery</w:t>
      </w:r>
      <w:r w:rsidRPr="000B4E2C">
        <w:rPr>
          <w:i/>
          <w:highlight w:val="green"/>
        </w:rPr>
        <w:t>. Journal of the American Society of Nephrology</w:t>
      </w:r>
      <w:r w:rsidRPr="000B4E2C">
        <w:rPr>
          <w:highlight w:val="green"/>
        </w:rPr>
        <w:t xml:space="preserve"> 2011; 22(9), 1748-57.</w:t>
      </w:r>
    </w:p>
    <w:p w14:paraId="6BD276FF" w14:textId="77777777" w:rsidR="0050641B" w:rsidRPr="000B4E2C" w:rsidRDefault="0050641B" w:rsidP="0050641B">
      <w:pPr>
        <w:pStyle w:val="EndNoteBibliography"/>
        <w:rPr>
          <w:highlight w:val="green"/>
        </w:rPr>
      </w:pPr>
    </w:p>
    <w:p w14:paraId="042BF3BA" w14:textId="77777777" w:rsidR="0050641B" w:rsidRPr="000B4E2C" w:rsidRDefault="0050641B" w:rsidP="0050641B">
      <w:pPr>
        <w:pStyle w:val="EndNoteBibliography"/>
        <w:rPr>
          <w:highlight w:val="green"/>
        </w:rPr>
      </w:pPr>
      <w:r w:rsidRPr="000B4E2C">
        <w:rPr>
          <w:highlight w:val="green"/>
        </w:rPr>
        <w:t>Parikh CR, Devarajan P, Zappitelli M, et al. Postoperative biomarkers predict acute kidney injury and poor outcomes after pediatric cardiac surgery</w:t>
      </w:r>
      <w:r w:rsidRPr="000B4E2C">
        <w:rPr>
          <w:i/>
          <w:highlight w:val="green"/>
        </w:rPr>
        <w:t>. Journal of the American Society of Nephrology</w:t>
      </w:r>
      <w:r w:rsidRPr="000B4E2C">
        <w:rPr>
          <w:highlight w:val="green"/>
        </w:rPr>
        <w:t xml:space="preserve"> 2011; 22(9), 1737-47.</w:t>
      </w:r>
    </w:p>
    <w:p w14:paraId="2531C704" w14:textId="77777777" w:rsidR="0050641B" w:rsidRPr="000B4E2C" w:rsidRDefault="0050641B" w:rsidP="0050641B">
      <w:pPr>
        <w:pStyle w:val="EndNoteBibliography"/>
        <w:rPr>
          <w:highlight w:val="green"/>
        </w:rPr>
      </w:pPr>
    </w:p>
    <w:p w14:paraId="01ACB0E2" w14:textId="77777777" w:rsidR="0050641B" w:rsidRPr="000B4E2C" w:rsidRDefault="0050641B" w:rsidP="0050641B">
      <w:pPr>
        <w:pStyle w:val="EndNoteBibliography"/>
        <w:rPr>
          <w:highlight w:val="green"/>
        </w:rPr>
      </w:pPr>
      <w:r w:rsidRPr="000B4E2C">
        <w:rPr>
          <w:highlight w:val="green"/>
        </w:rPr>
        <w:t>Schley G, Koberle C, Manuilova E, et al. Comparison of plasma and urine biomarker performance in acute kidney injury</w:t>
      </w:r>
      <w:r w:rsidRPr="000B4E2C">
        <w:rPr>
          <w:i/>
          <w:highlight w:val="green"/>
        </w:rPr>
        <w:t>. PLoS ONE</w:t>
      </w:r>
      <w:r w:rsidRPr="000B4E2C">
        <w:rPr>
          <w:highlight w:val="green"/>
        </w:rPr>
        <w:t xml:space="preserve"> 2015; 10(12), e0145042.</w:t>
      </w:r>
    </w:p>
    <w:p w14:paraId="590A8C11" w14:textId="77777777" w:rsidR="0050641B" w:rsidRPr="000B4E2C" w:rsidRDefault="0050641B" w:rsidP="0050641B">
      <w:pPr>
        <w:pStyle w:val="EndNoteBibliography"/>
        <w:rPr>
          <w:highlight w:val="green"/>
        </w:rPr>
      </w:pPr>
    </w:p>
    <w:p w14:paraId="04AC4A57" w14:textId="77777777" w:rsidR="0050641B" w:rsidRPr="000B4E2C" w:rsidRDefault="0050641B" w:rsidP="0050641B">
      <w:pPr>
        <w:pStyle w:val="EndNoteBibliography"/>
        <w:rPr>
          <w:highlight w:val="green"/>
        </w:rPr>
      </w:pPr>
      <w:r w:rsidRPr="000B4E2C">
        <w:rPr>
          <w:highlight w:val="green"/>
        </w:rPr>
        <w:t>Seitz S, Rauh M, Gloeckler M, et al. Cystatin C and neutrophil gelatinase-associated lipocalin: Biomarkers for acute kidney injury after congenital heart surgery</w:t>
      </w:r>
      <w:r w:rsidRPr="000B4E2C">
        <w:rPr>
          <w:i/>
          <w:highlight w:val="green"/>
        </w:rPr>
        <w:t>. Swiss Medical Weekly</w:t>
      </w:r>
      <w:r w:rsidRPr="000B4E2C">
        <w:rPr>
          <w:highlight w:val="green"/>
        </w:rPr>
        <w:t xml:space="preserve"> 2013; 143(w13744.</w:t>
      </w:r>
    </w:p>
    <w:p w14:paraId="60AC8DC5" w14:textId="77777777" w:rsidR="0050641B" w:rsidRPr="000B4E2C" w:rsidRDefault="0050641B" w:rsidP="0050641B">
      <w:pPr>
        <w:pStyle w:val="EndNoteBibliography"/>
        <w:rPr>
          <w:highlight w:val="green"/>
        </w:rPr>
      </w:pPr>
    </w:p>
    <w:p w14:paraId="56C7B82D" w14:textId="77777777" w:rsidR="0050641B" w:rsidRPr="000B4E2C" w:rsidRDefault="0050641B" w:rsidP="0050641B">
      <w:pPr>
        <w:pStyle w:val="EndNoteBibliography"/>
        <w:rPr>
          <w:highlight w:val="green"/>
        </w:rPr>
      </w:pPr>
      <w:r w:rsidRPr="000B4E2C">
        <w:rPr>
          <w:highlight w:val="green"/>
        </w:rPr>
        <w:t>Tecson KM, Erhardtsen E, Eriksen PM, et al. Optimal cut points of plasma and urine neutrophil gelatinase-associated lipocalin for the prediction of acute kidney injury among critically ill adults: Retrospective determination and clinical validation of a prospective multicentre study</w:t>
      </w:r>
      <w:r w:rsidRPr="000B4E2C">
        <w:rPr>
          <w:i/>
          <w:highlight w:val="green"/>
        </w:rPr>
        <w:t>. BMJ Open</w:t>
      </w:r>
      <w:r w:rsidRPr="000B4E2C">
        <w:rPr>
          <w:highlight w:val="green"/>
        </w:rPr>
        <w:t xml:space="preserve"> 2017; 7(7), e016028.</w:t>
      </w:r>
    </w:p>
    <w:p w14:paraId="46F1689E" w14:textId="77777777" w:rsidR="0050641B" w:rsidRPr="000B4E2C" w:rsidRDefault="0050641B" w:rsidP="0050641B">
      <w:pPr>
        <w:pStyle w:val="EndNoteBibliography"/>
        <w:rPr>
          <w:highlight w:val="green"/>
        </w:rPr>
      </w:pPr>
    </w:p>
    <w:p w14:paraId="3647602C" w14:textId="77777777" w:rsidR="0050641B" w:rsidRPr="000B4E2C" w:rsidRDefault="0050641B" w:rsidP="0050641B">
      <w:pPr>
        <w:pStyle w:val="EndNoteBibliography"/>
        <w:rPr>
          <w:highlight w:val="green"/>
        </w:rPr>
      </w:pPr>
      <w:r w:rsidRPr="000B4E2C">
        <w:rPr>
          <w:highlight w:val="green"/>
        </w:rPr>
        <w:t>Thanakitcharu P, Jirajan B. Determination of urinary neutrophil gelatinase-associated lipocalin (NGAL) cut-off level for early detection of acute kidney injury in Thai adult patients undergoing open cardiac surgery</w:t>
      </w:r>
      <w:r w:rsidRPr="000B4E2C">
        <w:rPr>
          <w:i/>
          <w:highlight w:val="green"/>
        </w:rPr>
        <w:t>. Journal of the Medical Association of Thailand</w:t>
      </w:r>
      <w:r w:rsidRPr="000B4E2C">
        <w:rPr>
          <w:highlight w:val="green"/>
        </w:rPr>
        <w:t xml:space="preserve"> 2014; 97(Supplement 11), S48-S55.</w:t>
      </w:r>
    </w:p>
    <w:p w14:paraId="6B414B9A" w14:textId="77777777" w:rsidR="0050641B" w:rsidRPr="000B4E2C" w:rsidRDefault="0050641B" w:rsidP="0050641B">
      <w:pPr>
        <w:pStyle w:val="EndNoteBibliography"/>
        <w:rPr>
          <w:highlight w:val="green"/>
        </w:rPr>
      </w:pPr>
    </w:p>
    <w:p w14:paraId="42FE480F" w14:textId="77777777" w:rsidR="0050641B" w:rsidRPr="000B4E2C" w:rsidRDefault="0050641B" w:rsidP="0050641B">
      <w:pPr>
        <w:pStyle w:val="EndNoteBibliography"/>
        <w:rPr>
          <w:highlight w:val="green"/>
        </w:rPr>
      </w:pPr>
      <w:r w:rsidRPr="000B4E2C">
        <w:rPr>
          <w:highlight w:val="green"/>
        </w:rPr>
        <w:t>Tidbury N, Browning N, Shaw M, et al. Neutrophil gelatinase-associated lipocalin as a marker of postoperative acute kidney injury following cardiac surgery in patients with pre-operative kidney impairment</w:t>
      </w:r>
      <w:r w:rsidRPr="000B4E2C">
        <w:rPr>
          <w:i/>
          <w:highlight w:val="green"/>
        </w:rPr>
        <w:t>. Cardiovascular &amp; hematological disorders drug targets</w:t>
      </w:r>
      <w:r w:rsidRPr="000B4E2C">
        <w:rPr>
          <w:highlight w:val="green"/>
        </w:rPr>
        <w:t xml:space="preserve"> 2019.</w:t>
      </w:r>
    </w:p>
    <w:p w14:paraId="301F3DB1" w14:textId="77777777" w:rsidR="0050641B" w:rsidRPr="000B4E2C" w:rsidRDefault="0050641B" w:rsidP="0050641B">
      <w:pPr>
        <w:pStyle w:val="EndNoteBibliography"/>
        <w:rPr>
          <w:highlight w:val="green"/>
        </w:rPr>
      </w:pPr>
    </w:p>
    <w:p w14:paraId="398E8BC3" w14:textId="77777777" w:rsidR="0050641B" w:rsidRPr="000B4E2C" w:rsidRDefault="0050641B" w:rsidP="0050641B">
      <w:pPr>
        <w:pStyle w:val="EndNoteBibliography"/>
        <w:rPr>
          <w:highlight w:val="green"/>
        </w:rPr>
      </w:pPr>
      <w:r w:rsidRPr="000B4E2C">
        <w:rPr>
          <w:highlight w:val="green"/>
        </w:rPr>
        <w:t>Treeprasertsuk S, Wongkarnjana A, Jaruvongvanich V, et al. Urine neutrophil gelatinase-associated lipocalin: A diagnostic and prognostic marker for acute kidney injury (AKI) in hospitalized cirrhotic patients with AKI-prone conditions</w:t>
      </w:r>
      <w:r w:rsidRPr="000B4E2C">
        <w:rPr>
          <w:i/>
          <w:highlight w:val="green"/>
        </w:rPr>
        <w:t>. BMC Gastroenterology</w:t>
      </w:r>
      <w:r w:rsidRPr="000B4E2C">
        <w:rPr>
          <w:highlight w:val="green"/>
        </w:rPr>
        <w:t xml:space="preserve"> 2015; 15(1).</w:t>
      </w:r>
    </w:p>
    <w:p w14:paraId="2C94973A" w14:textId="77777777" w:rsidR="0050641B" w:rsidRPr="000B4E2C" w:rsidRDefault="0050641B" w:rsidP="0050641B">
      <w:pPr>
        <w:pStyle w:val="EndNoteBibliography"/>
        <w:rPr>
          <w:highlight w:val="green"/>
        </w:rPr>
      </w:pPr>
    </w:p>
    <w:p w14:paraId="5B7A4850" w14:textId="77777777" w:rsidR="0050641B" w:rsidRPr="000B4E2C" w:rsidRDefault="0050641B" w:rsidP="0050641B">
      <w:pPr>
        <w:pStyle w:val="EndNoteBibliography"/>
        <w:rPr>
          <w:highlight w:val="green"/>
        </w:rPr>
      </w:pPr>
      <w:r w:rsidRPr="000B4E2C">
        <w:rPr>
          <w:highlight w:val="green"/>
        </w:rPr>
        <w:t>Verna EC, Brown RS, Farrand E, et al. Urinary neutrophil gelatinase-associated lipocalin predicts mortality and identifies acute kidney injury in cirrhosis</w:t>
      </w:r>
      <w:r w:rsidRPr="000B4E2C">
        <w:rPr>
          <w:i/>
          <w:highlight w:val="green"/>
        </w:rPr>
        <w:t>. Digestive Diseases and Sciences</w:t>
      </w:r>
      <w:r w:rsidRPr="000B4E2C">
        <w:rPr>
          <w:highlight w:val="green"/>
        </w:rPr>
        <w:t xml:space="preserve"> 2012; 57(9), 2362-70.</w:t>
      </w:r>
    </w:p>
    <w:p w14:paraId="7D350066" w14:textId="77777777" w:rsidR="0050641B" w:rsidRPr="000B4E2C" w:rsidRDefault="0050641B" w:rsidP="0050641B">
      <w:pPr>
        <w:pStyle w:val="EndNoteBibliography"/>
        <w:rPr>
          <w:highlight w:val="green"/>
        </w:rPr>
      </w:pPr>
    </w:p>
    <w:p w14:paraId="755D3300" w14:textId="77777777" w:rsidR="0050641B" w:rsidRPr="000B4E2C" w:rsidRDefault="0050641B" w:rsidP="0050641B">
      <w:pPr>
        <w:pStyle w:val="EndNoteBibliography"/>
        <w:rPr>
          <w:highlight w:val="green"/>
        </w:rPr>
      </w:pPr>
      <w:r w:rsidRPr="000B4E2C">
        <w:rPr>
          <w:highlight w:val="green"/>
        </w:rPr>
        <w:t>Yang X, Chen C, Teng S, et al. Urinary matrix metalloproteinase-7 predicts severe AKI and poor outcomes after cardiac surgery</w:t>
      </w:r>
      <w:r w:rsidRPr="000B4E2C">
        <w:rPr>
          <w:i/>
          <w:highlight w:val="green"/>
        </w:rPr>
        <w:t>. Journal of the American Society of Nephrology</w:t>
      </w:r>
      <w:r w:rsidRPr="000B4E2C">
        <w:rPr>
          <w:highlight w:val="green"/>
        </w:rPr>
        <w:t xml:space="preserve"> 2017; 28(11), 3373-82.</w:t>
      </w:r>
    </w:p>
    <w:p w14:paraId="137A8136" w14:textId="77777777" w:rsidR="0050641B" w:rsidRPr="000B4E2C" w:rsidRDefault="0050641B" w:rsidP="0050641B">
      <w:pPr>
        <w:pStyle w:val="EndNoteBibliography"/>
        <w:rPr>
          <w:highlight w:val="green"/>
        </w:rPr>
      </w:pPr>
    </w:p>
    <w:p w14:paraId="5DBBB1FB" w14:textId="77777777" w:rsidR="0050641B" w:rsidRPr="000B4E2C" w:rsidRDefault="0050641B" w:rsidP="0050641B">
      <w:pPr>
        <w:pStyle w:val="EndNoteBibliography"/>
        <w:rPr>
          <w:highlight w:val="green"/>
        </w:rPr>
      </w:pPr>
      <w:r w:rsidRPr="000B4E2C">
        <w:rPr>
          <w:highlight w:val="green"/>
        </w:rPr>
        <w:t>Zelt JGE, Mielniczuk LM, Liu PP, et al. Utility of novel cardiorenal biomarkers in the prediction and early detection of congestive kidney injury following cardiac surgery</w:t>
      </w:r>
      <w:r w:rsidRPr="000B4E2C">
        <w:rPr>
          <w:i/>
          <w:highlight w:val="green"/>
        </w:rPr>
        <w:t>. Journal of Clinical Medicine</w:t>
      </w:r>
      <w:r w:rsidRPr="000B4E2C">
        <w:rPr>
          <w:highlight w:val="green"/>
        </w:rPr>
        <w:t xml:space="preserve"> 2018; 7(12), 540.</w:t>
      </w:r>
    </w:p>
    <w:p w14:paraId="04A7E153" w14:textId="77777777" w:rsidR="0050641B" w:rsidRPr="000B4E2C" w:rsidRDefault="0050641B" w:rsidP="0050641B">
      <w:pPr>
        <w:pStyle w:val="EndNoteBibliography"/>
        <w:rPr>
          <w:highlight w:val="green"/>
        </w:rPr>
      </w:pPr>
    </w:p>
    <w:p w14:paraId="3BF4CF20" w14:textId="77777777" w:rsidR="000B4E2C" w:rsidRPr="000B4E2C" w:rsidRDefault="0050641B" w:rsidP="0050641B">
      <w:pPr>
        <w:pStyle w:val="EndNoteBibliography"/>
      </w:pPr>
      <w:r w:rsidRPr="000B4E2C">
        <w:rPr>
          <w:highlight w:val="green"/>
        </w:rPr>
        <w:t>Zwiers AJM, de Wildt SN, van Rosmalen J, et al. Urinary neutrophil gelatinase-associated lipocalin identifies critically ill young children with acute kidney injury following intensive care admission: A prospective cohort study</w:t>
      </w:r>
      <w:r w:rsidRPr="000B4E2C">
        <w:rPr>
          <w:i/>
          <w:highlight w:val="green"/>
        </w:rPr>
        <w:t>. Critical Care</w:t>
      </w:r>
      <w:r w:rsidRPr="000B4E2C">
        <w:rPr>
          <w:highlight w:val="green"/>
        </w:rPr>
        <w:t xml:space="preserve"> 2015; 19(1), 181.</w:t>
      </w:r>
    </w:p>
    <w:p w14:paraId="50541BCC" w14:textId="77777777" w:rsidR="000B4E2C" w:rsidRPr="000B4E2C" w:rsidRDefault="00C44F99" w:rsidP="00F00233">
      <w:pPr>
        <w:pStyle w:val="Heading2"/>
        <w:rPr>
          <w:szCs w:val="24"/>
        </w:rPr>
      </w:pPr>
      <w:r w:rsidRPr="000B4E2C">
        <w:rPr>
          <w:szCs w:val="24"/>
        </w:rPr>
        <w:t>Appendix 13</w:t>
      </w:r>
      <w:r w:rsidR="00717AEB" w:rsidRPr="000B4E2C">
        <w:rPr>
          <w:szCs w:val="24"/>
        </w:rPr>
        <w:t xml:space="preserve"> </w:t>
      </w:r>
      <w:r w:rsidR="00F00233" w:rsidRPr="000B4E2C">
        <w:rPr>
          <w:szCs w:val="24"/>
        </w:rPr>
        <w:t>Forest plots of AUC meta-analyses for prediction of worsening of AKI, mortality and renal replacement therapy</w:t>
      </w:r>
    </w:p>
    <w:p w14:paraId="3D2CF2CB" w14:textId="18BE6DDA"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51</w:t>
      </w:r>
      <w:r w:rsidRPr="000B4E2C">
        <w:rPr>
          <w:b/>
          <w:szCs w:val="24"/>
        </w:rPr>
        <w:tab/>
      </w:r>
      <w:r w:rsidR="00F00233" w:rsidRPr="000B4E2C">
        <w:rPr>
          <w:b/>
          <w:szCs w:val="24"/>
        </w:rPr>
        <w:t>Prediction of AKI</w:t>
      </w:r>
      <w:r w:rsidR="00F00233" w:rsidRPr="000B4E2C">
        <w:t xml:space="preserve"> </w:t>
      </w:r>
      <w:r w:rsidR="009F72FB" w:rsidRPr="000B4E2C">
        <w:rPr>
          <w:b/>
          <w:szCs w:val="24"/>
        </w:rPr>
        <w:t>in a</w:t>
      </w:r>
      <w:r w:rsidR="00F00233" w:rsidRPr="000B4E2C">
        <w:rPr>
          <w:b/>
          <w:szCs w:val="24"/>
        </w:rPr>
        <w:t>dults</w:t>
      </w:r>
      <w:r w:rsidRPr="000B4E2C">
        <w:rPr>
          <w:b/>
          <w:color w:val="00B0F0"/>
          <w:szCs w:val="24"/>
        </w:rPr>
        <w:t xml:space="preserve"> – </w:t>
      </w:r>
      <w:r w:rsidR="009F72FB" w:rsidRPr="000B4E2C">
        <w:rPr>
          <w:b/>
          <w:szCs w:val="24"/>
        </w:rPr>
        <w:t xml:space="preserve">ARCHITECT </w:t>
      </w:r>
      <w:r w:rsidR="00F00233" w:rsidRPr="000B4E2C">
        <w:rPr>
          <w:b/>
          <w:szCs w:val="24"/>
        </w:rPr>
        <w:t>u</w:t>
      </w:r>
      <w:r w:rsidR="009F72FB" w:rsidRPr="000B4E2C">
        <w:rPr>
          <w:b/>
          <w:szCs w:val="24"/>
        </w:rPr>
        <w:t xml:space="preserve">rine </w:t>
      </w:r>
      <w:r w:rsidR="00F00233" w:rsidRPr="000B4E2C">
        <w:rPr>
          <w:b/>
          <w:szCs w:val="24"/>
        </w:rPr>
        <w:t>N</w:t>
      </w:r>
      <w:r w:rsidR="00E511F0" w:rsidRPr="000B4E2C">
        <w:rPr>
          <w:b/>
          <w:szCs w:val="24"/>
        </w:rPr>
        <w:t>GAL (Abbott)</w:t>
      </w:r>
      <w:r w:rsidR="009F72FB" w:rsidRPr="000B4E2C">
        <w:rPr>
          <w:b/>
          <w:szCs w:val="24"/>
        </w:rPr>
        <w:t>, c</w:t>
      </w:r>
      <w:r w:rsidR="00E511F0" w:rsidRPr="000B4E2C">
        <w:rPr>
          <w:b/>
          <w:szCs w:val="24"/>
        </w:rPr>
        <w:t xml:space="preserve">ritical </w:t>
      </w:r>
      <w:r w:rsidR="00F00233" w:rsidRPr="000B4E2C">
        <w:rPr>
          <w:b/>
          <w:szCs w:val="24"/>
        </w:rPr>
        <w:t>care</w:t>
      </w:r>
      <w:r w:rsidR="009F72FB" w:rsidRPr="000B4E2C">
        <w:rPr>
          <w:b/>
          <w:szCs w:val="24"/>
        </w:rPr>
        <w:t xml:space="preserve"> setting</w:t>
      </w:r>
    </w:p>
    <w:p w14:paraId="27C604EE" w14:textId="3BFC0E6C"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52</w:t>
      </w:r>
      <w:r w:rsidRPr="000B4E2C">
        <w:rPr>
          <w:b/>
          <w:szCs w:val="24"/>
        </w:rPr>
        <w:tab/>
      </w:r>
      <w:r w:rsidR="00F00233" w:rsidRPr="000B4E2C">
        <w:rPr>
          <w:b/>
          <w:szCs w:val="24"/>
        </w:rPr>
        <w:t xml:space="preserve">Prediction of mortality </w:t>
      </w:r>
      <w:r w:rsidR="009F72FB" w:rsidRPr="000B4E2C">
        <w:rPr>
          <w:b/>
          <w:szCs w:val="24"/>
        </w:rPr>
        <w:t>in adults</w:t>
      </w:r>
      <w:r w:rsidRPr="000B4E2C">
        <w:rPr>
          <w:b/>
          <w:color w:val="00B0F0"/>
          <w:szCs w:val="24"/>
        </w:rPr>
        <w:t xml:space="preserve"> – </w:t>
      </w:r>
      <w:r w:rsidR="009F72FB" w:rsidRPr="000B4E2C">
        <w:rPr>
          <w:b/>
          <w:szCs w:val="24"/>
        </w:rPr>
        <w:t xml:space="preserve">BioPorto </w:t>
      </w:r>
      <w:r w:rsidR="00F00233" w:rsidRPr="000B4E2C">
        <w:rPr>
          <w:b/>
          <w:szCs w:val="24"/>
        </w:rPr>
        <w:t>u</w:t>
      </w:r>
      <w:r w:rsidR="009F72FB" w:rsidRPr="000B4E2C">
        <w:rPr>
          <w:b/>
          <w:szCs w:val="24"/>
        </w:rPr>
        <w:t xml:space="preserve">rine </w:t>
      </w:r>
      <w:r w:rsidR="00F00233" w:rsidRPr="000B4E2C">
        <w:rPr>
          <w:b/>
          <w:szCs w:val="24"/>
        </w:rPr>
        <w:t>NGAL</w:t>
      </w:r>
      <w:r w:rsidR="009F72FB" w:rsidRPr="000B4E2C">
        <w:rPr>
          <w:b/>
          <w:szCs w:val="24"/>
        </w:rPr>
        <w:t xml:space="preserve">, </w:t>
      </w:r>
      <w:r w:rsidR="00F00233" w:rsidRPr="000B4E2C">
        <w:rPr>
          <w:b/>
          <w:szCs w:val="24"/>
        </w:rPr>
        <w:t>critical care</w:t>
      </w:r>
      <w:r w:rsidR="009F72FB" w:rsidRPr="000B4E2C">
        <w:rPr>
          <w:b/>
          <w:szCs w:val="24"/>
        </w:rPr>
        <w:t xml:space="preserve"> setting</w:t>
      </w:r>
    </w:p>
    <w:p w14:paraId="1308E9D4" w14:textId="725E38AB"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53</w:t>
      </w:r>
      <w:r w:rsidRPr="000B4E2C">
        <w:rPr>
          <w:b/>
          <w:szCs w:val="24"/>
        </w:rPr>
        <w:tab/>
      </w:r>
      <w:r w:rsidR="00F00233" w:rsidRPr="000B4E2C">
        <w:rPr>
          <w:b/>
          <w:szCs w:val="24"/>
        </w:rPr>
        <w:t xml:space="preserve">Prediction of mortality </w:t>
      </w:r>
      <w:r w:rsidR="009F72FB" w:rsidRPr="000B4E2C">
        <w:rPr>
          <w:b/>
          <w:szCs w:val="24"/>
        </w:rPr>
        <w:t>in a</w:t>
      </w:r>
      <w:r w:rsidR="00F00233" w:rsidRPr="000B4E2C">
        <w:rPr>
          <w:b/>
          <w:szCs w:val="24"/>
        </w:rPr>
        <w:t xml:space="preserve">dults </w:t>
      </w:r>
      <w:r w:rsidR="009F72FB" w:rsidRPr="000B4E2C">
        <w:rPr>
          <w:b/>
          <w:szCs w:val="24"/>
        </w:rPr>
        <w:t xml:space="preserve">– BioPorto </w:t>
      </w:r>
      <w:r w:rsidR="00F00233" w:rsidRPr="000B4E2C">
        <w:rPr>
          <w:b/>
          <w:szCs w:val="24"/>
        </w:rPr>
        <w:t>p</w:t>
      </w:r>
      <w:r w:rsidR="009F72FB" w:rsidRPr="000B4E2C">
        <w:rPr>
          <w:b/>
          <w:szCs w:val="24"/>
        </w:rPr>
        <w:t xml:space="preserve">lasma </w:t>
      </w:r>
      <w:r w:rsidR="00F00233" w:rsidRPr="000B4E2C">
        <w:rPr>
          <w:b/>
          <w:szCs w:val="24"/>
        </w:rPr>
        <w:t>NGAL</w:t>
      </w:r>
      <w:r w:rsidR="009F72FB" w:rsidRPr="000B4E2C">
        <w:rPr>
          <w:b/>
          <w:szCs w:val="24"/>
        </w:rPr>
        <w:t xml:space="preserve">, </w:t>
      </w:r>
      <w:r w:rsidR="00F00233" w:rsidRPr="000B4E2C">
        <w:rPr>
          <w:b/>
          <w:szCs w:val="24"/>
        </w:rPr>
        <w:t>critical care</w:t>
      </w:r>
      <w:r w:rsidR="009F72FB" w:rsidRPr="000B4E2C">
        <w:rPr>
          <w:b/>
          <w:szCs w:val="24"/>
        </w:rPr>
        <w:t xml:space="preserve"> setting</w:t>
      </w:r>
    </w:p>
    <w:p w14:paraId="7012C857" w14:textId="0253F74C"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54</w:t>
      </w:r>
      <w:r w:rsidR="009F72FB" w:rsidRPr="000B4E2C">
        <w:rPr>
          <w:b/>
          <w:szCs w:val="24"/>
        </w:rPr>
        <w:tab/>
      </w:r>
      <w:r w:rsidR="00F00233" w:rsidRPr="000B4E2C">
        <w:rPr>
          <w:b/>
          <w:szCs w:val="24"/>
        </w:rPr>
        <w:t xml:space="preserve">Prediction of mortality </w:t>
      </w:r>
      <w:r w:rsidR="009F72FB" w:rsidRPr="000B4E2C">
        <w:rPr>
          <w:b/>
          <w:szCs w:val="24"/>
        </w:rPr>
        <w:t>in a</w:t>
      </w:r>
      <w:r w:rsidR="00F00233" w:rsidRPr="000B4E2C">
        <w:rPr>
          <w:b/>
          <w:szCs w:val="24"/>
        </w:rPr>
        <w:t>dults</w:t>
      </w:r>
      <w:r w:rsidRPr="000B4E2C">
        <w:rPr>
          <w:b/>
          <w:color w:val="00B0F0"/>
          <w:szCs w:val="24"/>
        </w:rPr>
        <w:t xml:space="preserve"> – </w:t>
      </w:r>
      <w:r w:rsidR="00F00233" w:rsidRPr="000B4E2C">
        <w:rPr>
          <w:b/>
          <w:szCs w:val="24"/>
        </w:rPr>
        <w:t>u</w:t>
      </w:r>
      <w:r w:rsidR="009F72FB" w:rsidRPr="000B4E2C">
        <w:rPr>
          <w:b/>
          <w:szCs w:val="24"/>
        </w:rPr>
        <w:t xml:space="preserve">rine </w:t>
      </w:r>
      <w:r w:rsidR="00F00233" w:rsidRPr="000B4E2C">
        <w:rPr>
          <w:b/>
          <w:szCs w:val="24"/>
        </w:rPr>
        <w:t xml:space="preserve">NGAL (Abbott and </w:t>
      </w:r>
      <w:r w:rsidR="009D7F5A" w:rsidRPr="000B4E2C">
        <w:rPr>
          <w:b/>
          <w:szCs w:val="24"/>
        </w:rPr>
        <w:t>BioPorto</w:t>
      </w:r>
      <w:r w:rsidR="00F00233" w:rsidRPr="000B4E2C">
        <w:rPr>
          <w:b/>
          <w:szCs w:val="24"/>
        </w:rPr>
        <w:t>)</w:t>
      </w:r>
      <w:r w:rsidR="009F72FB" w:rsidRPr="000B4E2C">
        <w:rPr>
          <w:b/>
          <w:szCs w:val="24"/>
        </w:rPr>
        <w:t>,</w:t>
      </w:r>
      <w:r w:rsidR="00F00233" w:rsidRPr="000B4E2C">
        <w:rPr>
          <w:b/>
          <w:szCs w:val="24"/>
        </w:rPr>
        <w:t xml:space="preserve"> critical care</w:t>
      </w:r>
      <w:r w:rsidR="009F72FB" w:rsidRPr="000B4E2C">
        <w:rPr>
          <w:b/>
          <w:szCs w:val="24"/>
        </w:rPr>
        <w:t xml:space="preserve"> setting</w:t>
      </w:r>
    </w:p>
    <w:p w14:paraId="64A06C7B" w14:textId="762340B9" w:rsidR="000B4E2C" w:rsidRPr="000B4E2C" w:rsidRDefault="000B4E2C" w:rsidP="00F00233">
      <w:pPr>
        <w:rPr>
          <w:b/>
          <w:szCs w:val="24"/>
        </w:rPr>
      </w:pPr>
      <w:r w:rsidRPr="000B4E2C">
        <w:rPr>
          <w:b/>
          <w:i/>
          <w:color w:val="FF0000"/>
          <w:szCs w:val="24"/>
        </w:rPr>
        <w:t>F</w:t>
      </w:r>
      <w:r w:rsidRPr="000B4E2C">
        <w:rPr>
          <w:b/>
          <w:i/>
          <w:color w:val="FF0000"/>
          <w:szCs w:val="24"/>
        </w:rPr>
        <w:t>igure</w:t>
      </w:r>
      <w:r w:rsidRPr="000B4E2C">
        <w:rPr>
          <w:b/>
          <w:i/>
          <w:color w:val="FF0000"/>
          <w:szCs w:val="24"/>
        </w:rPr>
        <w:t xml:space="preserve"> </w:t>
      </w:r>
      <w:r w:rsidRPr="000B4E2C">
        <w:rPr>
          <w:b/>
          <w:i/>
          <w:color w:val="FF0000"/>
          <w:szCs w:val="24"/>
        </w:rPr>
        <w:t>55</w:t>
      </w:r>
      <w:r w:rsidRPr="000B4E2C">
        <w:rPr>
          <w:b/>
          <w:szCs w:val="24"/>
        </w:rPr>
        <w:tab/>
      </w:r>
      <w:r w:rsidR="00F00233" w:rsidRPr="000B4E2C">
        <w:rPr>
          <w:b/>
          <w:szCs w:val="24"/>
        </w:rPr>
        <w:t>Prediction of RRT</w:t>
      </w:r>
      <w:r w:rsidR="00F00233" w:rsidRPr="000B4E2C">
        <w:t xml:space="preserve"> </w:t>
      </w:r>
      <w:r w:rsidR="009F72FB" w:rsidRPr="000B4E2C">
        <w:rPr>
          <w:b/>
          <w:szCs w:val="24"/>
        </w:rPr>
        <w:t>in a</w:t>
      </w:r>
      <w:r w:rsidR="00F00233" w:rsidRPr="000B4E2C">
        <w:rPr>
          <w:b/>
          <w:szCs w:val="24"/>
        </w:rPr>
        <w:t>dults</w:t>
      </w:r>
      <w:r w:rsidRPr="000B4E2C">
        <w:rPr>
          <w:b/>
          <w:color w:val="00B0F0"/>
          <w:szCs w:val="24"/>
        </w:rPr>
        <w:t xml:space="preserve"> – </w:t>
      </w:r>
      <w:r w:rsidR="009F72FB" w:rsidRPr="000B4E2C">
        <w:rPr>
          <w:b/>
          <w:szCs w:val="24"/>
        </w:rPr>
        <w:t xml:space="preserve">BioPorto </w:t>
      </w:r>
      <w:r w:rsidR="00F00233" w:rsidRPr="000B4E2C">
        <w:rPr>
          <w:b/>
          <w:szCs w:val="24"/>
        </w:rPr>
        <w:t>u</w:t>
      </w:r>
      <w:r w:rsidR="009F72FB" w:rsidRPr="000B4E2C">
        <w:rPr>
          <w:b/>
          <w:szCs w:val="24"/>
        </w:rPr>
        <w:t xml:space="preserve">rine </w:t>
      </w:r>
      <w:r w:rsidR="00F00233" w:rsidRPr="000B4E2C">
        <w:rPr>
          <w:b/>
          <w:szCs w:val="24"/>
        </w:rPr>
        <w:t>NGAL</w:t>
      </w:r>
      <w:r w:rsidR="009F72FB" w:rsidRPr="000B4E2C">
        <w:rPr>
          <w:b/>
          <w:szCs w:val="24"/>
        </w:rPr>
        <w:t xml:space="preserve">, </w:t>
      </w:r>
      <w:r w:rsidR="00F00233" w:rsidRPr="000B4E2C">
        <w:rPr>
          <w:b/>
          <w:szCs w:val="24"/>
        </w:rPr>
        <w:t>critical care</w:t>
      </w:r>
      <w:r w:rsidR="009F72FB" w:rsidRPr="000B4E2C">
        <w:rPr>
          <w:b/>
          <w:szCs w:val="24"/>
        </w:rPr>
        <w:t xml:space="preserve"> setting</w:t>
      </w:r>
    </w:p>
    <w:p w14:paraId="296B55C0" w14:textId="1B9CACDD" w:rsidR="0050641B" w:rsidRPr="000B4E2C" w:rsidRDefault="0050641B" w:rsidP="0050641B">
      <w:pPr>
        <w:spacing w:after="200" w:line="276" w:lineRule="auto"/>
        <w:rPr>
          <w:b/>
          <w:lang w:val="pt-BR"/>
        </w:rPr>
      </w:pPr>
      <w:r w:rsidRPr="000B4E2C">
        <w:rPr>
          <w:b/>
          <w:lang w:val="pt-BR"/>
        </w:rPr>
        <w:t>References of studies included in the figures above (in alphabetical order)</w:t>
      </w:r>
    </w:p>
    <w:p w14:paraId="15C56F22" w14:textId="77777777" w:rsidR="0050641B" w:rsidRPr="000B4E2C" w:rsidRDefault="0050641B" w:rsidP="0050641B">
      <w:pPr>
        <w:pStyle w:val="EndNoteBibliography"/>
        <w:rPr>
          <w:highlight w:val="green"/>
        </w:rPr>
      </w:pPr>
      <w:r w:rsidRPr="000B4E2C">
        <w:rPr>
          <w:highlight w:val="green"/>
        </w:rPr>
        <w:t>Doi K, Noiri E, Nangaku M, et al. Repulsive guidance cue semaphorin 3A in urine predicts the progression of acute kidney injury in adult patients from a mixed intensive care unit</w:t>
      </w:r>
      <w:r w:rsidRPr="000B4E2C">
        <w:rPr>
          <w:i/>
          <w:highlight w:val="green"/>
        </w:rPr>
        <w:t>. Nephrology Dialysis Transplantation</w:t>
      </w:r>
      <w:r w:rsidRPr="000B4E2C">
        <w:rPr>
          <w:highlight w:val="green"/>
        </w:rPr>
        <w:t xml:space="preserve"> 2014; 29(1), 73-80.</w:t>
      </w:r>
    </w:p>
    <w:p w14:paraId="524530A9" w14:textId="77777777" w:rsidR="0050641B" w:rsidRPr="000B4E2C" w:rsidRDefault="0050641B" w:rsidP="0050641B">
      <w:pPr>
        <w:pStyle w:val="EndNoteBibliography"/>
        <w:rPr>
          <w:highlight w:val="green"/>
        </w:rPr>
      </w:pPr>
    </w:p>
    <w:p w14:paraId="43689DE8" w14:textId="77777777" w:rsidR="0050641B" w:rsidRPr="000B4E2C" w:rsidRDefault="0050641B" w:rsidP="0050641B">
      <w:pPr>
        <w:pStyle w:val="EndNoteBibliography"/>
        <w:rPr>
          <w:highlight w:val="green"/>
        </w:rPr>
      </w:pPr>
      <w:r w:rsidRPr="000B4E2C">
        <w:rPr>
          <w:highlight w:val="green"/>
        </w:rPr>
        <w:t>Hjortrup PB, Haase N, Treschow F, et al. Predictive value of NGAL for use of renal replacement therapy in patients with severe sepsis</w:t>
      </w:r>
      <w:r w:rsidRPr="000B4E2C">
        <w:rPr>
          <w:i/>
          <w:highlight w:val="green"/>
        </w:rPr>
        <w:t>. Acta Anaesthesiologica Scandinavica</w:t>
      </w:r>
      <w:r w:rsidRPr="000B4E2C">
        <w:rPr>
          <w:highlight w:val="green"/>
        </w:rPr>
        <w:t xml:space="preserve"> 2015; 59(1), 25-34.</w:t>
      </w:r>
    </w:p>
    <w:p w14:paraId="1F7EB74F" w14:textId="77777777" w:rsidR="0050641B" w:rsidRPr="000B4E2C" w:rsidRDefault="0050641B" w:rsidP="0050641B">
      <w:pPr>
        <w:pStyle w:val="EndNoteBibliography"/>
        <w:rPr>
          <w:highlight w:val="green"/>
        </w:rPr>
      </w:pPr>
    </w:p>
    <w:p w14:paraId="5B4B05FF" w14:textId="77777777" w:rsidR="0050641B" w:rsidRPr="000B4E2C" w:rsidRDefault="0050641B" w:rsidP="0050641B">
      <w:pPr>
        <w:pStyle w:val="EndNoteBibliography"/>
        <w:rPr>
          <w:highlight w:val="green"/>
        </w:rPr>
      </w:pPr>
      <w:r w:rsidRPr="000B4E2C">
        <w:rPr>
          <w:highlight w:val="green"/>
        </w:rPr>
        <w:t>Isshiki R, Asada T, Sumida M, et al. Modest impact of serial measurements of acute kidney injury biomarkers in an adult intensive care unit</w:t>
      </w:r>
      <w:r w:rsidRPr="000B4E2C">
        <w:rPr>
          <w:i/>
          <w:highlight w:val="green"/>
        </w:rPr>
        <w:t>. Nephron</w:t>
      </w:r>
      <w:r w:rsidRPr="000B4E2C">
        <w:rPr>
          <w:highlight w:val="green"/>
        </w:rPr>
        <w:t xml:space="preserve"> 2018; 139(3), 243-53.</w:t>
      </w:r>
    </w:p>
    <w:p w14:paraId="6831FF98" w14:textId="77777777" w:rsidR="0050641B" w:rsidRPr="000B4E2C" w:rsidRDefault="0050641B" w:rsidP="0050641B">
      <w:pPr>
        <w:pStyle w:val="EndNoteBibliography"/>
        <w:rPr>
          <w:highlight w:val="green"/>
        </w:rPr>
      </w:pPr>
    </w:p>
    <w:p w14:paraId="61276300" w14:textId="77777777" w:rsidR="0050641B" w:rsidRPr="000B4E2C" w:rsidRDefault="0050641B" w:rsidP="0050641B">
      <w:pPr>
        <w:pStyle w:val="EndNoteBibliography"/>
        <w:rPr>
          <w:highlight w:val="green"/>
        </w:rPr>
      </w:pPr>
      <w:r w:rsidRPr="000B4E2C">
        <w:rPr>
          <w:highlight w:val="green"/>
        </w:rPr>
        <w:t>Lee DH, Lee BK, Cho YS, et al. Plasma neutrophil gelatinase-associated lipocalin measured immediately after restoration of spontaneous circulation predicts acute kidney injury in cardiac arrest survivors who underwent therapeutic hypothermia</w:t>
      </w:r>
      <w:r w:rsidRPr="000B4E2C">
        <w:rPr>
          <w:i/>
          <w:highlight w:val="green"/>
        </w:rPr>
        <w:t>. Therapeutic Hypothermia and Temperature Management</w:t>
      </w:r>
      <w:r w:rsidRPr="000B4E2C">
        <w:rPr>
          <w:highlight w:val="green"/>
        </w:rPr>
        <w:t xml:space="preserve"> 2018; 8(2), 99-107.</w:t>
      </w:r>
    </w:p>
    <w:p w14:paraId="3F0DEFB6" w14:textId="77777777" w:rsidR="0050641B" w:rsidRPr="000B4E2C" w:rsidRDefault="0050641B" w:rsidP="0050641B">
      <w:pPr>
        <w:pStyle w:val="EndNoteBibliography"/>
        <w:rPr>
          <w:highlight w:val="green"/>
        </w:rPr>
      </w:pPr>
    </w:p>
    <w:p w14:paraId="14B1E47F" w14:textId="77777777" w:rsidR="0050641B" w:rsidRPr="000B4E2C" w:rsidRDefault="0050641B" w:rsidP="0050641B">
      <w:pPr>
        <w:pStyle w:val="EndNoteBibliography"/>
        <w:rPr>
          <w:highlight w:val="green"/>
        </w:rPr>
      </w:pPr>
      <w:r w:rsidRPr="000B4E2C">
        <w:rPr>
          <w:highlight w:val="green"/>
        </w:rPr>
        <w:t>Marino R, Struck J, Hartmann O, et al. Diagnostic and short-term prognostic utility of plasma pro-enkephalin (pro-ENK) for acute kidney injury in patients admitted with sepsis in the emergency department</w:t>
      </w:r>
      <w:r w:rsidRPr="000B4E2C">
        <w:rPr>
          <w:i/>
          <w:highlight w:val="green"/>
        </w:rPr>
        <w:t>. Journal of Nephrology</w:t>
      </w:r>
      <w:r w:rsidRPr="000B4E2C">
        <w:rPr>
          <w:highlight w:val="green"/>
        </w:rPr>
        <w:t xml:space="preserve"> 2015; 28(6), 717-24.</w:t>
      </w:r>
    </w:p>
    <w:p w14:paraId="0797ABA4" w14:textId="77777777" w:rsidR="0050641B" w:rsidRPr="000B4E2C" w:rsidRDefault="0050641B" w:rsidP="0050641B">
      <w:pPr>
        <w:pStyle w:val="EndNoteBibliography"/>
        <w:rPr>
          <w:highlight w:val="green"/>
        </w:rPr>
      </w:pPr>
    </w:p>
    <w:p w14:paraId="60A05B56" w14:textId="77777777" w:rsidR="0050641B" w:rsidRPr="000B4E2C" w:rsidRDefault="0050641B" w:rsidP="0050641B">
      <w:pPr>
        <w:pStyle w:val="EndNoteBibliography"/>
        <w:rPr>
          <w:highlight w:val="green"/>
        </w:rPr>
      </w:pPr>
      <w:r w:rsidRPr="000B4E2C">
        <w:rPr>
          <w:highlight w:val="green"/>
        </w:rPr>
        <w:t>Martensson J, Glassford NJ, Jones S, et al. Urinary neutrophil gelatinase-associated lipocalin to hepcidin ratio as a biomarker of acute kidney injury in intensive care unit patients</w:t>
      </w:r>
      <w:r w:rsidRPr="000B4E2C">
        <w:rPr>
          <w:i/>
          <w:highlight w:val="green"/>
        </w:rPr>
        <w:t>. Minerva Anestesiologica</w:t>
      </w:r>
      <w:r w:rsidRPr="000B4E2C">
        <w:rPr>
          <w:highlight w:val="green"/>
        </w:rPr>
        <w:t xml:space="preserve"> 2015; 81(11), 1192-200.</w:t>
      </w:r>
    </w:p>
    <w:p w14:paraId="02DCEB41" w14:textId="77777777" w:rsidR="0050641B" w:rsidRPr="000B4E2C" w:rsidRDefault="0050641B" w:rsidP="0050641B">
      <w:pPr>
        <w:pStyle w:val="EndNoteBibliography"/>
        <w:rPr>
          <w:highlight w:val="green"/>
        </w:rPr>
      </w:pPr>
    </w:p>
    <w:p w14:paraId="215D2927" w14:textId="77777777" w:rsidR="000B4E2C" w:rsidRPr="000B4E2C" w:rsidRDefault="0050641B" w:rsidP="0050641B">
      <w:pPr>
        <w:pStyle w:val="EndNoteBibliography"/>
      </w:pPr>
      <w:r w:rsidRPr="000B4E2C">
        <w:rPr>
          <w:highlight w:val="green"/>
        </w:rPr>
        <w:t>Nisula S, Yang R, Vaara ST, et al. Predictive value of urine interleukin-18 in the evolution and outcome of acute kidney injury in critically ill adult patients</w:t>
      </w:r>
      <w:r w:rsidRPr="000B4E2C">
        <w:rPr>
          <w:i/>
          <w:highlight w:val="green"/>
        </w:rPr>
        <w:t>. British Journal of Anaesthesia</w:t>
      </w:r>
      <w:r w:rsidRPr="000B4E2C">
        <w:rPr>
          <w:highlight w:val="green"/>
        </w:rPr>
        <w:t xml:space="preserve"> 2015; 114(3), 460-8.</w:t>
      </w:r>
    </w:p>
    <w:p w14:paraId="45F90D0E" w14:textId="77777777" w:rsidR="000B4E2C" w:rsidRPr="000B4E2C" w:rsidRDefault="00717AEB" w:rsidP="00F4123A">
      <w:pPr>
        <w:pStyle w:val="Heading2"/>
      </w:pPr>
      <w:r w:rsidRPr="000B4E2C">
        <w:t>Appendix 1</w:t>
      </w:r>
      <w:r w:rsidR="00C44F99" w:rsidRPr="000B4E2C">
        <w:t>4</w:t>
      </w:r>
      <w:r w:rsidR="000B4E2C" w:rsidRPr="000B4E2C">
        <w:t xml:space="preserve"> </w:t>
      </w:r>
      <w:r w:rsidR="007332C4" w:rsidRPr="000B4E2C">
        <w:t>Addition of biomarkers to existing clinical models</w:t>
      </w:r>
    </w:p>
    <w:p w14:paraId="59000D0A" w14:textId="31041777" w:rsidR="007332C4" w:rsidRPr="000B4E2C" w:rsidRDefault="000B4E2C" w:rsidP="007332C4">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30</w:t>
      </w:r>
      <w:r w:rsidRPr="000B4E2C">
        <w:t xml:space="preserve"> </w:t>
      </w:r>
      <w:r w:rsidR="007332C4" w:rsidRPr="000B4E2C">
        <w:t xml:space="preserve">Addition of biomarkers to existing clinical models for prediction of development or worsening of AKI, mortality and RRT </w:t>
      </w:r>
    </w:p>
    <w:tbl>
      <w:tblPr>
        <w:tblW w:w="0" w:type="auto"/>
        <w:tblCellMar>
          <w:top w:w="40" w:type="dxa"/>
          <w:left w:w="60" w:type="dxa"/>
          <w:bottom w:w="40" w:type="dxa"/>
          <w:right w:w="60" w:type="dxa"/>
        </w:tblCellMar>
        <w:tblLook w:val="04A0" w:firstRow="1" w:lastRow="0" w:firstColumn="1" w:lastColumn="0" w:noHBand="0" w:noVBand="1"/>
      </w:tblPr>
      <w:tblGrid>
        <w:gridCol w:w="1207"/>
        <w:gridCol w:w="1046"/>
        <w:gridCol w:w="931"/>
        <w:gridCol w:w="1004"/>
        <w:gridCol w:w="1004"/>
        <w:gridCol w:w="779"/>
        <w:gridCol w:w="1004"/>
        <w:gridCol w:w="1004"/>
        <w:gridCol w:w="1047"/>
      </w:tblGrid>
      <w:tr w:rsidR="000B4E2C" w:rsidRPr="000B4E2C" w14:paraId="1CB7A5CF" w14:textId="77777777" w:rsidTr="000B4E2C">
        <w:trPr>
          <w:cantSplit/>
        </w:trPr>
        <w:tc>
          <w:tcPr>
            <w:tcW w:w="0" w:type="auto"/>
            <w:vMerge w:val="restart"/>
            <w:shd w:val="clear" w:color="auto" w:fill="auto"/>
            <w:tcMar>
              <w:top w:w="0" w:type="dxa"/>
              <w:left w:w="108" w:type="dxa"/>
              <w:bottom w:w="0" w:type="dxa"/>
              <w:right w:w="108" w:type="dxa"/>
            </w:tcMar>
            <w:vAlign w:val="center"/>
          </w:tcPr>
          <w:p w14:paraId="72012906" w14:textId="77777777" w:rsidR="007332C4" w:rsidRPr="000B4E2C" w:rsidRDefault="007332C4" w:rsidP="00A0284C">
            <w:pPr>
              <w:rPr>
                <w:b/>
              </w:rPr>
            </w:pPr>
            <w:r w:rsidRPr="000B4E2C">
              <w:rPr>
                <w:b/>
              </w:rPr>
              <w:t>Study ID, geographical location, biomarker, setting</w:t>
            </w:r>
          </w:p>
        </w:tc>
        <w:tc>
          <w:tcPr>
            <w:tcW w:w="0" w:type="auto"/>
            <w:shd w:val="clear" w:color="auto" w:fill="auto"/>
            <w:vAlign w:val="center"/>
          </w:tcPr>
          <w:p w14:paraId="318FB6B4" w14:textId="77777777" w:rsidR="007332C4" w:rsidRPr="000B4E2C" w:rsidRDefault="007332C4" w:rsidP="00A0284C">
            <w:pPr>
              <w:jc w:val="center"/>
              <w:rPr>
                <w:b/>
              </w:rPr>
            </w:pPr>
          </w:p>
        </w:tc>
        <w:tc>
          <w:tcPr>
            <w:tcW w:w="0" w:type="auto"/>
            <w:gridSpan w:val="3"/>
            <w:shd w:val="clear" w:color="auto" w:fill="auto"/>
            <w:tcMar>
              <w:top w:w="0" w:type="dxa"/>
              <w:left w:w="10" w:type="dxa"/>
              <w:bottom w:w="0" w:type="dxa"/>
              <w:right w:w="10" w:type="dxa"/>
            </w:tcMar>
            <w:vAlign w:val="center"/>
          </w:tcPr>
          <w:p w14:paraId="7160E40A" w14:textId="77777777" w:rsidR="007332C4" w:rsidRPr="000B4E2C" w:rsidRDefault="007332C4" w:rsidP="00A0284C">
            <w:pPr>
              <w:jc w:val="center"/>
              <w:rPr>
                <w:b/>
              </w:rPr>
            </w:pPr>
            <w:r w:rsidRPr="000B4E2C">
              <w:rPr>
                <w:b/>
              </w:rPr>
              <w:t>AUC (95% CI or SEM)</w:t>
            </w:r>
          </w:p>
        </w:tc>
        <w:tc>
          <w:tcPr>
            <w:tcW w:w="0" w:type="auto"/>
            <w:gridSpan w:val="2"/>
            <w:shd w:val="clear" w:color="auto" w:fill="auto"/>
            <w:tcMar>
              <w:top w:w="0" w:type="dxa"/>
              <w:left w:w="108" w:type="dxa"/>
              <w:bottom w:w="0" w:type="dxa"/>
              <w:right w:w="108" w:type="dxa"/>
            </w:tcMar>
            <w:vAlign w:val="center"/>
          </w:tcPr>
          <w:p w14:paraId="2D194CDE" w14:textId="77777777" w:rsidR="007332C4" w:rsidRPr="000B4E2C" w:rsidRDefault="007332C4" w:rsidP="00A0284C">
            <w:pPr>
              <w:jc w:val="center"/>
              <w:rPr>
                <w:b/>
              </w:rPr>
            </w:pPr>
            <w:r w:rsidRPr="000B4E2C">
              <w:rPr>
                <w:b/>
              </w:rPr>
              <w:t>OR (95% CI)</w:t>
            </w:r>
          </w:p>
        </w:tc>
        <w:tc>
          <w:tcPr>
            <w:tcW w:w="0" w:type="auto"/>
            <w:gridSpan w:val="2"/>
            <w:shd w:val="clear" w:color="auto" w:fill="auto"/>
            <w:tcMar>
              <w:top w:w="0" w:type="dxa"/>
              <w:left w:w="10" w:type="dxa"/>
              <w:bottom w:w="0" w:type="dxa"/>
              <w:right w:w="10" w:type="dxa"/>
            </w:tcMar>
            <w:vAlign w:val="center"/>
          </w:tcPr>
          <w:p w14:paraId="3EA6B697" w14:textId="77777777" w:rsidR="007332C4" w:rsidRPr="000B4E2C" w:rsidRDefault="007332C4" w:rsidP="00A0284C">
            <w:pPr>
              <w:jc w:val="center"/>
              <w:rPr>
                <w:b/>
              </w:rPr>
            </w:pPr>
            <w:r w:rsidRPr="000B4E2C">
              <w:rPr>
                <w:b/>
              </w:rPr>
              <w:t>Adjustment of the model</w:t>
            </w:r>
          </w:p>
        </w:tc>
      </w:tr>
      <w:tr w:rsidR="000B4E2C" w:rsidRPr="000B4E2C" w14:paraId="0BF223D0" w14:textId="77777777" w:rsidTr="000B4E2C">
        <w:trPr>
          <w:cantSplit/>
        </w:trPr>
        <w:tc>
          <w:tcPr>
            <w:tcW w:w="0" w:type="auto"/>
            <w:vMerge/>
            <w:shd w:val="clear" w:color="auto" w:fill="auto"/>
            <w:tcMar>
              <w:top w:w="0" w:type="dxa"/>
              <w:left w:w="108" w:type="dxa"/>
              <w:bottom w:w="0" w:type="dxa"/>
              <w:right w:w="108" w:type="dxa"/>
            </w:tcMar>
            <w:vAlign w:val="center"/>
          </w:tcPr>
          <w:p w14:paraId="4C60BFB4" w14:textId="77777777" w:rsidR="007332C4" w:rsidRPr="000B4E2C" w:rsidRDefault="007332C4" w:rsidP="00A0284C">
            <w:pPr>
              <w:jc w:val="center"/>
              <w:rPr>
                <w:b/>
              </w:rPr>
            </w:pPr>
          </w:p>
        </w:tc>
        <w:tc>
          <w:tcPr>
            <w:tcW w:w="0" w:type="auto"/>
            <w:shd w:val="clear" w:color="auto" w:fill="auto"/>
            <w:vAlign w:val="center"/>
          </w:tcPr>
          <w:p w14:paraId="36A73D80" w14:textId="77777777" w:rsidR="007332C4" w:rsidRPr="000B4E2C" w:rsidRDefault="007332C4" w:rsidP="00A0284C">
            <w:pPr>
              <w:jc w:val="center"/>
              <w:rPr>
                <w:b/>
              </w:rPr>
            </w:pPr>
            <w:r w:rsidRPr="000B4E2C">
              <w:rPr>
                <w:b/>
              </w:rPr>
              <w:t>Diagnosis or Prediction</w:t>
            </w:r>
          </w:p>
        </w:tc>
        <w:tc>
          <w:tcPr>
            <w:tcW w:w="0" w:type="auto"/>
            <w:shd w:val="clear" w:color="auto" w:fill="auto"/>
            <w:tcMar>
              <w:top w:w="0" w:type="dxa"/>
              <w:left w:w="108" w:type="dxa"/>
              <w:bottom w:w="0" w:type="dxa"/>
              <w:right w:w="108" w:type="dxa"/>
            </w:tcMar>
            <w:vAlign w:val="center"/>
          </w:tcPr>
          <w:p w14:paraId="48EF1A90" w14:textId="77777777" w:rsidR="007332C4" w:rsidRPr="000B4E2C" w:rsidRDefault="007332C4" w:rsidP="00A0284C">
            <w:pPr>
              <w:jc w:val="center"/>
              <w:rPr>
                <w:b/>
              </w:rPr>
            </w:pPr>
            <w:r w:rsidRPr="000B4E2C">
              <w:rPr>
                <w:b/>
              </w:rPr>
              <w:t>Clinical Model</w:t>
            </w:r>
          </w:p>
        </w:tc>
        <w:tc>
          <w:tcPr>
            <w:tcW w:w="0" w:type="auto"/>
            <w:shd w:val="clear" w:color="auto" w:fill="auto"/>
            <w:tcMar>
              <w:top w:w="0" w:type="dxa"/>
              <w:left w:w="108" w:type="dxa"/>
              <w:bottom w:w="0" w:type="dxa"/>
              <w:right w:w="108" w:type="dxa"/>
            </w:tcMar>
            <w:vAlign w:val="center"/>
          </w:tcPr>
          <w:p w14:paraId="17DACF98" w14:textId="77777777" w:rsidR="007332C4" w:rsidRPr="000B4E2C" w:rsidRDefault="007332C4" w:rsidP="00A0284C">
            <w:pPr>
              <w:jc w:val="center"/>
              <w:rPr>
                <w:b/>
              </w:rPr>
            </w:pPr>
            <w:r w:rsidRPr="000B4E2C">
              <w:rPr>
                <w:b/>
              </w:rPr>
              <w:t>Biomarker</w:t>
            </w:r>
          </w:p>
        </w:tc>
        <w:tc>
          <w:tcPr>
            <w:tcW w:w="0" w:type="auto"/>
            <w:shd w:val="clear" w:color="auto" w:fill="auto"/>
            <w:tcMar>
              <w:top w:w="0" w:type="dxa"/>
              <w:left w:w="108" w:type="dxa"/>
              <w:bottom w:w="0" w:type="dxa"/>
              <w:right w:w="108" w:type="dxa"/>
            </w:tcMar>
            <w:vAlign w:val="center"/>
          </w:tcPr>
          <w:p w14:paraId="405AC66C" w14:textId="77777777" w:rsidR="007332C4" w:rsidRPr="000B4E2C" w:rsidRDefault="007332C4" w:rsidP="00A0284C">
            <w:pPr>
              <w:jc w:val="center"/>
              <w:rPr>
                <w:b/>
              </w:rPr>
            </w:pPr>
            <w:r w:rsidRPr="000B4E2C">
              <w:rPr>
                <w:b/>
              </w:rPr>
              <w:t>Biomarker + Clinical Model</w:t>
            </w:r>
          </w:p>
        </w:tc>
        <w:tc>
          <w:tcPr>
            <w:tcW w:w="0" w:type="auto"/>
            <w:shd w:val="clear" w:color="auto" w:fill="auto"/>
            <w:tcMar>
              <w:top w:w="0" w:type="dxa"/>
              <w:left w:w="108" w:type="dxa"/>
              <w:bottom w:w="0" w:type="dxa"/>
              <w:right w:w="108" w:type="dxa"/>
            </w:tcMar>
            <w:vAlign w:val="center"/>
          </w:tcPr>
          <w:p w14:paraId="757AECA8" w14:textId="77777777" w:rsidR="007332C4" w:rsidRPr="000B4E2C" w:rsidRDefault="007332C4" w:rsidP="00A0284C">
            <w:pPr>
              <w:jc w:val="center"/>
              <w:rPr>
                <w:b/>
              </w:rPr>
            </w:pPr>
            <w:r w:rsidRPr="000B4E2C">
              <w:rPr>
                <w:b/>
              </w:rPr>
              <w:t>Clinical Model</w:t>
            </w:r>
          </w:p>
        </w:tc>
        <w:tc>
          <w:tcPr>
            <w:tcW w:w="0" w:type="auto"/>
            <w:shd w:val="clear" w:color="auto" w:fill="auto"/>
            <w:tcMar>
              <w:top w:w="0" w:type="dxa"/>
              <w:left w:w="108" w:type="dxa"/>
              <w:bottom w:w="0" w:type="dxa"/>
              <w:right w:w="108" w:type="dxa"/>
            </w:tcMar>
            <w:vAlign w:val="center"/>
          </w:tcPr>
          <w:p w14:paraId="07D5D78E" w14:textId="77777777" w:rsidR="007332C4" w:rsidRPr="000B4E2C" w:rsidRDefault="007332C4" w:rsidP="00A0284C">
            <w:pPr>
              <w:jc w:val="center"/>
              <w:rPr>
                <w:b/>
              </w:rPr>
            </w:pPr>
            <w:r w:rsidRPr="000B4E2C">
              <w:rPr>
                <w:b/>
              </w:rPr>
              <w:t>Biomarker</w:t>
            </w:r>
          </w:p>
        </w:tc>
        <w:tc>
          <w:tcPr>
            <w:tcW w:w="0" w:type="auto"/>
            <w:shd w:val="clear" w:color="auto" w:fill="auto"/>
            <w:tcMar>
              <w:top w:w="0" w:type="dxa"/>
              <w:left w:w="108" w:type="dxa"/>
              <w:bottom w:w="0" w:type="dxa"/>
              <w:right w:w="108" w:type="dxa"/>
            </w:tcMar>
            <w:vAlign w:val="center"/>
          </w:tcPr>
          <w:p w14:paraId="31BB1311" w14:textId="77777777" w:rsidR="007332C4" w:rsidRPr="000B4E2C" w:rsidRDefault="007332C4" w:rsidP="00A0284C">
            <w:pPr>
              <w:jc w:val="center"/>
              <w:rPr>
                <w:b/>
              </w:rPr>
            </w:pPr>
            <w:r w:rsidRPr="000B4E2C">
              <w:rPr>
                <w:b/>
              </w:rPr>
              <w:t>Biomarker + Clinical Model</w:t>
            </w:r>
          </w:p>
        </w:tc>
        <w:tc>
          <w:tcPr>
            <w:tcW w:w="0" w:type="auto"/>
            <w:shd w:val="clear" w:color="auto" w:fill="auto"/>
            <w:tcMar>
              <w:top w:w="0" w:type="dxa"/>
              <w:left w:w="10" w:type="dxa"/>
              <w:bottom w:w="0" w:type="dxa"/>
              <w:right w:w="10" w:type="dxa"/>
            </w:tcMar>
            <w:vAlign w:val="center"/>
          </w:tcPr>
          <w:p w14:paraId="70D73AA8" w14:textId="77777777" w:rsidR="007332C4" w:rsidRPr="000B4E2C" w:rsidRDefault="007332C4" w:rsidP="00A0284C">
            <w:pPr>
              <w:jc w:val="center"/>
              <w:rPr>
                <w:b/>
              </w:rPr>
            </w:pPr>
          </w:p>
        </w:tc>
      </w:tr>
      <w:tr w:rsidR="007332C4" w:rsidRPr="000B4E2C" w14:paraId="78EF1772" w14:textId="77777777" w:rsidTr="000B4E2C">
        <w:trPr>
          <w:cantSplit/>
        </w:trPr>
        <w:tc>
          <w:tcPr>
            <w:tcW w:w="0" w:type="auto"/>
            <w:shd w:val="clear" w:color="auto" w:fill="auto"/>
          </w:tcPr>
          <w:p w14:paraId="6354A1E0" w14:textId="77777777" w:rsidR="007332C4" w:rsidRPr="000B4E2C" w:rsidRDefault="007332C4" w:rsidP="00A0284C">
            <w:pPr>
              <w:jc w:val="center"/>
              <w:rPr>
                <w:b/>
              </w:rPr>
            </w:pPr>
          </w:p>
        </w:tc>
        <w:tc>
          <w:tcPr>
            <w:tcW w:w="0" w:type="auto"/>
            <w:gridSpan w:val="8"/>
            <w:shd w:val="clear" w:color="auto" w:fill="auto"/>
            <w:tcMar>
              <w:top w:w="0" w:type="dxa"/>
              <w:left w:w="108" w:type="dxa"/>
              <w:bottom w:w="0" w:type="dxa"/>
              <w:right w:w="108" w:type="dxa"/>
            </w:tcMar>
            <w:vAlign w:val="center"/>
          </w:tcPr>
          <w:p w14:paraId="40D2FADF" w14:textId="77777777" w:rsidR="007332C4" w:rsidRPr="000B4E2C" w:rsidRDefault="007332C4" w:rsidP="00A0284C">
            <w:pPr>
              <w:jc w:val="center"/>
              <w:rPr>
                <w:b/>
              </w:rPr>
            </w:pPr>
            <w:r w:rsidRPr="000B4E2C">
              <w:rPr>
                <w:b/>
              </w:rPr>
              <w:t>AKI</w:t>
            </w:r>
          </w:p>
        </w:tc>
      </w:tr>
      <w:tr w:rsidR="000B4E2C" w:rsidRPr="000B4E2C" w14:paraId="3A4F3444" w14:textId="77777777" w:rsidTr="000B4E2C">
        <w:trPr>
          <w:cantSplit/>
        </w:trPr>
        <w:tc>
          <w:tcPr>
            <w:tcW w:w="0" w:type="auto"/>
            <w:shd w:val="clear" w:color="auto" w:fill="auto"/>
            <w:tcMar>
              <w:top w:w="0" w:type="dxa"/>
              <w:left w:w="108" w:type="dxa"/>
              <w:bottom w:w="0" w:type="dxa"/>
              <w:right w:w="108" w:type="dxa"/>
            </w:tcMar>
            <w:vAlign w:val="center"/>
          </w:tcPr>
          <w:p w14:paraId="076379D6" w14:textId="03990F4B" w:rsidR="007332C4" w:rsidRPr="000B4E2C" w:rsidRDefault="007332C4" w:rsidP="00A0284C">
            <w:r w:rsidRPr="000B4E2C">
              <w:t>Kashani 2013</w:t>
            </w:r>
            <w:r w:rsidR="00CD615E" w:rsidRPr="000B4E2C">
              <w:t>,</w:t>
            </w:r>
            <w:r w:rsidRPr="000B4E2C">
              <w:rPr>
                <w:noProof/>
                <w:vertAlign w:val="superscript"/>
              </w:rPr>
              <w:t>36</w:t>
            </w:r>
            <w:r w:rsidRPr="000B4E2C">
              <w:t xml:space="preserve"> North America and Europe, NephroCheck (Astute Medical) Critical care</w:t>
            </w:r>
            <w:r w:rsidR="000B4E2C" w:rsidRPr="000B4E2C">
              <w:rPr>
                <w:color w:val="00B0F0"/>
              </w:rPr>
              <w:t xml:space="preserve"> – </w:t>
            </w:r>
            <w:r w:rsidRPr="000B4E2C">
              <w:t xml:space="preserve">mixed population </w:t>
            </w:r>
          </w:p>
        </w:tc>
        <w:tc>
          <w:tcPr>
            <w:tcW w:w="0" w:type="auto"/>
            <w:shd w:val="clear" w:color="auto" w:fill="auto"/>
            <w:vAlign w:val="center"/>
          </w:tcPr>
          <w:p w14:paraId="1029E7F5" w14:textId="7F0B4F96" w:rsidR="000B4E2C" w:rsidRPr="000B4E2C" w:rsidRDefault="007332C4" w:rsidP="00A0284C">
            <w:r w:rsidRPr="000B4E2C">
              <w:t>Diagnosis of AKI within 1</w:t>
            </w:r>
            <w:r w:rsidR="000B4E2C" w:rsidRPr="000B4E2C">
              <w:rPr>
                <w:color w:val="00B0F0"/>
              </w:rPr>
              <w:t>2</w:t>
            </w:r>
            <w:r w:rsidR="000B4E2C" w:rsidRPr="000B4E2C">
              <w:rPr>
                <w:color w:val="00B0F0"/>
              </w:rPr>
              <w:t> </w:t>
            </w:r>
            <w:r w:rsidR="000B4E2C" w:rsidRPr="000B4E2C">
              <w:rPr>
                <w:color w:val="00B0F0"/>
              </w:rPr>
              <w:t>h.</w:t>
            </w:r>
          </w:p>
          <w:p w14:paraId="24C93F39" w14:textId="412CE081" w:rsidR="007332C4" w:rsidRPr="000B4E2C" w:rsidRDefault="007332C4" w:rsidP="00A0284C">
            <w:pPr>
              <w:rPr>
                <w:color w:val="FF0000"/>
              </w:rPr>
            </w:pPr>
            <w:r w:rsidRPr="000B4E2C">
              <w:t>Events</w:t>
            </w:r>
            <w:r w:rsidR="000B4E2C" w:rsidRPr="000B4E2C">
              <w:rPr>
                <w:color w:val="00B0F0"/>
              </w:rPr>
              <w:t> = </w:t>
            </w:r>
            <w:r w:rsidRPr="000B4E2C">
              <w:t>101</w:t>
            </w:r>
          </w:p>
        </w:tc>
        <w:tc>
          <w:tcPr>
            <w:tcW w:w="0" w:type="auto"/>
            <w:shd w:val="clear" w:color="auto" w:fill="auto"/>
            <w:tcMar>
              <w:top w:w="0" w:type="dxa"/>
              <w:left w:w="108" w:type="dxa"/>
              <w:bottom w:w="0" w:type="dxa"/>
              <w:right w:w="108" w:type="dxa"/>
            </w:tcMar>
            <w:vAlign w:val="center"/>
          </w:tcPr>
          <w:p w14:paraId="578B3B68" w14:textId="77777777" w:rsidR="007332C4" w:rsidRPr="000B4E2C" w:rsidRDefault="007332C4" w:rsidP="00A0284C">
            <w:r w:rsidRPr="000B4E2C">
              <w:t>0.81</w:t>
            </w:r>
          </w:p>
          <w:p w14:paraId="1372EC7C" w14:textId="66F961E1" w:rsidR="007332C4" w:rsidRPr="000B4E2C" w:rsidRDefault="007332C4" w:rsidP="00A0284C">
            <w:r w:rsidRPr="000B4E2C">
              <w:t>(0.76</w:t>
            </w:r>
            <w:r w:rsidR="000B4E2C" w:rsidRPr="000B4E2C">
              <w:rPr>
                <w:color w:val="00B0F0"/>
              </w:rPr>
              <w:t>–</w:t>
            </w:r>
            <w:r w:rsidR="000B4E2C" w:rsidRPr="000B4E2C">
              <w:rPr>
                <w:color w:val="00B0F0"/>
              </w:rPr>
              <w:t>0</w:t>
            </w:r>
            <w:r w:rsidRPr="000B4E2C">
              <w:t>.85)*</w:t>
            </w:r>
          </w:p>
        </w:tc>
        <w:tc>
          <w:tcPr>
            <w:tcW w:w="0" w:type="auto"/>
            <w:shd w:val="clear" w:color="auto" w:fill="auto"/>
            <w:tcMar>
              <w:top w:w="0" w:type="dxa"/>
              <w:left w:w="108" w:type="dxa"/>
              <w:bottom w:w="0" w:type="dxa"/>
              <w:right w:w="108" w:type="dxa"/>
            </w:tcMar>
            <w:vAlign w:val="center"/>
          </w:tcPr>
          <w:p w14:paraId="3AE71382" w14:textId="77777777" w:rsidR="007332C4" w:rsidRPr="000B4E2C" w:rsidRDefault="007332C4" w:rsidP="00A0284C">
            <w:r w:rsidRPr="000B4E2C">
              <w:t>0.80</w:t>
            </w:r>
          </w:p>
          <w:p w14:paraId="4DE4407C" w14:textId="62EDC423" w:rsidR="007332C4" w:rsidRPr="000B4E2C" w:rsidRDefault="007332C4" w:rsidP="00A0284C">
            <w:r w:rsidRPr="000B4E2C">
              <w:t>(0.75</w:t>
            </w:r>
            <w:r w:rsidR="000B4E2C" w:rsidRPr="000B4E2C">
              <w:rPr>
                <w:color w:val="00B0F0"/>
              </w:rPr>
              <w:t>–</w:t>
            </w:r>
            <w:r w:rsidR="000B4E2C" w:rsidRPr="000B4E2C">
              <w:rPr>
                <w:color w:val="00B0F0"/>
              </w:rPr>
              <w:t>0</w:t>
            </w:r>
            <w:r w:rsidRPr="000B4E2C">
              <w:t>.84) *</w:t>
            </w:r>
          </w:p>
        </w:tc>
        <w:tc>
          <w:tcPr>
            <w:tcW w:w="0" w:type="auto"/>
            <w:shd w:val="clear" w:color="auto" w:fill="auto"/>
            <w:tcMar>
              <w:top w:w="0" w:type="dxa"/>
              <w:left w:w="108" w:type="dxa"/>
              <w:bottom w:w="0" w:type="dxa"/>
              <w:right w:w="108" w:type="dxa"/>
            </w:tcMar>
            <w:vAlign w:val="center"/>
          </w:tcPr>
          <w:p w14:paraId="488AC238" w14:textId="77777777" w:rsidR="007332C4" w:rsidRPr="000B4E2C" w:rsidRDefault="007332C4" w:rsidP="00A0284C">
            <w:r w:rsidRPr="000B4E2C">
              <w:t>0.87</w:t>
            </w:r>
          </w:p>
          <w:p w14:paraId="0E49AAC6" w14:textId="4F670AC8" w:rsidR="007332C4" w:rsidRPr="000B4E2C" w:rsidRDefault="007332C4" w:rsidP="00A0284C">
            <w:r w:rsidRPr="000B4E2C">
              <w:t>(0.84</w:t>
            </w:r>
            <w:r w:rsidR="000B4E2C" w:rsidRPr="000B4E2C">
              <w:rPr>
                <w:color w:val="00B0F0"/>
              </w:rPr>
              <w:t>–</w:t>
            </w:r>
            <w:r w:rsidR="000B4E2C" w:rsidRPr="000B4E2C">
              <w:rPr>
                <w:color w:val="00B0F0"/>
              </w:rPr>
              <w:t>0</w:t>
            </w:r>
            <w:r w:rsidRPr="000B4E2C">
              <w:t>.90)*</w:t>
            </w:r>
          </w:p>
        </w:tc>
        <w:tc>
          <w:tcPr>
            <w:tcW w:w="0" w:type="auto"/>
            <w:shd w:val="clear" w:color="auto" w:fill="auto"/>
            <w:tcMar>
              <w:top w:w="0" w:type="dxa"/>
              <w:left w:w="108" w:type="dxa"/>
              <w:bottom w:w="0" w:type="dxa"/>
              <w:right w:w="108" w:type="dxa"/>
            </w:tcMar>
            <w:vAlign w:val="center"/>
          </w:tcPr>
          <w:p w14:paraId="3B292BE5"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3585D259"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69E37838" w14:textId="77777777" w:rsidR="007332C4" w:rsidRPr="000B4E2C" w:rsidRDefault="007332C4" w:rsidP="00A0284C">
            <w:r w:rsidRPr="000B4E2C">
              <w:t>NR</w:t>
            </w:r>
          </w:p>
        </w:tc>
        <w:tc>
          <w:tcPr>
            <w:tcW w:w="0" w:type="auto"/>
            <w:shd w:val="clear" w:color="auto" w:fill="auto"/>
            <w:tcMar>
              <w:top w:w="0" w:type="dxa"/>
              <w:left w:w="10" w:type="dxa"/>
              <w:bottom w:w="0" w:type="dxa"/>
              <w:right w:w="10" w:type="dxa"/>
            </w:tcMar>
            <w:vAlign w:val="center"/>
          </w:tcPr>
          <w:p w14:paraId="5687FF05" w14:textId="20D30146" w:rsidR="007332C4" w:rsidRPr="000B4E2C" w:rsidRDefault="007332C4" w:rsidP="00A0284C">
            <w:r w:rsidRPr="000B4E2C">
              <w:t>Age, sCR, APACHE III score, HT, nephrotoxic diagnosis, liver disease, DM and CKD.</w:t>
            </w:r>
            <w:r w:rsidR="000B4E2C" w:rsidRPr="000B4E2C">
              <w:t xml:space="preserve"> </w:t>
            </w:r>
          </w:p>
        </w:tc>
      </w:tr>
      <w:tr w:rsidR="000B4E2C" w:rsidRPr="000B4E2C" w14:paraId="0E317707" w14:textId="77777777" w:rsidTr="000B4E2C">
        <w:trPr>
          <w:cantSplit/>
        </w:trPr>
        <w:tc>
          <w:tcPr>
            <w:tcW w:w="0" w:type="auto"/>
            <w:shd w:val="clear" w:color="auto" w:fill="auto"/>
            <w:tcMar>
              <w:top w:w="0" w:type="dxa"/>
              <w:left w:w="108" w:type="dxa"/>
              <w:bottom w:w="0" w:type="dxa"/>
              <w:right w:w="108" w:type="dxa"/>
            </w:tcMar>
            <w:vAlign w:val="center"/>
          </w:tcPr>
          <w:p w14:paraId="0B94D931" w14:textId="02421E56" w:rsidR="007332C4" w:rsidRPr="000B4E2C" w:rsidRDefault="007332C4" w:rsidP="00A0284C">
            <w:pPr>
              <w:rPr>
                <w:lang w:eastAsia="en-GB"/>
              </w:rPr>
            </w:pPr>
            <w:r w:rsidRPr="000B4E2C">
              <w:lastRenderedPageBreak/>
              <w:t>Bihorac</w:t>
            </w:r>
            <w:r w:rsidRPr="000B4E2C">
              <w:tab/>
              <w:t>2014</w:t>
            </w:r>
            <w:r w:rsidR="00CD615E" w:rsidRPr="000B4E2C">
              <w:t>,</w:t>
            </w:r>
            <w:r w:rsidRPr="000B4E2C">
              <w:rPr>
                <w:noProof/>
                <w:vertAlign w:val="superscript"/>
              </w:rPr>
              <w:t>31</w:t>
            </w:r>
            <w:r w:rsidRPr="000B4E2C">
              <w:t xml:space="preserve"> </w:t>
            </w:r>
            <w:r w:rsidRPr="000B4E2C">
              <w:rPr>
                <w:lang w:eastAsia="en-GB"/>
              </w:rPr>
              <w:t>USA, NephroCheck (Astute Medical) Critical care</w:t>
            </w:r>
            <w:r w:rsidR="000B4E2C" w:rsidRPr="000B4E2C">
              <w:rPr>
                <w:color w:val="00B0F0"/>
                <w:lang w:eastAsia="en-GB"/>
              </w:rPr>
              <w:t xml:space="preserve"> – </w:t>
            </w:r>
            <w:r w:rsidRPr="000B4E2C">
              <w:rPr>
                <w:lang w:eastAsia="en-GB"/>
              </w:rPr>
              <w:t xml:space="preserve">mixed population </w:t>
            </w:r>
          </w:p>
        </w:tc>
        <w:tc>
          <w:tcPr>
            <w:tcW w:w="0" w:type="auto"/>
            <w:shd w:val="clear" w:color="auto" w:fill="auto"/>
            <w:vAlign w:val="center"/>
          </w:tcPr>
          <w:p w14:paraId="685CE106" w14:textId="7D8D906F" w:rsidR="007332C4" w:rsidRPr="000B4E2C" w:rsidRDefault="007332C4" w:rsidP="00A0284C">
            <w:r w:rsidRPr="000B4E2C">
              <w:t>Diagnosis of AKI within 1</w:t>
            </w:r>
            <w:r w:rsidR="000B4E2C" w:rsidRPr="000B4E2C">
              <w:rPr>
                <w:color w:val="00B0F0"/>
              </w:rPr>
              <w:t>2</w:t>
            </w:r>
            <w:r w:rsidR="000B4E2C" w:rsidRPr="000B4E2C">
              <w:rPr>
                <w:color w:val="00B0F0"/>
              </w:rPr>
              <w:t> </w:t>
            </w:r>
            <w:r w:rsidR="000B4E2C" w:rsidRPr="000B4E2C">
              <w:rPr>
                <w:color w:val="00B0F0"/>
              </w:rPr>
              <w:t>h.</w:t>
            </w:r>
            <w:r w:rsidRPr="000B4E2C">
              <w:t xml:space="preserve"> Events</w:t>
            </w:r>
            <w:r w:rsidR="000B4E2C" w:rsidRPr="000B4E2C">
              <w:rPr>
                <w:color w:val="00B0F0"/>
              </w:rPr>
              <w:t> = </w:t>
            </w:r>
            <w:r w:rsidRPr="000B4E2C">
              <w:t>71</w:t>
            </w:r>
          </w:p>
        </w:tc>
        <w:tc>
          <w:tcPr>
            <w:tcW w:w="0" w:type="auto"/>
            <w:shd w:val="clear" w:color="auto" w:fill="auto"/>
            <w:tcMar>
              <w:top w:w="0" w:type="dxa"/>
              <w:left w:w="108" w:type="dxa"/>
              <w:bottom w:w="0" w:type="dxa"/>
              <w:right w:w="108" w:type="dxa"/>
            </w:tcMar>
            <w:vAlign w:val="center"/>
          </w:tcPr>
          <w:p w14:paraId="4E31942C" w14:textId="77777777" w:rsidR="007332C4" w:rsidRPr="000B4E2C" w:rsidRDefault="007332C4" w:rsidP="00A0284C">
            <w:r w:rsidRPr="000B4E2C">
              <w:t>0.70</w:t>
            </w:r>
          </w:p>
          <w:p w14:paraId="5F0E3286" w14:textId="543AE1C7" w:rsidR="007332C4" w:rsidRPr="000B4E2C" w:rsidRDefault="007332C4" w:rsidP="00A0284C">
            <w:r w:rsidRPr="000B4E2C">
              <w:t>(0.63</w:t>
            </w:r>
            <w:r w:rsidR="000B4E2C" w:rsidRPr="000B4E2C">
              <w:rPr>
                <w:color w:val="00B0F0"/>
              </w:rPr>
              <w:t>–</w:t>
            </w:r>
            <w:r w:rsidR="000B4E2C" w:rsidRPr="000B4E2C">
              <w:rPr>
                <w:color w:val="00B0F0"/>
              </w:rPr>
              <w:t>0</w:t>
            </w:r>
            <w:r w:rsidRPr="000B4E2C">
              <w:t xml:space="preserve">.76) </w:t>
            </w:r>
            <w:r w:rsidRPr="000B4E2C">
              <w:rPr>
                <w:i/>
                <w:color w:val="00B0F0"/>
              </w:rPr>
              <w:t>p</w:t>
            </w:r>
            <w:r w:rsidR="000B4E2C" w:rsidRPr="000B4E2C">
              <w:rPr>
                <w:color w:val="00B0F0"/>
              </w:rPr>
              <w:t>&lt;</w:t>
            </w:r>
            <w:r w:rsidR="000B4E2C" w:rsidRPr="000B4E2C">
              <w:rPr>
                <w:color w:val="00B0F0"/>
              </w:rPr>
              <w:t> </w:t>
            </w:r>
            <w:r w:rsidR="000B4E2C" w:rsidRPr="000B4E2C">
              <w:rPr>
                <w:color w:val="00B0F0"/>
              </w:rPr>
              <w:t>0</w:t>
            </w:r>
            <w:r w:rsidRPr="000B4E2C">
              <w:t>.001</w:t>
            </w:r>
          </w:p>
        </w:tc>
        <w:tc>
          <w:tcPr>
            <w:tcW w:w="0" w:type="auto"/>
            <w:shd w:val="clear" w:color="auto" w:fill="auto"/>
            <w:tcMar>
              <w:top w:w="0" w:type="dxa"/>
              <w:left w:w="108" w:type="dxa"/>
              <w:bottom w:w="0" w:type="dxa"/>
              <w:right w:w="108" w:type="dxa"/>
            </w:tcMar>
            <w:vAlign w:val="center"/>
          </w:tcPr>
          <w:p w14:paraId="3EB53704"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490C635A" w14:textId="77777777" w:rsidR="007332C4" w:rsidRPr="000B4E2C" w:rsidRDefault="007332C4" w:rsidP="00A0284C">
            <w:r w:rsidRPr="000B4E2C">
              <w:t>0.86</w:t>
            </w:r>
          </w:p>
          <w:p w14:paraId="7B4C57CC" w14:textId="33E0A078" w:rsidR="007332C4" w:rsidRPr="000B4E2C" w:rsidRDefault="007332C4" w:rsidP="00A0284C">
            <w:r w:rsidRPr="000B4E2C">
              <w:t>(0.80</w:t>
            </w:r>
            <w:r w:rsidR="000B4E2C" w:rsidRPr="000B4E2C">
              <w:rPr>
                <w:color w:val="00B0F0"/>
              </w:rPr>
              <w:t>–</w:t>
            </w:r>
            <w:r w:rsidR="000B4E2C" w:rsidRPr="000B4E2C">
              <w:rPr>
                <w:color w:val="00B0F0"/>
              </w:rPr>
              <w:t>0</w:t>
            </w:r>
            <w:r w:rsidRPr="000B4E2C">
              <w:t xml:space="preserve">.90) </w:t>
            </w:r>
            <w:r w:rsidRPr="000B4E2C">
              <w:rPr>
                <w:i/>
                <w:color w:val="00B0F0"/>
              </w:rPr>
              <w:t>p</w:t>
            </w:r>
            <w:r w:rsidR="000B4E2C" w:rsidRPr="000B4E2C">
              <w:rPr>
                <w:color w:val="00B0F0"/>
              </w:rPr>
              <w:t>&lt;</w:t>
            </w:r>
            <w:r w:rsidR="000B4E2C" w:rsidRPr="000B4E2C">
              <w:rPr>
                <w:color w:val="00B0F0"/>
              </w:rPr>
              <w:t> </w:t>
            </w:r>
            <w:r w:rsidR="000B4E2C" w:rsidRPr="000B4E2C">
              <w:rPr>
                <w:color w:val="00B0F0"/>
              </w:rPr>
              <w:t>0</w:t>
            </w:r>
            <w:r w:rsidRPr="000B4E2C">
              <w:t>.001</w:t>
            </w:r>
          </w:p>
        </w:tc>
        <w:tc>
          <w:tcPr>
            <w:tcW w:w="0" w:type="auto"/>
            <w:shd w:val="clear" w:color="auto" w:fill="auto"/>
            <w:tcMar>
              <w:top w:w="0" w:type="dxa"/>
              <w:left w:w="108" w:type="dxa"/>
              <w:bottom w:w="0" w:type="dxa"/>
              <w:right w:w="108" w:type="dxa"/>
            </w:tcMar>
            <w:vAlign w:val="center"/>
          </w:tcPr>
          <w:p w14:paraId="3AD120B9"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03E13D8A"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730292EC" w14:textId="77777777" w:rsidR="007332C4" w:rsidRPr="000B4E2C" w:rsidRDefault="007332C4" w:rsidP="00A0284C">
            <w:r w:rsidRPr="000B4E2C">
              <w:t>NR</w:t>
            </w:r>
          </w:p>
        </w:tc>
        <w:tc>
          <w:tcPr>
            <w:tcW w:w="0" w:type="auto"/>
            <w:shd w:val="clear" w:color="auto" w:fill="auto"/>
            <w:tcMar>
              <w:top w:w="0" w:type="dxa"/>
              <w:left w:w="10" w:type="dxa"/>
              <w:bottom w:w="0" w:type="dxa"/>
              <w:right w:w="10" w:type="dxa"/>
            </w:tcMar>
            <w:vAlign w:val="center"/>
          </w:tcPr>
          <w:p w14:paraId="747A339A" w14:textId="3F92ADDC" w:rsidR="000B4E2C" w:rsidRPr="000B4E2C" w:rsidRDefault="007332C4" w:rsidP="00A0284C">
            <w:r w:rsidRPr="000B4E2C">
              <w:t xml:space="preserve">Included clinical variables for which a univariate association with AKI at </w:t>
            </w:r>
            <w:r w:rsidRPr="000B4E2C">
              <w:rPr>
                <w:i/>
                <w:color w:val="00B0F0"/>
              </w:rPr>
              <w:t>p</w:t>
            </w:r>
            <w:r w:rsidR="000B4E2C" w:rsidRPr="000B4E2C">
              <w:rPr>
                <w:color w:val="00B0F0"/>
              </w:rPr>
              <w:t>&lt;</w:t>
            </w:r>
            <w:r w:rsidR="000B4E2C" w:rsidRPr="000B4E2C">
              <w:rPr>
                <w:color w:val="00B0F0"/>
              </w:rPr>
              <w:t> </w:t>
            </w:r>
            <w:r w:rsidR="000B4E2C" w:rsidRPr="000B4E2C">
              <w:rPr>
                <w:color w:val="00B0F0"/>
              </w:rPr>
              <w:t>0</w:t>
            </w:r>
            <w:r w:rsidRPr="000B4E2C">
              <w:t>.1 was found.</w:t>
            </w:r>
            <w:r w:rsidR="000B4E2C" w:rsidRPr="000B4E2C">
              <w:t xml:space="preserve"> </w:t>
            </w:r>
            <w:r w:rsidRPr="000B4E2C">
              <w:t>Also included sCR and the KDIGO criteria.</w:t>
            </w:r>
            <w:r w:rsidR="000B4E2C" w:rsidRPr="000B4E2C">
              <w:t xml:space="preserve"> </w:t>
            </w:r>
            <w:r w:rsidRPr="000B4E2C">
              <w:t xml:space="preserve">They also then used univariate sig of </w:t>
            </w:r>
            <w:r w:rsidRPr="000B4E2C">
              <w:rPr>
                <w:i/>
                <w:color w:val="00B0F0"/>
              </w:rPr>
              <w:t>p</w:t>
            </w:r>
            <w:r w:rsidR="000B4E2C" w:rsidRPr="000B4E2C">
              <w:rPr>
                <w:color w:val="00B0F0"/>
              </w:rPr>
              <w:t>&lt;</w:t>
            </w:r>
            <w:r w:rsidR="000B4E2C" w:rsidRPr="000B4E2C">
              <w:rPr>
                <w:color w:val="00B0F0"/>
              </w:rPr>
              <w:t> </w:t>
            </w:r>
            <w:r w:rsidR="000B4E2C" w:rsidRPr="000B4E2C">
              <w:rPr>
                <w:color w:val="00B0F0"/>
              </w:rPr>
              <w:t>.</w:t>
            </w:r>
            <w:r w:rsidRPr="000B4E2C">
              <w:t>1.</w:t>
            </w:r>
            <w:r w:rsidR="000B4E2C" w:rsidRPr="000B4E2C">
              <w:t xml:space="preserve"> </w:t>
            </w:r>
            <w:r w:rsidRPr="000B4E2C">
              <w:t>Final model seems to include enrolment serum creatinine, APAHE III score (non renal), BMI.</w:t>
            </w:r>
          </w:p>
          <w:p w14:paraId="4A14774C" w14:textId="11408D52" w:rsidR="007332C4" w:rsidRPr="000B4E2C" w:rsidRDefault="007332C4" w:rsidP="00A0284C"/>
        </w:tc>
      </w:tr>
      <w:tr w:rsidR="000B4E2C" w:rsidRPr="000B4E2C" w14:paraId="199E78DF" w14:textId="77777777" w:rsidTr="000B4E2C">
        <w:trPr>
          <w:cantSplit/>
        </w:trPr>
        <w:tc>
          <w:tcPr>
            <w:tcW w:w="0" w:type="auto"/>
            <w:shd w:val="clear" w:color="auto" w:fill="auto"/>
            <w:tcMar>
              <w:top w:w="0" w:type="dxa"/>
              <w:left w:w="108" w:type="dxa"/>
              <w:bottom w:w="0" w:type="dxa"/>
              <w:right w:w="108" w:type="dxa"/>
            </w:tcMar>
            <w:vAlign w:val="center"/>
          </w:tcPr>
          <w:p w14:paraId="1AB007E9" w14:textId="5B65F268" w:rsidR="007332C4" w:rsidRPr="000B4E2C" w:rsidRDefault="007332C4" w:rsidP="00A0284C">
            <w:r w:rsidRPr="000B4E2C">
              <w:lastRenderedPageBreak/>
              <w:t>Parikh 2011</w:t>
            </w:r>
            <w:r w:rsidR="00CD615E" w:rsidRPr="000B4E2C">
              <w:t>,</w:t>
            </w:r>
            <w:r w:rsidRPr="000B4E2C">
              <w:rPr>
                <w:noProof/>
                <w:vertAlign w:val="superscript"/>
              </w:rPr>
              <w:t>39</w:t>
            </w:r>
            <w:r w:rsidR="00CD615E" w:rsidRPr="000B4E2C">
              <w:t xml:space="preserve"> </w:t>
            </w:r>
            <w:r w:rsidRPr="000B4E2C">
              <w:t>North America, uNGAL ARCHITECT, Cardiac surgery</w:t>
            </w:r>
          </w:p>
        </w:tc>
        <w:tc>
          <w:tcPr>
            <w:tcW w:w="0" w:type="auto"/>
            <w:shd w:val="clear" w:color="auto" w:fill="auto"/>
            <w:vAlign w:val="center"/>
          </w:tcPr>
          <w:p w14:paraId="117A09EE" w14:textId="77777777" w:rsidR="000B4E2C" w:rsidRPr="000B4E2C" w:rsidRDefault="007332C4" w:rsidP="00A0284C">
            <w:pPr>
              <w:rPr>
                <w:color w:val="00B0F0"/>
              </w:rPr>
            </w:pPr>
            <w:r w:rsidRPr="000B4E2C">
              <w:t>Diagnosis of AKI within 7</w:t>
            </w:r>
            <w:r w:rsidR="000B4E2C" w:rsidRPr="000B4E2C">
              <w:rPr>
                <w:color w:val="00B0F0"/>
              </w:rPr>
              <w:t>2</w:t>
            </w:r>
            <w:r w:rsidR="000B4E2C" w:rsidRPr="000B4E2C">
              <w:rPr>
                <w:color w:val="00B0F0"/>
              </w:rPr>
              <w:t> </w:t>
            </w:r>
            <w:r w:rsidR="000B4E2C" w:rsidRPr="000B4E2C">
              <w:rPr>
                <w:color w:val="00B0F0"/>
              </w:rPr>
              <w:t>h</w:t>
            </w:r>
          </w:p>
          <w:p w14:paraId="2F5D79FF" w14:textId="11DBB72C" w:rsidR="007332C4" w:rsidRPr="000B4E2C" w:rsidRDefault="007332C4" w:rsidP="00A0284C">
            <w:r w:rsidRPr="000B4E2C">
              <w:t>Events</w:t>
            </w:r>
            <w:r w:rsidR="000B4E2C" w:rsidRPr="000B4E2C">
              <w:rPr>
                <w:color w:val="00B0F0"/>
              </w:rPr>
              <w:t> = </w:t>
            </w:r>
            <w:r w:rsidRPr="000B4E2C">
              <w:t>60</w:t>
            </w:r>
          </w:p>
        </w:tc>
        <w:tc>
          <w:tcPr>
            <w:tcW w:w="0" w:type="auto"/>
            <w:shd w:val="clear" w:color="auto" w:fill="auto"/>
            <w:tcMar>
              <w:top w:w="0" w:type="dxa"/>
              <w:left w:w="108" w:type="dxa"/>
              <w:bottom w:w="0" w:type="dxa"/>
              <w:right w:w="108" w:type="dxa"/>
            </w:tcMar>
            <w:vAlign w:val="center"/>
          </w:tcPr>
          <w:p w14:paraId="301DEDA6" w14:textId="77777777" w:rsidR="007332C4" w:rsidRPr="000B4E2C" w:rsidRDefault="007332C4" w:rsidP="00A0284C">
            <w:r w:rsidRPr="000B4E2C">
              <w:t>0.69 (0.04)</w:t>
            </w:r>
          </w:p>
        </w:tc>
        <w:tc>
          <w:tcPr>
            <w:tcW w:w="0" w:type="auto"/>
            <w:shd w:val="clear" w:color="auto" w:fill="auto"/>
            <w:tcMar>
              <w:top w:w="0" w:type="dxa"/>
              <w:left w:w="108" w:type="dxa"/>
              <w:bottom w:w="0" w:type="dxa"/>
              <w:right w:w="108" w:type="dxa"/>
            </w:tcMar>
            <w:vAlign w:val="center"/>
          </w:tcPr>
          <w:p w14:paraId="0732D41F" w14:textId="383702D3" w:rsidR="007332C4" w:rsidRPr="000B4E2C" w:rsidRDefault="007332C4" w:rsidP="00A0284C">
            <w:r w:rsidRPr="000B4E2C">
              <w:t>0.67</w:t>
            </w:r>
            <w:r w:rsidR="000B4E2C" w:rsidRPr="000B4E2C">
              <w:t xml:space="preserve"> </w:t>
            </w:r>
            <w:r w:rsidRPr="000B4E2C">
              <w:t>(0.04)</w:t>
            </w:r>
          </w:p>
        </w:tc>
        <w:tc>
          <w:tcPr>
            <w:tcW w:w="0" w:type="auto"/>
            <w:shd w:val="clear" w:color="auto" w:fill="auto"/>
            <w:tcMar>
              <w:top w:w="0" w:type="dxa"/>
              <w:left w:w="108" w:type="dxa"/>
              <w:bottom w:w="0" w:type="dxa"/>
              <w:right w:w="108" w:type="dxa"/>
            </w:tcMar>
            <w:vAlign w:val="center"/>
          </w:tcPr>
          <w:p w14:paraId="4400626F" w14:textId="7753A89E" w:rsidR="007332C4" w:rsidRPr="000B4E2C" w:rsidRDefault="007332C4" w:rsidP="00A0284C">
            <w:r w:rsidRPr="000B4E2C">
              <w:t>0.73 (0.04) (</w:t>
            </w:r>
            <w:r w:rsidRPr="000B4E2C">
              <w:rPr>
                <w:i/>
                <w:color w:val="00B0F0"/>
              </w:rPr>
              <w:t>p</w:t>
            </w:r>
            <w:r w:rsidR="000B4E2C" w:rsidRPr="000B4E2C">
              <w:rPr>
                <w:color w:val="00B0F0"/>
              </w:rPr>
              <w:t> = </w:t>
            </w:r>
            <w:r w:rsidRPr="000B4E2C">
              <w:t>0.12)</w:t>
            </w:r>
          </w:p>
        </w:tc>
        <w:tc>
          <w:tcPr>
            <w:tcW w:w="0" w:type="auto"/>
            <w:shd w:val="clear" w:color="auto" w:fill="auto"/>
            <w:tcMar>
              <w:top w:w="0" w:type="dxa"/>
              <w:left w:w="108" w:type="dxa"/>
              <w:bottom w:w="0" w:type="dxa"/>
              <w:right w:w="108" w:type="dxa"/>
            </w:tcMar>
            <w:vAlign w:val="center"/>
          </w:tcPr>
          <w:p w14:paraId="5DCD0680"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1D7F55F6"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391182B4" w14:textId="77777777" w:rsidR="007332C4" w:rsidRPr="000B4E2C" w:rsidRDefault="007332C4" w:rsidP="00A0284C">
            <w:r w:rsidRPr="000B4E2C">
              <w:t>NR</w:t>
            </w:r>
          </w:p>
        </w:tc>
        <w:tc>
          <w:tcPr>
            <w:tcW w:w="0" w:type="auto"/>
            <w:shd w:val="clear" w:color="auto" w:fill="auto"/>
            <w:tcMar>
              <w:top w:w="0" w:type="dxa"/>
              <w:left w:w="10" w:type="dxa"/>
              <w:bottom w:w="0" w:type="dxa"/>
              <w:right w:w="10" w:type="dxa"/>
            </w:tcMar>
            <w:vAlign w:val="center"/>
          </w:tcPr>
          <w:p w14:paraId="6FD0000A" w14:textId="3E0A1E1C" w:rsidR="007332C4" w:rsidRPr="000B4E2C" w:rsidRDefault="007332C4" w:rsidP="00A0284C">
            <w:pPr>
              <w:autoSpaceDE w:val="0"/>
              <w:adjustRightInd w:val="0"/>
            </w:pPr>
            <w:r w:rsidRPr="000B4E2C">
              <w:t xml:space="preserve">Variables included in the clinical model were: age, gender, white race, CPB time </w:t>
            </w:r>
            <w:r w:rsidR="000B4E2C" w:rsidRPr="000B4E2C">
              <w:rPr>
                <w:color w:val="00B0F0"/>
              </w:rPr>
              <w:t>&gt;</w:t>
            </w:r>
            <w:r w:rsidR="000B4E2C" w:rsidRPr="000B4E2C">
              <w:rPr>
                <w:color w:val="00B0F0"/>
              </w:rPr>
              <w:t> </w:t>
            </w:r>
            <w:r w:rsidRPr="000B4E2C">
              <w:t>120 minutes, non-elective surgery, pre-operative eGFR, diabetes, and hypertension. The improvement of risk prediction with the addition of biomarkers to the clinical model,was determined using NRI and IDI indices.</w:t>
            </w:r>
          </w:p>
        </w:tc>
      </w:tr>
      <w:tr w:rsidR="000B4E2C" w:rsidRPr="000B4E2C" w14:paraId="5BC10B85" w14:textId="77777777" w:rsidTr="000B4E2C">
        <w:trPr>
          <w:cantSplit/>
        </w:trPr>
        <w:tc>
          <w:tcPr>
            <w:tcW w:w="0" w:type="auto"/>
            <w:shd w:val="clear" w:color="auto" w:fill="auto"/>
            <w:tcMar>
              <w:top w:w="0" w:type="dxa"/>
              <w:left w:w="108" w:type="dxa"/>
              <w:bottom w:w="0" w:type="dxa"/>
              <w:right w:w="108" w:type="dxa"/>
            </w:tcMar>
            <w:vAlign w:val="center"/>
          </w:tcPr>
          <w:p w14:paraId="6F8FB297" w14:textId="5BE1C962" w:rsidR="007332C4" w:rsidRPr="000B4E2C" w:rsidRDefault="007332C4" w:rsidP="00A0284C">
            <w:r w:rsidRPr="000B4E2C">
              <w:t>Schley 2015</w:t>
            </w:r>
            <w:r w:rsidR="00CD615E" w:rsidRPr="000B4E2C">
              <w:t>,</w:t>
            </w:r>
            <w:r w:rsidRPr="000B4E2C">
              <w:rPr>
                <w:noProof/>
                <w:vertAlign w:val="superscript"/>
              </w:rPr>
              <w:t>63</w:t>
            </w:r>
            <w:r w:rsidRPr="000B4E2C">
              <w:t xml:space="preserve"> Germany urine and plasma NGAL BioPorto, Cardiac surgery</w:t>
            </w:r>
          </w:p>
        </w:tc>
        <w:tc>
          <w:tcPr>
            <w:tcW w:w="0" w:type="auto"/>
            <w:shd w:val="clear" w:color="auto" w:fill="auto"/>
            <w:vAlign w:val="center"/>
          </w:tcPr>
          <w:p w14:paraId="76C331CE" w14:textId="153B9B64" w:rsidR="007332C4" w:rsidRPr="000B4E2C" w:rsidRDefault="007332C4" w:rsidP="00A0284C">
            <w:r w:rsidRPr="000B4E2C">
              <w:t>Diagnosis of AKI</w:t>
            </w:r>
            <w:r w:rsidR="000B4E2C" w:rsidRPr="000B4E2C">
              <w:t xml:space="preserve"> </w:t>
            </w:r>
            <w:r w:rsidRPr="000B4E2C">
              <w:t>within 7</w:t>
            </w:r>
            <w:r w:rsidR="000B4E2C" w:rsidRPr="000B4E2C">
              <w:rPr>
                <w:color w:val="00B0F0"/>
              </w:rPr>
              <w:t>2</w:t>
            </w:r>
            <w:r w:rsidR="000B4E2C" w:rsidRPr="000B4E2C">
              <w:rPr>
                <w:color w:val="00B0F0"/>
              </w:rPr>
              <w:t> </w:t>
            </w:r>
            <w:r w:rsidR="000B4E2C" w:rsidRPr="000B4E2C">
              <w:rPr>
                <w:color w:val="00B0F0"/>
              </w:rPr>
              <w:t>h</w:t>
            </w:r>
            <w:r w:rsidR="000B4E2C" w:rsidRPr="000B4E2C">
              <w:rPr>
                <w:color w:val="00B0F0"/>
              </w:rPr>
              <w:t xml:space="preserve"> </w:t>
            </w:r>
            <w:r w:rsidRPr="000B4E2C">
              <w:t>from surgery.</w:t>
            </w:r>
          </w:p>
          <w:p w14:paraId="395A9BDB" w14:textId="359F1DE6" w:rsidR="007332C4" w:rsidRPr="000B4E2C" w:rsidRDefault="007332C4" w:rsidP="00A0284C">
            <w:r w:rsidRPr="000B4E2C">
              <w:t>Events</w:t>
            </w:r>
            <w:r w:rsidR="000B4E2C" w:rsidRPr="000B4E2C">
              <w:rPr>
                <w:color w:val="00B0F0"/>
              </w:rPr>
              <w:t> = </w:t>
            </w:r>
            <w:r w:rsidRPr="000B4E2C">
              <w:t>37</w:t>
            </w:r>
          </w:p>
        </w:tc>
        <w:tc>
          <w:tcPr>
            <w:tcW w:w="0" w:type="auto"/>
            <w:shd w:val="clear" w:color="auto" w:fill="auto"/>
            <w:tcMar>
              <w:top w:w="0" w:type="dxa"/>
              <w:left w:w="108" w:type="dxa"/>
              <w:bottom w:w="0" w:type="dxa"/>
              <w:right w:w="108" w:type="dxa"/>
            </w:tcMar>
            <w:vAlign w:val="center"/>
          </w:tcPr>
          <w:p w14:paraId="6419E950" w14:textId="409D7713" w:rsidR="007332C4" w:rsidRPr="000B4E2C" w:rsidRDefault="007332C4" w:rsidP="00A0284C">
            <w:r w:rsidRPr="000B4E2C">
              <w:t>0.76 (</w:t>
            </w:r>
            <w:r w:rsidRPr="000B4E2C">
              <w:rPr>
                <w:i/>
                <w:color w:val="00B0F0"/>
              </w:rPr>
              <w:t>p</w:t>
            </w:r>
            <w:r w:rsidR="000B4E2C" w:rsidRPr="000B4E2C">
              <w:rPr>
                <w:color w:val="00B0F0"/>
              </w:rPr>
              <w:t>&lt;</w:t>
            </w:r>
            <w:r w:rsidR="000B4E2C" w:rsidRPr="000B4E2C">
              <w:rPr>
                <w:color w:val="00B0F0"/>
              </w:rPr>
              <w:t> </w:t>
            </w:r>
            <w:r w:rsidR="000B4E2C" w:rsidRPr="000B4E2C">
              <w:rPr>
                <w:color w:val="00B0F0"/>
              </w:rPr>
              <w:t>0</w:t>
            </w:r>
            <w:r w:rsidRPr="000B4E2C">
              <w:t>.001)</w:t>
            </w:r>
          </w:p>
        </w:tc>
        <w:tc>
          <w:tcPr>
            <w:tcW w:w="0" w:type="auto"/>
            <w:shd w:val="clear" w:color="auto" w:fill="auto"/>
            <w:tcMar>
              <w:top w:w="0" w:type="dxa"/>
              <w:left w:w="108" w:type="dxa"/>
              <w:bottom w:w="0" w:type="dxa"/>
              <w:right w:w="108" w:type="dxa"/>
            </w:tcMar>
            <w:vAlign w:val="center"/>
          </w:tcPr>
          <w:p w14:paraId="51188A36" w14:textId="2D15B22B" w:rsidR="007332C4" w:rsidRPr="000B4E2C" w:rsidRDefault="007332C4" w:rsidP="00A0284C">
            <w:r w:rsidRPr="000B4E2C">
              <w:t>pNGAL 0.81 (0.73</w:t>
            </w:r>
            <w:r w:rsidR="000B4E2C" w:rsidRPr="000B4E2C">
              <w:rPr>
                <w:color w:val="00B0F0"/>
              </w:rPr>
              <w:t>–</w:t>
            </w:r>
            <w:r w:rsidR="000B4E2C" w:rsidRPr="000B4E2C">
              <w:rPr>
                <w:color w:val="00B0F0"/>
              </w:rPr>
              <w:t>0</w:t>
            </w:r>
            <w:r w:rsidRPr="000B4E2C">
              <w:t>.90)</w:t>
            </w:r>
          </w:p>
          <w:p w14:paraId="357B25E4" w14:textId="08B54822" w:rsidR="007332C4" w:rsidRPr="000B4E2C" w:rsidRDefault="007332C4" w:rsidP="00A0284C">
            <w:r w:rsidRPr="000B4E2C">
              <w:t>(</w:t>
            </w:r>
            <w:r w:rsidRPr="000B4E2C">
              <w:rPr>
                <w:i/>
                <w:color w:val="00B0F0"/>
              </w:rPr>
              <w:t>p</w:t>
            </w:r>
            <w:r w:rsidR="000B4E2C" w:rsidRPr="000B4E2C">
              <w:rPr>
                <w:color w:val="00B0F0"/>
              </w:rPr>
              <w:t>&lt;</w:t>
            </w:r>
            <w:r w:rsidR="000B4E2C" w:rsidRPr="000B4E2C">
              <w:rPr>
                <w:color w:val="00B0F0"/>
              </w:rPr>
              <w:t> </w:t>
            </w:r>
            <w:r w:rsidR="000B4E2C" w:rsidRPr="000B4E2C">
              <w:rPr>
                <w:color w:val="00B0F0"/>
              </w:rPr>
              <w:t>0</w:t>
            </w:r>
            <w:r w:rsidRPr="000B4E2C">
              <w:t>.001)</w:t>
            </w:r>
          </w:p>
          <w:p w14:paraId="5069615C" w14:textId="3EB71B2C" w:rsidR="007332C4" w:rsidRPr="000B4E2C" w:rsidRDefault="007332C4" w:rsidP="00A0284C">
            <w:r w:rsidRPr="000B4E2C">
              <w:t>uNGAL 0.63 (0.51</w:t>
            </w:r>
            <w:r w:rsidR="000B4E2C" w:rsidRPr="000B4E2C">
              <w:rPr>
                <w:color w:val="00B0F0"/>
              </w:rPr>
              <w:t>–</w:t>
            </w:r>
            <w:r w:rsidR="000B4E2C" w:rsidRPr="000B4E2C">
              <w:rPr>
                <w:color w:val="00B0F0"/>
              </w:rPr>
              <w:t>0</w:t>
            </w:r>
            <w:r w:rsidRPr="000B4E2C">
              <w:t>.74)</w:t>
            </w:r>
          </w:p>
          <w:p w14:paraId="75C8F5D6" w14:textId="3C9ECFC6" w:rsidR="007332C4" w:rsidRPr="000B4E2C" w:rsidRDefault="007332C4" w:rsidP="00A0284C">
            <w:r w:rsidRPr="000B4E2C">
              <w:t>(</w:t>
            </w:r>
            <w:r w:rsidRPr="000B4E2C">
              <w:rPr>
                <w:i/>
                <w:color w:val="00B0F0"/>
              </w:rPr>
              <w:t>p</w:t>
            </w:r>
            <w:r w:rsidR="000B4E2C" w:rsidRPr="000B4E2C">
              <w:rPr>
                <w:color w:val="00B0F0"/>
              </w:rPr>
              <w:t>&lt;</w:t>
            </w:r>
            <w:r w:rsidR="000B4E2C" w:rsidRPr="000B4E2C">
              <w:rPr>
                <w:color w:val="00B0F0"/>
              </w:rPr>
              <w:t> </w:t>
            </w:r>
            <w:r w:rsidR="000B4E2C" w:rsidRPr="000B4E2C">
              <w:rPr>
                <w:color w:val="00B0F0"/>
              </w:rPr>
              <w:t>0</w:t>
            </w:r>
            <w:r w:rsidRPr="000B4E2C">
              <w:t>.001)</w:t>
            </w:r>
          </w:p>
          <w:p w14:paraId="398C16C4" w14:textId="77777777" w:rsidR="007332C4" w:rsidRPr="000B4E2C" w:rsidRDefault="007332C4" w:rsidP="00A0284C"/>
        </w:tc>
        <w:tc>
          <w:tcPr>
            <w:tcW w:w="0" w:type="auto"/>
            <w:shd w:val="clear" w:color="auto" w:fill="auto"/>
            <w:tcMar>
              <w:top w:w="0" w:type="dxa"/>
              <w:left w:w="108" w:type="dxa"/>
              <w:bottom w:w="0" w:type="dxa"/>
              <w:right w:w="108" w:type="dxa"/>
            </w:tcMar>
            <w:vAlign w:val="center"/>
          </w:tcPr>
          <w:p w14:paraId="4E523924" w14:textId="77777777" w:rsidR="007332C4" w:rsidRPr="000B4E2C" w:rsidRDefault="007332C4" w:rsidP="00A0284C">
            <w:r w:rsidRPr="000B4E2C">
              <w:t>pNGAL 0.80</w:t>
            </w:r>
          </w:p>
          <w:p w14:paraId="4366EF0C" w14:textId="19EE03C4" w:rsidR="007332C4" w:rsidRPr="000B4E2C" w:rsidRDefault="007332C4" w:rsidP="00A0284C">
            <w:r w:rsidRPr="000B4E2C">
              <w:t>(</w:t>
            </w:r>
            <w:r w:rsidRPr="000B4E2C">
              <w:rPr>
                <w:i/>
                <w:color w:val="00B0F0"/>
              </w:rPr>
              <w:t>p</w:t>
            </w:r>
            <w:r w:rsidR="000B4E2C" w:rsidRPr="000B4E2C">
              <w:rPr>
                <w:color w:val="00B0F0"/>
              </w:rPr>
              <w:t>&lt;</w:t>
            </w:r>
            <w:r w:rsidR="000B4E2C" w:rsidRPr="000B4E2C">
              <w:rPr>
                <w:color w:val="00B0F0"/>
              </w:rPr>
              <w:t> </w:t>
            </w:r>
            <w:r w:rsidR="000B4E2C" w:rsidRPr="000B4E2C">
              <w:rPr>
                <w:color w:val="00B0F0"/>
              </w:rPr>
              <w:t>0</w:t>
            </w:r>
            <w:r w:rsidRPr="000B4E2C">
              <w:t>.001)</w:t>
            </w:r>
          </w:p>
          <w:p w14:paraId="5EED7873" w14:textId="77777777" w:rsidR="007332C4" w:rsidRPr="000B4E2C" w:rsidRDefault="007332C4" w:rsidP="00A0284C">
            <w:r w:rsidRPr="000B4E2C">
              <w:t>uNGAL 0.76</w:t>
            </w:r>
          </w:p>
          <w:p w14:paraId="2B801FD2" w14:textId="22904A51" w:rsidR="000B4E2C" w:rsidRPr="000B4E2C" w:rsidRDefault="007332C4" w:rsidP="00A0284C">
            <w:r w:rsidRPr="000B4E2C">
              <w:t>(</w:t>
            </w:r>
            <w:r w:rsidRPr="000B4E2C">
              <w:rPr>
                <w:i/>
                <w:color w:val="00B0F0"/>
              </w:rPr>
              <w:t>p</w:t>
            </w:r>
            <w:r w:rsidR="000B4E2C" w:rsidRPr="000B4E2C">
              <w:rPr>
                <w:color w:val="00B0F0"/>
              </w:rPr>
              <w:t>&lt;</w:t>
            </w:r>
            <w:r w:rsidR="000B4E2C" w:rsidRPr="000B4E2C">
              <w:rPr>
                <w:color w:val="00B0F0"/>
              </w:rPr>
              <w:t> </w:t>
            </w:r>
            <w:r w:rsidR="000B4E2C" w:rsidRPr="000B4E2C">
              <w:rPr>
                <w:color w:val="00B0F0"/>
              </w:rPr>
              <w:t>0</w:t>
            </w:r>
            <w:r w:rsidRPr="000B4E2C">
              <w:t>.001)</w:t>
            </w:r>
          </w:p>
          <w:p w14:paraId="5F8E4F91" w14:textId="7E76B80F" w:rsidR="007332C4" w:rsidRPr="000B4E2C" w:rsidRDefault="007332C4" w:rsidP="00A0284C"/>
        </w:tc>
        <w:tc>
          <w:tcPr>
            <w:tcW w:w="0" w:type="auto"/>
            <w:shd w:val="clear" w:color="auto" w:fill="auto"/>
            <w:tcMar>
              <w:top w:w="0" w:type="dxa"/>
              <w:left w:w="108" w:type="dxa"/>
              <w:bottom w:w="0" w:type="dxa"/>
              <w:right w:w="108" w:type="dxa"/>
            </w:tcMar>
            <w:vAlign w:val="center"/>
          </w:tcPr>
          <w:p w14:paraId="718F5CA4"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23E20028"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302CCCAF" w14:textId="77777777" w:rsidR="007332C4" w:rsidRPr="000B4E2C" w:rsidRDefault="007332C4" w:rsidP="00A0284C">
            <w:r w:rsidRPr="000B4E2C">
              <w:t>NR</w:t>
            </w:r>
          </w:p>
        </w:tc>
        <w:tc>
          <w:tcPr>
            <w:tcW w:w="0" w:type="auto"/>
            <w:shd w:val="clear" w:color="auto" w:fill="auto"/>
            <w:tcMar>
              <w:top w:w="0" w:type="dxa"/>
              <w:left w:w="10" w:type="dxa"/>
              <w:bottom w:w="0" w:type="dxa"/>
              <w:right w:w="10" w:type="dxa"/>
            </w:tcMar>
            <w:vAlign w:val="center"/>
          </w:tcPr>
          <w:p w14:paraId="41B51A5C" w14:textId="77777777" w:rsidR="007332C4" w:rsidRPr="000B4E2C" w:rsidRDefault="007332C4" w:rsidP="00A0284C">
            <w:r w:rsidRPr="000B4E2C">
              <w:t>The clinical model was based on the European System for Cardiac Operative Risk Evaluation (EuroSCORE). A multivariable analysis was conducted to analyse the combination of biomarkers and clinical scores.</w:t>
            </w:r>
          </w:p>
        </w:tc>
      </w:tr>
      <w:tr w:rsidR="000B4E2C" w:rsidRPr="000B4E2C" w14:paraId="7157220D" w14:textId="77777777" w:rsidTr="000B4E2C">
        <w:trPr>
          <w:cantSplit/>
        </w:trPr>
        <w:tc>
          <w:tcPr>
            <w:tcW w:w="0" w:type="auto"/>
            <w:shd w:val="clear" w:color="auto" w:fill="auto"/>
            <w:tcMar>
              <w:top w:w="0" w:type="dxa"/>
              <w:left w:w="108" w:type="dxa"/>
              <w:bottom w:w="0" w:type="dxa"/>
              <w:right w:w="108" w:type="dxa"/>
            </w:tcMar>
            <w:vAlign w:val="center"/>
          </w:tcPr>
          <w:p w14:paraId="17E3CDD4" w14:textId="3599C99C" w:rsidR="007332C4" w:rsidRPr="000B4E2C" w:rsidRDefault="007332C4" w:rsidP="00A0284C">
            <w:r w:rsidRPr="000B4E2C">
              <w:lastRenderedPageBreak/>
              <w:t>Kokkoris 2012</w:t>
            </w:r>
            <w:r w:rsidR="00CD615E" w:rsidRPr="000B4E2C">
              <w:t>,</w:t>
            </w:r>
            <w:r w:rsidRPr="000B4E2C">
              <w:rPr>
                <w:noProof/>
                <w:vertAlign w:val="superscript"/>
              </w:rPr>
              <w:t>56</w:t>
            </w:r>
            <w:r w:rsidRPr="000B4E2C">
              <w:t xml:space="preserve"> Greece, uNGAL, ARCHITECT, Abbott, Critical care</w:t>
            </w:r>
            <w:r w:rsidR="000B4E2C" w:rsidRPr="000B4E2C">
              <w:rPr>
                <w:color w:val="00B0F0"/>
              </w:rPr>
              <w:t xml:space="preserve"> – </w:t>
            </w:r>
            <w:r w:rsidRPr="000B4E2C">
              <w:t xml:space="preserve">mixed population </w:t>
            </w:r>
          </w:p>
        </w:tc>
        <w:tc>
          <w:tcPr>
            <w:tcW w:w="0" w:type="auto"/>
            <w:shd w:val="clear" w:color="auto" w:fill="auto"/>
            <w:vAlign w:val="center"/>
          </w:tcPr>
          <w:p w14:paraId="6B718013" w14:textId="77777777" w:rsidR="000B4E2C" w:rsidRPr="000B4E2C" w:rsidRDefault="007332C4" w:rsidP="00A0284C">
            <w:r w:rsidRPr="000B4E2C">
              <w:t>AKI detection within 7days</w:t>
            </w:r>
          </w:p>
          <w:p w14:paraId="6CB7416D" w14:textId="35E2CF4A" w:rsidR="007332C4" w:rsidRPr="000B4E2C" w:rsidRDefault="007332C4" w:rsidP="00A0284C">
            <w:r w:rsidRPr="000B4E2C">
              <w:t>Events</w:t>
            </w:r>
            <w:r w:rsidR="000B4E2C" w:rsidRPr="000B4E2C">
              <w:rPr>
                <w:color w:val="00B0F0"/>
              </w:rPr>
              <w:t> = </w:t>
            </w:r>
            <w:r w:rsidRPr="000B4E2C">
              <w:t>36</w:t>
            </w:r>
          </w:p>
        </w:tc>
        <w:tc>
          <w:tcPr>
            <w:tcW w:w="0" w:type="auto"/>
            <w:shd w:val="clear" w:color="auto" w:fill="auto"/>
            <w:tcMar>
              <w:top w:w="0" w:type="dxa"/>
              <w:left w:w="108" w:type="dxa"/>
              <w:bottom w:w="0" w:type="dxa"/>
              <w:right w:w="108" w:type="dxa"/>
            </w:tcMar>
            <w:vAlign w:val="center"/>
          </w:tcPr>
          <w:p w14:paraId="4D55DE45" w14:textId="77777777" w:rsidR="007332C4" w:rsidRPr="000B4E2C" w:rsidRDefault="007332C4" w:rsidP="00A0284C">
            <w:r w:rsidRPr="000B4E2C">
              <w:t>0.76</w:t>
            </w:r>
          </w:p>
          <w:p w14:paraId="723CD7A7" w14:textId="77777777" w:rsidR="007332C4" w:rsidRPr="000B4E2C" w:rsidRDefault="007332C4" w:rsidP="00A0284C">
            <w:r w:rsidRPr="000B4E2C">
              <w:t>(0.66–0.83)</w:t>
            </w:r>
          </w:p>
        </w:tc>
        <w:tc>
          <w:tcPr>
            <w:tcW w:w="0" w:type="auto"/>
            <w:shd w:val="clear" w:color="auto" w:fill="auto"/>
            <w:tcMar>
              <w:top w:w="0" w:type="dxa"/>
              <w:left w:w="108" w:type="dxa"/>
              <w:bottom w:w="0" w:type="dxa"/>
              <w:right w:w="108" w:type="dxa"/>
            </w:tcMar>
            <w:vAlign w:val="center"/>
          </w:tcPr>
          <w:p w14:paraId="4D8A86F9" w14:textId="77777777" w:rsidR="000B4E2C" w:rsidRPr="000B4E2C" w:rsidRDefault="007332C4" w:rsidP="00A0284C">
            <w:r w:rsidRPr="000B4E2C">
              <w:t>0.78</w:t>
            </w:r>
          </w:p>
          <w:p w14:paraId="201AB3F0" w14:textId="14CFAE4B" w:rsidR="007332C4" w:rsidRPr="000B4E2C" w:rsidRDefault="007332C4" w:rsidP="00A0284C">
            <w:r w:rsidRPr="000B4E2C">
              <w:t>(0.68</w:t>
            </w:r>
            <w:r w:rsidR="000B4E2C" w:rsidRPr="000B4E2C">
              <w:rPr>
                <w:color w:val="00B0F0"/>
              </w:rPr>
              <w:t>–</w:t>
            </w:r>
            <w:r w:rsidR="000B4E2C" w:rsidRPr="000B4E2C">
              <w:rPr>
                <w:color w:val="00B0F0"/>
              </w:rPr>
              <w:t>0</w:t>
            </w:r>
            <w:r w:rsidRPr="000B4E2C">
              <w:t>.85)</w:t>
            </w:r>
          </w:p>
        </w:tc>
        <w:tc>
          <w:tcPr>
            <w:tcW w:w="0" w:type="auto"/>
            <w:shd w:val="clear" w:color="auto" w:fill="auto"/>
            <w:tcMar>
              <w:top w:w="0" w:type="dxa"/>
              <w:left w:w="108" w:type="dxa"/>
              <w:bottom w:w="0" w:type="dxa"/>
              <w:right w:w="108" w:type="dxa"/>
            </w:tcMar>
            <w:vAlign w:val="center"/>
          </w:tcPr>
          <w:p w14:paraId="3B75D029" w14:textId="77777777" w:rsidR="007332C4" w:rsidRPr="000B4E2C" w:rsidRDefault="007332C4" w:rsidP="00A0284C">
            <w:pPr>
              <w:rPr>
                <w:strike/>
              </w:rPr>
            </w:pPr>
            <w:r w:rsidRPr="000B4E2C">
              <w:t>0.85</w:t>
            </w:r>
          </w:p>
          <w:p w14:paraId="31BF83CC" w14:textId="2FEFC995" w:rsidR="007332C4" w:rsidRPr="000B4E2C" w:rsidRDefault="007332C4" w:rsidP="00A0284C">
            <w:r w:rsidRPr="000B4E2C">
              <w:t xml:space="preserve">(NR) </w:t>
            </w:r>
            <w:r w:rsidRPr="000B4E2C">
              <w:rPr>
                <w:i/>
                <w:color w:val="00B0F0"/>
              </w:rPr>
              <w:t>p</w:t>
            </w:r>
            <w:r w:rsidR="000B4E2C" w:rsidRPr="000B4E2C">
              <w:rPr>
                <w:color w:val="00B0F0"/>
              </w:rPr>
              <w:t> = </w:t>
            </w:r>
            <w:r w:rsidRPr="000B4E2C">
              <w:t>0.03</w:t>
            </w:r>
          </w:p>
        </w:tc>
        <w:tc>
          <w:tcPr>
            <w:tcW w:w="0" w:type="auto"/>
            <w:shd w:val="clear" w:color="auto" w:fill="auto"/>
            <w:tcMar>
              <w:top w:w="0" w:type="dxa"/>
              <w:left w:w="108" w:type="dxa"/>
              <w:bottom w:w="0" w:type="dxa"/>
              <w:right w:w="108" w:type="dxa"/>
            </w:tcMar>
            <w:vAlign w:val="center"/>
          </w:tcPr>
          <w:p w14:paraId="1B2FE6DA"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17B80673"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09DC27AC" w14:textId="77777777" w:rsidR="007332C4" w:rsidRPr="000B4E2C" w:rsidRDefault="007332C4" w:rsidP="00A0284C">
            <w:r w:rsidRPr="000B4E2C">
              <w:t>NR</w:t>
            </w:r>
          </w:p>
        </w:tc>
        <w:tc>
          <w:tcPr>
            <w:tcW w:w="0" w:type="auto"/>
            <w:shd w:val="clear" w:color="auto" w:fill="auto"/>
            <w:tcMar>
              <w:top w:w="0" w:type="dxa"/>
              <w:left w:w="10" w:type="dxa"/>
              <w:bottom w:w="0" w:type="dxa"/>
              <w:right w:w="10" w:type="dxa"/>
            </w:tcMar>
            <w:vAlign w:val="center"/>
          </w:tcPr>
          <w:p w14:paraId="5DEAA64F" w14:textId="512047F7" w:rsidR="007332C4" w:rsidRPr="000B4E2C" w:rsidRDefault="007332C4" w:rsidP="00A0284C">
            <w:pPr>
              <w:rPr>
                <w:color w:val="FF0000"/>
              </w:rPr>
            </w:pPr>
            <w:r w:rsidRPr="000B4E2C">
              <w:t xml:space="preserve">The most efficient reference clinical model for AKI prediction included SAP III and INR. Addition of pNGAL to the clinical model improved the AUC. However, the combination of pNGAL + sCR showed the best AUC (0.86 </w:t>
            </w:r>
            <w:r w:rsidRPr="000B4E2C">
              <w:rPr>
                <w:i/>
                <w:color w:val="00B0F0"/>
              </w:rPr>
              <w:t>p</w:t>
            </w:r>
            <w:r w:rsidR="000B4E2C" w:rsidRPr="000B4E2C">
              <w:rPr>
                <w:color w:val="00B0F0"/>
              </w:rPr>
              <w:t> = </w:t>
            </w:r>
            <w:r w:rsidRPr="000B4E2C">
              <w:t>0.04).</w:t>
            </w:r>
          </w:p>
          <w:p w14:paraId="0DFB00B7" w14:textId="77777777" w:rsidR="007332C4" w:rsidRPr="000B4E2C" w:rsidRDefault="007332C4" w:rsidP="00A0284C">
            <w:r w:rsidRPr="000B4E2C">
              <w:rPr>
                <w:color w:val="00B0F0"/>
              </w:rPr>
              <w:t xml:space="preserve"> </w:t>
            </w:r>
          </w:p>
        </w:tc>
      </w:tr>
      <w:tr w:rsidR="000B4E2C" w:rsidRPr="000B4E2C" w14:paraId="00FB8C9D" w14:textId="77777777" w:rsidTr="000B4E2C">
        <w:trPr>
          <w:cantSplit/>
        </w:trPr>
        <w:tc>
          <w:tcPr>
            <w:tcW w:w="0" w:type="auto"/>
            <w:shd w:val="clear" w:color="auto" w:fill="auto"/>
            <w:tcMar>
              <w:top w:w="0" w:type="dxa"/>
              <w:left w:w="108" w:type="dxa"/>
              <w:bottom w:w="0" w:type="dxa"/>
              <w:right w:w="108" w:type="dxa"/>
            </w:tcMar>
            <w:vAlign w:val="center"/>
          </w:tcPr>
          <w:p w14:paraId="36C2480E" w14:textId="369257B7" w:rsidR="007332C4" w:rsidRPr="000B4E2C" w:rsidRDefault="007332C4" w:rsidP="00A0284C">
            <w:r w:rsidRPr="000B4E2C">
              <w:t>Isshiki 2017</w:t>
            </w:r>
            <w:r w:rsidR="00CD615E" w:rsidRPr="000B4E2C">
              <w:t>,</w:t>
            </w:r>
            <w:r w:rsidRPr="000B4E2C">
              <w:rPr>
                <w:noProof/>
                <w:vertAlign w:val="superscript"/>
              </w:rPr>
              <w:t>55</w:t>
            </w:r>
            <w:r w:rsidRPr="000B4E2C">
              <w:t xml:space="preserve"> Japan, uNGAL, ARCHITECT, Critical care – mixed population</w:t>
            </w:r>
          </w:p>
        </w:tc>
        <w:tc>
          <w:tcPr>
            <w:tcW w:w="0" w:type="auto"/>
            <w:shd w:val="clear" w:color="auto" w:fill="auto"/>
            <w:vAlign w:val="center"/>
          </w:tcPr>
          <w:p w14:paraId="56531A53" w14:textId="77777777" w:rsidR="007332C4" w:rsidRPr="000B4E2C" w:rsidRDefault="007332C4" w:rsidP="00A0284C">
            <w:pPr>
              <w:pStyle w:val="CommentText"/>
            </w:pPr>
            <w:r w:rsidRPr="000B4E2C">
              <w:t>Worsening kidney function within 7 days</w:t>
            </w:r>
          </w:p>
          <w:p w14:paraId="4D25C8CE" w14:textId="61BFA6FF" w:rsidR="007332C4" w:rsidRPr="000B4E2C" w:rsidRDefault="007332C4" w:rsidP="00A0284C">
            <w:pPr>
              <w:pStyle w:val="CommentText"/>
            </w:pPr>
            <w:r w:rsidRPr="000B4E2C">
              <w:t>Events</w:t>
            </w:r>
            <w:r w:rsidR="000B4E2C" w:rsidRPr="000B4E2C">
              <w:rPr>
                <w:color w:val="00B0F0"/>
              </w:rPr>
              <w:t> = </w:t>
            </w:r>
            <w:r w:rsidRPr="000B4E2C">
              <w:t xml:space="preserve">58 </w:t>
            </w:r>
          </w:p>
        </w:tc>
        <w:tc>
          <w:tcPr>
            <w:tcW w:w="0" w:type="auto"/>
            <w:shd w:val="clear" w:color="auto" w:fill="auto"/>
            <w:tcMar>
              <w:top w:w="0" w:type="dxa"/>
              <w:left w:w="108" w:type="dxa"/>
              <w:bottom w:w="0" w:type="dxa"/>
              <w:right w:w="108" w:type="dxa"/>
            </w:tcMar>
            <w:vAlign w:val="center"/>
          </w:tcPr>
          <w:p w14:paraId="3D955AD5" w14:textId="77777777" w:rsidR="007332C4" w:rsidRPr="000B4E2C" w:rsidRDefault="007332C4" w:rsidP="00A0284C">
            <w:r w:rsidRPr="000B4E2C">
              <w:t>0.85</w:t>
            </w:r>
          </w:p>
          <w:p w14:paraId="25CA689C" w14:textId="198F165F" w:rsidR="007332C4" w:rsidRPr="000B4E2C" w:rsidRDefault="007332C4" w:rsidP="00A0284C">
            <w:r w:rsidRPr="000B4E2C">
              <w:t>(0.77</w:t>
            </w:r>
            <w:r w:rsidR="000B4E2C" w:rsidRPr="000B4E2C">
              <w:rPr>
                <w:color w:val="00B0F0"/>
              </w:rPr>
              <w:t>–</w:t>
            </w:r>
            <w:r w:rsidR="000B4E2C" w:rsidRPr="000B4E2C">
              <w:rPr>
                <w:color w:val="00B0F0"/>
              </w:rPr>
              <w:t>0</w:t>
            </w:r>
            <w:r w:rsidRPr="000B4E2C">
              <w:t>.92)</w:t>
            </w:r>
          </w:p>
        </w:tc>
        <w:tc>
          <w:tcPr>
            <w:tcW w:w="0" w:type="auto"/>
            <w:shd w:val="clear" w:color="auto" w:fill="auto"/>
            <w:tcMar>
              <w:top w:w="0" w:type="dxa"/>
              <w:left w:w="108" w:type="dxa"/>
              <w:bottom w:w="0" w:type="dxa"/>
              <w:right w:w="108" w:type="dxa"/>
            </w:tcMar>
            <w:vAlign w:val="center"/>
          </w:tcPr>
          <w:p w14:paraId="0FABE85F" w14:textId="77777777" w:rsidR="000B4E2C" w:rsidRPr="000B4E2C" w:rsidRDefault="000B4E2C" w:rsidP="00A0284C">
            <w:r w:rsidRPr="000B4E2C">
              <w:t xml:space="preserve"> </w:t>
            </w:r>
            <w:r w:rsidR="007332C4" w:rsidRPr="000B4E2C">
              <w:t>0.74</w:t>
            </w:r>
          </w:p>
          <w:p w14:paraId="06F5D72B" w14:textId="3F8BF491" w:rsidR="007332C4" w:rsidRPr="000B4E2C" w:rsidRDefault="007332C4" w:rsidP="00A0284C">
            <w:r w:rsidRPr="000B4E2C">
              <w:t>(0.65</w:t>
            </w:r>
            <w:r w:rsidR="000B4E2C" w:rsidRPr="000B4E2C">
              <w:rPr>
                <w:color w:val="00B0F0"/>
              </w:rPr>
              <w:t>–</w:t>
            </w:r>
            <w:r w:rsidR="000B4E2C" w:rsidRPr="000B4E2C">
              <w:rPr>
                <w:color w:val="00B0F0"/>
              </w:rPr>
              <w:t>0</w:t>
            </w:r>
            <w:r w:rsidRPr="000B4E2C">
              <w:t>.84)</w:t>
            </w:r>
            <w:r w:rsidR="000B4E2C" w:rsidRPr="000B4E2C">
              <w:t xml:space="preserve"> </w:t>
            </w:r>
          </w:p>
        </w:tc>
        <w:tc>
          <w:tcPr>
            <w:tcW w:w="0" w:type="auto"/>
            <w:shd w:val="clear" w:color="auto" w:fill="auto"/>
            <w:tcMar>
              <w:top w:w="0" w:type="dxa"/>
              <w:left w:w="108" w:type="dxa"/>
              <w:bottom w:w="0" w:type="dxa"/>
              <w:right w:w="108" w:type="dxa"/>
            </w:tcMar>
            <w:vAlign w:val="center"/>
          </w:tcPr>
          <w:p w14:paraId="204C3828" w14:textId="60514B72" w:rsidR="007332C4" w:rsidRPr="000B4E2C" w:rsidRDefault="000B4E2C" w:rsidP="00A0284C">
            <w:r w:rsidRPr="000B4E2C">
              <w:t xml:space="preserve"> </w:t>
            </w:r>
            <w:r w:rsidR="007332C4" w:rsidRPr="000B4E2C">
              <w:t>0.85</w:t>
            </w:r>
          </w:p>
          <w:p w14:paraId="27131E77" w14:textId="0FA2D038" w:rsidR="007332C4" w:rsidRPr="000B4E2C" w:rsidRDefault="007332C4" w:rsidP="00A0284C">
            <w:r w:rsidRPr="000B4E2C">
              <w:t>(0.77</w:t>
            </w:r>
            <w:r w:rsidR="000B4E2C" w:rsidRPr="000B4E2C">
              <w:rPr>
                <w:color w:val="00B0F0"/>
              </w:rPr>
              <w:t>–</w:t>
            </w:r>
            <w:r w:rsidR="000B4E2C" w:rsidRPr="000B4E2C">
              <w:rPr>
                <w:color w:val="00B0F0"/>
              </w:rPr>
              <w:t>0</w:t>
            </w:r>
            <w:r w:rsidRPr="000B4E2C">
              <w:t>.92)</w:t>
            </w:r>
          </w:p>
        </w:tc>
        <w:tc>
          <w:tcPr>
            <w:tcW w:w="0" w:type="auto"/>
            <w:shd w:val="clear" w:color="auto" w:fill="auto"/>
            <w:tcMar>
              <w:top w:w="0" w:type="dxa"/>
              <w:left w:w="108" w:type="dxa"/>
              <w:bottom w:w="0" w:type="dxa"/>
              <w:right w:w="108" w:type="dxa"/>
            </w:tcMar>
            <w:vAlign w:val="center"/>
          </w:tcPr>
          <w:p w14:paraId="23847D18"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2CBFCE99"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556584FE" w14:textId="77777777" w:rsidR="007332C4" w:rsidRPr="000B4E2C" w:rsidRDefault="007332C4" w:rsidP="00A0284C">
            <w:r w:rsidRPr="000B4E2C">
              <w:t>NR</w:t>
            </w:r>
          </w:p>
        </w:tc>
        <w:tc>
          <w:tcPr>
            <w:tcW w:w="0" w:type="auto"/>
            <w:shd w:val="clear" w:color="auto" w:fill="auto"/>
            <w:tcMar>
              <w:top w:w="0" w:type="dxa"/>
              <w:left w:w="10" w:type="dxa"/>
              <w:bottom w:w="0" w:type="dxa"/>
              <w:right w:w="10" w:type="dxa"/>
            </w:tcMar>
            <w:vAlign w:val="center"/>
          </w:tcPr>
          <w:p w14:paraId="32ABF411" w14:textId="77777777" w:rsidR="007332C4" w:rsidRPr="000B4E2C" w:rsidRDefault="007332C4" w:rsidP="00A0284C">
            <w:pPr>
              <w:pStyle w:val="CommentText"/>
            </w:pPr>
            <w:r w:rsidRPr="000B4E2C">
              <w:t>Variables included in the clinical model for the prediction of newly developed AKI were: age, sex, APACHE II score, sepsis, baseline eGFR, sCR level at ICU admission.</w:t>
            </w:r>
          </w:p>
          <w:p w14:paraId="09BF0A51" w14:textId="77777777" w:rsidR="007332C4" w:rsidRPr="000B4E2C" w:rsidRDefault="007332C4" w:rsidP="00A0284C"/>
        </w:tc>
      </w:tr>
      <w:tr w:rsidR="000B4E2C" w:rsidRPr="000B4E2C" w14:paraId="14373135" w14:textId="77777777" w:rsidTr="000B4E2C">
        <w:trPr>
          <w:cantSplit/>
        </w:trPr>
        <w:tc>
          <w:tcPr>
            <w:tcW w:w="0" w:type="auto"/>
            <w:shd w:val="clear" w:color="auto" w:fill="auto"/>
            <w:tcMar>
              <w:top w:w="0" w:type="dxa"/>
              <w:left w:w="108" w:type="dxa"/>
              <w:bottom w:w="0" w:type="dxa"/>
              <w:right w:w="108" w:type="dxa"/>
            </w:tcMar>
            <w:vAlign w:val="center"/>
          </w:tcPr>
          <w:p w14:paraId="432CBCCA" w14:textId="77777777" w:rsidR="000B4E2C" w:rsidRPr="000B4E2C" w:rsidRDefault="007332C4" w:rsidP="00A0284C">
            <w:r w:rsidRPr="000B4E2C">
              <w:lastRenderedPageBreak/>
              <w:t>Lee 2018</w:t>
            </w:r>
            <w:r w:rsidR="00CD615E" w:rsidRPr="000B4E2C">
              <w:t>,</w:t>
            </w:r>
            <w:r w:rsidRPr="000B4E2C">
              <w:rPr>
                <w:noProof/>
                <w:vertAlign w:val="superscript"/>
              </w:rPr>
              <w:t>84</w:t>
            </w:r>
            <w:r w:rsidRPr="000B4E2C">
              <w:t xml:space="preserve"> South Korea, pNGAL BioPorto,</w:t>
            </w:r>
          </w:p>
          <w:p w14:paraId="4538CE7E" w14:textId="6ABF1C27" w:rsidR="007332C4" w:rsidRPr="000B4E2C" w:rsidRDefault="007332C4" w:rsidP="00A0284C">
            <w:r w:rsidRPr="000B4E2C">
              <w:t>Critical care</w:t>
            </w:r>
            <w:r w:rsidR="000B4E2C" w:rsidRPr="000B4E2C">
              <w:rPr>
                <w:color w:val="00B0F0"/>
              </w:rPr>
              <w:t xml:space="preserve"> – </w:t>
            </w:r>
            <w:r w:rsidRPr="000B4E2C">
              <w:t xml:space="preserve">mixed population </w:t>
            </w:r>
          </w:p>
        </w:tc>
        <w:tc>
          <w:tcPr>
            <w:tcW w:w="0" w:type="auto"/>
            <w:shd w:val="clear" w:color="auto" w:fill="auto"/>
            <w:vAlign w:val="center"/>
          </w:tcPr>
          <w:p w14:paraId="2F5680E8" w14:textId="292FD331" w:rsidR="007332C4" w:rsidRPr="000B4E2C" w:rsidRDefault="007332C4" w:rsidP="00A0284C">
            <w:r w:rsidRPr="000B4E2C">
              <w:t>Development</w:t>
            </w:r>
            <w:r w:rsidR="000B4E2C" w:rsidRPr="000B4E2C">
              <w:t xml:space="preserve"> </w:t>
            </w:r>
            <w:r w:rsidRPr="000B4E2C">
              <w:t>of AKI Events</w:t>
            </w:r>
            <w:r w:rsidR="000B4E2C" w:rsidRPr="000B4E2C">
              <w:rPr>
                <w:color w:val="00B0F0"/>
              </w:rPr>
              <w:t> = </w:t>
            </w:r>
            <w:r w:rsidRPr="000B4E2C">
              <w:t>111</w:t>
            </w:r>
          </w:p>
        </w:tc>
        <w:tc>
          <w:tcPr>
            <w:tcW w:w="0" w:type="auto"/>
            <w:shd w:val="clear" w:color="auto" w:fill="auto"/>
            <w:tcMar>
              <w:top w:w="0" w:type="dxa"/>
              <w:left w:w="108" w:type="dxa"/>
              <w:bottom w:w="0" w:type="dxa"/>
              <w:right w:w="108" w:type="dxa"/>
            </w:tcMar>
            <w:vAlign w:val="center"/>
          </w:tcPr>
          <w:p w14:paraId="249C028C"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101A8C87"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658DDE73"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6A19F1CE" w14:textId="77777777" w:rsidR="000B4E2C" w:rsidRPr="000B4E2C" w:rsidRDefault="007332C4" w:rsidP="00A0284C">
            <w:r w:rsidRPr="000B4E2C">
              <w:t>5.31</w:t>
            </w:r>
          </w:p>
          <w:p w14:paraId="0811C738" w14:textId="265370C5" w:rsidR="007332C4" w:rsidRPr="000B4E2C" w:rsidRDefault="007332C4" w:rsidP="00A0284C">
            <w:r w:rsidRPr="000B4E2C">
              <w:t>(0.67– 11)</w:t>
            </w:r>
          </w:p>
        </w:tc>
        <w:tc>
          <w:tcPr>
            <w:tcW w:w="0" w:type="auto"/>
            <w:shd w:val="clear" w:color="auto" w:fill="auto"/>
            <w:tcMar>
              <w:top w:w="0" w:type="dxa"/>
              <w:left w:w="108" w:type="dxa"/>
              <w:bottom w:w="0" w:type="dxa"/>
              <w:right w:w="108" w:type="dxa"/>
            </w:tcMar>
            <w:vAlign w:val="center"/>
          </w:tcPr>
          <w:p w14:paraId="2D146E23" w14:textId="0A34D6B6" w:rsidR="007332C4" w:rsidRPr="000B4E2C" w:rsidRDefault="007332C4" w:rsidP="00A0284C">
            <w:r w:rsidRPr="000B4E2C">
              <w:t xml:space="preserve">0.6 (0.2–1.7) </w:t>
            </w:r>
            <w:r w:rsidRPr="000B4E2C">
              <w:rPr>
                <w:i/>
                <w:color w:val="00B0F0"/>
              </w:rPr>
              <w:t>p</w:t>
            </w:r>
            <w:r w:rsidR="000B4E2C" w:rsidRPr="000B4E2C">
              <w:rPr>
                <w:color w:val="00B0F0"/>
              </w:rPr>
              <w:t> = </w:t>
            </w:r>
            <w:r w:rsidRPr="000B4E2C">
              <w:t>0.314</w:t>
            </w:r>
          </w:p>
        </w:tc>
        <w:tc>
          <w:tcPr>
            <w:tcW w:w="0" w:type="auto"/>
            <w:shd w:val="clear" w:color="auto" w:fill="auto"/>
            <w:tcMar>
              <w:top w:w="0" w:type="dxa"/>
              <w:left w:w="108" w:type="dxa"/>
              <w:bottom w:w="0" w:type="dxa"/>
              <w:right w:w="108" w:type="dxa"/>
            </w:tcMar>
            <w:vAlign w:val="center"/>
          </w:tcPr>
          <w:p w14:paraId="03D1F070" w14:textId="77777777" w:rsidR="007332C4" w:rsidRPr="000B4E2C" w:rsidRDefault="007332C4" w:rsidP="00A0284C">
            <w:r w:rsidRPr="000B4E2C">
              <w:t>1.004</w:t>
            </w:r>
          </w:p>
          <w:p w14:paraId="2801A340" w14:textId="77777777" w:rsidR="007332C4" w:rsidRPr="000B4E2C" w:rsidRDefault="007332C4" w:rsidP="00A0284C">
            <w:r w:rsidRPr="000B4E2C">
              <w:t>(1.002–1.006)</w:t>
            </w:r>
          </w:p>
          <w:p w14:paraId="61E08851" w14:textId="17249360" w:rsidR="007332C4" w:rsidRPr="000B4E2C" w:rsidRDefault="007332C4" w:rsidP="00A0284C">
            <w:r w:rsidRPr="000B4E2C">
              <w:rPr>
                <w:i/>
                <w:color w:val="00B0F0"/>
              </w:rPr>
              <w:t>p</w:t>
            </w:r>
            <w:r w:rsidR="000B4E2C" w:rsidRPr="000B4E2C">
              <w:rPr>
                <w:color w:val="00B0F0"/>
              </w:rPr>
              <w:t> = </w:t>
            </w:r>
            <w:r w:rsidRPr="000B4E2C">
              <w:t>0.001</w:t>
            </w:r>
          </w:p>
        </w:tc>
        <w:tc>
          <w:tcPr>
            <w:tcW w:w="0" w:type="auto"/>
            <w:shd w:val="clear" w:color="auto" w:fill="auto"/>
            <w:tcMar>
              <w:top w:w="0" w:type="dxa"/>
              <w:left w:w="10" w:type="dxa"/>
              <w:bottom w:w="0" w:type="dxa"/>
              <w:right w:w="10" w:type="dxa"/>
            </w:tcMar>
            <w:vAlign w:val="center"/>
          </w:tcPr>
          <w:p w14:paraId="704D4212" w14:textId="77777777" w:rsidR="000B4E2C" w:rsidRPr="000B4E2C" w:rsidRDefault="007332C4" w:rsidP="00A0284C">
            <w:pPr>
              <w:autoSpaceDE w:val="0"/>
            </w:pPr>
            <w:r w:rsidRPr="000B4E2C">
              <w:t>Adjusting for potential confounders as determined by the univariate analyses.</w:t>
            </w:r>
          </w:p>
          <w:p w14:paraId="62A17A3C" w14:textId="7C4B501C" w:rsidR="000B4E2C" w:rsidRPr="000B4E2C" w:rsidRDefault="007332C4" w:rsidP="00A0284C">
            <w:pPr>
              <w:pStyle w:val="CommentText"/>
            </w:pPr>
            <w:r w:rsidRPr="000B4E2C">
              <w:t xml:space="preserve">The Adjusted model includes age, CHF, DM, adrenaline dosage, time to ROSC, Glasgow coma score, lactate, </w:t>
            </w:r>
            <w:r w:rsidRPr="000B4E2C">
              <w:rPr>
                <w:i/>
                <w:color w:val="00B0F0"/>
              </w:rPr>
              <w:t>P</w:t>
            </w:r>
            <w:r w:rsidRPr="000B4E2C">
              <w:t>aO</w:t>
            </w:r>
            <w:r w:rsidRPr="000B4E2C">
              <w:rPr>
                <w:color w:val="00B0F0"/>
                <w:vertAlign w:val="subscript"/>
              </w:rPr>
              <w:t>2</w:t>
            </w:r>
            <w:r w:rsidRPr="000B4E2C">
              <w:t>.</w:t>
            </w:r>
            <w:r w:rsidRPr="000B4E2C">
              <w:rPr>
                <w:i/>
                <w:color w:val="00B0F0"/>
              </w:rPr>
              <w:t>P</w:t>
            </w:r>
            <w:r w:rsidRPr="000B4E2C">
              <w:t>aCO</w:t>
            </w:r>
            <w:r w:rsidRPr="000B4E2C">
              <w:rPr>
                <w:color w:val="00B0F0"/>
                <w:vertAlign w:val="subscript"/>
              </w:rPr>
              <w:t>2</w:t>
            </w:r>
            <w:r w:rsidRPr="000B4E2C">
              <w:t>, initial creatinine, SOFA (cardiac, pulmonary, renal, hepatic, hematologic), CVI and NGAL.</w:t>
            </w:r>
          </w:p>
          <w:p w14:paraId="285CF5E5" w14:textId="40B1088A" w:rsidR="007332C4" w:rsidRPr="000B4E2C" w:rsidRDefault="007332C4" w:rsidP="00A0284C">
            <w:pPr>
              <w:pStyle w:val="CommentText"/>
            </w:pPr>
            <w:r w:rsidRPr="000B4E2C">
              <w:t>Of these only SOFA renal, NGAL and CVI were significant but a final model was not selected.</w:t>
            </w:r>
          </w:p>
          <w:p w14:paraId="11520FDC" w14:textId="77777777" w:rsidR="007332C4" w:rsidRPr="000B4E2C" w:rsidRDefault="007332C4" w:rsidP="00A0284C">
            <w:pPr>
              <w:autoSpaceDE w:val="0"/>
            </w:pPr>
          </w:p>
        </w:tc>
      </w:tr>
      <w:tr w:rsidR="000B4E2C" w:rsidRPr="000B4E2C" w14:paraId="6388ED2C" w14:textId="77777777" w:rsidTr="000B4E2C">
        <w:trPr>
          <w:cantSplit/>
        </w:trPr>
        <w:tc>
          <w:tcPr>
            <w:tcW w:w="0" w:type="auto"/>
            <w:shd w:val="clear" w:color="auto" w:fill="auto"/>
            <w:tcMar>
              <w:top w:w="0" w:type="dxa"/>
              <w:left w:w="108" w:type="dxa"/>
              <w:bottom w:w="0" w:type="dxa"/>
              <w:right w:w="108" w:type="dxa"/>
            </w:tcMar>
            <w:vAlign w:val="center"/>
          </w:tcPr>
          <w:p w14:paraId="24678045" w14:textId="2E441EE3" w:rsidR="007332C4" w:rsidRPr="000B4E2C" w:rsidRDefault="007332C4" w:rsidP="00A0284C">
            <w:r w:rsidRPr="000B4E2C">
              <w:lastRenderedPageBreak/>
              <w:t>Alcaraz 2014</w:t>
            </w:r>
            <w:r w:rsidR="00CD615E" w:rsidRPr="000B4E2C">
              <w:t>,</w:t>
            </w:r>
            <w:r w:rsidRPr="000B4E2C">
              <w:rPr>
                <w:noProof/>
                <w:vertAlign w:val="superscript"/>
              </w:rPr>
              <w:t>91</w:t>
            </w:r>
            <w:r w:rsidRPr="000B4E2C">
              <w:t xml:space="preserve"> Spain, Child population, uNGAL, ARCHITECT, Cardiac surgery</w:t>
            </w:r>
          </w:p>
        </w:tc>
        <w:tc>
          <w:tcPr>
            <w:tcW w:w="0" w:type="auto"/>
            <w:shd w:val="clear" w:color="auto" w:fill="auto"/>
            <w:vAlign w:val="center"/>
          </w:tcPr>
          <w:p w14:paraId="31B08B84" w14:textId="77777777" w:rsidR="007332C4" w:rsidRPr="000B4E2C" w:rsidRDefault="007332C4" w:rsidP="00A0284C">
            <w:r w:rsidRPr="000B4E2C">
              <w:t>Prediction of AKI</w:t>
            </w:r>
          </w:p>
          <w:p w14:paraId="5CE5267C" w14:textId="656A4695" w:rsidR="007332C4" w:rsidRPr="000B4E2C" w:rsidRDefault="007332C4" w:rsidP="00A0284C">
            <w:r w:rsidRPr="000B4E2C">
              <w:t>Events</w:t>
            </w:r>
            <w:r w:rsidR="000B4E2C" w:rsidRPr="000B4E2C">
              <w:rPr>
                <w:color w:val="00B0F0"/>
              </w:rPr>
              <w:t> = </w:t>
            </w:r>
            <w:r w:rsidRPr="000B4E2C">
              <w:t>36</w:t>
            </w:r>
          </w:p>
        </w:tc>
        <w:tc>
          <w:tcPr>
            <w:tcW w:w="0" w:type="auto"/>
            <w:shd w:val="clear" w:color="auto" w:fill="auto"/>
            <w:tcMar>
              <w:top w:w="0" w:type="dxa"/>
              <w:left w:w="108" w:type="dxa"/>
              <w:bottom w:w="0" w:type="dxa"/>
              <w:right w:w="108" w:type="dxa"/>
            </w:tcMar>
            <w:vAlign w:val="center"/>
          </w:tcPr>
          <w:p w14:paraId="61B5F766" w14:textId="77777777" w:rsidR="000B4E2C" w:rsidRPr="000B4E2C" w:rsidRDefault="007332C4" w:rsidP="00A0284C">
            <w:r w:rsidRPr="000B4E2C">
              <w:t>0.85</w:t>
            </w:r>
          </w:p>
          <w:p w14:paraId="1A4D9AF4" w14:textId="6B3ED451" w:rsidR="007332C4" w:rsidRPr="000B4E2C" w:rsidRDefault="007332C4" w:rsidP="00A0284C">
            <w:r w:rsidRPr="000B4E2C">
              <w:t>(0.78</w:t>
            </w:r>
            <w:r w:rsidR="000B4E2C" w:rsidRPr="000B4E2C">
              <w:rPr>
                <w:color w:val="00B0F0"/>
              </w:rPr>
              <w:t>–</w:t>
            </w:r>
            <w:r w:rsidR="000B4E2C" w:rsidRPr="000B4E2C">
              <w:rPr>
                <w:color w:val="00B0F0"/>
              </w:rPr>
              <w:t>0</w:t>
            </w:r>
            <w:r w:rsidRPr="000B4E2C">
              <w:t>.93)</w:t>
            </w:r>
          </w:p>
        </w:tc>
        <w:tc>
          <w:tcPr>
            <w:tcW w:w="0" w:type="auto"/>
            <w:shd w:val="clear" w:color="auto" w:fill="auto"/>
            <w:tcMar>
              <w:top w:w="0" w:type="dxa"/>
              <w:left w:w="108" w:type="dxa"/>
              <w:bottom w:w="0" w:type="dxa"/>
              <w:right w:w="108" w:type="dxa"/>
            </w:tcMar>
            <w:vAlign w:val="center"/>
          </w:tcPr>
          <w:p w14:paraId="79E12988" w14:textId="77777777" w:rsidR="000B4E2C" w:rsidRPr="000B4E2C" w:rsidRDefault="007332C4" w:rsidP="00A0284C">
            <w:r w:rsidRPr="000B4E2C">
              <w:t>0.84</w:t>
            </w:r>
          </w:p>
          <w:p w14:paraId="2635B179" w14:textId="19C6A878" w:rsidR="007332C4" w:rsidRPr="000B4E2C" w:rsidRDefault="007332C4" w:rsidP="00A0284C">
            <w:pPr>
              <w:rPr>
                <w:color w:val="00B0F0"/>
              </w:rPr>
            </w:pPr>
            <w:r w:rsidRPr="000B4E2C">
              <w:t>(0.76</w:t>
            </w:r>
            <w:r w:rsidR="000B4E2C" w:rsidRPr="000B4E2C">
              <w:rPr>
                <w:color w:val="00B0F0"/>
              </w:rPr>
              <w:t>–</w:t>
            </w:r>
            <w:r w:rsidR="000B4E2C" w:rsidRPr="000B4E2C">
              <w:rPr>
                <w:color w:val="00B0F0"/>
              </w:rPr>
              <w:t>0</w:t>
            </w:r>
            <w:r w:rsidRPr="000B4E2C">
              <w:t>.92)</w:t>
            </w:r>
          </w:p>
        </w:tc>
        <w:tc>
          <w:tcPr>
            <w:tcW w:w="0" w:type="auto"/>
            <w:shd w:val="clear" w:color="auto" w:fill="auto"/>
            <w:tcMar>
              <w:top w:w="0" w:type="dxa"/>
              <w:left w:w="108" w:type="dxa"/>
              <w:bottom w:w="0" w:type="dxa"/>
              <w:right w:w="108" w:type="dxa"/>
            </w:tcMar>
            <w:vAlign w:val="center"/>
          </w:tcPr>
          <w:p w14:paraId="74E641D3" w14:textId="77777777" w:rsidR="007332C4" w:rsidRPr="000B4E2C" w:rsidRDefault="007332C4" w:rsidP="00A0284C">
            <w:r w:rsidRPr="000B4E2C">
              <w:t>0.91</w:t>
            </w:r>
          </w:p>
          <w:p w14:paraId="407837CF" w14:textId="0002A80E" w:rsidR="007332C4" w:rsidRPr="000B4E2C" w:rsidRDefault="007332C4" w:rsidP="00A0284C">
            <w:r w:rsidRPr="000B4E2C">
              <w:t>(0.84</w:t>
            </w:r>
            <w:r w:rsidR="000B4E2C" w:rsidRPr="000B4E2C">
              <w:rPr>
                <w:color w:val="00B0F0"/>
              </w:rPr>
              <w:t>–</w:t>
            </w:r>
            <w:r w:rsidR="000B4E2C" w:rsidRPr="000B4E2C">
              <w:rPr>
                <w:color w:val="00B0F0"/>
              </w:rPr>
              <w:t>0</w:t>
            </w:r>
            <w:r w:rsidRPr="000B4E2C">
              <w:t xml:space="preserve">.97) </w:t>
            </w:r>
            <w:r w:rsidRPr="000B4E2C">
              <w:rPr>
                <w:i/>
                <w:color w:val="00B0F0"/>
              </w:rPr>
              <w:t>p</w:t>
            </w:r>
            <w:r w:rsidR="000B4E2C" w:rsidRPr="000B4E2C">
              <w:rPr>
                <w:color w:val="00B0F0"/>
              </w:rPr>
              <w:t> = </w:t>
            </w:r>
            <w:r w:rsidRPr="000B4E2C">
              <w:t>0.057</w:t>
            </w:r>
          </w:p>
        </w:tc>
        <w:tc>
          <w:tcPr>
            <w:tcW w:w="0" w:type="auto"/>
            <w:shd w:val="clear" w:color="auto" w:fill="auto"/>
            <w:tcMar>
              <w:top w:w="0" w:type="dxa"/>
              <w:left w:w="108" w:type="dxa"/>
              <w:bottom w:w="0" w:type="dxa"/>
              <w:right w:w="108" w:type="dxa"/>
            </w:tcMar>
            <w:vAlign w:val="center"/>
          </w:tcPr>
          <w:p w14:paraId="5F01D94A"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64F9C499"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5CF7FDD1" w14:textId="77777777" w:rsidR="007332C4" w:rsidRPr="000B4E2C" w:rsidRDefault="007332C4" w:rsidP="00A0284C">
            <w:pPr>
              <w:rPr>
                <w:color w:val="00B0F0"/>
              </w:rPr>
            </w:pPr>
            <w:r w:rsidRPr="000B4E2C">
              <w:t>NR</w:t>
            </w:r>
          </w:p>
        </w:tc>
        <w:tc>
          <w:tcPr>
            <w:tcW w:w="0" w:type="auto"/>
            <w:shd w:val="clear" w:color="auto" w:fill="auto"/>
            <w:tcMar>
              <w:top w:w="0" w:type="dxa"/>
              <w:left w:w="10" w:type="dxa"/>
              <w:bottom w:w="0" w:type="dxa"/>
              <w:right w:w="10" w:type="dxa"/>
            </w:tcMar>
            <w:vAlign w:val="center"/>
          </w:tcPr>
          <w:p w14:paraId="30D12BC5" w14:textId="597FF5C0" w:rsidR="007332C4" w:rsidRPr="000B4E2C" w:rsidRDefault="007332C4" w:rsidP="00A0284C">
            <w:pPr>
              <w:autoSpaceDE w:val="0"/>
            </w:pPr>
            <w:r w:rsidRPr="000B4E2C">
              <w:t>A multivariable logistic regression analysis was used to assess the predictors of AKI and the performance of the model. The clinical model (age, CPB time, total circulatory arrest use, and RACH</w:t>
            </w:r>
            <w:r w:rsidR="000B4E2C" w:rsidRPr="000B4E2C">
              <w:rPr>
                <w:color w:val="00B0F0"/>
              </w:rPr>
              <w:t>S</w:t>
            </w:r>
            <w:r w:rsidR="000B4E2C" w:rsidRPr="000B4E2C">
              <w:rPr>
                <w:color w:val="00B0F0"/>
              </w:rPr>
              <w:t>-</w:t>
            </w:r>
            <w:r w:rsidR="000B4E2C" w:rsidRPr="000B4E2C">
              <w:rPr>
                <w:color w:val="00B0F0"/>
              </w:rPr>
              <w:t>1</w:t>
            </w:r>
            <w:r w:rsidRPr="000B4E2C">
              <w:t xml:space="preserve"> score) was determined using backward elimination.</w:t>
            </w:r>
          </w:p>
        </w:tc>
      </w:tr>
      <w:tr w:rsidR="007332C4" w:rsidRPr="000B4E2C" w14:paraId="64D3BECD" w14:textId="77777777" w:rsidTr="000B4E2C">
        <w:trPr>
          <w:cantSplit/>
        </w:trPr>
        <w:tc>
          <w:tcPr>
            <w:tcW w:w="0" w:type="auto"/>
            <w:shd w:val="clear" w:color="auto" w:fill="auto"/>
          </w:tcPr>
          <w:p w14:paraId="16FF8B33" w14:textId="77777777" w:rsidR="007332C4" w:rsidRPr="000B4E2C" w:rsidRDefault="007332C4" w:rsidP="00A0284C">
            <w:pPr>
              <w:rPr>
                <w:b/>
              </w:rPr>
            </w:pPr>
          </w:p>
        </w:tc>
        <w:tc>
          <w:tcPr>
            <w:tcW w:w="0" w:type="auto"/>
            <w:gridSpan w:val="8"/>
            <w:shd w:val="clear" w:color="auto" w:fill="auto"/>
            <w:tcMar>
              <w:top w:w="0" w:type="dxa"/>
              <w:left w:w="108" w:type="dxa"/>
              <w:bottom w:w="0" w:type="dxa"/>
              <w:right w:w="108" w:type="dxa"/>
            </w:tcMar>
            <w:vAlign w:val="center"/>
          </w:tcPr>
          <w:p w14:paraId="648BF1AD" w14:textId="77777777" w:rsidR="007332C4" w:rsidRPr="000B4E2C" w:rsidRDefault="007332C4" w:rsidP="00A0284C">
            <w:pPr>
              <w:rPr>
                <w:b/>
              </w:rPr>
            </w:pPr>
          </w:p>
          <w:p w14:paraId="67C364FE" w14:textId="77777777" w:rsidR="007332C4" w:rsidRPr="000B4E2C" w:rsidRDefault="007332C4" w:rsidP="00A0284C">
            <w:pPr>
              <w:jc w:val="center"/>
              <w:rPr>
                <w:b/>
              </w:rPr>
            </w:pPr>
            <w:r w:rsidRPr="000B4E2C">
              <w:rPr>
                <w:b/>
              </w:rPr>
              <w:t>Mortality</w:t>
            </w:r>
          </w:p>
          <w:p w14:paraId="4E065ABC" w14:textId="77777777" w:rsidR="007332C4" w:rsidRPr="000B4E2C" w:rsidRDefault="007332C4" w:rsidP="00A0284C">
            <w:pPr>
              <w:rPr>
                <w:b/>
              </w:rPr>
            </w:pPr>
          </w:p>
        </w:tc>
      </w:tr>
      <w:tr w:rsidR="000B4E2C" w:rsidRPr="000B4E2C" w14:paraId="75B22D9D" w14:textId="77777777" w:rsidTr="000B4E2C">
        <w:trPr>
          <w:cantSplit/>
        </w:trPr>
        <w:tc>
          <w:tcPr>
            <w:tcW w:w="0" w:type="auto"/>
            <w:shd w:val="clear" w:color="auto" w:fill="auto"/>
            <w:tcMar>
              <w:top w:w="0" w:type="dxa"/>
              <w:left w:w="108" w:type="dxa"/>
              <w:bottom w:w="0" w:type="dxa"/>
              <w:right w:w="108" w:type="dxa"/>
            </w:tcMar>
            <w:vAlign w:val="center"/>
          </w:tcPr>
          <w:p w14:paraId="2A4BBCE1" w14:textId="3B2D3A5B" w:rsidR="007332C4" w:rsidRPr="000B4E2C" w:rsidRDefault="007332C4" w:rsidP="00A0284C">
            <w:r w:rsidRPr="000B4E2C">
              <w:t>Isshiki 2017</w:t>
            </w:r>
            <w:r w:rsidR="00CD615E" w:rsidRPr="000B4E2C">
              <w:t>,</w:t>
            </w:r>
            <w:r w:rsidRPr="000B4E2C">
              <w:rPr>
                <w:noProof/>
                <w:vertAlign w:val="superscript"/>
              </w:rPr>
              <w:t>55</w:t>
            </w:r>
            <w:r w:rsidRPr="000B4E2C">
              <w:t>, Japan, uNGAL, ARCHITECT, Critical care – mixed population</w:t>
            </w:r>
          </w:p>
        </w:tc>
        <w:tc>
          <w:tcPr>
            <w:tcW w:w="0" w:type="auto"/>
            <w:shd w:val="clear" w:color="auto" w:fill="auto"/>
            <w:vAlign w:val="center"/>
          </w:tcPr>
          <w:p w14:paraId="3699C7A0" w14:textId="74223DAE" w:rsidR="007332C4" w:rsidRPr="000B4E2C" w:rsidRDefault="007332C4" w:rsidP="00A0284C">
            <w:r w:rsidRPr="000B4E2C">
              <w:t>In hospital mortality</w:t>
            </w:r>
            <w:r w:rsidR="000B4E2C" w:rsidRPr="000B4E2C">
              <w:t xml:space="preserve"> </w:t>
            </w:r>
            <w:r w:rsidRPr="000B4E2C">
              <w:t>(38 died)</w:t>
            </w:r>
          </w:p>
        </w:tc>
        <w:tc>
          <w:tcPr>
            <w:tcW w:w="0" w:type="auto"/>
            <w:shd w:val="clear" w:color="auto" w:fill="auto"/>
            <w:tcMar>
              <w:top w:w="0" w:type="dxa"/>
              <w:left w:w="108" w:type="dxa"/>
              <w:bottom w:w="0" w:type="dxa"/>
              <w:right w:w="108" w:type="dxa"/>
            </w:tcMar>
            <w:vAlign w:val="center"/>
          </w:tcPr>
          <w:p w14:paraId="09D1AD43" w14:textId="77777777" w:rsidR="000B4E2C" w:rsidRPr="000B4E2C" w:rsidRDefault="007332C4" w:rsidP="00A0284C">
            <w:r w:rsidRPr="000B4E2C">
              <w:t>0.79</w:t>
            </w:r>
          </w:p>
          <w:p w14:paraId="4C0E981D" w14:textId="26821793" w:rsidR="007332C4" w:rsidRPr="000B4E2C" w:rsidRDefault="007332C4" w:rsidP="00A0284C">
            <w:r w:rsidRPr="000B4E2C">
              <w:t>(0.71</w:t>
            </w:r>
            <w:r w:rsidR="000B4E2C" w:rsidRPr="000B4E2C">
              <w:rPr>
                <w:color w:val="00B0F0"/>
              </w:rPr>
              <w:t>–</w:t>
            </w:r>
            <w:r w:rsidR="000B4E2C" w:rsidRPr="000B4E2C">
              <w:rPr>
                <w:color w:val="00B0F0"/>
              </w:rPr>
              <w:t>0</w:t>
            </w:r>
            <w:r w:rsidRPr="000B4E2C">
              <w:t>.86)</w:t>
            </w:r>
          </w:p>
        </w:tc>
        <w:tc>
          <w:tcPr>
            <w:tcW w:w="0" w:type="auto"/>
            <w:shd w:val="clear" w:color="auto" w:fill="auto"/>
            <w:tcMar>
              <w:top w:w="0" w:type="dxa"/>
              <w:left w:w="108" w:type="dxa"/>
              <w:bottom w:w="0" w:type="dxa"/>
              <w:right w:w="108" w:type="dxa"/>
            </w:tcMar>
            <w:vAlign w:val="center"/>
          </w:tcPr>
          <w:p w14:paraId="6F091CCC" w14:textId="77777777" w:rsidR="000B4E2C" w:rsidRPr="000B4E2C" w:rsidRDefault="007332C4" w:rsidP="00A0284C">
            <w:r w:rsidRPr="000B4E2C">
              <w:t>0.72</w:t>
            </w:r>
          </w:p>
          <w:p w14:paraId="62824169" w14:textId="60E0284B" w:rsidR="007332C4" w:rsidRPr="000B4E2C" w:rsidRDefault="007332C4" w:rsidP="00A0284C">
            <w:r w:rsidRPr="000B4E2C">
              <w:t>(0.65</w:t>
            </w:r>
            <w:r w:rsidR="000B4E2C" w:rsidRPr="000B4E2C">
              <w:rPr>
                <w:color w:val="00B0F0"/>
              </w:rPr>
              <w:t>–</w:t>
            </w:r>
            <w:r w:rsidR="000B4E2C" w:rsidRPr="000B4E2C">
              <w:rPr>
                <w:color w:val="00B0F0"/>
              </w:rPr>
              <w:t>0</w:t>
            </w:r>
            <w:r w:rsidRPr="000B4E2C">
              <w:t>.78)</w:t>
            </w:r>
          </w:p>
        </w:tc>
        <w:tc>
          <w:tcPr>
            <w:tcW w:w="0" w:type="auto"/>
            <w:shd w:val="clear" w:color="auto" w:fill="auto"/>
            <w:tcMar>
              <w:top w:w="0" w:type="dxa"/>
              <w:left w:w="108" w:type="dxa"/>
              <w:bottom w:w="0" w:type="dxa"/>
              <w:right w:w="108" w:type="dxa"/>
            </w:tcMar>
            <w:vAlign w:val="center"/>
          </w:tcPr>
          <w:p w14:paraId="389AAC5E" w14:textId="77777777" w:rsidR="000B4E2C" w:rsidRPr="000B4E2C" w:rsidRDefault="007332C4" w:rsidP="00A0284C">
            <w:r w:rsidRPr="000B4E2C">
              <w:t>0.79</w:t>
            </w:r>
          </w:p>
          <w:p w14:paraId="3405FE72" w14:textId="0A051A64" w:rsidR="007332C4" w:rsidRPr="000B4E2C" w:rsidRDefault="007332C4" w:rsidP="00A0284C">
            <w:r w:rsidRPr="000B4E2C">
              <w:t>(0.71</w:t>
            </w:r>
            <w:r w:rsidR="000B4E2C" w:rsidRPr="000B4E2C">
              <w:rPr>
                <w:color w:val="00B0F0"/>
              </w:rPr>
              <w:t>–</w:t>
            </w:r>
            <w:r w:rsidR="000B4E2C" w:rsidRPr="000B4E2C">
              <w:rPr>
                <w:color w:val="00B0F0"/>
              </w:rPr>
              <w:t>0</w:t>
            </w:r>
            <w:r w:rsidRPr="000B4E2C">
              <w:t>.86)</w:t>
            </w:r>
          </w:p>
        </w:tc>
        <w:tc>
          <w:tcPr>
            <w:tcW w:w="0" w:type="auto"/>
            <w:shd w:val="clear" w:color="auto" w:fill="auto"/>
            <w:tcMar>
              <w:top w:w="0" w:type="dxa"/>
              <w:left w:w="108" w:type="dxa"/>
              <w:bottom w:w="0" w:type="dxa"/>
              <w:right w:w="108" w:type="dxa"/>
            </w:tcMar>
            <w:vAlign w:val="center"/>
          </w:tcPr>
          <w:p w14:paraId="64FF1C13"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29E4FBBE"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509A5EA5" w14:textId="77777777" w:rsidR="007332C4" w:rsidRPr="000B4E2C" w:rsidRDefault="007332C4" w:rsidP="00A0284C">
            <w:r w:rsidRPr="000B4E2C">
              <w:t>NR</w:t>
            </w:r>
          </w:p>
        </w:tc>
        <w:tc>
          <w:tcPr>
            <w:tcW w:w="0" w:type="auto"/>
            <w:shd w:val="clear" w:color="auto" w:fill="auto"/>
            <w:tcMar>
              <w:top w:w="0" w:type="dxa"/>
              <w:left w:w="10" w:type="dxa"/>
              <w:bottom w:w="0" w:type="dxa"/>
              <w:right w:w="10" w:type="dxa"/>
            </w:tcMar>
            <w:vAlign w:val="center"/>
          </w:tcPr>
          <w:p w14:paraId="4D2DC9BD" w14:textId="77777777" w:rsidR="007332C4" w:rsidRPr="000B4E2C" w:rsidRDefault="007332C4" w:rsidP="00A0284C">
            <w:r w:rsidRPr="000B4E2C">
              <w:t>Variables included in the clinical model for the prediction of mortality were: age, sex, APACHE II score, sepsis. Variables were derived from univariate logistic regression analysis.</w:t>
            </w:r>
          </w:p>
          <w:p w14:paraId="70A143C7" w14:textId="77777777" w:rsidR="007332C4" w:rsidRPr="000B4E2C" w:rsidRDefault="007332C4" w:rsidP="00A0284C"/>
        </w:tc>
      </w:tr>
      <w:tr w:rsidR="000B4E2C" w:rsidRPr="000B4E2C" w14:paraId="7CE0910A" w14:textId="77777777" w:rsidTr="000B4E2C">
        <w:trPr>
          <w:cantSplit/>
        </w:trPr>
        <w:tc>
          <w:tcPr>
            <w:tcW w:w="0" w:type="auto"/>
            <w:shd w:val="clear" w:color="auto" w:fill="auto"/>
            <w:tcMar>
              <w:top w:w="0" w:type="dxa"/>
              <w:left w:w="108" w:type="dxa"/>
              <w:bottom w:w="0" w:type="dxa"/>
              <w:right w:w="108" w:type="dxa"/>
            </w:tcMar>
            <w:vAlign w:val="center"/>
          </w:tcPr>
          <w:p w14:paraId="4F8CD7D8" w14:textId="05A605C1" w:rsidR="007332C4" w:rsidRPr="000B4E2C" w:rsidRDefault="007332C4" w:rsidP="00A0284C">
            <w:r w:rsidRPr="000B4E2C">
              <w:lastRenderedPageBreak/>
              <w:t>Verna 2012</w:t>
            </w:r>
            <w:r w:rsidR="00CD615E" w:rsidRPr="000B4E2C">
              <w:t>,</w:t>
            </w:r>
            <w:r w:rsidRPr="000B4E2C">
              <w:rPr>
                <w:noProof/>
                <w:vertAlign w:val="superscript"/>
              </w:rPr>
              <w:t>81</w:t>
            </w:r>
            <w:r w:rsidRPr="000B4E2C">
              <w:t xml:space="preserve"> USA, uNGAL, BioPorto, Critical care</w:t>
            </w:r>
            <w:r w:rsidR="000B4E2C" w:rsidRPr="000B4E2C">
              <w:rPr>
                <w:color w:val="00B0F0"/>
              </w:rPr>
              <w:t xml:space="preserve"> – </w:t>
            </w:r>
            <w:r w:rsidRPr="000B4E2C">
              <w:t>mixed population (cirrhosis)</w:t>
            </w:r>
          </w:p>
        </w:tc>
        <w:tc>
          <w:tcPr>
            <w:tcW w:w="0" w:type="auto"/>
            <w:shd w:val="clear" w:color="auto" w:fill="auto"/>
            <w:vAlign w:val="center"/>
          </w:tcPr>
          <w:p w14:paraId="69416464" w14:textId="77777777" w:rsidR="007332C4" w:rsidRPr="000B4E2C" w:rsidRDefault="007332C4" w:rsidP="00A0284C">
            <w:r w:rsidRPr="000B4E2C">
              <w:t>In hospital mortality (15 died)</w:t>
            </w:r>
          </w:p>
        </w:tc>
        <w:tc>
          <w:tcPr>
            <w:tcW w:w="0" w:type="auto"/>
            <w:shd w:val="clear" w:color="auto" w:fill="auto"/>
            <w:tcMar>
              <w:top w:w="0" w:type="dxa"/>
              <w:left w:w="108" w:type="dxa"/>
              <w:bottom w:w="0" w:type="dxa"/>
              <w:right w:w="108" w:type="dxa"/>
            </w:tcMar>
            <w:vAlign w:val="center"/>
          </w:tcPr>
          <w:p w14:paraId="0CB531E3"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1E4797FA"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3B9E0260" w14:textId="77777777" w:rsidR="007332C4" w:rsidRPr="000B4E2C" w:rsidRDefault="007332C4" w:rsidP="00A0284C">
            <w:r w:rsidRPr="000B4E2C">
              <w:t>NR</w:t>
            </w:r>
          </w:p>
        </w:tc>
        <w:tc>
          <w:tcPr>
            <w:tcW w:w="0" w:type="auto"/>
            <w:shd w:val="clear" w:color="auto" w:fill="auto"/>
            <w:tcMar>
              <w:top w:w="0" w:type="dxa"/>
              <w:left w:w="108" w:type="dxa"/>
              <w:bottom w:w="0" w:type="dxa"/>
              <w:right w:w="108" w:type="dxa"/>
            </w:tcMar>
            <w:vAlign w:val="center"/>
          </w:tcPr>
          <w:p w14:paraId="66A3DFF5" w14:textId="77777777" w:rsidR="000B4E2C" w:rsidRPr="000B4E2C" w:rsidRDefault="007332C4" w:rsidP="00A0284C">
            <w:r w:rsidRPr="000B4E2C">
              <w:t>2.95</w:t>
            </w:r>
          </w:p>
          <w:p w14:paraId="71C9AFCF" w14:textId="065A3A22" w:rsidR="007332C4" w:rsidRPr="000B4E2C" w:rsidRDefault="007332C4" w:rsidP="00A0284C">
            <w:r w:rsidRPr="000B4E2C">
              <w:t>(1.68</w:t>
            </w:r>
            <w:r w:rsidR="000B4E2C" w:rsidRPr="000B4E2C">
              <w:rPr>
                <w:color w:val="00B0F0"/>
              </w:rPr>
              <w:t>–</w:t>
            </w:r>
            <w:r w:rsidR="000B4E2C" w:rsidRPr="000B4E2C">
              <w:rPr>
                <w:color w:val="00B0F0"/>
              </w:rPr>
              <w:t>5</w:t>
            </w:r>
            <w:r w:rsidRPr="000B4E2C">
              <w:t>.61)</w:t>
            </w:r>
          </w:p>
        </w:tc>
        <w:tc>
          <w:tcPr>
            <w:tcW w:w="0" w:type="auto"/>
            <w:shd w:val="clear" w:color="auto" w:fill="auto"/>
            <w:tcMar>
              <w:top w:w="0" w:type="dxa"/>
              <w:left w:w="108" w:type="dxa"/>
              <w:bottom w:w="0" w:type="dxa"/>
              <w:right w:w="108" w:type="dxa"/>
            </w:tcMar>
            <w:vAlign w:val="center"/>
          </w:tcPr>
          <w:p w14:paraId="4B0C74F1" w14:textId="77777777" w:rsidR="000B4E2C" w:rsidRPr="000B4E2C" w:rsidRDefault="007332C4" w:rsidP="00A0284C">
            <w:r w:rsidRPr="000B4E2C">
              <w:t>2.00</w:t>
            </w:r>
          </w:p>
          <w:p w14:paraId="4D77666E" w14:textId="43445B2F" w:rsidR="007332C4" w:rsidRPr="000B4E2C" w:rsidRDefault="007332C4" w:rsidP="00A0284C">
            <w:r w:rsidRPr="000B4E2C">
              <w:t>(1.36</w:t>
            </w:r>
            <w:r w:rsidR="000B4E2C" w:rsidRPr="000B4E2C">
              <w:rPr>
                <w:color w:val="00B0F0"/>
              </w:rPr>
              <w:t>–</w:t>
            </w:r>
            <w:r w:rsidR="000B4E2C" w:rsidRPr="000B4E2C">
              <w:rPr>
                <w:color w:val="00B0F0"/>
              </w:rPr>
              <w:t>2</w:t>
            </w:r>
            <w:r w:rsidRPr="000B4E2C">
              <w:t>.94)</w:t>
            </w:r>
          </w:p>
        </w:tc>
        <w:tc>
          <w:tcPr>
            <w:tcW w:w="0" w:type="auto"/>
            <w:shd w:val="clear" w:color="auto" w:fill="auto"/>
            <w:tcMar>
              <w:top w:w="0" w:type="dxa"/>
              <w:left w:w="108" w:type="dxa"/>
              <w:bottom w:w="0" w:type="dxa"/>
              <w:right w:w="108" w:type="dxa"/>
            </w:tcMar>
            <w:vAlign w:val="center"/>
          </w:tcPr>
          <w:p w14:paraId="6BE93243" w14:textId="571EA633" w:rsidR="000B4E2C" w:rsidRPr="000B4E2C" w:rsidRDefault="007332C4" w:rsidP="00A0284C">
            <w:r w:rsidRPr="000B4E2C">
              <w:t>6.05 (1.35</w:t>
            </w:r>
            <w:r w:rsidR="000B4E2C" w:rsidRPr="000B4E2C">
              <w:rPr>
                <w:color w:val="00B0F0"/>
              </w:rPr>
              <w:t>–</w:t>
            </w:r>
            <w:r w:rsidR="000B4E2C" w:rsidRPr="000B4E2C">
              <w:rPr>
                <w:color w:val="00B0F0"/>
              </w:rPr>
              <w:t>2</w:t>
            </w:r>
            <w:r w:rsidRPr="000B4E2C">
              <w:t>7.2)</w:t>
            </w:r>
          </w:p>
          <w:p w14:paraId="61287088" w14:textId="37EF219C" w:rsidR="007332C4" w:rsidRPr="000B4E2C" w:rsidRDefault="007332C4" w:rsidP="00A0284C"/>
        </w:tc>
        <w:tc>
          <w:tcPr>
            <w:tcW w:w="0" w:type="auto"/>
            <w:shd w:val="clear" w:color="auto" w:fill="auto"/>
            <w:tcMar>
              <w:top w:w="0" w:type="dxa"/>
              <w:left w:w="10" w:type="dxa"/>
              <w:bottom w:w="0" w:type="dxa"/>
              <w:right w:w="10" w:type="dxa"/>
            </w:tcMar>
            <w:vAlign w:val="center"/>
          </w:tcPr>
          <w:p w14:paraId="677208EA" w14:textId="6301895F" w:rsidR="007332C4" w:rsidRPr="000B4E2C" w:rsidRDefault="007332C4" w:rsidP="00A0284C">
            <w:r w:rsidRPr="000B4E2C">
              <w:t>Adjusted for age, sCr, MELD</w:t>
            </w:r>
            <w:r w:rsidR="000B4E2C" w:rsidRPr="000B4E2C">
              <w:rPr>
                <w:color w:val="00B0F0"/>
              </w:rPr>
              <w:t>&gt;</w:t>
            </w:r>
            <w:r w:rsidR="000B4E2C" w:rsidRPr="000B4E2C">
              <w:rPr>
                <w:color w:val="00B0F0"/>
              </w:rPr>
              <w:t> </w:t>
            </w:r>
            <w:r w:rsidR="000B4E2C" w:rsidRPr="000B4E2C">
              <w:rPr>
                <w:color w:val="00B0F0"/>
              </w:rPr>
              <w:t>1</w:t>
            </w:r>
            <w:r w:rsidRPr="000B4E2C">
              <w:t>7, HRS</w:t>
            </w:r>
          </w:p>
          <w:p w14:paraId="1CCCEE59" w14:textId="77777777" w:rsidR="007332C4" w:rsidRPr="000B4E2C" w:rsidRDefault="007332C4" w:rsidP="00A0284C"/>
        </w:tc>
      </w:tr>
    </w:tbl>
    <w:p w14:paraId="1068E563" w14:textId="77777777" w:rsidR="000B4E2C" w:rsidRPr="000B4E2C" w:rsidRDefault="007332C4" w:rsidP="007332C4">
      <w:pPr>
        <w:rPr>
          <w:vertAlign w:val="superscript"/>
        </w:rPr>
      </w:pPr>
      <w:r w:rsidRPr="000B4E2C">
        <w:rPr>
          <w:vertAlign w:val="superscript"/>
        </w:rPr>
        <w:t>* C-</w:t>
      </w:r>
      <w:r w:rsidRPr="000B4E2C">
        <w:t>Statistics</w:t>
      </w:r>
    </w:p>
    <w:p w14:paraId="3907C2A2" w14:textId="7E492151" w:rsidR="000B4E2C" w:rsidRPr="000B4E2C" w:rsidRDefault="007332C4" w:rsidP="007332C4">
      <w:r w:rsidRPr="000B4E2C">
        <w:t>AKI</w:t>
      </w:r>
      <w:r w:rsidR="000B4E2C" w:rsidRPr="000B4E2C">
        <w:rPr>
          <w:color w:val="00B0F0"/>
        </w:rPr>
        <w:t> = </w:t>
      </w:r>
      <w:r w:rsidRPr="000B4E2C">
        <w:t>acute kidney injury; APACHE</w:t>
      </w:r>
      <w:r w:rsidR="000B4E2C" w:rsidRPr="000B4E2C">
        <w:rPr>
          <w:color w:val="00B0F0"/>
        </w:rPr>
        <w:t> = </w:t>
      </w:r>
      <w:r w:rsidRPr="000B4E2C">
        <w:t>acute physiology and chronic health evaluation; AUC</w:t>
      </w:r>
      <w:r w:rsidR="000B4E2C" w:rsidRPr="000B4E2C">
        <w:rPr>
          <w:color w:val="00B0F0"/>
        </w:rPr>
        <w:t> = </w:t>
      </w:r>
      <w:r w:rsidRPr="000B4E2C">
        <w:t>area under the (receiver operating characteristic) curve; BMI</w:t>
      </w:r>
      <w:r w:rsidR="000B4E2C" w:rsidRPr="000B4E2C">
        <w:rPr>
          <w:color w:val="00B0F0"/>
        </w:rPr>
        <w:t> = </w:t>
      </w:r>
      <w:r w:rsidRPr="000B4E2C">
        <w:t>body mass index; CHF</w:t>
      </w:r>
      <w:r w:rsidR="000B4E2C" w:rsidRPr="000B4E2C">
        <w:rPr>
          <w:color w:val="00B0F0"/>
        </w:rPr>
        <w:t> = </w:t>
      </w:r>
      <w:r w:rsidRPr="000B4E2C">
        <w:t>congestive heart failure; CI</w:t>
      </w:r>
      <w:r w:rsidR="000B4E2C" w:rsidRPr="000B4E2C">
        <w:rPr>
          <w:color w:val="00B0F0"/>
        </w:rPr>
        <w:t> = </w:t>
      </w:r>
      <w:r w:rsidRPr="000B4E2C">
        <w:t>confidence interval; CKD</w:t>
      </w:r>
      <w:r w:rsidR="000B4E2C" w:rsidRPr="000B4E2C">
        <w:rPr>
          <w:color w:val="00B0F0"/>
        </w:rPr>
        <w:t> = </w:t>
      </w:r>
      <w:r w:rsidRPr="000B4E2C">
        <w:t>chronic kidney disease; CPB</w:t>
      </w:r>
      <w:r w:rsidR="000B4E2C" w:rsidRPr="000B4E2C">
        <w:rPr>
          <w:color w:val="00B0F0"/>
        </w:rPr>
        <w:t> = </w:t>
      </w:r>
      <w:r w:rsidRPr="000B4E2C">
        <w:t>cardiopulmonary bypass; CVI</w:t>
      </w:r>
      <w:r w:rsidR="000B4E2C" w:rsidRPr="000B4E2C">
        <w:rPr>
          <w:color w:val="00B0F0"/>
        </w:rPr>
        <w:t> = </w:t>
      </w:r>
      <w:r w:rsidRPr="000B4E2C">
        <w:t>cumulative vasopressor index; DM</w:t>
      </w:r>
      <w:r w:rsidR="000B4E2C" w:rsidRPr="000B4E2C">
        <w:rPr>
          <w:color w:val="00B0F0"/>
        </w:rPr>
        <w:t> = </w:t>
      </w:r>
      <w:r w:rsidRPr="000B4E2C">
        <w:t>diabetes mellitus; eGFR</w:t>
      </w:r>
      <w:r w:rsidR="000B4E2C" w:rsidRPr="000B4E2C">
        <w:rPr>
          <w:color w:val="00B0F0"/>
        </w:rPr>
        <w:t> = </w:t>
      </w:r>
      <w:r w:rsidRPr="000B4E2C">
        <w:t>estimated glomerular filtration rate; HRS</w:t>
      </w:r>
      <w:r w:rsidR="000B4E2C" w:rsidRPr="000B4E2C">
        <w:rPr>
          <w:color w:val="00B0F0"/>
        </w:rPr>
        <w:t> = </w:t>
      </w:r>
      <w:r w:rsidRPr="000B4E2C">
        <w:t>hepatorenal syndrome; HT</w:t>
      </w:r>
      <w:r w:rsidR="000B4E2C" w:rsidRPr="000B4E2C">
        <w:rPr>
          <w:color w:val="00B0F0"/>
        </w:rPr>
        <w:t> = </w:t>
      </w:r>
      <w:r w:rsidRPr="000B4E2C">
        <w:t>hypertension; ICU</w:t>
      </w:r>
      <w:r w:rsidR="000B4E2C" w:rsidRPr="000B4E2C">
        <w:rPr>
          <w:color w:val="00B0F0"/>
        </w:rPr>
        <w:t> = </w:t>
      </w:r>
      <w:r w:rsidRPr="000B4E2C">
        <w:t>intensive care unit; IDI</w:t>
      </w:r>
      <w:r w:rsidR="000B4E2C" w:rsidRPr="000B4E2C">
        <w:rPr>
          <w:color w:val="00B0F0"/>
        </w:rPr>
        <w:t> = </w:t>
      </w:r>
      <w:r w:rsidRPr="000B4E2C">
        <w:t>integrated discrimination index; INR</w:t>
      </w:r>
      <w:r w:rsidR="000B4E2C" w:rsidRPr="000B4E2C">
        <w:rPr>
          <w:color w:val="00B0F0"/>
        </w:rPr>
        <w:t> = </w:t>
      </w:r>
      <w:r w:rsidRPr="000B4E2C">
        <w:t>international normalised ratio; KDIGO</w:t>
      </w:r>
      <w:r w:rsidR="000B4E2C" w:rsidRPr="000B4E2C">
        <w:rPr>
          <w:color w:val="00B0F0"/>
        </w:rPr>
        <w:t> = </w:t>
      </w:r>
      <w:r w:rsidRPr="000B4E2C">
        <w:t>Kidney Disease Improving Global Outcomes; MELD</w:t>
      </w:r>
      <w:r w:rsidR="000B4E2C" w:rsidRPr="000B4E2C">
        <w:rPr>
          <w:color w:val="00B0F0"/>
        </w:rPr>
        <w:t> = </w:t>
      </w:r>
      <w:r w:rsidRPr="000B4E2C">
        <w:t>model for end stage liver disease; NR</w:t>
      </w:r>
      <w:r w:rsidR="000B4E2C" w:rsidRPr="000B4E2C">
        <w:rPr>
          <w:color w:val="00B0F0"/>
        </w:rPr>
        <w:t> = </w:t>
      </w:r>
      <w:r w:rsidRPr="000B4E2C">
        <w:t>not reported; NRI</w:t>
      </w:r>
      <w:r w:rsidR="000B4E2C" w:rsidRPr="000B4E2C">
        <w:rPr>
          <w:color w:val="00B0F0"/>
        </w:rPr>
        <w:t> = </w:t>
      </w:r>
      <w:r w:rsidRPr="000B4E2C">
        <w:t xml:space="preserve">net classification index; </w:t>
      </w:r>
      <w:r w:rsidRPr="000B4E2C">
        <w:rPr>
          <w:i/>
          <w:color w:val="00B0F0"/>
        </w:rPr>
        <w:t>P</w:t>
      </w:r>
      <w:r w:rsidRPr="000B4E2C">
        <w:t>aCO</w:t>
      </w:r>
      <w:r w:rsidRPr="000B4E2C">
        <w:rPr>
          <w:color w:val="00B0F0"/>
          <w:vertAlign w:val="subscript"/>
        </w:rPr>
        <w:t>2</w:t>
      </w:r>
      <w:r w:rsidR="000B4E2C" w:rsidRPr="000B4E2C">
        <w:rPr>
          <w:color w:val="00B0F0"/>
        </w:rPr>
        <w:t> = </w:t>
      </w:r>
      <w:r w:rsidRPr="000B4E2C">
        <w:t xml:space="preserve">partial pressures of carbon dioxide; </w:t>
      </w:r>
      <w:r w:rsidRPr="000B4E2C">
        <w:rPr>
          <w:i/>
          <w:color w:val="00B0F0"/>
        </w:rPr>
        <w:t>P</w:t>
      </w:r>
      <w:r w:rsidRPr="000B4E2C">
        <w:t>aO</w:t>
      </w:r>
      <w:r w:rsidRPr="000B4E2C">
        <w:rPr>
          <w:color w:val="00B0F0"/>
          <w:vertAlign w:val="subscript"/>
        </w:rPr>
        <w:t>2</w:t>
      </w:r>
      <w:r w:rsidR="000B4E2C" w:rsidRPr="000B4E2C">
        <w:rPr>
          <w:color w:val="00B0F0"/>
        </w:rPr>
        <w:t> = </w:t>
      </w:r>
      <w:r w:rsidRPr="000B4E2C">
        <w:t>partial pressures of oxygen; pNGAL</w:t>
      </w:r>
      <w:r w:rsidR="000B4E2C" w:rsidRPr="000B4E2C">
        <w:rPr>
          <w:color w:val="00B0F0"/>
        </w:rPr>
        <w:t> = </w:t>
      </w:r>
      <w:r w:rsidRPr="000B4E2C">
        <w:t>plasma neutrophil gelatinase-associated lipocalin; RACHS</w:t>
      </w:r>
      <w:r w:rsidR="000B4E2C" w:rsidRPr="000B4E2C">
        <w:rPr>
          <w:color w:val="00B0F0"/>
        </w:rPr>
        <w:t> = </w:t>
      </w:r>
      <w:r w:rsidRPr="000B4E2C">
        <w:t>risk adjustment for congenital heart surgery; ROSC</w:t>
      </w:r>
      <w:r w:rsidR="000B4E2C" w:rsidRPr="000B4E2C">
        <w:rPr>
          <w:color w:val="00B0F0"/>
        </w:rPr>
        <w:t> = </w:t>
      </w:r>
      <w:r w:rsidRPr="000B4E2C">
        <w:t>return of spontaneous circulation; SAP</w:t>
      </w:r>
      <w:r w:rsidR="000B4E2C" w:rsidRPr="000B4E2C">
        <w:rPr>
          <w:color w:val="00B0F0"/>
        </w:rPr>
        <w:t> = </w:t>
      </w:r>
      <w:r w:rsidRPr="000B4E2C">
        <w:t>simplified acute physiology score; sCR</w:t>
      </w:r>
      <w:r w:rsidR="000B4E2C" w:rsidRPr="000B4E2C">
        <w:rPr>
          <w:color w:val="00B0F0"/>
        </w:rPr>
        <w:t> = </w:t>
      </w:r>
      <w:r w:rsidRPr="000B4E2C">
        <w:t>serum creatinine; SEM</w:t>
      </w:r>
      <w:r w:rsidR="000B4E2C" w:rsidRPr="000B4E2C">
        <w:rPr>
          <w:color w:val="00B0F0"/>
        </w:rPr>
        <w:t> = </w:t>
      </w:r>
      <w:r w:rsidRPr="000B4E2C">
        <w:t>standard error of the mean; SOFA</w:t>
      </w:r>
      <w:r w:rsidR="000B4E2C" w:rsidRPr="000B4E2C">
        <w:rPr>
          <w:color w:val="00B0F0"/>
        </w:rPr>
        <w:t> = </w:t>
      </w:r>
      <w:r w:rsidRPr="000B4E2C">
        <w:t>sequential organ failure assessment; uNGAL</w:t>
      </w:r>
      <w:r w:rsidR="000B4E2C" w:rsidRPr="000B4E2C">
        <w:rPr>
          <w:color w:val="00B0F0"/>
        </w:rPr>
        <w:t> = </w:t>
      </w:r>
      <w:r w:rsidRPr="000B4E2C">
        <w:t>urine neutrophil gelatinase-associated lipocalin</w:t>
      </w:r>
    </w:p>
    <w:p w14:paraId="382B7BB1" w14:textId="603261B1" w:rsidR="000B4E2C" w:rsidRPr="000B4E2C" w:rsidRDefault="002F0133" w:rsidP="008A7464">
      <w:pPr>
        <w:pStyle w:val="Heading2"/>
      </w:pPr>
      <w:r w:rsidRPr="000B4E2C">
        <w:rPr>
          <w:szCs w:val="24"/>
          <w:lang w:val="pt-BR"/>
        </w:rPr>
        <w:t>Appendix 1</w:t>
      </w:r>
      <w:r w:rsidR="00C44F99" w:rsidRPr="000B4E2C">
        <w:rPr>
          <w:szCs w:val="24"/>
          <w:lang w:val="pt-BR"/>
        </w:rPr>
        <w:t>5</w:t>
      </w:r>
      <w:r w:rsidRPr="000B4E2C">
        <w:rPr>
          <w:szCs w:val="24"/>
          <w:lang w:val="pt-BR"/>
        </w:rPr>
        <w:tab/>
      </w:r>
      <w:r w:rsidR="003508E0" w:rsidRPr="000B4E2C">
        <w:t>Assessment of cost-effectiveness</w:t>
      </w:r>
      <w:r w:rsidR="000B4E2C" w:rsidRPr="000B4E2C">
        <w:rPr>
          <w:color w:val="00B0F0"/>
        </w:rPr>
        <w:t xml:space="preserve"> – </w:t>
      </w:r>
      <w:r w:rsidR="003508E0" w:rsidRPr="000B4E2C">
        <w:t>additional tables</w:t>
      </w:r>
    </w:p>
    <w:p w14:paraId="533D8040" w14:textId="3400691F" w:rsidR="00E62483" w:rsidRPr="000B4E2C" w:rsidRDefault="000B4E2C" w:rsidP="00E62483">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31</w:t>
      </w:r>
      <w:r w:rsidRPr="000B4E2C">
        <w:t xml:space="preserve"> </w:t>
      </w:r>
      <w:r w:rsidR="00E62483" w:rsidRPr="000B4E2C">
        <w:t>Test costs</w:t>
      </w:r>
    </w:p>
    <w:tbl>
      <w:tblPr>
        <w:tblStyle w:val="TableGrid"/>
        <w:tblW w:w="0" w:type="auto"/>
        <w:tblInd w:w="-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188"/>
        <w:gridCol w:w="1024"/>
        <w:gridCol w:w="1852"/>
        <w:gridCol w:w="1322"/>
        <w:gridCol w:w="1150"/>
      </w:tblGrid>
      <w:tr w:rsidR="00E62483" w:rsidRPr="000B4E2C" w14:paraId="123011BE" w14:textId="77777777" w:rsidTr="000B4E2C">
        <w:trPr>
          <w:cantSplit/>
        </w:trPr>
        <w:tc>
          <w:tcPr>
            <w:tcW w:w="0" w:type="auto"/>
            <w:shd w:val="clear" w:color="auto" w:fill="auto"/>
            <w:noWrap/>
            <w:hideMark/>
          </w:tcPr>
          <w:p w14:paraId="796E005F" w14:textId="77777777" w:rsidR="00E62483" w:rsidRPr="000B4E2C" w:rsidRDefault="00E62483" w:rsidP="00E62483">
            <w:pPr>
              <w:spacing w:line="276" w:lineRule="auto"/>
              <w:rPr>
                <w:sz w:val="22"/>
              </w:rPr>
            </w:pPr>
          </w:p>
        </w:tc>
        <w:tc>
          <w:tcPr>
            <w:tcW w:w="0" w:type="auto"/>
            <w:shd w:val="clear" w:color="auto" w:fill="auto"/>
            <w:noWrap/>
            <w:hideMark/>
          </w:tcPr>
          <w:p w14:paraId="0C1136A6" w14:textId="77777777" w:rsidR="00E62483" w:rsidRPr="000B4E2C" w:rsidRDefault="00E62483" w:rsidP="00E62483">
            <w:pPr>
              <w:spacing w:line="276" w:lineRule="auto"/>
              <w:jc w:val="right"/>
              <w:rPr>
                <w:b/>
                <w:bCs/>
                <w:sz w:val="22"/>
              </w:rPr>
            </w:pPr>
            <w:r w:rsidRPr="000B4E2C">
              <w:rPr>
                <w:b/>
                <w:bCs/>
                <w:sz w:val="22"/>
              </w:rPr>
              <w:t>Astute medical</w:t>
            </w:r>
          </w:p>
          <w:p w14:paraId="0B6A34C8" w14:textId="77777777" w:rsidR="00E62483" w:rsidRPr="000B4E2C" w:rsidRDefault="00E62483" w:rsidP="00E62483">
            <w:pPr>
              <w:spacing w:line="276" w:lineRule="auto"/>
              <w:jc w:val="right"/>
              <w:rPr>
                <w:b/>
                <w:bCs/>
                <w:sz w:val="22"/>
              </w:rPr>
            </w:pPr>
            <w:r w:rsidRPr="000B4E2C">
              <w:rPr>
                <w:b/>
                <w:bCs/>
                <w:sz w:val="22"/>
              </w:rPr>
              <w:t>NephroCheck</w:t>
            </w:r>
          </w:p>
        </w:tc>
        <w:tc>
          <w:tcPr>
            <w:tcW w:w="0" w:type="auto"/>
            <w:shd w:val="clear" w:color="auto" w:fill="auto"/>
            <w:noWrap/>
            <w:hideMark/>
          </w:tcPr>
          <w:p w14:paraId="04779229" w14:textId="77777777" w:rsidR="00E62483" w:rsidRPr="000B4E2C" w:rsidRDefault="00E62483" w:rsidP="00E62483">
            <w:pPr>
              <w:spacing w:line="276" w:lineRule="auto"/>
              <w:jc w:val="right"/>
              <w:rPr>
                <w:b/>
                <w:bCs/>
                <w:sz w:val="22"/>
              </w:rPr>
            </w:pPr>
            <w:r w:rsidRPr="000B4E2C">
              <w:rPr>
                <w:b/>
                <w:bCs/>
                <w:sz w:val="22"/>
              </w:rPr>
              <w:t>BioPorto (urine and plasma)</w:t>
            </w:r>
          </w:p>
        </w:tc>
        <w:tc>
          <w:tcPr>
            <w:tcW w:w="0" w:type="auto"/>
            <w:shd w:val="clear" w:color="auto" w:fill="auto"/>
            <w:noWrap/>
            <w:hideMark/>
          </w:tcPr>
          <w:p w14:paraId="7A2ED687" w14:textId="77777777" w:rsidR="00E62483" w:rsidRPr="000B4E2C" w:rsidRDefault="00E62483" w:rsidP="00E62483">
            <w:pPr>
              <w:spacing w:line="276" w:lineRule="auto"/>
              <w:jc w:val="right"/>
              <w:rPr>
                <w:b/>
                <w:bCs/>
                <w:sz w:val="22"/>
              </w:rPr>
            </w:pPr>
            <w:r w:rsidRPr="000B4E2C">
              <w:rPr>
                <w:b/>
              </w:rPr>
              <w:t xml:space="preserve">Abbott ARCHITECT </w:t>
            </w:r>
          </w:p>
        </w:tc>
        <w:tc>
          <w:tcPr>
            <w:tcW w:w="0" w:type="auto"/>
            <w:shd w:val="clear" w:color="auto" w:fill="auto"/>
            <w:noWrap/>
            <w:hideMark/>
          </w:tcPr>
          <w:p w14:paraId="71E8FC9D" w14:textId="77777777" w:rsidR="00E62483" w:rsidRPr="000B4E2C" w:rsidRDefault="00E62483" w:rsidP="00E62483">
            <w:pPr>
              <w:spacing w:line="276" w:lineRule="auto"/>
              <w:jc w:val="right"/>
              <w:rPr>
                <w:b/>
                <w:bCs/>
                <w:sz w:val="22"/>
                <w:vertAlign w:val="superscript"/>
              </w:rPr>
            </w:pPr>
            <w:r w:rsidRPr="000B4E2C">
              <w:rPr>
                <w:b/>
                <w:bCs/>
                <w:sz w:val="22"/>
              </w:rPr>
              <w:t>Abbott (Alinity)</w:t>
            </w:r>
            <w:r w:rsidRPr="000B4E2C">
              <w:rPr>
                <w:b/>
                <w:bCs/>
                <w:sz w:val="22"/>
                <w:vertAlign w:val="superscript"/>
              </w:rPr>
              <w:t>F</w:t>
            </w:r>
          </w:p>
        </w:tc>
      </w:tr>
      <w:tr w:rsidR="00E62483" w:rsidRPr="000B4E2C" w14:paraId="09CD4AD4" w14:textId="77777777" w:rsidTr="000B4E2C">
        <w:trPr>
          <w:cantSplit/>
        </w:trPr>
        <w:tc>
          <w:tcPr>
            <w:tcW w:w="0" w:type="auto"/>
            <w:gridSpan w:val="5"/>
            <w:shd w:val="clear" w:color="auto" w:fill="auto"/>
            <w:noWrap/>
          </w:tcPr>
          <w:p w14:paraId="59255F7E" w14:textId="33CEA49F" w:rsidR="00E62483" w:rsidRPr="000B4E2C" w:rsidRDefault="00E62483" w:rsidP="00E62483">
            <w:pPr>
              <w:spacing w:line="276" w:lineRule="auto"/>
              <w:rPr>
                <w:b/>
                <w:bCs/>
                <w:sz w:val="22"/>
              </w:rPr>
            </w:pPr>
            <w:r w:rsidRPr="000B4E2C">
              <w:rPr>
                <w:b/>
                <w:sz w:val="22"/>
              </w:rPr>
              <w:t xml:space="preserve">Platform (Astute 140 </w:t>
            </w:r>
            <w:r w:rsidR="000B4E2C" w:rsidRPr="000B4E2C">
              <w:rPr>
                <w:b/>
                <w:color w:val="00B0F0"/>
                <w:sz w:val="22"/>
              </w:rPr>
              <w:t>Metre</w:t>
            </w:r>
            <w:r w:rsidRPr="000B4E2C">
              <w:rPr>
                <w:b/>
                <w:sz w:val="22"/>
              </w:rPr>
              <w:t>), NephroCheck only</w:t>
            </w:r>
          </w:p>
        </w:tc>
      </w:tr>
      <w:tr w:rsidR="00E62483" w:rsidRPr="000B4E2C" w14:paraId="658ACE7E" w14:textId="77777777" w:rsidTr="000B4E2C">
        <w:trPr>
          <w:cantSplit/>
        </w:trPr>
        <w:tc>
          <w:tcPr>
            <w:tcW w:w="0" w:type="auto"/>
            <w:shd w:val="clear" w:color="auto" w:fill="auto"/>
            <w:noWrap/>
          </w:tcPr>
          <w:p w14:paraId="23BC69A1" w14:textId="77777777" w:rsidR="00E62483" w:rsidRPr="000B4E2C" w:rsidRDefault="00E62483" w:rsidP="00E62483">
            <w:pPr>
              <w:spacing w:line="276" w:lineRule="auto"/>
              <w:jc w:val="right"/>
              <w:rPr>
                <w:sz w:val="22"/>
              </w:rPr>
            </w:pPr>
            <w:r w:rsidRPr="000B4E2C">
              <w:rPr>
                <w:sz w:val="22"/>
              </w:rPr>
              <w:t>Cost</w:t>
            </w:r>
          </w:p>
        </w:tc>
        <w:tc>
          <w:tcPr>
            <w:tcW w:w="0" w:type="auto"/>
            <w:shd w:val="clear" w:color="auto" w:fill="auto"/>
            <w:noWrap/>
          </w:tcPr>
          <w:p w14:paraId="0E2D0B53" w14:textId="77777777" w:rsidR="00E62483" w:rsidRPr="000B4E2C" w:rsidRDefault="00E62483" w:rsidP="00E62483">
            <w:pPr>
              <w:spacing w:line="276" w:lineRule="auto"/>
              <w:jc w:val="right"/>
              <w:rPr>
                <w:bCs/>
                <w:sz w:val="22"/>
              </w:rPr>
            </w:pPr>
            <w:r w:rsidRPr="000B4E2C">
              <w:rPr>
                <w:bCs/>
                <w:sz w:val="22"/>
              </w:rPr>
              <w:t>£3000</w:t>
            </w:r>
          </w:p>
        </w:tc>
        <w:tc>
          <w:tcPr>
            <w:tcW w:w="0" w:type="auto"/>
            <w:shd w:val="clear" w:color="auto" w:fill="auto"/>
            <w:noWrap/>
          </w:tcPr>
          <w:p w14:paraId="71182DB7" w14:textId="77777777" w:rsidR="00E62483" w:rsidRPr="000B4E2C" w:rsidRDefault="00E62483" w:rsidP="00E62483">
            <w:pPr>
              <w:spacing w:line="276" w:lineRule="auto"/>
              <w:jc w:val="right"/>
              <w:rPr>
                <w:bCs/>
                <w:sz w:val="22"/>
              </w:rPr>
            </w:pPr>
            <w:r w:rsidRPr="000B4E2C">
              <w:rPr>
                <w:bCs/>
                <w:sz w:val="22"/>
              </w:rPr>
              <w:t>--</w:t>
            </w:r>
          </w:p>
        </w:tc>
        <w:tc>
          <w:tcPr>
            <w:tcW w:w="0" w:type="auto"/>
            <w:shd w:val="clear" w:color="auto" w:fill="auto"/>
            <w:noWrap/>
          </w:tcPr>
          <w:p w14:paraId="479EB905" w14:textId="77777777" w:rsidR="00E62483" w:rsidRPr="000B4E2C" w:rsidRDefault="00E62483" w:rsidP="00E62483">
            <w:pPr>
              <w:spacing w:line="276" w:lineRule="auto"/>
              <w:jc w:val="right"/>
              <w:rPr>
                <w:bCs/>
                <w:sz w:val="22"/>
              </w:rPr>
            </w:pPr>
            <w:r w:rsidRPr="000B4E2C">
              <w:rPr>
                <w:bCs/>
                <w:sz w:val="22"/>
              </w:rPr>
              <w:t>--</w:t>
            </w:r>
          </w:p>
        </w:tc>
        <w:tc>
          <w:tcPr>
            <w:tcW w:w="0" w:type="auto"/>
            <w:shd w:val="clear" w:color="auto" w:fill="auto"/>
            <w:noWrap/>
          </w:tcPr>
          <w:p w14:paraId="2F2CD241" w14:textId="77777777" w:rsidR="00E62483" w:rsidRPr="000B4E2C" w:rsidRDefault="00E62483" w:rsidP="00E62483">
            <w:pPr>
              <w:spacing w:line="276" w:lineRule="auto"/>
              <w:jc w:val="right"/>
              <w:rPr>
                <w:bCs/>
                <w:sz w:val="22"/>
              </w:rPr>
            </w:pPr>
            <w:r w:rsidRPr="000B4E2C">
              <w:rPr>
                <w:bCs/>
                <w:sz w:val="22"/>
              </w:rPr>
              <w:t>--</w:t>
            </w:r>
          </w:p>
        </w:tc>
      </w:tr>
      <w:tr w:rsidR="00E62483" w:rsidRPr="000B4E2C" w14:paraId="5B53657F" w14:textId="77777777" w:rsidTr="000B4E2C">
        <w:trPr>
          <w:cantSplit/>
        </w:trPr>
        <w:tc>
          <w:tcPr>
            <w:tcW w:w="0" w:type="auto"/>
            <w:shd w:val="clear" w:color="auto" w:fill="auto"/>
            <w:noWrap/>
          </w:tcPr>
          <w:p w14:paraId="1920B189" w14:textId="77777777" w:rsidR="00E62483" w:rsidRPr="000B4E2C" w:rsidRDefault="00E62483" w:rsidP="00E62483">
            <w:pPr>
              <w:spacing w:line="276" w:lineRule="auto"/>
              <w:jc w:val="right"/>
              <w:rPr>
                <w:sz w:val="22"/>
              </w:rPr>
            </w:pPr>
            <w:r w:rsidRPr="000B4E2C">
              <w:rPr>
                <w:sz w:val="22"/>
              </w:rPr>
              <w:t>Expected service life</w:t>
            </w:r>
          </w:p>
        </w:tc>
        <w:tc>
          <w:tcPr>
            <w:tcW w:w="0" w:type="auto"/>
            <w:shd w:val="clear" w:color="auto" w:fill="auto"/>
            <w:noWrap/>
          </w:tcPr>
          <w:p w14:paraId="16478E9E" w14:textId="77777777" w:rsidR="00E62483" w:rsidRPr="000B4E2C" w:rsidRDefault="00E62483" w:rsidP="00E62483">
            <w:pPr>
              <w:spacing w:line="276" w:lineRule="auto"/>
              <w:jc w:val="right"/>
              <w:rPr>
                <w:bCs/>
                <w:sz w:val="22"/>
              </w:rPr>
            </w:pPr>
            <w:r w:rsidRPr="000B4E2C">
              <w:rPr>
                <w:bCs/>
                <w:sz w:val="22"/>
              </w:rPr>
              <w:t>5</w:t>
            </w:r>
          </w:p>
        </w:tc>
        <w:tc>
          <w:tcPr>
            <w:tcW w:w="0" w:type="auto"/>
            <w:shd w:val="clear" w:color="auto" w:fill="auto"/>
            <w:noWrap/>
          </w:tcPr>
          <w:p w14:paraId="5236FF91" w14:textId="77777777" w:rsidR="00E62483" w:rsidRPr="000B4E2C" w:rsidRDefault="00E62483" w:rsidP="00E62483">
            <w:pPr>
              <w:spacing w:line="276" w:lineRule="auto"/>
              <w:jc w:val="right"/>
              <w:rPr>
                <w:bCs/>
                <w:sz w:val="22"/>
              </w:rPr>
            </w:pPr>
            <w:r w:rsidRPr="000B4E2C">
              <w:rPr>
                <w:bCs/>
                <w:sz w:val="22"/>
              </w:rPr>
              <w:t>--</w:t>
            </w:r>
          </w:p>
        </w:tc>
        <w:tc>
          <w:tcPr>
            <w:tcW w:w="0" w:type="auto"/>
            <w:shd w:val="clear" w:color="auto" w:fill="auto"/>
            <w:noWrap/>
          </w:tcPr>
          <w:p w14:paraId="22F7320C" w14:textId="77777777" w:rsidR="00E62483" w:rsidRPr="000B4E2C" w:rsidRDefault="00E62483" w:rsidP="00E62483">
            <w:pPr>
              <w:spacing w:line="276" w:lineRule="auto"/>
              <w:jc w:val="right"/>
              <w:rPr>
                <w:bCs/>
                <w:sz w:val="22"/>
              </w:rPr>
            </w:pPr>
            <w:r w:rsidRPr="000B4E2C">
              <w:rPr>
                <w:bCs/>
                <w:sz w:val="22"/>
              </w:rPr>
              <w:t>--</w:t>
            </w:r>
          </w:p>
        </w:tc>
        <w:tc>
          <w:tcPr>
            <w:tcW w:w="0" w:type="auto"/>
            <w:shd w:val="clear" w:color="auto" w:fill="auto"/>
            <w:noWrap/>
          </w:tcPr>
          <w:p w14:paraId="0047BE12" w14:textId="77777777" w:rsidR="00E62483" w:rsidRPr="000B4E2C" w:rsidRDefault="00E62483" w:rsidP="00E62483">
            <w:pPr>
              <w:spacing w:line="276" w:lineRule="auto"/>
              <w:jc w:val="right"/>
              <w:rPr>
                <w:bCs/>
                <w:sz w:val="22"/>
              </w:rPr>
            </w:pPr>
            <w:r w:rsidRPr="000B4E2C">
              <w:rPr>
                <w:bCs/>
                <w:sz w:val="22"/>
              </w:rPr>
              <w:t>--</w:t>
            </w:r>
          </w:p>
        </w:tc>
      </w:tr>
      <w:tr w:rsidR="00E62483" w:rsidRPr="000B4E2C" w14:paraId="51640E0B" w14:textId="77777777" w:rsidTr="000B4E2C">
        <w:trPr>
          <w:cantSplit/>
        </w:trPr>
        <w:tc>
          <w:tcPr>
            <w:tcW w:w="0" w:type="auto"/>
            <w:shd w:val="clear" w:color="auto" w:fill="auto"/>
            <w:noWrap/>
          </w:tcPr>
          <w:p w14:paraId="29699261" w14:textId="77777777" w:rsidR="00E62483" w:rsidRPr="000B4E2C" w:rsidRDefault="00E62483" w:rsidP="00E62483">
            <w:pPr>
              <w:spacing w:line="276" w:lineRule="auto"/>
              <w:jc w:val="right"/>
              <w:rPr>
                <w:sz w:val="22"/>
              </w:rPr>
            </w:pPr>
            <w:r w:rsidRPr="000B4E2C">
              <w:rPr>
                <w:sz w:val="22"/>
              </w:rPr>
              <w:t>Equivalent annual cost (EAC)</w:t>
            </w:r>
          </w:p>
        </w:tc>
        <w:tc>
          <w:tcPr>
            <w:tcW w:w="0" w:type="auto"/>
            <w:shd w:val="clear" w:color="auto" w:fill="auto"/>
            <w:noWrap/>
          </w:tcPr>
          <w:p w14:paraId="522161EA" w14:textId="77777777" w:rsidR="00E62483" w:rsidRPr="000B4E2C" w:rsidRDefault="00E62483" w:rsidP="00E62483">
            <w:pPr>
              <w:spacing w:line="276" w:lineRule="auto"/>
              <w:jc w:val="right"/>
              <w:rPr>
                <w:bCs/>
                <w:sz w:val="22"/>
                <w:vertAlign w:val="superscript"/>
              </w:rPr>
            </w:pPr>
            <w:r w:rsidRPr="000B4E2C">
              <w:rPr>
                <w:sz w:val="22"/>
              </w:rPr>
              <w:t>£664.44</w:t>
            </w:r>
            <w:r w:rsidRPr="000B4E2C">
              <w:rPr>
                <w:sz w:val="22"/>
                <w:vertAlign w:val="superscript"/>
              </w:rPr>
              <w:t>G</w:t>
            </w:r>
          </w:p>
        </w:tc>
        <w:tc>
          <w:tcPr>
            <w:tcW w:w="0" w:type="auto"/>
            <w:shd w:val="clear" w:color="auto" w:fill="auto"/>
            <w:noWrap/>
          </w:tcPr>
          <w:p w14:paraId="65B61D34" w14:textId="77777777" w:rsidR="00E62483" w:rsidRPr="000B4E2C" w:rsidRDefault="00E62483" w:rsidP="00E62483">
            <w:pPr>
              <w:spacing w:line="276" w:lineRule="auto"/>
              <w:jc w:val="right"/>
              <w:rPr>
                <w:bCs/>
                <w:sz w:val="22"/>
              </w:rPr>
            </w:pPr>
            <w:r w:rsidRPr="000B4E2C">
              <w:rPr>
                <w:bCs/>
                <w:sz w:val="22"/>
              </w:rPr>
              <w:t>--</w:t>
            </w:r>
          </w:p>
        </w:tc>
        <w:tc>
          <w:tcPr>
            <w:tcW w:w="0" w:type="auto"/>
            <w:shd w:val="clear" w:color="auto" w:fill="auto"/>
            <w:noWrap/>
          </w:tcPr>
          <w:p w14:paraId="168B53DF" w14:textId="77777777" w:rsidR="00E62483" w:rsidRPr="000B4E2C" w:rsidRDefault="00E62483" w:rsidP="00E62483">
            <w:pPr>
              <w:spacing w:line="276" w:lineRule="auto"/>
              <w:jc w:val="right"/>
              <w:rPr>
                <w:bCs/>
                <w:sz w:val="22"/>
              </w:rPr>
            </w:pPr>
            <w:r w:rsidRPr="000B4E2C">
              <w:rPr>
                <w:bCs/>
                <w:sz w:val="22"/>
              </w:rPr>
              <w:t>--</w:t>
            </w:r>
          </w:p>
        </w:tc>
        <w:tc>
          <w:tcPr>
            <w:tcW w:w="0" w:type="auto"/>
            <w:shd w:val="clear" w:color="auto" w:fill="auto"/>
            <w:noWrap/>
          </w:tcPr>
          <w:p w14:paraId="7A1D4EC6" w14:textId="77777777" w:rsidR="00E62483" w:rsidRPr="000B4E2C" w:rsidRDefault="00E62483" w:rsidP="00E62483">
            <w:pPr>
              <w:spacing w:line="276" w:lineRule="auto"/>
              <w:jc w:val="right"/>
              <w:rPr>
                <w:bCs/>
                <w:sz w:val="22"/>
              </w:rPr>
            </w:pPr>
            <w:r w:rsidRPr="000B4E2C">
              <w:rPr>
                <w:bCs/>
                <w:sz w:val="22"/>
              </w:rPr>
              <w:t>--</w:t>
            </w:r>
          </w:p>
        </w:tc>
      </w:tr>
      <w:tr w:rsidR="00E62483" w:rsidRPr="000B4E2C" w14:paraId="16ACBC04" w14:textId="77777777" w:rsidTr="000B4E2C">
        <w:trPr>
          <w:cantSplit/>
        </w:trPr>
        <w:tc>
          <w:tcPr>
            <w:tcW w:w="0" w:type="auto"/>
            <w:shd w:val="clear" w:color="auto" w:fill="auto"/>
            <w:noWrap/>
          </w:tcPr>
          <w:p w14:paraId="067BAF9D" w14:textId="77777777" w:rsidR="00E62483" w:rsidRPr="000B4E2C" w:rsidRDefault="00E62483" w:rsidP="00E62483">
            <w:pPr>
              <w:spacing w:line="276" w:lineRule="auto"/>
              <w:rPr>
                <w:b/>
                <w:sz w:val="22"/>
              </w:rPr>
            </w:pPr>
            <w:r w:rsidRPr="000B4E2C">
              <w:rPr>
                <w:b/>
                <w:sz w:val="22"/>
              </w:rPr>
              <w:t>Subtotal: Platform (cost per test)</w:t>
            </w:r>
          </w:p>
        </w:tc>
        <w:tc>
          <w:tcPr>
            <w:tcW w:w="0" w:type="auto"/>
            <w:shd w:val="clear" w:color="auto" w:fill="auto"/>
            <w:noWrap/>
          </w:tcPr>
          <w:p w14:paraId="520CD7ED" w14:textId="77777777" w:rsidR="00E62483" w:rsidRPr="000B4E2C" w:rsidRDefault="00E62483" w:rsidP="00E62483">
            <w:pPr>
              <w:spacing w:line="276" w:lineRule="auto"/>
              <w:jc w:val="right"/>
              <w:rPr>
                <w:b/>
                <w:bCs/>
                <w:sz w:val="22"/>
                <w:vertAlign w:val="superscript"/>
              </w:rPr>
            </w:pPr>
            <w:r w:rsidRPr="000B4E2C">
              <w:rPr>
                <w:b/>
                <w:bCs/>
                <w:sz w:val="22"/>
              </w:rPr>
              <w:t>£0.53</w:t>
            </w:r>
            <w:r w:rsidRPr="000B4E2C">
              <w:rPr>
                <w:b/>
                <w:bCs/>
                <w:sz w:val="22"/>
                <w:vertAlign w:val="superscript"/>
              </w:rPr>
              <w:t>A</w:t>
            </w:r>
          </w:p>
        </w:tc>
        <w:tc>
          <w:tcPr>
            <w:tcW w:w="0" w:type="auto"/>
            <w:shd w:val="clear" w:color="auto" w:fill="auto"/>
            <w:noWrap/>
          </w:tcPr>
          <w:p w14:paraId="51C47A49" w14:textId="77777777" w:rsidR="00E62483" w:rsidRPr="000B4E2C" w:rsidRDefault="00E62483" w:rsidP="00E62483">
            <w:pPr>
              <w:spacing w:line="276" w:lineRule="auto"/>
              <w:jc w:val="right"/>
              <w:rPr>
                <w:b/>
                <w:bCs/>
                <w:sz w:val="22"/>
              </w:rPr>
            </w:pPr>
            <w:r w:rsidRPr="000B4E2C">
              <w:rPr>
                <w:b/>
                <w:bCs/>
                <w:sz w:val="22"/>
              </w:rPr>
              <w:t>--</w:t>
            </w:r>
          </w:p>
        </w:tc>
        <w:tc>
          <w:tcPr>
            <w:tcW w:w="0" w:type="auto"/>
            <w:shd w:val="clear" w:color="auto" w:fill="auto"/>
            <w:noWrap/>
          </w:tcPr>
          <w:p w14:paraId="79941E87" w14:textId="77777777" w:rsidR="00E62483" w:rsidRPr="000B4E2C" w:rsidRDefault="00E62483" w:rsidP="00E62483">
            <w:pPr>
              <w:spacing w:line="276" w:lineRule="auto"/>
              <w:jc w:val="right"/>
              <w:rPr>
                <w:b/>
                <w:bCs/>
                <w:sz w:val="22"/>
              </w:rPr>
            </w:pPr>
            <w:r w:rsidRPr="000B4E2C">
              <w:rPr>
                <w:b/>
                <w:bCs/>
                <w:sz w:val="22"/>
              </w:rPr>
              <w:t>--</w:t>
            </w:r>
          </w:p>
        </w:tc>
        <w:tc>
          <w:tcPr>
            <w:tcW w:w="0" w:type="auto"/>
            <w:shd w:val="clear" w:color="auto" w:fill="auto"/>
            <w:noWrap/>
          </w:tcPr>
          <w:p w14:paraId="42642358" w14:textId="77777777" w:rsidR="00E62483" w:rsidRPr="000B4E2C" w:rsidRDefault="00E62483" w:rsidP="00E62483">
            <w:pPr>
              <w:spacing w:line="276" w:lineRule="auto"/>
              <w:jc w:val="right"/>
              <w:rPr>
                <w:b/>
                <w:bCs/>
                <w:sz w:val="22"/>
              </w:rPr>
            </w:pPr>
            <w:r w:rsidRPr="000B4E2C">
              <w:rPr>
                <w:b/>
                <w:bCs/>
                <w:sz w:val="22"/>
              </w:rPr>
              <w:t>--</w:t>
            </w:r>
          </w:p>
        </w:tc>
      </w:tr>
      <w:tr w:rsidR="00E62483" w:rsidRPr="000B4E2C" w14:paraId="1EBA8EF7" w14:textId="77777777" w:rsidTr="000B4E2C">
        <w:trPr>
          <w:cantSplit/>
        </w:trPr>
        <w:tc>
          <w:tcPr>
            <w:tcW w:w="0" w:type="auto"/>
            <w:shd w:val="clear" w:color="auto" w:fill="auto"/>
            <w:noWrap/>
          </w:tcPr>
          <w:p w14:paraId="7BB59F25" w14:textId="77777777" w:rsidR="00E62483" w:rsidRPr="000B4E2C" w:rsidRDefault="00E62483" w:rsidP="00E62483">
            <w:pPr>
              <w:spacing w:line="276" w:lineRule="auto"/>
              <w:rPr>
                <w:b/>
                <w:sz w:val="22"/>
              </w:rPr>
            </w:pPr>
            <w:r w:rsidRPr="000B4E2C">
              <w:rPr>
                <w:b/>
                <w:sz w:val="22"/>
              </w:rPr>
              <w:t>Subtotal: Equipment (cost per test)</w:t>
            </w:r>
          </w:p>
        </w:tc>
        <w:tc>
          <w:tcPr>
            <w:tcW w:w="0" w:type="auto"/>
            <w:shd w:val="clear" w:color="auto" w:fill="auto"/>
            <w:noWrap/>
          </w:tcPr>
          <w:p w14:paraId="01A74967" w14:textId="77777777" w:rsidR="00E62483" w:rsidRPr="000B4E2C" w:rsidRDefault="00E62483" w:rsidP="00E62483">
            <w:pPr>
              <w:spacing w:line="276" w:lineRule="auto"/>
              <w:jc w:val="right"/>
              <w:rPr>
                <w:b/>
                <w:bCs/>
                <w:sz w:val="22"/>
                <w:vertAlign w:val="superscript"/>
              </w:rPr>
            </w:pPr>
            <w:r w:rsidRPr="000B4E2C">
              <w:rPr>
                <w:b/>
                <w:sz w:val="22"/>
                <w:lang w:eastAsia="en-GB"/>
              </w:rPr>
              <w:t>£49.80</w:t>
            </w:r>
            <w:r w:rsidRPr="000B4E2C">
              <w:rPr>
                <w:b/>
                <w:sz w:val="22"/>
                <w:vertAlign w:val="superscript"/>
                <w:lang w:eastAsia="en-GB"/>
              </w:rPr>
              <w:t>B</w:t>
            </w:r>
          </w:p>
        </w:tc>
        <w:tc>
          <w:tcPr>
            <w:tcW w:w="0" w:type="auto"/>
            <w:shd w:val="clear" w:color="auto" w:fill="auto"/>
            <w:noWrap/>
          </w:tcPr>
          <w:p w14:paraId="09B7AABF" w14:textId="77777777" w:rsidR="00E62483" w:rsidRPr="000B4E2C" w:rsidRDefault="00E62483" w:rsidP="00E62483">
            <w:pPr>
              <w:spacing w:line="276" w:lineRule="auto"/>
              <w:jc w:val="right"/>
              <w:rPr>
                <w:b/>
                <w:bCs/>
                <w:sz w:val="22"/>
                <w:vertAlign w:val="superscript"/>
              </w:rPr>
            </w:pPr>
            <w:r w:rsidRPr="000B4E2C">
              <w:rPr>
                <w:b/>
                <w:sz w:val="22"/>
                <w:lang w:eastAsia="en-GB"/>
              </w:rPr>
              <w:t>£20.00</w:t>
            </w:r>
            <w:r w:rsidRPr="000B4E2C">
              <w:rPr>
                <w:b/>
                <w:sz w:val="22"/>
                <w:vertAlign w:val="superscript"/>
                <w:lang w:eastAsia="en-GB"/>
              </w:rPr>
              <w:t>C</w:t>
            </w:r>
          </w:p>
        </w:tc>
        <w:tc>
          <w:tcPr>
            <w:tcW w:w="0" w:type="auto"/>
            <w:shd w:val="clear" w:color="auto" w:fill="auto"/>
            <w:noWrap/>
          </w:tcPr>
          <w:p w14:paraId="661E08F3" w14:textId="77777777" w:rsidR="00E62483" w:rsidRPr="000B4E2C" w:rsidRDefault="00E62483" w:rsidP="00E62483">
            <w:pPr>
              <w:spacing w:line="276" w:lineRule="auto"/>
              <w:jc w:val="right"/>
              <w:rPr>
                <w:b/>
                <w:bCs/>
                <w:sz w:val="22"/>
                <w:vertAlign w:val="superscript"/>
              </w:rPr>
            </w:pPr>
            <w:r w:rsidRPr="000B4E2C">
              <w:rPr>
                <w:b/>
                <w:sz w:val="22"/>
                <w:lang w:eastAsia="en-GB"/>
              </w:rPr>
              <w:t>£25.71</w:t>
            </w:r>
            <w:r w:rsidRPr="000B4E2C">
              <w:rPr>
                <w:b/>
                <w:sz w:val="22"/>
                <w:vertAlign w:val="superscript"/>
                <w:lang w:eastAsia="en-GB"/>
              </w:rPr>
              <w:t>D</w:t>
            </w:r>
          </w:p>
        </w:tc>
        <w:tc>
          <w:tcPr>
            <w:tcW w:w="0" w:type="auto"/>
            <w:shd w:val="clear" w:color="auto" w:fill="auto"/>
            <w:noWrap/>
          </w:tcPr>
          <w:p w14:paraId="294A3406" w14:textId="77777777" w:rsidR="00E62483" w:rsidRPr="000B4E2C" w:rsidRDefault="00E62483" w:rsidP="00E62483">
            <w:pPr>
              <w:spacing w:line="276" w:lineRule="auto"/>
              <w:jc w:val="right"/>
              <w:rPr>
                <w:b/>
                <w:bCs/>
                <w:sz w:val="22"/>
                <w:vertAlign w:val="superscript"/>
              </w:rPr>
            </w:pPr>
            <w:r w:rsidRPr="000B4E2C">
              <w:rPr>
                <w:b/>
                <w:sz w:val="22"/>
                <w:lang w:eastAsia="en-GB"/>
              </w:rPr>
              <w:t>£28.29</w:t>
            </w:r>
            <w:r w:rsidRPr="000B4E2C">
              <w:rPr>
                <w:b/>
                <w:sz w:val="22"/>
                <w:vertAlign w:val="superscript"/>
                <w:lang w:eastAsia="en-GB"/>
              </w:rPr>
              <w:t>E</w:t>
            </w:r>
          </w:p>
        </w:tc>
      </w:tr>
      <w:tr w:rsidR="00E62483" w:rsidRPr="000B4E2C" w14:paraId="6A233155" w14:textId="77777777" w:rsidTr="000B4E2C">
        <w:trPr>
          <w:cantSplit/>
        </w:trPr>
        <w:tc>
          <w:tcPr>
            <w:tcW w:w="0" w:type="auto"/>
            <w:shd w:val="clear" w:color="auto" w:fill="auto"/>
            <w:noWrap/>
          </w:tcPr>
          <w:p w14:paraId="760B69D3" w14:textId="77777777" w:rsidR="00E62483" w:rsidRPr="000B4E2C" w:rsidRDefault="00E62483" w:rsidP="00E62483">
            <w:pPr>
              <w:spacing w:line="276" w:lineRule="auto"/>
              <w:rPr>
                <w:b/>
                <w:sz w:val="22"/>
                <w:vertAlign w:val="superscript"/>
              </w:rPr>
            </w:pPr>
            <w:r w:rsidRPr="000B4E2C">
              <w:rPr>
                <w:b/>
                <w:sz w:val="22"/>
              </w:rPr>
              <w:t>Subtotal: Maintenance/consumables (cost per test)</w:t>
            </w:r>
            <w:r w:rsidRPr="000B4E2C">
              <w:rPr>
                <w:b/>
                <w:sz w:val="22"/>
                <w:vertAlign w:val="superscript"/>
              </w:rPr>
              <w:t>H</w:t>
            </w:r>
          </w:p>
        </w:tc>
        <w:tc>
          <w:tcPr>
            <w:tcW w:w="0" w:type="auto"/>
            <w:shd w:val="clear" w:color="auto" w:fill="auto"/>
            <w:noWrap/>
          </w:tcPr>
          <w:p w14:paraId="2EE7CA86" w14:textId="77777777" w:rsidR="00E62483" w:rsidRPr="000B4E2C" w:rsidRDefault="00E62483" w:rsidP="00E62483">
            <w:pPr>
              <w:spacing w:line="276" w:lineRule="auto"/>
              <w:jc w:val="right"/>
              <w:rPr>
                <w:b/>
                <w:bCs/>
                <w:sz w:val="22"/>
              </w:rPr>
            </w:pPr>
            <w:r w:rsidRPr="000B4E2C">
              <w:rPr>
                <w:b/>
                <w:bCs/>
                <w:sz w:val="22"/>
              </w:rPr>
              <w:t>£4.23</w:t>
            </w:r>
          </w:p>
        </w:tc>
        <w:tc>
          <w:tcPr>
            <w:tcW w:w="0" w:type="auto"/>
            <w:shd w:val="clear" w:color="auto" w:fill="auto"/>
            <w:noWrap/>
          </w:tcPr>
          <w:p w14:paraId="0D514EB9" w14:textId="77777777" w:rsidR="00E62483" w:rsidRPr="000B4E2C" w:rsidRDefault="00E62483" w:rsidP="00E62483">
            <w:pPr>
              <w:spacing w:line="276" w:lineRule="auto"/>
              <w:jc w:val="right"/>
              <w:rPr>
                <w:b/>
                <w:bCs/>
                <w:sz w:val="22"/>
              </w:rPr>
            </w:pPr>
            <w:r w:rsidRPr="000B4E2C">
              <w:rPr>
                <w:b/>
                <w:bCs/>
                <w:sz w:val="22"/>
              </w:rPr>
              <w:t>£1.90</w:t>
            </w:r>
          </w:p>
        </w:tc>
        <w:tc>
          <w:tcPr>
            <w:tcW w:w="0" w:type="auto"/>
            <w:shd w:val="clear" w:color="auto" w:fill="auto"/>
            <w:noWrap/>
          </w:tcPr>
          <w:p w14:paraId="0345D319" w14:textId="77777777" w:rsidR="00E62483" w:rsidRPr="000B4E2C" w:rsidRDefault="00E62483" w:rsidP="00E62483">
            <w:pPr>
              <w:spacing w:line="276" w:lineRule="auto"/>
              <w:jc w:val="right"/>
              <w:rPr>
                <w:b/>
                <w:bCs/>
                <w:sz w:val="22"/>
              </w:rPr>
            </w:pPr>
            <w:r w:rsidRPr="000B4E2C">
              <w:rPr>
                <w:b/>
                <w:bCs/>
                <w:sz w:val="22"/>
              </w:rPr>
              <w:t>£3.51</w:t>
            </w:r>
          </w:p>
        </w:tc>
        <w:tc>
          <w:tcPr>
            <w:tcW w:w="0" w:type="auto"/>
            <w:shd w:val="clear" w:color="auto" w:fill="auto"/>
            <w:noWrap/>
          </w:tcPr>
          <w:p w14:paraId="28C008ED" w14:textId="77777777" w:rsidR="00E62483" w:rsidRPr="000B4E2C" w:rsidRDefault="00E62483" w:rsidP="00E62483">
            <w:pPr>
              <w:spacing w:line="276" w:lineRule="auto"/>
              <w:jc w:val="right"/>
              <w:rPr>
                <w:b/>
                <w:bCs/>
                <w:sz w:val="22"/>
              </w:rPr>
            </w:pPr>
            <w:r w:rsidRPr="000B4E2C">
              <w:rPr>
                <w:b/>
                <w:bCs/>
                <w:sz w:val="22"/>
              </w:rPr>
              <w:t>£3.51</w:t>
            </w:r>
          </w:p>
        </w:tc>
      </w:tr>
      <w:tr w:rsidR="00E62483" w:rsidRPr="000B4E2C" w14:paraId="22075EAE" w14:textId="77777777" w:rsidTr="000B4E2C">
        <w:trPr>
          <w:cantSplit/>
        </w:trPr>
        <w:tc>
          <w:tcPr>
            <w:tcW w:w="0" w:type="auto"/>
            <w:gridSpan w:val="5"/>
            <w:shd w:val="clear" w:color="auto" w:fill="auto"/>
            <w:noWrap/>
          </w:tcPr>
          <w:p w14:paraId="6328746D" w14:textId="77777777" w:rsidR="00E62483" w:rsidRPr="000B4E2C" w:rsidRDefault="00E62483" w:rsidP="00E62483">
            <w:pPr>
              <w:spacing w:line="276" w:lineRule="auto"/>
              <w:rPr>
                <w:bCs/>
                <w:sz w:val="22"/>
              </w:rPr>
            </w:pPr>
            <w:r w:rsidRPr="000B4E2C">
              <w:rPr>
                <w:b/>
                <w:sz w:val="22"/>
              </w:rPr>
              <w:t>Staff resource use</w:t>
            </w:r>
          </w:p>
        </w:tc>
      </w:tr>
      <w:tr w:rsidR="00E62483" w:rsidRPr="000B4E2C" w14:paraId="29ADC55A" w14:textId="77777777" w:rsidTr="000B4E2C">
        <w:trPr>
          <w:cantSplit/>
        </w:trPr>
        <w:tc>
          <w:tcPr>
            <w:tcW w:w="0" w:type="auto"/>
            <w:shd w:val="clear" w:color="auto" w:fill="auto"/>
            <w:noWrap/>
          </w:tcPr>
          <w:p w14:paraId="0FC7EDF7" w14:textId="77777777" w:rsidR="00E62483" w:rsidRPr="000B4E2C" w:rsidRDefault="00E62483" w:rsidP="00E62483">
            <w:pPr>
              <w:spacing w:line="276" w:lineRule="auto"/>
              <w:jc w:val="right"/>
              <w:rPr>
                <w:sz w:val="22"/>
              </w:rPr>
            </w:pPr>
            <w:r w:rsidRPr="000B4E2C">
              <w:rPr>
                <w:bCs/>
                <w:sz w:val="22"/>
              </w:rPr>
              <w:t>Time to conduct test (sample preparation + time to get result) (minutes)</w:t>
            </w:r>
          </w:p>
        </w:tc>
        <w:tc>
          <w:tcPr>
            <w:tcW w:w="0" w:type="auto"/>
            <w:shd w:val="clear" w:color="auto" w:fill="auto"/>
            <w:noWrap/>
          </w:tcPr>
          <w:p w14:paraId="0400CB6A" w14:textId="77777777" w:rsidR="00E62483" w:rsidRPr="000B4E2C" w:rsidRDefault="00E62483" w:rsidP="00E62483">
            <w:pPr>
              <w:spacing w:line="276" w:lineRule="auto"/>
              <w:jc w:val="right"/>
              <w:rPr>
                <w:b/>
                <w:bCs/>
                <w:sz w:val="22"/>
              </w:rPr>
            </w:pPr>
            <w:r w:rsidRPr="000B4E2C">
              <w:rPr>
                <w:sz w:val="22"/>
              </w:rPr>
              <w:t>20</w:t>
            </w:r>
          </w:p>
        </w:tc>
        <w:tc>
          <w:tcPr>
            <w:tcW w:w="0" w:type="auto"/>
            <w:shd w:val="clear" w:color="auto" w:fill="auto"/>
            <w:noWrap/>
          </w:tcPr>
          <w:p w14:paraId="2D885B34" w14:textId="77777777" w:rsidR="00E62483" w:rsidRPr="000B4E2C" w:rsidRDefault="00E62483" w:rsidP="00E62483">
            <w:pPr>
              <w:spacing w:line="276" w:lineRule="auto"/>
              <w:jc w:val="right"/>
              <w:rPr>
                <w:b/>
                <w:bCs/>
                <w:sz w:val="22"/>
              </w:rPr>
            </w:pPr>
            <w:r w:rsidRPr="000B4E2C">
              <w:rPr>
                <w:sz w:val="22"/>
              </w:rPr>
              <w:t>20</w:t>
            </w:r>
          </w:p>
        </w:tc>
        <w:tc>
          <w:tcPr>
            <w:tcW w:w="0" w:type="auto"/>
            <w:shd w:val="clear" w:color="auto" w:fill="auto"/>
            <w:noWrap/>
          </w:tcPr>
          <w:p w14:paraId="631FAE7C" w14:textId="77777777" w:rsidR="00E62483" w:rsidRPr="000B4E2C" w:rsidRDefault="00E62483" w:rsidP="00E62483">
            <w:pPr>
              <w:spacing w:line="276" w:lineRule="auto"/>
              <w:jc w:val="right"/>
              <w:rPr>
                <w:b/>
                <w:bCs/>
                <w:sz w:val="22"/>
              </w:rPr>
            </w:pPr>
            <w:r w:rsidRPr="000B4E2C">
              <w:rPr>
                <w:sz w:val="22"/>
              </w:rPr>
              <w:t>20</w:t>
            </w:r>
          </w:p>
        </w:tc>
        <w:tc>
          <w:tcPr>
            <w:tcW w:w="0" w:type="auto"/>
            <w:shd w:val="clear" w:color="auto" w:fill="auto"/>
            <w:noWrap/>
          </w:tcPr>
          <w:p w14:paraId="5175A7A8" w14:textId="77777777" w:rsidR="00E62483" w:rsidRPr="000B4E2C" w:rsidRDefault="00E62483" w:rsidP="00E62483">
            <w:pPr>
              <w:spacing w:line="276" w:lineRule="auto"/>
              <w:jc w:val="right"/>
              <w:rPr>
                <w:b/>
                <w:bCs/>
                <w:sz w:val="22"/>
              </w:rPr>
            </w:pPr>
            <w:r w:rsidRPr="000B4E2C">
              <w:rPr>
                <w:sz w:val="22"/>
              </w:rPr>
              <w:t>20</w:t>
            </w:r>
          </w:p>
        </w:tc>
      </w:tr>
      <w:tr w:rsidR="00E62483" w:rsidRPr="000B4E2C" w14:paraId="7C3CBF2E" w14:textId="77777777" w:rsidTr="000B4E2C">
        <w:trPr>
          <w:cantSplit/>
        </w:trPr>
        <w:tc>
          <w:tcPr>
            <w:tcW w:w="0" w:type="auto"/>
            <w:shd w:val="clear" w:color="auto" w:fill="auto"/>
            <w:noWrap/>
          </w:tcPr>
          <w:p w14:paraId="0A78E810" w14:textId="77777777" w:rsidR="00E62483" w:rsidRPr="000B4E2C" w:rsidRDefault="00E62483" w:rsidP="00E62483">
            <w:pPr>
              <w:spacing w:line="276" w:lineRule="auto"/>
              <w:jc w:val="right"/>
              <w:rPr>
                <w:sz w:val="22"/>
              </w:rPr>
            </w:pPr>
            <w:r w:rsidRPr="000B4E2C">
              <w:rPr>
                <w:bCs/>
                <w:sz w:val="22"/>
              </w:rPr>
              <w:t>Time to interpret test (minutes)</w:t>
            </w:r>
          </w:p>
        </w:tc>
        <w:tc>
          <w:tcPr>
            <w:tcW w:w="0" w:type="auto"/>
            <w:shd w:val="clear" w:color="auto" w:fill="auto"/>
            <w:noWrap/>
          </w:tcPr>
          <w:p w14:paraId="5B6B6389" w14:textId="77777777" w:rsidR="00E62483" w:rsidRPr="000B4E2C" w:rsidRDefault="00E62483" w:rsidP="00E62483">
            <w:pPr>
              <w:spacing w:line="276" w:lineRule="auto"/>
              <w:jc w:val="right"/>
              <w:rPr>
                <w:b/>
                <w:bCs/>
                <w:sz w:val="22"/>
              </w:rPr>
            </w:pPr>
            <w:r w:rsidRPr="000B4E2C">
              <w:rPr>
                <w:sz w:val="22"/>
              </w:rPr>
              <w:t>5</w:t>
            </w:r>
          </w:p>
        </w:tc>
        <w:tc>
          <w:tcPr>
            <w:tcW w:w="0" w:type="auto"/>
            <w:shd w:val="clear" w:color="auto" w:fill="auto"/>
            <w:noWrap/>
          </w:tcPr>
          <w:p w14:paraId="41D661AD" w14:textId="77777777" w:rsidR="00E62483" w:rsidRPr="000B4E2C" w:rsidRDefault="00E62483" w:rsidP="00E62483">
            <w:pPr>
              <w:spacing w:line="276" w:lineRule="auto"/>
              <w:jc w:val="right"/>
              <w:rPr>
                <w:b/>
                <w:bCs/>
                <w:sz w:val="22"/>
              </w:rPr>
            </w:pPr>
            <w:r w:rsidRPr="000B4E2C">
              <w:rPr>
                <w:sz w:val="22"/>
              </w:rPr>
              <w:t>5</w:t>
            </w:r>
          </w:p>
        </w:tc>
        <w:tc>
          <w:tcPr>
            <w:tcW w:w="0" w:type="auto"/>
            <w:shd w:val="clear" w:color="auto" w:fill="auto"/>
            <w:noWrap/>
          </w:tcPr>
          <w:p w14:paraId="586DFAB2" w14:textId="77777777" w:rsidR="00E62483" w:rsidRPr="000B4E2C" w:rsidRDefault="00E62483" w:rsidP="00E62483">
            <w:pPr>
              <w:spacing w:line="276" w:lineRule="auto"/>
              <w:jc w:val="right"/>
              <w:rPr>
                <w:b/>
                <w:bCs/>
                <w:sz w:val="22"/>
              </w:rPr>
            </w:pPr>
            <w:r w:rsidRPr="000B4E2C">
              <w:rPr>
                <w:sz w:val="22"/>
              </w:rPr>
              <w:t>5</w:t>
            </w:r>
          </w:p>
        </w:tc>
        <w:tc>
          <w:tcPr>
            <w:tcW w:w="0" w:type="auto"/>
            <w:shd w:val="clear" w:color="auto" w:fill="auto"/>
            <w:noWrap/>
          </w:tcPr>
          <w:p w14:paraId="0E375822" w14:textId="77777777" w:rsidR="00E62483" w:rsidRPr="000B4E2C" w:rsidRDefault="00E62483" w:rsidP="00E62483">
            <w:pPr>
              <w:spacing w:line="276" w:lineRule="auto"/>
              <w:jc w:val="right"/>
              <w:rPr>
                <w:b/>
                <w:bCs/>
                <w:sz w:val="22"/>
              </w:rPr>
            </w:pPr>
            <w:r w:rsidRPr="000B4E2C">
              <w:rPr>
                <w:sz w:val="22"/>
              </w:rPr>
              <w:t>5</w:t>
            </w:r>
          </w:p>
        </w:tc>
      </w:tr>
      <w:tr w:rsidR="00E62483" w:rsidRPr="000B4E2C" w14:paraId="0AFBDE60" w14:textId="77777777" w:rsidTr="000B4E2C">
        <w:trPr>
          <w:cantSplit/>
        </w:trPr>
        <w:tc>
          <w:tcPr>
            <w:tcW w:w="0" w:type="auto"/>
            <w:shd w:val="clear" w:color="auto" w:fill="auto"/>
            <w:noWrap/>
          </w:tcPr>
          <w:p w14:paraId="417F35B5" w14:textId="77777777" w:rsidR="00E62483" w:rsidRPr="000B4E2C" w:rsidRDefault="00E62483" w:rsidP="00E62483">
            <w:pPr>
              <w:spacing w:line="276" w:lineRule="auto"/>
              <w:jc w:val="right"/>
              <w:rPr>
                <w:sz w:val="22"/>
              </w:rPr>
            </w:pPr>
            <w:r w:rsidRPr="000B4E2C">
              <w:rPr>
                <w:bCs/>
                <w:sz w:val="22"/>
              </w:rPr>
              <w:t>Prepare urine sample: nurse band 5 (minutes)</w:t>
            </w:r>
          </w:p>
        </w:tc>
        <w:tc>
          <w:tcPr>
            <w:tcW w:w="0" w:type="auto"/>
            <w:shd w:val="clear" w:color="auto" w:fill="auto"/>
            <w:noWrap/>
          </w:tcPr>
          <w:p w14:paraId="483C2D1B" w14:textId="77777777" w:rsidR="00E62483" w:rsidRPr="000B4E2C" w:rsidRDefault="00E62483" w:rsidP="00E62483">
            <w:pPr>
              <w:spacing w:line="276" w:lineRule="auto"/>
              <w:jc w:val="right"/>
              <w:rPr>
                <w:b/>
                <w:bCs/>
                <w:sz w:val="22"/>
              </w:rPr>
            </w:pPr>
            <w:r w:rsidRPr="000B4E2C">
              <w:rPr>
                <w:sz w:val="22"/>
              </w:rPr>
              <w:t>15</w:t>
            </w:r>
          </w:p>
        </w:tc>
        <w:tc>
          <w:tcPr>
            <w:tcW w:w="0" w:type="auto"/>
            <w:shd w:val="clear" w:color="auto" w:fill="auto"/>
            <w:noWrap/>
          </w:tcPr>
          <w:p w14:paraId="479B422B" w14:textId="77777777" w:rsidR="00E62483" w:rsidRPr="000B4E2C" w:rsidRDefault="00E62483" w:rsidP="00E62483">
            <w:pPr>
              <w:spacing w:line="276" w:lineRule="auto"/>
              <w:jc w:val="right"/>
              <w:rPr>
                <w:b/>
                <w:bCs/>
                <w:sz w:val="22"/>
              </w:rPr>
            </w:pPr>
            <w:r w:rsidRPr="000B4E2C">
              <w:rPr>
                <w:sz w:val="22"/>
              </w:rPr>
              <w:t>15</w:t>
            </w:r>
          </w:p>
        </w:tc>
        <w:tc>
          <w:tcPr>
            <w:tcW w:w="0" w:type="auto"/>
            <w:shd w:val="clear" w:color="auto" w:fill="auto"/>
            <w:noWrap/>
          </w:tcPr>
          <w:p w14:paraId="2A4651E6" w14:textId="77777777" w:rsidR="00E62483" w:rsidRPr="000B4E2C" w:rsidRDefault="00E62483" w:rsidP="00E62483">
            <w:pPr>
              <w:spacing w:line="276" w:lineRule="auto"/>
              <w:jc w:val="right"/>
              <w:rPr>
                <w:b/>
                <w:bCs/>
                <w:sz w:val="22"/>
              </w:rPr>
            </w:pPr>
            <w:r w:rsidRPr="000B4E2C">
              <w:rPr>
                <w:sz w:val="22"/>
              </w:rPr>
              <w:t>15</w:t>
            </w:r>
          </w:p>
        </w:tc>
        <w:tc>
          <w:tcPr>
            <w:tcW w:w="0" w:type="auto"/>
            <w:shd w:val="clear" w:color="auto" w:fill="auto"/>
            <w:noWrap/>
          </w:tcPr>
          <w:p w14:paraId="66C0BC12" w14:textId="77777777" w:rsidR="00E62483" w:rsidRPr="000B4E2C" w:rsidRDefault="00E62483" w:rsidP="00E62483">
            <w:pPr>
              <w:spacing w:line="276" w:lineRule="auto"/>
              <w:jc w:val="right"/>
              <w:rPr>
                <w:b/>
                <w:bCs/>
                <w:sz w:val="22"/>
              </w:rPr>
            </w:pPr>
            <w:r w:rsidRPr="000B4E2C">
              <w:rPr>
                <w:sz w:val="22"/>
              </w:rPr>
              <w:t>15</w:t>
            </w:r>
          </w:p>
        </w:tc>
      </w:tr>
      <w:tr w:rsidR="00E62483" w:rsidRPr="000B4E2C" w14:paraId="0E675648" w14:textId="77777777" w:rsidTr="000B4E2C">
        <w:trPr>
          <w:cantSplit/>
        </w:trPr>
        <w:tc>
          <w:tcPr>
            <w:tcW w:w="0" w:type="auto"/>
            <w:shd w:val="clear" w:color="auto" w:fill="auto"/>
            <w:noWrap/>
          </w:tcPr>
          <w:p w14:paraId="7B8EC890" w14:textId="77777777" w:rsidR="00E62483" w:rsidRPr="000B4E2C" w:rsidRDefault="00E62483" w:rsidP="00E62483">
            <w:pPr>
              <w:spacing w:line="276" w:lineRule="auto"/>
              <w:jc w:val="right"/>
              <w:rPr>
                <w:sz w:val="22"/>
              </w:rPr>
            </w:pPr>
            <w:r w:rsidRPr="000B4E2C">
              <w:rPr>
                <w:bCs/>
                <w:sz w:val="22"/>
              </w:rPr>
              <w:t>Bring urine sample to laboratory: porter (minutes)</w:t>
            </w:r>
          </w:p>
        </w:tc>
        <w:tc>
          <w:tcPr>
            <w:tcW w:w="0" w:type="auto"/>
            <w:shd w:val="clear" w:color="auto" w:fill="auto"/>
            <w:noWrap/>
          </w:tcPr>
          <w:p w14:paraId="2FB1254A" w14:textId="77777777" w:rsidR="00E62483" w:rsidRPr="000B4E2C" w:rsidRDefault="00E62483" w:rsidP="00E62483">
            <w:pPr>
              <w:spacing w:line="276" w:lineRule="auto"/>
              <w:jc w:val="right"/>
              <w:rPr>
                <w:b/>
                <w:bCs/>
                <w:sz w:val="22"/>
              </w:rPr>
            </w:pPr>
            <w:r w:rsidRPr="000B4E2C">
              <w:rPr>
                <w:sz w:val="22"/>
              </w:rPr>
              <w:t>15</w:t>
            </w:r>
          </w:p>
        </w:tc>
        <w:tc>
          <w:tcPr>
            <w:tcW w:w="0" w:type="auto"/>
            <w:shd w:val="clear" w:color="auto" w:fill="auto"/>
            <w:noWrap/>
          </w:tcPr>
          <w:p w14:paraId="39F04DCB" w14:textId="77777777" w:rsidR="00E62483" w:rsidRPr="000B4E2C" w:rsidRDefault="00E62483" w:rsidP="00E62483">
            <w:pPr>
              <w:spacing w:line="276" w:lineRule="auto"/>
              <w:jc w:val="right"/>
              <w:rPr>
                <w:b/>
                <w:bCs/>
                <w:sz w:val="22"/>
              </w:rPr>
            </w:pPr>
            <w:r w:rsidRPr="000B4E2C">
              <w:rPr>
                <w:sz w:val="22"/>
              </w:rPr>
              <w:t>15</w:t>
            </w:r>
          </w:p>
        </w:tc>
        <w:tc>
          <w:tcPr>
            <w:tcW w:w="0" w:type="auto"/>
            <w:shd w:val="clear" w:color="auto" w:fill="auto"/>
            <w:noWrap/>
          </w:tcPr>
          <w:p w14:paraId="52E52A47" w14:textId="77777777" w:rsidR="00E62483" w:rsidRPr="000B4E2C" w:rsidRDefault="00E62483" w:rsidP="00E62483">
            <w:pPr>
              <w:spacing w:line="276" w:lineRule="auto"/>
              <w:jc w:val="right"/>
              <w:rPr>
                <w:b/>
                <w:bCs/>
                <w:sz w:val="22"/>
              </w:rPr>
            </w:pPr>
            <w:r w:rsidRPr="000B4E2C">
              <w:rPr>
                <w:sz w:val="22"/>
              </w:rPr>
              <w:t>15</w:t>
            </w:r>
          </w:p>
        </w:tc>
        <w:tc>
          <w:tcPr>
            <w:tcW w:w="0" w:type="auto"/>
            <w:shd w:val="clear" w:color="auto" w:fill="auto"/>
            <w:noWrap/>
          </w:tcPr>
          <w:p w14:paraId="3C93D536" w14:textId="77777777" w:rsidR="00E62483" w:rsidRPr="000B4E2C" w:rsidRDefault="00E62483" w:rsidP="00E62483">
            <w:pPr>
              <w:spacing w:line="276" w:lineRule="auto"/>
              <w:jc w:val="right"/>
              <w:rPr>
                <w:b/>
                <w:bCs/>
                <w:sz w:val="22"/>
              </w:rPr>
            </w:pPr>
            <w:r w:rsidRPr="000B4E2C">
              <w:rPr>
                <w:sz w:val="22"/>
              </w:rPr>
              <w:t>15</w:t>
            </w:r>
          </w:p>
        </w:tc>
      </w:tr>
      <w:tr w:rsidR="00E62483" w:rsidRPr="000B4E2C" w14:paraId="1EDA2D4B" w14:textId="77777777" w:rsidTr="000B4E2C">
        <w:trPr>
          <w:cantSplit/>
        </w:trPr>
        <w:tc>
          <w:tcPr>
            <w:tcW w:w="0" w:type="auto"/>
            <w:shd w:val="clear" w:color="auto" w:fill="auto"/>
            <w:noWrap/>
            <w:hideMark/>
          </w:tcPr>
          <w:p w14:paraId="2D65BD95" w14:textId="77777777" w:rsidR="00E62483" w:rsidRPr="000B4E2C" w:rsidRDefault="00E62483" w:rsidP="00E62483">
            <w:pPr>
              <w:spacing w:line="276" w:lineRule="auto"/>
              <w:jc w:val="right"/>
              <w:rPr>
                <w:bCs/>
                <w:sz w:val="22"/>
              </w:rPr>
            </w:pPr>
            <w:r w:rsidRPr="000B4E2C">
              <w:rPr>
                <w:bCs/>
                <w:sz w:val="22"/>
              </w:rPr>
              <w:t>Staff time for testing (per test)</w:t>
            </w:r>
          </w:p>
        </w:tc>
        <w:tc>
          <w:tcPr>
            <w:tcW w:w="0" w:type="auto"/>
            <w:shd w:val="clear" w:color="auto" w:fill="auto"/>
            <w:noWrap/>
            <w:hideMark/>
          </w:tcPr>
          <w:p w14:paraId="3326C429" w14:textId="77777777" w:rsidR="00E62483" w:rsidRPr="000B4E2C" w:rsidRDefault="00E62483" w:rsidP="00E62483">
            <w:pPr>
              <w:spacing w:line="276" w:lineRule="auto"/>
              <w:jc w:val="right"/>
              <w:rPr>
                <w:sz w:val="22"/>
              </w:rPr>
            </w:pPr>
            <w:r w:rsidRPr="000B4E2C">
              <w:rPr>
                <w:sz w:val="22"/>
              </w:rPr>
              <w:t>£14.67</w:t>
            </w:r>
          </w:p>
        </w:tc>
        <w:tc>
          <w:tcPr>
            <w:tcW w:w="0" w:type="auto"/>
            <w:shd w:val="clear" w:color="auto" w:fill="auto"/>
            <w:noWrap/>
            <w:hideMark/>
          </w:tcPr>
          <w:p w14:paraId="71403A39" w14:textId="77777777" w:rsidR="00E62483" w:rsidRPr="000B4E2C" w:rsidRDefault="00E62483" w:rsidP="00E62483">
            <w:pPr>
              <w:spacing w:line="276" w:lineRule="auto"/>
              <w:jc w:val="right"/>
              <w:rPr>
                <w:sz w:val="22"/>
              </w:rPr>
            </w:pPr>
            <w:r w:rsidRPr="000B4E2C">
              <w:rPr>
                <w:sz w:val="22"/>
              </w:rPr>
              <w:t>£14.67</w:t>
            </w:r>
          </w:p>
        </w:tc>
        <w:tc>
          <w:tcPr>
            <w:tcW w:w="0" w:type="auto"/>
            <w:shd w:val="clear" w:color="auto" w:fill="auto"/>
            <w:noWrap/>
            <w:hideMark/>
          </w:tcPr>
          <w:p w14:paraId="48069B09" w14:textId="77777777" w:rsidR="00E62483" w:rsidRPr="000B4E2C" w:rsidRDefault="00E62483" w:rsidP="00E62483">
            <w:pPr>
              <w:spacing w:line="276" w:lineRule="auto"/>
              <w:jc w:val="right"/>
              <w:rPr>
                <w:sz w:val="22"/>
              </w:rPr>
            </w:pPr>
            <w:r w:rsidRPr="000B4E2C">
              <w:rPr>
                <w:sz w:val="22"/>
              </w:rPr>
              <w:t>£14.67</w:t>
            </w:r>
          </w:p>
        </w:tc>
        <w:tc>
          <w:tcPr>
            <w:tcW w:w="0" w:type="auto"/>
            <w:shd w:val="clear" w:color="auto" w:fill="auto"/>
            <w:noWrap/>
            <w:hideMark/>
          </w:tcPr>
          <w:p w14:paraId="40768BB3" w14:textId="77777777" w:rsidR="00E62483" w:rsidRPr="000B4E2C" w:rsidRDefault="00E62483" w:rsidP="00E62483">
            <w:pPr>
              <w:spacing w:line="276" w:lineRule="auto"/>
              <w:jc w:val="right"/>
              <w:rPr>
                <w:sz w:val="22"/>
              </w:rPr>
            </w:pPr>
            <w:r w:rsidRPr="000B4E2C">
              <w:rPr>
                <w:sz w:val="22"/>
              </w:rPr>
              <w:t>£14.67</w:t>
            </w:r>
          </w:p>
        </w:tc>
      </w:tr>
      <w:tr w:rsidR="00E62483" w:rsidRPr="000B4E2C" w14:paraId="47A5F3DC" w14:textId="77777777" w:rsidTr="000B4E2C">
        <w:trPr>
          <w:cantSplit/>
        </w:trPr>
        <w:tc>
          <w:tcPr>
            <w:tcW w:w="0" w:type="auto"/>
            <w:shd w:val="clear" w:color="auto" w:fill="auto"/>
            <w:noWrap/>
            <w:hideMark/>
          </w:tcPr>
          <w:p w14:paraId="330852DD" w14:textId="77777777" w:rsidR="00E62483" w:rsidRPr="000B4E2C" w:rsidRDefault="00E62483" w:rsidP="00E62483">
            <w:pPr>
              <w:spacing w:line="276" w:lineRule="auto"/>
              <w:jc w:val="right"/>
              <w:rPr>
                <w:bCs/>
                <w:sz w:val="22"/>
              </w:rPr>
            </w:pPr>
            <w:r w:rsidRPr="000B4E2C">
              <w:rPr>
                <w:bCs/>
                <w:sz w:val="22"/>
              </w:rPr>
              <w:t>Staff for interpreting (per test)</w:t>
            </w:r>
          </w:p>
        </w:tc>
        <w:tc>
          <w:tcPr>
            <w:tcW w:w="0" w:type="auto"/>
            <w:shd w:val="clear" w:color="auto" w:fill="auto"/>
            <w:noWrap/>
            <w:hideMark/>
          </w:tcPr>
          <w:p w14:paraId="615FC019" w14:textId="77777777" w:rsidR="00E62483" w:rsidRPr="000B4E2C" w:rsidRDefault="00E62483" w:rsidP="00E62483">
            <w:pPr>
              <w:spacing w:line="276" w:lineRule="auto"/>
              <w:jc w:val="right"/>
              <w:rPr>
                <w:sz w:val="22"/>
              </w:rPr>
            </w:pPr>
            <w:r w:rsidRPr="000B4E2C">
              <w:rPr>
                <w:sz w:val="22"/>
              </w:rPr>
              <w:t>£6.89</w:t>
            </w:r>
          </w:p>
        </w:tc>
        <w:tc>
          <w:tcPr>
            <w:tcW w:w="0" w:type="auto"/>
            <w:shd w:val="clear" w:color="auto" w:fill="auto"/>
            <w:noWrap/>
            <w:hideMark/>
          </w:tcPr>
          <w:p w14:paraId="31597ACA" w14:textId="77777777" w:rsidR="00E62483" w:rsidRPr="000B4E2C" w:rsidRDefault="00E62483" w:rsidP="00E62483">
            <w:pPr>
              <w:spacing w:line="276" w:lineRule="auto"/>
              <w:jc w:val="right"/>
              <w:rPr>
                <w:sz w:val="22"/>
              </w:rPr>
            </w:pPr>
            <w:r w:rsidRPr="000B4E2C">
              <w:rPr>
                <w:sz w:val="22"/>
              </w:rPr>
              <w:t>£6.89</w:t>
            </w:r>
          </w:p>
        </w:tc>
        <w:tc>
          <w:tcPr>
            <w:tcW w:w="0" w:type="auto"/>
            <w:shd w:val="clear" w:color="auto" w:fill="auto"/>
            <w:noWrap/>
            <w:hideMark/>
          </w:tcPr>
          <w:p w14:paraId="50C86CF3" w14:textId="77777777" w:rsidR="00E62483" w:rsidRPr="000B4E2C" w:rsidRDefault="00E62483" w:rsidP="00E62483">
            <w:pPr>
              <w:spacing w:line="276" w:lineRule="auto"/>
              <w:jc w:val="right"/>
              <w:rPr>
                <w:sz w:val="22"/>
              </w:rPr>
            </w:pPr>
            <w:r w:rsidRPr="000B4E2C">
              <w:rPr>
                <w:sz w:val="22"/>
              </w:rPr>
              <w:t>£6.89</w:t>
            </w:r>
          </w:p>
        </w:tc>
        <w:tc>
          <w:tcPr>
            <w:tcW w:w="0" w:type="auto"/>
            <w:shd w:val="clear" w:color="auto" w:fill="auto"/>
            <w:noWrap/>
            <w:hideMark/>
          </w:tcPr>
          <w:p w14:paraId="340890C0" w14:textId="77777777" w:rsidR="00E62483" w:rsidRPr="000B4E2C" w:rsidRDefault="00E62483" w:rsidP="00E62483">
            <w:pPr>
              <w:spacing w:line="276" w:lineRule="auto"/>
              <w:jc w:val="right"/>
              <w:rPr>
                <w:sz w:val="22"/>
              </w:rPr>
            </w:pPr>
            <w:r w:rsidRPr="000B4E2C">
              <w:rPr>
                <w:sz w:val="22"/>
              </w:rPr>
              <w:t>£6.89</w:t>
            </w:r>
          </w:p>
        </w:tc>
      </w:tr>
      <w:tr w:rsidR="00E62483" w:rsidRPr="000B4E2C" w14:paraId="32C3E6CC" w14:textId="77777777" w:rsidTr="000B4E2C">
        <w:trPr>
          <w:cantSplit/>
        </w:trPr>
        <w:tc>
          <w:tcPr>
            <w:tcW w:w="0" w:type="auto"/>
            <w:shd w:val="clear" w:color="auto" w:fill="auto"/>
            <w:noWrap/>
          </w:tcPr>
          <w:p w14:paraId="44891E28" w14:textId="77777777" w:rsidR="00E62483" w:rsidRPr="000B4E2C" w:rsidRDefault="00E62483" w:rsidP="00E62483">
            <w:pPr>
              <w:spacing w:line="276" w:lineRule="auto"/>
              <w:jc w:val="right"/>
              <w:rPr>
                <w:bCs/>
                <w:sz w:val="22"/>
              </w:rPr>
            </w:pPr>
            <w:r w:rsidRPr="000B4E2C">
              <w:rPr>
                <w:bCs/>
                <w:sz w:val="22"/>
              </w:rPr>
              <w:t>Staff to prepare urine sample (per test)</w:t>
            </w:r>
          </w:p>
        </w:tc>
        <w:tc>
          <w:tcPr>
            <w:tcW w:w="0" w:type="auto"/>
            <w:shd w:val="clear" w:color="auto" w:fill="auto"/>
            <w:noWrap/>
          </w:tcPr>
          <w:p w14:paraId="5B56B933" w14:textId="77777777" w:rsidR="00E62483" w:rsidRPr="000B4E2C" w:rsidRDefault="00E62483" w:rsidP="00E62483">
            <w:pPr>
              <w:spacing w:line="276" w:lineRule="auto"/>
              <w:jc w:val="right"/>
              <w:rPr>
                <w:sz w:val="22"/>
              </w:rPr>
            </w:pPr>
            <w:r w:rsidRPr="000B4E2C">
              <w:rPr>
                <w:sz w:val="22"/>
              </w:rPr>
              <w:t>£9.25</w:t>
            </w:r>
          </w:p>
        </w:tc>
        <w:tc>
          <w:tcPr>
            <w:tcW w:w="0" w:type="auto"/>
            <w:shd w:val="clear" w:color="auto" w:fill="auto"/>
            <w:noWrap/>
          </w:tcPr>
          <w:p w14:paraId="290BBD1C" w14:textId="77777777" w:rsidR="00E62483" w:rsidRPr="000B4E2C" w:rsidRDefault="00E62483" w:rsidP="00E62483">
            <w:pPr>
              <w:spacing w:line="276" w:lineRule="auto"/>
              <w:jc w:val="right"/>
              <w:rPr>
                <w:sz w:val="22"/>
              </w:rPr>
            </w:pPr>
            <w:r w:rsidRPr="000B4E2C">
              <w:rPr>
                <w:sz w:val="22"/>
              </w:rPr>
              <w:t>£9.25</w:t>
            </w:r>
          </w:p>
        </w:tc>
        <w:tc>
          <w:tcPr>
            <w:tcW w:w="0" w:type="auto"/>
            <w:shd w:val="clear" w:color="auto" w:fill="auto"/>
            <w:noWrap/>
          </w:tcPr>
          <w:p w14:paraId="42629E02" w14:textId="77777777" w:rsidR="00E62483" w:rsidRPr="000B4E2C" w:rsidRDefault="00E62483" w:rsidP="00E62483">
            <w:pPr>
              <w:spacing w:line="276" w:lineRule="auto"/>
              <w:jc w:val="right"/>
              <w:rPr>
                <w:sz w:val="22"/>
              </w:rPr>
            </w:pPr>
            <w:r w:rsidRPr="000B4E2C">
              <w:rPr>
                <w:sz w:val="22"/>
              </w:rPr>
              <w:t>£9.25</w:t>
            </w:r>
          </w:p>
        </w:tc>
        <w:tc>
          <w:tcPr>
            <w:tcW w:w="0" w:type="auto"/>
            <w:shd w:val="clear" w:color="auto" w:fill="auto"/>
            <w:noWrap/>
          </w:tcPr>
          <w:p w14:paraId="5C548D77" w14:textId="77777777" w:rsidR="00E62483" w:rsidRPr="000B4E2C" w:rsidRDefault="00E62483" w:rsidP="00E62483">
            <w:pPr>
              <w:spacing w:line="276" w:lineRule="auto"/>
              <w:jc w:val="right"/>
              <w:rPr>
                <w:sz w:val="22"/>
              </w:rPr>
            </w:pPr>
            <w:r w:rsidRPr="000B4E2C">
              <w:rPr>
                <w:sz w:val="22"/>
              </w:rPr>
              <w:t>£9.25</w:t>
            </w:r>
          </w:p>
        </w:tc>
      </w:tr>
      <w:tr w:rsidR="00E62483" w:rsidRPr="000B4E2C" w14:paraId="0C345B98" w14:textId="77777777" w:rsidTr="000B4E2C">
        <w:trPr>
          <w:cantSplit/>
        </w:trPr>
        <w:tc>
          <w:tcPr>
            <w:tcW w:w="0" w:type="auto"/>
            <w:shd w:val="clear" w:color="auto" w:fill="auto"/>
            <w:noWrap/>
            <w:hideMark/>
          </w:tcPr>
          <w:p w14:paraId="2079EE69" w14:textId="77777777" w:rsidR="00E62483" w:rsidRPr="000B4E2C" w:rsidRDefault="00E62483" w:rsidP="00E62483">
            <w:pPr>
              <w:spacing w:line="276" w:lineRule="auto"/>
              <w:jc w:val="right"/>
              <w:rPr>
                <w:bCs/>
                <w:sz w:val="22"/>
              </w:rPr>
            </w:pPr>
            <w:r w:rsidRPr="000B4E2C">
              <w:rPr>
                <w:bCs/>
                <w:sz w:val="22"/>
              </w:rPr>
              <w:lastRenderedPageBreak/>
              <w:t>Delivery to lab (per test)</w:t>
            </w:r>
          </w:p>
        </w:tc>
        <w:tc>
          <w:tcPr>
            <w:tcW w:w="0" w:type="auto"/>
            <w:shd w:val="clear" w:color="auto" w:fill="auto"/>
            <w:noWrap/>
            <w:hideMark/>
          </w:tcPr>
          <w:p w14:paraId="00BC04DF" w14:textId="77777777" w:rsidR="00E62483" w:rsidRPr="000B4E2C" w:rsidRDefault="00E62483" w:rsidP="00E62483">
            <w:pPr>
              <w:spacing w:line="276" w:lineRule="auto"/>
              <w:jc w:val="right"/>
              <w:rPr>
                <w:sz w:val="22"/>
              </w:rPr>
            </w:pPr>
            <w:r w:rsidRPr="000B4E2C">
              <w:rPr>
                <w:sz w:val="22"/>
              </w:rPr>
              <w:t>£6.82</w:t>
            </w:r>
          </w:p>
        </w:tc>
        <w:tc>
          <w:tcPr>
            <w:tcW w:w="0" w:type="auto"/>
            <w:shd w:val="clear" w:color="auto" w:fill="auto"/>
            <w:noWrap/>
            <w:hideMark/>
          </w:tcPr>
          <w:p w14:paraId="48138081" w14:textId="77777777" w:rsidR="00E62483" w:rsidRPr="000B4E2C" w:rsidRDefault="00E62483" w:rsidP="00E62483">
            <w:pPr>
              <w:spacing w:line="276" w:lineRule="auto"/>
              <w:jc w:val="right"/>
              <w:rPr>
                <w:sz w:val="22"/>
              </w:rPr>
            </w:pPr>
            <w:r w:rsidRPr="000B4E2C">
              <w:rPr>
                <w:sz w:val="22"/>
              </w:rPr>
              <w:t>£6.82</w:t>
            </w:r>
          </w:p>
        </w:tc>
        <w:tc>
          <w:tcPr>
            <w:tcW w:w="0" w:type="auto"/>
            <w:shd w:val="clear" w:color="auto" w:fill="auto"/>
            <w:noWrap/>
            <w:hideMark/>
          </w:tcPr>
          <w:p w14:paraId="2F35B61F" w14:textId="77777777" w:rsidR="00E62483" w:rsidRPr="000B4E2C" w:rsidRDefault="00E62483" w:rsidP="00E62483">
            <w:pPr>
              <w:spacing w:line="276" w:lineRule="auto"/>
              <w:jc w:val="right"/>
              <w:rPr>
                <w:sz w:val="22"/>
              </w:rPr>
            </w:pPr>
            <w:r w:rsidRPr="000B4E2C">
              <w:rPr>
                <w:sz w:val="22"/>
              </w:rPr>
              <w:t>£6.82</w:t>
            </w:r>
          </w:p>
        </w:tc>
        <w:tc>
          <w:tcPr>
            <w:tcW w:w="0" w:type="auto"/>
            <w:shd w:val="clear" w:color="auto" w:fill="auto"/>
            <w:noWrap/>
            <w:hideMark/>
          </w:tcPr>
          <w:p w14:paraId="3A989FB9" w14:textId="77777777" w:rsidR="00E62483" w:rsidRPr="000B4E2C" w:rsidRDefault="00E62483" w:rsidP="00E62483">
            <w:pPr>
              <w:spacing w:line="276" w:lineRule="auto"/>
              <w:jc w:val="right"/>
              <w:rPr>
                <w:sz w:val="22"/>
              </w:rPr>
            </w:pPr>
            <w:r w:rsidRPr="000B4E2C">
              <w:rPr>
                <w:sz w:val="22"/>
              </w:rPr>
              <w:t>£6.82</w:t>
            </w:r>
          </w:p>
        </w:tc>
      </w:tr>
      <w:tr w:rsidR="00E62483" w:rsidRPr="000B4E2C" w14:paraId="3B14BAD9" w14:textId="77777777" w:rsidTr="000B4E2C">
        <w:trPr>
          <w:cantSplit/>
        </w:trPr>
        <w:tc>
          <w:tcPr>
            <w:tcW w:w="0" w:type="auto"/>
            <w:shd w:val="clear" w:color="auto" w:fill="auto"/>
            <w:noWrap/>
          </w:tcPr>
          <w:p w14:paraId="4FAA9276" w14:textId="77777777" w:rsidR="00E62483" w:rsidRPr="000B4E2C" w:rsidRDefault="00E62483" w:rsidP="00E62483">
            <w:pPr>
              <w:spacing w:line="276" w:lineRule="auto"/>
              <w:jc w:val="right"/>
              <w:rPr>
                <w:b/>
                <w:bCs/>
                <w:sz w:val="22"/>
              </w:rPr>
            </w:pPr>
            <w:r w:rsidRPr="000B4E2C">
              <w:rPr>
                <w:b/>
                <w:bCs/>
                <w:sz w:val="22"/>
              </w:rPr>
              <w:t>Subtotal: staff costs (per test)</w:t>
            </w:r>
          </w:p>
        </w:tc>
        <w:tc>
          <w:tcPr>
            <w:tcW w:w="0" w:type="auto"/>
            <w:shd w:val="clear" w:color="auto" w:fill="auto"/>
            <w:noWrap/>
          </w:tcPr>
          <w:p w14:paraId="5DC19434" w14:textId="77777777" w:rsidR="00E62483" w:rsidRPr="000B4E2C" w:rsidRDefault="00E62483" w:rsidP="00E62483">
            <w:pPr>
              <w:spacing w:line="276" w:lineRule="auto"/>
              <w:jc w:val="right"/>
              <w:rPr>
                <w:b/>
                <w:bCs/>
                <w:sz w:val="22"/>
              </w:rPr>
            </w:pPr>
            <w:r w:rsidRPr="000B4E2C">
              <w:rPr>
                <w:b/>
                <w:bCs/>
                <w:sz w:val="22"/>
              </w:rPr>
              <w:t>£37.62</w:t>
            </w:r>
          </w:p>
        </w:tc>
        <w:tc>
          <w:tcPr>
            <w:tcW w:w="0" w:type="auto"/>
            <w:shd w:val="clear" w:color="auto" w:fill="auto"/>
            <w:noWrap/>
          </w:tcPr>
          <w:p w14:paraId="665F78D6" w14:textId="77777777" w:rsidR="00E62483" w:rsidRPr="000B4E2C" w:rsidRDefault="00E62483" w:rsidP="00E62483">
            <w:pPr>
              <w:spacing w:line="276" w:lineRule="auto"/>
              <w:jc w:val="right"/>
              <w:rPr>
                <w:b/>
                <w:sz w:val="22"/>
              </w:rPr>
            </w:pPr>
            <w:r w:rsidRPr="000B4E2C">
              <w:rPr>
                <w:b/>
                <w:sz w:val="22"/>
              </w:rPr>
              <w:t>£37.62</w:t>
            </w:r>
          </w:p>
        </w:tc>
        <w:tc>
          <w:tcPr>
            <w:tcW w:w="0" w:type="auto"/>
            <w:shd w:val="clear" w:color="auto" w:fill="auto"/>
            <w:noWrap/>
          </w:tcPr>
          <w:p w14:paraId="77ABA3CC" w14:textId="77777777" w:rsidR="00E62483" w:rsidRPr="000B4E2C" w:rsidRDefault="00E62483" w:rsidP="00E62483">
            <w:pPr>
              <w:spacing w:line="276" w:lineRule="auto"/>
              <w:jc w:val="right"/>
              <w:rPr>
                <w:b/>
                <w:sz w:val="22"/>
              </w:rPr>
            </w:pPr>
            <w:r w:rsidRPr="000B4E2C">
              <w:rPr>
                <w:b/>
                <w:sz w:val="22"/>
              </w:rPr>
              <w:t>£37.62</w:t>
            </w:r>
          </w:p>
        </w:tc>
        <w:tc>
          <w:tcPr>
            <w:tcW w:w="0" w:type="auto"/>
            <w:shd w:val="clear" w:color="auto" w:fill="auto"/>
            <w:noWrap/>
          </w:tcPr>
          <w:p w14:paraId="0EB7C532" w14:textId="77777777" w:rsidR="00E62483" w:rsidRPr="000B4E2C" w:rsidRDefault="00E62483" w:rsidP="00E62483">
            <w:pPr>
              <w:spacing w:line="276" w:lineRule="auto"/>
              <w:jc w:val="right"/>
              <w:rPr>
                <w:b/>
                <w:sz w:val="22"/>
              </w:rPr>
            </w:pPr>
            <w:r w:rsidRPr="000B4E2C">
              <w:rPr>
                <w:b/>
                <w:sz w:val="22"/>
              </w:rPr>
              <w:t>£37.62</w:t>
            </w:r>
          </w:p>
        </w:tc>
      </w:tr>
      <w:tr w:rsidR="00E62483" w:rsidRPr="000B4E2C" w14:paraId="2C956F03" w14:textId="77777777" w:rsidTr="000B4E2C">
        <w:trPr>
          <w:cantSplit/>
        </w:trPr>
        <w:tc>
          <w:tcPr>
            <w:tcW w:w="0" w:type="auto"/>
            <w:gridSpan w:val="5"/>
            <w:shd w:val="clear" w:color="auto" w:fill="auto"/>
            <w:noWrap/>
            <w:hideMark/>
          </w:tcPr>
          <w:p w14:paraId="2550ECB4" w14:textId="77777777" w:rsidR="00E62483" w:rsidRPr="000B4E2C" w:rsidRDefault="00E62483" w:rsidP="00E62483">
            <w:pPr>
              <w:spacing w:line="276" w:lineRule="auto"/>
              <w:rPr>
                <w:sz w:val="22"/>
                <w:vertAlign w:val="superscript"/>
              </w:rPr>
            </w:pPr>
            <w:r w:rsidRPr="000B4E2C">
              <w:rPr>
                <w:b/>
                <w:bCs/>
                <w:sz w:val="22"/>
              </w:rPr>
              <w:t xml:space="preserve">Staff training </w:t>
            </w:r>
            <w:r w:rsidRPr="000B4E2C">
              <w:rPr>
                <w:b/>
                <w:bCs/>
                <w:sz w:val="22"/>
                <w:vertAlign w:val="superscript"/>
              </w:rPr>
              <w:t>I</w:t>
            </w:r>
          </w:p>
        </w:tc>
      </w:tr>
      <w:tr w:rsidR="00E62483" w:rsidRPr="000B4E2C" w14:paraId="3EE682CB" w14:textId="77777777" w:rsidTr="000B4E2C">
        <w:trPr>
          <w:cantSplit/>
        </w:trPr>
        <w:tc>
          <w:tcPr>
            <w:tcW w:w="0" w:type="auto"/>
            <w:shd w:val="clear" w:color="auto" w:fill="auto"/>
            <w:noWrap/>
            <w:hideMark/>
          </w:tcPr>
          <w:p w14:paraId="7BD093B6" w14:textId="77777777" w:rsidR="00E62483" w:rsidRPr="000B4E2C" w:rsidRDefault="00E62483" w:rsidP="00E62483">
            <w:pPr>
              <w:spacing w:line="276" w:lineRule="auto"/>
              <w:jc w:val="right"/>
              <w:rPr>
                <w:sz w:val="22"/>
              </w:rPr>
            </w:pPr>
            <w:r w:rsidRPr="000B4E2C">
              <w:rPr>
                <w:sz w:val="22"/>
              </w:rPr>
              <w:t>Assumed average turnover (years)</w:t>
            </w:r>
          </w:p>
        </w:tc>
        <w:tc>
          <w:tcPr>
            <w:tcW w:w="0" w:type="auto"/>
            <w:shd w:val="clear" w:color="auto" w:fill="auto"/>
            <w:noWrap/>
            <w:hideMark/>
          </w:tcPr>
          <w:p w14:paraId="0BBFB437" w14:textId="77777777" w:rsidR="00E62483" w:rsidRPr="000B4E2C" w:rsidRDefault="00E62483" w:rsidP="00E62483">
            <w:pPr>
              <w:spacing w:line="276" w:lineRule="auto"/>
              <w:jc w:val="right"/>
              <w:rPr>
                <w:sz w:val="22"/>
              </w:rPr>
            </w:pPr>
            <w:r w:rsidRPr="000B4E2C">
              <w:rPr>
                <w:sz w:val="22"/>
              </w:rPr>
              <w:t>5</w:t>
            </w:r>
          </w:p>
        </w:tc>
        <w:tc>
          <w:tcPr>
            <w:tcW w:w="0" w:type="auto"/>
            <w:shd w:val="clear" w:color="auto" w:fill="auto"/>
            <w:noWrap/>
            <w:hideMark/>
          </w:tcPr>
          <w:p w14:paraId="547168A3" w14:textId="77777777" w:rsidR="00E62483" w:rsidRPr="000B4E2C" w:rsidRDefault="00E62483" w:rsidP="00E62483">
            <w:pPr>
              <w:spacing w:line="276" w:lineRule="auto"/>
              <w:jc w:val="right"/>
              <w:rPr>
                <w:sz w:val="22"/>
              </w:rPr>
            </w:pPr>
            <w:r w:rsidRPr="000B4E2C">
              <w:rPr>
                <w:sz w:val="22"/>
              </w:rPr>
              <w:t>5</w:t>
            </w:r>
          </w:p>
        </w:tc>
        <w:tc>
          <w:tcPr>
            <w:tcW w:w="0" w:type="auto"/>
            <w:shd w:val="clear" w:color="auto" w:fill="auto"/>
            <w:noWrap/>
            <w:hideMark/>
          </w:tcPr>
          <w:p w14:paraId="1DC81A12" w14:textId="77777777" w:rsidR="00E62483" w:rsidRPr="000B4E2C" w:rsidRDefault="00E62483" w:rsidP="00E62483">
            <w:pPr>
              <w:spacing w:line="276" w:lineRule="auto"/>
              <w:jc w:val="right"/>
              <w:rPr>
                <w:sz w:val="22"/>
              </w:rPr>
            </w:pPr>
            <w:r w:rsidRPr="000B4E2C">
              <w:rPr>
                <w:sz w:val="22"/>
              </w:rPr>
              <w:t>5</w:t>
            </w:r>
          </w:p>
        </w:tc>
        <w:tc>
          <w:tcPr>
            <w:tcW w:w="0" w:type="auto"/>
            <w:shd w:val="clear" w:color="auto" w:fill="auto"/>
            <w:noWrap/>
            <w:hideMark/>
          </w:tcPr>
          <w:p w14:paraId="209CEAC0" w14:textId="77777777" w:rsidR="00E62483" w:rsidRPr="000B4E2C" w:rsidRDefault="00E62483" w:rsidP="00E62483">
            <w:pPr>
              <w:spacing w:line="276" w:lineRule="auto"/>
              <w:jc w:val="right"/>
              <w:rPr>
                <w:sz w:val="22"/>
              </w:rPr>
            </w:pPr>
            <w:r w:rsidRPr="000B4E2C">
              <w:rPr>
                <w:sz w:val="22"/>
              </w:rPr>
              <w:t>5</w:t>
            </w:r>
          </w:p>
        </w:tc>
      </w:tr>
      <w:tr w:rsidR="00E62483" w:rsidRPr="000B4E2C" w14:paraId="4F0C6A66" w14:textId="77777777" w:rsidTr="000B4E2C">
        <w:trPr>
          <w:cantSplit/>
        </w:trPr>
        <w:tc>
          <w:tcPr>
            <w:tcW w:w="0" w:type="auto"/>
            <w:shd w:val="clear" w:color="auto" w:fill="auto"/>
            <w:noWrap/>
          </w:tcPr>
          <w:p w14:paraId="2C3484AF" w14:textId="77777777" w:rsidR="00E62483" w:rsidRPr="000B4E2C" w:rsidRDefault="00E62483" w:rsidP="00E62483">
            <w:pPr>
              <w:spacing w:line="276" w:lineRule="auto"/>
              <w:jc w:val="right"/>
              <w:rPr>
                <w:sz w:val="22"/>
              </w:rPr>
            </w:pPr>
            <w:r w:rsidRPr="000B4E2C">
              <w:rPr>
                <w:sz w:val="22"/>
              </w:rPr>
              <w:t>Time for training (minutes)</w:t>
            </w:r>
          </w:p>
        </w:tc>
        <w:tc>
          <w:tcPr>
            <w:tcW w:w="0" w:type="auto"/>
            <w:shd w:val="clear" w:color="auto" w:fill="auto"/>
            <w:noWrap/>
          </w:tcPr>
          <w:p w14:paraId="75D2E65E" w14:textId="77777777" w:rsidR="00E62483" w:rsidRPr="000B4E2C" w:rsidRDefault="00E62483" w:rsidP="00E62483">
            <w:pPr>
              <w:spacing w:line="276" w:lineRule="auto"/>
              <w:jc w:val="right"/>
              <w:rPr>
                <w:sz w:val="22"/>
                <w:vertAlign w:val="superscript"/>
              </w:rPr>
            </w:pPr>
            <w:r w:rsidRPr="000B4E2C">
              <w:rPr>
                <w:sz w:val="22"/>
              </w:rPr>
              <w:t>90</w:t>
            </w:r>
          </w:p>
        </w:tc>
        <w:tc>
          <w:tcPr>
            <w:tcW w:w="0" w:type="auto"/>
            <w:shd w:val="clear" w:color="auto" w:fill="auto"/>
            <w:noWrap/>
          </w:tcPr>
          <w:p w14:paraId="36DC9837" w14:textId="77777777" w:rsidR="00E62483" w:rsidRPr="000B4E2C" w:rsidRDefault="00E62483" w:rsidP="00E62483">
            <w:pPr>
              <w:spacing w:line="276" w:lineRule="auto"/>
              <w:jc w:val="right"/>
              <w:rPr>
                <w:sz w:val="22"/>
              </w:rPr>
            </w:pPr>
            <w:r w:rsidRPr="000B4E2C">
              <w:rPr>
                <w:sz w:val="22"/>
              </w:rPr>
              <w:t>30</w:t>
            </w:r>
          </w:p>
        </w:tc>
        <w:tc>
          <w:tcPr>
            <w:tcW w:w="0" w:type="auto"/>
            <w:shd w:val="clear" w:color="auto" w:fill="auto"/>
            <w:noWrap/>
          </w:tcPr>
          <w:p w14:paraId="47C83765" w14:textId="77777777" w:rsidR="00E62483" w:rsidRPr="000B4E2C" w:rsidRDefault="00E62483" w:rsidP="00E62483">
            <w:pPr>
              <w:spacing w:line="276" w:lineRule="auto"/>
              <w:jc w:val="right"/>
              <w:rPr>
                <w:sz w:val="22"/>
              </w:rPr>
            </w:pPr>
            <w:r w:rsidRPr="000B4E2C">
              <w:rPr>
                <w:sz w:val="22"/>
              </w:rPr>
              <w:t>30</w:t>
            </w:r>
          </w:p>
        </w:tc>
        <w:tc>
          <w:tcPr>
            <w:tcW w:w="0" w:type="auto"/>
            <w:shd w:val="clear" w:color="auto" w:fill="auto"/>
            <w:noWrap/>
          </w:tcPr>
          <w:p w14:paraId="6701E71E" w14:textId="77777777" w:rsidR="00E62483" w:rsidRPr="000B4E2C" w:rsidRDefault="00E62483" w:rsidP="00E62483">
            <w:pPr>
              <w:spacing w:line="276" w:lineRule="auto"/>
              <w:jc w:val="right"/>
              <w:rPr>
                <w:sz w:val="22"/>
              </w:rPr>
            </w:pPr>
            <w:r w:rsidRPr="000B4E2C">
              <w:rPr>
                <w:sz w:val="22"/>
              </w:rPr>
              <w:t>30</w:t>
            </w:r>
            <w:r w:rsidRPr="000B4E2C">
              <w:rPr>
                <w:sz w:val="22"/>
                <w:vertAlign w:val="superscript"/>
              </w:rPr>
              <w:t xml:space="preserve"> </w:t>
            </w:r>
          </w:p>
        </w:tc>
      </w:tr>
      <w:tr w:rsidR="00E62483" w:rsidRPr="000B4E2C" w14:paraId="3E138568" w14:textId="77777777" w:rsidTr="000B4E2C">
        <w:trPr>
          <w:cantSplit/>
        </w:trPr>
        <w:tc>
          <w:tcPr>
            <w:tcW w:w="0" w:type="auto"/>
            <w:shd w:val="clear" w:color="auto" w:fill="auto"/>
            <w:noWrap/>
            <w:hideMark/>
          </w:tcPr>
          <w:p w14:paraId="2A5AB89A" w14:textId="77777777" w:rsidR="00E62483" w:rsidRPr="000B4E2C" w:rsidRDefault="00E62483" w:rsidP="00E62483">
            <w:pPr>
              <w:spacing w:line="276" w:lineRule="auto"/>
              <w:jc w:val="right"/>
              <w:rPr>
                <w:sz w:val="22"/>
              </w:rPr>
            </w:pPr>
            <w:r w:rsidRPr="000B4E2C">
              <w:rPr>
                <w:sz w:val="22"/>
              </w:rPr>
              <w:t>Total training costs</w:t>
            </w:r>
          </w:p>
        </w:tc>
        <w:tc>
          <w:tcPr>
            <w:tcW w:w="0" w:type="auto"/>
            <w:shd w:val="clear" w:color="auto" w:fill="auto"/>
            <w:noWrap/>
            <w:hideMark/>
          </w:tcPr>
          <w:p w14:paraId="7568B4D9" w14:textId="77777777" w:rsidR="00E62483" w:rsidRPr="000B4E2C" w:rsidRDefault="00E62483" w:rsidP="00E62483">
            <w:pPr>
              <w:spacing w:line="276" w:lineRule="auto"/>
              <w:jc w:val="right"/>
              <w:rPr>
                <w:sz w:val="22"/>
              </w:rPr>
            </w:pPr>
            <w:r w:rsidRPr="000B4E2C">
              <w:rPr>
                <w:sz w:val="22"/>
              </w:rPr>
              <w:t>£438.00</w:t>
            </w:r>
          </w:p>
        </w:tc>
        <w:tc>
          <w:tcPr>
            <w:tcW w:w="0" w:type="auto"/>
            <w:shd w:val="clear" w:color="auto" w:fill="auto"/>
            <w:noWrap/>
            <w:hideMark/>
          </w:tcPr>
          <w:p w14:paraId="4CEEDEEB" w14:textId="77777777" w:rsidR="00E62483" w:rsidRPr="000B4E2C" w:rsidRDefault="00E62483" w:rsidP="00E62483">
            <w:pPr>
              <w:spacing w:line="276" w:lineRule="auto"/>
              <w:jc w:val="right"/>
              <w:rPr>
                <w:sz w:val="22"/>
              </w:rPr>
            </w:pPr>
            <w:r w:rsidRPr="000B4E2C">
              <w:rPr>
                <w:sz w:val="22"/>
              </w:rPr>
              <w:t>£146.00</w:t>
            </w:r>
          </w:p>
        </w:tc>
        <w:tc>
          <w:tcPr>
            <w:tcW w:w="0" w:type="auto"/>
            <w:shd w:val="clear" w:color="auto" w:fill="auto"/>
            <w:noWrap/>
            <w:hideMark/>
          </w:tcPr>
          <w:p w14:paraId="02EAC168" w14:textId="77777777" w:rsidR="00E62483" w:rsidRPr="000B4E2C" w:rsidRDefault="00E62483" w:rsidP="00E62483">
            <w:pPr>
              <w:spacing w:line="276" w:lineRule="auto"/>
              <w:jc w:val="right"/>
              <w:rPr>
                <w:sz w:val="22"/>
              </w:rPr>
            </w:pPr>
            <w:r w:rsidRPr="000B4E2C">
              <w:rPr>
                <w:sz w:val="22"/>
              </w:rPr>
              <w:t>£146.00</w:t>
            </w:r>
          </w:p>
        </w:tc>
        <w:tc>
          <w:tcPr>
            <w:tcW w:w="0" w:type="auto"/>
            <w:shd w:val="clear" w:color="auto" w:fill="auto"/>
            <w:noWrap/>
            <w:hideMark/>
          </w:tcPr>
          <w:p w14:paraId="030A52B4" w14:textId="77777777" w:rsidR="00E62483" w:rsidRPr="000B4E2C" w:rsidRDefault="00E62483" w:rsidP="00E62483">
            <w:pPr>
              <w:spacing w:line="276" w:lineRule="auto"/>
              <w:jc w:val="right"/>
              <w:rPr>
                <w:sz w:val="22"/>
              </w:rPr>
            </w:pPr>
            <w:r w:rsidRPr="000B4E2C">
              <w:rPr>
                <w:sz w:val="22"/>
              </w:rPr>
              <w:t>£146.00</w:t>
            </w:r>
          </w:p>
        </w:tc>
      </w:tr>
      <w:tr w:rsidR="00E62483" w:rsidRPr="000B4E2C" w14:paraId="683B519A" w14:textId="77777777" w:rsidTr="000B4E2C">
        <w:trPr>
          <w:cantSplit/>
        </w:trPr>
        <w:tc>
          <w:tcPr>
            <w:tcW w:w="0" w:type="auto"/>
            <w:shd w:val="clear" w:color="auto" w:fill="auto"/>
            <w:noWrap/>
            <w:hideMark/>
          </w:tcPr>
          <w:p w14:paraId="0DF1B23C" w14:textId="77777777" w:rsidR="00E62483" w:rsidRPr="000B4E2C" w:rsidRDefault="00E62483" w:rsidP="00E62483">
            <w:pPr>
              <w:spacing w:line="276" w:lineRule="auto"/>
              <w:jc w:val="right"/>
              <w:rPr>
                <w:sz w:val="22"/>
              </w:rPr>
            </w:pPr>
            <w:r w:rsidRPr="000B4E2C">
              <w:rPr>
                <w:sz w:val="22"/>
              </w:rPr>
              <w:t xml:space="preserve">EAC of total training </w:t>
            </w:r>
          </w:p>
        </w:tc>
        <w:tc>
          <w:tcPr>
            <w:tcW w:w="0" w:type="auto"/>
            <w:shd w:val="clear" w:color="auto" w:fill="auto"/>
            <w:noWrap/>
            <w:hideMark/>
          </w:tcPr>
          <w:p w14:paraId="0C4F5043" w14:textId="77777777" w:rsidR="00E62483" w:rsidRPr="000B4E2C" w:rsidRDefault="00E62483" w:rsidP="00E62483">
            <w:pPr>
              <w:spacing w:line="276" w:lineRule="auto"/>
              <w:jc w:val="right"/>
              <w:rPr>
                <w:sz w:val="22"/>
              </w:rPr>
            </w:pPr>
            <w:r w:rsidRPr="000B4E2C">
              <w:rPr>
                <w:sz w:val="22"/>
              </w:rPr>
              <w:t>£97.01</w:t>
            </w:r>
          </w:p>
        </w:tc>
        <w:tc>
          <w:tcPr>
            <w:tcW w:w="0" w:type="auto"/>
            <w:shd w:val="clear" w:color="auto" w:fill="auto"/>
            <w:noWrap/>
            <w:hideMark/>
          </w:tcPr>
          <w:p w14:paraId="59C6D11C" w14:textId="77777777" w:rsidR="00E62483" w:rsidRPr="000B4E2C" w:rsidRDefault="00E62483" w:rsidP="00E62483">
            <w:pPr>
              <w:spacing w:line="276" w:lineRule="auto"/>
              <w:jc w:val="right"/>
              <w:rPr>
                <w:sz w:val="22"/>
              </w:rPr>
            </w:pPr>
            <w:r w:rsidRPr="000B4E2C">
              <w:rPr>
                <w:sz w:val="22"/>
              </w:rPr>
              <w:t>£32.34</w:t>
            </w:r>
          </w:p>
        </w:tc>
        <w:tc>
          <w:tcPr>
            <w:tcW w:w="0" w:type="auto"/>
            <w:shd w:val="clear" w:color="auto" w:fill="auto"/>
            <w:noWrap/>
            <w:hideMark/>
          </w:tcPr>
          <w:p w14:paraId="3B5116E8" w14:textId="77777777" w:rsidR="00E62483" w:rsidRPr="000B4E2C" w:rsidRDefault="00E62483" w:rsidP="00E62483">
            <w:pPr>
              <w:spacing w:line="276" w:lineRule="auto"/>
              <w:jc w:val="right"/>
              <w:rPr>
                <w:sz w:val="22"/>
              </w:rPr>
            </w:pPr>
            <w:r w:rsidRPr="000B4E2C">
              <w:rPr>
                <w:sz w:val="22"/>
              </w:rPr>
              <w:t>£32.34</w:t>
            </w:r>
          </w:p>
        </w:tc>
        <w:tc>
          <w:tcPr>
            <w:tcW w:w="0" w:type="auto"/>
            <w:shd w:val="clear" w:color="auto" w:fill="auto"/>
            <w:noWrap/>
            <w:hideMark/>
          </w:tcPr>
          <w:p w14:paraId="30E8A629" w14:textId="77777777" w:rsidR="00E62483" w:rsidRPr="000B4E2C" w:rsidRDefault="00E62483" w:rsidP="00E62483">
            <w:pPr>
              <w:spacing w:line="276" w:lineRule="auto"/>
              <w:jc w:val="right"/>
              <w:rPr>
                <w:sz w:val="22"/>
              </w:rPr>
            </w:pPr>
            <w:r w:rsidRPr="000B4E2C">
              <w:rPr>
                <w:sz w:val="22"/>
              </w:rPr>
              <w:t>£32.34</w:t>
            </w:r>
          </w:p>
        </w:tc>
      </w:tr>
      <w:tr w:rsidR="00E62483" w:rsidRPr="000B4E2C" w14:paraId="75E710A4" w14:textId="77777777" w:rsidTr="000B4E2C">
        <w:trPr>
          <w:cantSplit/>
        </w:trPr>
        <w:tc>
          <w:tcPr>
            <w:tcW w:w="0" w:type="auto"/>
            <w:shd w:val="clear" w:color="auto" w:fill="auto"/>
            <w:noWrap/>
            <w:hideMark/>
          </w:tcPr>
          <w:p w14:paraId="46B67190" w14:textId="77777777" w:rsidR="00E62483" w:rsidRPr="000B4E2C" w:rsidRDefault="00E62483" w:rsidP="00E62483">
            <w:pPr>
              <w:spacing w:line="276" w:lineRule="auto"/>
              <w:jc w:val="right"/>
              <w:rPr>
                <w:b/>
                <w:sz w:val="22"/>
              </w:rPr>
            </w:pPr>
            <w:r w:rsidRPr="000B4E2C">
              <w:rPr>
                <w:b/>
                <w:sz w:val="22"/>
              </w:rPr>
              <w:t>EAC of total training per test</w:t>
            </w:r>
          </w:p>
        </w:tc>
        <w:tc>
          <w:tcPr>
            <w:tcW w:w="0" w:type="auto"/>
            <w:shd w:val="clear" w:color="auto" w:fill="auto"/>
            <w:noWrap/>
            <w:hideMark/>
          </w:tcPr>
          <w:p w14:paraId="602F7B60" w14:textId="77777777" w:rsidR="00E62483" w:rsidRPr="000B4E2C" w:rsidRDefault="00E62483" w:rsidP="00E62483">
            <w:pPr>
              <w:spacing w:line="276" w:lineRule="auto"/>
              <w:jc w:val="right"/>
              <w:rPr>
                <w:b/>
                <w:sz w:val="22"/>
              </w:rPr>
            </w:pPr>
            <w:r w:rsidRPr="000B4E2C">
              <w:rPr>
                <w:b/>
                <w:sz w:val="22"/>
              </w:rPr>
              <w:t>£0.08</w:t>
            </w:r>
          </w:p>
        </w:tc>
        <w:tc>
          <w:tcPr>
            <w:tcW w:w="0" w:type="auto"/>
            <w:shd w:val="clear" w:color="auto" w:fill="auto"/>
            <w:noWrap/>
            <w:hideMark/>
          </w:tcPr>
          <w:p w14:paraId="189CF874" w14:textId="77777777" w:rsidR="00E62483" w:rsidRPr="000B4E2C" w:rsidRDefault="00E62483" w:rsidP="00E62483">
            <w:pPr>
              <w:spacing w:line="276" w:lineRule="auto"/>
              <w:jc w:val="right"/>
              <w:rPr>
                <w:b/>
                <w:sz w:val="22"/>
              </w:rPr>
            </w:pPr>
            <w:r w:rsidRPr="000B4E2C">
              <w:rPr>
                <w:b/>
                <w:sz w:val="22"/>
              </w:rPr>
              <w:t>£0.03</w:t>
            </w:r>
          </w:p>
        </w:tc>
        <w:tc>
          <w:tcPr>
            <w:tcW w:w="0" w:type="auto"/>
            <w:shd w:val="clear" w:color="auto" w:fill="auto"/>
            <w:noWrap/>
            <w:hideMark/>
          </w:tcPr>
          <w:p w14:paraId="58F4472A" w14:textId="77777777" w:rsidR="00E62483" w:rsidRPr="000B4E2C" w:rsidRDefault="00E62483" w:rsidP="00E62483">
            <w:pPr>
              <w:spacing w:line="276" w:lineRule="auto"/>
              <w:jc w:val="right"/>
              <w:rPr>
                <w:b/>
                <w:sz w:val="22"/>
              </w:rPr>
            </w:pPr>
            <w:r w:rsidRPr="000B4E2C">
              <w:rPr>
                <w:b/>
                <w:sz w:val="22"/>
              </w:rPr>
              <w:t>£0.03</w:t>
            </w:r>
          </w:p>
        </w:tc>
        <w:tc>
          <w:tcPr>
            <w:tcW w:w="0" w:type="auto"/>
            <w:shd w:val="clear" w:color="auto" w:fill="auto"/>
            <w:noWrap/>
            <w:hideMark/>
          </w:tcPr>
          <w:p w14:paraId="2E5B0BF9" w14:textId="77777777" w:rsidR="00E62483" w:rsidRPr="000B4E2C" w:rsidRDefault="00E62483" w:rsidP="00E62483">
            <w:pPr>
              <w:spacing w:line="276" w:lineRule="auto"/>
              <w:jc w:val="right"/>
              <w:rPr>
                <w:b/>
                <w:sz w:val="22"/>
              </w:rPr>
            </w:pPr>
            <w:r w:rsidRPr="000B4E2C">
              <w:rPr>
                <w:b/>
                <w:sz w:val="22"/>
              </w:rPr>
              <w:t>£0.03</w:t>
            </w:r>
          </w:p>
        </w:tc>
      </w:tr>
      <w:tr w:rsidR="00E62483" w:rsidRPr="000B4E2C" w14:paraId="5E65B538" w14:textId="77777777" w:rsidTr="000B4E2C">
        <w:trPr>
          <w:cantSplit/>
        </w:trPr>
        <w:tc>
          <w:tcPr>
            <w:tcW w:w="0" w:type="auto"/>
            <w:shd w:val="clear" w:color="auto" w:fill="auto"/>
            <w:noWrap/>
          </w:tcPr>
          <w:p w14:paraId="3C7664D4" w14:textId="77777777" w:rsidR="00E62483" w:rsidRPr="000B4E2C" w:rsidRDefault="00E62483" w:rsidP="00E62483">
            <w:pPr>
              <w:spacing w:line="276" w:lineRule="auto"/>
              <w:jc w:val="right"/>
              <w:rPr>
                <w:b/>
                <w:sz w:val="22"/>
              </w:rPr>
            </w:pPr>
            <w:r w:rsidRPr="000B4E2C">
              <w:rPr>
                <w:b/>
                <w:sz w:val="22"/>
              </w:rPr>
              <w:t>TOTAL COST</w:t>
            </w:r>
          </w:p>
        </w:tc>
        <w:tc>
          <w:tcPr>
            <w:tcW w:w="0" w:type="auto"/>
            <w:shd w:val="clear" w:color="auto" w:fill="auto"/>
            <w:noWrap/>
          </w:tcPr>
          <w:p w14:paraId="2506FF98" w14:textId="77777777" w:rsidR="00E62483" w:rsidRPr="000B4E2C" w:rsidRDefault="00E62483" w:rsidP="00E62483">
            <w:pPr>
              <w:spacing w:line="276" w:lineRule="auto"/>
              <w:jc w:val="right"/>
              <w:rPr>
                <w:b/>
                <w:sz w:val="22"/>
              </w:rPr>
            </w:pPr>
            <w:r w:rsidRPr="000B4E2C">
              <w:rPr>
                <w:b/>
                <w:sz w:val="22"/>
              </w:rPr>
              <w:t>£92.26</w:t>
            </w:r>
          </w:p>
        </w:tc>
        <w:tc>
          <w:tcPr>
            <w:tcW w:w="0" w:type="auto"/>
            <w:shd w:val="clear" w:color="auto" w:fill="auto"/>
            <w:noWrap/>
          </w:tcPr>
          <w:p w14:paraId="1888373F" w14:textId="77777777" w:rsidR="00E62483" w:rsidRPr="000B4E2C" w:rsidRDefault="00E62483" w:rsidP="00E62483">
            <w:pPr>
              <w:spacing w:line="276" w:lineRule="auto"/>
              <w:jc w:val="right"/>
              <w:rPr>
                <w:b/>
                <w:sz w:val="22"/>
              </w:rPr>
            </w:pPr>
            <w:r w:rsidRPr="000B4E2C">
              <w:rPr>
                <w:b/>
                <w:sz w:val="22"/>
              </w:rPr>
              <w:t>£59.55</w:t>
            </w:r>
          </w:p>
        </w:tc>
        <w:tc>
          <w:tcPr>
            <w:tcW w:w="0" w:type="auto"/>
            <w:shd w:val="clear" w:color="auto" w:fill="auto"/>
            <w:noWrap/>
          </w:tcPr>
          <w:p w14:paraId="3CBC3B3C" w14:textId="77777777" w:rsidR="00E62483" w:rsidRPr="000B4E2C" w:rsidRDefault="00E62483" w:rsidP="00E62483">
            <w:pPr>
              <w:spacing w:line="276" w:lineRule="auto"/>
              <w:jc w:val="right"/>
              <w:rPr>
                <w:b/>
                <w:sz w:val="22"/>
              </w:rPr>
            </w:pPr>
            <w:r w:rsidRPr="000B4E2C">
              <w:rPr>
                <w:b/>
                <w:sz w:val="22"/>
              </w:rPr>
              <w:t>£66.87</w:t>
            </w:r>
          </w:p>
        </w:tc>
        <w:tc>
          <w:tcPr>
            <w:tcW w:w="0" w:type="auto"/>
            <w:shd w:val="clear" w:color="auto" w:fill="auto"/>
            <w:noWrap/>
          </w:tcPr>
          <w:p w14:paraId="1C39545A" w14:textId="77777777" w:rsidR="00E62483" w:rsidRPr="000B4E2C" w:rsidRDefault="00E62483" w:rsidP="00E62483">
            <w:pPr>
              <w:spacing w:line="276" w:lineRule="auto"/>
              <w:jc w:val="right"/>
              <w:rPr>
                <w:b/>
                <w:sz w:val="22"/>
              </w:rPr>
            </w:pPr>
            <w:r w:rsidRPr="000B4E2C">
              <w:rPr>
                <w:b/>
                <w:sz w:val="22"/>
              </w:rPr>
              <w:t>£69.44</w:t>
            </w:r>
          </w:p>
        </w:tc>
      </w:tr>
    </w:tbl>
    <w:p w14:paraId="7EE60BD8" w14:textId="1CEEE9BC" w:rsidR="00E62483" w:rsidRPr="000B4E2C" w:rsidRDefault="00E62483" w:rsidP="00E62483">
      <w:r w:rsidRPr="000B4E2C">
        <w:rPr>
          <w:vertAlign w:val="superscript"/>
        </w:rPr>
        <w:t xml:space="preserve">A </w:t>
      </w:r>
      <w:r w:rsidRPr="000B4E2C">
        <w:t>Assuming the number of tests performed annually is 1253 (Hall</w:t>
      </w:r>
      <w:r w:rsidRPr="000B4E2C">
        <w:rPr>
          <w:i/>
          <w:color w:val="00B0F0"/>
        </w:rPr>
        <w:t xml:space="preserve"> et al</w:t>
      </w:r>
      <w:r w:rsidRPr="000B4E2C">
        <w:t>. 2018</w:t>
      </w:r>
      <w:r w:rsidRPr="000B4E2C">
        <w:rPr>
          <w:noProof/>
          <w:vertAlign w:val="superscript"/>
        </w:rPr>
        <w:t>99</w:t>
      </w:r>
      <w:r w:rsidRPr="000B4E2C">
        <w:t>), based on throughput at the ICU department of St James teaching hospital, Leeds.</w:t>
      </w:r>
      <w:r w:rsidR="000B4E2C" w:rsidRPr="000B4E2C">
        <w:t xml:space="preserve"> </w:t>
      </w:r>
      <w:r w:rsidRPr="000B4E2C">
        <w:t>This is likely a conservative estimate of throughput that might be observed outside the ICU department and likely reflect the maximum bound of the allocated platform cost per test.</w:t>
      </w:r>
    </w:p>
    <w:p w14:paraId="4962A96E" w14:textId="77777777" w:rsidR="000B4E2C" w:rsidRPr="000B4E2C" w:rsidRDefault="00E62483" w:rsidP="00E62483">
      <w:pPr>
        <w:rPr>
          <w:lang w:eastAsia="en-GB"/>
        </w:rPr>
      </w:pPr>
      <w:r w:rsidRPr="000B4E2C">
        <w:rPr>
          <w:vertAlign w:val="superscript"/>
        </w:rPr>
        <w:t xml:space="preserve">B </w:t>
      </w:r>
      <w:r w:rsidRPr="000B4E2C">
        <w:rPr>
          <w:lang w:eastAsia="en-GB"/>
        </w:rPr>
        <w:t>NephroCheck single use test cartridge;</w:t>
      </w:r>
    </w:p>
    <w:p w14:paraId="5B17A2DE" w14:textId="77777777" w:rsidR="000B4E2C" w:rsidRPr="000B4E2C" w:rsidRDefault="00E62483" w:rsidP="00E62483">
      <w:pPr>
        <w:rPr>
          <w:lang w:eastAsia="en-GB"/>
        </w:rPr>
      </w:pPr>
      <w:r w:rsidRPr="000B4E2C">
        <w:rPr>
          <w:vertAlign w:val="superscript"/>
          <w:lang w:eastAsia="en-GB"/>
        </w:rPr>
        <w:t>C</w:t>
      </w:r>
      <w:r w:rsidRPr="000B4E2C">
        <w:rPr>
          <w:lang w:eastAsia="en-GB"/>
        </w:rPr>
        <w:t xml:space="preserve"> BioPorto NGAL test,</w:t>
      </w:r>
    </w:p>
    <w:p w14:paraId="3528C1A8" w14:textId="690AB6E7" w:rsidR="00E62483" w:rsidRPr="000B4E2C" w:rsidRDefault="00E62483" w:rsidP="00E62483">
      <w:pPr>
        <w:rPr>
          <w:lang w:eastAsia="en-GB"/>
        </w:rPr>
      </w:pPr>
      <w:r w:rsidRPr="000B4E2C">
        <w:rPr>
          <w:vertAlign w:val="superscript"/>
          <w:lang w:eastAsia="en-GB"/>
        </w:rPr>
        <w:t>D</w:t>
      </w:r>
      <w:r w:rsidRPr="000B4E2C">
        <w:rPr>
          <w:lang w:eastAsia="en-GB"/>
        </w:rPr>
        <w:t xml:space="preserve"> ARCHITECT Urine NGAL Test Reagent 100-test kit (produces 80 tests) (Source: Company submitted request for information to NICE)</w:t>
      </w:r>
    </w:p>
    <w:p w14:paraId="779A2451" w14:textId="77777777" w:rsidR="00E62483" w:rsidRPr="000B4E2C" w:rsidRDefault="00E62483" w:rsidP="00E62483">
      <w:pPr>
        <w:rPr>
          <w:lang w:eastAsia="en-GB"/>
        </w:rPr>
      </w:pPr>
      <w:r w:rsidRPr="000B4E2C">
        <w:rPr>
          <w:vertAlign w:val="superscript"/>
          <w:lang w:eastAsia="en-GB"/>
        </w:rPr>
        <w:t>E</w:t>
      </w:r>
      <w:r w:rsidRPr="000B4E2C">
        <w:rPr>
          <w:lang w:eastAsia="en-GB"/>
        </w:rPr>
        <w:t xml:space="preserve"> Alinity Urine NGAL Test Reagent 100-test kit (produces 80 tests) (Source: Company submitted request for information to NICE)</w:t>
      </w:r>
    </w:p>
    <w:p w14:paraId="2CC9BF10" w14:textId="77777777" w:rsidR="000B4E2C" w:rsidRPr="000B4E2C" w:rsidRDefault="00E62483" w:rsidP="00E62483">
      <w:pPr>
        <w:rPr>
          <w:lang w:eastAsia="en-GB"/>
        </w:rPr>
      </w:pPr>
      <w:r w:rsidRPr="000B4E2C">
        <w:rPr>
          <w:vertAlign w:val="superscript"/>
          <w:lang w:eastAsia="en-GB"/>
        </w:rPr>
        <w:t xml:space="preserve">F </w:t>
      </w:r>
      <w:r w:rsidRPr="000B4E2C">
        <w:rPr>
          <w:lang w:eastAsia="en-GB"/>
        </w:rPr>
        <w:t>The cost of Alinity is not included in the model because none of the studies in the clinical effectiveness review evaluated Alinity Urine NGAL.</w:t>
      </w:r>
    </w:p>
    <w:p w14:paraId="4D09D9A8" w14:textId="61006102" w:rsidR="000B4E2C" w:rsidRPr="000B4E2C" w:rsidRDefault="00E62483" w:rsidP="00E62483">
      <w:r w:rsidRPr="000B4E2C">
        <w:rPr>
          <w:vertAlign w:val="superscript"/>
        </w:rPr>
        <w:t xml:space="preserve">G </w:t>
      </w:r>
      <w:r w:rsidRPr="000B4E2C">
        <w:t>£644.44</w:t>
      </w:r>
      <w:r w:rsidR="000B4E2C" w:rsidRPr="000B4E2C">
        <w:rPr>
          <w:color w:val="00B0F0"/>
        </w:rPr>
        <w:t> = </w:t>
      </w:r>
      <w:r w:rsidRPr="000B4E2C">
        <w:t>£3000/((1-(1.035)^</w:t>
      </w:r>
      <w:r w:rsidR="000B4E2C" w:rsidRPr="000B4E2C">
        <w:rPr>
          <w:color w:val="00B0F0"/>
        </w:rPr>
        <w:t>–</w:t>
      </w:r>
      <w:r w:rsidR="000B4E2C" w:rsidRPr="000B4E2C">
        <w:rPr>
          <w:color w:val="00B0F0"/>
        </w:rPr>
        <w:t>5</w:t>
      </w:r>
      <w:r w:rsidRPr="000B4E2C">
        <w:t>)/0.035),</w:t>
      </w:r>
      <w:r w:rsidR="000B4E2C" w:rsidRPr="000B4E2C">
        <w:t xml:space="preserve"> </w:t>
      </w:r>
      <w:r w:rsidRPr="000B4E2C">
        <w:t>where 3.5% is the discount rate applied to the platform cost.</w:t>
      </w:r>
    </w:p>
    <w:p w14:paraId="43C7A339" w14:textId="77777777" w:rsidR="000B4E2C" w:rsidRPr="000B4E2C" w:rsidRDefault="00E62483" w:rsidP="00E62483">
      <w:r w:rsidRPr="000B4E2C">
        <w:rPr>
          <w:vertAlign w:val="superscript"/>
        </w:rPr>
        <w:t>H</w:t>
      </w:r>
      <w:r w:rsidRPr="000B4E2C">
        <w:t xml:space="preserve"> The detailed calculations on the maintenance and consumables costs are provided in Appendix 12.</w:t>
      </w:r>
    </w:p>
    <w:p w14:paraId="47E37D26" w14:textId="42140B61" w:rsidR="000B4E2C" w:rsidRPr="000B4E2C" w:rsidRDefault="00E62483" w:rsidP="007D5F15">
      <w:r w:rsidRPr="000B4E2C">
        <w:rPr>
          <w:vertAlign w:val="superscript"/>
        </w:rPr>
        <w:t xml:space="preserve">I </w:t>
      </w:r>
      <w:r w:rsidRPr="000B4E2C">
        <w:t>Staff training time for all tests was based on information provided by the manufacturers where possible. For NephroCheck, training takes 1</w:t>
      </w:r>
      <w:r w:rsidR="000B4E2C" w:rsidRPr="000B4E2C">
        <w:rPr>
          <w:color w:val="00B0F0"/>
        </w:rPr>
        <w:t>–</w:t>
      </w:r>
      <w:r w:rsidR="000B4E2C" w:rsidRPr="000B4E2C">
        <w:rPr>
          <w:color w:val="00B0F0"/>
        </w:rPr>
        <w:t>2</w:t>
      </w:r>
      <w:r w:rsidRPr="000B4E2C">
        <w:t xml:space="preserve"> hours, therefore, we assumed that on average training would take 1.5 hours (NICE</w:t>
      </w:r>
      <w:r w:rsidR="000B4E2C" w:rsidRPr="000B4E2C">
        <w:rPr>
          <w:color w:val="00B0F0"/>
        </w:rPr>
        <w:t>’</w:t>
      </w:r>
      <w:r w:rsidRPr="000B4E2C">
        <w:t xml:space="preserve">s request for information document). Training was assumed 30 minutes for all NGAL tests because the manufactures stated that only </w:t>
      </w:r>
      <w:r w:rsidR="000B4E2C" w:rsidRPr="000B4E2C">
        <w:rPr>
          <w:color w:val="00B0F0"/>
        </w:rPr>
        <w:t>“</w:t>
      </w:r>
      <w:r w:rsidR="0072128A" w:rsidRPr="000B4E2C">
        <w:t>limited training</w:t>
      </w:r>
      <w:r w:rsidR="000B4E2C" w:rsidRPr="000B4E2C">
        <w:rPr>
          <w:color w:val="00B0F0"/>
        </w:rPr>
        <w:t>”</w:t>
      </w:r>
      <w:r w:rsidRPr="000B4E2C">
        <w:t xml:space="preserve"> (BioPorto) or time </w:t>
      </w:r>
      <w:r w:rsidR="0072128A" w:rsidRPr="000B4E2C">
        <w:rPr>
          <w:color w:val="00B0F0"/>
          <w:highlight w:val="green"/>
        </w:rPr>
        <w:t>“</w:t>
      </w:r>
      <w:r w:rsidR="0072128A" w:rsidRPr="000B4E2C">
        <w:rPr>
          <w:highlight w:val="green"/>
        </w:rPr>
        <w:t>to read the instructions for use</w:t>
      </w:r>
      <w:r w:rsidR="0072128A" w:rsidRPr="000B4E2C">
        <w:rPr>
          <w:color w:val="00B0F0"/>
          <w:highlight w:val="green"/>
        </w:rPr>
        <w:t>”</w:t>
      </w:r>
      <w:r w:rsidRPr="000B4E2C">
        <w:t xml:space="preserve"> (Abbott) would be required.</w:t>
      </w:r>
      <w:r w:rsidR="000B4E2C" w:rsidRPr="000B4E2C">
        <w:t xml:space="preserve"> </w:t>
      </w:r>
      <w:r w:rsidRPr="000B4E2C">
        <w:t>The total training cost was based on the total cost of training staff that would be conducting and interpreting the test results.</w:t>
      </w:r>
    </w:p>
    <w:p w14:paraId="154E1C66" w14:textId="773503E6" w:rsidR="00B36483" w:rsidRPr="000B4E2C" w:rsidRDefault="00B36483" w:rsidP="00B36483">
      <w:pPr>
        <w:rPr>
          <w:b/>
          <w:bCs/>
        </w:rPr>
        <w:sectPr w:rsidR="00B36483" w:rsidRPr="000B4E2C" w:rsidSect="000B4E2C">
          <w:footerReference w:type="default" r:id="rId12"/>
          <w:footerReference w:type="first" r:id="rId13"/>
          <w:pgSz w:w="11906" w:h="16838" w:code="9"/>
          <w:pgMar w:top="1797" w:right="1440" w:bottom="1797" w:left="1440" w:header="709" w:footer="709"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046"/>
        <w:gridCol w:w="2130"/>
        <w:gridCol w:w="926"/>
        <w:gridCol w:w="3210"/>
      </w:tblGrid>
      <w:tr w:rsidR="00B36483" w:rsidRPr="000B4E2C" w14:paraId="1E66C478" w14:textId="77777777" w:rsidTr="000B4E2C">
        <w:trPr>
          <w:cantSplit/>
        </w:trPr>
        <w:tc>
          <w:tcPr>
            <w:tcW w:w="0" w:type="auto"/>
            <w:shd w:val="clear" w:color="auto" w:fill="auto"/>
            <w:hideMark/>
          </w:tcPr>
          <w:p w14:paraId="6EC3F0D1" w14:textId="7F9F174F" w:rsidR="00B36483" w:rsidRPr="000B4E2C" w:rsidRDefault="00B36483" w:rsidP="000B4E2C">
            <w:pPr>
              <w:rPr>
                <w:b/>
                <w:bCs/>
              </w:rPr>
            </w:pPr>
            <w:r w:rsidRPr="000B4E2C">
              <w:rPr>
                <w:b/>
                <w:bCs/>
              </w:rPr>
              <w:lastRenderedPageBreak/>
              <w:t>Resource use</w:t>
            </w:r>
          </w:p>
        </w:tc>
        <w:tc>
          <w:tcPr>
            <w:tcW w:w="0" w:type="auto"/>
            <w:shd w:val="clear" w:color="auto" w:fill="auto"/>
          </w:tcPr>
          <w:p w14:paraId="6DFA6341" w14:textId="77777777" w:rsidR="00B36483" w:rsidRPr="000B4E2C" w:rsidRDefault="00B36483" w:rsidP="000B4E2C">
            <w:pPr>
              <w:rPr>
                <w:b/>
                <w:bCs/>
              </w:rPr>
            </w:pPr>
            <w:r w:rsidRPr="000B4E2C">
              <w:rPr>
                <w:b/>
                <w:bCs/>
              </w:rPr>
              <w:t>Assumptions</w:t>
            </w:r>
          </w:p>
        </w:tc>
        <w:tc>
          <w:tcPr>
            <w:tcW w:w="0" w:type="auto"/>
            <w:shd w:val="clear" w:color="auto" w:fill="auto"/>
          </w:tcPr>
          <w:p w14:paraId="39BEB305" w14:textId="77777777" w:rsidR="00B36483" w:rsidRPr="000B4E2C" w:rsidRDefault="00B36483" w:rsidP="000B4E2C">
            <w:pPr>
              <w:rPr>
                <w:b/>
                <w:bCs/>
              </w:rPr>
            </w:pPr>
            <w:r w:rsidRPr="000B4E2C">
              <w:rPr>
                <w:b/>
                <w:bCs/>
              </w:rPr>
              <w:t xml:space="preserve">Care bundle cost </w:t>
            </w:r>
          </w:p>
        </w:tc>
        <w:tc>
          <w:tcPr>
            <w:tcW w:w="0" w:type="auto"/>
            <w:shd w:val="clear" w:color="auto" w:fill="auto"/>
          </w:tcPr>
          <w:p w14:paraId="63E68AC6" w14:textId="77777777" w:rsidR="00B36483" w:rsidRPr="000B4E2C" w:rsidRDefault="00B36483" w:rsidP="000B4E2C">
            <w:pPr>
              <w:rPr>
                <w:b/>
                <w:bCs/>
              </w:rPr>
            </w:pPr>
            <w:r w:rsidRPr="000B4E2C">
              <w:rPr>
                <w:b/>
                <w:bCs/>
              </w:rPr>
              <w:t>Source</w:t>
            </w:r>
          </w:p>
        </w:tc>
      </w:tr>
      <w:tr w:rsidR="00B36483" w:rsidRPr="000B4E2C" w14:paraId="7E9E23AC" w14:textId="77777777" w:rsidTr="000B4E2C">
        <w:trPr>
          <w:cantSplit/>
        </w:trPr>
        <w:tc>
          <w:tcPr>
            <w:tcW w:w="0" w:type="auto"/>
            <w:gridSpan w:val="4"/>
            <w:shd w:val="clear" w:color="auto" w:fill="auto"/>
          </w:tcPr>
          <w:p w14:paraId="678BF0B4" w14:textId="77777777" w:rsidR="00B36483" w:rsidRPr="000B4E2C" w:rsidRDefault="00B36483" w:rsidP="000B4E2C">
            <w:pPr>
              <w:rPr>
                <w:b/>
                <w:bCs/>
              </w:rPr>
            </w:pPr>
            <w:r w:rsidRPr="000B4E2C">
              <w:rPr>
                <w:b/>
                <w:bCs/>
              </w:rPr>
              <w:t>Intravenous fluids</w:t>
            </w:r>
          </w:p>
        </w:tc>
      </w:tr>
      <w:tr w:rsidR="00B36483" w:rsidRPr="000B4E2C" w14:paraId="4567810F" w14:textId="77777777" w:rsidTr="000B4E2C">
        <w:trPr>
          <w:cantSplit/>
        </w:trPr>
        <w:tc>
          <w:tcPr>
            <w:tcW w:w="0" w:type="auto"/>
            <w:shd w:val="clear" w:color="auto" w:fill="auto"/>
            <w:hideMark/>
          </w:tcPr>
          <w:p w14:paraId="13CB681C" w14:textId="77777777" w:rsidR="00B36483" w:rsidRPr="000B4E2C" w:rsidRDefault="00B36483" w:rsidP="000B4E2C">
            <w:pPr>
              <w:rPr>
                <w:b/>
                <w:bCs/>
              </w:rPr>
            </w:pPr>
            <w:r w:rsidRPr="000B4E2C">
              <w:t>Intravenous sodium chloride 0.9% infusion 2litre bags (Terumo BCT Ltd)</w:t>
            </w:r>
          </w:p>
        </w:tc>
        <w:tc>
          <w:tcPr>
            <w:tcW w:w="0" w:type="auto"/>
            <w:shd w:val="clear" w:color="auto" w:fill="auto"/>
          </w:tcPr>
          <w:p w14:paraId="7D65BFED" w14:textId="77777777" w:rsidR="00B36483" w:rsidRPr="000B4E2C" w:rsidRDefault="00B36483" w:rsidP="000B4E2C">
            <w:r w:rsidRPr="000B4E2C">
              <w:t>1L per hour for 3 hours, thereafter 2L per day for 3 days (5 2 litre bags)</w:t>
            </w:r>
          </w:p>
        </w:tc>
        <w:tc>
          <w:tcPr>
            <w:tcW w:w="0" w:type="auto"/>
            <w:shd w:val="clear" w:color="auto" w:fill="auto"/>
          </w:tcPr>
          <w:p w14:paraId="4380EB6C" w14:textId="77777777" w:rsidR="00B36483" w:rsidRPr="000B4E2C" w:rsidRDefault="00B36483" w:rsidP="000B4E2C">
            <w:r w:rsidRPr="000B4E2C">
              <w:t>£22.14</w:t>
            </w:r>
          </w:p>
        </w:tc>
        <w:tc>
          <w:tcPr>
            <w:tcW w:w="0" w:type="auto"/>
            <w:shd w:val="clear" w:color="auto" w:fill="auto"/>
          </w:tcPr>
          <w:p w14:paraId="43D45FAE" w14:textId="0F264840" w:rsidR="00B36483" w:rsidRPr="000B4E2C" w:rsidRDefault="00B36483" w:rsidP="000B4E2C">
            <w:r w:rsidRPr="000B4E2C">
              <w:t>Clinical expert opinion, BNF 2019</w:t>
            </w:r>
            <w:r w:rsidRPr="000B4E2C">
              <w:rPr>
                <w:noProof/>
                <w:vertAlign w:val="superscript"/>
              </w:rPr>
              <w:t>126</w:t>
            </w:r>
          </w:p>
        </w:tc>
      </w:tr>
      <w:tr w:rsidR="00B36483" w:rsidRPr="000B4E2C" w14:paraId="3CEB90CD" w14:textId="77777777" w:rsidTr="000B4E2C">
        <w:trPr>
          <w:cantSplit/>
        </w:trPr>
        <w:tc>
          <w:tcPr>
            <w:tcW w:w="0" w:type="auto"/>
            <w:shd w:val="clear" w:color="auto" w:fill="auto"/>
            <w:hideMark/>
          </w:tcPr>
          <w:p w14:paraId="2ECEF70A" w14:textId="77777777" w:rsidR="00B36483" w:rsidRPr="000B4E2C" w:rsidRDefault="00B36483" w:rsidP="000B4E2C">
            <w:pPr>
              <w:rPr>
                <w:b/>
                <w:bCs/>
              </w:rPr>
            </w:pPr>
            <w:r w:rsidRPr="000B4E2C">
              <w:t>Band 6 nurse</w:t>
            </w:r>
          </w:p>
        </w:tc>
        <w:tc>
          <w:tcPr>
            <w:tcW w:w="0" w:type="auto"/>
            <w:shd w:val="clear" w:color="auto" w:fill="auto"/>
          </w:tcPr>
          <w:p w14:paraId="54E80543" w14:textId="77777777" w:rsidR="00B36483" w:rsidRPr="000B4E2C" w:rsidRDefault="00B36483" w:rsidP="000B4E2C">
            <w:r w:rsidRPr="000B4E2C">
              <w:t>Initial fluid: 10 minutes</w:t>
            </w:r>
          </w:p>
        </w:tc>
        <w:tc>
          <w:tcPr>
            <w:tcW w:w="0" w:type="auto"/>
            <w:shd w:val="clear" w:color="auto" w:fill="auto"/>
          </w:tcPr>
          <w:p w14:paraId="641EB1E1" w14:textId="77777777" w:rsidR="00B36483" w:rsidRPr="000B4E2C" w:rsidRDefault="00B36483" w:rsidP="000B4E2C">
            <w:r w:rsidRPr="000B4E2C">
              <w:t>£5.33</w:t>
            </w:r>
          </w:p>
        </w:tc>
        <w:tc>
          <w:tcPr>
            <w:tcW w:w="0" w:type="auto"/>
            <w:shd w:val="clear" w:color="auto" w:fill="auto"/>
          </w:tcPr>
          <w:p w14:paraId="089AFD14" w14:textId="52AD2EE4" w:rsidR="00B36483" w:rsidRPr="000B4E2C" w:rsidRDefault="00B36483" w:rsidP="000B4E2C">
            <w:r w:rsidRPr="000B4E2C">
              <w:t>Clinical expert opinion, PSSRU 2018</w:t>
            </w:r>
            <w:r w:rsidR="00280A97" w:rsidRPr="000B4E2C">
              <w:rPr>
                <w:noProof/>
                <w:vertAlign w:val="superscript"/>
              </w:rPr>
              <w:t>127</w:t>
            </w:r>
          </w:p>
        </w:tc>
      </w:tr>
      <w:tr w:rsidR="00B36483" w:rsidRPr="000B4E2C" w14:paraId="18AC83A4" w14:textId="77777777" w:rsidTr="000B4E2C">
        <w:trPr>
          <w:cantSplit/>
        </w:trPr>
        <w:tc>
          <w:tcPr>
            <w:tcW w:w="0" w:type="auto"/>
            <w:shd w:val="clear" w:color="auto" w:fill="auto"/>
            <w:hideMark/>
          </w:tcPr>
          <w:p w14:paraId="341EEC94" w14:textId="77777777" w:rsidR="00B36483" w:rsidRPr="000B4E2C" w:rsidRDefault="00B36483" w:rsidP="000B4E2C">
            <w:pPr>
              <w:rPr>
                <w:b/>
                <w:bCs/>
              </w:rPr>
            </w:pPr>
            <w:r w:rsidRPr="000B4E2C">
              <w:t>Band 6 nurse</w:t>
            </w:r>
          </w:p>
        </w:tc>
        <w:tc>
          <w:tcPr>
            <w:tcW w:w="0" w:type="auto"/>
            <w:shd w:val="clear" w:color="auto" w:fill="auto"/>
          </w:tcPr>
          <w:p w14:paraId="2166B705" w14:textId="77777777" w:rsidR="00B36483" w:rsidRPr="000B4E2C" w:rsidRDefault="00B36483" w:rsidP="000B4E2C">
            <w:r w:rsidRPr="000B4E2C">
              <w:t>Fluid replacement: 5 minutes</w:t>
            </w:r>
          </w:p>
        </w:tc>
        <w:tc>
          <w:tcPr>
            <w:tcW w:w="0" w:type="auto"/>
            <w:shd w:val="clear" w:color="auto" w:fill="auto"/>
          </w:tcPr>
          <w:p w14:paraId="7C87F8B4" w14:textId="77777777" w:rsidR="00B36483" w:rsidRPr="000B4E2C" w:rsidRDefault="00B36483" w:rsidP="000B4E2C">
            <w:r w:rsidRPr="000B4E2C">
              <w:t>£10.67</w:t>
            </w:r>
          </w:p>
        </w:tc>
        <w:tc>
          <w:tcPr>
            <w:tcW w:w="0" w:type="auto"/>
            <w:shd w:val="clear" w:color="auto" w:fill="auto"/>
          </w:tcPr>
          <w:p w14:paraId="075D12F2" w14:textId="57439DDA" w:rsidR="00B36483" w:rsidRPr="000B4E2C" w:rsidRDefault="00B36483" w:rsidP="000B4E2C">
            <w:r w:rsidRPr="000B4E2C">
              <w:t>Clinical expert opinion, PSSRU 2018</w:t>
            </w:r>
            <w:r w:rsidR="00280A97" w:rsidRPr="000B4E2C">
              <w:rPr>
                <w:noProof/>
                <w:vertAlign w:val="superscript"/>
              </w:rPr>
              <w:t>127</w:t>
            </w:r>
          </w:p>
        </w:tc>
      </w:tr>
      <w:tr w:rsidR="00B36483" w:rsidRPr="000B4E2C" w14:paraId="7AA9611B" w14:textId="77777777" w:rsidTr="000B4E2C">
        <w:trPr>
          <w:cantSplit/>
        </w:trPr>
        <w:tc>
          <w:tcPr>
            <w:tcW w:w="0" w:type="auto"/>
            <w:gridSpan w:val="4"/>
            <w:shd w:val="clear" w:color="auto" w:fill="auto"/>
          </w:tcPr>
          <w:p w14:paraId="2D42E71F" w14:textId="77777777" w:rsidR="00B36483" w:rsidRPr="000B4E2C" w:rsidRDefault="00B36483" w:rsidP="000B4E2C">
            <w:r w:rsidRPr="000B4E2C">
              <w:rPr>
                <w:b/>
              </w:rPr>
              <w:t>Nephrologist review</w:t>
            </w:r>
          </w:p>
        </w:tc>
      </w:tr>
      <w:tr w:rsidR="00B36483" w:rsidRPr="000B4E2C" w14:paraId="24738AB6" w14:textId="77777777" w:rsidTr="000B4E2C">
        <w:trPr>
          <w:cantSplit/>
        </w:trPr>
        <w:tc>
          <w:tcPr>
            <w:tcW w:w="0" w:type="auto"/>
            <w:shd w:val="clear" w:color="auto" w:fill="auto"/>
            <w:hideMark/>
          </w:tcPr>
          <w:p w14:paraId="4EFF48A3" w14:textId="77777777" w:rsidR="00B36483" w:rsidRPr="000B4E2C" w:rsidRDefault="00B36483" w:rsidP="000B4E2C">
            <w:pPr>
              <w:rPr>
                <w:b/>
                <w:bCs/>
              </w:rPr>
            </w:pPr>
            <w:r w:rsidRPr="000B4E2C">
              <w:t xml:space="preserve"> Hospital-based doctor, medical consultant </w:t>
            </w:r>
          </w:p>
        </w:tc>
        <w:tc>
          <w:tcPr>
            <w:tcW w:w="0" w:type="auto"/>
            <w:shd w:val="clear" w:color="auto" w:fill="auto"/>
          </w:tcPr>
          <w:p w14:paraId="32926A8F" w14:textId="77777777" w:rsidR="00B36483" w:rsidRPr="000B4E2C" w:rsidRDefault="00B36483" w:rsidP="000B4E2C">
            <w:r w:rsidRPr="000B4E2C">
              <w:t>30 minutes</w:t>
            </w:r>
          </w:p>
        </w:tc>
        <w:tc>
          <w:tcPr>
            <w:tcW w:w="0" w:type="auto"/>
            <w:shd w:val="clear" w:color="auto" w:fill="auto"/>
          </w:tcPr>
          <w:p w14:paraId="360EC585" w14:textId="77777777" w:rsidR="00B36483" w:rsidRPr="000B4E2C" w:rsidRDefault="00B36483" w:rsidP="000B4E2C">
            <w:r w:rsidRPr="000B4E2C">
              <w:t>£54.00</w:t>
            </w:r>
          </w:p>
        </w:tc>
        <w:tc>
          <w:tcPr>
            <w:tcW w:w="0" w:type="auto"/>
            <w:shd w:val="clear" w:color="auto" w:fill="auto"/>
          </w:tcPr>
          <w:p w14:paraId="6FBC436C" w14:textId="7CFB1C9F" w:rsidR="00B36483" w:rsidRPr="000B4E2C" w:rsidRDefault="00B36483" w:rsidP="000B4E2C">
            <w:r w:rsidRPr="000B4E2C">
              <w:t>Clinical expert opinion, PSSRU 2018</w:t>
            </w:r>
            <w:r w:rsidR="00280A97" w:rsidRPr="000B4E2C">
              <w:rPr>
                <w:noProof/>
                <w:vertAlign w:val="superscript"/>
              </w:rPr>
              <w:t>127</w:t>
            </w:r>
          </w:p>
        </w:tc>
      </w:tr>
      <w:tr w:rsidR="00B36483" w:rsidRPr="000B4E2C" w14:paraId="4A075E94" w14:textId="77777777" w:rsidTr="000B4E2C">
        <w:trPr>
          <w:cantSplit/>
        </w:trPr>
        <w:tc>
          <w:tcPr>
            <w:tcW w:w="0" w:type="auto"/>
            <w:gridSpan w:val="4"/>
            <w:shd w:val="clear" w:color="auto" w:fill="auto"/>
          </w:tcPr>
          <w:p w14:paraId="7F9D20FC" w14:textId="77777777" w:rsidR="00B36483" w:rsidRPr="000B4E2C" w:rsidRDefault="00B36483" w:rsidP="000B4E2C">
            <w:r w:rsidRPr="000B4E2C">
              <w:rPr>
                <w:b/>
              </w:rPr>
              <w:t>Pharmacist review</w:t>
            </w:r>
          </w:p>
        </w:tc>
      </w:tr>
      <w:tr w:rsidR="00B36483" w:rsidRPr="000B4E2C" w14:paraId="69A5F3F2" w14:textId="77777777" w:rsidTr="000B4E2C">
        <w:trPr>
          <w:cantSplit/>
        </w:trPr>
        <w:tc>
          <w:tcPr>
            <w:tcW w:w="0" w:type="auto"/>
            <w:shd w:val="clear" w:color="auto" w:fill="auto"/>
            <w:hideMark/>
          </w:tcPr>
          <w:p w14:paraId="17C4377F" w14:textId="77777777" w:rsidR="00B36483" w:rsidRPr="000B4E2C" w:rsidRDefault="00B36483" w:rsidP="000B4E2C">
            <w:pPr>
              <w:rPr>
                <w:b/>
                <w:bCs/>
              </w:rPr>
            </w:pPr>
            <w:r w:rsidRPr="000B4E2C">
              <w:t>Pharmacist, band 6 AfC</w:t>
            </w:r>
          </w:p>
        </w:tc>
        <w:tc>
          <w:tcPr>
            <w:tcW w:w="0" w:type="auto"/>
            <w:shd w:val="clear" w:color="auto" w:fill="auto"/>
          </w:tcPr>
          <w:p w14:paraId="5D91D3E8" w14:textId="77777777" w:rsidR="00B36483" w:rsidRPr="000B4E2C" w:rsidRDefault="00B36483" w:rsidP="000B4E2C">
            <w:r w:rsidRPr="000B4E2C">
              <w:t>20 minutes</w:t>
            </w:r>
          </w:p>
        </w:tc>
        <w:tc>
          <w:tcPr>
            <w:tcW w:w="0" w:type="auto"/>
            <w:shd w:val="clear" w:color="auto" w:fill="auto"/>
          </w:tcPr>
          <w:p w14:paraId="3E7B6424" w14:textId="77777777" w:rsidR="00B36483" w:rsidRPr="000B4E2C" w:rsidRDefault="00B36483" w:rsidP="000B4E2C">
            <w:r w:rsidRPr="000B4E2C">
              <w:t>£15</w:t>
            </w:r>
          </w:p>
        </w:tc>
        <w:tc>
          <w:tcPr>
            <w:tcW w:w="0" w:type="auto"/>
            <w:shd w:val="clear" w:color="auto" w:fill="auto"/>
          </w:tcPr>
          <w:p w14:paraId="1EBD9265" w14:textId="7D400E88" w:rsidR="00B36483" w:rsidRPr="000B4E2C" w:rsidRDefault="00B36483" w:rsidP="000B4E2C">
            <w:r w:rsidRPr="000B4E2C">
              <w:t>Clinical expert opinion, PSSRU 2018</w:t>
            </w:r>
            <w:r w:rsidR="00280A97" w:rsidRPr="000B4E2C">
              <w:rPr>
                <w:noProof/>
                <w:vertAlign w:val="superscript"/>
              </w:rPr>
              <w:t>127</w:t>
            </w:r>
          </w:p>
        </w:tc>
      </w:tr>
      <w:tr w:rsidR="00B36483" w:rsidRPr="000B4E2C" w14:paraId="0F4380C6" w14:textId="77777777" w:rsidTr="000B4E2C">
        <w:trPr>
          <w:cantSplit/>
        </w:trPr>
        <w:tc>
          <w:tcPr>
            <w:tcW w:w="0" w:type="auto"/>
            <w:gridSpan w:val="4"/>
            <w:shd w:val="clear" w:color="auto" w:fill="auto"/>
            <w:hideMark/>
          </w:tcPr>
          <w:p w14:paraId="1E8C8127" w14:textId="774133BF" w:rsidR="00B36483" w:rsidRPr="000B4E2C" w:rsidRDefault="00B36483" w:rsidP="000B4E2C">
            <w:r w:rsidRPr="000B4E2C">
              <w:rPr>
                <w:b/>
                <w:bCs/>
              </w:rPr>
              <w:t>Stop blood pressure medication</w:t>
            </w:r>
            <w:r w:rsidR="000B4E2C" w:rsidRPr="000B4E2C">
              <w:rPr>
                <w:b/>
                <w:bCs/>
              </w:rPr>
              <w:t xml:space="preserve"> </w:t>
            </w:r>
          </w:p>
        </w:tc>
      </w:tr>
      <w:tr w:rsidR="00B36483" w:rsidRPr="000B4E2C" w14:paraId="156329B6" w14:textId="77777777" w:rsidTr="000B4E2C">
        <w:trPr>
          <w:cantSplit/>
        </w:trPr>
        <w:tc>
          <w:tcPr>
            <w:tcW w:w="0" w:type="auto"/>
            <w:shd w:val="clear" w:color="auto" w:fill="auto"/>
          </w:tcPr>
          <w:p w14:paraId="2BAFE9F9" w14:textId="77777777" w:rsidR="00B36483" w:rsidRPr="000B4E2C" w:rsidRDefault="00B36483" w:rsidP="000B4E2C">
            <w:pPr>
              <w:rPr>
                <w:b/>
                <w:bCs/>
              </w:rPr>
            </w:pPr>
          </w:p>
        </w:tc>
        <w:tc>
          <w:tcPr>
            <w:tcW w:w="0" w:type="auto"/>
            <w:shd w:val="clear" w:color="auto" w:fill="auto"/>
          </w:tcPr>
          <w:p w14:paraId="16AFB839" w14:textId="77777777" w:rsidR="00B36483" w:rsidRPr="000B4E2C" w:rsidRDefault="00B36483" w:rsidP="000B4E2C">
            <w:r w:rsidRPr="000B4E2C">
              <w:t>Stop blood pressure medication for 3 days</w:t>
            </w:r>
          </w:p>
        </w:tc>
        <w:tc>
          <w:tcPr>
            <w:tcW w:w="0" w:type="auto"/>
            <w:shd w:val="clear" w:color="auto" w:fill="auto"/>
          </w:tcPr>
          <w:p w14:paraId="6E3B101C" w14:textId="77777777" w:rsidR="00B36483" w:rsidRPr="000B4E2C" w:rsidRDefault="00B36483" w:rsidP="000B4E2C">
            <w:r w:rsidRPr="000B4E2C">
              <w:t>-£0.78</w:t>
            </w:r>
          </w:p>
        </w:tc>
        <w:tc>
          <w:tcPr>
            <w:tcW w:w="0" w:type="auto"/>
            <w:shd w:val="clear" w:color="auto" w:fill="auto"/>
          </w:tcPr>
          <w:p w14:paraId="6AE60538" w14:textId="789C27DC" w:rsidR="00B36483" w:rsidRPr="000B4E2C" w:rsidRDefault="00B36483" w:rsidP="000B4E2C">
            <w:r w:rsidRPr="000B4E2C">
              <w:t>Clinical expert opinion, BNF 2019</w:t>
            </w:r>
            <w:r w:rsidRPr="000B4E2C">
              <w:rPr>
                <w:noProof/>
                <w:vertAlign w:val="superscript"/>
              </w:rPr>
              <w:t>126</w:t>
            </w:r>
            <w:r w:rsidRPr="000B4E2C">
              <w:t>. Based on the annual cost of blood pressure medication (See Appendix 1</w:t>
            </w:r>
            <w:r w:rsidR="00134368" w:rsidRPr="000B4E2C">
              <w:t>5</w:t>
            </w:r>
            <w:r w:rsidRPr="000B4E2C">
              <w:t xml:space="preserve">,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36</w:t>
            </w:r>
            <w:r w:rsidRPr="000B4E2C">
              <w:t>), and calculated over 3 days.</w:t>
            </w:r>
          </w:p>
        </w:tc>
      </w:tr>
      <w:tr w:rsidR="00B36483" w:rsidRPr="000B4E2C" w14:paraId="4E35C3A3" w14:textId="77777777" w:rsidTr="000B4E2C">
        <w:trPr>
          <w:cantSplit/>
        </w:trPr>
        <w:tc>
          <w:tcPr>
            <w:tcW w:w="0" w:type="auto"/>
            <w:shd w:val="clear" w:color="auto" w:fill="auto"/>
            <w:hideMark/>
          </w:tcPr>
          <w:p w14:paraId="1843E20B" w14:textId="77777777" w:rsidR="00B36483" w:rsidRPr="000B4E2C" w:rsidRDefault="00B36483" w:rsidP="000B4E2C">
            <w:pPr>
              <w:rPr>
                <w:b/>
                <w:bCs/>
              </w:rPr>
            </w:pPr>
            <w:r w:rsidRPr="000B4E2C">
              <w:rPr>
                <w:b/>
                <w:bCs/>
              </w:rPr>
              <w:t>Total cost for 3 additional days of the KDIGO care bundle</w:t>
            </w:r>
          </w:p>
        </w:tc>
        <w:tc>
          <w:tcPr>
            <w:tcW w:w="0" w:type="auto"/>
            <w:shd w:val="clear" w:color="auto" w:fill="auto"/>
            <w:hideMark/>
          </w:tcPr>
          <w:p w14:paraId="7F4378F0" w14:textId="6CA46A7B" w:rsidR="00B36483" w:rsidRPr="000B4E2C" w:rsidRDefault="000B4E2C" w:rsidP="000B4E2C">
            <w:r w:rsidRPr="000B4E2C">
              <w:t xml:space="preserve"> </w:t>
            </w:r>
          </w:p>
        </w:tc>
        <w:tc>
          <w:tcPr>
            <w:tcW w:w="0" w:type="auto"/>
            <w:shd w:val="clear" w:color="auto" w:fill="auto"/>
            <w:hideMark/>
          </w:tcPr>
          <w:p w14:paraId="5A839130" w14:textId="61D1AE0B" w:rsidR="00B36483" w:rsidRPr="000B4E2C" w:rsidRDefault="000B4E2C" w:rsidP="000B4E2C">
            <w:r w:rsidRPr="000B4E2C">
              <w:t xml:space="preserve"> </w:t>
            </w:r>
            <w:r w:rsidR="00B36483" w:rsidRPr="000B4E2C">
              <w:rPr>
                <w:b/>
                <w:bCs/>
              </w:rPr>
              <w:t xml:space="preserve">£106.36 </w:t>
            </w:r>
          </w:p>
        </w:tc>
        <w:tc>
          <w:tcPr>
            <w:tcW w:w="0" w:type="auto"/>
            <w:shd w:val="clear" w:color="auto" w:fill="auto"/>
            <w:hideMark/>
          </w:tcPr>
          <w:p w14:paraId="0465BDFA" w14:textId="77777777" w:rsidR="00B36483" w:rsidRPr="000B4E2C" w:rsidRDefault="00B36483" w:rsidP="000B4E2C">
            <w:pPr>
              <w:rPr>
                <w:b/>
                <w:bCs/>
              </w:rPr>
            </w:pPr>
          </w:p>
        </w:tc>
      </w:tr>
    </w:tbl>
    <w:p w14:paraId="59FFA8E3" w14:textId="35A513D9" w:rsidR="000B4E2C" w:rsidRPr="000B4E2C" w:rsidRDefault="000B4E2C" w:rsidP="00B36483">
      <w:pPr>
        <w:pStyle w:val="Heading2"/>
      </w:pPr>
      <w:r w:rsidRPr="000B4E2C">
        <w:rPr>
          <w:i/>
          <w:color w:val="FF0000"/>
        </w:rPr>
        <w:lastRenderedPageBreak/>
        <w:t>T</w:t>
      </w:r>
      <w:r w:rsidRPr="000B4E2C">
        <w:rPr>
          <w:i/>
          <w:color w:val="FF0000"/>
        </w:rPr>
        <w:t>able</w:t>
      </w:r>
      <w:r w:rsidRPr="000B4E2C">
        <w:rPr>
          <w:i/>
          <w:color w:val="FF0000"/>
        </w:rPr>
        <w:t xml:space="preserve"> </w:t>
      </w:r>
      <w:r w:rsidRPr="000B4E2C">
        <w:rPr>
          <w:i/>
          <w:color w:val="FF0000"/>
        </w:rPr>
        <w:t>32</w:t>
      </w:r>
      <w:r w:rsidRPr="000B4E2C">
        <w:t xml:space="preserve"> </w:t>
      </w:r>
      <w:r w:rsidR="00B36483" w:rsidRPr="000B4E2C">
        <w:t>Care bundle costs</w:t>
      </w:r>
    </w:p>
    <w:p w14:paraId="5C22F4D7" w14:textId="2E5A76DC" w:rsidR="002F0133" w:rsidRPr="000B4E2C" w:rsidRDefault="000B4E2C" w:rsidP="008A7464">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33</w:t>
      </w:r>
      <w:r w:rsidRPr="000B4E2C">
        <w:t xml:space="preserve"> </w:t>
      </w:r>
      <w:r w:rsidR="002F0133" w:rsidRPr="000B4E2C">
        <w:t>Summary of studies identified from supplementary searches of the literature post-Hall</w:t>
      </w:r>
    </w:p>
    <w:tbl>
      <w:tblPr>
        <w:tblW w:w="0" w:type="auto"/>
        <w:tblInd w:w="-856" w:type="dxa"/>
        <w:tblCellMar>
          <w:top w:w="40" w:type="dxa"/>
          <w:left w:w="60" w:type="dxa"/>
          <w:bottom w:w="40" w:type="dxa"/>
          <w:right w:w="60" w:type="dxa"/>
        </w:tblCellMar>
        <w:tblLook w:val="04A0" w:firstRow="1" w:lastRow="0" w:firstColumn="1" w:lastColumn="0" w:noHBand="0" w:noVBand="1"/>
      </w:tblPr>
      <w:tblGrid>
        <w:gridCol w:w="619"/>
        <w:gridCol w:w="335"/>
        <w:gridCol w:w="675"/>
        <w:gridCol w:w="613"/>
        <w:gridCol w:w="562"/>
        <w:gridCol w:w="806"/>
        <w:gridCol w:w="664"/>
        <w:gridCol w:w="463"/>
        <w:gridCol w:w="602"/>
        <w:gridCol w:w="573"/>
        <w:gridCol w:w="505"/>
        <w:gridCol w:w="455"/>
        <w:gridCol w:w="350"/>
        <w:gridCol w:w="505"/>
        <w:gridCol w:w="382"/>
        <w:gridCol w:w="433"/>
        <w:gridCol w:w="313"/>
        <w:gridCol w:w="313"/>
      </w:tblGrid>
      <w:tr w:rsidR="000B4E2C" w:rsidRPr="000B4E2C" w14:paraId="25C41E43" w14:textId="77777777" w:rsidTr="000B4E2C">
        <w:trPr>
          <w:cantSplit/>
          <w:tblHeader/>
        </w:trPr>
        <w:tc>
          <w:tcPr>
            <w:tcW w:w="0" w:type="auto"/>
            <w:shd w:val="clear" w:color="auto" w:fill="auto"/>
            <w:hideMark/>
          </w:tcPr>
          <w:p w14:paraId="4417C8D4" w14:textId="77777777" w:rsidR="002F0133" w:rsidRPr="000B4E2C" w:rsidRDefault="002F0133" w:rsidP="008A7464">
            <w:pPr>
              <w:rPr>
                <w:rFonts w:cstheme="minorHAnsi"/>
                <w:b/>
                <w:bCs/>
                <w:color w:val="000000"/>
                <w:sz w:val="18"/>
                <w:szCs w:val="18"/>
                <w:lang w:eastAsia="en-GB"/>
              </w:rPr>
            </w:pPr>
            <w:r w:rsidRPr="000B4E2C">
              <w:rPr>
                <w:rFonts w:cstheme="minorHAnsi"/>
                <w:b/>
                <w:bCs/>
                <w:sz w:val="18"/>
                <w:szCs w:val="18"/>
                <w:lang w:eastAsia="en-GB"/>
              </w:rPr>
              <w:lastRenderedPageBreak/>
              <w:t>Author</w:t>
            </w:r>
          </w:p>
        </w:tc>
        <w:tc>
          <w:tcPr>
            <w:tcW w:w="0" w:type="auto"/>
            <w:shd w:val="clear" w:color="auto" w:fill="auto"/>
            <w:hideMark/>
          </w:tcPr>
          <w:p w14:paraId="5F8035FF" w14:textId="77777777" w:rsidR="002F0133" w:rsidRPr="000B4E2C" w:rsidRDefault="002F0133" w:rsidP="008A7464">
            <w:pPr>
              <w:rPr>
                <w:rFonts w:cstheme="minorHAnsi"/>
                <w:b/>
                <w:bCs/>
                <w:color w:val="000000"/>
                <w:sz w:val="18"/>
                <w:szCs w:val="18"/>
                <w:lang w:eastAsia="en-GB"/>
              </w:rPr>
            </w:pPr>
            <w:r w:rsidRPr="000B4E2C">
              <w:rPr>
                <w:rFonts w:cstheme="minorHAnsi"/>
                <w:b/>
                <w:bCs/>
                <w:sz w:val="18"/>
                <w:szCs w:val="18"/>
                <w:lang w:eastAsia="en-GB"/>
              </w:rPr>
              <w:t>Year</w:t>
            </w:r>
          </w:p>
        </w:tc>
        <w:tc>
          <w:tcPr>
            <w:tcW w:w="0" w:type="auto"/>
            <w:shd w:val="clear" w:color="auto" w:fill="auto"/>
            <w:hideMark/>
          </w:tcPr>
          <w:p w14:paraId="54A44E54" w14:textId="77777777" w:rsidR="002F0133" w:rsidRPr="000B4E2C" w:rsidRDefault="002F0133" w:rsidP="008A7464">
            <w:pPr>
              <w:rPr>
                <w:rFonts w:cstheme="minorHAnsi"/>
                <w:b/>
                <w:bCs/>
                <w:color w:val="000000"/>
                <w:sz w:val="18"/>
                <w:szCs w:val="18"/>
                <w:lang w:eastAsia="en-GB"/>
              </w:rPr>
            </w:pPr>
            <w:r w:rsidRPr="000B4E2C">
              <w:rPr>
                <w:rFonts w:cstheme="minorHAnsi"/>
                <w:b/>
                <w:bCs/>
                <w:sz w:val="18"/>
                <w:szCs w:val="18"/>
                <w:lang w:eastAsia="en-GB"/>
              </w:rPr>
              <w:t>Population</w:t>
            </w:r>
          </w:p>
        </w:tc>
        <w:tc>
          <w:tcPr>
            <w:tcW w:w="0" w:type="auto"/>
            <w:shd w:val="clear" w:color="auto" w:fill="auto"/>
            <w:hideMark/>
          </w:tcPr>
          <w:p w14:paraId="3E5DCC6D" w14:textId="77777777" w:rsidR="002F0133" w:rsidRPr="000B4E2C" w:rsidRDefault="002F0133" w:rsidP="008A7464">
            <w:pPr>
              <w:rPr>
                <w:rFonts w:cstheme="minorHAnsi"/>
                <w:b/>
                <w:bCs/>
                <w:color w:val="000000"/>
                <w:sz w:val="18"/>
                <w:szCs w:val="18"/>
                <w:lang w:eastAsia="en-GB"/>
              </w:rPr>
            </w:pPr>
            <w:r w:rsidRPr="000B4E2C">
              <w:rPr>
                <w:rFonts w:cstheme="minorHAnsi"/>
                <w:b/>
                <w:bCs/>
                <w:sz w:val="18"/>
                <w:szCs w:val="18"/>
                <w:lang w:eastAsia="en-GB"/>
              </w:rPr>
              <w:t>Country</w:t>
            </w:r>
          </w:p>
        </w:tc>
        <w:tc>
          <w:tcPr>
            <w:tcW w:w="0" w:type="auto"/>
            <w:shd w:val="clear" w:color="auto" w:fill="auto"/>
            <w:hideMark/>
          </w:tcPr>
          <w:p w14:paraId="2F783842" w14:textId="77777777" w:rsidR="002F0133" w:rsidRPr="000B4E2C" w:rsidRDefault="002F0133" w:rsidP="008A7464">
            <w:pPr>
              <w:rPr>
                <w:rFonts w:cstheme="minorHAnsi"/>
                <w:b/>
                <w:bCs/>
                <w:color w:val="000000"/>
                <w:sz w:val="18"/>
                <w:szCs w:val="18"/>
                <w:lang w:eastAsia="en-GB"/>
              </w:rPr>
            </w:pPr>
            <w:r w:rsidRPr="000B4E2C">
              <w:rPr>
                <w:rFonts w:cstheme="minorHAnsi"/>
                <w:b/>
                <w:bCs/>
                <w:sz w:val="18"/>
                <w:szCs w:val="18"/>
                <w:lang w:eastAsia="en-GB"/>
              </w:rPr>
              <w:t>Utility measure</w:t>
            </w:r>
          </w:p>
        </w:tc>
        <w:tc>
          <w:tcPr>
            <w:tcW w:w="0" w:type="auto"/>
            <w:shd w:val="clear" w:color="auto" w:fill="auto"/>
            <w:hideMark/>
          </w:tcPr>
          <w:p w14:paraId="3212FA78" w14:textId="77777777" w:rsidR="002F0133" w:rsidRPr="000B4E2C" w:rsidRDefault="002F0133" w:rsidP="008A7464">
            <w:pPr>
              <w:rPr>
                <w:rFonts w:cstheme="minorHAnsi"/>
                <w:b/>
                <w:bCs/>
                <w:color w:val="000000"/>
                <w:sz w:val="18"/>
                <w:szCs w:val="18"/>
                <w:lang w:eastAsia="en-GB"/>
              </w:rPr>
            </w:pPr>
            <w:r w:rsidRPr="000B4E2C">
              <w:rPr>
                <w:rFonts w:cstheme="minorHAnsi"/>
                <w:b/>
                <w:bCs/>
                <w:sz w:val="18"/>
                <w:szCs w:val="18"/>
                <w:lang w:eastAsia="en-GB"/>
              </w:rPr>
              <w:t>Valuation set</w:t>
            </w:r>
          </w:p>
        </w:tc>
        <w:tc>
          <w:tcPr>
            <w:tcW w:w="0" w:type="auto"/>
            <w:shd w:val="clear" w:color="auto" w:fill="auto"/>
            <w:hideMark/>
          </w:tcPr>
          <w:p w14:paraId="1D1F93CE" w14:textId="77777777" w:rsidR="002F0133" w:rsidRPr="000B4E2C" w:rsidRDefault="002F0133" w:rsidP="008A7464">
            <w:pPr>
              <w:rPr>
                <w:rFonts w:cstheme="minorHAnsi"/>
                <w:b/>
                <w:bCs/>
                <w:color w:val="000000"/>
                <w:sz w:val="18"/>
                <w:szCs w:val="18"/>
                <w:lang w:eastAsia="en-GB"/>
              </w:rPr>
            </w:pPr>
            <w:r w:rsidRPr="000B4E2C">
              <w:rPr>
                <w:rFonts w:cstheme="minorHAnsi"/>
                <w:b/>
                <w:bCs/>
                <w:sz w:val="18"/>
                <w:szCs w:val="18"/>
                <w:lang w:eastAsia="en-GB"/>
              </w:rPr>
              <w:t>N</w:t>
            </w:r>
          </w:p>
        </w:tc>
        <w:tc>
          <w:tcPr>
            <w:tcW w:w="0" w:type="auto"/>
            <w:shd w:val="clear" w:color="auto" w:fill="auto"/>
            <w:hideMark/>
          </w:tcPr>
          <w:p w14:paraId="5F7600E1" w14:textId="77777777" w:rsidR="002F0133" w:rsidRPr="000B4E2C" w:rsidRDefault="002F0133" w:rsidP="008A7464">
            <w:pPr>
              <w:rPr>
                <w:rFonts w:cstheme="minorHAnsi"/>
                <w:b/>
                <w:bCs/>
                <w:color w:val="000000"/>
                <w:sz w:val="18"/>
                <w:szCs w:val="18"/>
                <w:lang w:eastAsia="en-GB"/>
              </w:rPr>
            </w:pPr>
            <w:r w:rsidRPr="000B4E2C">
              <w:rPr>
                <w:rFonts w:cstheme="minorHAnsi"/>
                <w:b/>
                <w:bCs/>
                <w:sz w:val="18"/>
                <w:szCs w:val="18"/>
                <w:lang w:eastAsia="en-GB"/>
              </w:rPr>
              <w:t>Age</w:t>
            </w:r>
          </w:p>
        </w:tc>
        <w:tc>
          <w:tcPr>
            <w:tcW w:w="0" w:type="auto"/>
            <w:shd w:val="clear" w:color="auto" w:fill="auto"/>
            <w:hideMark/>
          </w:tcPr>
          <w:p w14:paraId="4D0C96AC" w14:textId="77777777" w:rsidR="002F0133" w:rsidRPr="000B4E2C" w:rsidRDefault="002F0133" w:rsidP="008A7464">
            <w:pPr>
              <w:rPr>
                <w:rFonts w:cstheme="minorHAnsi"/>
                <w:b/>
                <w:bCs/>
                <w:sz w:val="18"/>
                <w:szCs w:val="18"/>
                <w:lang w:eastAsia="en-GB"/>
              </w:rPr>
            </w:pPr>
            <w:r w:rsidRPr="000B4E2C">
              <w:rPr>
                <w:rFonts w:cstheme="minorHAnsi"/>
                <w:b/>
                <w:bCs/>
                <w:sz w:val="18"/>
                <w:szCs w:val="18"/>
                <w:lang w:eastAsia="en-GB"/>
              </w:rPr>
              <w:t>Proportion</w:t>
            </w:r>
          </w:p>
          <w:p w14:paraId="76FD23A4" w14:textId="77777777" w:rsidR="002F0133" w:rsidRPr="000B4E2C" w:rsidRDefault="002F0133" w:rsidP="008A7464">
            <w:pPr>
              <w:rPr>
                <w:rFonts w:cstheme="minorHAnsi"/>
                <w:b/>
                <w:bCs/>
                <w:color w:val="000000"/>
                <w:sz w:val="18"/>
                <w:szCs w:val="18"/>
                <w:lang w:eastAsia="en-GB"/>
              </w:rPr>
            </w:pPr>
            <w:r w:rsidRPr="000B4E2C">
              <w:rPr>
                <w:rFonts w:cstheme="minorHAnsi"/>
                <w:b/>
                <w:bCs/>
                <w:sz w:val="18"/>
                <w:szCs w:val="18"/>
                <w:lang w:eastAsia="en-GB"/>
              </w:rPr>
              <w:t>male</w:t>
            </w:r>
          </w:p>
        </w:tc>
        <w:tc>
          <w:tcPr>
            <w:tcW w:w="0" w:type="auto"/>
            <w:shd w:val="clear" w:color="auto" w:fill="auto"/>
            <w:hideMark/>
          </w:tcPr>
          <w:p w14:paraId="684D3EA4" w14:textId="77777777" w:rsidR="002F0133" w:rsidRPr="000B4E2C" w:rsidRDefault="002F0133" w:rsidP="008A7464">
            <w:pPr>
              <w:rPr>
                <w:rFonts w:cstheme="minorHAnsi"/>
                <w:b/>
                <w:bCs/>
                <w:color w:val="000000"/>
                <w:sz w:val="18"/>
                <w:szCs w:val="18"/>
                <w:lang w:eastAsia="en-GB"/>
              </w:rPr>
            </w:pPr>
            <w:r w:rsidRPr="000B4E2C">
              <w:rPr>
                <w:rFonts w:cstheme="minorHAnsi"/>
                <w:b/>
                <w:bCs/>
                <w:sz w:val="18"/>
                <w:szCs w:val="18"/>
                <w:lang w:eastAsia="en-GB"/>
              </w:rPr>
              <w:t>Utility values reported</w:t>
            </w:r>
          </w:p>
        </w:tc>
        <w:tc>
          <w:tcPr>
            <w:tcW w:w="0" w:type="auto"/>
            <w:shd w:val="clear" w:color="auto" w:fill="auto"/>
            <w:hideMark/>
          </w:tcPr>
          <w:p w14:paraId="7669015A" w14:textId="77777777" w:rsidR="002F0133" w:rsidRPr="000B4E2C" w:rsidRDefault="002F0133" w:rsidP="008A7464">
            <w:pPr>
              <w:rPr>
                <w:rFonts w:cstheme="minorHAnsi"/>
                <w:b/>
                <w:bCs/>
                <w:color w:val="000000"/>
                <w:sz w:val="18"/>
                <w:szCs w:val="18"/>
                <w:lang w:eastAsia="en-GB"/>
              </w:rPr>
            </w:pPr>
            <w:r w:rsidRPr="000B4E2C">
              <w:rPr>
                <w:rFonts w:cstheme="minorHAnsi"/>
                <w:b/>
                <w:bCs/>
                <w:sz w:val="18"/>
                <w:szCs w:val="18"/>
                <w:lang w:eastAsia="en-GB"/>
              </w:rPr>
              <w:t>Mean</w:t>
            </w:r>
          </w:p>
        </w:tc>
        <w:tc>
          <w:tcPr>
            <w:tcW w:w="0" w:type="auto"/>
            <w:shd w:val="clear" w:color="auto" w:fill="auto"/>
            <w:hideMark/>
          </w:tcPr>
          <w:p w14:paraId="3565C97D" w14:textId="77777777" w:rsidR="002F0133" w:rsidRPr="000B4E2C" w:rsidRDefault="002F0133" w:rsidP="008A7464">
            <w:pPr>
              <w:rPr>
                <w:rFonts w:cstheme="minorHAnsi"/>
                <w:b/>
                <w:bCs/>
                <w:color w:val="000000"/>
                <w:sz w:val="18"/>
                <w:szCs w:val="18"/>
                <w:lang w:eastAsia="en-GB"/>
              </w:rPr>
            </w:pPr>
            <w:r w:rsidRPr="000B4E2C">
              <w:rPr>
                <w:rFonts w:cstheme="minorHAnsi"/>
                <w:b/>
                <w:bCs/>
                <w:sz w:val="18"/>
                <w:szCs w:val="18"/>
                <w:lang w:eastAsia="en-GB"/>
              </w:rPr>
              <w:t>Median</w:t>
            </w:r>
          </w:p>
        </w:tc>
        <w:tc>
          <w:tcPr>
            <w:tcW w:w="0" w:type="auto"/>
            <w:shd w:val="clear" w:color="auto" w:fill="auto"/>
            <w:hideMark/>
          </w:tcPr>
          <w:p w14:paraId="1CEF9A8D" w14:textId="77777777" w:rsidR="002F0133" w:rsidRPr="000B4E2C" w:rsidRDefault="002F0133" w:rsidP="008A7464">
            <w:pPr>
              <w:rPr>
                <w:rFonts w:cstheme="minorHAnsi"/>
                <w:b/>
                <w:bCs/>
                <w:color w:val="000000"/>
                <w:sz w:val="18"/>
                <w:szCs w:val="18"/>
                <w:lang w:eastAsia="en-GB"/>
              </w:rPr>
            </w:pPr>
            <w:r w:rsidRPr="000B4E2C">
              <w:rPr>
                <w:rFonts w:cstheme="minorHAnsi"/>
                <w:b/>
                <w:bCs/>
                <w:sz w:val="18"/>
                <w:szCs w:val="18"/>
                <w:lang w:eastAsia="en-GB"/>
              </w:rPr>
              <w:t>SE</w:t>
            </w:r>
          </w:p>
        </w:tc>
        <w:tc>
          <w:tcPr>
            <w:tcW w:w="0" w:type="auto"/>
            <w:shd w:val="clear" w:color="auto" w:fill="auto"/>
            <w:hideMark/>
          </w:tcPr>
          <w:p w14:paraId="2F08DA68" w14:textId="77777777" w:rsidR="002F0133" w:rsidRPr="000B4E2C" w:rsidRDefault="002F0133" w:rsidP="008A7464">
            <w:pPr>
              <w:rPr>
                <w:rFonts w:cstheme="minorHAnsi"/>
                <w:b/>
                <w:bCs/>
                <w:color w:val="000000"/>
                <w:sz w:val="18"/>
                <w:szCs w:val="18"/>
                <w:lang w:eastAsia="en-GB"/>
              </w:rPr>
            </w:pPr>
            <w:r w:rsidRPr="000B4E2C">
              <w:rPr>
                <w:rFonts w:cstheme="minorHAnsi"/>
                <w:b/>
                <w:bCs/>
                <w:sz w:val="18"/>
                <w:szCs w:val="18"/>
                <w:lang w:eastAsia="en-GB"/>
              </w:rPr>
              <w:t>SD</w:t>
            </w:r>
          </w:p>
        </w:tc>
        <w:tc>
          <w:tcPr>
            <w:tcW w:w="0" w:type="auto"/>
            <w:shd w:val="clear" w:color="auto" w:fill="auto"/>
            <w:hideMark/>
          </w:tcPr>
          <w:p w14:paraId="58FF14E9" w14:textId="77777777" w:rsidR="000B4E2C" w:rsidRPr="000B4E2C" w:rsidRDefault="002F0133" w:rsidP="008A7464">
            <w:pPr>
              <w:rPr>
                <w:rFonts w:cstheme="minorHAnsi"/>
                <w:b/>
                <w:bCs/>
                <w:sz w:val="18"/>
                <w:szCs w:val="18"/>
                <w:lang w:eastAsia="en-GB"/>
              </w:rPr>
            </w:pPr>
            <w:r w:rsidRPr="000B4E2C">
              <w:rPr>
                <w:rFonts w:cstheme="minorHAnsi"/>
                <w:b/>
                <w:bCs/>
                <w:sz w:val="18"/>
                <w:szCs w:val="18"/>
                <w:lang w:eastAsia="en-GB"/>
              </w:rPr>
              <w:t>CI</w:t>
            </w:r>
          </w:p>
          <w:p w14:paraId="474E7FA9" w14:textId="01C0B57C" w:rsidR="002F0133" w:rsidRPr="000B4E2C" w:rsidRDefault="002F0133" w:rsidP="008A7464">
            <w:pPr>
              <w:rPr>
                <w:rFonts w:cstheme="minorHAnsi"/>
                <w:b/>
                <w:bCs/>
                <w:color w:val="000000"/>
                <w:sz w:val="18"/>
                <w:szCs w:val="18"/>
                <w:lang w:eastAsia="en-GB"/>
              </w:rPr>
            </w:pPr>
            <w:r w:rsidRPr="000B4E2C">
              <w:rPr>
                <w:rFonts w:cstheme="minorHAnsi"/>
                <w:b/>
                <w:bCs/>
                <w:sz w:val="18"/>
                <w:szCs w:val="18"/>
                <w:lang w:eastAsia="en-GB"/>
              </w:rPr>
              <w:t>low</w:t>
            </w:r>
          </w:p>
        </w:tc>
        <w:tc>
          <w:tcPr>
            <w:tcW w:w="0" w:type="auto"/>
            <w:shd w:val="clear" w:color="auto" w:fill="auto"/>
            <w:hideMark/>
          </w:tcPr>
          <w:p w14:paraId="32E3EB78" w14:textId="77777777" w:rsidR="000B4E2C" w:rsidRPr="000B4E2C" w:rsidRDefault="002F0133" w:rsidP="008A7464">
            <w:pPr>
              <w:rPr>
                <w:rFonts w:cstheme="minorHAnsi"/>
                <w:b/>
                <w:bCs/>
                <w:sz w:val="18"/>
                <w:szCs w:val="18"/>
                <w:lang w:eastAsia="en-GB"/>
              </w:rPr>
            </w:pPr>
            <w:r w:rsidRPr="000B4E2C">
              <w:rPr>
                <w:rFonts w:cstheme="minorHAnsi"/>
                <w:b/>
                <w:bCs/>
                <w:sz w:val="18"/>
                <w:szCs w:val="18"/>
                <w:lang w:eastAsia="en-GB"/>
              </w:rPr>
              <w:t>CI</w:t>
            </w:r>
          </w:p>
          <w:p w14:paraId="558DE4E2" w14:textId="4CD217B2" w:rsidR="002F0133" w:rsidRPr="000B4E2C" w:rsidRDefault="002F0133" w:rsidP="008A7464">
            <w:pPr>
              <w:rPr>
                <w:rFonts w:cstheme="minorHAnsi"/>
                <w:b/>
                <w:bCs/>
                <w:color w:val="000000"/>
                <w:sz w:val="18"/>
                <w:szCs w:val="18"/>
                <w:lang w:eastAsia="en-GB"/>
              </w:rPr>
            </w:pPr>
            <w:r w:rsidRPr="000B4E2C">
              <w:rPr>
                <w:rFonts w:cstheme="minorHAnsi"/>
                <w:b/>
                <w:bCs/>
                <w:sz w:val="18"/>
                <w:szCs w:val="18"/>
                <w:lang w:eastAsia="en-GB"/>
              </w:rPr>
              <w:t>high</w:t>
            </w:r>
          </w:p>
        </w:tc>
        <w:tc>
          <w:tcPr>
            <w:tcW w:w="0" w:type="auto"/>
            <w:shd w:val="clear" w:color="auto" w:fill="auto"/>
            <w:hideMark/>
          </w:tcPr>
          <w:p w14:paraId="3F929169" w14:textId="77777777" w:rsidR="002F0133" w:rsidRPr="000B4E2C" w:rsidRDefault="002F0133" w:rsidP="008A7464">
            <w:pPr>
              <w:rPr>
                <w:rFonts w:cstheme="minorHAnsi"/>
                <w:b/>
                <w:bCs/>
                <w:color w:val="000000"/>
                <w:sz w:val="18"/>
                <w:szCs w:val="18"/>
                <w:lang w:eastAsia="en-GB"/>
              </w:rPr>
            </w:pPr>
            <w:r w:rsidRPr="000B4E2C">
              <w:rPr>
                <w:rFonts w:cstheme="minorHAnsi"/>
                <w:b/>
                <w:bCs/>
                <w:sz w:val="18"/>
                <w:szCs w:val="18"/>
                <w:lang w:eastAsia="en-GB"/>
              </w:rPr>
              <w:t>IQR low</w:t>
            </w:r>
          </w:p>
        </w:tc>
        <w:tc>
          <w:tcPr>
            <w:tcW w:w="0" w:type="auto"/>
            <w:shd w:val="clear" w:color="auto" w:fill="auto"/>
            <w:hideMark/>
          </w:tcPr>
          <w:p w14:paraId="74E144C7" w14:textId="77777777" w:rsidR="002F0133" w:rsidRPr="000B4E2C" w:rsidRDefault="002F0133" w:rsidP="008A7464">
            <w:pPr>
              <w:rPr>
                <w:rFonts w:cstheme="minorHAnsi"/>
                <w:b/>
                <w:bCs/>
                <w:sz w:val="18"/>
                <w:szCs w:val="18"/>
                <w:lang w:eastAsia="en-GB"/>
              </w:rPr>
            </w:pPr>
            <w:r w:rsidRPr="000B4E2C">
              <w:rPr>
                <w:rFonts w:cstheme="minorHAnsi"/>
                <w:b/>
                <w:bCs/>
                <w:sz w:val="18"/>
                <w:szCs w:val="18"/>
                <w:lang w:eastAsia="en-GB"/>
              </w:rPr>
              <w:t>IQR</w:t>
            </w:r>
          </w:p>
          <w:p w14:paraId="01188C1E" w14:textId="77777777" w:rsidR="002F0133" w:rsidRPr="000B4E2C" w:rsidRDefault="002F0133" w:rsidP="008A7464">
            <w:pPr>
              <w:rPr>
                <w:rFonts w:cstheme="minorHAnsi"/>
                <w:b/>
                <w:bCs/>
                <w:sz w:val="18"/>
                <w:szCs w:val="18"/>
                <w:lang w:eastAsia="en-GB"/>
              </w:rPr>
            </w:pPr>
            <w:r w:rsidRPr="000B4E2C">
              <w:rPr>
                <w:rFonts w:cstheme="minorHAnsi"/>
                <w:b/>
                <w:bCs/>
                <w:sz w:val="18"/>
                <w:szCs w:val="18"/>
                <w:lang w:eastAsia="en-GB"/>
              </w:rPr>
              <w:t>high</w:t>
            </w:r>
          </w:p>
        </w:tc>
      </w:tr>
      <w:tr w:rsidR="000B4E2C" w:rsidRPr="000B4E2C" w14:paraId="0A369012" w14:textId="77777777" w:rsidTr="000B4E2C">
        <w:trPr>
          <w:cantSplit/>
          <w:tblHeader/>
        </w:trPr>
        <w:tc>
          <w:tcPr>
            <w:tcW w:w="0" w:type="auto"/>
            <w:shd w:val="clear" w:color="auto" w:fill="auto"/>
            <w:hideMark/>
          </w:tcPr>
          <w:p w14:paraId="6FC9AF21"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Afiatin</w:t>
            </w:r>
          </w:p>
        </w:tc>
        <w:tc>
          <w:tcPr>
            <w:tcW w:w="0" w:type="auto"/>
            <w:shd w:val="clear" w:color="auto" w:fill="auto"/>
            <w:hideMark/>
          </w:tcPr>
          <w:p w14:paraId="2750729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2017</w:t>
            </w:r>
          </w:p>
        </w:tc>
        <w:tc>
          <w:tcPr>
            <w:tcW w:w="0" w:type="auto"/>
            <w:shd w:val="clear" w:color="auto" w:fill="auto"/>
            <w:hideMark/>
          </w:tcPr>
          <w:p w14:paraId="54482AB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ESRD with PD and HD</w:t>
            </w:r>
          </w:p>
        </w:tc>
        <w:tc>
          <w:tcPr>
            <w:tcW w:w="0" w:type="auto"/>
            <w:shd w:val="clear" w:color="auto" w:fill="auto"/>
            <w:hideMark/>
          </w:tcPr>
          <w:p w14:paraId="6F9BD35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Indonesia</w:t>
            </w:r>
          </w:p>
        </w:tc>
        <w:tc>
          <w:tcPr>
            <w:tcW w:w="0" w:type="auto"/>
            <w:shd w:val="clear" w:color="auto" w:fill="auto"/>
            <w:hideMark/>
          </w:tcPr>
          <w:p w14:paraId="4806E201" w14:textId="18FF6596"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4B192BE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 xml:space="preserve">Thailand </w:t>
            </w:r>
          </w:p>
        </w:tc>
        <w:tc>
          <w:tcPr>
            <w:tcW w:w="0" w:type="auto"/>
            <w:shd w:val="clear" w:color="auto" w:fill="auto"/>
            <w:hideMark/>
          </w:tcPr>
          <w:p w14:paraId="1FB5700B"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68</w:t>
            </w:r>
          </w:p>
        </w:tc>
        <w:tc>
          <w:tcPr>
            <w:tcW w:w="0" w:type="auto"/>
            <w:shd w:val="clear" w:color="auto" w:fill="auto"/>
            <w:hideMark/>
          </w:tcPr>
          <w:p w14:paraId="0E9821E7" w14:textId="3490CE46"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1</w:t>
            </w:r>
            <w:r w:rsidR="000B4E2C" w:rsidRPr="000B4E2C">
              <w:rPr>
                <w:rFonts w:cstheme="minorHAnsi"/>
                <w:color w:val="00B0F0"/>
                <w:sz w:val="18"/>
                <w:szCs w:val="18"/>
                <w:lang w:eastAsia="en-GB"/>
              </w:rPr>
              <w:t>8</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w:t>
            </w:r>
          </w:p>
        </w:tc>
        <w:tc>
          <w:tcPr>
            <w:tcW w:w="0" w:type="auto"/>
            <w:shd w:val="clear" w:color="auto" w:fill="auto"/>
            <w:hideMark/>
          </w:tcPr>
          <w:p w14:paraId="7D594E77"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55.9%</w:t>
            </w:r>
          </w:p>
        </w:tc>
        <w:tc>
          <w:tcPr>
            <w:tcW w:w="0" w:type="auto"/>
            <w:shd w:val="clear" w:color="auto" w:fill="auto"/>
            <w:hideMark/>
          </w:tcPr>
          <w:p w14:paraId="66242A3B" w14:textId="0F4B3743"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PD (no comp)</w:t>
            </w:r>
            <w:r w:rsidR="000B4E2C" w:rsidRPr="000B4E2C">
              <w:rPr>
                <w:rFonts w:cstheme="minorHAnsi"/>
                <w:sz w:val="18"/>
                <w:szCs w:val="18"/>
                <w:lang w:eastAsia="en-GB"/>
              </w:rPr>
              <w:t xml:space="preserve"> </w:t>
            </w:r>
            <w:r w:rsidRPr="000B4E2C">
              <w:rPr>
                <w:rFonts w:cstheme="minorHAnsi"/>
                <w:sz w:val="18"/>
                <w:szCs w:val="18"/>
                <w:lang w:eastAsia="en-GB"/>
              </w:rPr>
              <w:t>HD (no compl)</w:t>
            </w:r>
            <w:r w:rsidR="000B4E2C" w:rsidRPr="000B4E2C">
              <w:rPr>
                <w:rFonts w:cstheme="minorHAnsi"/>
                <w:sz w:val="18"/>
                <w:szCs w:val="18"/>
                <w:lang w:eastAsia="en-GB"/>
              </w:rPr>
              <w:t xml:space="preserve"> </w:t>
            </w:r>
            <w:r w:rsidRPr="000B4E2C">
              <w:rPr>
                <w:rFonts w:cstheme="minorHAnsi"/>
                <w:sz w:val="18"/>
                <w:szCs w:val="18"/>
                <w:lang w:eastAsia="en-GB"/>
              </w:rPr>
              <w:t>PD (+comp)</w:t>
            </w:r>
            <w:r w:rsidR="000B4E2C" w:rsidRPr="000B4E2C">
              <w:rPr>
                <w:rFonts w:cstheme="minorHAnsi"/>
                <w:sz w:val="18"/>
                <w:szCs w:val="18"/>
                <w:lang w:eastAsia="en-GB"/>
              </w:rPr>
              <w:t xml:space="preserve"> </w:t>
            </w:r>
            <w:r w:rsidRPr="000B4E2C">
              <w:rPr>
                <w:rFonts w:cstheme="minorHAnsi"/>
                <w:sz w:val="18"/>
                <w:szCs w:val="18"/>
                <w:lang w:eastAsia="en-GB"/>
              </w:rPr>
              <w:t>HD (+comp)</w:t>
            </w:r>
          </w:p>
        </w:tc>
        <w:tc>
          <w:tcPr>
            <w:tcW w:w="0" w:type="auto"/>
            <w:shd w:val="clear" w:color="auto" w:fill="auto"/>
            <w:hideMark/>
          </w:tcPr>
          <w:p w14:paraId="14751525" w14:textId="262B386A"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0.82</w:t>
            </w:r>
            <w:r w:rsidR="000B4E2C" w:rsidRPr="000B4E2C">
              <w:rPr>
                <w:rFonts w:cstheme="minorHAnsi"/>
                <w:sz w:val="18"/>
                <w:szCs w:val="18"/>
                <w:lang w:eastAsia="en-GB"/>
              </w:rPr>
              <w:t xml:space="preserve"> </w:t>
            </w:r>
            <w:r w:rsidRPr="000B4E2C">
              <w:rPr>
                <w:rFonts w:cstheme="minorHAnsi"/>
                <w:sz w:val="18"/>
                <w:szCs w:val="18"/>
                <w:lang w:eastAsia="en-GB"/>
              </w:rPr>
              <w:t>0.70</w:t>
            </w:r>
            <w:r w:rsidR="000B4E2C" w:rsidRPr="000B4E2C">
              <w:rPr>
                <w:rFonts w:cstheme="minorHAnsi"/>
                <w:sz w:val="18"/>
                <w:szCs w:val="18"/>
                <w:lang w:eastAsia="en-GB"/>
              </w:rPr>
              <w:t xml:space="preserve"> </w:t>
            </w:r>
            <w:r w:rsidRPr="000B4E2C">
              <w:rPr>
                <w:rFonts w:cstheme="minorHAnsi"/>
                <w:sz w:val="18"/>
                <w:szCs w:val="18"/>
                <w:lang w:eastAsia="en-GB"/>
              </w:rPr>
              <w:t>0.31</w:t>
            </w:r>
            <w:r w:rsidR="000B4E2C" w:rsidRPr="000B4E2C">
              <w:rPr>
                <w:rFonts w:cstheme="minorHAnsi"/>
                <w:sz w:val="18"/>
                <w:szCs w:val="18"/>
                <w:lang w:eastAsia="en-GB"/>
              </w:rPr>
              <w:t xml:space="preserve"> </w:t>
            </w:r>
            <w:r w:rsidRPr="000B4E2C">
              <w:rPr>
                <w:rFonts w:cstheme="minorHAnsi"/>
                <w:sz w:val="18"/>
                <w:szCs w:val="18"/>
                <w:lang w:eastAsia="en-GB"/>
              </w:rPr>
              <w:t>0.37</w:t>
            </w:r>
          </w:p>
        </w:tc>
        <w:tc>
          <w:tcPr>
            <w:tcW w:w="0" w:type="auto"/>
            <w:shd w:val="clear" w:color="auto" w:fill="auto"/>
            <w:hideMark/>
          </w:tcPr>
          <w:p w14:paraId="6AB8DBA5" w14:textId="04DE1359"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0CF336A" w14:textId="257539B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0.03</w:t>
            </w:r>
            <w:r w:rsidR="000B4E2C" w:rsidRPr="000B4E2C">
              <w:rPr>
                <w:rFonts w:cstheme="minorHAnsi"/>
                <w:sz w:val="18"/>
                <w:szCs w:val="18"/>
                <w:lang w:eastAsia="en-GB"/>
              </w:rPr>
              <w:t xml:space="preserve"> </w:t>
            </w:r>
            <w:r w:rsidRPr="000B4E2C">
              <w:rPr>
                <w:rFonts w:cstheme="minorHAnsi"/>
                <w:sz w:val="18"/>
                <w:szCs w:val="18"/>
                <w:lang w:eastAsia="en-GB"/>
              </w:rPr>
              <w:t>0.04</w:t>
            </w:r>
            <w:r w:rsidR="000B4E2C" w:rsidRPr="000B4E2C">
              <w:rPr>
                <w:rFonts w:cstheme="minorHAnsi"/>
                <w:sz w:val="18"/>
                <w:szCs w:val="18"/>
                <w:lang w:eastAsia="en-GB"/>
              </w:rPr>
              <w:t xml:space="preserve"> </w:t>
            </w:r>
            <w:r w:rsidRPr="000B4E2C">
              <w:rPr>
                <w:rFonts w:cstheme="minorHAnsi"/>
                <w:sz w:val="18"/>
                <w:szCs w:val="18"/>
                <w:lang w:eastAsia="en-GB"/>
              </w:rPr>
              <w:t>0.09</w:t>
            </w:r>
            <w:r w:rsidR="000B4E2C" w:rsidRPr="000B4E2C">
              <w:rPr>
                <w:rFonts w:cstheme="minorHAnsi"/>
                <w:sz w:val="18"/>
                <w:szCs w:val="18"/>
                <w:lang w:eastAsia="en-GB"/>
              </w:rPr>
              <w:t xml:space="preserve"> </w:t>
            </w:r>
            <w:r w:rsidRPr="000B4E2C">
              <w:rPr>
                <w:rFonts w:cstheme="minorHAnsi"/>
                <w:sz w:val="18"/>
                <w:szCs w:val="18"/>
                <w:lang w:eastAsia="en-GB"/>
              </w:rPr>
              <w:t>0.11</w:t>
            </w:r>
          </w:p>
        </w:tc>
        <w:tc>
          <w:tcPr>
            <w:tcW w:w="0" w:type="auto"/>
            <w:shd w:val="clear" w:color="auto" w:fill="auto"/>
            <w:hideMark/>
          </w:tcPr>
          <w:p w14:paraId="37F4479E" w14:textId="4341538C"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16C57A2" w14:textId="6EB1F3C5"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46AB686" w14:textId="5E574BE2"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CE8EFE6" w14:textId="679206D0"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7F480D63" w14:textId="1D686288"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6AF48878" w14:textId="77777777" w:rsidTr="000B4E2C">
        <w:trPr>
          <w:cantSplit/>
          <w:tblHeader/>
        </w:trPr>
        <w:tc>
          <w:tcPr>
            <w:tcW w:w="0" w:type="auto"/>
            <w:shd w:val="clear" w:color="auto" w:fill="auto"/>
            <w:hideMark/>
          </w:tcPr>
          <w:p w14:paraId="6A41B4D0"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Chang</w:t>
            </w:r>
          </w:p>
        </w:tc>
        <w:tc>
          <w:tcPr>
            <w:tcW w:w="0" w:type="auto"/>
            <w:shd w:val="clear" w:color="auto" w:fill="auto"/>
            <w:hideMark/>
          </w:tcPr>
          <w:p w14:paraId="75C28B31"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2016</w:t>
            </w:r>
          </w:p>
        </w:tc>
        <w:tc>
          <w:tcPr>
            <w:tcW w:w="0" w:type="auto"/>
            <w:shd w:val="clear" w:color="auto" w:fill="auto"/>
            <w:hideMark/>
          </w:tcPr>
          <w:p w14:paraId="4362CBC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ESRD with PD and HD</w:t>
            </w:r>
          </w:p>
        </w:tc>
        <w:tc>
          <w:tcPr>
            <w:tcW w:w="0" w:type="auto"/>
            <w:shd w:val="clear" w:color="auto" w:fill="auto"/>
            <w:hideMark/>
          </w:tcPr>
          <w:p w14:paraId="402FE68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Taiwan</w:t>
            </w:r>
          </w:p>
        </w:tc>
        <w:tc>
          <w:tcPr>
            <w:tcW w:w="0" w:type="auto"/>
            <w:shd w:val="clear" w:color="auto" w:fill="auto"/>
            <w:hideMark/>
          </w:tcPr>
          <w:p w14:paraId="08AAEDEF" w14:textId="014CF2FC"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2076A21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 xml:space="preserve">UK </w:t>
            </w:r>
          </w:p>
        </w:tc>
        <w:tc>
          <w:tcPr>
            <w:tcW w:w="0" w:type="auto"/>
            <w:shd w:val="clear" w:color="auto" w:fill="auto"/>
            <w:hideMark/>
          </w:tcPr>
          <w:p w14:paraId="02355C5F" w14:textId="490DE0C1"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Total: 1687</w:t>
            </w:r>
            <w:r w:rsidR="000B4E2C" w:rsidRPr="000B4E2C">
              <w:rPr>
                <w:rFonts w:cstheme="minorHAnsi"/>
                <w:sz w:val="18"/>
                <w:szCs w:val="18"/>
                <w:lang w:eastAsia="en-GB"/>
              </w:rPr>
              <w:t xml:space="preserve"> </w:t>
            </w:r>
            <w:r w:rsidRPr="000B4E2C">
              <w:rPr>
                <w:rFonts w:cstheme="minorHAnsi"/>
                <w:sz w:val="18"/>
                <w:szCs w:val="18"/>
                <w:lang w:eastAsia="en-GB"/>
              </w:rPr>
              <w:t>HD: 1403</w:t>
            </w:r>
            <w:r w:rsidR="000B4E2C" w:rsidRPr="000B4E2C">
              <w:rPr>
                <w:rFonts w:cstheme="minorHAnsi"/>
                <w:sz w:val="18"/>
                <w:szCs w:val="18"/>
                <w:lang w:eastAsia="en-GB"/>
              </w:rPr>
              <w:t xml:space="preserve"> </w:t>
            </w:r>
            <w:r w:rsidRPr="000B4E2C">
              <w:rPr>
                <w:rFonts w:cstheme="minorHAnsi"/>
                <w:sz w:val="18"/>
                <w:szCs w:val="18"/>
                <w:lang w:eastAsia="en-GB"/>
              </w:rPr>
              <w:t>PD: 284</w:t>
            </w:r>
          </w:p>
        </w:tc>
        <w:tc>
          <w:tcPr>
            <w:tcW w:w="0" w:type="auto"/>
            <w:shd w:val="clear" w:color="auto" w:fill="auto"/>
            <w:hideMark/>
          </w:tcPr>
          <w:p w14:paraId="54256055" w14:textId="1C03EDA5"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Total: NR</w:t>
            </w:r>
            <w:r w:rsidR="000B4E2C" w:rsidRPr="000B4E2C">
              <w:rPr>
                <w:rFonts w:cstheme="minorHAnsi"/>
                <w:sz w:val="18"/>
                <w:szCs w:val="18"/>
                <w:lang w:eastAsia="en-GB"/>
              </w:rPr>
              <w:t xml:space="preserve"> </w:t>
            </w:r>
            <w:r w:rsidRPr="000B4E2C">
              <w:rPr>
                <w:rFonts w:cstheme="minorHAnsi"/>
                <w:sz w:val="18"/>
                <w:szCs w:val="18"/>
                <w:lang w:eastAsia="en-GB"/>
              </w:rPr>
              <w:t>HD: 57.1 (13.6)</w:t>
            </w:r>
            <w:r w:rsidR="000B4E2C" w:rsidRPr="000B4E2C">
              <w:rPr>
                <w:rFonts w:cstheme="minorHAnsi"/>
                <w:sz w:val="18"/>
                <w:szCs w:val="18"/>
                <w:lang w:eastAsia="en-GB"/>
              </w:rPr>
              <w:t xml:space="preserve"> </w:t>
            </w:r>
            <w:r w:rsidRPr="000B4E2C">
              <w:rPr>
                <w:rFonts w:cstheme="minorHAnsi"/>
                <w:sz w:val="18"/>
                <w:szCs w:val="18"/>
                <w:lang w:eastAsia="en-GB"/>
              </w:rPr>
              <w:t>PD: 46.7 (13.2)</w:t>
            </w:r>
          </w:p>
        </w:tc>
        <w:tc>
          <w:tcPr>
            <w:tcW w:w="0" w:type="auto"/>
            <w:shd w:val="clear" w:color="auto" w:fill="auto"/>
            <w:hideMark/>
          </w:tcPr>
          <w:p w14:paraId="38ED8316" w14:textId="408C6A8A"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HD: 49.9%</w:t>
            </w:r>
            <w:r w:rsidR="000B4E2C" w:rsidRPr="000B4E2C">
              <w:rPr>
                <w:rFonts w:cstheme="minorHAnsi"/>
                <w:sz w:val="18"/>
                <w:szCs w:val="18"/>
                <w:lang w:eastAsia="en-GB"/>
              </w:rPr>
              <w:t xml:space="preserve"> </w:t>
            </w:r>
            <w:r w:rsidRPr="000B4E2C">
              <w:rPr>
                <w:rFonts w:cstheme="minorHAnsi"/>
                <w:sz w:val="18"/>
                <w:szCs w:val="18"/>
                <w:lang w:eastAsia="en-GB"/>
              </w:rPr>
              <w:t>PD: 51.1%</w:t>
            </w:r>
          </w:p>
        </w:tc>
        <w:tc>
          <w:tcPr>
            <w:tcW w:w="0" w:type="auto"/>
            <w:shd w:val="clear" w:color="auto" w:fill="auto"/>
            <w:hideMark/>
          </w:tcPr>
          <w:p w14:paraId="0ACAA42F" w14:textId="5F4D22BB"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HD</w:t>
            </w:r>
            <w:r w:rsidR="000B4E2C" w:rsidRPr="000B4E2C">
              <w:rPr>
                <w:rFonts w:cstheme="minorHAnsi"/>
                <w:sz w:val="18"/>
                <w:szCs w:val="18"/>
                <w:lang w:eastAsia="en-GB"/>
              </w:rPr>
              <w:t xml:space="preserve"> </w:t>
            </w:r>
            <w:r w:rsidRPr="000B4E2C">
              <w:rPr>
                <w:rFonts w:cstheme="minorHAnsi"/>
                <w:sz w:val="18"/>
                <w:szCs w:val="18"/>
                <w:lang w:eastAsia="en-GB"/>
              </w:rPr>
              <w:t>PD</w:t>
            </w:r>
          </w:p>
        </w:tc>
        <w:tc>
          <w:tcPr>
            <w:tcW w:w="0" w:type="auto"/>
            <w:shd w:val="clear" w:color="auto" w:fill="auto"/>
            <w:hideMark/>
          </w:tcPr>
          <w:p w14:paraId="1B09539A" w14:textId="2FB59C5C"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0.83</w:t>
            </w:r>
            <w:r w:rsidR="000B4E2C" w:rsidRPr="000B4E2C">
              <w:rPr>
                <w:rFonts w:cstheme="minorHAnsi"/>
                <w:sz w:val="18"/>
                <w:szCs w:val="18"/>
                <w:lang w:eastAsia="en-GB"/>
              </w:rPr>
              <w:t xml:space="preserve"> </w:t>
            </w:r>
            <w:r w:rsidRPr="000B4E2C">
              <w:rPr>
                <w:rFonts w:cstheme="minorHAnsi"/>
                <w:sz w:val="18"/>
                <w:szCs w:val="18"/>
                <w:lang w:eastAsia="en-GB"/>
              </w:rPr>
              <w:t>0.90</w:t>
            </w:r>
          </w:p>
        </w:tc>
        <w:tc>
          <w:tcPr>
            <w:tcW w:w="0" w:type="auto"/>
            <w:shd w:val="clear" w:color="auto" w:fill="auto"/>
            <w:hideMark/>
          </w:tcPr>
          <w:p w14:paraId="4FD8FB15" w14:textId="26992D55"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225410D" w14:textId="52EAEF58"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0.19</w:t>
            </w:r>
            <w:r w:rsidR="000B4E2C" w:rsidRPr="000B4E2C">
              <w:rPr>
                <w:rFonts w:cstheme="minorHAnsi"/>
                <w:sz w:val="18"/>
                <w:szCs w:val="18"/>
                <w:lang w:eastAsia="en-GB"/>
              </w:rPr>
              <w:t xml:space="preserve"> </w:t>
            </w:r>
            <w:r w:rsidRPr="000B4E2C">
              <w:rPr>
                <w:rFonts w:cstheme="minorHAnsi"/>
                <w:sz w:val="18"/>
                <w:szCs w:val="18"/>
                <w:lang w:eastAsia="en-GB"/>
              </w:rPr>
              <w:t>0.16</w:t>
            </w:r>
          </w:p>
        </w:tc>
        <w:tc>
          <w:tcPr>
            <w:tcW w:w="0" w:type="auto"/>
            <w:shd w:val="clear" w:color="auto" w:fill="auto"/>
            <w:hideMark/>
          </w:tcPr>
          <w:p w14:paraId="7A3D6331" w14:textId="35666C57"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01335FB" w14:textId="663F398C"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C0A964F" w14:textId="7A00EE69"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D350A0C" w14:textId="40FDDEE1"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6CF54C9" w14:textId="7C5108FA"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16245CD1" w14:textId="77777777" w:rsidTr="000B4E2C">
        <w:trPr>
          <w:cantSplit/>
          <w:tblHeader/>
        </w:trPr>
        <w:tc>
          <w:tcPr>
            <w:tcW w:w="0" w:type="auto"/>
            <w:shd w:val="clear" w:color="auto" w:fill="auto"/>
            <w:hideMark/>
          </w:tcPr>
          <w:p w14:paraId="4224618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Cho</w:t>
            </w:r>
          </w:p>
        </w:tc>
        <w:tc>
          <w:tcPr>
            <w:tcW w:w="0" w:type="auto"/>
            <w:shd w:val="clear" w:color="auto" w:fill="auto"/>
            <w:hideMark/>
          </w:tcPr>
          <w:p w14:paraId="08BF1EB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2018</w:t>
            </w:r>
          </w:p>
        </w:tc>
        <w:tc>
          <w:tcPr>
            <w:tcW w:w="0" w:type="auto"/>
            <w:shd w:val="clear" w:color="auto" w:fill="auto"/>
            <w:hideMark/>
          </w:tcPr>
          <w:p w14:paraId="270AFB3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CKD requiring dialysis</w:t>
            </w:r>
          </w:p>
        </w:tc>
        <w:tc>
          <w:tcPr>
            <w:tcW w:w="0" w:type="auto"/>
            <w:shd w:val="clear" w:color="auto" w:fill="auto"/>
            <w:hideMark/>
          </w:tcPr>
          <w:p w14:paraId="6B53926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South Korea</w:t>
            </w:r>
          </w:p>
        </w:tc>
        <w:tc>
          <w:tcPr>
            <w:tcW w:w="0" w:type="auto"/>
            <w:shd w:val="clear" w:color="auto" w:fill="auto"/>
            <w:hideMark/>
          </w:tcPr>
          <w:p w14:paraId="0023EF62" w14:textId="378AAA12"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7DA32930"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 xml:space="preserve">Korean </w:t>
            </w:r>
          </w:p>
        </w:tc>
        <w:tc>
          <w:tcPr>
            <w:tcW w:w="0" w:type="auto"/>
            <w:shd w:val="clear" w:color="auto" w:fill="auto"/>
            <w:hideMark/>
          </w:tcPr>
          <w:p w14:paraId="7770052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50</w:t>
            </w:r>
          </w:p>
        </w:tc>
        <w:tc>
          <w:tcPr>
            <w:tcW w:w="0" w:type="auto"/>
            <w:shd w:val="clear" w:color="auto" w:fill="auto"/>
            <w:hideMark/>
          </w:tcPr>
          <w:p w14:paraId="1F83AFC5"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NR</w:t>
            </w:r>
          </w:p>
        </w:tc>
        <w:tc>
          <w:tcPr>
            <w:tcW w:w="0" w:type="auto"/>
            <w:shd w:val="clear" w:color="auto" w:fill="auto"/>
            <w:hideMark/>
          </w:tcPr>
          <w:p w14:paraId="19FAEE5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NR</w:t>
            </w:r>
          </w:p>
        </w:tc>
        <w:tc>
          <w:tcPr>
            <w:tcW w:w="0" w:type="auto"/>
            <w:shd w:val="clear" w:color="auto" w:fill="auto"/>
            <w:hideMark/>
          </w:tcPr>
          <w:p w14:paraId="4A971870"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CKD receiving dialysis</w:t>
            </w:r>
          </w:p>
        </w:tc>
        <w:tc>
          <w:tcPr>
            <w:tcW w:w="0" w:type="auto"/>
            <w:shd w:val="clear" w:color="auto" w:fill="auto"/>
            <w:hideMark/>
          </w:tcPr>
          <w:p w14:paraId="21915270"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0.63</w:t>
            </w:r>
          </w:p>
        </w:tc>
        <w:tc>
          <w:tcPr>
            <w:tcW w:w="0" w:type="auto"/>
            <w:shd w:val="clear" w:color="auto" w:fill="auto"/>
            <w:hideMark/>
          </w:tcPr>
          <w:p w14:paraId="5F144CAE" w14:textId="5DA03CDD"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8CE9FA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0.04</w:t>
            </w:r>
          </w:p>
        </w:tc>
        <w:tc>
          <w:tcPr>
            <w:tcW w:w="0" w:type="auto"/>
            <w:shd w:val="clear" w:color="auto" w:fill="auto"/>
            <w:hideMark/>
          </w:tcPr>
          <w:p w14:paraId="19D0A257" w14:textId="62116163"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73F0AC0F" w14:textId="47EB992A"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7305AE16" w14:textId="596A2C1F"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BF47EE6" w14:textId="75353992"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DB50F9A" w14:textId="7A8B56EC"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6359A33B" w14:textId="77777777" w:rsidTr="000B4E2C">
        <w:trPr>
          <w:cantSplit/>
          <w:tblHeader/>
        </w:trPr>
        <w:tc>
          <w:tcPr>
            <w:tcW w:w="0" w:type="auto"/>
            <w:shd w:val="clear" w:color="auto" w:fill="auto"/>
            <w:hideMark/>
          </w:tcPr>
          <w:p w14:paraId="0C09778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Eriksson</w:t>
            </w:r>
          </w:p>
        </w:tc>
        <w:tc>
          <w:tcPr>
            <w:tcW w:w="0" w:type="auto"/>
            <w:shd w:val="clear" w:color="auto" w:fill="auto"/>
            <w:hideMark/>
          </w:tcPr>
          <w:p w14:paraId="623C037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2016</w:t>
            </w:r>
          </w:p>
        </w:tc>
        <w:tc>
          <w:tcPr>
            <w:tcW w:w="0" w:type="auto"/>
            <w:shd w:val="clear" w:color="auto" w:fill="auto"/>
            <w:hideMark/>
          </w:tcPr>
          <w:p w14:paraId="335E8CC8" w14:textId="73FC73F3"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CKD patients (</w:t>
            </w:r>
            <w:r w:rsidR="000B4E2C" w:rsidRPr="000B4E2C">
              <w:rPr>
                <w:rFonts w:cstheme="minorHAnsi"/>
                <w:color w:val="00B0F0"/>
                <w:sz w:val="18"/>
                <w:szCs w:val="18"/>
                <w:lang w:eastAsia="en-GB"/>
              </w:rPr>
              <w:t>anaemic</w:t>
            </w:r>
            <w:r w:rsidRPr="000B4E2C">
              <w:rPr>
                <w:rFonts w:cstheme="minorHAnsi"/>
                <w:sz w:val="18"/>
                <w:szCs w:val="18"/>
                <w:lang w:eastAsia="en-GB"/>
              </w:rPr>
              <w:t xml:space="preserve"> and non-</w:t>
            </w:r>
            <w:r w:rsidR="000B4E2C" w:rsidRPr="000B4E2C">
              <w:rPr>
                <w:rFonts w:cstheme="minorHAnsi"/>
                <w:color w:val="00B0F0"/>
                <w:sz w:val="18"/>
                <w:szCs w:val="18"/>
                <w:lang w:eastAsia="en-GB"/>
              </w:rPr>
              <w:t>anaemic</w:t>
            </w:r>
            <w:r w:rsidRPr="000B4E2C">
              <w:rPr>
                <w:rFonts w:cstheme="minorHAnsi"/>
                <w:sz w:val="18"/>
                <w:szCs w:val="18"/>
                <w:lang w:eastAsia="en-GB"/>
              </w:rPr>
              <w:t>) with</w:t>
            </w:r>
            <w:r w:rsidR="000B4E2C" w:rsidRPr="000B4E2C">
              <w:rPr>
                <w:rFonts w:cstheme="minorHAnsi"/>
                <w:color w:val="00B0F0"/>
                <w:sz w:val="18"/>
                <w:szCs w:val="18"/>
                <w:lang w:eastAsia="en-GB"/>
              </w:rPr>
              <w:t>/</w:t>
            </w:r>
            <w:r w:rsidRPr="000B4E2C">
              <w:rPr>
                <w:rFonts w:cstheme="minorHAnsi"/>
                <w:sz w:val="18"/>
                <w:szCs w:val="18"/>
                <w:lang w:eastAsia="en-GB"/>
              </w:rPr>
              <w:t>without dialysis</w:t>
            </w:r>
          </w:p>
        </w:tc>
        <w:tc>
          <w:tcPr>
            <w:tcW w:w="0" w:type="auto"/>
            <w:shd w:val="clear" w:color="auto" w:fill="auto"/>
            <w:hideMark/>
          </w:tcPr>
          <w:p w14:paraId="4D4B9B3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France, Germany, Italy, Spain, UK</w:t>
            </w:r>
          </w:p>
        </w:tc>
        <w:tc>
          <w:tcPr>
            <w:tcW w:w="0" w:type="auto"/>
            <w:shd w:val="clear" w:color="auto" w:fill="auto"/>
            <w:hideMark/>
          </w:tcPr>
          <w:p w14:paraId="688F510B" w14:textId="2D1D2251"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5D2503B0"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Unclear, presume UK</w:t>
            </w:r>
          </w:p>
        </w:tc>
        <w:tc>
          <w:tcPr>
            <w:tcW w:w="0" w:type="auto"/>
            <w:shd w:val="clear" w:color="auto" w:fill="auto"/>
            <w:hideMark/>
          </w:tcPr>
          <w:p w14:paraId="700B57F8" w14:textId="0F13336D"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Total: 1177</w:t>
            </w:r>
            <w:r w:rsidR="000B4E2C" w:rsidRPr="000B4E2C">
              <w:rPr>
                <w:rFonts w:cstheme="minorHAnsi"/>
                <w:sz w:val="18"/>
                <w:szCs w:val="18"/>
                <w:lang w:eastAsia="en-GB"/>
              </w:rPr>
              <w:t xml:space="preserve"> </w:t>
            </w:r>
            <w:r w:rsidRPr="000B4E2C">
              <w:rPr>
                <w:rFonts w:cstheme="minorHAnsi"/>
                <w:sz w:val="18"/>
                <w:szCs w:val="18"/>
                <w:lang w:eastAsia="en-GB"/>
              </w:rPr>
              <w:t>Non Anaemic: 313 (27%)</w:t>
            </w:r>
            <w:r w:rsidR="000B4E2C" w:rsidRPr="000B4E2C">
              <w:rPr>
                <w:rFonts w:cstheme="minorHAnsi"/>
                <w:sz w:val="18"/>
                <w:szCs w:val="18"/>
                <w:lang w:eastAsia="en-GB"/>
              </w:rPr>
              <w:t xml:space="preserve"> </w:t>
            </w:r>
            <w:r w:rsidRPr="000B4E2C">
              <w:rPr>
                <w:rFonts w:cstheme="minorHAnsi"/>
                <w:sz w:val="18"/>
                <w:szCs w:val="18"/>
                <w:lang w:eastAsia="en-GB"/>
              </w:rPr>
              <w:t>Anaemic: 864 (73%)</w:t>
            </w:r>
          </w:p>
        </w:tc>
        <w:tc>
          <w:tcPr>
            <w:tcW w:w="0" w:type="auto"/>
            <w:shd w:val="clear" w:color="auto" w:fill="auto"/>
            <w:hideMark/>
          </w:tcPr>
          <w:p w14:paraId="7E3AA78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63.7 (15.1)</w:t>
            </w:r>
          </w:p>
        </w:tc>
        <w:tc>
          <w:tcPr>
            <w:tcW w:w="0" w:type="auto"/>
            <w:shd w:val="clear" w:color="auto" w:fill="auto"/>
            <w:hideMark/>
          </w:tcPr>
          <w:p w14:paraId="2B3A99C6"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60%</w:t>
            </w:r>
          </w:p>
        </w:tc>
        <w:tc>
          <w:tcPr>
            <w:tcW w:w="0" w:type="auto"/>
            <w:shd w:val="clear" w:color="auto" w:fill="auto"/>
            <w:hideMark/>
          </w:tcPr>
          <w:p w14:paraId="022A1AC6" w14:textId="77777777" w:rsidR="002F0133" w:rsidRPr="000B4E2C" w:rsidRDefault="002F0133" w:rsidP="008A7464">
            <w:pPr>
              <w:rPr>
                <w:rFonts w:cstheme="minorHAnsi"/>
                <w:b/>
                <w:bCs/>
                <w:sz w:val="18"/>
                <w:szCs w:val="18"/>
                <w:lang w:eastAsia="en-GB"/>
              </w:rPr>
            </w:pPr>
            <w:r w:rsidRPr="000B4E2C">
              <w:rPr>
                <w:rFonts w:cstheme="minorHAnsi"/>
                <w:b/>
                <w:bCs/>
                <w:sz w:val="18"/>
                <w:szCs w:val="18"/>
                <w:lang w:eastAsia="en-GB"/>
              </w:rPr>
              <w:t>Non-</w:t>
            </w:r>
          </w:p>
          <w:p w14:paraId="2451C93E" w14:textId="77777777" w:rsidR="002F0133" w:rsidRPr="000B4E2C" w:rsidRDefault="002F0133" w:rsidP="008A7464">
            <w:pPr>
              <w:rPr>
                <w:rFonts w:cstheme="minorHAnsi"/>
                <w:b/>
                <w:bCs/>
                <w:sz w:val="18"/>
                <w:szCs w:val="18"/>
                <w:lang w:eastAsia="en-GB"/>
              </w:rPr>
            </w:pPr>
            <w:r w:rsidRPr="000B4E2C">
              <w:rPr>
                <w:rFonts w:cstheme="minorHAnsi"/>
                <w:b/>
                <w:bCs/>
                <w:sz w:val="18"/>
                <w:szCs w:val="18"/>
                <w:lang w:eastAsia="en-GB"/>
              </w:rPr>
              <w:t>anaemic:</w:t>
            </w:r>
          </w:p>
          <w:p w14:paraId="1710DB9F" w14:textId="77777777" w:rsidR="000B4E2C" w:rsidRPr="000B4E2C" w:rsidRDefault="002F0133" w:rsidP="008A7464">
            <w:pPr>
              <w:rPr>
                <w:rFonts w:cstheme="minorHAnsi"/>
                <w:b/>
                <w:bCs/>
                <w:sz w:val="18"/>
                <w:szCs w:val="18"/>
                <w:lang w:eastAsia="en-GB"/>
              </w:rPr>
            </w:pPr>
            <w:r w:rsidRPr="000B4E2C">
              <w:rPr>
                <w:rFonts w:cstheme="minorHAnsi"/>
                <w:b/>
                <w:bCs/>
                <w:sz w:val="18"/>
                <w:szCs w:val="18"/>
                <w:lang w:eastAsia="en-GB"/>
              </w:rPr>
              <w:t>(27%)</w:t>
            </w:r>
          </w:p>
          <w:p w14:paraId="1248C074" w14:textId="6CCD3255" w:rsidR="002F0133" w:rsidRPr="000B4E2C" w:rsidRDefault="002F0133" w:rsidP="008A7464">
            <w:pPr>
              <w:rPr>
                <w:rFonts w:cstheme="minorHAnsi"/>
                <w:b/>
                <w:bCs/>
                <w:sz w:val="18"/>
                <w:szCs w:val="18"/>
                <w:lang w:eastAsia="en-GB"/>
              </w:rPr>
            </w:pPr>
            <w:r w:rsidRPr="000B4E2C">
              <w:rPr>
                <w:rFonts w:cstheme="minorHAnsi"/>
                <w:sz w:val="18"/>
                <w:szCs w:val="18"/>
                <w:lang w:eastAsia="en-GB"/>
              </w:rPr>
              <w:t>CKD 3</w:t>
            </w:r>
            <w:r w:rsidR="000B4E2C" w:rsidRPr="000B4E2C">
              <w:rPr>
                <w:rFonts w:cstheme="minorHAnsi"/>
                <w:sz w:val="18"/>
                <w:szCs w:val="18"/>
                <w:lang w:eastAsia="en-GB"/>
              </w:rPr>
              <w:t xml:space="preserve"> </w:t>
            </w:r>
            <w:r w:rsidRPr="000B4E2C">
              <w:rPr>
                <w:rFonts w:cstheme="minorHAnsi"/>
                <w:sz w:val="18"/>
                <w:szCs w:val="18"/>
                <w:lang w:eastAsia="en-GB"/>
              </w:rPr>
              <w:t>CKD 4</w:t>
            </w:r>
            <w:r w:rsidR="000B4E2C" w:rsidRPr="000B4E2C">
              <w:rPr>
                <w:rFonts w:cstheme="minorHAnsi"/>
                <w:sz w:val="18"/>
                <w:szCs w:val="18"/>
                <w:lang w:eastAsia="en-GB"/>
              </w:rPr>
              <w:t xml:space="preserve"> </w:t>
            </w:r>
            <w:r w:rsidRPr="000B4E2C">
              <w:rPr>
                <w:rFonts w:cstheme="minorHAnsi"/>
                <w:sz w:val="18"/>
                <w:szCs w:val="18"/>
                <w:lang w:eastAsia="en-GB"/>
              </w:rPr>
              <w:t>Dialysis</w:t>
            </w:r>
            <w:r w:rsidR="000B4E2C" w:rsidRPr="000B4E2C">
              <w:rPr>
                <w:rFonts w:cstheme="minorHAnsi"/>
                <w:sz w:val="18"/>
                <w:szCs w:val="18"/>
                <w:lang w:eastAsia="en-GB"/>
              </w:rPr>
              <w:t xml:space="preserve"> </w:t>
            </w:r>
            <w:r w:rsidRPr="000B4E2C">
              <w:rPr>
                <w:rFonts w:cstheme="minorHAnsi"/>
                <w:sz w:val="18"/>
                <w:szCs w:val="18"/>
                <w:lang w:eastAsia="en-GB"/>
              </w:rPr>
              <w:t>Total</w:t>
            </w:r>
            <w:r w:rsidR="000B4E2C" w:rsidRPr="000B4E2C">
              <w:rPr>
                <w:rFonts w:cstheme="minorHAnsi"/>
                <w:sz w:val="18"/>
                <w:szCs w:val="18"/>
                <w:lang w:eastAsia="en-GB"/>
              </w:rPr>
              <w:t xml:space="preserve"> </w:t>
            </w:r>
            <w:r w:rsidRPr="000B4E2C">
              <w:rPr>
                <w:rFonts w:cstheme="minorHAnsi"/>
                <w:b/>
                <w:bCs/>
                <w:sz w:val="18"/>
                <w:szCs w:val="18"/>
                <w:lang w:eastAsia="en-GB"/>
              </w:rPr>
              <w:t>Anaemic:</w:t>
            </w:r>
          </w:p>
          <w:p w14:paraId="564FF3D5" w14:textId="77777777" w:rsidR="000B4E2C" w:rsidRPr="000B4E2C" w:rsidRDefault="002F0133" w:rsidP="008A7464">
            <w:pPr>
              <w:rPr>
                <w:rFonts w:cstheme="minorHAnsi"/>
                <w:b/>
                <w:bCs/>
                <w:sz w:val="18"/>
                <w:szCs w:val="18"/>
                <w:lang w:eastAsia="en-GB"/>
              </w:rPr>
            </w:pPr>
            <w:r w:rsidRPr="000B4E2C">
              <w:rPr>
                <w:rFonts w:cstheme="minorHAnsi"/>
                <w:b/>
                <w:bCs/>
                <w:sz w:val="18"/>
                <w:szCs w:val="18"/>
                <w:lang w:eastAsia="en-GB"/>
              </w:rPr>
              <w:t>(73%)</w:t>
            </w:r>
          </w:p>
          <w:p w14:paraId="3F5945B0" w14:textId="7CC6163C"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CKD 3</w:t>
            </w:r>
            <w:r w:rsidR="000B4E2C" w:rsidRPr="000B4E2C">
              <w:rPr>
                <w:rFonts w:cstheme="minorHAnsi"/>
                <w:sz w:val="18"/>
                <w:szCs w:val="18"/>
                <w:lang w:eastAsia="en-GB"/>
              </w:rPr>
              <w:t xml:space="preserve"> </w:t>
            </w:r>
            <w:r w:rsidRPr="000B4E2C">
              <w:rPr>
                <w:rFonts w:cstheme="minorHAnsi"/>
                <w:sz w:val="18"/>
                <w:szCs w:val="18"/>
                <w:lang w:eastAsia="en-GB"/>
              </w:rPr>
              <w:t>CKD 4</w:t>
            </w:r>
            <w:r w:rsidR="000B4E2C" w:rsidRPr="000B4E2C">
              <w:rPr>
                <w:rFonts w:cstheme="minorHAnsi"/>
                <w:sz w:val="18"/>
                <w:szCs w:val="18"/>
                <w:lang w:eastAsia="en-GB"/>
              </w:rPr>
              <w:t xml:space="preserve"> </w:t>
            </w:r>
            <w:r w:rsidRPr="000B4E2C">
              <w:rPr>
                <w:rFonts w:cstheme="minorHAnsi"/>
                <w:sz w:val="18"/>
                <w:szCs w:val="18"/>
                <w:lang w:eastAsia="en-GB"/>
              </w:rPr>
              <w:t>Dialysis</w:t>
            </w:r>
            <w:r w:rsidR="000B4E2C" w:rsidRPr="000B4E2C">
              <w:rPr>
                <w:rFonts w:cstheme="minorHAnsi"/>
                <w:sz w:val="18"/>
                <w:szCs w:val="18"/>
                <w:lang w:eastAsia="en-GB"/>
              </w:rPr>
              <w:t xml:space="preserve"> </w:t>
            </w:r>
            <w:r w:rsidRPr="000B4E2C">
              <w:rPr>
                <w:rFonts w:cstheme="minorHAnsi"/>
                <w:sz w:val="18"/>
                <w:szCs w:val="18"/>
                <w:lang w:eastAsia="en-GB"/>
              </w:rPr>
              <w:t>Total</w:t>
            </w:r>
          </w:p>
        </w:tc>
        <w:tc>
          <w:tcPr>
            <w:tcW w:w="0" w:type="auto"/>
            <w:shd w:val="clear" w:color="auto" w:fill="auto"/>
            <w:hideMark/>
          </w:tcPr>
          <w:p w14:paraId="37B81289" w14:textId="77777777" w:rsidR="000B4E2C" w:rsidRPr="000B4E2C" w:rsidRDefault="002F0133" w:rsidP="008A7464">
            <w:pPr>
              <w:rPr>
                <w:rFonts w:cstheme="minorHAnsi"/>
                <w:sz w:val="18"/>
                <w:szCs w:val="18"/>
                <w:lang w:eastAsia="en-GB"/>
              </w:rPr>
            </w:pPr>
            <w:r w:rsidRPr="000B4E2C">
              <w:rPr>
                <w:rFonts w:cstheme="minorHAnsi"/>
                <w:b/>
                <w:bCs/>
                <w:sz w:val="18"/>
                <w:szCs w:val="18"/>
                <w:lang w:eastAsia="en-GB"/>
              </w:rPr>
              <w:t>Non-an (27%):</w:t>
            </w:r>
          </w:p>
          <w:p w14:paraId="7A21F7E1" w14:textId="77777777" w:rsidR="000B4E2C" w:rsidRPr="000B4E2C" w:rsidRDefault="002F0133" w:rsidP="008A7464">
            <w:pPr>
              <w:rPr>
                <w:rFonts w:cstheme="minorHAnsi"/>
                <w:sz w:val="18"/>
                <w:szCs w:val="18"/>
                <w:lang w:eastAsia="en-GB"/>
              </w:rPr>
            </w:pPr>
            <w:r w:rsidRPr="000B4E2C">
              <w:rPr>
                <w:rFonts w:cstheme="minorHAnsi"/>
                <w:sz w:val="18"/>
                <w:szCs w:val="18"/>
                <w:lang w:eastAsia="en-GB"/>
              </w:rPr>
              <w:t>0.85</w:t>
            </w:r>
            <w:r w:rsidR="000B4E2C" w:rsidRPr="000B4E2C">
              <w:rPr>
                <w:rFonts w:cstheme="minorHAnsi"/>
                <w:sz w:val="18"/>
                <w:szCs w:val="18"/>
                <w:lang w:eastAsia="en-GB"/>
              </w:rPr>
              <w:t xml:space="preserve"> </w:t>
            </w:r>
            <w:r w:rsidRPr="000B4E2C">
              <w:rPr>
                <w:rFonts w:cstheme="minorHAnsi"/>
                <w:sz w:val="18"/>
                <w:szCs w:val="18"/>
                <w:lang w:eastAsia="en-GB"/>
              </w:rPr>
              <w:t>0.81</w:t>
            </w:r>
            <w:r w:rsidR="000B4E2C" w:rsidRPr="000B4E2C">
              <w:rPr>
                <w:rFonts w:cstheme="minorHAnsi"/>
                <w:sz w:val="18"/>
                <w:szCs w:val="18"/>
                <w:lang w:eastAsia="en-GB"/>
              </w:rPr>
              <w:t xml:space="preserve"> </w:t>
            </w:r>
            <w:r w:rsidRPr="000B4E2C">
              <w:rPr>
                <w:rFonts w:cstheme="minorHAnsi"/>
                <w:sz w:val="18"/>
                <w:szCs w:val="18"/>
                <w:lang w:eastAsia="en-GB"/>
              </w:rPr>
              <w:t>0.74</w:t>
            </w:r>
            <w:r w:rsidR="000B4E2C" w:rsidRPr="000B4E2C">
              <w:rPr>
                <w:rFonts w:cstheme="minorHAnsi"/>
                <w:sz w:val="18"/>
                <w:szCs w:val="18"/>
                <w:lang w:eastAsia="en-GB"/>
              </w:rPr>
              <w:t xml:space="preserve"> </w:t>
            </w:r>
            <w:r w:rsidRPr="000B4E2C">
              <w:rPr>
                <w:rFonts w:cstheme="minorHAnsi"/>
                <w:sz w:val="18"/>
                <w:szCs w:val="18"/>
                <w:lang w:eastAsia="en-GB"/>
              </w:rPr>
              <w:t>0.83</w:t>
            </w:r>
            <w:r w:rsidR="000B4E2C" w:rsidRPr="000B4E2C">
              <w:rPr>
                <w:rFonts w:cstheme="minorHAnsi"/>
                <w:sz w:val="18"/>
                <w:szCs w:val="18"/>
                <w:lang w:eastAsia="en-GB"/>
              </w:rPr>
              <w:t xml:space="preserve"> </w:t>
            </w:r>
            <w:r w:rsidRPr="000B4E2C">
              <w:rPr>
                <w:rFonts w:cstheme="minorHAnsi"/>
                <w:b/>
                <w:bCs/>
                <w:sz w:val="18"/>
                <w:szCs w:val="18"/>
                <w:lang w:eastAsia="en-GB"/>
              </w:rPr>
              <w:t>Anaemic (73%):</w:t>
            </w:r>
          </w:p>
          <w:p w14:paraId="53DBE5F7" w14:textId="2BABD548"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0.78</w:t>
            </w:r>
            <w:r w:rsidR="000B4E2C" w:rsidRPr="000B4E2C">
              <w:rPr>
                <w:rFonts w:cstheme="minorHAnsi"/>
                <w:sz w:val="18"/>
                <w:szCs w:val="18"/>
                <w:lang w:eastAsia="en-GB"/>
              </w:rPr>
              <w:t xml:space="preserve"> </w:t>
            </w:r>
            <w:r w:rsidRPr="000B4E2C">
              <w:rPr>
                <w:rFonts w:cstheme="minorHAnsi"/>
                <w:sz w:val="18"/>
                <w:szCs w:val="18"/>
                <w:lang w:eastAsia="en-GB"/>
              </w:rPr>
              <w:t>0.71</w:t>
            </w:r>
            <w:r w:rsidR="000B4E2C" w:rsidRPr="000B4E2C">
              <w:rPr>
                <w:rFonts w:cstheme="minorHAnsi"/>
                <w:sz w:val="18"/>
                <w:szCs w:val="18"/>
                <w:lang w:eastAsia="en-GB"/>
              </w:rPr>
              <w:t xml:space="preserve"> </w:t>
            </w:r>
            <w:r w:rsidRPr="000B4E2C">
              <w:rPr>
                <w:rFonts w:cstheme="minorHAnsi"/>
                <w:sz w:val="18"/>
                <w:szCs w:val="18"/>
                <w:lang w:eastAsia="en-GB"/>
              </w:rPr>
              <w:t>0.70</w:t>
            </w:r>
            <w:r w:rsidR="000B4E2C" w:rsidRPr="000B4E2C">
              <w:rPr>
                <w:rFonts w:cstheme="minorHAnsi"/>
                <w:sz w:val="18"/>
                <w:szCs w:val="18"/>
                <w:lang w:eastAsia="en-GB"/>
              </w:rPr>
              <w:t xml:space="preserve"> </w:t>
            </w:r>
            <w:r w:rsidRPr="000B4E2C">
              <w:rPr>
                <w:rFonts w:cstheme="minorHAnsi"/>
                <w:sz w:val="18"/>
                <w:szCs w:val="18"/>
                <w:lang w:eastAsia="en-GB"/>
              </w:rPr>
              <w:t>0.72</w:t>
            </w:r>
          </w:p>
        </w:tc>
        <w:tc>
          <w:tcPr>
            <w:tcW w:w="0" w:type="auto"/>
            <w:shd w:val="clear" w:color="auto" w:fill="auto"/>
            <w:hideMark/>
          </w:tcPr>
          <w:p w14:paraId="36121145" w14:textId="69FC31EE"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6E2D440D" w14:textId="273D549A"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B59594D" w14:textId="77777777" w:rsidR="000B4E2C" w:rsidRPr="000B4E2C" w:rsidRDefault="002F0133" w:rsidP="008A7464">
            <w:pPr>
              <w:rPr>
                <w:rFonts w:cstheme="minorHAnsi"/>
                <w:sz w:val="18"/>
                <w:szCs w:val="18"/>
                <w:lang w:eastAsia="en-GB"/>
              </w:rPr>
            </w:pPr>
            <w:r w:rsidRPr="000B4E2C">
              <w:rPr>
                <w:rFonts w:cstheme="minorHAnsi"/>
                <w:b/>
                <w:bCs/>
                <w:sz w:val="18"/>
                <w:szCs w:val="18"/>
                <w:lang w:eastAsia="en-GB"/>
              </w:rPr>
              <w:t>Non-anaemic (27%):</w:t>
            </w:r>
          </w:p>
          <w:p w14:paraId="73D02C32" w14:textId="77777777" w:rsidR="000B4E2C" w:rsidRPr="000B4E2C" w:rsidRDefault="002F0133" w:rsidP="008A7464">
            <w:pPr>
              <w:rPr>
                <w:rFonts w:cstheme="minorHAnsi"/>
                <w:sz w:val="18"/>
                <w:szCs w:val="18"/>
                <w:lang w:eastAsia="en-GB"/>
              </w:rPr>
            </w:pPr>
            <w:r w:rsidRPr="000B4E2C">
              <w:rPr>
                <w:rFonts w:cstheme="minorHAnsi"/>
                <w:sz w:val="18"/>
                <w:szCs w:val="18"/>
                <w:lang w:eastAsia="en-GB"/>
              </w:rPr>
              <w:t>0.21</w:t>
            </w:r>
            <w:r w:rsidR="000B4E2C" w:rsidRPr="000B4E2C">
              <w:rPr>
                <w:rFonts w:cstheme="minorHAnsi"/>
                <w:sz w:val="18"/>
                <w:szCs w:val="18"/>
                <w:lang w:eastAsia="en-GB"/>
              </w:rPr>
              <w:t xml:space="preserve"> </w:t>
            </w:r>
            <w:r w:rsidRPr="000B4E2C">
              <w:rPr>
                <w:rFonts w:cstheme="minorHAnsi"/>
                <w:sz w:val="18"/>
                <w:szCs w:val="18"/>
                <w:lang w:eastAsia="en-GB"/>
              </w:rPr>
              <w:t>0.22</w:t>
            </w:r>
            <w:r w:rsidR="000B4E2C" w:rsidRPr="000B4E2C">
              <w:rPr>
                <w:rFonts w:cstheme="minorHAnsi"/>
                <w:sz w:val="18"/>
                <w:szCs w:val="18"/>
                <w:lang w:eastAsia="en-GB"/>
              </w:rPr>
              <w:t xml:space="preserve"> </w:t>
            </w:r>
            <w:r w:rsidRPr="000B4E2C">
              <w:rPr>
                <w:rFonts w:cstheme="minorHAnsi"/>
                <w:sz w:val="18"/>
                <w:szCs w:val="18"/>
                <w:lang w:eastAsia="en-GB"/>
              </w:rPr>
              <w:t>0.29</w:t>
            </w:r>
            <w:r w:rsidR="000B4E2C" w:rsidRPr="000B4E2C">
              <w:rPr>
                <w:rFonts w:cstheme="minorHAnsi"/>
                <w:sz w:val="18"/>
                <w:szCs w:val="18"/>
                <w:lang w:eastAsia="en-GB"/>
              </w:rPr>
              <w:t xml:space="preserve"> </w:t>
            </w:r>
            <w:r w:rsidRPr="000B4E2C">
              <w:rPr>
                <w:rFonts w:cstheme="minorHAnsi"/>
                <w:sz w:val="18"/>
                <w:szCs w:val="18"/>
                <w:lang w:eastAsia="en-GB"/>
              </w:rPr>
              <w:t>0.23</w:t>
            </w:r>
            <w:r w:rsidR="000B4E2C" w:rsidRPr="000B4E2C">
              <w:rPr>
                <w:rFonts w:cstheme="minorHAnsi"/>
                <w:sz w:val="18"/>
                <w:szCs w:val="18"/>
                <w:lang w:eastAsia="en-GB"/>
              </w:rPr>
              <w:t xml:space="preserve"> </w:t>
            </w:r>
            <w:r w:rsidRPr="000B4E2C">
              <w:rPr>
                <w:rFonts w:cstheme="minorHAnsi"/>
                <w:b/>
                <w:bCs/>
                <w:sz w:val="18"/>
                <w:szCs w:val="18"/>
                <w:lang w:eastAsia="en-GB"/>
              </w:rPr>
              <w:t>Anaemic (73%):</w:t>
            </w:r>
          </w:p>
          <w:p w14:paraId="42D01B0C" w14:textId="1DC398F8"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0.29</w:t>
            </w:r>
            <w:r w:rsidR="000B4E2C" w:rsidRPr="000B4E2C">
              <w:rPr>
                <w:rFonts w:cstheme="minorHAnsi"/>
                <w:sz w:val="18"/>
                <w:szCs w:val="18"/>
                <w:lang w:eastAsia="en-GB"/>
              </w:rPr>
              <w:t xml:space="preserve"> </w:t>
            </w:r>
            <w:r w:rsidRPr="000B4E2C">
              <w:rPr>
                <w:rFonts w:cstheme="minorHAnsi"/>
                <w:sz w:val="18"/>
                <w:szCs w:val="18"/>
                <w:lang w:eastAsia="en-GB"/>
              </w:rPr>
              <w:t>0.28</w:t>
            </w:r>
            <w:r w:rsidR="000B4E2C" w:rsidRPr="000B4E2C">
              <w:rPr>
                <w:rFonts w:cstheme="minorHAnsi"/>
                <w:sz w:val="18"/>
                <w:szCs w:val="18"/>
                <w:lang w:eastAsia="en-GB"/>
              </w:rPr>
              <w:t xml:space="preserve"> </w:t>
            </w:r>
            <w:r w:rsidRPr="000B4E2C">
              <w:rPr>
                <w:rFonts w:cstheme="minorHAnsi"/>
                <w:sz w:val="18"/>
                <w:szCs w:val="18"/>
                <w:lang w:eastAsia="en-GB"/>
              </w:rPr>
              <w:t>0.32</w:t>
            </w:r>
            <w:r w:rsidR="000B4E2C" w:rsidRPr="000B4E2C">
              <w:rPr>
                <w:rFonts w:cstheme="minorHAnsi"/>
                <w:sz w:val="18"/>
                <w:szCs w:val="18"/>
                <w:lang w:eastAsia="en-GB"/>
              </w:rPr>
              <w:t xml:space="preserve"> </w:t>
            </w:r>
            <w:r w:rsidRPr="000B4E2C">
              <w:rPr>
                <w:rFonts w:cstheme="minorHAnsi"/>
                <w:sz w:val="18"/>
                <w:szCs w:val="18"/>
                <w:lang w:eastAsia="en-GB"/>
              </w:rPr>
              <w:t>0.31</w:t>
            </w:r>
          </w:p>
        </w:tc>
        <w:tc>
          <w:tcPr>
            <w:tcW w:w="0" w:type="auto"/>
            <w:shd w:val="clear" w:color="auto" w:fill="auto"/>
            <w:hideMark/>
          </w:tcPr>
          <w:p w14:paraId="44AA7CB1" w14:textId="0AC28989"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B7E6A44" w14:textId="302327A9"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BBF95FC" w14:textId="78FB9F01"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FE9B1E0" w14:textId="42D9CFF2"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62CF8DB7" w14:textId="77777777" w:rsidTr="000B4E2C">
        <w:trPr>
          <w:cantSplit/>
          <w:tblHeader/>
        </w:trPr>
        <w:tc>
          <w:tcPr>
            <w:tcW w:w="0" w:type="auto"/>
            <w:shd w:val="clear" w:color="auto" w:fill="auto"/>
            <w:hideMark/>
          </w:tcPr>
          <w:p w14:paraId="00D80BD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Filali</w:t>
            </w:r>
          </w:p>
        </w:tc>
        <w:tc>
          <w:tcPr>
            <w:tcW w:w="0" w:type="auto"/>
            <w:shd w:val="clear" w:color="auto" w:fill="auto"/>
            <w:hideMark/>
          </w:tcPr>
          <w:p w14:paraId="7B4BF9AB"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2017</w:t>
            </w:r>
          </w:p>
        </w:tc>
        <w:tc>
          <w:tcPr>
            <w:tcW w:w="0" w:type="auto"/>
            <w:shd w:val="clear" w:color="auto" w:fill="auto"/>
            <w:hideMark/>
          </w:tcPr>
          <w:p w14:paraId="2CB613E7"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Chronic HD patients</w:t>
            </w:r>
          </w:p>
        </w:tc>
        <w:tc>
          <w:tcPr>
            <w:tcW w:w="0" w:type="auto"/>
            <w:shd w:val="clear" w:color="auto" w:fill="auto"/>
            <w:hideMark/>
          </w:tcPr>
          <w:p w14:paraId="602650D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Morocco</w:t>
            </w:r>
          </w:p>
        </w:tc>
        <w:tc>
          <w:tcPr>
            <w:tcW w:w="0" w:type="auto"/>
            <w:shd w:val="clear" w:color="auto" w:fill="auto"/>
            <w:hideMark/>
          </w:tcPr>
          <w:p w14:paraId="38F76234" w14:textId="23D81A9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057F3D8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Unclear</w:t>
            </w:r>
          </w:p>
        </w:tc>
        <w:tc>
          <w:tcPr>
            <w:tcW w:w="0" w:type="auto"/>
            <w:shd w:val="clear" w:color="auto" w:fill="auto"/>
            <w:hideMark/>
          </w:tcPr>
          <w:p w14:paraId="7D685FA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103</w:t>
            </w:r>
          </w:p>
        </w:tc>
        <w:tc>
          <w:tcPr>
            <w:tcW w:w="0" w:type="auto"/>
            <w:shd w:val="clear" w:color="auto" w:fill="auto"/>
            <w:hideMark/>
          </w:tcPr>
          <w:p w14:paraId="282B3E7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49.7 (14.7)</w:t>
            </w:r>
          </w:p>
        </w:tc>
        <w:tc>
          <w:tcPr>
            <w:tcW w:w="0" w:type="auto"/>
            <w:shd w:val="clear" w:color="auto" w:fill="auto"/>
            <w:hideMark/>
          </w:tcPr>
          <w:p w14:paraId="1E078A16"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45.60%</w:t>
            </w:r>
          </w:p>
        </w:tc>
        <w:tc>
          <w:tcPr>
            <w:tcW w:w="0" w:type="auto"/>
            <w:shd w:val="clear" w:color="auto" w:fill="auto"/>
            <w:hideMark/>
          </w:tcPr>
          <w:p w14:paraId="22492C56"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HD</w:t>
            </w:r>
          </w:p>
        </w:tc>
        <w:tc>
          <w:tcPr>
            <w:tcW w:w="0" w:type="auto"/>
            <w:shd w:val="clear" w:color="auto" w:fill="auto"/>
            <w:hideMark/>
          </w:tcPr>
          <w:p w14:paraId="6C36978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0.41</w:t>
            </w:r>
          </w:p>
        </w:tc>
        <w:tc>
          <w:tcPr>
            <w:tcW w:w="0" w:type="auto"/>
            <w:shd w:val="clear" w:color="auto" w:fill="auto"/>
            <w:hideMark/>
          </w:tcPr>
          <w:p w14:paraId="055F663E" w14:textId="7F658D77"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7E2107F" w14:textId="3D86D5B1"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769FA5E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0.36</w:t>
            </w:r>
          </w:p>
        </w:tc>
        <w:tc>
          <w:tcPr>
            <w:tcW w:w="0" w:type="auto"/>
            <w:shd w:val="clear" w:color="auto" w:fill="auto"/>
            <w:hideMark/>
          </w:tcPr>
          <w:p w14:paraId="65ACCA50" w14:textId="16764B7A"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0DA43D8" w14:textId="7C9AEE05"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406974B5" w14:textId="40468DD3"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8AF2949" w14:textId="56584C24"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1B1D5BDD" w14:textId="77777777" w:rsidTr="000B4E2C">
        <w:trPr>
          <w:cantSplit/>
          <w:tblHeader/>
        </w:trPr>
        <w:tc>
          <w:tcPr>
            <w:tcW w:w="0" w:type="auto"/>
            <w:shd w:val="clear" w:color="auto" w:fill="auto"/>
            <w:hideMark/>
          </w:tcPr>
          <w:p w14:paraId="4F7C882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lastRenderedPageBreak/>
              <w:t>Hishii</w:t>
            </w:r>
          </w:p>
        </w:tc>
        <w:tc>
          <w:tcPr>
            <w:tcW w:w="0" w:type="auto"/>
            <w:shd w:val="clear" w:color="auto" w:fill="auto"/>
            <w:hideMark/>
          </w:tcPr>
          <w:p w14:paraId="77806F3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2018</w:t>
            </w:r>
          </w:p>
        </w:tc>
        <w:tc>
          <w:tcPr>
            <w:tcW w:w="0" w:type="auto"/>
            <w:shd w:val="clear" w:color="auto" w:fill="auto"/>
            <w:hideMark/>
          </w:tcPr>
          <w:p w14:paraId="1536DD5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Chronic HD patients</w:t>
            </w:r>
          </w:p>
        </w:tc>
        <w:tc>
          <w:tcPr>
            <w:tcW w:w="0" w:type="auto"/>
            <w:shd w:val="clear" w:color="auto" w:fill="auto"/>
            <w:hideMark/>
          </w:tcPr>
          <w:p w14:paraId="74D6C03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Japan</w:t>
            </w:r>
          </w:p>
        </w:tc>
        <w:tc>
          <w:tcPr>
            <w:tcW w:w="0" w:type="auto"/>
            <w:shd w:val="clear" w:color="auto" w:fill="auto"/>
            <w:hideMark/>
          </w:tcPr>
          <w:p w14:paraId="6D98640E" w14:textId="084DA09B"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0A434CE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Unclear</w:t>
            </w:r>
          </w:p>
        </w:tc>
        <w:tc>
          <w:tcPr>
            <w:tcW w:w="0" w:type="auto"/>
            <w:shd w:val="clear" w:color="auto" w:fill="auto"/>
            <w:hideMark/>
          </w:tcPr>
          <w:p w14:paraId="52EAB97F"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60</w:t>
            </w:r>
          </w:p>
        </w:tc>
        <w:tc>
          <w:tcPr>
            <w:tcW w:w="0" w:type="auto"/>
            <w:shd w:val="clear" w:color="auto" w:fill="auto"/>
            <w:hideMark/>
          </w:tcPr>
          <w:p w14:paraId="11DB2D15"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71.1 (12)</w:t>
            </w:r>
          </w:p>
        </w:tc>
        <w:tc>
          <w:tcPr>
            <w:tcW w:w="0" w:type="auto"/>
            <w:shd w:val="clear" w:color="auto" w:fill="auto"/>
            <w:hideMark/>
          </w:tcPr>
          <w:p w14:paraId="205D4058"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51.67%</w:t>
            </w:r>
          </w:p>
        </w:tc>
        <w:tc>
          <w:tcPr>
            <w:tcW w:w="0" w:type="auto"/>
            <w:shd w:val="clear" w:color="auto" w:fill="auto"/>
            <w:hideMark/>
          </w:tcPr>
          <w:p w14:paraId="347A2EE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HD</w:t>
            </w:r>
          </w:p>
        </w:tc>
        <w:tc>
          <w:tcPr>
            <w:tcW w:w="0" w:type="auto"/>
            <w:shd w:val="clear" w:color="auto" w:fill="auto"/>
            <w:hideMark/>
          </w:tcPr>
          <w:p w14:paraId="4E666A4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0.688</w:t>
            </w:r>
          </w:p>
        </w:tc>
        <w:tc>
          <w:tcPr>
            <w:tcW w:w="0" w:type="auto"/>
            <w:shd w:val="clear" w:color="auto" w:fill="auto"/>
            <w:hideMark/>
          </w:tcPr>
          <w:p w14:paraId="4A08D4A7" w14:textId="562C32C4"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4FD2EBD9" w14:textId="561F272A"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69AED43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0.233</w:t>
            </w:r>
          </w:p>
        </w:tc>
        <w:tc>
          <w:tcPr>
            <w:tcW w:w="0" w:type="auto"/>
            <w:shd w:val="clear" w:color="auto" w:fill="auto"/>
            <w:hideMark/>
          </w:tcPr>
          <w:p w14:paraId="73107A3A" w14:textId="041EEE94"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A2DF602" w14:textId="49ECE2C3"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0439D25" w14:textId="4409DFD9"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CF055EE" w14:textId="4DB68C9F"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12D13DA2" w14:textId="77777777" w:rsidTr="000B4E2C">
        <w:trPr>
          <w:cantSplit/>
          <w:tblHeader/>
        </w:trPr>
        <w:tc>
          <w:tcPr>
            <w:tcW w:w="0" w:type="auto"/>
            <w:shd w:val="clear" w:color="auto" w:fill="auto"/>
            <w:hideMark/>
          </w:tcPr>
          <w:p w14:paraId="5059DCF0"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Jardine</w:t>
            </w:r>
          </w:p>
        </w:tc>
        <w:tc>
          <w:tcPr>
            <w:tcW w:w="0" w:type="auto"/>
            <w:shd w:val="clear" w:color="auto" w:fill="auto"/>
            <w:hideMark/>
          </w:tcPr>
          <w:p w14:paraId="227DD11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2017</w:t>
            </w:r>
          </w:p>
        </w:tc>
        <w:tc>
          <w:tcPr>
            <w:tcW w:w="0" w:type="auto"/>
            <w:shd w:val="clear" w:color="auto" w:fill="auto"/>
            <w:hideMark/>
          </w:tcPr>
          <w:p w14:paraId="4FCBE48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Maintenance HD</w:t>
            </w:r>
          </w:p>
        </w:tc>
        <w:tc>
          <w:tcPr>
            <w:tcW w:w="0" w:type="auto"/>
            <w:shd w:val="clear" w:color="auto" w:fill="auto"/>
            <w:hideMark/>
          </w:tcPr>
          <w:p w14:paraId="5C0BFD11"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Australia (28%), canada (6%), china (62%), new zealand (4%)</w:t>
            </w:r>
          </w:p>
        </w:tc>
        <w:tc>
          <w:tcPr>
            <w:tcW w:w="0" w:type="auto"/>
            <w:shd w:val="clear" w:color="auto" w:fill="auto"/>
            <w:hideMark/>
          </w:tcPr>
          <w:p w14:paraId="52F85B14" w14:textId="466CDCB5"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1CCAE94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Unclear</w:t>
            </w:r>
          </w:p>
        </w:tc>
        <w:tc>
          <w:tcPr>
            <w:tcW w:w="0" w:type="auto"/>
            <w:shd w:val="clear" w:color="auto" w:fill="auto"/>
            <w:hideMark/>
          </w:tcPr>
          <w:p w14:paraId="2F65236A"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200</w:t>
            </w:r>
          </w:p>
        </w:tc>
        <w:tc>
          <w:tcPr>
            <w:tcW w:w="0" w:type="auto"/>
            <w:shd w:val="clear" w:color="auto" w:fill="auto"/>
            <w:hideMark/>
          </w:tcPr>
          <w:p w14:paraId="560C575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51.8 (12.1)</w:t>
            </w:r>
          </w:p>
        </w:tc>
        <w:tc>
          <w:tcPr>
            <w:tcW w:w="0" w:type="auto"/>
            <w:shd w:val="clear" w:color="auto" w:fill="auto"/>
            <w:hideMark/>
          </w:tcPr>
          <w:p w14:paraId="327EDF5F"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69.50%</w:t>
            </w:r>
          </w:p>
        </w:tc>
        <w:tc>
          <w:tcPr>
            <w:tcW w:w="0" w:type="auto"/>
            <w:shd w:val="clear" w:color="auto" w:fill="auto"/>
            <w:hideMark/>
          </w:tcPr>
          <w:p w14:paraId="484C1FA5"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HD</w:t>
            </w:r>
          </w:p>
        </w:tc>
        <w:tc>
          <w:tcPr>
            <w:tcW w:w="0" w:type="auto"/>
            <w:shd w:val="clear" w:color="auto" w:fill="auto"/>
            <w:hideMark/>
          </w:tcPr>
          <w:p w14:paraId="2B66D881"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0.78</w:t>
            </w:r>
          </w:p>
        </w:tc>
        <w:tc>
          <w:tcPr>
            <w:tcW w:w="0" w:type="auto"/>
            <w:shd w:val="clear" w:color="auto" w:fill="auto"/>
            <w:hideMark/>
          </w:tcPr>
          <w:p w14:paraId="238CA55B" w14:textId="263F3158"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65B05B63" w14:textId="0C54B0CF"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9AEE22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0.24</w:t>
            </w:r>
          </w:p>
        </w:tc>
        <w:tc>
          <w:tcPr>
            <w:tcW w:w="0" w:type="auto"/>
            <w:shd w:val="clear" w:color="auto" w:fill="auto"/>
            <w:hideMark/>
          </w:tcPr>
          <w:p w14:paraId="05277978" w14:textId="7CE079D8"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66BAF02" w14:textId="401062ED"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7C25C553" w14:textId="2BBC2FE3"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0100D0B" w14:textId="4667706E"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549D9676" w14:textId="77777777" w:rsidTr="000B4E2C">
        <w:trPr>
          <w:cantSplit/>
          <w:tblHeader/>
        </w:trPr>
        <w:tc>
          <w:tcPr>
            <w:tcW w:w="0" w:type="auto"/>
            <w:shd w:val="clear" w:color="auto" w:fill="auto"/>
            <w:hideMark/>
          </w:tcPr>
          <w:p w14:paraId="0036332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Jesky</w:t>
            </w:r>
          </w:p>
        </w:tc>
        <w:tc>
          <w:tcPr>
            <w:tcW w:w="0" w:type="auto"/>
            <w:shd w:val="clear" w:color="auto" w:fill="auto"/>
            <w:hideMark/>
          </w:tcPr>
          <w:p w14:paraId="3A54A3E6"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2016</w:t>
            </w:r>
          </w:p>
        </w:tc>
        <w:tc>
          <w:tcPr>
            <w:tcW w:w="0" w:type="auto"/>
            <w:shd w:val="clear" w:color="auto" w:fill="auto"/>
            <w:hideMark/>
          </w:tcPr>
          <w:p w14:paraId="5C2094C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pre-dialysis CKD (as per NICE guidance, CKD, 2008)</w:t>
            </w:r>
          </w:p>
        </w:tc>
        <w:tc>
          <w:tcPr>
            <w:tcW w:w="0" w:type="auto"/>
            <w:shd w:val="clear" w:color="auto" w:fill="auto"/>
            <w:hideMark/>
          </w:tcPr>
          <w:p w14:paraId="68F7B56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hideMark/>
          </w:tcPr>
          <w:p w14:paraId="01F75C4F" w14:textId="50D81726"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099CEA0A"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hideMark/>
          </w:tcPr>
          <w:p w14:paraId="63CB42F9" w14:textId="2AADA089"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All CKD: 745</w:t>
            </w:r>
            <w:r w:rsidR="000B4E2C" w:rsidRPr="000B4E2C">
              <w:rPr>
                <w:rFonts w:cstheme="minorHAnsi"/>
                <w:sz w:val="18"/>
                <w:szCs w:val="18"/>
                <w:lang w:eastAsia="en-GB"/>
              </w:rPr>
              <w:t xml:space="preserve"> </w:t>
            </w:r>
            <w:r w:rsidRPr="000B4E2C">
              <w:rPr>
                <w:rFonts w:cstheme="minorHAnsi"/>
                <w:sz w:val="18"/>
                <w:szCs w:val="18"/>
                <w:lang w:eastAsia="en-GB"/>
              </w:rPr>
              <w:t>G1/2: 29</w:t>
            </w:r>
            <w:r w:rsidR="000B4E2C" w:rsidRPr="000B4E2C">
              <w:rPr>
                <w:rFonts w:cstheme="minorHAnsi"/>
                <w:sz w:val="18"/>
                <w:szCs w:val="18"/>
                <w:lang w:eastAsia="en-GB"/>
              </w:rPr>
              <w:t xml:space="preserve"> </w:t>
            </w:r>
            <w:r w:rsidRPr="000B4E2C">
              <w:rPr>
                <w:rFonts w:cstheme="minorHAnsi"/>
                <w:sz w:val="18"/>
                <w:szCs w:val="18"/>
                <w:lang w:eastAsia="en-GB"/>
              </w:rPr>
              <w:t>G3a: 45</w:t>
            </w:r>
            <w:r w:rsidR="000B4E2C" w:rsidRPr="000B4E2C">
              <w:rPr>
                <w:rFonts w:cstheme="minorHAnsi"/>
                <w:sz w:val="18"/>
                <w:szCs w:val="18"/>
                <w:lang w:eastAsia="en-GB"/>
              </w:rPr>
              <w:t xml:space="preserve"> </w:t>
            </w:r>
            <w:r w:rsidRPr="000B4E2C">
              <w:rPr>
                <w:rFonts w:cstheme="minorHAnsi"/>
                <w:sz w:val="18"/>
                <w:szCs w:val="18"/>
                <w:lang w:eastAsia="en-GB"/>
              </w:rPr>
              <w:t>G3b: 173</w:t>
            </w:r>
            <w:r w:rsidR="000B4E2C" w:rsidRPr="000B4E2C">
              <w:rPr>
                <w:rFonts w:cstheme="minorHAnsi"/>
                <w:sz w:val="18"/>
                <w:szCs w:val="18"/>
                <w:lang w:eastAsia="en-GB"/>
              </w:rPr>
              <w:t xml:space="preserve"> </w:t>
            </w:r>
            <w:r w:rsidRPr="000B4E2C">
              <w:rPr>
                <w:rFonts w:cstheme="minorHAnsi"/>
                <w:sz w:val="18"/>
                <w:szCs w:val="18"/>
                <w:lang w:eastAsia="en-GB"/>
              </w:rPr>
              <w:t>G4: 423</w:t>
            </w:r>
            <w:r w:rsidR="000B4E2C" w:rsidRPr="000B4E2C">
              <w:rPr>
                <w:rFonts w:cstheme="minorHAnsi"/>
                <w:sz w:val="18"/>
                <w:szCs w:val="18"/>
                <w:lang w:eastAsia="en-GB"/>
              </w:rPr>
              <w:t xml:space="preserve"> </w:t>
            </w:r>
            <w:r w:rsidRPr="000B4E2C">
              <w:rPr>
                <w:rFonts w:cstheme="minorHAnsi"/>
                <w:sz w:val="18"/>
                <w:szCs w:val="18"/>
                <w:lang w:eastAsia="en-GB"/>
              </w:rPr>
              <w:t>G5: 75</w:t>
            </w:r>
          </w:p>
        </w:tc>
        <w:tc>
          <w:tcPr>
            <w:tcW w:w="0" w:type="auto"/>
            <w:shd w:val="clear" w:color="auto" w:fill="auto"/>
            <w:hideMark/>
          </w:tcPr>
          <w:p w14:paraId="07D523EA" w14:textId="77777777" w:rsidR="002F0133" w:rsidRPr="000B4E2C" w:rsidRDefault="002F0133" w:rsidP="008A7464">
            <w:pPr>
              <w:rPr>
                <w:rFonts w:cstheme="minorHAnsi"/>
                <w:sz w:val="18"/>
                <w:szCs w:val="18"/>
                <w:u w:val="single"/>
                <w:lang w:eastAsia="en-GB"/>
              </w:rPr>
            </w:pPr>
            <w:r w:rsidRPr="000B4E2C">
              <w:rPr>
                <w:rFonts w:cstheme="minorHAnsi"/>
                <w:sz w:val="18"/>
                <w:szCs w:val="18"/>
                <w:u w:val="single"/>
                <w:lang w:eastAsia="en-GB"/>
              </w:rPr>
              <w:t>Median (IQR)</w:t>
            </w:r>
          </w:p>
          <w:p w14:paraId="16CF8DEB" w14:textId="7EF7BF6B"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All CKD 64; (50</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7</w:t>
            </w:r>
            <w:r w:rsidRPr="000B4E2C">
              <w:rPr>
                <w:rFonts w:cstheme="minorHAnsi"/>
                <w:sz w:val="18"/>
                <w:szCs w:val="18"/>
                <w:lang w:eastAsia="en-GB"/>
              </w:rPr>
              <w:t>6)</w:t>
            </w:r>
            <w:r w:rsidR="000B4E2C" w:rsidRPr="000B4E2C">
              <w:rPr>
                <w:rFonts w:cstheme="minorHAnsi"/>
                <w:sz w:val="18"/>
                <w:szCs w:val="18"/>
                <w:lang w:eastAsia="en-GB"/>
              </w:rPr>
              <w:t xml:space="preserve"> </w:t>
            </w:r>
            <w:r w:rsidRPr="000B4E2C">
              <w:rPr>
                <w:rFonts w:cstheme="minorHAnsi"/>
                <w:sz w:val="18"/>
                <w:szCs w:val="18"/>
                <w:lang w:eastAsia="en-GB"/>
              </w:rPr>
              <w:t>G1/2 41; (34.5</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w:t>
            </w:r>
            <w:r w:rsidRPr="000B4E2C">
              <w:rPr>
                <w:rFonts w:cstheme="minorHAnsi"/>
                <w:sz w:val="18"/>
                <w:szCs w:val="18"/>
                <w:lang w:eastAsia="en-GB"/>
              </w:rPr>
              <w:t>5.5)</w:t>
            </w:r>
            <w:r w:rsidR="000B4E2C" w:rsidRPr="000B4E2C">
              <w:rPr>
                <w:rFonts w:cstheme="minorHAnsi"/>
                <w:sz w:val="18"/>
                <w:szCs w:val="18"/>
                <w:lang w:eastAsia="en-GB"/>
              </w:rPr>
              <w:t xml:space="preserve"> </w:t>
            </w:r>
            <w:r w:rsidRPr="000B4E2C">
              <w:rPr>
                <w:rFonts w:cstheme="minorHAnsi"/>
                <w:sz w:val="18"/>
                <w:szCs w:val="18"/>
                <w:lang w:eastAsia="en-GB"/>
              </w:rPr>
              <w:t>G3a 55; (45</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6</w:t>
            </w:r>
            <w:r w:rsidRPr="000B4E2C">
              <w:rPr>
                <w:rFonts w:cstheme="minorHAnsi"/>
                <w:sz w:val="18"/>
                <w:szCs w:val="18"/>
                <w:lang w:eastAsia="en-GB"/>
              </w:rPr>
              <w:t>6.5)</w:t>
            </w:r>
            <w:r w:rsidR="000B4E2C" w:rsidRPr="000B4E2C">
              <w:rPr>
                <w:rFonts w:cstheme="minorHAnsi"/>
                <w:sz w:val="18"/>
                <w:szCs w:val="18"/>
                <w:lang w:eastAsia="en-GB"/>
              </w:rPr>
              <w:t xml:space="preserve"> </w:t>
            </w:r>
            <w:r w:rsidRPr="000B4E2C">
              <w:rPr>
                <w:rFonts w:cstheme="minorHAnsi"/>
                <w:sz w:val="18"/>
                <w:szCs w:val="18"/>
                <w:lang w:eastAsia="en-GB"/>
              </w:rPr>
              <w:t>G3b 61.5; (48.3</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7</w:t>
            </w:r>
            <w:r w:rsidRPr="000B4E2C">
              <w:rPr>
                <w:rFonts w:cstheme="minorHAnsi"/>
                <w:sz w:val="18"/>
                <w:szCs w:val="18"/>
                <w:lang w:eastAsia="en-GB"/>
              </w:rPr>
              <w:t>3.8)</w:t>
            </w:r>
            <w:r w:rsidR="000B4E2C" w:rsidRPr="000B4E2C">
              <w:rPr>
                <w:rFonts w:cstheme="minorHAnsi"/>
                <w:sz w:val="18"/>
                <w:szCs w:val="18"/>
                <w:lang w:eastAsia="en-GB"/>
              </w:rPr>
              <w:t xml:space="preserve"> </w:t>
            </w:r>
            <w:r w:rsidRPr="000B4E2C">
              <w:rPr>
                <w:rFonts w:cstheme="minorHAnsi"/>
                <w:sz w:val="18"/>
                <w:szCs w:val="18"/>
                <w:lang w:eastAsia="en-GB"/>
              </w:rPr>
              <w:t>G4: 69; (54</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7</w:t>
            </w:r>
            <w:r w:rsidRPr="000B4E2C">
              <w:rPr>
                <w:rFonts w:cstheme="minorHAnsi"/>
                <w:sz w:val="18"/>
                <w:szCs w:val="18"/>
                <w:lang w:eastAsia="en-GB"/>
              </w:rPr>
              <w:t>5.5)</w:t>
            </w:r>
            <w:r w:rsidR="000B4E2C" w:rsidRPr="000B4E2C">
              <w:rPr>
                <w:rFonts w:cstheme="minorHAnsi"/>
                <w:sz w:val="18"/>
                <w:szCs w:val="18"/>
                <w:lang w:eastAsia="en-GB"/>
              </w:rPr>
              <w:t xml:space="preserve"> </w:t>
            </w:r>
            <w:r w:rsidRPr="000B4E2C">
              <w:rPr>
                <w:rFonts w:cstheme="minorHAnsi"/>
                <w:sz w:val="18"/>
                <w:szCs w:val="18"/>
                <w:lang w:eastAsia="en-GB"/>
              </w:rPr>
              <w:t>G5: 64; (53.5</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7</w:t>
            </w:r>
            <w:r w:rsidRPr="000B4E2C">
              <w:rPr>
                <w:rFonts w:cstheme="minorHAnsi"/>
                <w:sz w:val="18"/>
                <w:szCs w:val="18"/>
                <w:lang w:eastAsia="en-GB"/>
              </w:rPr>
              <w:t>5.5)</w:t>
            </w:r>
          </w:p>
        </w:tc>
        <w:tc>
          <w:tcPr>
            <w:tcW w:w="0" w:type="auto"/>
            <w:shd w:val="clear" w:color="auto" w:fill="auto"/>
            <w:hideMark/>
          </w:tcPr>
          <w:p w14:paraId="338435E8" w14:textId="541FA544"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All CKD: 60.80%</w:t>
            </w:r>
            <w:r w:rsidR="000B4E2C" w:rsidRPr="000B4E2C">
              <w:rPr>
                <w:rFonts w:cstheme="minorHAnsi"/>
                <w:sz w:val="18"/>
                <w:szCs w:val="18"/>
                <w:lang w:eastAsia="en-GB"/>
              </w:rPr>
              <w:t xml:space="preserve"> </w:t>
            </w:r>
            <w:r w:rsidRPr="000B4E2C">
              <w:rPr>
                <w:rFonts w:cstheme="minorHAnsi"/>
                <w:sz w:val="18"/>
                <w:szCs w:val="18"/>
                <w:lang w:eastAsia="en-GB"/>
              </w:rPr>
              <w:t>G1/2: 65.52%</w:t>
            </w:r>
            <w:r w:rsidR="000B4E2C" w:rsidRPr="000B4E2C">
              <w:rPr>
                <w:rFonts w:cstheme="minorHAnsi"/>
                <w:sz w:val="18"/>
                <w:szCs w:val="18"/>
                <w:lang w:eastAsia="en-GB"/>
              </w:rPr>
              <w:t xml:space="preserve"> </w:t>
            </w:r>
            <w:r w:rsidRPr="000B4E2C">
              <w:rPr>
                <w:rFonts w:cstheme="minorHAnsi"/>
                <w:sz w:val="18"/>
                <w:szCs w:val="18"/>
                <w:lang w:eastAsia="en-GB"/>
              </w:rPr>
              <w:t>G3a: 71.11%</w:t>
            </w:r>
            <w:r w:rsidR="000B4E2C" w:rsidRPr="000B4E2C">
              <w:rPr>
                <w:rFonts w:cstheme="minorHAnsi"/>
                <w:sz w:val="18"/>
                <w:szCs w:val="18"/>
                <w:lang w:eastAsia="en-GB"/>
              </w:rPr>
              <w:t xml:space="preserve"> </w:t>
            </w:r>
            <w:r w:rsidRPr="000B4E2C">
              <w:rPr>
                <w:rFonts w:cstheme="minorHAnsi"/>
                <w:sz w:val="18"/>
                <w:szCs w:val="18"/>
                <w:lang w:eastAsia="en-GB"/>
              </w:rPr>
              <w:t>G3b: 66.86%</w:t>
            </w:r>
            <w:r w:rsidR="000B4E2C" w:rsidRPr="000B4E2C">
              <w:rPr>
                <w:rFonts w:cstheme="minorHAnsi"/>
                <w:sz w:val="18"/>
                <w:szCs w:val="18"/>
                <w:lang w:eastAsia="en-GB"/>
              </w:rPr>
              <w:t xml:space="preserve"> </w:t>
            </w:r>
            <w:r w:rsidRPr="000B4E2C">
              <w:rPr>
                <w:rFonts w:cstheme="minorHAnsi"/>
                <w:sz w:val="18"/>
                <w:szCs w:val="18"/>
                <w:lang w:eastAsia="en-GB"/>
              </w:rPr>
              <w:t>G4: 59.00%</w:t>
            </w:r>
            <w:r w:rsidR="000B4E2C" w:rsidRPr="000B4E2C">
              <w:rPr>
                <w:rFonts w:cstheme="minorHAnsi"/>
                <w:sz w:val="18"/>
                <w:szCs w:val="18"/>
                <w:lang w:eastAsia="en-GB"/>
              </w:rPr>
              <w:t xml:space="preserve"> </w:t>
            </w:r>
            <w:r w:rsidRPr="000B4E2C">
              <w:rPr>
                <w:rFonts w:cstheme="minorHAnsi"/>
                <w:sz w:val="18"/>
                <w:szCs w:val="18"/>
                <w:lang w:eastAsia="en-GB"/>
              </w:rPr>
              <w:t>G5: 49.35%</w:t>
            </w:r>
          </w:p>
        </w:tc>
        <w:tc>
          <w:tcPr>
            <w:tcW w:w="0" w:type="auto"/>
            <w:shd w:val="clear" w:color="auto" w:fill="auto"/>
            <w:hideMark/>
          </w:tcPr>
          <w:p w14:paraId="7214CE55" w14:textId="09A4EAC8"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All CKD</w:t>
            </w:r>
            <w:r w:rsidR="000B4E2C" w:rsidRPr="000B4E2C">
              <w:rPr>
                <w:rFonts w:cstheme="minorHAnsi"/>
                <w:sz w:val="18"/>
                <w:szCs w:val="18"/>
                <w:lang w:eastAsia="en-GB"/>
              </w:rPr>
              <w:t xml:space="preserve"> </w:t>
            </w:r>
            <w:r w:rsidRPr="000B4E2C">
              <w:rPr>
                <w:rFonts w:cstheme="minorHAnsi"/>
                <w:sz w:val="18"/>
                <w:szCs w:val="18"/>
                <w:lang w:eastAsia="en-GB"/>
              </w:rPr>
              <w:t>G1/2</w:t>
            </w:r>
            <w:r w:rsidR="000B4E2C" w:rsidRPr="000B4E2C">
              <w:rPr>
                <w:rFonts w:cstheme="minorHAnsi"/>
                <w:sz w:val="18"/>
                <w:szCs w:val="18"/>
                <w:lang w:eastAsia="en-GB"/>
              </w:rPr>
              <w:t xml:space="preserve"> </w:t>
            </w:r>
            <w:r w:rsidRPr="000B4E2C">
              <w:rPr>
                <w:rFonts w:cstheme="minorHAnsi"/>
                <w:sz w:val="18"/>
                <w:szCs w:val="18"/>
                <w:lang w:eastAsia="en-GB"/>
              </w:rPr>
              <w:t>G3a</w:t>
            </w:r>
            <w:r w:rsidR="000B4E2C" w:rsidRPr="000B4E2C">
              <w:rPr>
                <w:rFonts w:cstheme="minorHAnsi"/>
                <w:sz w:val="18"/>
                <w:szCs w:val="18"/>
                <w:lang w:eastAsia="en-GB"/>
              </w:rPr>
              <w:t xml:space="preserve"> </w:t>
            </w:r>
            <w:r w:rsidRPr="000B4E2C">
              <w:rPr>
                <w:rFonts w:cstheme="minorHAnsi"/>
                <w:sz w:val="18"/>
                <w:szCs w:val="18"/>
                <w:lang w:eastAsia="en-GB"/>
              </w:rPr>
              <w:t>G3b</w:t>
            </w:r>
            <w:r w:rsidR="000B4E2C" w:rsidRPr="000B4E2C">
              <w:rPr>
                <w:rFonts w:cstheme="minorHAnsi"/>
                <w:sz w:val="18"/>
                <w:szCs w:val="18"/>
                <w:lang w:eastAsia="en-GB"/>
              </w:rPr>
              <w:t xml:space="preserve"> </w:t>
            </w:r>
            <w:r w:rsidRPr="000B4E2C">
              <w:rPr>
                <w:rFonts w:cstheme="minorHAnsi"/>
                <w:sz w:val="18"/>
                <w:szCs w:val="18"/>
                <w:lang w:eastAsia="en-GB"/>
              </w:rPr>
              <w:t>G4</w:t>
            </w:r>
            <w:r w:rsidR="000B4E2C" w:rsidRPr="000B4E2C">
              <w:rPr>
                <w:rFonts w:cstheme="minorHAnsi"/>
                <w:sz w:val="18"/>
                <w:szCs w:val="18"/>
                <w:lang w:eastAsia="en-GB"/>
              </w:rPr>
              <w:t xml:space="preserve"> </w:t>
            </w:r>
            <w:r w:rsidRPr="000B4E2C">
              <w:rPr>
                <w:rFonts w:cstheme="minorHAnsi"/>
                <w:sz w:val="18"/>
                <w:szCs w:val="18"/>
                <w:lang w:eastAsia="en-GB"/>
              </w:rPr>
              <w:t>G5</w:t>
            </w:r>
          </w:p>
        </w:tc>
        <w:tc>
          <w:tcPr>
            <w:tcW w:w="0" w:type="auto"/>
            <w:shd w:val="clear" w:color="auto" w:fill="auto"/>
            <w:hideMark/>
          </w:tcPr>
          <w:p w14:paraId="233C96E8" w14:textId="05554FC5"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6675F7DA" w14:textId="3C418C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0.74</w:t>
            </w:r>
            <w:r w:rsidR="000B4E2C" w:rsidRPr="000B4E2C">
              <w:rPr>
                <w:rFonts w:cstheme="minorHAnsi"/>
                <w:sz w:val="18"/>
                <w:szCs w:val="18"/>
                <w:lang w:eastAsia="en-GB"/>
              </w:rPr>
              <w:t xml:space="preserve"> </w:t>
            </w:r>
            <w:r w:rsidRPr="000B4E2C">
              <w:rPr>
                <w:rFonts w:cstheme="minorHAnsi"/>
                <w:sz w:val="18"/>
                <w:szCs w:val="18"/>
                <w:lang w:eastAsia="en-GB"/>
              </w:rPr>
              <w:t>0.85</w:t>
            </w:r>
            <w:r w:rsidR="000B4E2C" w:rsidRPr="000B4E2C">
              <w:rPr>
                <w:rFonts w:cstheme="minorHAnsi"/>
                <w:sz w:val="18"/>
                <w:szCs w:val="18"/>
                <w:lang w:eastAsia="en-GB"/>
              </w:rPr>
              <w:t xml:space="preserve"> </w:t>
            </w:r>
            <w:r w:rsidRPr="000B4E2C">
              <w:rPr>
                <w:rFonts w:cstheme="minorHAnsi"/>
                <w:sz w:val="18"/>
                <w:szCs w:val="18"/>
                <w:lang w:eastAsia="en-GB"/>
              </w:rPr>
              <w:t>0.80</w:t>
            </w:r>
            <w:r w:rsidR="000B4E2C" w:rsidRPr="000B4E2C">
              <w:rPr>
                <w:rFonts w:cstheme="minorHAnsi"/>
                <w:sz w:val="18"/>
                <w:szCs w:val="18"/>
                <w:lang w:eastAsia="en-GB"/>
              </w:rPr>
              <w:t xml:space="preserve"> </w:t>
            </w:r>
            <w:r w:rsidRPr="000B4E2C">
              <w:rPr>
                <w:rFonts w:cstheme="minorHAnsi"/>
                <w:sz w:val="18"/>
                <w:szCs w:val="18"/>
                <w:lang w:eastAsia="en-GB"/>
              </w:rPr>
              <w:t>0.80</w:t>
            </w:r>
            <w:r w:rsidR="000B4E2C" w:rsidRPr="000B4E2C">
              <w:rPr>
                <w:rFonts w:cstheme="minorHAnsi"/>
                <w:sz w:val="18"/>
                <w:szCs w:val="18"/>
                <w:lang w:eastAsia="en-GB"/>
              </w:rPr>
              <w:t xml:space="preserve"> </w:t>
            </w:r>
            <w:r w:rsidRPr="000B4E2C">
              <w:rPr>
                <w:rFonts w:cstheme="minorHAnsi"/>
                <w:sz w:val="18"/>
                <w:szCs w:val="18"/>
                <w:lang w:eastAsia="en-GB"/>
              </w:rPr>
              <w:t>0.74</w:t>
            </w:r>
            <w:r w:rsidR="000B4E2C" w:rsidRPr="000B4E2C">
              <w:rPr>
                <w:rFonts w:cstheme="minorHAnsi"/>
                <w:sz w:val="18"/>
                <w:szCs w:val="18"/>
                <w:lang w:eastAsia="en-GB"/>
              </w:rPr>
              <w:t xml:space="preserve"> </w:t>
            </w:r>
            <w:r w:rsidRPr="000B4E2C">
              <w:rPr>
                <w:rFonts w:cstheme="minorHAnsi"/>
                <w:sz w:val="18"/>
                <w:szCs w:val="18"/>
                <w:lang w:eastAsia="en-GB"/>
              </w:rPr>
              <w:t>0.73</w:t>
            </w:r>
          </w:p>
        </w:tc>
        <w:tc>
          <w:tcPr>
            <w:tcW w:w="0" w:type="auto"/>
            <w:shd w:val="clear" w:color="auto" w:fill="auto"/>
            <w:hideMark/>
          </w:tcPr>
          <w:p w14:paraId="56B26187" w14:textId="577D1272"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4545123" w14:textId="5F1DDF8E"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01B95E12" w14:textId="27491B33"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F5A8E6A" w14:textId="6ED5CC03"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01642FE" w14:textId="4B695D9B"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0.66</w:t>
            </w:r>
            <w:r w:rsidR="000B4E2C" w:rsidRPr="000B4E2C">
              <w:rPr>
                <w:rFonts w:cstheme="minorHAnsi"/>
                <w:sz w:val="18"/>
                <w:szCs w:val="18"/>
                <w:lang w:eastAsia="en-GB"/>
              </w:rPr>
              <w:t xml:space="preserve"> </w:t>
            </w:r>
            <w:r w:rsidRPr="000B4E2C">
              <w:rPr>
                <w:rFonts w:cstheme="minorHAnsi"/>
                <w:sz w:val="18"/>
                <w:szCs w:val="18"/>
                <w:lang w:eastAsia="en-GB"/>
              </w:rPr>
              <w:t>0.70</w:t>
            </w:r>
            <w:r w:rsidR="000B4E2C" w:rsidRPr="000B4E2C">
              <w:rPr>
                <w:rFonts w:cstheme="minorHAnsi"/>
                <w:sz w:val="18"/>
                <w:szCs w:val="18"/>
                <w:lang w:eastAsia="en-GB"/>
              </w:rPr>
              <w:t xml:space="preserve"> </w:t>
            </w:r>
            <w:r w:rsidRPr="000B4E2C">
              <w:rPr>
                <w:rFonts w:cstheme="minorHAnsi"/>
                <w:sz w:val="18"/>
                <w:szCs w:val="18"/>
                <w:lang w:eastAsia="en-GB"/>
              </w:rPr>
              <w:t>0.69</w:t>
            </w:r>
            <w:r w:rsidR="000B4E2C" w:rsidRPr="000B4E2C">
              <w:rPr>
                <w:rFonts w:cstheme="minorHAnsi"/>
                <w:sz w:val="18"/>
                <w:szCs w:val="18"/>
                <w:lang w:eastAsia="en-GB"/>
              </w:rPr>
              <w:t xml:space="preserve"> </w:t>
            </w:r>
            <w:r w:rsidRPr="000B4E2C">
              <w:rPr>
                <w:rFonts w:cstheme="minorHAnsi"/>
                <w:sz w:val="18"/>
                <w:szCs w:val="18"/>
                <w:lang w:eastAsia="en-GB"/>
              </w:rPr>
              <w:t>0.68</w:t>
            </w:r>
            <w:r w:rsidR="000B4E2C" w:rsidRPr="000B4E2C">
              <w:rPr>
                <w:rFonts w:cstheme="minorHAnsi"/>
                <w:sz w:val="18"/>
                <w:szCs w:val="18"/>
                <w:lang w:eastAsia="en-GB"/>
              </w:rPr>
              <w:t xml:space="preserve"> </w:t>
            </w:r>
            <w:r w:rsidRPr="000B4E2C">
              <w:rPr>
                <w:rFonts w:cstheme="minorHAnsi"/>
                <w:sz w:val="18"/>
                <w:szCs w:val="18"/>
                <w:lang w:eastAsia="en-GB"/>
              </w:rPr>
              <w:t>0.62</w:t>
            </w:r>
            <w:r w:rsidR="000B4E2C" w:rsidRPr="000B4E2C">
              <w:rPr>
                <w:rFonts w:cstheme="minorHAnsi"/>
                <w:sz w:val="18"/>
                <w:szCs w:val="18"/>
                <w:lang w:eastAsia="en-GB"/>
              </w:rPr>
              <w:t xml:space="preserve"> </w:t>
            </w:r>
            <w:r w:rsidRPr="000B4E2C">
              <w:rPr>
                <w:rFonts w:cstheme="minorHAnsi"/>
                <w:sz w:val="18"/>
                <w:szCs w:val="18"/>
                <w:lang w:eastAsia="en-GB"/>
              </w:rPr>
              <w:t>0.62</w:t>
            </w:r>
          </w:p>
        </w:tc>
        <w:tc>
          <w:tcPr>
            <w:tcW w:w="0" w:type="auto"/>
            <w:shd w:val="clear" w:color="auto" w:fill="auto"/>
            <w:hideMark/>
          </w:tcPr>
          <w:p w14:paraId="4114C385" w14:textId="012FF4E5" w:rsidR="002F0133" w:rsidRPr="000B4E2C" w:rsidRDefault="002F0133" w:rsidP="008A7464">
            <w:pPr>
              <w:rPr>
                <w:rFonts w:cstheme="minorHAnsi"/>
                <w:sz w:val="18"/>
                <w:szCs w:val="18"/>
                <w:lang w:eastAsia="en-GB"/>
              </w:rPr>
            </w:pPr>
            <w:r w:rsidRPr="000B4E2C">
              <w:rPr>
                <w:rFonts w:cstheme="minorHAnsi"/>
                <w:sz w:val="18"/>
                <w:szCs w:val="18"/>
                <w:lang w:eastAsia="en-GB"/>
              </w:rPr>
              <w:t>0.88</w:t>
            </w:r>
            <w:r w:rsidR="000B4E2C" w:rsidRPr="000B4E2C">
              <w:rPr>
                <w:rFonts w:cstheme="minorHAnsi"/>
                <w:sz w:val="18"/>
                <w:szCs w:val="18"/>
                <w:lang w:eastAsia="en-GB"/>
              </w:rPr>
              <w:t xml:space="preserve"> </w:t>
            </w:r>
            <w:r w:rsidRPr="000B4E2C">
              <w:rPr>
                <w:rFonts w:cstheme="minorHAnsi"/>
                <w:sz w:val="18"/>
                <w:szCs w:val="18"/>
                <w:lang w:eastAsia="en-GB"/>
              </w:rPr>
              <w:t>1</w:t>
            </w:r>
            <w:r w:rsidR="000B4E2C" w:rsidRPr="000B4E2C">
              <w:rPr>
                <w:rFonts w:cstheme="minorHAnsi"/>
                <w:sz w:val="18"/>
                <w:szCs w:val="18"/>
                <w:lang w:eastAsia="en-GB"/>
              </w:rPr>
              <w:t xml:space="preserve"> </w:t>
            </w:r>
            <w:r w:rsidRPr="000B4E2C">
              <w:rPr>
                <w:rFonts w:cstheme="minorHAnsi"/>
                <w:sz w:val="18"/>
                <w:szCs w:val="18"/>
                <w:lang w:eastAsia="en-GB"/>
              </w:rPr>
              <w:t>1</w:t>
            </w:r>
            <w:r w:rsidR="000B4E2C" w:rsidRPr="000B4E2C">
              <w:rPr>
                <w:rFonts w:cstheme="minorHAnsi"/>
                <w:sz w:val="18"/>
                <w:szCs w:val="18"/>
                <w:lang w:eastAsia="en-GB"/>
              </w:rPr>
              <w:t xml:space="preserve"> </w:t>
            </w:r>
            <w:r w:rsidRPr="000B4E2C">
              <w:rPr>
                <w:rFonts w:cstheme="minorHAnsi"/>
                <w:sz w:val="18"/>
                <w:szCs w:val="18"/>
                <w:lang w:eastAsia="en-GB"/>
              </w:rPr>
              <w:t>1</w:t>
            </w:r>
            <w:r w:rsidR="000B4E2C" w:rsidRPr="000B4E2C">
              <w:rPr>
                <w:rFonts w:cstheme="minorHAnsi"/>
                <w:sz w:val="18"/>
                <w:szCs w:val="18"/>
                <w:lang w:eastAsia="en-GB"/>
              </w:rPr>
              <w:t xml:space="preserve"> </w:t>
            </w:r>
            <w:r w:rsidRPr="000B4E2C">
              <w:rPr>
                <w:rFonts w:cstheme="minorHAnsi"/>
                <w:sz w:val="18"/>
                <w:szCs w:val="18"/>
                <w:lang w:eastAsia="en-GB"/>
              </w:rPr>
              <w:t>0.85</w:t>
            </w:r>
            <w:r w:rsidR="000B4E2C" w:rsidRPr="000B4E2C">
              <w:rPr>
                <w:rFonts w:cstheme="minorHAnsi"/>
                <w:sz w:val="18"/>
                <w:szCs w:val="18"/>
                <w:lang w:eastAsia="en-GB"/>
              </w:rPr>
              <w:t xml:space="preserve"> </w:t>
            </w:r>
            <w:r w:rsidRPr="000B4E2C">
              <w:rPr>
                <w:rFonts w:cstheme="minorHAnsi"/>
                <w:sz w:val="18"/>
                <w:szCs w:val="18"/>
                <w:lang w:eastAsia="en-GB"/>
              </w:rPr>
              <w:t>1</w:t>
            </w:r>
          </w:p>
        </w:tc>
      </w:tr>
      <w:tr w:rsidR="000B4E2C" w:rsidRPr="000B4E2C" w14:paraId="3F8E9984" w14:textId="77777777" w:rsidTr="000B4E2C">
        <w:trPr>
          <w:cantSplit/>
          <w:tblHeader/>
        </w:trPr>
        <w:tc>
          <w:tcPr>
            <w:tcW w:w="0" w:type="auto"/>
            <w:shd w:val="clear" w:color="auto" w:fill="auto"/>
            <w:hideMark/>
          </w:tcPr>
          <w:p w14:paraId="3CA22235"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Katayama</w:t>
            </w:r>
          </w:p>
        </w:tc>
        <w:tc>
          <w:tcPr>
            <w:tcW w:w="0" w:type="auto"/>
            <w:shd w:val="clear" w:color="auto" w:fill="auto"/>
            <w:hideMark/>
          </w:tcPr>
          <w:p w14:paraId="33070FF7"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2016</w:t>
            </w:r>
          </w:p>
        </w:tc>
        <w:tc>
          <w:tcPr>
            <w:tcW w:w="0" w:type="auto"/>
            <w:shd w:val="clear" w:color="auto" w:fill="auto"/>
            <w:hideMark/>
          </w:tcPr>
          <w:p w14:paraId="30FC3FD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Chronic HD patients</w:t>
            </w:r>
          </w:p>
        </w:tc>
        <w:tc>
          <w:tcPr>
            <w:tcW w:w="0" w:type="auto"/>
            <w:shd w:val="clear" w:color="auto" w:fill="auto"/>
            <w:hideMark/>
          </w:tcPr>
          <w:p w14:paraId="582ABF8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Japan</w:t>
            </w:r>
          </w:p>
        </w:tc>
        <w:tc>
          <w:tcPr>
            <w:tcW w:w="0" w:type="auto"/>
            <w:shd w:val="clear" w:color="auto" w:fill="auto"/>
            <w:hideMark/>
          </w:tcPr>
          <w:p w14:paraId="7B035BE3" w14:textId="50E60C6F"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4AE9013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unclear</w:t>
            </w:r>
          </w:p>
        </w:tc>
        <w:tc>
          <w:tcPr>
            <w:tcW w:w="0" w:type="auto"/>
            <w:shd w:val="clear" w:color="auto" w:fill="auto"/>
            <w:hideMark/>
          </w:tcPr>
          <w:p w14:paraId="67E138AE" w14:textId="580AB4E1"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Baseline: 71</w:t>
            </w:r>
            <w:r w:rsidR="000B4E2C" w:rsidRPr="000B4E2C">
              <w:rPr>
                <w:rFonts w:cstheme="minorHAnsi"/>
                <w:sz w:val="18"/>
                <w:szCs w:val="18"/>
                <w:lang w:eastAsia="en-GB"/>
              </w:rPr>
              <w:t xml:space="preserve"> </w:t>
            </w:r>
            <w:r w:rsidRPr="000B4E2C">
              <w:rPr>
                <w:rFonts w:cstheme="minorHAnsi"/>
                <w:sz w:val="18"/>
                <w:szCs w:val="18"/>
                <w:lang w:eastAsia="en-GB"/>
              </w:rPr>
              <w:t xml:space="preserve">1 year </w:t>
            </w:r>
            <w:r w:rsidRPr="000B4E2C">
              <w:rPr>
                <w:rFonts w:cstheme="minorHAnsi"/>
                <w:sz w:val="18"/>
                <w:szCs w:val="18"/>
                <w:highlight w:val="magenta"/>
                <w:lang w:eastAsia="en-GB"/>
              </w:rPr>
              <w:t>follow up</w:t>
            </w:r>
            <w:r w:rsidRPr="000B4E2C">
              <w:rPr>
                <w:rFonts w:cstheme="minorHAnsi"/>
                <w:sz w:val="18"/>
                <w:szCs w:val="18"/>
                <w:lang w:eastAsia="en-GB"/>
              </w:rPr>
              <w:t>: 43</w:t>
            </w:r>
          </w:p>
        </w:tc>
        <w:tc>
          <w:tcPr>
            <w:tcW w:w="0" w:type="auto"/>
            <w:shd w:val="clear" w:color="auto" w:fill="auto"/>
            <w:hideMark/>
          </w:tcPr>
          <w:p w14:paraId="46485BE7" w14:textId="390E42D5"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70.9 (10.6)</w:t>
            </w:r>
            <w:r w:rsidR="000B4E2C" w:rsidRPr="000B4E2C">
              <w:rPr>
                <w:rFonts w:cstheme="minorHAnsi"/>
                <w:sz w:val="18"/>
                <w:szCs w:val="18"/>
                <w:lang w:eastAsia="en-GB"/>
              </w:rPr>
              <w:t xml:space="preserve"> </w:t>
            </w:r>
            <w:r w:rsidRPr="000B4E2C">
              <w:rPr>
                <w:rFonts w:cstheme="minorHAnsi"/>
                <w:sz w:val="18"/>
                <w:szCs w:val="18"/>
                <w:lang w:eastAsia="en-GB"/>
              </w:rPr>
              <w:t>69.1 (10.8)</w:t>
            </w:r>
          </w:p>
        </w:tc>
        <w:tc>
          <w:tcPr>
            <w:tcW w:w="0" w:type="auto"/>
            <w:shd w:val="clear" w:color="auto" w:fill="auto"/>
            <w:hideMark/>
          </w:tcPr>
          <w:p w14:paraId="60FA8DF3" w14:textId="2F0CE9D4"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58%</w:t>
            </w:r>
            <w:r w:rsidR="000B4E2C" w:rsidRPr="000B4E2C">
              <w:rPr>
                <w:rFonts w:cstheme="minorHAnsi"/>
                <w:sz w:val="18"/>
                <w:szCs w:val="18"/>
                <w:lang w:eastAsia="en-GB"/>
              </w:rPr>
              <w:t xml:space="preserve"> </w:t>
            </w:r>
            <w:r w:rsidRPr="000B4E2C">
              <w:rPr>
                <w:rFonts w:cstheme="minorHAnsi"/>
                <w:sz w:val="18"/>
                <w:szCs w:val="18"/>
                <w:lang w:eastAsia="en-GB"/>
              </w:rPr>
              <w:t>60%</w:t>
            </w:r>
          </w:p>
        </w:tc>
        <w:tc>
          <w:tcPr>
            <w:tcW w:w="0" w:type="auto"/>
            <w:shd w:val="clear" w:color="auto" w:fill="auto"/>
            <w:hideMark/>
          </w:tcPr>
          <w:p w14:paraId="072485BD" w14:textId="69B9FD55"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HD (BL)</w:t>
            </w:r>
            <w:r w:rsidR="000B4E2C" w:rsidRPr="000B4E2C">
              <w:rPr>
                <w:rFonts w:cstheme="minorHAnsi"/>
                <w:sz w:val="18"/>
                <w:szCs w:val="18"/>
                <w:lang w:eastAsia="en-GB"/>
              </w:rPr>
              <w:t xml:space="preserve"> </w:t>
            </w:r>
            <w:r w:rsidRPr="000B4E2C">
              <w:rPr>
                <w:rFonts w:cstheme="minorHAnsi"/>
                <w:sz w:val="18"/>
                <w:szCs w:val="18"/>
                <w:lang w:eastAsia="en-GB"/>
              </w:rPr>
              <w:t>HD (1yr)</w:t>
            </w:r>
          </w:p>
        </w:tc>
        <w:tc>
          <w:tcPr>
            <w:tcW w:w="0" w:type="auto"/>
            <w:shd w:val="clear" w:color="auto" w:fill="auto"/>
            <w:hideMark/>
          </w:tcPr>
          <w:p w14:paraId="1F2B4AB3" w14:textId="58CA2203"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0.720</w:t>
            </w:r>
            <w:r w:rsidR="000B4E2C" w:rsidRPr="000B4E2C">
              <w:rPr>
                <w:rFonts w:cstheme="minorHAnsi"/>
                <w:sz w:val="18"/>
                <w:szCs w:val="18"/>
                <w:lang w:eastAsia="en-GB"/>
              </w:rPr>
              <w:t xml:space="preserve"> </w:t>
            </w:r>
            <w:r w:rsidRPr="000B4E2C">
              <w:rPr>
                <w:rFonts w:cstheme="minorHAnsi"/>
                <w:sz w:val="18"/>
                <w:szCs w:val="18"/>
                <w:lang w:eastAsia="en-GB"/>
              </w:rPr>
              <w:t>0.790</w:t>
            </w:r>
          </w:p>
        </w:tc>
        <w:tc>
          <w:tcPr>
            <w:tcW w:w="0" w:type="auto"/>
            <w:shd w:val="clear" w:color="auto" w:fill="auto"/>
            <w:hideMark/>
          </w:tcPr>
          <w:p w14:paraId="5ADD80DA" w14:textId="7EC28AC9"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7EA52480" w14:textId="79F4BC50"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07645A0" w14:textId="372A54FF"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0.224</w:t>
            </w:r>
            <w:r w:rsidR="000B4E2C" w:rsidRPr="000B4E2C">
              <w:rPr>
                <w:rFonts w:cstheme="minorHAnsi"/>
                <w:sz w:val="18"/>
                <w:szCs w:val="18"/>
                <w:lang w:eastAsia="en-GB"/>
              </w:rPr>
              <w:t xml:space="preserve"> </w:t>
            </w:r>
            <w:r w:rsidRPr="000B4E2C">
              <w:rPr>
                <w:rFonts w:cstheme="minorHAnsi"/>
                <w:sz w:val="18"/>
                <w:szCs w:val="18"/>
                <w:lang w:eastAsia="en-GB"/>
              </w:rPr>
              <w:t>0.181</w:t>
            </w:r>
          </w:p>
        </w:tc>
        <w:tc>
          <w:tcPr>
            <w:tcW w:w="0" w:type="auto"/>
            <w:shd w:val="clear" w:color="auto" w:fill="auto"/>
            <w:hideMark/>
          </w:tcPr>
          <w:p w14:paraId="7459E02A" w14:textId="5E199719"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6F9B1AE" w14:textId="5A6D6776"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42234F5" w14:textId="1B5798D1"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4F565F30" w14:textId="0F9F7588"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536130C0" w14:textId="77777777" w:rsidTr="000B4E2C">
        <w:trPr>
          <w:cantSplit/>
          <w:tblHeader/>
        </w:trPr>
        <w:tc>
          <w:tcPr>
            <w:tcW w:w="0" w:type="auto"/>
            <w:shd w:val="clear" w:color="auto" w:fill="auto"/>
            <w:hideMark/>
          </w:tcPr>
          <w:p w14:paraId="5CA43811"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lastRenderedPageBreak/>
              <w:t>Kilshow</w:t>
            </w:r>
          </w:p>
        </w:tc>
        <w:tc>
          <w:tcPr>
            <w:tcW w:w="0" w:type="auto"/>
            <w:shd w:val="clear" w:color="auto" w:fill="auto"/>
            <w:hideMark/>
          </w:tcPr>
          <w:p w14:paraId="2307B93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2016</w:t>
            </w:r>
          </w:p>
        </w:tc>
        <w:tc>
          <w:tcPr>
            <w:tcW w:w="0" w:type="auto"/>
            <w:shd w:val="clear" w:color="auto" w:fill="auto"/>
            <w:hideMark/>
          </w:tcPr>
          <w:p w14:paraId="7A597966"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ESRD (CM)</w:t>
            </w:r>
          </w:p>
        </w:tc>
        <w:tc>
          <w:tcPr>
            <w:tcW w:w="0" w:type="auto"/>
            <w:shd w:val="clear" w:color="auto" w:fill="auto"/>
            <w:hideMark/>
          </w:tcPr>
          <w:p w14:paraId="5593390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hideMark/>
          </w:tcPr>
          <w:p w14:paraId="0BFF04C8" w14:textId="7535DB56"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w:t>
            </w:r>
            <w:r w:rsidRPr="000B4E2C">
              <w:rPr>
                <w:rFonts w:cstheme="minorHAnsi"/>
                <w:sz w:val="18"/>
                <w:szCs w:val="18"/>
                <w:lang w:eastAsia="en-GB"/>
              </w:rPr>
              <w:t>L</w:t>
            </w:r>
          </w:p>
        </w:tc>
        <w:tc>
          <w:tcPr>
            <w:tcW w:w="0" w:type="auto"/>
            <w:shd w:val="clear" w:color="auto" w:fill="auto"/>
            <w:hideMark/>
          </w:tcPr>
          <w:p w14:paraId="51671438"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None</w:t>
            </w:r>
          </w:p>
        </w:tc>
        <w:tc>
          <w:tcPr>
            <w:tcW w:w="0" w:type="auto"/>
            <w:shd w:val="clear" w:color="auto" w:fill="auto"/>
            <w:hideMark/>
          </w:tcPr>
          <w:p w14:paraId="7A7F7E95"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41</w:t>
            </w:r>
          </w:p>
        </w:tc>
        <w:tc>
          <w:tcPr>
            <w:tcW w:w="0" w:type="auto"/>
            <w:shd w:val="clear" w:color="auto" w:fill="auto"/>
            <w:hideMark/>
          </w:tcPr>
          <w:p w14:paraId="08281CF5"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82.7 (5.7)</w:t>
            </w:r>
          </w:p>
        </w:tc>
        <w:tc>
          <w:tcPr>
            <w:tcW w:w="0" w:type="auto"/>
            <w:shd w:val="clear" w:color="auto" w:fill="auto"/>
            <w:hideMark/>
          </w:tcPr>
          <w:p w14:paraId="05EB9C2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56%</w:t>
            </w:r>
          </w:p>
        </w:tc>
        <w:tc>
          <w:tcPr>
            <w:tcW w:w="0" w:type="auto"/>
            <w:shd w:val="clear" w:color="auto" w:fill="auto"/>
            <w:hideMark/>
          </w:tcPr>
          <w:p w14:paraId="3AD33487"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NR</w:t>
            </w:r>
          </w:p>
        </w:tc>
        <w:tc>
          <w:tcPr>
            <w:tcW w:w="0" w:type="auto"/>
            <w:shd w:val="clear" w:color="auto" w:fill="auto"/>
            <w:hideMark/>
          </w:tcPr>
          <w:p w14:paraId="5392F22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NR</w:t>
            </w:r>
          </w:p>
        </w:tc>
        <w:tc>
          <w:tcPr>
            <w:tcW w:w="0" w:type="auto"/>
            <w:shd w:val="clear" w:color="auto" w:fill="auto"/>
            <w:hideMark/>
          </w:tcPr>
          <w:p w14:paraId="4760136A"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NR</w:t>
            </w:r>
          </w:p>
        </w:tc>
        <w:tc>
          <w:tcPr>
            <w:tcW w:w="0" w:type="auto"/>
            <w:shd w:val="clear" w:color="auto" w:fill="auto"/>
            <w:hideMark/>
          </w:tcPr>
          <w:p w14:paraId="4BD5962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NR</w:t>
            </w:r>
          </w:p>
        </w:tc>
        <w:tc>
          <w:tcPr>
            <w:tcW w:w="0" w:type="auto"/>
            <w:shd w:val="clear" w:color="auto" w:fill="auto"/>
            <w:hideMark/>
          </w:tcPr>
          <w:p w14:paraId="5BEE75C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NR</w:t>
            </w:r>
          </w:p>
        </w:tc>
        <w:tc>
          <w:tcPr>
            <w:tcW w:w="0" w:type="auto"/>
            <w:shd w:val="clear" w:color="auto" w:fill="auto"/>
            <w:hideMark/>
          </w:tcPr>
          <w:p w14:paraId="6628B5F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NR</w:t>
            </w:r>
          </w:p>
        </w:tc>
        <w:tc>
          <w:tcPr>
            <w:tcW w:w="0" w:type="auto"/>
            <w:shd w:val="clear" w:color="auto" w:fill="auto"/>
            <w:hideMark/>
          </w:tcPr>
          <w:p w14:paraId="42DAD0A7"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NR</w:t>
            </w:r>
          </w:p>
        </w:tc>
        <w:tc>
          <w:tcPr>
            <w:tcW w:w="0" w:type="auto"/>
            <w:shd w:val="clear" w:color="auto" w:fill="auto"/>
            <w:hideMark/>
          </w:tcPr>
          <w:p w14:paraId="5F83686A"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NR</w:t>
            </w:r>
          </w:p>
        </w:tc>
        <w:tc>
          <w:tcPr>
            <w:tcW w:w="0" w:type="auto"/>
            <w:shd w:val="clear" w:color="auto" w:fill="auto"/>
            <w:hideMark/>
          </w:tcPr>
          <w:p w14:paraId="4F498ADD" w14:textId="77777777" w:rsidR="002F0133" w:rsidRPr="000B4E2C" w:rsidRDefault="002F0133" w:rsidP="008A7464">
            <w:pPr>
              <w:rPr>
                <w:rFonts w:cstheme="minorHAnsi"/>
                <w:sz w:val="18"/>
                <w:szCs w:val="18"/>
                <w:lang w:eastAsia="en-GB"/>
              </w:rPr>
            </w:pPr>
            <w:r w:rsidRPr="000B4E2C">
              <w:rPr>
                <w:rFonts w:cstheme="minorHAnsi"/>
                <w:sz w:val="18"/>
                <w:szCs w:val="18"/>
                <w:lang w:eastAsia="en-GB"/>
              </w:rPr>
              <w:t>NR</w:t>
            </w:r>
          </w:p>
        </w:tc>
      </w:tr>
      <w:tr w:rsidR="000B4E2C" w:rsidRPr="000B4E2C" w14:paraId="6E11C334" w14:textId="77777777" w:rsidTr="000B4E2C">
        <w:trPr>
          <w:cantSplit/>
          <w:tblHeader/>
        </w:trPr>
        <w:tc>
          <w:tcPr>
            <w:tcW w:w="0" w:type="auto"/>
            <w:shd w:val="clear" w:color="auto" w:fill="auto"/>
            <w:hideMark/>
          </w:tcPr>
          <w:p w14:paraId="5298283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Kularatna</w:t>
            </w:r>
          </w:p>
        </w:tc>
        <w:tc>
          <w:tcPr>
            <w:tcW w:w="0" w:type="auto"/>
            <w:shd w:val="clear" w:color="auto" w:fill="auto"/>
            <w:hideMark/>
          </w:tcPr>
          <w:p w14:paraId="324C9AFB"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2019</w:t>
            </w:r>
          </w:p>
        </w:tc>
        <w:tc>
          <w:tcPr>
            <w:tcW w:w="0" w:type="auto"/>
            <w:shd w:val="clear" w:color="auto" w:fill="auto"/>
            <w:hideMark/>
          </w:tcPr>
          <w:p w14:paraId="3FE25B76"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CKD</w:t>
            </w:r>
          </w:p>
        </w:tc>
        <w:tc>
          <w:tcPr>
            <w:tcW w:w="0" w:type="auto"/>
            <w:shd w:val="clear" w:color="auto" w:fill="auto"/>
            <w:hideMark/>
          </w:tcPr>
          <w:p w14:paraId="69DB944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Sri Lanka</w:t>
            </w:r>
          </w:p>
        </w:tc>
        <w:tc>
          <w:tcPr>
            <w:tcW w:w="0" w:type="auto"/>
            <w:shd w:val="clear" w:color="auto" w:fill="auto"/>
            <w:hideMark/>
          </w:tcPr>
          <w:p w14:paraId="27D39260" w14:textId="2C70E895"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7AA3440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 xml:space="preserve">UK </w:t>
            </w:r>
          </w:p>
        </w:tc>
        <w:tc>
          <w:tcPr>
            <w:tcW w:w="0" w:type="auto"/>
            <w:shd w:val="clear" w:color="auto" w:fill="auto"/>
            <w:hideMark/>
          </w:tcPr>
          <w:p w14:paraId="647530CE" w14:textId="566F9363"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Early Stage: 254</w:t>
            </w:r>
            <w:r w:rsidR="000B4E2C" w:rsidRPr="000B4E2C">
              <w:rPr>
                <w:rFonts w:cstheme="minorHAnsi"/>
                <w:sz w:val="18"/>
                <w:szCs w:val="18"/>
                <w:lang w:eastAsia="en-GB"/>
              </w:rPr>
              <w:t xml:space="preserve"> </w:t>
            </w:r>
            <w:r w:rsidRPr="000B4E2C">
              <w:rPr>
                <w:rFonts w:cstheme="minorHAnsi"/>
                <w:sz w:val="18"/>
                <w:szCs w:val="18"/>
                <w:lang w:eastAsia="en-GB"/>
              </w:rPr>
              <w:t>Stage 4: 614</w:t>
            </w:r>
            <w:r w:rsidR="000B4E2C" w:rsidRPr="000B4E2C">
              <w:rPr>
                <w:rFonts w:cstheme="minorHAnsi"/>
                <w:sz w:val="18"/>
                <w:szCs w:val="18"/>
                <w:lang w:eastAsia="en-GB"/>
              </w:rPr>
              <w:t xml:space="preserve"> </w:t>
            </w:r>
            <w:r w:rsidRPr="000B4E2C">
              <w:rPr>
                <w:rFonts w:cstheme="minorHAnsi"/>
                <w:sz w:val="18"/>
                <w:szCs w:val="18"/>
                <w:lang w:eastAsia="en-GB"/>
              </w:rPr>
              <w:t>Stage 5: 151</w:t>
            </w:r>
            <w:r w:rsidR="000B4E2C" w:rsidRPr="000B4E2C">
              <w:rPr>
                <w:rFonts w:cstheme="minorHAnsi"/>
                <w:sz w:val="18"/>
                <w:szCs w:val="18"/>
                <w:lang w:eastAsia="en-GB"/>
              </w:rPr>
              <w:t xml:space="preserve"> </w:t>
            </w:r>
            <w:r w:rsidRPr="000B4E2C">
              <w:rPr>
                <w:rFonts w:cstheme="minorHAnsi"/>
                <w:sz w:val="18"/>
                <w:szCs w:val="18"/>
                <w:lang w:eastAsia="en-GB"/>
              </w:rPr>
              <w:t>Dialysis: 38</w:t>
            </w:r>
          </w:p>
        </w:tc>
        <w:tc>
          <w:tcPr>
            <w:tcW w:w="0" w:type="auto"/>
            <w:shd w:val="clear" w:color="auto" w:fill="auto"/>
            <w:hideMark/>
          </w:tcPr>
          <w:p w14:paraId="7EDE49A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Median approx age 41</w:t>
            </w:r>
          </w:p>
        </w:tc>
        <w:tc>
          <w:tcPr>
            <w:tcW w:w="0" w:type="auto"/>
            <w:shd w:val="clear" w:color="auto" w:fill="auto"/>
            <w:hideMark/>
          </w:tcPr>
          <w:p w14:paraId="30BC0D9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56.10%</w:t>
            </w:r>
          </w:p>
        </w:tc>
        <w:tc>
          <w:tcPr>
            <w:tcW w:w="0" w:type="auto"/>
            <w:shd w:val="clear" w:color="auto" w:fill="auto"/>
            <w:hideMark/>
          </w:tcPr>
          <w:p w14:paraId="396335C0" w14:textId="7E3088C6"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Early:</w:t>
            </w:r>
            <w:r w:rsidR="000B4E2C" w:rsidRPr="000B4E2C">
              <w:rPr>
                <w:rFonts w:cstheme="minorHAnsi"/>
                <w:sz w:val="18"/>
                <w:szCs w:val="18"/>
                <w:lang w:eastAsia="en-GB"/>
              </w:rPr>
              <w:t xml:space="preserve"> </w:t>
            </w:r>
            <w:r w:rsidRPr="000B4E2C">
              <w:rPr>
                <w:rFonts w:cstheme="minorHAnsi"/>
                <w:sz w:val="18"/>
                <w:szCs w:val="18"/>
                <w:lang w:eastAsia="en-GB"/>
              </w:rPr>
              <w:t>Stage 4:</w:t>
            </w:r>
            <w:r w:rsidR="000B4E2C" w:rsidRPr="000B4E2C">
              <w:rPr>
                <w:rFonts w:cstheme="minorHAnsi"/>
                <w:sz w:val="18"/>
                <w:szCs w:val="18"/>
                <w:lang w:eastAsia="en-GB"/>
              </w:rPr>
              <w:t xml:space="preserve"> </w:t>
            </w:r>
            <w:r w:rsidRPr="000B4E2C">
              <w:rPr>
                <w:rFonts w:cstheme="minorHAnsi"/>
                <w:sz w:val="18"/>
                <w:szCs w:val="18"/>
                <w:lang w:eastAsia="en-GB"/>
              </w:rPr>
              <w:t>Stage 5:</w:t>
            </w:r>
            <w:r w:rsidR="000B4E2C" w:rsidRPr="000B4E2C">
              <w:rPr>
                <w:rFonts w:cstheme="minorHAnsi"/>
                <w:sz w:val="18"/>
                <w:szCs w:val="18"/>
                <w:lang w:eastAsia="en-GB"/>
              </w:rPr>
              <w:t xml:space="preserve"> </w:t>
            </w:r>
            <w:r w:rsidRPr="000B4E2C">
              <w:rPr>
                <w:rFonts w:cstheme="minorHAnsi"/>
                <w:sz w:val="18"/>
                <w:szCs w:val="18"/>
                <w:lang w:eastAsia="en-GB"/>
              </w:rPr>
              <w:t xml:space="preserve">Dialysis: </w:t>
            </w:r>
          </w:p>
        </w:tc>
        <w:tc>
          <w:tcPr>
            <w:tcW w:w="0" w:type="auto"/>
            <w:shd w:val="clear" w:color="auto" w:fill="auto"/>
            <w:hideMark/>
          </w:tcPr>
          <w:p w14:paraId="2E11C7F0" w14:textId="7FDC7EF1"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0.588</w:t>
            </w:r>
            <w:r w:rsidR="000B4E2C" w:rsidRPr="000B4E2C">
              <w:rPr>
                <w:rFonts w:cstheme="minorHAnsi"/>
                <w:sz w:val="18"/>
                <w:szCs w:val="18"/>
                <w:lang w:eastAsia="en-GB"/>
              </w:rPr>
              <w:t xml:space="preserve"> </w:t>
            </w:r>
            <w:r w:rsidRPr="000B4E2C">
              <w:rPr>
                <w:rFonts w:cstheme="minorHAnsi"/>
                <w:sz w:val="18"/>
                <w:szCs w:val="18"/>
                <w:lang w:eastAsia="en-GB"/>
              </w:rPr>
              <w:t>0.566</w:t>
            </w:r>
            <w:r w:rsidR="000B4E2C" w:rsidRPr="000B4E2C">
              <w:rPr>
                <w:rFonts w:cstheme="minorHAnsi"/>
                <w:sz w:val="18"/>
                <w:szCs w:val="18"/>
                <w:lang w:eastAsia="en-GB"/>
              </w:rPr>
              <w:t xml:space="preserve"> </w:t>
            </w:r>
            <w:r w:rsidRPr="000B4E2C">
              <w:rPr>
                <w:rFonts w:cstheme="minorHAnsi"/>
                <w:sz w:val="18"/>
                <w:szCs w:val="18"/>
                <w:lang w:eastAsia="en-GB"/>
              </w:rPr>
              <w:t>0.467</w:t>
            </w:r>
            <w:r w:rsidR="000B4E2C" w:rsidRPr="000B4E2C">
              <w:rPr>
                <w:rFonts w:cstheme="minorHAnsi"/>
                <w:sz w:val="18"/>
                <w:szCs w:val="18"/>
                <w:lang w:eastAsia="en-GB"/>
              </w:rPr>
              <w:t xml:space="preserve"> </w:t>
            </w:r>
            <w:r w:rsidRPr="000B4E2C">
              <w:rPr>
                <w:rFonts w:cstheme="minorHAnsi"/>
                <w:sz w:val="18"/>
                <w:szCs w:val="18"/>
                <w:lang w:eastAsia="en-GB"/>
              </w:rPr>
              <w:t>0.126</w:t>
            </w:r>
          </w:p>
        </w:tc>
        <w:tc>
          <w:tcPr>
            <w:tcW w:w="0" w:type="auto"/>
            <w:shd w:val="clear" w:color="auto" w:fill="auto"/>
            <w:hideMark/>
          </w:tcPr>
          <w:p w14:paraId="7B301D12" w14:textId="2737B6DB"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7FD84867" w14:textId="72AADF5A"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75E83D7" w14:textId="120864CE"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0.30</w:t>
            </w:r>
            <w:r w:rsidR="000B4E2C" w:rsidRPr="000B4E2C">
              <w:rPr>
                <w:rFonts w:cstheme="minorHAnsi"/>
                <w:sz w:val="18"/>
                <w:szCs w:val="18"/>
                <w:lang w:eastAsia="en-GB"/>
              </w:rPr>
              <w:t xml:space="preserve"> </w:t>
            </w:r>
            <w:r w:rsidRPr="000B4E2C">
              <w:rPr>
                <w:rFonts w:cstheme="minorHAnsi"/>
                <w:sz w:val="18"/>
                <w:szCs w:val="18"/>
                <w:lang w:eastAsia="en-GB"/>
              </w:rPr>
              <w:t>0.42</w:t>
            </w:r>
            <w:r w:rsidR="000B4E2C" w:rsidRPr="000B4E2C">
              <w:rPr>
                <w:rFonts w:cstheme="minorHAnsi"/>
                <w:sz w:val="18"/>
                <w:szCs w:val="18"/>
                <w:lang w:eastAsia="en-GB"/>
              </w:rPr>
              <w:t xml:space="preserve"> </w:t>
            </w:r>
            <w:r w:rsidRPr="000B4E2C">
              <w:rPr>
                <w:rFonts w:cstheme="minorHAnsi"/>
                <w:sz w:val="18"/>
                <w:szCs w:val="18"/>
                <w:lang w:eastAsia="en-GB"/>
              </w:rPr>
              <w:t>0.42</w:t>
            </w:r>
            <w:r w:rsidR="000B4E2C" w:rsidRPr="000B4E2C">
              <w:rPr>
                <w:rFonts w:cstheme="minorHAnsi"/>
                <w:sz w:val="18"/>
                <w:szCs w:val="18"/>
                <w:lang w:eastAsia="en-GB"/>
              </w:rPr>
              <w:t xml:space="preserve"> </w:t>
            </w:r>
            <w:r w:rsidRPr="000B4E2C">
              <w:rPr>
                <w:rFonts w:cstheme="minorHAnsi"/>
                <w:sz w:val="18"/>
                <w:szCs w:val="18"/>
                <w:lang w:eastAsia="en-GB"/>
              </w:rPr>
              <w:t>0.39</w:t>
            </w:r>
          </w:p>
        </w:tc>
        <w:tc>
          <w:tcPr>
            <w:tcW w:w="0" w:type="auto"/>
            <w:shd w:val="clear" w:color="auto" w:fill="auto"/>
            <w:hideMark/>
          </w:tcPr>
          <w:p w14:paraId="6FF4A2A6" w14:textId="7116B6E7"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710A874" w14:textId="65E5245B"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751B1E36" w14:textId="6BADADF9"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C63070A" w14:textId="495501BC"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34C6FEEE" w14:textId="77777777" w:rsidTr="000B4E2C">
        <w:trPr>
          <w:cantSplit/>
          <w:tblHeader/>
        </w:trPr>
        <w:tc>
          <w:tcPr>
            <w:tcW w:w="0" w:type="auto"/>
            <w:shd w:val="clear" w:color="auto" w:fill="auto"/>
            <w:hideMark/>
          </w:tcPr>
          <w:p w14:paraId="3A7A810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Lee</w:t>
            </w:r>
          </w:p>
        </w:tc>
        <w:tc>
          <w:tcPr>
            <w:tcW w:w="0" w:type="auto"/>
            <w:shd w:val="clear" w:color="auto" w:fill="auto"/>
            <w:hideMark/>
          </w:tcPr>
          <w:p w14:paraId="08B59D9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2016</w:t>
            </w:r>
          </w:p>
        </w:tc>
        <w:tc>
          <w:tcPr>
            <w:tcW w:w="0" w:type="auto"/>
            <w:shd w:val="clear" w:color="auto" w:fill="auto"/>
            <w:hideMark/>
          </w:tcPr>
          <w:p w14:paraId="3A6ADFA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early to mid stage CKD</w:t>
            </w:r>
          </w:p>
        </w:tc>
        <w:tc>
          <w:tcPr>
            <w:tcW w:w="0" w:type="auto"/>
            <w:shd w:val="clear" w:color="auto" w:fill="auto"/>
            <w:hideMark/>
          </w:tcPr>
          <w:p w14:paraId="3113D06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Korea</w:t>
            </w:r>
          </w:p>
        </w:tc>
        <w:tc>
          <w:tcPr>
            <w:tcW w:w="0" w:type="auto"/>
            <w:shd w:val="clear" w:color="auto" w:fill="auto"/>
            <w:hideMark/>
          </w:tcPr>
          <w:p w14:paraId="602FEAF8" w14:textId="00340E1D"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2956123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Korea</w:t>
            </w:r>
          </w:p>
        </w:tc>
        <w:tc>
          <w:tcPr>
            <w:tcW w:w="0" w:type="auto"/>
            <w:shd w:val="clear" w:color="auto" w:fill="auto"/>
            <w:hideMark/>
          </w:tcPr>
          <w:p w14:paraId="6605DE49" w14:textId="672BC66F"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CKD 3/4: 75</w:t>
            </w:r>
            <w:r w:rsidR="000B4E2C" w:rsidRPr="000B4E2C">
              <w:rPr>
                <w:rFonts w:cstheme="minorHAnsi"/>
                <w:sz w:val="18"/>
                <w:szCs w:val="18"/>
                <w:lang w:eastAsia="en-GB"/>
              </w:rPr>
              <w:t xml:space="preserve"> </w:t>
            </w:r>
            <w:r w:rsidRPr="000B4E2C">
              <w:rPr>
                <w:rFonts w:cstheme="minorHAnsi"/>
                <w:sz w:val="18"/>
                <w:szCs w:val="18"/>
                <w:lang w:eastAsia="en-GB"/>
              </w:rPr>
              <w:t>CAPD: 75</w:t>
            </w:r>
          </w:p>
        </w:tc>
        <w:tc>
          <w:tcPr>
            <w:tcW w:w="0" w:type="auto"/>
            <w:shd w:val="clear" w:color="auto" w:fill="auto"/>
            <w:hideMark/>
          </w:tcPr>
          <w:p w14:paraId="0A2D7E99" w14:textId="61FFBBF4"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61.4 (9.9)</w:t>
            </w:r>
            <w:r w:rsidR="000B4E2C" w:rsidRPr="000B4E2C">
              <w:rPr>
                <w:rFonts w:cstheme="minorHAnsi"/>
                <w:sz w:val="18"/>
                <w:szCs w:val="18"/>
                <w:lang w:eastAsia="en-GB"/>
              </w:rPr>
              <w:t xml:space="preserve"> </w:t>
            </w:r>
            <w:r w:rsidRPr="000B4E2C">
              <w:rPr>
                <w:rFonts w:cstheme="minorHAnsi"/>
                <w:sz w:val="18"/>
                <w:szCs w:val="18"/>
                <w:lang w:eastAsia="en-GB"/>
              </w:rPr>
              <w:t>59.1 (12.9)</w:t>
            </w:r>
          </w:p>
        </w:tc>
        <w:tc>
          <w:tcPr>
            <w:tcW w:w="0" w:type="auto"/>
            <w:shd w:val="clear" w:color="auto" w:fill="auto"/>
            <w:hideMark/>
          </w:tcPr>
          <w:p w14:paraId="0E5E7286" w14:textId="18A15316"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41%</w:t>
            </w:r>
            <w:r w:rsidR="000B4E2C" w:rsidRPr="000B4E2C">
              <w:rPr>
                <w:rFonts w:cstheme="minorHAnsi"/>
                <w:sz w:val="18"/>
                <w:szCs w:val="18"/>
                <w:lang w:eastAsia="en-GB"/>
              </w:rPr>
              <w:t xml:space="preserve"> </w:t>
            </w:r>
            <w:r w:rsidRPr="000B4E2C">
              <w:rPr>
                <w:rFonts w:cstheme="minorHAnsi"/>
                <w:sz w:val="18"/>
                <w:szCs w:val="18"/>
                <w:lang w:eastAsia="en-GB"/>
              </w:rPr>
              <w:t>41%</w:t>
            </w:r>
          </w:p>
        </w:tc>
        <w:tc>
          <w:tcPr>
            <w:tcW w:w="0" w:type="auto"/>
            <w:shd w:val="clear" w:color="auto" w:fill="auto"/>
            <w:hideMark/>
          </w:tcPr>
          <w:p w14:paraId="585C4855" w14:textId="30B918BD"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CKD (3/4)</w:t>
            </w:r>
            <w:r w:rsidR="000B4E2C" w:rsidRPr="000B4E2C">
              <w:rPr>
                <w:rFonts w:cstheme="minorHAnsi"/>
                <w:sz w:val="18"/>
                <w:szCs w:val="18"/>
                <w:lang w:eastAsia="en-GB"/>
              </w:rPr>
              <w:t xml:space="preserve"> </w:t>
            </w:r>
            <w:r w:rsidRPr="000B4E2C">
              <w:rPr>
                <w:rFonts w:cstheme="minorHAnsi"/>
                <w:sz w:val="18"/>
                <w:szCs w:val="18"/>
                <w:lang w:eastAsia="en-GB"/>
              </w:rPr>
              <w:t>CAPD</w:t>
            </w:r>
          </w:p>
        </w:tc>
        <w:tc>
          <w:tcPr>
            <w:tcW w:w="0" w:type="auto"/>
            <w:shd w:val="clear" w:color="auto" w:fill="auto"/>
            <w:hideMark/>
          </w:tcPr>
          <w:p w14:paraId="674FD3EC" w14:textId="61AF41F4"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0.87</w:t>
            </w:r>
            <w:r w:rsidR="000B4E2C" w:rsidRPr="000B4E2C">
              <w:rPr>
                <w:rFonts w:cstheme="minorHAnsi"/>
                <w:sz w:val="18"/>
                <w:szCs w:val="18"/>
                <w:lang w:eastAsia="en-GB"/>
              </w:rPr>
              <w:t xml:space="preserve"> </w:t>
            </w:r>
            <w:r w:rsidRPr="000B4E2C">
              <w:rPr>
                <w:rFonts w:cstheme="minorHAnsi"/>
                <w:sz w:val="18"/>
                <w:szCs w:val="18"/>
                <w:lang w:eastAsia="en-GB"/>
              </w:rPr>
              <w:t>0.90</w:t>
            </w:r>
          </w:p>
        </w:tc>
        <w:tc>
          <w:tcPr>
            <w:tcW w:w="0" w:type="auto"/>
            <w:shd w:val="clear" w:color="auto" w:fill="auto"/>
            <w:hideMark/>
          </w:tcPr>
          <w:p w14:paraId="7C81E5EA" w14:textId="224FCA43"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E5E3267" w14:textId="628C17DA"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EC05E94" w14:textId="667CCA52"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0.19</w:t>
            </w:r>
            <w:r w:rsidR="000B4E2C" w:rsidRPr="000B4E2C">
              <w:rPr>
                <w:rFonts w:cstheme="minorHAnsi"/>
                <w:sz w:val="18"/>
                <w:szCs w:val="18"/>
                <w:lang w:eastAsia="en-GB"/>
              </w:rPr>
              <w:t xml:space="preserve"> </w:t>
            </w:r>
            <w:r w:rsidRPr="000B4E2C">
              <w:rPr>
                <w:rFonts w:cstheme="minorHAnsi"/>
                <w:sz w:val="18"/>
                <w:szCs w:val="18"/>
                <w:lang w:eastAsia="en-GB"/>
              </w:rPr>
              <w:t>0.15</w:t>
            </w:r>
          </w:p>
        </w:tc>
        <w:tc>
          <w:tcPr>
            <w:tcW w:w="0" w:type="auto"/>
            <w:shd w:val="clear" w:color="auto" w:fill="auto"/>
            <w:hideMark/>
          </w:tcPr>
          <w:p w14:paraId="54F92057" w14:textId="3692D9CC"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745A9BDE" w14:textId="1751B0D4"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31A93ED" w14:textId="067A49CA"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DA9C3BD" w14:textId="2E0103ED"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47A21A62" w14:textId="77777777" w:rsidTr="000B4E2C">
        <w:trPr>
          <w:cantSplit/>
          <w:tblHeader/>
        </w:trPr>
        <w:tc>
          <w:tcPr>
            <w:tcW w:w="0" w:type="auto"/>
            <w:shd w:val="clear" w:color="auto" w:fill="auto"/>
            <w:hideMark/>
          </w:tcPr>
          <w:p w14:paraId="512EBF0F"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Li</w:t>
            </w:r>
          </w:p>
        </w:tc>
        <w:tc>
          <w:tcPr>
            <w:tcW w:w="0" w:type="auto"/>
            <w:shd w:val="clear" w:color="auto" w:fill="auto"/>
            <w:hideMark/>
          </w:tcPr>
          <w:p w14:paraId="0964910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2017</w:t>
            </w:r>
          </w:p>
        </w:tc>
        <w:tc>
          <w:tcPr>
            <w:tcW w:w="0" w:type="auto"/>
            <w:shd w:val="clear" w:color="auto" w:fill="auto"/>
            <w:hideMark/>
          </w:tcPr>
          <w:p w14:paraId="721D30BB"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Kidney transplant recipients and waiting list</w:t>
            </w:r>
          </w:p>
        </w:tc>
        <w:tc>
          <w:tcPr>
            <w:tcW w:w="0" w:type="auto"/>
            <w:shd w:val="clear" w:color="auto" w:fill="auto"/>
            <w:hideMark/>
          </w:tcPr>
          <w:p w14:paraId="64E358B0"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hideMark/>
          </w:tcPr>
          <w:p w14:paraId="00CE415E" w14:textId="1ABA1560"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w:t>
            </w:r>
            <w:r w:rsidRPr="000B4E2C">
              <w:rPr>
                <w:rFonts w:cstheme="minorHAnsi"/>
                <w:sz w:val="18"/>
                <w:szCs w:val="18"/>
                <w:lang w:eastAsia="en-GB"/>
              </w:rPr>
              <w:t>L</w:t>
            </w:r>
          </w:p>
        </w:tc>
        <w:tc>
          <w:tcPr>
            <w:tcW w:w="0" w:type="auto"/>
            <w:shd w:val="clear" w:color="auto" w:fill="auto"/>
            <w:hideMark/>
          </w:tcPr>
          <w:p w14:paraId="03AE561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UK value set</w:t>
            </w:r>
          </w:p>
        </w:tc>
        <w:tc>
          <w:tcPr>
            <w:tcW w:w="0" w:type="auto"/>
            <w:shd w:val="clear" w:color="auto" w:fill="auto"/>
            <w:hideMark/>
          </w:tcPr>
          <w:p w14:paraId="52289661" w14:textId="7E52FA9F"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Transplant recipients: 512</w:t>
            </w:r>
            <w:r w:rsidR="000B4E2C" w:rsidRPr="000B4E2C">
              <w:rPr>
                <w:rFonts w:cstheme="minorHAnsi"/>
                <w:sz w:val="18"/>
                <w:szCs w:val="18"/>
                <w:lang w:eastAsia="en-GB"/>
              </w:rPr>
              <w:t xml:space="preserve"> </w:t>
            </w:r>
            <w:r w:rsidRPr="000B4E2C">
              <w:rPr>
                <w:rFonts w:cstheme="minorHAnsi"/>
                <w:sz w:val="18"/>
                <w:szCs w:val="18"/>
                <w:lang w:eastAsia="en-GB"/>
              </w:rPr>
              <w:t>Waiting list: 1704</w:t>
            </w:r>
          </w:p>
        </w:tc>
        <w:tc>
          <w:tcPr>
            <w:tcW w:w="0" w:type="auto"/>
            <w:shd w:val="clear" w:color="auto" w:fill="auto"/>
            <w:hideMark/>
          </w:tcPr>
          <w:p w14:paraId="7A1DE228" w14:textId="66074D33"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Median ~ 50</w:t>
            </w:r>
            <w:r w:rsidR="000B4E2C" w:rsidRPr="000B4E2C">
              <w:rPr>
                <w:rFonts w:cstheme="minorHAnsi"/>
                <w:sz w:val="18"/>
                <w:szCs w:val="18"/>
                <w:lang w:eastAsia="en-GB"/>
              </w:rPr>
              <w:t xml:space="preserve"> </w:t>
            </w:r>
            <w:r w:rsidRPr="000B4E2C">
              <w:rPr>
                <w:rFonts w:cstheme="minorHAnsi"/>
                <w:sz w:val="18"/>
                <w:szCs w:val="18"/>
                <w:lang w:eastAsia="en-GB"/>
              </w:rPr>
              <w:t>Median ~ 50</w:t>
            </w:r>
          </w:p>
        </w:tc>
        <w:tc>
          <w:tcPr>
            <w:tcW w:w="0" w:type="auto"/>
            <w:shd w:val="clear" w:color="auto" w:fill="auto"/>
            <w:hideMark/>
          </w:tcPr>
          <w:p w14:paraId="677A0E17" w14:textId="732D90C5"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60%</w:t>
            </w:r>
            <w:r w:rsidR="000B4E2C" w:rsidRPr="000B4E2C">
              <w:rPr>
                <w:rFonts w:cstheme="minorHAnsi"/>
                <w:sz w:val="18"/>
                <w:szCs w:val="18"/>
                <w:lang w:eastAsia="en-GB"/>
              </w:rPr>
              <w:t xml:space="preserve"> </w:t>
            </w:r>
            <w:r w:rsidRPr="000B4E2C">
              <w:rPr>
                <w:rFonts w:cstheme="minorHAnsi"/>
                <w:sz w:val="18"/>
                <w:szCs w:val="18"/>
                <w:lang w:eastAsia="en-GB"/>
              </w:rPr>
              <w:t>58%</w:t>
            </w:r>
          </w:p>
        </w:tc>
        <w:tc>
          <w:tcPr>
            <w:tcW w:w="0" w:type="auto"/>
            <w:shd w:val="clear" w:color="auto" w:fill="auto"/>
            <w:hideMark/>
          </w:tcPr>
          <w:p w14:paraId="507B8868" w14:textId="48153EE8"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waiting list</w:t>
            </w:r>
            <w:r w:rsidR="000B4E2C" w:rsidRPr="000B4E2C">
              <w:rPr>
                <w:rFonts w:cstheme="minorHAnsi"/>
                <w:sz w:val="18"/>
                <w:szCs w:val="18"/>
                <w:lang w:eastAsia="en-GB"/>
              </w:rPr>
              <w:t xml:space="preserve"> </w:t>
            </w:r>
            <w:r w:rsidRPr="000B4E2C">
              <w:rPr>
                <w:rFonts w:cstheme="minorHAnsi"/>
                <w:sz w:val="18"/>
                <w:szCs w:val="18"/>
                <w:lang w:eastAsia="en-GB"/>
              </w:rPr>
              <w:t>transplant (inc)</w:t>
            </w:r>
          </w:p>
        </w:tc>
        <w:tc>
          <w:tcPr>
            <w:tcW w:w="0" w:type="auto"/>
            <w:shd w:val="clear" w:color="auto" w:fill="auto"/>
            <w:hideMark/>
          </w:tcPr>
          <w:p w14:paraId="31BE3275" w14:textId="77777777" w:rsidR="000B4E2C" w:rsidRPr="000B4E2C" w:rsidRDefault="002F0133" w:rsidP="008A7464">
            <w:pPr>
              <w:rPr>
                <w:rFonts w:cstheme="minorHAnsi"/>
                <w:sz w:val="18"/>
                <w:szCs w:val="18"/>
                <w:lang w:eastAsia="en-GB"/>
              </w:rPr>
            </w:pPr>
            <w:r w:rsidRPr="000B4E2C">
              <w:rPr>
                <w:rFonts w:cstheme="minorHAnsi"/>
                <w:sz w:val="18"/>
                <w:szCs w:val="18"/>
                <w:lang w:eastAsia="en-GB"/>
              </w:rPr>
              <w:t>0.773</w:t>
            </w:r>
          </w:p>
          <w:p w14:paraId="0BC88460" w14:textId="2EC2F26B" w:rsidR="002F0133" w:rsidRPr="000B4E2C" w:rsidRDefault="000B4E2C" w:rsidP="008A7464">
            <w:pPr>
              <w:rPr>
                <w:rFonts w:cstheme="minorHAnsi"/>
                <w:color w:val="000000"/>
                <w:sz w:val="18"/>
                <w:szCs w:val="18"/>
                <w:lang w:eastAsia="en-GB"/>
              </w:rPr>
            </w:pPr>
            <w:r w:rsidRPr="000B4E2C">
              <w:rPr>
                <w:rFonts w:cstheme="minorHAnsi"/>
                <w:color w:val="00B0F0"/>
                <w:sz w:val="18"/>
                <w:szCs w:val="18"/>
                <w:lang w:eastAsia="en-GB"/>
              </w:rPr>
              <w:t>+</w:t>
            </w:r>
            <w:r w:rsidRPr="000B4E2C">
              <w:rPr>
                <w:rFonts w:cstheme="minorHAnsi"/>
                <w:color w:val="00B0F0"/>
                <w:sz w:val="18"/>
                <w:szCs w:val="18"/>
                <w:lang w:eastAsia="en-GB"/>
              </w:rPr>
              <w:t> </w:t>
            </w:r>
            <w:r w:rsidRPr="000B4E2C">
              <w:rPr>
                <w:rFonts w:cstheme="minorHAnsi"/>
                <w:color w:val="00B0F0"/>
                <w:sz w:val="18"/>
                <w:szCs w:val="18"/>
                <w:lang w:eastAsia="en-GB"/>
              </w:rPr>
              <w:t>0</w:t>
            </w:r>
            <w:r w:rsidR="002F0133" w:rsidRPr="000B4E2C">
              <w:rPr>
                <w:rFonts w:cstheme="minorHAnsi"/>
                <w:sz w:val="18"/>
                <w:szCs w:val="18"/>
                <w:lang w:eastAsia="en-GB"/>
              </w:rPr>
              <w:t>.054</w:t>
            </w:r>
          </w:p>
        </w:tc>
        <w:tc>
          <w:tcPr>
            <w:tcW w:w="0" w:type="auto"/>
            <w:shd w:val="clear" w:color="auto" w:fill="auto"/>
            <w:hideMark/>
          </w:tcPr>
          <w:p w14:paraId="268AFDFD" w14:textId="410695BA"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E118799" w14:textId="77777777" w:rsidR="000B4E2C" w:rsidRPr="000B4E2C" w:rsidRDefault="002F0133" w:rsidP="008A7464">
            <w:pPr>
              <w:rPr>
                <w:rFonts w:cstheme="minorHAnsi"/>
                <w:sz w:val="18"/>
                <w:szCs w:val="18"/>
                <w:lang w:eastAsia="en-GB"/>
              </w:rPr>
            </w:pPr>
            <w:r w:rsidRPr="000B4E2C">
              <w:rPr>
                <w:rFonts w:cstheme="minorHAnsi"/>
                <w:sz w:val="18"/>
                <w:szCs w:val="18"/>
                <w:lang w:eastAsia="en-GB"/>
              </w:rPr>
              <w:t>0.005</w:t>
            </w:r>
          </w:p>
          <w:p w14:paraId="2767DF95" w14:textId="68A28692"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0.011</w:t>
            </w:r>
          </w:p>
        </w:tc>
        <w:tc>
          <w:tcPr>
            <w:tcW w:w="0" w:type="auto"/>
            <w:shd w:val="clear" w:color="auto" w:fill="auto"/>
            <w:hideMark/>
          </w:tcPr>
          <w:p w14:paraId="56F90DE7" w14:textId="192DC3F5"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B97284B" w14:textId="5F268129"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60F182C3" w14:textId="2782E735"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C32518D" w14:textId="08E4E17C"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16F587B" w14:textId="6E02C2BB"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50E67593" w14:textId="77777777" w:rsidTr="000B4E2C">
        <w:trPr>
          <w:cantSplit/>
          <w:tblHeader/>
        </w:trPr>
        <w:tc>
          <w:tcPr>
            <w:tcW w:w="0" w:type="auto"/>
            <w:shd w:val="clear" w:color="auto" w:fill="auto"/>
            <w:hideMark/>
          </w:tcPr>
          <w:p w14:paraId="30DB082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McNoe</w:t>
            </w:r>
          </w:p>
        </w:tc>
        <w:tc>
          <w:tcPr>
            <w:tcW w:w="0" w:type="auto"/>
            <w:shd w:val="clear" w:color="auto" w:fill="auto"/>
            <w:hideMark/>
          </w:tcPr>
          <w:p w14:paraId="5DD599B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2019</w:t>
            </w:r>
          </w:p>
        </w:tc>
        <w:tc>
          <w:tcPr>
            <w:tcW w:w="0" w:type="auto"/>
            <w:shd w:val="clear" w:color="auto" w:fill="auto"/>
            <w:hideMark/>
          </w:tcPr>
          <w:p w14:paraId="6677B70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ESRD with or without dialysis</w:t>
            </w:r>
          </w:p>
        </w:tc>
        <w:tc>
          <w:tcPr>
            <w:tcW w:w="0" w:type="auto"/>
            <w:shd w:val="clear" w:color="auto" w:fill="auto"/>
            <w:hideMark/>
          </w:tcPr>
          <w:p w14:paraId="19B4AF48"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New Zealand</w:t>
            </w:r>
          </w:p>
        </w:tc>
        <w:tc>
          <w:tcPr>
            <w:tcW w:w="0" w:type="auto"/>
            <w:shd w:val="clear" w:color="auto" w:fill="auto"/>
            <w:hideMark/>
          </w:tcPr>
          <w:p w14:paraId="43B511AE" w14:textId="4128142F"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147426B7"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Vas only</w:t>
            </w:r>
          </w:p>
        </w:tc>
        <w:tc>
          <w:tcPr>
            <w:tcW w:w="0" w:type="auto"/>
            <w:shd w:val="clear" w:color="auto" w:fill="auto"/>
            <w:hideMark/>
          </w:tcPr>
          <w:p w14:paraId="46FE008A" w14:textId="05941EB4"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No dialysis: 56</w:t>
            </w:r>
            <w:r w:rsidR="000B4E2C" w:rsidRPr="000B4E2C">
              <w:rPr>
                <w:rFonts w:cstheme="minorHAnsi"/>
                <w:sz w:val="18"/>
                <w:szCs w:val="18"/>
                <w:lang w:eastAsia="en-GB"/>
              </w:rPr>
              <w:t xml:space="preserve"> </w:t>
            </w:r>
            <w:r w:rsidRPr="000B4E2C">
              <w:rPr>
                <w:rFonts w:cstheme="minorHAnsi"/>
                <w:sz w:val="18"/>
                <w:szCs w:val="18"/>
                <w:lang w:eastAsia="en-GB"/>
              </w:rPr>
              <w:t>HD: 109</w:t>
            </w:r>
            <w:r w:rsidR="000B4E2C" w:rsidRPr="000B4E2C">
              <w:rPr>
                <w:rFonts w:cstheme="minorHAnsi"/>
                <w:sz w:val="18"/>
                <w:szCs w:val="18"/>
                <w:lang w:eastAsia="en-GB"/>
              </w:rPr>
              <w:t xml:space="preserve"> </w:t>
            </w:r>
            <w:r w:rsidRPr="000B4E2C">
              <w:rPr>
                <w:rFonts w:cstheme="minorHAnsi"/>
                <w:sz w:val="18"/>
                <w:szCs w:val="18"/>
                <w:lang w:eastAsia="en-GB"/>
              </w:rPr>
              <w:t>PD: 60</w:t>
            </w:r>
          </w:p>
        </w:tc>
        <w:tc>
          <w:tcPr>
            <w:tcW w:w="0" w:type="auto"/>
            <w:shd w:val="clear" w:color="auto" w:fill="auto"/>
            <w:hideMark/>
          </w:tcPr>
          <w:p w14:paraId="1967819B" w14:textId="07E2F59A"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w:t>
            </w:r>
            <w:r w:rsidR="000B4E2C" w:rsidRPr="000B4E2C">
              <w:rPr>
                <w:rFonts w:cstheme="minorHAnsi"/>
                <w:color w:val="00B0F0"/>
                <w:sz w:val="18"/>
                <w:szCs w:val="18"/>
                <w:lang w:eastAsia="en-GB"/>
              </w:rPr>
              <w:t>5</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w:t>
            </w:r>
          </w:p>
        </w:tc>
        <w:tc>
          <w:tcPr>
            <w:tcW w:w="0" w:type="auto"/>
            <w:shd w:val="clear" w:color="auto" w:fill="auto"/>
            <w:hideMark/>
          </w:tcPr>
          <w:p w14:paraId="32E3D81F" w14:textId="64784546"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66.1%</w:t>
            </w:r>
            <w:r w:rsidR="000B4E2C" w:rsidRPr="000B4E2C">
              <w:rPr>
                <w:rFonts w:cstheme="minorHAnsi"/>
                <w:sz w:val="18"/>
                <w:szCs w:val="18"/>
                <w:lang w:eastAsia="en-GB"/>
              </w:rPr>
              <w:t xml:space="preserve"> </w:t>
            </w:r>
            <w:r w:rsidRPr="000B4E2C">
              <w:rPr>
                <w:rFonts w:cstheme="minorHAnsi"/>
                <w:sz w:val="18"/>
                <w:szCs w:val="18"/>
                <w:lang w:eastAsia="en-GB"/>
              </w:rPr>
              <w:t>57.8%</w:t>
            </w:r>
            <w:r w:rsidR="000B4E2C" w:rsidRPr="000B4E2C">
              <w:rPr>
                <w:rFonts w:cstheme="minorHAnsi"/>
                <w:sz w:val="18"/>
                <w:szCs w:val="18"/>
                <w:lang w:eastAsia="en-GB"/>
              </w:rPr>
              <w:t xml:space="preserve"> </w:t>
            </w:r>
            <w:r w:rsidRPr="000B4E2C">
              <w:rPr>
                <w:rFonts w:cstheme="minorHAnsi"/>
                <w:sz w:val="18"/>
                <w:szCs w:val="18"/>
                <w:lang w:eastAsia="en-GB"/>
              </w:rPr>
              <w:t>73.3%</w:t>
            </w:r>
          </w:p>
        </w:tc>
        <w:tc>
          <w:tcPr>
            <w:tcW w:w="0" w:type="auto"/>
            <w:shd w:val="clear" w:color="auto" w:fill="auto"/>
            <w:hideMark/>
          </w:tcPr>
          <w:p w14:paraId="69E6FBAB" w14:textId="3A502AD9"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No dialysis</w:t>
            </w:r>
            <w:r w:rsidR="000B4E2C" w:rsidRPr="000B4E2C">
              <w:rPr>
                <w:rFonts w:cstheme="minorHAnsi"/>
                <w:sz w:val="18"/>
                <w:szCs w:val="18"/>
                <w:lang w:eastAsia="en-GB"/>
              </w:rPr>
              <w:t xml:space="preserve"> </w:t>
            </w:r>
            <w:r w:rsidRPr="000B4E2C">
              <w:rPr>
                <w:rFonts w:cstheme="minorHAnsi"/>
                <w:sz w:val="18"/>
                <w:szCs w:val="18"/>
                <w:lang w:eastAsia="en-GB"/>
              </w:rPr>
              <w:t>HD</w:t>
            </w:r>
            <w:r w:rsidR="000B4E2C" w:rsidRPr="000B4E2C">
              <w:rPr>
                <w:rFonts w:cstheme="minorHAnsi"/>
                <w:sz w:val="18"/>
                <w:szCs w:val="18"/>
                <w:lang w:eastAsia="en-GB"/>
              </w:rPr>
              <w:t xml:space="preserve"> </w:t>
            </w:r>
            <w:r w:rsidRPr="000B4E2C">
              <w:rPr>
                <w:rFonts w:cstheme="minorHAnsi"/>
                <w:sz w:val="18"/>
                <w:szCs w:val="18"/>
                <w:lang w:eastAsia="en-GB"/>
              </w:rPr>
              <w:t>PD</w:t>
            </w:r>
          </w:p>
        </w:tc>
        <w:tc>
          <w:tcPr>
            <w:tcW w:w="0" w:type="auto"/>
            <w:shd w:val="clear" w:color="auto" w:fill="auto"/>
            <w:hideMark/>
          </w:tcPr>
          <w:p w14:paraId="5D51CA3A" w14:textId="340B7573"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5C7FD9F" w14:textId="74709E84"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70</w:t>
            </w:r>
            <w:r w:rsidR="000B4E2C" w:rsidRPr="000B4E2C">
              <w:rPr>
                <w:rFonts w:cstheme="minorHAnsi"/>
                <w:sz w:val="18"/>
                <w:szCs w:val="18"/>
                <w:lang w:eastAsia="en-GB"/>
              </w:rPr>
              <w:t xml:space="preserve"> </w:t>
            </w:r>
            <w:r w:rsidRPr="000B4E2C">
              <w:rPr>
                <w:rFonts w:cstheme="minorHAnsi"/>
                <w:sz w:val="18"/>
                <w:szCs w:val="18"/>
                <w:lang w:eastAsia="en-GB"/>
              </w:rPr>
              <w:t>70</w:t>
            </w:r>
            <w:r w:rsidR="000B4E2C" w:rsidRPr="000B4E2C">
              <w:rPr>
                <w:rFonts w:cstheme="minorHAnsi"/>
                <w:sz w:val="18"/>
                <w:szCs w:val="18"/>
                <w:lang w:eastAsia="en-GB"/>
              </w:rPr>
              <w:t xml:space="preserve"> </w:t>
            </w:r>
            <w:r w:rsidRPr="000B4E2C">
              <w:rPr>
                <w:rFonts w:cstheme="minorHAnsi"/>
                <w:sz w:val="18"/>
                <w:szCs w:val="18"/>
                <w:lang w:eastAsia="en-GB"/>
              </w:rPr>
              <w:t>67.5</w:t>
            </w:r>
          </w:p>
        </w:tc>
        <w:tc>
          <w:tcPr>
            <w:tcW w:w="0" w:type="auto"/>
            <w:shd w:val="clear" w:color="auto" w:fill="auto"/>
            <w:hideMark/>
          </w:tcPr>
          <w:p w14:paraId="04597B7B" w14:textId="08F4C40F"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77E2D26E" w14:textId="1F35B1BD"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3AFC15E" w14:textId="47165055"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89A1349" w14:textId="36B1D085"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69E28CB7" w14:textId="47FF5DD9"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50</w:t>
            </w:r>
            <w:r w:rsidR="000B4E2C" w:rsidRPr="000B4E2C">
              <w:rPr>
                <w:rFonts w:cstheme="minorHAnsi"/>
                <w:sz w:val="18"/>
                <w:szCs w:val="18"/>
                <w:lang w:eastAsia="en-GB"/>
              </w:rPr>
              <w:t xml:space="preserve"> </w:t>
            </w:r>
            <w:r w:rsidRPr="000B4E2C">
              <w:rPr>
                <w:rFonts w:cstheme="minorHAnsi"/>
                <w:sz w:val="18"/>
                <w:szCs w:val="18"/>
                <w:lang w:eastAsia="en-GB"/>
              </w:rPr>
              <w:t>60</w:t>
            </w:r>
            <w:r w:rsidR="000B4E2C" w:rsidRPr="000B4E2C">
              <w:rPr>
                <w:rFonts w:cstheme="minorHAnsi"/>
                <w:sz w:val="18"/>
                <w:szCs w:val="18"/>
                <w:lang w:eastAsia="en-GB"/>
              </w:rPr>
              <w:t xml:space="preserve"> </w:t>
            </w:r>
            <w:r w:rsidRPr="000B4E2C">
              <w:rPr>
                <w:rFonts w:cstheme="minorHAnsi"/>
                <w:sz w:val="18"/>
                <w:szCs w:val="18"/>
                <w:lang w:eastAsia="en-GB"/>
              </w:rPr>
              <w:t>70</w:t>
            </w:r>
          </w:p>
        </w:tc>
        <w:tc>
          <w:tcPr>
            <w:tcW w:w="0" w:type="auto"/>
            <w:shd w:val="clear" w:color="auto" w:fill="auto"/>
            <w:hideMark/>
          </w:tcPr>
          <w:p w14:paraId="333D4756" w14:textId="4C2F1D26" w:rsidR="002F0133" w:rsidRPr="000B4E2C" w:rsidRDefault="002F0133" w:rsidP="008A7464">
            <w:pPr>
              <w:rPr>
                <w:rFonts w:cstheme="minorHAnsi"/>
                <w:sz w:val="18"/>
                <w:szCs w:val="18"/>
                <w:lang w:eastAsia="en-GB"/>
              </w:rPr>
            </w:pPr>
            <w:r w:rsidRPr="000B4E2C">
              <w:rPr>
                <w:rFonts w:cstheme="minorHAnsi"/>
                <w:sz w:val="18"/>
                <w:szCs w:val="18"/>
                <w:lang w:eastAsia="en-GB"/>
              </w:rPr>
              <w:t>80</w:t>
            </w:r>
            <w:r w:rsidR="000B4E2C" w:rsidRPr="000B4E2C">
              <w:rPr>
                <w:rFonts w:cstheme="minorHAnsi"/>
                <w:sz w:val="18"/>
                <w:szCs w:val="18"/>
                <w:lang w:eastAsia="en-GB"/>
              </w:rPr>
              <w:t xml:space="preserve"> </w:t>
            </w:r>
            <w:r w:rsidRPr="000B4E2C">
              <w:rPr>
                <w:rFonts w:cstheme="minorHAnsi"/>
                <w:sz w:val="18"/>
                <w:szCs w:val="18"/>
                <w:lang w:eastAsia="en-GB"/>
              </w:rPr>
              <w:t>80</w:t>
            </w:r>
            <w:r w:rsidR="000B4E2C" w:rsidRPr="000B4E2C">
              <w:rPr>
                <w:rFonts w:cstheme="minorHAnsi"/>
                <w:sz w:val="18"/>
                <w:szCs w:val="18"/>
                <w:lang w:eastAsia="en-GB"/>
              </w:rPr>
              <w:t xml:space="preserve"> </w:t>
            </w:r>
            <w:r w:rsidRPr="000B4E2C">
              <w:rPr>
                <w:rFonts w:cstheme="minorHAnsi"/>
                <w:sz w:val="18"/>
                <w:szCs w:val="18"/>
                <w:lang w:eastAsia="en-GB"/>
              </w:rPr>
              <w:t>80</w:t>
            </w:r>
          </w:p>
        </w:tc>
      </w:tr>
      <w:tr w:rsidR="000B4E2C" w:rsidRPr="000B4E2C" w14:paraId="6C49FEF5" w14:textId="77777777" w:rsidTr="000B4E2C">
        <w:trPr>
          <w:cantSplit/>
          <w:tblHeader/>
        </w:trPr>
        <w:tc>
          <w:tcPr>
            <w:tcW w:w="0" w:type="auto"/>
            <w:shd w:val="clear" w:color="auto" w:fill="auto"/>
            <w:hideMark/>
          </w:tcPr>
          <w:p w14:paraId="34395F3F"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nagasawa</w:t>
            </w:r>
          </w:p>
        </w:tc>
        <w:tc>
          <w:tcPr>
            <w:tcW w:w="0" w:type="auto"/>
            <w:shd w:val="clear" w:color="auto" w:fill="auto"/>
            <w:hideMark/>
          </w:tcPr>
          <w:p w14:paraId="1807BB5F"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2018</w:t>
            </w:r>
          </w:p>
        </w:tc>
        <w:tc>
          <w:tcPr>
            <w:tcW w:w="0" w:type="auto"/>
            <w:shd w:val="clear" w:color="auto" w:fill="auto"/>
            <w:hideMark/>
          </w:tcPr>
          <w:p w14:paraId="7BABE9E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Patients receiving dialysis</w:t>
            </w:r>
          </w:p>
        </w:tc>
        <w:tc>
          <w:tcPr>
            <w:tcW w:w="0" w:type="auto"/>
            <w:shd w:val="clear" w:color="auto" w:fill="auto"/>
            <w:hideMark/>
          </w:tcPr>
          <w:p w14:paraId="0D3A0EB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Japan</w:t>
            </w:r>
          </w:p>
        </w:tc>
        <w:tc>
          <w:tcPr>
            <w:tcW w:w="0" w:type="auto"/>
            <w:shd w:val="clear" w:color="auto" w:fill="auto"/>
            <w:hideMark/>
          </w:tcPr>
          <w:p w14:paraId="0752CE8F" w14:textId="385D55C9"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0ECAFC26"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Japan</w:t>
            </w:r>
          </w:p>
        </w:tc>
        <w:tc>
          <w:tcPr>
            <w:tcW w:w="0" w:type="auto"/>
            <w:shd w:val="clear" w:color="auto" w:fill="auto"/>
            <w:hideMark/>
          </w:tcPr>
          <w:p w14:paraId="1C37FA20"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51</w:t>
            </w:r>
          </w:p>
        </w:tc>
        <w:tc>
          <w:tcPr>
            <w:tcW w:w="0" w:type="auto"/>
            <w:shd w:val="clear" w:color="auto" w:fill="auto"/>
            <w:hideMark/>
          </w:tcPr>
          <w:p w14:paraId="2A83599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67.7 (12.1)</w:t>
            </w:r>
          </w:p>
        </w:tc>
        <w:tc>
          <w:tcPr>
            <w:tcW w:w="0" w:type="auto"/>
            <w:shd w:val="clear" w:color="auto" w:fill="auto"/>
            <w:hideMark/>
          </w:tcPr>
          <w:p w14:paraId="0C0FF58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70.60%</w:t>
            </w:r>
          </w:p>
        </w:tc>
        <w:tc>
          <w:tcPr>
            <w:tcW w:w="0" w:type="auto"/>
            <w:shd w:val="clear" w:color="auto" w:fill="auto"/>
            <w:hideMark/>
          </w:tcPr>
          <w:p w14:paraId="5B4A29E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Dialysis patients with CKD or ESRD</w:t>
            </w:r>
          </w:p>
        </w:tc>
        <w:tc>
          <w:tcPr>
            <w:tcW w:w="0" w:type="auto"/>
            <w:shd w:val="clear" w:color="auto" w:fill="auto"/>
            <w:hideMark/>
          </w:tcPr>
          <w:p w14:paraId="47378805"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0.779</w:t>
            </w:r>
          </w:p>
        </w:tc>
        <w:tc>
          <w:tcPr>
            <w:tcW w:w="0" w:type="auto"/>
            <w:shd w:val="clear" w:color="auto" w:fill="auto"/>
            <w:hideMark/>
          </w:tcPr>
          <w:p w14:paraId="386A0B9F" w14:textId="3B538E27"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74CAA80" w14:textId="6D4CCB0D"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335E53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0.193</w:t>
            </w:r>
          </w:p>
        </w:tc>
        <w:tc>
          <w:tcPr>
            <w:tcW w:w="0" w:type="auto"/>
            <w:shd w:val="clear" w:color="auto" w:fill="auto"/>
            <w:hideMark/>
          </w:tcPr>
          <w:p w14:paraId="35A82EDA" w14:textId="1EDFEC6B"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01A24EF" w14:textId="5C2E181D"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607A017" w14:textId="503039B5"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7D958631" w14:textId="7EC48C8F"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7F4E0294" w14:textId="77777777" w:rsidTr="000B4E2C">
        <w:trPr>
          <w:cantSplit/>
          <w:tblHeader/>
        </w:trPr>
        <w:tc>
          <w:tcPr>
            <w:tcW w:w="0" w:type="auto"/>
            <w:shd w:val="clear" w:color="auto" w:fill="auto"/>
            <w:hideMark/>
          </w:tcPr>
          <w:p w14:paraId="6DC6F24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Nguyen</w:t>
            </w:r>
          </w:p>
        </w:tc>
        <w:tc>
          <w:tcPr>
            <w:tcW w:w="0" w:type="auto"/>
            <w:shd w:val="clear" w:color="auto" w:fill="auto"/>
            <w:hideMark/>
          </w:tcPr>
          <w:p w14:paraId="0448FEE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2018</w:t>
            </w:r>
          </w:p>
        </w:tc>
        <w:tc>
          <w:tcPr>
            <w:tcW w:w="0" w:type="auto"/>
            <w:shd w:val="clear" w:color="auto" w:fill="auto"/>
            <w:hideMark/>
          </w:tcPr>
          <w:p w14:paraId="7F66F86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CKD and ESRD</w:t>
            </w:r>
          </w:p>
        </w:tc>
        <w:tc>
          <w:tcPr>
            <w:tcW w:w="0" w:type="auto"/>
            <w:shd w:val="clear" w:color="auto" w:fill="auto"/>
            <w:hideMark/>
          </w:tcPr>
          <w:p w14:paraId="2C5421CB"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hideMark/>
          </w:tcPr>
          <w:p w14:paraId="32A14030" w14:textId="19E0DF79"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6F284A4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hideMark/>
          </w:tcPr>
          <w:p w14:paraId="77B75625" w14:textId="265E1CA6"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CKD1: 56</w:t>
            </w:r>
            <w:r w:rsidR="000B4E2C" w:rsidRPr="000B4E2C">
              <w:rPr>
                <w:rFonts w:cstheme="minorHAnsi"/>
                <w:sz w:val="18"/>
                <w:szCs w:val="18"/>
                <w:lang w:eastAsia="en-GB"/>
              </w:rPr>
              <w:t xml:space="preserve"> </w:t>
            </w:r>
            <w:r w:rsidRPr="000B4E2C">
              <w:rPr>
                <w:rFonts w:cstheme="minorHAnsi"/>
                <w:sz w:val="18"/>
                <w:szCs w:val="18"/>
                <w:lang w:eastAsia="en-GB"/>
              </w:rPr>
              <w:t>CKD2: 106</w:t>
            </w:r>
            <w:r w:rsidR="000B4E2C" w:rsidRPr="000B4E2C">
              <w:rPr>
                <w:rFonts w:cstheme="minorHAnsi"/>
                <w:sz w:val="18"/>
                <w:szCs w:val="18"/>
                <w:lang w:eastAsia="en-GB"/>
              </w:rPr>
              <w:t xml:space="preserve"> </w:t>
            </w:r>
            <w:r w:rsidRPr="000B4E2C">
              <w:rPr>
                <w:rFonts w:cstheme="minorHAnsi"/>
                <w:sz w:val="18"/>
                <w:szCs w:val="18"/>
                <w:lang w:eastAsia="en-GB"/>
              </w:rPr>
              <w:t>CKD3a: 155</w:t>
            </w:r>
            <w:r w:rsidR="000B4E2C" w:rsidRPr="000B4E2C">
              <w:rPr>
                <w:rFonts w:cstheme="minorHAnsi"/>
                <w:sz w:val="18"/>
                <w:szCs w:val="18"/>
                <w:lang w:eastAsia="en-GB"/>
              </w:rPr>
              <w:t xml:space="preserve"> </w:t>
            </w:r>
            <w:r w:rsidRPr="000B4E2C">
              <w:rPr>
                <w:rFonts w:cstheme="minorHAnsi"/>
                <w:sz w:val="18"/>
                <w:szCs w:val="18"/>
                <w:lang w:eastAsia="en-GB"/>
              </w:rPr>
              <w:t>CKD3b: 35</w:t>
            </w:r>
            <w:r w:rsidR="000B4E2C" w:rsidRPr="000B4E2C">
              <w:rPr>
                <w:rFonts w:cstheme="minorHAnsi"/>
                <w:sz w:val="18"/>
                <w:szCs w:val="18"/>
                <w:lang w:eastAsia="en-GB"/>
              </w:rPr>
              <w:t xml:space="preserve"> </w:t>
            </w:r>
            <w:r w:rsidRPr="000B4E2C">
              <w:rPr>
                <w:rFonts w:cstheme="minorHAnsi"/>
                <w:sz w:val="18"/>
                <w:szCs w:val="18"/>
                <w:lang w:eastAsia="en-GB"/>
              </w:rPr>
              <w:t>CKD 4/5: 5</w:t>
            </w:r>
          </w:p>
        </w:tc>
        <w:tc>
          <w:tcPr>
            <w:tcW w:w="0" w:type="auto"/>
            <w:shd w:val="clear" w:color="auto" w:fill="auto"/>
            <w:hideMark/>
          </w:tcPr>
          <w:p w14:paraId="4F70B21E" w14:textId="62E0A025"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44.6 (18.2)</w:t>
            </w:r>
            <w:r w:rsidR="000B4E2C" w:rsidRPr="000B4E2C">
              <w:rPr>
                <w:rFonts w:cstheme="minorHAnsi"/>
                <w:sz w:val="18"/>
                <w:szCs w:val="18"/>
                <w:lang w:eastAsia="en-GB"/>
              </w:rPr>
              <w:t xml:space="preserve"> </w:t>
            </w:r>
            <w:r w:rsidRPr="000B4E2C">
              <w:rPr>
                <w:rFonts w:cstheme="minorHAnsi"/>
                <w:sz w:val="18"/>
                <w:szCs w:val="18"/>
                <w:lang w:eastAsia="en-GB"/>
              </w:rPr>
              <w:t>60 (17.4)</w:t>
            </w:r>
            <w:r w:rsidR="000B4E2C" w:rsidRPr="000B4E2C">
              <w:rPr>
                <w:rFonts w:cstheme="minorHAnsi"/>
                <w:sz w:val="18"/>
                <w:szCs w:val="18"/>
                <w:lang w:eastAsia="en-GB"/>
              </w:rPr>
              <w:t xml:space="preserve"> </w:t>
            </w:r>
            <w:r w:rsidRPr="000B4E2C">
              <w:rPr>
                <w:rFonts w:cstheme="minorHAnsi"/>
                <w:sz w:val="18"/>
                <w:szCs w:val="18"/>
                <w:lang w:eastAsia="en-GB"/>
              </w:rPr>
              <w:t>65.3 (14.8)</w:t>
            </w:r>
            <w:r w:rsidR="000B4E2C" w:rsidRPr="000B4E2C">
              <w:rPr>
                <w:rFonts w:cstheme="minorHAnsi"/>
                <w:sz w:val="18"/>
                <w:szCs w:val="18"/>
                <w:lang w:eastAsia="en-GB"/>
              </w:rPr>
              <w:t xml:space="preserve"> </w:t>
            </w:r>
            <w:r w:rsidRPr="000B4E2C">
              <w:rPr>
                <w:rFonts w:cstheme="minorHAnsi"/>
                <w:sz w:val="18"/>
                <w:szCs w:val="18"/>
                <w:lang w:eastAsia="en-GB"/>
              </w:rPr>
              <w:t>74.1 (13.4)</w:t>
            </w:r>
            <w:r w:rsidR="000B4E2C" w:rsidRPr="000B4E2C">
              <w:rPr>
                <w:rFonts w:cstheme="minorHAnsi"/>
                <w:sz w:val="18"/>
                <w:szCs w:val="18"/>
                <w:lang w:eastAsia="en-GB"/>
              </w:rPr>
              <w:t xml:space="preserve"> </w:t>
            </w:r>
            <w:r w:rsidRPr="000B4E2C">
              <w:rPr>
                <w:rFonts w:cstheme="minorHAnsi"/>
                <w:sz w:val="18"/>
                <w:szCs w:val="18"/>
                <w:lang w:eastAsia="en-GB"/>
              </w:rPr>
              <w:t>72.2 (10.3)</w:t>
            </w:r>
          </w:p>
        </w:tc>
        <w:tc>
          <w:tcPr>
            <w:tcW w:w="0" w:type="auto"/>
            <w:shd w:val="clear" w:color="auto" w:fill="auto"/>
            <w:hideMark/>
          </w:tcPr>
          <w:p w14:paraId="316DF94C" w14:textId="2E0399DD"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33.9%</w:t>
            </w:r>
            <w:r w:rsidR="000B4E2C" w:rsidRPr="000B4E2C">
              <w:rPr>
                <w:rFonts w:cstheme="minorHAnsi"/>
                <w:sz w:val="18"/>
                <w:szCs w:val="18"/>
                <w:lang w:eastAsia="en-GB"/>
              </w:rPr>
              <w:t xml:space="preserve"> </w:t>
            </w:r>
            <w:r w:rsidRPr="000B4E2C">
              <w:rPr>
                <w:rFonts w:cstheme="minorHAnsi"/>
                <w:sz w:val="18"/>
                <w:szCs w:val="18"/>
                <w:lang w:eastAsia="en-GB"/>
              </w:rPr>
              <w:t>50.0%</w:t>
            </w:r>
            <w:r w:rsidR="000B4E2C" w:rsidRPr="000B4E2C">
              <w:rPr>
                <w:rFonts w:cstheme="minorHAnsi"/>
                <w:sz w:val="18"/>
                <w:szCs w:val="18"/>
                <w:lang w:eastAsia="en-GB"/>
              </w:rPr>
              <w:t xml:space="preserve"> </w:t>
            </w:r>
            <w:r w:rsidRPr="000B4E2C">
              <w:rPr>
                <w:rFonts w:cstheme="minorHAnsi"/>
                <w:sz w:val="18"/>
                <w:szCs w:val="18"/>
                <w:lang w:eastAsia="en-GB"/>
              </w:rPr>
              <w:t>46.5%</w:t>
            </w:r>
            <w:r w:rsidR="000B4E2C" w:rsidRPr="000B4E2C">
              <w:rPr>
                <w:rFonts w:cstheme="minorHAnsi"/>
                <w:sz w:val="18"/>
                <w:szCs w:val="18"/>
                <w:lang w:eastAsia="en-GB"/>
              </w:rPr>
              <w:t xml:space="preserve"> </w:t>
            </w:r>
            <w:r w:rsidRPr="000B4E2C">
              <w:rPr>
                <w:rFonts w:cstheme="minorHAnsi"/>
                <w:sz w:val="18"/>
                <w:szCs w:val="18"/>
                <w:lang w:eastAsia="en-GB"/>
              </w:rPr>
              <w:t>60.0%</w:t>
            </w:r>
            <w:r w:rsidR="000B4E2C" w:rsidRPr="000B4E2C">
              <w:rPr>
                <w:rFonts w:cstheme="minorHAnsi"/>
                <w:sz w:val="18"/>
                <w:szCs w:val="18"/>
                <w:lang w:eastAsia="en-GB"/>
              </w:rPr>
              <w:t xml:space="preserve"> </w:t>
            </w:r>
            <w:r w:rsidRPr="000B4E2C">
              <w:rPr>
                <w:rFonts w:cstheme="minorHAnsi"/>
                <w:sz w:val="18"/>
                <w:szCs w:val="18"/>
                <w:lang w:eastAsia="en-GB"/>
              </w:rPr>
              <w:t>40.0%</w:t>
            </w:r>
          </w:p>
        </w:tc>
        <w:tc>
          <w:tcPr>
            <w:tcW w:w="0" w:type="auto"/>
            <w:shd w:val="clear" w:color="auto" w:fill="auto"/>
            <w:hideMark/>
          </w:tcPr>
          <w:p w14:paraId="6301AEA0" w14:textId="5A0561A3"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S1</w:t>
            </w:r>
            <w:r w:rsidR="000B4E2C" w:rsidRPr="000B4E2C">
              <w:rPr>
                <w:rFonts w:cstheme="minorHAnsi"/>
                <w:sz w:val="18"/>
                <w:szCs w:val="18"/>
                <w:lang w:eastAsia="en-GB"/>
              </w:rPr>
              <w:t xml:space="preserve"> </w:t>
            </w:r>
            <w:r w:rsidRPr="000B4E2C">
              <w:rPr>
                <w:rFonts w:cstheme="minorHAnsi"/>
                <w:sz w:val="18"/>
                <w:szCs w:val="18"/>
                <w:lang w:eastAsia="en-GB"/>
              </w:rPr>
              <w:t>S2</w:t>
            </w:r>
            <w:r w:rsidR="000B4E2C" w:rsidRPr="000B4E2C">
              <w:rPr>
                <w:rFonts w:cstheme="minorHAnsi"/>
                <w:sz w:val="18"/>
                <w:szCs w:val="18"/>
                <w:lang w:eastAsia="en-GB"/>
              </w:rPr>
              <w:t xml:space="preserve"> </w:t>
            </w:r>
            <w:r w:rsidRPr="000B4E2C">
              <w:rPr>
                <w:rFonts w:cstheme="minorHAnsi"/>
                <w:sz w:val="18"/>
                <w:szCs w:val="18"/>
                <w:lang w:eastAsia="en-GB"/>
              </w:rPr>
              <w:t>S3a</w:t>
            </w:r>
            <w:r w:rsidR="000B4E2C" w:rsidRPr="000B4E2C">
              <w:rPr>
                <w:rFonts w:cstheme="minorHAnsi"/>
                <w:sz w:val="18"/>
                <w:szCs w:val="18"/>
                <w:lang w:eastAsia="en-GB"/>
              </w:rPr>
              <w:t xml:space="preserve"> </w:t>
            </w:r>
            <w:r w:rsidRPr="000B4E2C">
              <w:rPr>
                <w:rFonts w:cstheme="minorHAnsi"/>
                <w:sz w:val="18"/>
                <w:szCs w:val="18"/>
                <w:lang w:eastAsia="en-GB"/>
              </w:rPr>
              <w:t>S3b</w:t>
            </w:r>
            <w:r w:rsidR="000B4E2C" w:rsidRPr="000B4E2C">
              <w:rPr>
                <w:rFonts w:cstheme="minorHAnsi"/>
                <w:sz w:val="18"/>
                <w:szCs w:val="18"/>
                <w:lang w:eastAsia="en-GB"/>
              </w:rPr>
              <w:t xml:space="preserve"> </w:t>
            </w:r>
            <w:r w:rsidRPr="000B4E2C">
              <w:rPr>
                <w:rFonts w:cstheme="minorHAnsi"/>
                <w:sz w:val="18"/>
                <w:szCs w:val="18"/>
                <w:lang w:eastAsia="en-GB"/>
              </w:rPr>
              <w:t>S4/5</w:t>
            </w:r>
          </w:p>
        </w:tc>
        <w:tc>
          <w:tcPr>
            <w:tcW w:w="0" w:type="auto"/>
            <w:shd w:val="clear" w:color="auto" w:fill="auto"/>
            <w:hideMark/>
          </w:tcPr>
          <w:p w14:paraId="52951E0B" w14:textId="42077495"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base NR</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.112</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.062</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.185</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.284</w:t>
            </w:r>
          </w:p>
        </w:tc>
        <w:tc>
          <w:tcPr>
            <w:tcW w:w="0" w:type="auto"/>
            <w:shd w:val="clear" w:color="auto" w:fill="auto"/>
            <w:hideMark/>
          </w:tcPr>
          <w:p w14:paraId="3DAE77BE" w14:textId="2AE7084C"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69349581" w14:textId="3F7655EE"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1585BC5" w14:textId="4B6747BB"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5C5493D" w14:textId="2F3CD90C"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base NR</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.189</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.128</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.299</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.408</w:t>
            </w:r>
          </w:p>
        </w:tc>
        <w:tc>
          <w:tcPr>
            <w:tcW w:w="0" w:type="auto"/>
            <w:shd w:val="clear" w:color="auto" w:fill="auto"/>
            <w:hideMark/>
          </w:tcPr>
          <w:p w14:paraId="0C979D9A" w14:textId="677B47EB"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base NR</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.034</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0</w:t>
            </w:r>
            <w:r w:rsidRPr="000B4E2C">
              <w:rPr>
                <w:rFonts w:cstheme="minorHAnsi"/>
                <w:sz w:val="18"/>
                <w:szCs w:val="18"/>
                <w:lang w:eastAsia="en-GB"/>
              </w:rPr>
              <w:t>.005</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.071</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.160</w:t>
            </w:r>
          </w:p>
        </w:tc>
        <w:tc>
          <w:tcPr>
            <w:tcW w:w="0" w:type="auto"/>
            <w:shd w:val="clear" w:color="auto" w:fill="auto"/>
            <w:hideMark/>
          </w:tcPr>
          <w:p w14:paraId="2F85DAC3" w14:textId="761545CE"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D263F0F" w14:textId="639137CF"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71D7C6C1" w14:textId="77777777" w:rsidTr="000B4E2C">
        <w:trPr>
          <w:cantSplit/>
          <w:tblHeader/>
        </w:trPr>
        <w:tc>
          <w:tcPr>
            <w:tcW w:w="0" w:type="auto"/>
            <w:shd w:val="clear" w:color="auto" w:fill="auto"/>
            <w:hideMark/>
          </w:tcPr>
          <w:p w14:paraId="6EC5E9B0"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lastRenderedPageBreak/>
              <w:t>Schlackow</w:t>
            </w:r>
          </w:p>
        </w:tc>
        <w:tc>
          <w:tcPr>
            <w:tcW w:w="0" w:type="auto"/>
            <w:shd w:val="clear" w:color="auto" w:fill="auto"/>
            <w:hideMark/>
          </w:tcPr>
          <w:p w14:paraId="39A303F1"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2017</w:t>
            </w:r>
          </w:p>
        </w:tc>
        <w:tc>
          <w:tcPr>
            <w:tcW w:w="0" w:type="auto"/>
            <w:shd w:val="clear" w:color="auto" w:fill="auto"/>
            <w:hideMark/>
          </w:tcPr>
          <w:p w14:paraId="3DDB09E5"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Moderate to advanced CKD</w:t>
            </w:r>
          </w:p>
        </w:tc>
        <w:tc>
          <w:tcPr>
            <w:tcW w:w="0" w:type="auto"/>
            <w:shd w:val="clear" w:color="auto" w:fill="auto"/>
            <w:hideMark/>
          </w:tcPr>
          <w:p w14:paraId="17176BC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hideMark/>
          </w:tcPr>
          <w:p w14:paraId="788DDBF2" w14:textId="27AAE664"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753BD76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hideMark/>
          </w:tcPr>
          <w:p w14:paraId="13C2D03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6356</w:t>
            </w:r>
          </w:p>
        </w:tc>
        <w:tc>
          <w:tcPr>
            <w:tcW w:w="0" w:type="auto"/>
            <w:shd w:val="clear" w:color="auto" w:fill="auto"/>
            <w:hideMark/>
          </w:tcPr>
          <w:p w14:paraId="33BA0946"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62 (12)</w:t>
            </w:r>
          </w:p>
        </w:tc>
        <w:tc>
          <w:tcPr>
            <w:tcW w:w="0" w:type="auto"/>
            <w:shd w:val="clear" w:color="auto" w:fill="auto"/>
            <w:hideMark/>
          </w:tcPr>
          <w:p w14:paraId="0302869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63%</w:t>
            </w:r>
          </w:p>
        </w:tc>
        <w:tc>
          <w:tcPr>
            <w:tcW w:w="0" w:type="auto"/>
            <w:shd w:val="clear" w:color="auto" w:fill="auto"/>
            <w:hideMark/>
          </w:tcPr>
          <w:p w14:paraId="12F31A1E" w14:textId="7E25DE33" w:rsidR="002F0133" w:rsidRPr="000B4E2C" w:rsidRDefault="002F0133" w:rsidP="008A7464">
            <w:pPr>
              <w:rPr>
                <w:rFonts w:cstheme="minorHAnsi"/>
                <w:color w:val="000000"/>
                <w:sz w:val="18"/>
                <w:szCs w:val="18"/>
                <w:lang w:eastAsia="en-GB"/>
              </w:rPr>
            </w:pPr>
            <w:r w:rsidRPr="000B4E2C">
              <w:rPr>
                <w:rFonts w:cstheme="minorHAnsi"/>
                <w:sz w:val="18"/>
                <w:szCs w:val="18"/>
                <w:u w:val="single"/>
                <w:lang w:eastAsia="en-GB"/>
              </w:rPr>
              <w:t>Regression</w:t>
            </w:r>
            <w:r w:rsidR="000B4E2C" w:rsidRPr="000B4E2C">
              <w:rPr>
                <w:rFonts w:cstheme="minorHAnsi"/>
                <w:sz w:val="18"/>
                <w:szCs w:val="18"/>
                <w:u w:val="single"/>
                <w:lang w:eastAsia="en-GB"/>
              </w:rPr>
              <w:t xml:space="preserve"> </w:t>
            </w:r>
            <w:r w:rsidRPr="000B4E2C">
              <w:rPr>
                <w:rFonts w:cstheme="minorHAnsi"/>
                <w:sz w:val="18"/>
                <w:szCs w:val="18"/>
                <w:lang w:eastAsia="en-GB"/>
              </w:rPr>
              <w:t>Mean (intercept)</w:t>
            </w:r>
            <w:r w:rsidR="000B4E2C" w:rsidRPr="000B4E2C">
              <w:rPr>
                <w:rFonts w:cstheme="minorHAnsi"/>
                <w:sz w:val="18"/>
                <w:szCs w:val="18"/>
                <w:lang w:eastAsia="en-GB"/>
              </w:rPr>
              <w:t xml:space="preserve"> </w:t>
            </w:r>
            <w:r w:rsidRPr="000B4E2C">
              <w:rPr>
                <w:rFonts w:cstheme="minorHAnsi"/>
                <w:sz w:val="18"/>
                <w:szCs w:val="18"/>
                <w:lang w:eastAsia="en-GB"/>
              </w:rPr>
              <w:t>Male</w:t>
            </w:r>
            <w:r w:rsidR="000B4E2C" w:rsidRPr="000B4E2C">
              <w:rPr>
                <w:rFonts w:cstheme="minorHAnsi"/>
                <w:sz w:val="18"/>
                <w:szCs w:val="18"/>
                <w:lang w:eastAsia="en-GB"/>
              </w:rPr>
              <w:t xml:space="preserve"> </w:t>
            </w:r>
            <w:r w:rsidRPr="000B4E2C">
              <w:rPr>
                <w:rFonts w:cstheme="minorHAnsi"/>
                <w:sz w:val="18"/>
                <w:szCs w:val="18"/>
                <w:lang w:eastAsia="en-GB"/>
              </w:rPr>
              <w:t xml:space="preserve">Age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1</w:t>
            </w:r>
            <w:r w:rsidRPr="000B4E2C">
              <w:rPr>
                <w:rFonts w:cstheme="minorHAnsi"/>
                <w:sz w:val="18"/>
                <w:szCs w:val="18"/>
                <w:lang w:eastAsia="en-GB"/>
              </w:rPr>
              <w:t>0y</w:t>
            </w:r>
            <w:r w:rsidR="000B4E2C" w:rsidRPr="000B4E2C">
              <w:rPr>
                <w:rFonts w:cstheme="minorHAnsi"/>
                <w:sz w:val="18"/>
                <w:szCs w:val="18"/>
                <w:lang w:eastAsia="en-GB"/>
              </w:rPr>
              <w:t xml:space="preserve"> </w:t>
            </w:r>
            <w:r w:rsidRPr="000B4E2C">
              <w:rPr>
                <w:rFonts w:cstheme="minorHAnsi"/>
                <w:sz w:val="18"/>
                <w:szCs w:val="18"/>
                <w:lang w:eastAsia="en-GB"/>
              </w:rPr>
              <w:t>PFKT</w:t>
            </w:r>
            <w:r w:rsidR="000B4E2C" w:rsidRPr="000B4E2C">
              <w:rPr>
                <w:rFonts w:cstheme="minorHAnsi"/>
                <w:sz w:val="18"/>
                <w:szCs w:val="18"/>
                <w:lang w:eastAsia="en-GB"/>
              </w:rPr>
              <w:t xml:space="preserve"> </w:t>
            </w:r>
            <w:r w:rsidRPr="000B4E2C">
              <w:rPr>
                <w:rFonts w:cstheme="minorHAnsi"/>
                <w:sz w:val="18"/>
                <w:szCs w:val="18"/>
                <w:lang w:eastAsia="en-GB"/>
              </w:rPr>
              <w:t xml:space="preserve">dialysis </w:t>
            </w:r>
          </w:p>
        </w:tc>
        <w:tc>
          <w:tcPr>
            <w:tcW w:w="0" w:type="auto"/>
            <w:shd w:val="clear" w:color="auto" w:fill="auto"/>
            <w:hideMark/>
          </w:tcPr>
          <w:p w14:paraId="133DA5A7" w14:textId="5A0500A1"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0.86</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0</w:t>
            </w:r>
            <w:r w:rsidRPr="000B4E2C">
              <w:rPr>
                <w:rFonts w:cstheme="minorHAnsi"/>
                <w:sz w:val="18"/>
                <w:szCs w:val="18"/>
                <w:lang w:eastAsia="en-GB"/>
              </w:rPr>
              <w:t>.06</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.05</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.07</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.06</w:t>
            </w:r>
          </w:p>
        </w:tc>
        <w:tc>
          <w:tcPr>
            <w:tcW w:w="0" w:type="auto"/>
            <w:shd w:val="clear" w:color="auto" w:fill="auto"/>
            <w:hideMark/>
          </w:tcPr>
          <w:p w14:paraId="3F08BD5A" w14:textId="69FC54B0"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4D54FCB0" w14:textId="7CE4B4B4"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06EC15B" w14:textId="1D92B0B1"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43FC9C98" w14:textId="6531B626"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0.84</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0</w:t>
            </w:r>
            <w:r w:rsidRPr="000B4E2C">
              <w:rPr>
                <w:rFonts w:cstheme="minorHAnsi"/>
                <w:sz w:val="18"/>
                <w:szCs w:val="18"/>
                <w:lang w:eastAsia="en-GB"/>
              </w:rPr>
              <w:t>.05</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.05</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.11</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.07</w:t>
            </w:r>
          </w:p>
        </w:tc>
        <w:tc>
          <w:tcPr>
            <w:tcW w:w="0" w:type="auto"/>
            <w:shd w:val="clear" w:color="auto" w:fill="auto"/>
            <w:hideMark/>
          </w:tcPr>
          <w:p w14:paraId="4D105992" w14:textId="6FA0A21D"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0.88</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0</w:t>
            </w:r>
            <w:r w:rsidRPr="000B4E2C">
              <w:rPr>
                <w:rFonts w:cstheme="minorHAnsi"/>
                <w:sz w:val="18"/>
                <w:szCs w:val="18"/>
                <w:lang w:eastAsia="en-GB"/>
              </w:rPr>
              <w:t>.07</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.04</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.03</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.04</w:t>
            </w:r>
          </w:p>
        </w:tc>
        <w:tc>
          <w:tcPr>
            <w:tcW w:w="0" w:type="auto"/>
            <w:shd w:val="clear" w:color="auto" w:fill="auto"/>
            <w:hideMark/>
          </w:tcPr>
          <w:p w14:paraId="07491487" w14:textId="23075A69"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9A53465" w14:textId="42FC4D7C"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16C901DA" w14:textId="77777777" w:rsidTr="000B4E2C">
        <w:trPr>
          <w:cantSplit/>
          <w:tblHeader/>
        </w:trPr>
        <w:tc>
          <w:tcPr>
            <w:tcW w:w="0" w:type="auto"/>
            <w:shd w:val="clear" w:color="auto" w:fill="auto"/>
            <w:hideMark/>
          </w:tcPr>
          <w:p w14:paraId="7DF0BF90"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Sekercioglu</w:t>
            </w:r>
          </w:p>
        </w:tc>
        <w:tc>
          <w:tcPr>
            <w:tcW w:w="0" w:type="auto"/>
            <w:shd w:val="clear" w:color="auto" w:fill="auto"/>
            <w:hideMark/>
          </w:tcPr>
          <w:p w14:paraId="17F1F56B"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2017</w:t>
            </w:r>
          </w:p>
        </w:tc>
        <w:tc>
          <w:tcPr>
            <w:tcW w:w="0" w:type="auto"/>
            <w:shd w:val="clear" w:color="auto" w:fill="auto"/>
            <w:hideMark/>
          </w:tcPr>
          <w:p w14:paraId="3860D85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CKD</w:t>
            </w:r>
          </w:p>
        </w:tc>
        <w:tc>
          <w:tcPr>
            <w:tcW w:w="0" w:type="auto"/>
            <w:shd w:val="clear" w:color="auto" w:fill="auto"/>
            <w:hideMark/>
          </w:tcPr>
          <w:p w14:paraId="7657A27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Canada</w:t>
            </w:r>
          </w:p>
        </w:tc>
        <w:tc>
          <w:tcPr>
            <w:tcW w:w="0" w:type="auto"/>
            <w:shd w:val="clear" w:color="auto" w:fill="auto"/>
            <w:hideMark/>
          </w:tcPr>
          <w:p w14:paraId="1AFFD565" w14:textId="4BF10E3B"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S</w:t>
            </w:r>
            <w:r w:rsidR="000B4E2C" w:rsidRPr="000B4E2C">
              <w:rPr>
                <w:rFonts w:cstheme="minorHAnsi"/>
                <w:color w:val="00B0F0"/>
                <w:sz w:val="18"/>
                <w:szCs w:val="18"/>
                <w:lang w:eastAsia="en-GB"/>
              </w:rPr>
              <w:t>F</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6</w:t>
            </w:r>
            <w:r w:rsidRPr="000B4E2C">
              <w:rPr>
                <w:rFonts w:cstheme="minorHAnsi"/>
                <w:sz w:val="18"/>
                <w:szCs w:val="18"/>
                <w:lang w:eastAsia="en-GB"/>
              </w:rPr>
              <w:t>D</w:t>
            </w:r>
          </w:p>
        </w:tc>
        <w:tc>
          <w:tcPr>
            <w:tcW w:w="0" w:type="auto"/>
            <w:shd w:val="clear" w:color="auto" w:fill="auto"/>
            <w:hideMark/>
          </w:tcPr>
          <w:p w14:paraId="63AA3F68"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Canada</w:t>
            </w:r>
          </w:p>
        </w:tc>
        <w:tc>
          <w:tcPr>
            <w:tcW w:w="0" w:type="auto"/>
            <w:shd w:val="clear" w:color="auto" w:fill="auto"/>
            <w:hideMark/>
          </w:tcPr>
          <w:p w14:paraId="154F7012" w14:textId="1671BF0C"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All: 303</w:t>
            </w:r>
            <w:r w:rsidR="000B4E2C" w:rsidRPr="000B4E2C">
              <w:rPr>
                <w:rFonts w:cstheme="minorHAnsi"/>
                <w:sz w:val="18"/>
                <w:szCs w:val="18"/>
                <w:lang w:eastAsia="en-GB"/>
              </w:rPr>
              <w:t xml:space="preserve"> </w:t>
            </w:r>
            <w:r w:rsidRPr="000B4E2C">
              <w:rPr>
                <w:rFonts w:cstheme="minorHAnsi"/>
                <w:sz w:val="18"/>
                <w:szCs w:val="18"/>
                <w:lang w:eastAsia="en-GB"/>
              </w:rPr>
              <w:t>Dialysis: 101</w:t>
            </w:r>
            <w:r w:rsidR="000B4E2C" w:rsidRPr="000B4E2C">
              <w:rPr>
                <w:rFonts w:cstheme="minorHAnsi"/>
                <w:sz w:val="18"/>
                <w:szCs w:val="18"/>
                <w:lang w:eastAsia="en-GB"/>
              </w:rPr>
              <w:t xml:space="preserve"> </w:t>
            </w:r>
            <w:r w:rsidRPr="000B4E2C">
              <w:rPr>
                <w:rFonts w:cstheme="minorHAnsi"/>
                <w:sz w:val="18"/>
                <w:szCs w:val="18"/>
                <w:lang w:eastAsia="en-GB"/>
              </w:rPr>
              <w:t>Non dialysis: 202</w:t>
            </w:r>
          </w:p>
        </w:tc>
        <w:tc>
          <w:tcPr>
            <w:tcW w:w="0" w:type="auto"/>
            <w:shd w:val="clear" w:color="auto" w:fill="auto"/>
            <w:hideMark/>
          </w:tcPr>
          <w:p w14:paraId="238B1C9C" w14:textId="0929E059"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62.7 (14.5)</w:t>
            </w:r>
            <w:r w:rsidR="000B4E2C" w:rsidRPr="000B4E2C">
              <w:rPr>
                <w:rFonts w:cstheme="minorHAnsi"/>
                <w:sz w:val="18"/>
                <w:szCs w:val="18"/>
                <w:lang w:eastAsia="en-GB"/>
              </w:rPr>
              <w:t xml:space="preserve"> </w:t>
            </w:r>
            <w:r w:rsidRPr="000B4E2C">
              <w:rPr>
                <w:rFonts w:cstheme="minorHAnsi"/>
                <w:sz w:val="18"/>
                <w:szCs w:val="18"/>
                <w:lang w:eastAsia="en-GB"/>
              </w:rPr>
              <w:t>60.6 (14.4)</w:t>
            </w:r>
            <w:r w:rsidR="000B4E2C" w:rsidRPr="000B4E2C">
              <w:rPr>
                <w:rFonts w:cstheme="minorHAnsi"/>
                <w:sz w:val="18"/>
                <w:szCs w:val="18"/>
                <w:lang w:eastAsia="en-GB"/>
              </w:rPr>
              <w:t xml:space="preserve"> </w:t>
            </w:r>
            <w:r w:rsidRPr="000B4E2C">
              <w:rPr>
                <w:rFonts w:cstheme="minorHAnsi"/>
                <w:sz w:val="18"/>
                <w:szCs w:val="18"/>
                <w:lang w:eastAsia="en-GB"/>
              </w:rPr>
              <w:t>63.8 (14.4)</w:t>
            </w:r>
          </w:p>
        </w:tc>
        <w:tc>
          <w:tcPr>
            <w:tcW w:w="0" w:type="auto"/>
            <w:shd w:val="clear" w:color="auto" w:fill="auto"/>
            <w:hideMark/>
          </w:tcPr>
          <w:p w14:paraId="2AD55DBF" w14:textId="4393E433"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58.8%</w:t>
            </w:r>
            <w:r w:rsidR="000B4E2C" w:rsidRPr="000B4E2C">
              <w:rPr>
                <w:rFonts w:cstheme="minorHAnsi"/>
                <w:sz w:val="18"/>
                <w:szCs w:val="18"/>
                <w:lang w:eastAsia="en-GB"/>
              </w:rPr>
              <w:t xml:space="preserve"> </w:t>
            </w:r>
            <w:r w:rsidRPr="000B4E2C">
              <w:rPr>
                <w:rFonts w:cstheme="minorHAnsi"/>
                <w:sz w:val="18"/>
                <w:szCs w:val="18"/>
                <w:lang w:eastAsia="en-GB"/>
              </w:rPr>
              <w:t>57.0%</w:t>
            </w:r>
            <w:r w:rsidR="000B4E2C" w:rsidRPr="000B4E2C">
              <w:rPr>
                <w:rFonts w:cstheme="minorHAnsi"/>
                <w:sz w:val="18"/>
                <w:szCs w:val="18"/>
                <w:lang w:eastAsia="en-GB"/>
              </w:rPr>
              <w:t xml:space="preserve"> </w:t>
            </w:r>
            <w:r w:rsidRPr="000B4E2C">
              <w:rPr>
                <w:rFonts w:cstheme="minorHAnsi"/>
                <w:sz w:val="18"/>
                <w:szCs w:val="18"/>
                <w:lang w:eastAsia="en-GB"/>
              </w:rPr>
              <w:t>61.0%</w:t>
            </w:r>
          </w:p>
        </w:tc>
        <w:tc>
          <w:tcPr>
            <w:tcW w:w="0" w:type="auto"/>
            <w:shd w:val="clear" w:color="auto" w:fill="auto"/>
            <w:hideMark/>
          </w:tcPr>
          <w:p w14:paraId="567A3064" w14:textId="3923A8B1"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All CKD</w:t>
            </w:r>
            <w:r w:rsidR="000B4E2C" w:rsidRPr="000B4E2C">
              <w:rPr>
                <w:rFonts w:cstheme="minorHAnsi"/>
                <w:sz w:val="18"/>
                <w:szCs w:val="18"/>
                <w:lang w:eastAsia="en-GB"/>
              </w:rPr>
              <w:t xml:space="preserve"> </w:t>
            </w:r>
            <w:r w:rsidRPr="000B4E2C">
              <w:rPr>
                <w:rFonts w:cstheme="minorHAnsi"/>
                <w:sz w:val="18"/>
                <w:szCs w:val="18"/>
                <w:lang w:eastAsia="en-GB"/>
              </w:rPr>
              <w:t>Dialysis</w:t>
            </w:r>
            <w:r w:rsidR="000B4E2C" w:rsidRPr="000B4E2C">
              <w:rPr>
                <w:rFonts w:cstheme="minorHAnsi"/>
                <w:sz w:val="18"/>
                <w:szCs w:val="18"/>
                <w:lang w:eastAsia="en-GB"/>
              </w:rPr>
              <w:t xml:space="preserve"> </w:t>
            </w:r>
            <w:r w:rsidRPr="000B4E2C">
              <w:rPr>
                <w:rFonts w:cstheme="minorHAnsi"/>
                <w:sz w:val="18"/>
                <w:szCs w:val="18"/>
                <w:lang w:eastAsia="en-GB"/>
              </w:rPr>
              <w:t>no dialysis</w:t>
            </w:r>
          </w:p>
        </w:tc>
        <w:tc>
          <w:tcPr>
            <w:tcW w:w="0" w:type="auto"/>
            <w:shd w:val="clear" w:color="auto" w:fill="auto"/>
            <w:hideMark/>
          </w:tcPr>
          <w:p w14:paraId="289F5B86" w14:textId="450AB881"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0.720</w:t>
            </w:r>
            <w:r w:rsidR="000B4E2C" w:rsidRPr="000B4E2C">
              <w:rPr>
                <w:rFonts w:cstheme="minorHAnsi"/>
                <w:sz w:val="18"/>
                <w:szCs w:val="18"/>
                <w:lang w:eastAsia="en-GB"/>
              </w:rPr>
              <w:t xml:space="preserve"> </w:t>
            </w:r>
            <w:r w:rsidRPr="000B4E2C">
              <w:rPr>
                <w:rFonts w:cstheme="minorHAnsi"/>
                <w:sz w:val="18"/>
                <w:szCs w:val="18"/>
                <w:lang w:eastAsia="en-GB"/>
              </w:rPr>
              <w:t>0.670</w:t>
            </w:r>
            <w:r w:rsidR="000B4E2C" w:rsidRPr="000B4E2C">
              <w:rPr>
                <w:rFonts w:cstheme="minorHAnsi"/>
                <w:sz w:val="18"/>
                <w:szCs w:val="18"/>
                <w:lang w:eastAsia="en-GB"/>
              </w:rPr>
              <w:t xml:space="preserve"> </w:t>
            </w:r>
            <w:r w:rsidRPr="000B4E2C">
              <w:rPr>
                <w:rFonts w:cstheme="minorHAnsi"/>
                <w:sz w:val="18"/>
                <w:szCs w:val="18"/>
                <w:lang w:eastAsia="en-GB"/>
              </w:rPr>
              <w:t>0.740</w:t>
            </w:r>
          </w:p>
        </w:tc>
        <w:tc>
          <w:tcPr>
            <w:tcW w:w="0" w:type="auto"/>
            <w:shd w:val="clear" w:color="auto" w:fill="auto"/>
            <w:hideMark/>
          </w:tcPr>
          <w:p w14:paraId="0486EC70" w14:textId="6D7DDC8D"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47294679" w14:textId="0D483020"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5817C3B" w14:textId="28C8ECF8"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0.110</w:t>
            </w:r>
            <w:r w:rsidR="000B4E2C" w:rsidRPr="000B4E2C">
              <w:rPr>
                <w:rFonts w:cstheme="minorHAnsi"/>
                <w:sz w:val="18"/>
                <w:szCs w:val="18"/>
                <w:lang w:eastAsia="en-GB"/>
              </w:rPr>
              <w:t xml:space="preserve"> </w:t>
            </w:r>
            <w:r w:rsidRPr="000B4E2C">
              <w:rPr>
                <w:rFonts w:cstheme="minorHAnsi"/>
                <w:sz w:val="18"/>
                <w:szCs w:val="18"/>
                <w:lang w:eastAsia="en-GB"/>
              </w:rPr>
              <w:t>0.110</w:t>
            </w:r>
            <w:r w:rsidR="000B4E2C" w:rsidRPr="000B4E2C">
              <w:rPr>
                <w:rFonts w:cstheme="minorHAnsi"/>
                <w:sz w:val="18"/>
                <w:szCs w:val="18"/>
                <w:lang w:eastAsia="en-GB"/>
              </w:rPr>
              <w:t xml:space="preserve"> </w:t>
            </w:r>
            <w:r w:rsidRPr="000B4E2C">
              <w:rPr>
                <w:rFonts w:cstheme="minorHAnsi"/>
                <w:sz w:val="18"/>
                <w:szCs w:val="18"/>
                <w:lang w:eastAsia="en-GB"/>
              </w:rPr>
              <w:t>0.100</w:t>
            </w:r>
          </w:p>
        </w:tc>
        <w:tc>
          <w:tcPr>
            <w:tcW w:w="0" w:type="auto"/>
            <w:shd w:val="clear" w:color="auto" w:fill="auto"/>
            <w:hideMark/>
          </w:tcPr>
          <w:p w14:paraId="2387A8F8" w14:textId="13F8D7E3"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669FB27" w14:textId="378663B3"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4AD4BE77" w14:textId="06F141E3"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E9BB704" w14:textId="7A210EB1"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7F88B822" w14:textId="77777777" w:rsidTr="000B4E2C">
        <w:trPr>
          <w:cantSplit/>
          <w:tblHeader/>
        </w:trPr>
        <w:tc>
          <w:tcPr>
            <w:tcW w:w="0" w:type="auto"/>
            <w:shd w:val="clear" w:color="auto" w:fill="auto"/>
            <w:hideMark/>
          </w:tcPr>
          <w:p w14:paraId="3858C32A"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Senanayake</w:t>
            </w:r>
          </w:p>
        </w:tc>
        <w:tc>
          <w:tcPr>
            <w:tcW w:w="0" w:type="auto"/>
            <w:shd w:val="clear" w:color="auto" w:fill="auto"/>
            <w:hideMark/>
          </w:tcPr>
          <w:p w14:paraId="4043FA3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2019</w:t>
            </w:r>
          </w:p>
        </w:tc>
        <w:tc>
          <w:tcPr>
            <w:tcW w:w="0" w:type="auto"/>
            <w:shd w:val="clear" w:color="auto" w:fill="auto"/>
            <w:hideMark/>
          </w:tcPr>
          <w:p w14:paraId="0AE33FF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pre-dialysis patients</w:t>
            </w:r>
          </w:p>
        </w:tc>
        <w:tc>
          <w:tcPr>
            <w:tcW w:w="0" w:type="auto"/>
            <w:shd w:val="clear" w:color="auto" w:fill="auto"/>
            <w:hideMark/>
          </w:tcPr>
          <w:p w14:paraId="4B1A9A3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Sri Lanka</w:t>
            </w:r>
          </w:p>
        </w:tc>
        <w:tc>
          <w:tcPr>
            <w:tcW w:w="0" w:type="auto"/>
            <w:shd w:val="clear" w:color="auto" w:fill="auto"/>
            <w:hideMark/>
          </w:tcPr>
          <w:p w14:paraId="569BDB05" w14:textId="0038F755"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342E25E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Sri Lanka</w:t>
            </w:r>
          </w:p>
        </w:tc>
        <w:tc>
          <w:tcPr>
            <w:tcW w:w="0" w:type="auto"/>
            <w:shd w:val="clear" w:color="auto" w:fill="auto"/>
            <w:hideMark/>
          </w:tcPr>
          <w:p w14:paraId="69702B7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1036</w:t>
            </w:r>
          </w:p>
        </w:tc>
        <w:tc>
          <w:tcPr>
            <w:tcW w:w="0" w:type="auto"/>
            <w:shd w:val="clear" w:color="auto" w:fill="auto"/>
            <w:hideMark/>
          </w:tcPr>
          <w:p w14:paraId="0F4132D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Median approx 60</w:t>
            </w:r>
          </w:p>
        </w:tc>
        <w:tc>
          <w:tcPr>
            <w:tcW w:w="0" w:type="auto"/>
            <w:shd w:val="clear" w:color="auto" w:fill="auto"/>
            <w:hideMark/>
          </w:tcPr>
          <w:p w14:paraId="5347AF61"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62.40%</w:t>
            </w:r>
          </w:p>
        </w:tc>
        <w:tc>
          <w:tcPr>
            <w:tcW w:w="0" w:type="auto"/>
            <w:shd w:val="clear" w:color="auto" w:fill="auto"/>
            <w:hideMark/>
          </w:tcPr>
          <w:p w14:paraId="001FF735"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pre-dialysis CKD</w:t>
            </w:r>
          </w:p>
        </w:tc>
        <w:tc>
          <w:tcPr>
            <w:tcW w:w="0" w:type="auto"/>
            <w:shd w:val="clear" w:color="auto" w:fill="auto"/>
            <w:hideMark/>
          </w:tcPr>
          <w:p w14:paraId="655B4CFF"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0.52</w:t>
            </w:r>
          </w:p>
        </w:tc>
        <w:tc>
          <w:tcPr>
            <w:tcW w:w="0" w:type="auto"/>
            <w:shd w:val="clear" w:color="auto" w:fill="auto"/>
            <w:hideMark/>
          </w:tcPr>
          <w:p w14:paraId="7AA5BAEF" w14:textId="14FD035A"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43016B6B" w14:textId="5C6C73EF"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882C6CF"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0.33</w:t>
            </w:r>
          </w:p>
        </w:tc>
        <w:tc>
          <w:tcPr>
            <w:tcW w:w="0" w:type="auto"/>
            <w:shd w:val="clear" w:color="auto" w:fill="auto"/>
            <w:hideMark/>
          </w:tcPr>
          <w:p w14:paraId="3C11ABFF" w14:textId="28C642C3"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0D002357" w14:textId="55184811"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95881F1" w14:textId="31187D90"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37DE360" w14:textId="733E4970"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0F95420D" w14:textId="77777777" w:rsidTr="000B4E2C">
        <w:trPr>
          <w:cantSplit/>
          <w:tblHeader/>
        </w:trPr>
        <w:tc>
          <w:tcPr>
            <w:tcW w:w="0" w:type="auto"/>
            <w:shd w:val="clear" w:color="auto" w:fill="auto"/>
            <w:hideMark/>
          </w:tcPr>
          <w:p w14:paraId="3B0CDD86"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Shah</w:t>
            </w:r>
          </w:p>
        </w:tc>
        <w:tc>
          <w:tcPr>
            <w:tcW w:w="0" w:type="auto"/>
            <w:shd w:val="clear" w:color="auto" w:fill="auto"/>
            <w:hideMark/>
          </w:tcPr>
          <w:p w14:paraId="779B2A2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2019</w:t>
            </w:r>
          </w:p>
        </w:tc>
        <w:tc>
          <w:tcPr>
            <w:tcW w:w="0" w:type="auto"/>
            <w:shd w:val="clear" w:color="auto" w:fill="auto"/>
            <w:hideMark/>
          </w:tcPr>
          <w:p w14:paraId="16AE120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ESRD (dialysis or conservative management)</w:t>
            </w:r>
          </w:p>
        </w:tc>
        <w:tc>
          <w:tcPr>
            <w:tcW w:w="0" w:type="auto"/>
            <w:shd w:val="clear" w:color="auto" w:fill="auto"/>
            <w:hideMark/>
          </w:tcPr>
          <w:p w14:paraId="2EF5B4C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UK and Australia</w:t>
            </w:r>
          </w:p>
        </w:tc>
        <w:tc>
          <w:tcPr>
            <w:tcW w:w="0" w:type="auto"/>
            <w:shd w:val="clear" w:color="auto" w:fill="auto"/>
            <w:hideMark/>
          </w:tcPr>
          <w:p w14:paraId="2324751C" w14:textId="1284E473"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S</w:t>
            </w:r>
            <w:r w:rsidR="000B4E2C" w:rsidRPr="000B4E2C">
              <w:rPr>
                <w:rFonts w:cstheme="minorHAnsi"/>
                <w:color w:val="00B0F0"/>
                <w:sz w:val="18"/>
                <w:szCs w:val="18"/>
                <w:lang w:eastAsia="en-GB"/>
              </w:rPr>
              <w:t>F</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6</w:t>
            </w:r>
            <w:r w:rsidRPr="000B4E2C">
              <w:rPr>
                <w:rFonts w:cstheme="minorHAnsi"/>
                <w:sz w:val="18"/>
                <w:szCs w:val="18"/>
                <w:lang w:eastAsia="en-GB"/>
              </w:rPr>
              <w:t>D</w:t>
            </w:r>
          </w:p>
        </w:tc>
        <w:tc>
          <w:tcPr>
            <w:tcW w:w="0" w:type="auto"/>
            <w:shd w:val="clear" w:color="auto" w:fill="auto"/>
            <w:hideMark/>
          </w:tcPr>
          <w:p w14:paraId="48AD659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hideMark/>
          </w:tcPr>
          <w:p w14:paraId="3F1F81CA" w14:textId="516EB006"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Total: 129</w:t>
            </w:r>
            <w:r w:rsidR="000B4E2C" w:rsidRPr="000B4E2C">
              <w:rPr>
                <w:rFonts w:cstheme="minorHAnsi"/>
                <w:sz w:val="18"/>
                <w:szCs w:val="18"/>
                <w:lang w:eastAsia="en-GB"/>
              </w:rPr>
              <w:t xml:space="preserve"> </w:t>
            </w:r>
            <w:r w:rsidRPr="000B4E2C">
              <w:rPr>
                <w:rFonts w:cstheme="minorHAnsi"/>
                <w:sz w:val="18"/>
                <w:szCs w:val="18"/>
                <w:lang w:eastAsia="en-GB"/>
              </w:rPr>
              <w:t>Dialysis: 83</w:t>
            </w:r>
            <w:r w:rsidR="000B4E2C" w:rsidRPr="000B4E2C">
              <w:rPr>
                <w:rFonts w:cstheme="minorHAnsi"/>
                <w:sz w:val="18"/>
                <w:szCs w:val="18"/>
                <w:lang w:eastAsia="en-GB"/>
              </w:rPr>
              <w:t xml:space="preserve"> </w:t>
            </w:r>
            <w:r w:rsidRPr="000B4E2C">
              <w:rPr>
                <w:rFonts w:cstheme="minorHAnsi"/>
                <w:sz w:val="18"/>
                <w:szCs w:val="18"/>
                <w:lang w:eastAsia="en-GB"/>
              </w:rPr>
              <w:t>conservative: 46</w:t>
            </w:r>
          </w:p>
        </w:tc>
        <w:tc>
          <w:tcPr>
            <w:tcW w:w="0" w:type="auto"/>
            <w:shd w:val="clear" w:color="auto" w:fill="auto"/>
            <w:hideMark/>
          </w:tcPr>
          <w:p w14:paraId="36C2E8BE" w14:textId="0907B720"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7</w:t>
            </w:r>
            <w:r w:rsidR="000B4E2C" w:rsidRPr="000B4E2C">
              <w:rPr>
                <w:rFonts w:cstheme="minorHAnsi"/>
                <w:color w:val="00B0F0"/>
                <w:sz w:val="18"/>
                <w:szCs w:val="18"/>
                <w:lang w:eastAsia="en-GB"/>
              </w:rPr>
              <w:t>5</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w:t>
            </w:r>
          </w:p>
        </w:tc>
        <w:tc>
          <w:tcPr>
            <w:tcW w:w="0" w:type="auto"/>
            <w:shd w:val="clear" w:color="auto" w:fill="auto"/>
            <w:hideMark/>
          </w:tcPr>
          <w:p w14:paraId="6E678A00" w14:textId="4B42DE51"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69%</w:t>
            </w:r>
            <w:r w:rsidR="000B4E2C" w:rsidRPr="000B4E2C">
              <w:rPr>
                <w:rFonts w:cstheme="minorHAnsi"/>
                <w:sz w:val="18"/>
                <w:szCs w:val="18"/>
                <w:lang w:eastAsia="en-GB"/>
              </w:rPr>
              <w:t xml:space="preserve"> </w:t>
            </w:r>
            <w:r w:rsidRPr="000B4E2C">
              <w:rPr>
                <w:rFonts w:cstheme="minorHAnsi"/>
                <w:sz w:val="18"/>
                <w:szCs w:val="18"/>
                <w:lang w:eastAsia="en-GB"/>
              </w:rPr>
              <w:t>59%</w:t>
            </w:r>
            <w:r w:rsidR="000B4E2C" w:rsidRPr="000B4E2C">
              <w:rPr>
                <w:rFonts w:cstheme="minorHAnsi"/>
                <w:sz w:val="18"/>
                <w:szCs w:val="18"/>
                <w:lang w:eastAsia="en-GB"/>
              </w:rPr>
              <w:t xml:space="preserve"> </w:t>
            </w:r>
            <w:r w:rsidRPr="000B4E2C">
              <w:rPr>
                <w:rFonts w:cstheme="minorHAnsi"/>
                <w:sz w:val="18"/>
                <w:szCs w:val="18"/>
                <w:lang w:eastAsia="en-GB"/>
              </w:rPr>
              <w:t>65%</w:t>
            </w:r>
          </w:p>
        </w:tc>
        <w:tc>
          <w:tcPr>
            <w:tcW w:w="0" w:type="auto"/>
            <w:shd w:val="clear" w:color="auto" w:fill="auto"/>
            <w:hideMark/>
          </w:tcPr>
          <w:p w14:paraId="15261F0F" w14:textId="30BF2030"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Total</w:t>
            </w:r>
            <w:r w:rsidR="000B4E2C" w:rsidRPr="000B4E2C">
              <w:rPr>
                <w:rFonts w:cstheme="minorHAnsi"/>
                <w:sz w:val="18"/>
                <w:szCs w:val="18"/>
                <w:lang w:eastAsia="en-GB"/>
              </w:rPr>
              <w:t xml:space="preserve"> </w:t>
            </w:r>
            <w:r w:rsidRPr="000B4E2C">
              <w:rPr>
                <w:rFonts w:cstheme="minorHAnsi"/>
                <w:sz w:val="18"/>
                <w:szCs w:val="18"/>
                <w:lang w:eastAsia="en-GB"/>
              </w:rPr>
              <w:t>Dialysis</w:t>
            </w:r>
            <w:r w:rsidR="000B4E2C" w:rsidRPr="000B4E2C">
              <w:rPr>
                <w:rFonts w:cstheme="minorHAnsi"/>
                <w:sz w:val="18"/>
                <w:szCs w:val="18"/>
                <w:lang w:eastAsia="en-GB"/>
              </w:rPr>
              <w:t xml:space="preserve"> </w:t>
            </w:r>
            <w:r w:rsidRPr="000B4E2C">
              <w:rPr>
                <w:rFonts w:cstheme="minorHAnsi"/>
                <w:sz w:val="18"/>
                <w:szCs w:val="18"/>
                <w:lang w:eastAsia="en-GB"/>
              </w:rPr>
              <w:t>CM</w:t>
            </w:r>
          </w:p>
        </w:tc>
        <w:tc>
          <w:tcPr>
            <w:tcW w:w="0" w:type="auto"/>
            <w:shd w:val="clear" w:color="auto" w:fill="auto"/>
            <w:hideMark/>
          </w:tcPr>
          <w:p w14:paraId="72823C11" w14:textId="65CBBD5E"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0.62</w:t>
            </w:r>
            <w:r w:rsidR="000B4E2C" w:rsidRPr="000B4E2C">
              <w:rPr>
                <w:rFonts w:cstheme="minorHAnsi"/>
                <w:sz w:val="18"/>
                <w:szCs w:val="18"/>
                <w:lang w:eastAsia="en-GB"/>
              </w:rPr>
              <w:t xml:space="preserve"> </w:t>
            </w:r>
            <w:r w:rsidRPr="000B4E2C">
              <w:rPr>
                <w:rFonts w:cstheme="minorHAnsi"/>
                <w:sz w:val="18"/>
                <w:szCs w:val="18"/>
                <w:lang w:eastAsia="en-GB"/>
              </w:rPr>
              <w:t>0.61</w:t>
            </w:r>
            <w:r w:rsidR="000B4E2C" w:rsidRPr="000B4E2C">
              <w:rPr>
                <w:rFonts w:cstheme="minorHAnsi"/>
                <w:sz w:val="18"/>
                <w:szCs w:val="18"/>
                <w:lang w:eastAsia="en-GB"/>
              </w:rPr>
              <w:t xml:space="preserve"> </w:t>
            </w:r>
            <w:r w:rsidRPr="000B4E2C">
              <w:rPr>
                <w:rFonts w:cstheme="minorHAnsi"/>
                <w:sz w:val="18"/>
                <w:szCs w:val="18"/>
                <w:lang w:eastAsia="en-GB"/>
              </w:rPr>
              <w:t>0.65</w:t>
            </w:r>
          </w:p>
        </w:tc>
        <w:tc>
          <w:tcPr>
            <w:tcW w:w="0" w:type="auto"/>
            <w:shd w:val="clear" w:color="auto" w:fill="auto"/>
            <w:hideMark/>
          </w:tcPr>
          <w:p w14:paraId="09474C2B" w14:textId="4BF93E21"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0F41C7FE" w14:textId="0017A55F"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69A221DB" w14:textId="098423D8"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0.14</w:t>
            </w:r>
            <w:r w:rsidR="000B4E2C" w:rsidRPr="000B4E2C">
              <w:rPr>
                <w:rFonts w:cstheme="minorHAnsi"/>
                <w:sz w:val="18"/>
                <w:szCs w:val="18"/>
                <w:lang w:eastAsia="en-GB"/>
              </w:rPr>
              <w:t xml:space="preserve"> </w:t>
            </w:r>
            <w:r w:rsidRPr="000B4E2C">
              <w:rPr>
                <w:rFonts w:cstheme="minorHAnsi"/>
                <w:sz w:val="18"/>
                <w:szCs w:val="18"/>
                <w:lang w:eastAsia="en-GB"/>
              </w:rPr>
              <w:t>0.13</w:t>
            </w:r>
            <w:r w:rsidR="000B4E2C" w:rsidRPr="000B4E2C">
              <w:rPr>
                <w:rFonts w:cstheme="minorHAnsi"/>
                <w:sz w:val="18"/>
                <w:szCs w:val="18"/>
                <w:lang w:eastAsia="en-GB"/>
              </w:rPr>
              <w:t xml:space="preserve"> </w:t>
            </w:r>
            <w:r w:rsidRPr="000B4E2C">
              <w:rPr>
                <w:rFonts w:cstheme="minorHAnsi"/>
                <w:sz w:val="18"/>
                <w:szCs w:val="18"/>
                <w:lang w:eastAsia="en-GB"/>
              </w:rPr>
              <w:t>0.15</w:t>
            </w:r>
          </w:p>
        </w:tc>
        <w:tc>
          <w:tcPr>
            <w:tcW w:w="0" w:type="auto"/>
            <w:shd w:val="clear" w:color="auto" w:fill="auto"/>
            <w:hideMark/>
          </w:tcPr>
          <w:p w14:paraId="0BF9AC72" w14:textId="180D621C"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04595BBF" w14:textId="552E28F3"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7321690E" w14:textId="18D18CB4"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63C8208A" w14:textId="018F57FD"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636A7A16" w14:textId="77777777" w:rsidTr="000B4E2C">
        <w:trPr>
          <w:cantSplit/>
          <w:tblHeader/>
        </w:trPr>
        <w:tc>
          <w:tcPr>
            <w:tcW w:w="0" w:type="auto"/>
            <w:shd w:val="clear" w:color="auto" w:fill="auto"/>
            <w:hideMark/>
          </w:tcPr>
          <w:p w14:paraId="6C13A01F"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Shimizu</w:t>
            </w:r>
          </w:p>
        </w:tc>
        <w:tc>
          <w:tcPr>
            <w:tcW w:w="0" w:type="auto"/>
            <w:shd w:val="clear" w:color="auto" w:fill="auto"/>
            <w:hideMark/>
          </w:tcPr>
          <w:p w14:paraId="47F2B65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2018</w:t>
            </w:r>
          </w:p>
        </w:tc>
        <w:tc>
          <w:tcPr>
            <w:tcW w:w="0" w:type="auto"/>
            <w:shd w:val="clear" w:color="auto" w:fill="auto"/>
            <w:hideMark/>
          </w:tcPr>
          <w:p w14:paraId="4549921A"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HD patients</w:t>
            </w:r>
          </w:p>
        </w:tc>
        <w:tc>
          <w:tcPr>
            <w:tcW w:w="0" w:type="auto"/>
            <w:shd w:val="clear" w:color="auto" w:fill="auto"/>
            <w:hideMark/>
          </w:tcPr>
          <w:p w14:paraId="3276C44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Japan</w:t>
            </w:r>
          </w:p>
        </w:tc>
        <w:tc>
          <w:tcPr>
            <w:tcW w:w="0" w:type="auto"/>
            <w:shd w:val="clear" w:color="auto" w:fill="auto"/>
            <w:hideMark/>
          </w:tcPr>
          <w:p w14:paraId="11542FDC" w14:textId="71C1BAA5"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w:t>
            </w:r>
            <w:r w:rsidRPr="000B4E2C">
              <w:rPr>
                <w:rFonts w:cstheme="minorHAnsi"/>
                <w:sz w:val="18"/>
                <w:szCs w:val="18"/>
                <w:lang w:eastAsia="en-GB"/>
              </w:rPr>
              <w:t>L</w:t>
            </w:r>
          </w:p>
        </w:tc>
        <w:tc>
          <w:tcPr>
            <w:tcW w:w="0" w:type="auto"/>
            <w:shd w:val="clear" w:color="auto" w:fill="auto"/>
            <w:hideMark/>
          </w:tcPr>
          <w:p w14:paraId="65BCC58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Japan</w:t>
            </w:r>
          </w:p>
        </w:tc>
        <w:tc>
          <w:tcPr>
            <w:tcW w:w="0" w:type="auto"/>
            <w:shd w:val="clear" w:color="auto" w:fill="auto"/>
            <w:hideMark/>
          </w:tcPr>
          <w:p w14:paraId="15F23472" w14:textId="014E8236"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All: 717</w:t>
            </w:r>
            <w:r w:rsidR="000B4E2C" w:rsidRPr="000B4E2C">
              <w:rPr>
                <w:rFonts w:cstheme="minorHAnsi"/>
                <w:sz w:val="18"/>
                <w:szCs w:val="18"/>
                <w:lang w:eastAsia="en-GB"/>
              </w:rPr>
              <w:t xml:space="preserve"> </w:t>
            </w:r>
            <w:r w:rsidRPr="000B4E2C">
              <w:rPr>
                <w:rFonts w:cstheme="minorHAnsi"/>
                <w:sz w:val="18"/>
                <w:szCs w:val="18"/>
                <w:lang w:eastAsia="en-GB"/>
              </w:rPr>
              <w:t>age 60</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6</w:t>
            </w:r>
            <w:r w:rsidRPr="000B4E2C">
              <w:rPr>
                <w:rFonts w:cstheme="minorHAnsi"/>
                <w:sz w:val="18"/>
                <w:szCs w:val="18"/>
                <w:lang w:eastAsia="en-GB"/>
              </w:rPr>
              <w:t>9: 278</w:t>
            </w:r>
            <w:r w:rsidR="000B4E2C" w:rsidRPr="000B4E2C">
              <w:rPr>
                <w:rFonts w:cstheme="minorHAnsi"/>
                <w:sz w:val="18"/>
                <w:szCs w:val="18"/>
                <w:lang w:eastAsia="en-GB"/>
              </w:rPr>
              <w:t xml:space="preserve"> </w:t>
            </w:r>
            <w:r w:rsidRPr="000B4E2C">
              <w:rPr>
                <w:rFonts w:cstheme="minorHAnsi"/>
                <w:sz w:val="18"/>
                <w:szCs w:val="18"/>
                <w:lang w:eastAsia="en-GB"/>
              </w:rPr>
              <w:t>age 70</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7</w:t>
            </w:r>
            <w:r w:rsidRPr="000B4E2C">
              <w:rPr>
                <w:rFonts w:cstheme="minorHAnsi"/>
                <w:sz w:val="18"/>
                <w:szCs w:val="18"/>
                <w:lang w:eastAsia="en-GB"/>
              </w:rPr>
              <w:t>9: 311</w:t>
            </w:r>
            <w:r w:rsidR="000B4E2C" w:rsidRPr="000B4E2C">
              <w:rPr>
                <w:rFonts w:cstheme="minorHAnsi"/>
                <w:sz w:val="18"/>
                <w:szCs w:val="18"/>
                <w:lang w:eastAsia="en-GB"/>
              </w:rPr>
              <w:t xml:space="preserve"> </w:t>
            </w:r>
            <w:r w:rsidRPr="000B4E2C">
              <w:rPr>
                <w:rFonts w:cstheme="minorHAnsi"/>
                <w:sz w:val="18"/>
                <w:szCs w:val="18"/>
                <w:lang w:eastAsia="en-GB"/>
              </w:rPr>
              <w:t>age 8</w:t>
            </w:r>
            <w:r w:rsidR="000B4E2C" w:rsidRPr="000B4E2C">
              <w:rPr>
                <w:rFonts w:cstheme="minorHAnsi"/>
                <w:color w:val="00B0F0"/>
                <w:sz w:val="18"/>
                <w:szCs w:val="18"/>
                <w:lang w:eastAsia="en-GB"/>
              </w:rPr>
              <w:t>0</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w:t>
            </w:r>
            <w:r w:rsidRPr="000B4E2C">
              <w:rPr>
                <w:rFonts w:cstheme="minorHAnsi"/>
                <w:sz w:val="18"/>
                <w:szCs w:val="18"/>
                <w:lang w:eastAsia="en-GB"/>
              </w:rPr>
              <w:t>: 118</w:t>
            </w:r>
          </w:p>
        </w:tc>
        <w:tc>
          <w:tcPr>
            <w:tcW w:w="0" w:type="auto"/>
            <w:shd w:val="clear" w:color="auto" w:fill="auto"/>
            <w:hideMark/>
          </w:tcPr>
          <w:p w14:paraId="07D2A49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72.9 (6.5)</w:t>
            </w:r>
          </w:p>
        </w:tc>
        <w:tc>
          <w:tcPr>
            <w:tcW w:w="0" w:type="auto"/>
            <w:shd w:val="clear" w:color="auto" w:fill="auto"/>
            <w:hideMark/>
          </w:tcPr>
          <w:p w14:paraId="370066DB"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62.50%</w:t>
            </w:r>
          </w:p>
        </w:tc>
        <w:tc>
          <w:tcPr>
            <w:tcW w:w="0" w:type="auto"/>
            <w:shd w:val="clear" w:color="auto" w:fill="auto"/>
            <w:hideMark/>
          </w:tcPr>
          <w:p w14:paraId="2576B607" w14:textId="101AE4A4"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All HD</w:t>
            </w:r>
            <w:r w:rsidR="000B4E2C" w:rsidRPr="000B4E2C">
              <w:rPr>
                <w:rFonts w:cstheme="minorHAnsi"/>
                <w:sz w:val="18"/>
                <w:szCs w:val="18"/>
                <w:lang w:eastAsia="en-GB"/>
              </w:rPr>
              <w:t xml:space="preserve"> </w:t>
            </w:r>
            <w:r w:rsidRPr="000B4E2C">
              <w:rPr>
                <w:rFonts w:cstheme="minorHAnsi"/>
                <w:sz w:val="18"/>
                <w:szCs w:val="18"/>
                <w:lang w:eastAsia="en-GB"/>
              </w:rPr>
              <w:t>age 60</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6</w:t>
            </w:r>
            <w:r w:rsidRPr="000B4E2C">
              <w:rPr>
                <w:rFonts w:cstheme="minorHAnsi"/>
                <w:sz w:val="18"/>
                <w:szCs w:val="18"/>
                <w:lang w:eastAsia="en-GB"/>
              </w:rPr>
              <w:t>9:</w:t>
            </w:r>
            <w:r w:rsidR="000B4E2C" w:rsidRPr="000B4E2C">
              <w:rPr>
                <w:rFonts w:cstheme="minorHAnsi"/>
                <w:sz w:val="18"/>
                <w:szCs w:val="18"/>
                <w:lang w:eastAsia="en-GB"/>
              </w:rPr>
              <w:t xml:space="preserve"> </w:t>
            </w:r>
            <w:r w:rsidRPr="000B4E2C">
              <w:rPr>
                <w:rFonts w:cstheme="minorHAnsi"/>
                <w:sz w:val="18"/>
                <w:szCs w:val="18"/>
                <w:lang w:eastAsia="en-GB"/>
              </w:rPr>
              <w:t>age 70</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7</w:t>
            </w:r>
            <w:r w:rsidRPr="000B4E2C">
              <w:rPr>
                <w:rFonts w:cstheme="minorHAnsi"/>
                <w:sz w:val="18"/>
                <w:szCs w:val="18"/>
                <w:lang w:eastAsia="en-GB"/>
              </w:rPr>
              <w:t>9:</w:t>
            </w:r>
            <w:r w:rsidR="000B4E2C" w:rsidRPr="000B4E2C">
              <w:rPr>
                <w:rFonts w:cstheme="minorHAnsi"/>
                <w:sz w:val="18"/>
                <w:szCs w:val="18"/>
                <w:lang w:eastAsia="en-GB"/>
              </w:rPr>
              <w:t xml:space="preserve"> </w:t>
            </w:r>
            <w:r w:rsidRPr="000B4E2C">
              <w:rPr>
                <w:rFonts w:cstheme="minorHAnsi"/>
                <w:sz w:val="18"/>
                <w:szCs w:val="18"/>
                <w:lang w:eastAsia="en-GB"/>
              </w:rPr>
              <w:t>age 8</w:t>
            </w:r>
            <w:r w:rsidR="000B4E2C" w:rsidRPr="000B4E2C">
              <w:rPr>
                <w:rFonts w:cstheme="minorHAnsi"/>
                <w:color w:val="00B0F0"/>
                <w:sz w:val="18"/>
                <w:szCs w:val="18"/>
                <w:lang w:eastAsia="en-GB"/>
              </w:rPr>
              <w:t>0</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w:t>
            </w:r>
            <w:r w:rsidRPr="000B4E2C">
              <w:rPr>
                <w:rFonts w:cstheme="minorHAnsi"/>
                <w:sz w:val="18"/>
                <w:szCs w:val="18"/>
                <w:lang w:eastAsia="en-GB"/>
              </w:rPr>
              <w:t xml:space="preserve">: </w:t>
            </w:r>
          </w:p>
        </w:tc>
        <w:tc>
          <w:tcPr>
            <w:tcW w:w="0" w:type="auto"/>
            <w:shd w:val="clear" w:color="auto" w:fill="auto"/>
            <w:hideMark/>
          </w:tcPr>
          <w:p w14:paraId="5631F58C" w14:textId="41FE735E"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0.738</w:t>
            </w:r>
            <w:r w:rsidR="000B4E2C" w:rsidRPr="000B4E2C">
              <w:rPr>
                <w:rFonts w:cstheme="minorHAnsi"/>
                <w:sz w:val="18"/>
                <w:szCs w:val="18"/>
                <w:lang w:eastAsia="en-GB"/>
              </w:rPr>
              <w:t xml:space="preserve"> </w:t>
            </w:r>
            <w:r w:rsidRPr="000B4E2C">
              <w:rPr>
                <w:rFonts w:cstheme="minorHAnsi"/>
                <w:sz w:val="18"/>
                <w:szCs w:val="18"/>
                <w:lang w:eastAsia="en-GB"/>
              </w:rPr>
              <w:t>0.784</w:t>
            </w:r>
            <w:r w:rsidR="000B4E2C" w:rsidRPr="000B4E2C">
              <w:rPr>
                <w:rFonts w:cstheme="minorHAnsi"/>
                <w:sz w:val="18"/>
                <w:szCs w:val="18"/>
                <w:lang w:eastAsia="en-GB"/>
              </w:rPr>
              <w:t xml:space="preserve"> </w:t>
            </w:r>
            <w:r w:rsidRPr="000B4E2C">
              <w:rPr>
                <w:rFonts w:cstheme="minorHAnsi"/>
                <w:sz w:val="18"/>
                <w:szCs w:val="18"/>
                <w:lang w:eastAsia="en-GB"/>
              </w:rPr>
              <w:t>0.744</w:t>
            </w:r>
            <w:r w:rsidR="000B4E2C" w:rsidRPr="000B4E2C">
              <w:rPr>
                <w:rFonts w:cstheme="minorHAnsi"/>
                <w:sz w:val="18"/>
                <w:szCs w:val="18"/>
                <w:lang w:eastAsia="en-GB"/>
              </w:rPr>
              <w:t xml:space="preserve"> </w:t>
            </w:r>
            <w:r w:rsidRPr="000B4E2C">
              <w:rPr>
                <w:rFonts w:cstheme="minorHAnsi"/>
                <w:sz w:val="18"/>
                <w:szCs w:val="18"/>
                <w:lang w:eastAsia="en-GB"/>
              </w:rPr>
              <w:t>0.616</w:t>
            </w:r>
          </w:p>
        </w:tc>
        <w:tc>
          <w:tcPr>
            <w:tcW w:w="0" w:type="auto"/>
            <w:shd w:val="clear" w:color="auto" w:fill="auto"/>
            <w:hideMark/>
          </w:tcPr>
          <w:p w14:paraId="55A5CEE1" w14:textId="73FDB1DF"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4FE7178" w14:textId="48750CF9"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4053D95E" w14:textId="51D26462"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0.207</w:t>
            </w:r>
            <w:r w:rsidR="000B4E2C" w:rsidRPr="000B4E2C">
              <w:rPr>
                <w:rFonts w:cstheme="minorHAnsi"/>
                <w:sz w:val="18"/>
                <w:szCs w:val="18"/>
                <w:lang w:eastAsia="en-GB"/>
              </w:rPr>
              <w:t xml:space="preserve"> </w:t>
            </w:r>
            <w:r w:rsidRPr="000B4E2C">
              <w:rPr>
                <w:rFonts w:cstheme="minorHAnsi"/>
                <w:sz w:val="18"/>
                <w:szCs w:val="18"/>
                <w:lang w:eastAsia="en-GB"/>
              </w:rPr>
              <w:t>0.179</w:t>
            </w:r>
            <w:r w:rsidR="000B4E2C" w:rsidRPr="000B4E2C">
              <w:rPr>
                <w:rFonts w:cstheme="minorHAnsi"/>
                <w:sz w:val="18"/>
                <w:szCs w:val="18"/>
                <w:lang w:eastAsia="en-GB"/>
              </w:rPr>
              <w:t xml:space="preserve"> </w:t>
            </w:r>
            <w:r w:rsidRPr="000B4E2C">
              <w:rPr>
                <w:rFonts w:cstheme="minorHAnsi"/>
                <w:sz w:val="18"/>
                <w:szCs w:val="18"/>
                <w:lang w:eastAsia="en-GB"/>
              </w:rPr>
              <w:t>0.202</w:t>
            </w:r>
            <w:r w:rsidR="000B4E2C" w:rsidRPr="000B4E2C">
              <w:rPr>
                <w:rFonts w:cstheme="minorHAnsi"/>
                <w:sz w:val="18"/>
                <w:szCs w:val="18"/>
                <w:lang w:eastAsia="en-GB"/>
              </w:rPr>
              <w:t xml:space="preserve"> </w:t>
            </w:r>
            <w:r w:rsidRPr="000B4E2C">
              <w:rPr>
                <w:rFonts w:cstheme="minorHAnsi"/>
                <w:sz w:val="18"/>
                <w:szCs w:val="18"/>
                <w:lang w:eastAsia="en-GB"/>
              </w:rPr>
              <w:t>0.231</w:t>
            </w:r>
          </w:p>
        </w:tc>
        <w:tc>
          <w:tcPr>
            <w:tcW w:w="0" w:type="auto"/>
            <w:shd w:val="clear" w:color="auto" w:fill="auto"/>
            <w:hideMark/>
          </w:tcPr>
          <w:p w14:paraId="6BC6BDA4" w14:textId="30EDFC2B"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42663C42" w14:textId="709F763C"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6722773B" w14:textId="64AB795E"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04508AC" w14:textId="5EC2A031"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0E6B5CC4" w14:textId="77777777" w:rsidTr="000B4E2C">
        <w:trPr>
          <w:cantSplit/>
          <w:tblHeader/>
        </w:trPr>
        <w:tc>
          <w:tcPr>
            <w:tcW w:w="0" w:type="auto"/>
            <w:shd w:val="clear" w:color="auto" w:fill="auto"/>
            <w:hideMark/>
          </w:tcPr>
          <w:p w14:paraId="06DA8266"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Snowsill</w:t>
            </w:r>
          </w:p>
        </w:tc>
        <w:tc>
          <w:tcPr>
            <w:tcW w:w="0" w:type="auto"/>
            <w:shd w:val="clear" w:color="auto" w:fill="auto"/>
            <w:hideMark/>
          </w:tcPr>
          <w:p w14:paraId="07C945D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2017</w:t>
            </w:r>
          </w:p>
        </w:tc>
        <w:tc>
          <w:tcPr>
            <w:tcW w:w="0" w:type="auto"/>
            <w:shd w:val="clear" w:color="auto" w:fill="auto"/>
            <w:hideMark/>
          </w:tcPr>
          <w:p w14:paraId="4F8836B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Kidney transplant recipients</w:t>
            </w:r>
          </w:p>
        </w:tc>
        <w:tc>
          <w:tcPr>
            <w:tcW w:w="0" w:type="auto"/>
            <w:shd w:val="clear" w:color="auto" w:fill="auto"/>
            <w:hideMark/>
          </w:tcPr>
          <w:p w14:paraId="37A7275A"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hideMark/>
          </w:tcPr>
          <w:p w14:paraId="229D759F" w14:textId="4FD7FB5D"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0DB62B0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hideMark/>
          </w:tcPr>
          <w:p w14:paraId="209CA1D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N/A</w:t>
            </w:r>
          </w:p>
        </w:tc>
        <w:tc>
          <w:tcPr>
            <w:tcW w:w="0" w:type="auto"/>
            <w:shd w:val="clear" w:color="auto" w:fill="auto"/>
            <w:hideMark/>
          </w:tcPr>
          <w:p w14:paraId="33F8FB0A"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N/A</w:t>
            </w:r>
          </w:p>
        </w:tc>
        <w:tc>
          <w:tcPr>
            <w:tcW w:w="0" w:type="auto"/>
            <w:shd w:val="clear" w:color="auto" w:fill="auto"/>
            <w:hideMark/>
          </w:tcPr>
          <w:p w14:paraId="71C36ADF"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N/A</w:t>
            </w:r>
          </w:p>
        </w:tc>
        <w:tc>
          <w:tcPr>
            <w:tcW w:w="0" w:type="auto"/>
            <w:shd w:val="clear" w:color="auto" w:fill="auto"/>
            <w:hideMark/>
          </w:tcPr>
          <w:p w14:paraId="70E7EEB6" w14:textId="47B6E2FA" w:rsidR="002F0133" w:rsidRPr="000B4E2C" w:rsidRDefault="002F0133" w:rsidP="008A7464">
            <w:pPr>
              <w:rPr>
                <w:rFonts w:cstheme="minorHAnsi"/>
                <w:color w:val="000000"/>
                <w:sz w:val="18"/>
                <w:szCs w:val="18"/>
                <w:lang w:eastAsia="en-GB"/>
              </w:rPr>
            </w:pPr>
            <w:r w:rsidRPr="000B4E2C">
              <w:rPr>
                <w:rFonts w:cstheme="minorHAnsi"/>
                <w:sz w:val="18"/>
                <w:szCs w:val="18"/>
                <w:u w:val="single"/>
                <w:lang w:eastAsia="en-GB"/>
              </w:rPr>
              <w:t>Regression</w:t>
            </w:r>
            <w:r w:rsidR="000B4E2C" w:rsidRPr="000B4E2C">
              <w:rPr>
                <w:rFonts w:cstheme="minorHAnsi"/>
                <w:sz w:val="18"/>
                <w:szCs w:val="18"/>
                <w:lang w:eastAsia="en-GB"/>
              </w:rPr>
              <w:t xml:space="preserve"> </w:t>
            </w:r>
            <w:r w:rsidRPr="000B4E2C">
              <w:rPr>
                <w:rFonts w:cstheme="minorHAnsi"/>
                <w:sz w:val="18"/>
                <w:szCs w:val="18"/>
                <w:lang w:eastAsia="en-GB"/>
              </w:rPr>
              <w:t>Mean (intercept)</w:t>
            </w:r>
            <w:r w:rsidR="000B4E2C" w:rsidRPr="000B4E2C">
              <w:rPr>
                <w:rFonts w:cstheme="minorHAnsi"/>
                <w:sz w:val="18"/>
                <w:szCs w:val="18"/>
                <w:lang w:eastAsia="en-GB"/>
              </w:rPr>
              <w:t xml:space="preserve"> </w:t>
            </w:r>
            <w:r w:rsidRPr="000B4E2C">
              <w:rPr>
                <w:rFonts w:cstheme="minorHAnsi"/>
                <w:sz w:val="18"/>
                <w:szCs w:val="18"/>
                <w:lang w:eastAsia="en-GB"/>
              </w:rPr>
              <w:t>Age</w:t>
            </w:r>
            <w:r w:rsidR="000B4E2C" w:rsidRPr="000B4E2C">
              <w:rPr>
                <w:rFonts w:cstheme="minorHAnsi"/>
                <w:sz w:val="18"/>
                <w:szCs w:val="18"/>
                <w:lang w:eastAsia="en-GB"/>
              </w:rPr>
              <w:t xml:space="preserve"> </w:t>
            </w:r>
            <w:r w:rsidRPr="000B4E2C">
              <w:rPr>
                <w:rFonts w:cstheme="minorHAnsi"/>
                <w:sz w:val="18"/>
                <w:szCs w:val="18"/>
                <w:lang w:eastAsia="en-GB"/>
              </w:rPr>
              <w:t>Age sq</w:t>
            </w:r>
            <w:r w:rsidR="000B4E2C" w:rsidRPr="000B4E2C">
              <w:rPr>
                <w:rFonts w:cstheme="minorHAnsi"/>
                <w:sz w:val="18"/>
                <w:szCs w:val="18"/>
                <w:lang w:eastAsia="en-GB"/>
              </w:rPr>
              <w:t xml:space="preserve"> </w:t>
            </w:r>
            <w:r w:rsidRPr="000B4E2C">
              <w:rPr>
                <w:rFonts w:cstheme="minorHAnsi"/>
                <w:sz w:val="18"/>
                <w:szCs w:val="18"/>
                <w:lang w:eastAsia="en-GB"/>
              </w:rPr>
              <w:t>Male</w:t>
            </w:r>
            <w:r w:rsidR="000B4E2C" w:rsidRPr="000B4E2C">
              <w:rPr>
                <w:rFonts w:cstheme="minorHAnsi"/>
                <w:sz w:val="18"/>
                <w:szCs w:val="18"/>
                <w:lang w:eastAsia="en-GB"/>
              </w:rPr>
              <w:t xml:space="preserve"> </w:t>
            </w:r>
            <w:r w:rsidRPr="000B4E2C">
              <w:rPr>
                <w:rFonts w:cstheme="minorHAnsi"/>
                <w:sz w:val="18"/>
                <w:szCs w:val="18"/>
                <w:lang w:eastAsia="en-GB"/>
              </w:rPr>
              <w:t>FG</w:t>
            </w:r>
            <w:r w:rsidR="000B4E2C" w:rsidRPr="000B4E2C">
              <w:rPr>
                <w:rFonts w:cstheme="minorHAnsi"/>
                <w:sz w:val="18"/>
                <w:szCs w:val="18"/>
                <w:lang w:eastAsia="en-GB"/>
              </w:rPr>
              <w:t xml:space="preserve"> </w:t>
            </w:r>
            <w:r w:rsidRPr="000B4E2C">
              <w:rPr>
                <w:rFonts w:cstheme="minorHAnsi"/>
                <w:sz w:val="18"/>
                <w:szCs w:val="18"/>
                <w:lang w:eastAsia="en-GB"/>
              </w:rPr>
              <w:t>HD</w:t>
            </w:r>
            <w:r w:rsidR="000B4E2C" w:rsidRPr="000B4E2C">
              <w:rPr>
                <w:rFonts w:cstheme="minorHAnsi"/>
                <w:sz w:val="18"/>
                <w:szCs w:val="18"/>
                <w:lang w:eastAsia="en-GB"/>
              </w:rPr>
              <w:t xml:space="preserve"> </w:t>
            </w:r>
            <w:r w:rsidRPr="000B4E2C">
              <w:rPr>
                <w:rFonts w:cstheme="minorHAnsi"/>
                <w:sz w:val="18"/>
                <w:szCs w:val="18"/>
                <w:lang w:eastAsia="en-GB"/>
              </w:rPr>
              <w:t>PD</w:t>
            </w:r>
            <w:r w:rsidR="000B4E2C" w:rsidRPr="000B4E2C">
              <w:rPr>
                <w:rFonts w:cstheme="minorHAnsi"/>
                <w:sz w:val="18"/>
                <w:szCs w:val="18"/>
                <w:lang w:eastAsia="en-GB"/>
              </w:rPr>
              <w:t xml:space="preserve"> </w:t>
            </w:r>
            <w:r w:rsidRPr="000B4E2C">
              <w:rPr>
                <w:rFonts w:cstheme="minorHAnsi"/>
                <w:sz w:val="18"/>
                <w:szCs w:val="18"/>
                <w:lang w:eastAsia="en-GB"/>
              </w:rPr>
              <w:t>PTDM</w:t>
            </w:r>
          </w:p>
        </w:tc>
        <w:tc>
          <w:tcPr>
            <w:tcW w:w="0" w:type="auto"/>
            <w:shd w:val="clear" w:color="auto" w:fill="auto"/>
            <w:hideMark/>
          </w:tcPr>
          <w:p w14:paraId="0CBDA625" w14:textId="4BAF7A09"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0.968</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.002</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.000</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0</w:t>
            </w:r>
            <w:r w:rsidRPr="000B4E2C">
              <w:rPr>
                <w:rFonts w:cstheme="minorHAnsi"/>
                <w:sz w:val="18"/>
                <w:szCs w:val="18"/>
                <w:lang w:eastAsia="en-GB"/>
              </w:rPr>
              <w:t>.023</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.053</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.277</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.264</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.060</w:t>
            </w:r>
          </w:p>
        </w:tc>
        <w:tc>
          <w:tcPr>
            <w:tcW w:w="0" w:type="auto"/>
            <w:shd w:val="clear" w:color="auto" w:fill="auto"/>
            <w:hideMark/>
          </w:tcPr>
          <w:p w14:paraId="629B8DD1" w14:textId="68DEA4AB"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049C637F"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NR</w:t>
            </w:r>
          </w:p>
        </w:tc>
        <w:tc>
          <w:tcPr>
            <w:tcW w:w="0" w:type="auto"/>
            <w:shd w:val="clear" w:color="auto" w:fill="auto"/>
            <w:hideMark/>
          </w:tcPr>
          <w:p w14:paraId="7EA1A712" w14:textId="441AB8F7"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A9356A0" w14:textId="5D39BB36"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16EFFFC" w14:textId="6524ABB0"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A5F2171" w14:textId="616A1C98"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6E92BD0C" w14:textId="79E7F2D7"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67534518" w14:textId="77777777" w:rsidTr="000B4E2C">
        <w:trPr>
          <w:cantSplit/>
          <w:tblHeader/>
        </w:trPr>
        <w:tc>
          <w:tcPr>
            <w:tcW w:w="0" w:type="auto"/>
            <w:shd w:val="clear" w:color="auto" w:fill="auto"/>
            <w:hideMark/>
          </w:tcPr>
          <w:p w14:paraId="47D271CB"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Tang</w:t>
            </w:r>
          </w:p>
        </w:tc>
        <w:tc>
          <w:tcPr>
            <w:tcW w:w="0" w:type="auto"/>
            <w:shd w:val="clear" w:color="auto" w:fill="auto"/>
            <w:hideMark/>
          </w:tcPr>
          <w:p w14:paraId="6F644120"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2017</w:t>
            </w:r>
          </w:p>
        </w:tc>
        <w:tc>
          <w:tcPr>
            <w:tcW w:w="0" w:type="auto"/>
            <w:shd w:val="clear" w:color="auto" w:fill="auto"/>
            <w:hideMark/>
          </w:tcPr>
          <w:p w14:paraId="7423544B"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ESRD</w:t>
            </w:r>
          </w:p>
        </w:tc>
        <w:tc>
          <w:tcPr>
            <w:tcW w:w="0" w:type="auto"/>
            <w:shd w:val="clear" w:color="auto" w:fill="auto"/>
            <w:hideMark/>
          </w:tcPr>
          <w:p w14:paraId="0A65C23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Taiwan</w:t>
            </w:r>
          </w:p>
        </w:tc>
        <w:tc>
          <w:tcPr>
            <w:tcW w:w="0" w:type="auto"/>
            <w:shd w:val="clear" w:color="auto" w:fill="auto"/>
            <w:hideMark/>
          </w:tcPr>
          <w:p w14:paraId="7CD7E93A" w14:textId="473D8BEC"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w:t>
            </w:r>
            <w:r w:rsidRPr="000B4E2C">
              <w:rPr>
                <w:rFonts w:cstheme="minorHAnsi"/>
                <w:sz w:val="18"/>
                <w:szCs w:val="18"/>
                <w:lang w:eastAsia="en-GB"/>
              </w:rPr>
              <w:t>L</w:t>
            </w:r>
          </w:p>
        </w:tc>
        <w:tc>
          <w:tcPr>
            <w:tcW w:w="0" w:type="auto"/>
            <w:shd w:val="clear" w:color="auto" w:fill="auto"/>
            <w:hideMark/>
          </w:tcPr>
          <w:p w14:paraId="021B59F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Japan</w:t>
            </w:r>
          </w:p>
        </w:tc>
        <w:tc>
          <w:tcPr>
            <w:tcW w:w="0" w:type="auto"/>
            <w:shd w:val="clear" w:color="auto" w:fill="auto"/>
            <w:hideMark/>
          </w:tcPr>
          <w:p w14:paraId="6E5666C3" w14:textId="5F82DD86"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APD: 117</w:t>
            </w:r>
            <w:r w:rsidR="000B4E2C" w:rsidRPr="000B4E2C">
              <w:rPr>
                <w:rFonts w:cstheme="minorHAnsi"/>
                <w:sz w:val="18"/>
                <w:szCs w:val="18"/>
                <w:lang w:eastAsia="en-GB"/>
              </w:rPr>
              <w:t xml:space="preserve"> </w:t>
            </w:r>
            <w:r w:rsidRPr="000B4E2C">
              <w:rPr>
                <w:rFonts w:cstheme="minorHAnsi"/>
                <w:sz w:val="18"/>
                <w:szCs w:val="18"/>
                <w:lang w:eastAsia="en-GB"/>
              </w:rPr>
              <w:t>CAPD: 129</w:t>
            </w:r>
          </w:p>
        </w:tc>
        <w:tc>
          <w:tcPr>
            <w:tcW w:w="0" w:type="auto"/>
            <w:shd w:val="clear" w:color="auto" w:fill="auto"/>
            <w:hideMark/>
          </w:tcPr>
          <w:p w14:paraId="03B13C7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NR</w:t>
            </w:r>
          </w:p>
        </w:tc>
        <w:tc>
          <w:tcPr>
            <w:tcW w:w="0" w:type="auto"/>
            <w:shd w:val="clear" w:color="auto" w:fill="auto"/>
            <w:hideMark/>
          </w:tcPr>
          <w:p w14:paraId="416A0BFB"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NR</w:t>
            </w:r>
          </w:p>
        </w:tc>
        <w:tc>
          <w:tcPr>
            <w:tcW w:w="0" w:type="auto"/>
            <w:shd w:val="clear" w:color="auto" w:fill="auto"/>
            <w:hideMark/>
          </w:tcPr>
          <w:p w14:paraId="1C5A7919" w14:textId="579B97C1"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APD</w:t>
            </w:r>
            <w:r w:rsidR="000B4E2C" w:rsidRPr="000B4E2C">
              <w:rPr>
                <w:rFonts w:cstheme="minorHAnsi"/>
                <w:sz w:val="18"/>
                <w:szCs w:val="18"/>
                <w:lang w:eastAsia="en-GB"/>
              </w:rPr>
              <w:t xml:space="preserve"> </w:t>
            </w:r>
            <w:r w:rsidRPr="000B4E2C">
              <w:rPr>
                <w:rFonts w:cstheme="minorHAnsi"/>
                <w:sz w:val="18"/>
                <w:szCs w:val="18"/>
                <w:lang w:eastAsia="en-GB"/>
              </w:rPr>
              <w:t>CAPD</w:t>
            </w:r>
          </w:p>
        </w:tc>
        <w:tc>
          <w:tcPr>
            <w:tcW w:w="0" w:type="auto"/>
            <w:shd w:val="clear" w:color="auto" w:fill="auto"/>
            <w:hideMark/>
          </w:tcPr>
          <w:p w14:paraId="55E4708C" w14:textId="7EFE0E43"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0.82</w:t>
            </w:r>
            <w:r w:rsidR="000B4E2C" w:rsidRPr="000B4E2C">
              <w:rPr>
                <w:rFonts w:cstheme="minorHAnsi"/>
                <w:sz w:val="18"/>
                <w:szCs w:val="18"/>
                <w:lang w:eastAsia="en-GB"/>
              </w:rPr>
              <w:t xml:space="preserve"> </w:t>
            </w:r>
            <w:r w:rsidRPr="000B4E2C">
              <w:rPr>
                <w:rFonts w:cstheme="minorHAnsi"/>
                <w:sz w:val="18"/>
                <w:szCs w:val="18"/>
                <w:lang w:eastAsia="en-GB"/>
              </w:rPr>
              <w:t>0.82</w:t>
            </w:r>
          </w:p>
        </w:tc>
        <w:tc>
          <w:tcPr>
            <w:tcW w:w="0" w:type="auto"/>
            <w:shd w:val="clear" w:color="auto" w:fill="auto"/>
            <w:hideMark/>
          </w:tcPr>
          <w:p w14:paraId="37BE9B1A" w14:textId="319D5978"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6511208" w14:textId="0B1B44F2"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0F2D91BA" w14:textId="17BC8FCC"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0.19</w:t>
            </w:r>
            <w:r w:rsidR="000B4E2C" w:rsidRPr="000B4E2C">
              <w:rPr>
                <w:rFonts w:cstheme="minorHAnsi"/>
                <w:sz w:val="18"/>
                <w:szCs w:val="18"/>
                <w:lang w:eastAsia="en-GB"/>
              </w:rPr>
              <w:t xml:space="preserve"> </w:t>
            </w:r>
            <w:r w:rsidRPr="000B4E2C">
              <w:rPr>
                <w:rFonts w:cstheme="minorHAnsi"/>
                <w:sz w:val="18"/>
                <w:szCs w:val="18"/>
                <w:lang w:eastAsia="en-GB"/>
              </w:rPr>
              <w:t>0.21</w:t>
            </w:r>
          </w:p>
        </w:tc>
        <w:tc>
          <w:tcPr>
            <w:tcW w:w="0" w:type="auto"/>
            <w:shd w:val="clear" w:color="auto" w:fill="auto"/>
            <w:hideMark/>
          </w:tcPr>
          <w:p w14:paraId="623C57B9" w14:textId="5614EE09"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FFE352A" w14:textId="261032EF"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64A67C0" w14:textId="570DF955"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F7ADBE9" w14:textId="3054B13A"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67364DFA" w14:textId="77777777" w:rsidTr="000B4E2C">
        <w:trPr>
          <w:cantSplit/>
          <w:tblHeader/>
        </w:trPr>
        <w:tc>
          <w:tcPr>
            <w:tcW w:w="0" w:type="auto"/>
            <w:shd w:val="clear" w:color="auto" w:fill="auto"/>
            <w:hideMark/>
          </w:tcPr>
          <w:p w14:paraId="008EA68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lastRenderedPageBreak/>
              <w:t>Thaweet-hamcharoen</w:t>
            </w:r>
          </w:p>
        </w:tc>
        <w:tc>
          <w:tcPr>
            <w:tcW w:w="0" w:type="auto"/>
            <w:shd w:val="clear" w:color="auto" w:fill="auto"/>
            <w:hideMark/>
          </w:tcPr>
          <w:p w14:paraId="7B983A3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2019</w:t>
            </w:r>
          </w:p>
        </w:tc>
        <w:tc>
          <w:tcPr>
            <w:tcW w:w="0" w:type="auto"/>
            <w:shd w:val="clear" w:color="auto" w:fill="auto"/>
            <w:hideMark/>
          </w:tcPr>
          <w:p w14:paraId="19FE9618"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 xml:space="preserve">Patients receiving PD </w:t>
            </w:r>
          </w:p>
        </w:tc>
        <w:tc>
          <w:tcPr>
            <w:tcW w:w="0" w:type="auto"/>
            <w:shd w:val="clear" w:color="auto" w:fill="auto"/>
            <w:hideMark/>
          </w:tcPr>
          <w:p w14:paraId="56D0DF9F"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Thailand</w:t>
            </w:r>
          </w:p>
        </w:tc>
        <w:tc>
          <w:tcPr>
            <w:tcW w:w="0" w:type="auto"/>
            <w:shd w:val="clear" w:color="auto" w:fill="auto"/>
            <w:hideMark/>
          </w:tcPr>
          <w:p w14:paraId="261FCCDA" w14:textId="59B49328"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w:t>
            </w:r>
            <w:r w:rsidRPr="000B4E2C">
              <w:rPr>
                <w:rFonts w:cstheme="minorHAnsi"/>
                <w:sz w:val="18"/>
                <w:szCs w:val="18"/>
                <w:lang w:eastAsia="en-GB"/>
              </w:rPr>
              <w:t>L</w:t>
            </w:r>
          </w:p>
        </w:tc>
        <w:tc>
          <w:tcPr>
            <w:tcW w:w="0" w:type="auto"/>
            <w:shd w:val="clear" w:color="auto" w:fill="auto"/>
            <w:hideMark/>
          </w:tcPr>
          <w:p w14:paraId="2D0284D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 xml:space="preserve">Thailand </w:t>
            </w:r>
          </w:p>
        </w:tc>
        <w:tc>
          <w:tcPr>
            <w:tcW w:w="0" w:type="auto"/>
            <w:shd w:val="clear" w:color="auto" w:fill="auto"/>
            <w:hideMark/>
          </w:tcPr>
          <w:p w14:paraId="54AFD891"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64</w:t>
            </w:r>
          </w:p>
        </w:tc>
        <w:tc>
          <w:tcPr>
            <w:tcW w:w="0" w:type="auto"/>
            <w:shd w:val="clear" w:color="auto" w:fill="auto"/>
            <w:hideMark/>
          </w:tcPr>
          <w:p w14:paraId="79141B0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63.44 (16.57)</w:t>
            </w:r>
          </w:p>
        </w:tc>
        <w:tc>
          <w:tcPr>
            <w:tcW w:w="0" w:type="auto"/>
            <w:shd w:val="clear" w:color="auto" w:fill="auto"/>
            <w:hideMark/>
          </w:tcPr>
          <w:p w14:paraId="135E9C8A"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68.75%</w:t>
            </w:r>
          </w:p>
        </w:tc>
        <w:tc>
          <w:tcPr>
            <w:tcW w:w="0" w:type="auto"/>
            <w:shd w:val="clear" w:color="auto" w:fill="auto"/>
            <w:hideMark/>
          </w:tcPr>
          <w:p w14:paraId="2FA8134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PD</w:t>
            </w:r>
          </w:p>
        </w:tc>
        <w:tc>
          <w:tcPr>
            <w:tcW w:w="0" w:type="auto"/>
            <w:shd w:val="clear" w:color="auto" w:fill="auto"/>
            <w:hideMark/>
          </w:tcPr>
          <w:p w14:paraId="5DF9618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0.801</w:t>
            </w:r>
          </w:p>
        </w:tc>
        <w:tc>
          <w:tcPr>
            <w:tcW w:w="0" w:type="auto"/>
            <w:shd w:val="clear" w:color="auto" w:fill="auto"/>
            <w:hideMark/>
          </w:tcPr>
          <w:p w14:paraId="431ED80C" w14:textId="291300B4"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1532F0F" w14:textId="25213A45"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F411F1A"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0.228</w:t>
            </w:r>
          </w:p>
        </w:tc>
        <w:tc>
          <w:tcPr>
            <w:tcW w:w="0" w:type="auto"/>
            <w:shd w:val="clear" w:color="auto" w:fill="auto"/>
            <w:hideMark/>
          </w:tcPr>
          <w:p w14:paraId="4052FB51" w14:textId="52F051A6"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4A802838" w14:textId="0E15A321"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193C55C" w14:textId="35E08151"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0D072C2C" w14:textId="70AEDD3D"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1F74BA4D" w14:textId="77777777" w:rsidTr="000B4E2C">
        <w:trPr>
          <w:cantSplit/>
          <w:tblHeader/>
        </w:trPr>
        <w:tc>
          <w:tcPr>
            <w:tcW w:w="0" w:type="auto"/>
            <w:shd w:val="clear" w:color="auto" w:fill="auto"/>
            <w:hideMark/>
          </w:tcPr>
          <w:p w14:paraId="295A604A"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Van Loon</w:t>
            </w:r>
          </w:p>
        </w:tc>
        <w:tc>
          <w:tcPr>
            <w:tcW w:w="0" w:type="auto"/>
            <w:shd w:val="clear" w:color="auto" w:fill="auto"/>
            <w:hideMark/>
          </w:tcPr>
          <w:p w14:paraId="0B2CC30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2019</w:t>
            </w:r>
          </w:p>
        </w:tc>
        <w:tc>
          <w:tcPr>
            <w:tcW w:w="0" w:type="auto"/>
            <w:shd w:val="clear" w:color="auto" w:fill="auto"/>
            <w:hideMark/>
          </w:tcPr>
          <w:p w14:paraId="4F42128B"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ESRD</w:t>
            </w:r>
          </w:p>
        </w:tc>
        <w:tc>
          <w:tcPr>
            <w:tcW w:w="0" w:type="auto"/>
            <w:shd w:val="clear" w:color="auto" w:fill="auto"/>
            <w:hideMark/>
          </w:tcPr>
          <w:p w14:paraId="34CE512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Netherlands</w:t>
            </w:r>
          </w:p>
        </w:tc>
        <w:tc>
          <w:tcPr>
            <w:tcW w:w="0" w:type="auto"/>
            <w:shd w:val="clear" w:color="auto" w:fill="auto"/>
            <w:hideMark/>
          </w:tcPr>
          <w:p w14:paraId="6A0B821B" w14:textId="113802E5"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568B3035"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 xml:space="preserve">Dutch </w:t>
            </w:r>
          </w:p>
        </w:tc>
        <w:tc>
          <w:tcPr>
            <w:tcW w:w="0" w:type="auto"/>
            <w:shd w:val="clear" w:color="auto" w:fill="auto"/>
            <w:hideMark/>
          </w:tcPr>
          <w:p w14:paraId="34C53866" w14:textId="720E8943"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CM: 89</w:t>
            </w:r>
            <w:r w:rsidR="000B4E2C" w:rsidRPr="000B4E2C">
              <w:rPr>
                <w:rFonts w:cstheme="minorHAnsi"/>
                <w:sz w:val="18"/>
                <w:szCs w:val="18"/>
                <w:lang w:eastAsia="en-GB"/>
              </w:rPr>
              <w:t xml:space="preserve"> </w:t>
            </w:r>
            <w:r w:rsidRPr="000B4E2C">
              <w:rPr>
                <w:rFonts w:cstheme="minorHAnsi"/>
                <w:sz w:val="18"/>
                <w:szCs w:val="18"/>
                <w:lang w:eastAsia="en-GB"/>
              </w:rPr>
              <w:t>Dialysis (23% PD): 192</w:t>
            </w:r>
          </w:p>
        </w:tc>
        <w:tc>
          <w:tcPr>
            <w:tcW w:w="0" w:type="auto"/>
            <w:shd w:val="clear" w:color="auto" w:fill="auto"/>
            <w:hideMark/>
          </w:tcPr>
          <w:p w14:paraId="0D115E0D" w14:textId="5B7FB0C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82 (6)</w:t>
            </w:r>
            <w:r w:rsidR="000B4E2C" w:rsidRPr="000B4E2C">
              <w:rPr>
                <w:rFonts w:cstheme="minorHAnsi"/>
                <w:sz w:val="18"/>
                <w:szCs w:val="18"/>
                <w:lang w:eastAsia="en-GB"/>
              </w:rPr>
              <w:t xml:space="preserve"> </w:t>
            </w:r>
            <w:r w:rsidRPr="000B4E2C">
              <w:rPr>
                <w:rFonts w:cstheme="minorHAnsi"/>
                <w:sz w:val="18"/>
                <w:szCs w:val="18"/>
                <w:lang w:eastAsia="en-GB"/>
              </w:rPr>
              <w:t>75 (7)</w:t>
            </w:r>
          </w:p>
        </w:tc>
        <w:tc>
          <w:tcPr>
            <w:tcW w:w="0" w:type="auto"/>
            <w:shd w:val="clear" w:color="auto" w:fill="auto"/>
            <w:hideMark/>
          </w:tcPr>
          <w:p w14:paraId="6E51C6A7"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NR</w:t>
            </w:r>
          </w:p>
        </w:tc>
        <w:tc>
          <w:tcPr>
            <w:tcW w:w="0" w:type="auto"/>
            <w:shd w:val="clear" w:color="auto" w:fill="auto"/>
            <w:hideMark/>
          </w:tcPr>
          <w:p w14:paraId="523EDBC5" w14:textId="3F70464D"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CM</w:t>
            </w:r>
            <w:r w:rsidR="000B4E2C" w:rsidRPr="000B4E2C">
              <w:rPr>
                <w:rFonts w:cstheme="minorHAnsi"/>
                <w:sz w:val="18"/>
                <w:szCs w:val="18"/>
                <w:lang w:eastAsia="en-GB"/>
              </w:rPr>
              <w:t xml:space="preserve"> </w:t>
            </w:r>
            <w:r w:rsidRPr="000B4E2C">
              <w:rPr>
                <w:rFonts w:cstheme="minorHAnsi"/>
                <w:sz w:val="18"/>
                <w:szCs w:val="18"/>
                <w:lang w:eastAsia="en-GB"/>
              </w:rPr>
              <w:t>Dialysis</w:t>
            </w:r>
          </w:p>
        </w:tc>
        <w:tc>
          <w:tcPr>
            <w:tcW w:w="0" w:type="auto"/>
            <w:shd w:val="clear" w:color="auto" w:fill="auto"/>
            <w:hideMark/>
          </w:tcPr>
          <w:p w14:paraId="5081EC02" w14:textId="0091731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0.77</w:t>
            </w:r>
            <w:r w:rsidR="000B4E2C" w:rsidRPr="000B4E2C">
              <w:rPr>
                <w:rFonts w:cstheme="minorHAnsi"/>
                <w:sz w:val="18"/>
                <w:szCs w:val="18"/>
                <w:lang w:eastAsia="en-GB"/>
              </w:rPr>
              <w:t xml:space="preserve"> </w:t>
            </w:r>
            <w:r w:rsidRPr="000B4E2C">
              <w:rPr>
                <w:rFonts w:cstheme="minorHAnsi"/>
                <w:sz w:val="18"/>
                <w:szCs w:val="18"/>
                <w:lang w:eastAsia="en-GB"/>
              </w:rPr>
              <w:t>0.82</w:t>
            </w:r>
          </w:p>
        </w:tc>
        <w:tc>
          <w:tcPr>
            <w:tcW w:w="0" w:type="auto"/>
            <w:shd w:val="clear" w:color="auto" w:fill="auto"/>
            <w:hideMark/>
          </w:tcPr>
          <w:p w14:paraId="2347E198" w14:textId="3090AA78"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7A64808" w14:textId="4CDB5C72"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61261D24" w14:textId="7540E8F5"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0.21</w:t>
            </w:r>
            <w:r w:rsidR="000B4E2C" w:rsidRPr="000B4E2C">
              <w:rPr>
                <w:rFonts w:cstheme="minorHAnsi"/>
                <w:sz w:val="18"/>
                <w:szCs w:val="18"/>
                <w:lang w:eastAsia="en-GB"/>
              </w:rPr>
              <w:t xml:space="preserve"> </w:t>
            </w:r>
            <w:r w:rsidRPr="000B4E2C">
              <w:rPr>
                <w:rFonts w:cstheme="minorHAnsi"/>
                <w:sz w:val="18"/>
                <w:szCs w:val="18"/>
                <w:lang w:eastAsia="en-GB"/>
              </w:rPr>
              <w:t>0.18</w:t>
            </w:r>
          </w:p>
        </w:tc>
        <w:tc>
          <w:tcPr>
            <w:tcW w:w="0" w:type="auto"/>
            <w:shd w:val="clear" w:color="auto" w:fill="auto"/>
            <w:hideMark/>
          </w:tcPr>
          <w:p w14:paraId="0E38DDCD" w14:textId="568353AE"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6A1AE48" w14:textId="0ECC7C80"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73A7CB75" w14:textId="4BE19A82"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07353667" w14:textId="4C541C6F"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3F35ECE7" w14:textId="77777777" w:rsidTr="000B4E2C">
        <w:trPr>
          <w:cantSplit/>
          <w:tblHeader/>
        </w:trPr>
        <w:tc>
          <w:tcPr>
            <w:tcW w:w="0" w:type="auto"/>
            <w:shd w:val="clear" w:color="auto" w:fill="auto"/>
            <w:hideMark/>
          </w:tcPr>
          <w:p w14:paraId="5C1BEE3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Wee</w:t>
            </w:r>
          </w:p>
        </w:tc>
        <w:tc>
          <w:tcPr>
            <w:tcW w:w="0" w:type="auto"/>
            <w:shd w:val="clear" w:color="auto" w:fill="auto"/>
            <w:hideMark/>
          </w:tcPr>
          <w:p w14:paraId="368FAB4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2016</w:t>
            </w:r>
          </w:p>
        </w:tc>
        <w:tc>
          <w:tcPr>
            <w:tcW w:w="0" w:type="auto"/>
            <w:shd w:val="clear" w:color="auto" w:fill="auto"/>
            <w:hideMark/>
          </w:tcPr>
          <w:p w14:paraId="40AB563B" w14:textId="67AAA7D1"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pre-dialysis, stage 3</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w:t>
            </w:r>
            <w:r w:rsidRPr="000B4E2C">
              <w:rPr>
                <w:rFonts w:cstheme="minorHAnsi"/>
                <w:sz w:val="18"/>
                <w:szCs w:val="18"/>
                <w:lang w:eastAsia="en-GB"/>
              </w:rPr>
              <w:t xml:space="preserve"> CKD</w:t>
            </w:r>
          </w:p>
        </w:tc>
        <w:tc>
          <w:tcPr>
            <w:tcW w:w="0" w:type="auto"/>
            <w:shd w:val="clear" w:color="auto" w:fill="auto"/>
            <w:hideMark/>
          </w:tcPr>
          <w:p w14:paraId="0817E430"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Singapore</w:t>
            </w:r>
          </w:p>
        </w:tc>
        <w:tc>
          <w:tcPr>
            <w:tcW w:w="0" w:type="auto"/>
            <w:shd w:val="clear" w:color="auto" w:fill="auto"/>
            <w:hideMark/>
          </w:tcPr>
          <w:p w14:paraId="1799B53F" w14:textId="3A503480"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7ECAE103"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USA</w:t>
            </w:r>
          </w:p>
        </w:tc>
        <w:tc>
          <w:tcPr>
            <w:tcW w:w="0" w:type="auto"/>
            <w:shd w:val="clear" w:color="auto" w:fill="auto"/>
            <w:hideMark/>
          </w:tcPr>
          <w:p w14:paraId="482739F5"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309</w:t>
            </w:r>
          </w:p>
        </w:tc>
        <w:tc>
          <w:tcPr>
            <w:tcW w:w="0" w:type="auto"/>
            <w:shd w:val="clear" w:color="auto" w:fill="auto"/>
            <w:hideMark/>
          </w:tcPr>
          <w:p w14:paraId="23E74E3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62.6 (11.06)</w:t>
            </w:r>
          </w:p>
        </w:tc>
        <w:tc>
          <w:tcPr>
            <w:tcW w:w="0" w:type="auto"/>
            <w:shd w:val="clear" w:color="auto" w:fill="auto"/>
            <w:hideMark/>
          </w:tcPr>
          <w:p w14:paraId="7BB132A7"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58.20%</w:t>
            </w:r>
          </w:p>
        </w:tc>
        <w:tc>
          <w:tcPr>
            <w:tcW w:w="0" w:type="auto"/>
            <w:shd w:val="clear" w:color="auto" w:fill="auto"/>
            <w:hideMark/>
          </w:tcPr>
          <w:p w14:paraId="57F12F39" w14:textId="7068CA84"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CKD 3</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w:t>
            </w:r>
            <w:r w:rsidRPr="000B4E2C">
              <w:rPr>
                <w:rFonts w:cstheme="minorHAnsi"/>
                <w:sz w:val="18"/>
                <w:szCs w:val="18"/>
                <w:lang w:eastAsia="en-GB"/>
              </w:rPr>
              <w:t>, pre-dialysis</w:t>
            </w:r>
          </w:p>
        </w:tc>
        <w:tc>
          <w:tcPr>
            <w:tcW w:w="0" w:type="auto"/>
            <w:shd w:val="clear" w:color="auto" w:fill="auto"/>
            <w:hideMark/>
          </w:tcPr>
          <w:p w14:paraId="5AAD6F9A"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0.8</w:t>
            </w:r>
          </w:p>
        </w:tc>
        <w:tc>
          <w:tcPr>
            <w:tcW w:w="0" w:type="auto"/>
            <w:shd w:val="clear" w:color="auto" w:fill="auto"/>
            <w:hideMark/>
          </w:tcPr>
          <w:p w14:paraId="4A9F553D" w14:textId="3E09FA66"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D95ED62" w14:textId="39D252C3"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BC0BBD7"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0.24</w:t>
            </w:r>
          </w:p>
        </w:tc>
        <w:tc>
          <w:tcPr>
            <w:tcW w:w="0" w:type="auto"/>
            <w:shd w:val="clear" w:color="auto" w:fill="auto"/>
            <w:hideMark/>
          </w:tcPr>
          <w:p w14:paraId="0BF30EE2" w14:textId="120A196C"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068EBD89" w14:textId="0407CD9F"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D09E48C" w14:textId="4117CA44"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6F91960A" w14:textId="3F9264C1"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354717E5" w14:textId="77777777" w:rsidTr="000B4E2C">
        <w:trPr>
          <w:cantSplit/>
          <w:tblHeader/>
        </w:trPr>
        <w:tc>
          <w:tcPr>
            <w:tcW w:w="0" w:type="auto"/>
            <w:shd w:val="clear" w:color="auto" w:fill="auto"/>
            <w:hideMark/>
          </w:tcPr>
          <w:p w14:paraId="12CE29B8"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Wolfgram</w:t>
            </w:r>
          </w:p>
        </w:tc>
        <w:tc>
          <w:tcPr>
            <w:tcW w:w="0" w:type="auto"/>
            <w:shd w:val="clear" w:color="auto" w:fill="auto"/>
            <w:hideMark/>
          </w:tcPr>
          <w:p w14:paraId="0A233C7B"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2017</w:t>
            </w:r>
          </w:p>
        </w:tc>
        <w:tc>
          <w:tcPr>
            <w:tcW w:w="0" w:type="auto"/>
            <w:shd w:val="clear" w:color="auto" w:fill="auto"/>
            <w:hideMark/>
          </w:tcPr>
          <w:p w14:paraId="04D3FCD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Hypertensive CKD and non-CKD patients</w:t>
            </w:r>
          </w:p>
        </w:tc>
        <w:tc>
          <w:tcPr>
            <w:tcW w:w="0" w:type="auto"/>
            <w:shd w:val="clear" w:color="auto" w:fill="auto"/>
            <w:hideMark/>
          </w:tcPr>
          <w:p w14:paraId="5397D338"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USA</w:t>
            </w:r>
          </w:p>
        </w:tc>
        <w:tc>
          <w:tcPr>
            <w:tcW w:w="0" w:type="auto"/>
            <w:shd w:val="clear" w:color="auto" w:fill="auto"/>
            <w:hideMark/>
          </w:tcPr>
          <w:p w14:paraId="028EE2A4" w14:textId="701E7489"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3E995225"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USA</w:t>
            </w:r>
          </w:p>
        </w:tc>
        <w:tc>
          <w:tcPr>
            <w:tcW w:w="0" w:type="auto"/>
            <w:shd w:val="clear" w:color="auto" w:fill="auto"/>
            <w:hideMark/>
          </w:tcPr>
          <w:p w14:paraId="332BF51C" w14:textId="705DA7F6" w:rsidR="000B4E2C" w:rsidRPr="000B4E2C" w:rsidRDefault="002F0133" w:rsidP="008A7464">
            <w:pPr>
              <w:rPr>
                <w:rFonts w:cstheme="minorHAnsi"/>
                <w:sz w:val="18"/>
                <w:szCs w:val="18"/>
                <w:lang w:eastAsia="en-GB"/>
              </w:rPr>
            </w:pPr>
            <w:r w:rsidRPr="000B4E2C">
              <w:rPr>
                <w:rFonts w:cstheme="minorHAnsi"/>
                <w:sz w:val="18"/>
                <w:szCs w:val="18"/>
                <w:lang w:eastAsia="en-GB"/>
              </w:rPr>
              <w:t>All: 2620</w:t>
            </w:r>
            <w:r w:rsidR="000B4E2C" w:rsidRPr="000B4E2C">
              <w:rPr>
                <w:rFonts w:cstheme="minorHAnsi"/>
                <w:sz w:val="18"/>
                <w:szCs w:val="18"/>
                <w:lang w:eastAsia="en-GB"/>
              </w:rPr>
              <w:t xml:space="preserve"> </w:t>
            </w:r>
            <w:r w:rsidRPr="000B4E2C">
              <w:rPr>
                <w:rFonts w:cstheme="minorHAnsi"/>
                <w:sz w:val="18"/>
                <w:szCs w:val="18"/>
                <w:lang w:eastAsia="en-GB"/>
              </w:rPr>
              <w:t>Non-CKD: 1459</w:t>
            </w:r>
            <w:r w:rsidR="000B4E2C" w:rsidRPr="000B4E2C">
              <w:rPr>
                <w:rFonts w:cstheme="minorHAnsi"/>
                <w:sz w:val="18"/>
                <w:szCs w:val="18"/>
                <w:lang w:eastAsia="en-GB"/>
              </w:rPr>
              <w:t xml:space="preserve"> </w:t>
            </w:r>
            <w:r w:rsidRPr="000B4E2C">
              <w:rPr>
                <w:rFonts w:cstheme="minorHAnsi"/>
                <w:sz w:val="18"/>
                <w:szCs w:val="18"/>
                <w:lang w:eastAsia="en-GB"/>
              </w:rPr>
              <w:t>CKD: 1161</w:t>
            </w:r>
            <w:r w:rsidR="000B4E2C" w:rsidRPr="000B4E2C">
              <w:rPr>
                <w:rFonts w:cstheme="minorHAnsi"/>
                <w:sz w:val="18"/>
                <w:szCs w:val="18"/>
                <w:lang w:eastAsia="en-GB"/>
              </w:rPr>
              <w:t xml:space="preserve"> </w:t>
            </w:r>
            <w:r w:rsidRPr="000B4E2C">
              <w:rPr>
                <w:rFonts w:cstheme="minorHAnsi"/>
                <w:sz w:val="18"/>
                <w:szCs w:val="18"/>
                <w:lang w:eastAsia="en-GB"/>
              </w:rPr>
              <w:t>GFR 6</w:t>
            </w:r>
            <w:r w:rsidR="000B4E2C" w:rsidRPr="000B4E2C">
              <w:rPr>
                <w:rFonts w:cstheme="minorHAnsi"/>
                <w:color w:val="00B0F0"/>
                <w:sz w:val="18"/>
                <w:szCs w:val="18"/>
                <w:lang w:eastAsia="en-GB"/>
              </w:rPr>
              <w:t>0</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w:t>
            </w:r>
            <w:r w:rsidRPr="000B4E2C">
              <w:rPr>
                <w:rFonts w:cstheme="minorHAnsi"/>
                <w:sz w:val="18"/>
                <w:szCs w:val="18"/>
                <w:lang w:eastAsia="en-GB"/>
              </w:rPr>
              <w:t xml:space="preserve"> (CKD s2 or better): 372</w:t>
            </w:r>
            <w:r w:rsidR="000B4E2C" w:rsidRPr="000B4E2C">
              <w:rPr>
                <w:rFonts w:cstheme="minorHAnsi"/>
                <w:sz w:val="18"/>
                <w:szCs w:val="18"/>
                <w:lang w:eastAsia="en-GB"/>
              </w:rPr>
              <w:t xml:space="preserve"> </w:t>
            </w:r>
            <w:r w:rsidRPr="000B4E2C">
              <w:rPr>
                <w:rFonts w:cstheme="minorHAnsi"/>
                <w:sz w:val="18"/>
                <w:szCs w:val="18"/>
                <w:lang w:eastAsia="en-GB"/>
              </w:rPr>
              <w:t>GFR 44</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6</w:t>
            </w:r>
            <w:r w:rsidRPr="000B4E2C">
              <w:rPr>
                <w:rFonts w:cstheme="minorHAnsi"/>
                <w:sz w:val="18"/>
                <w:szCs w:val="18"/>
                <w:lang w:eastAsia="en-GB"/>
              </w:rPr>
              <w:t>0</w:t>
            </w:r>
            <w:r w:rsidR="000B4E2C" w:rsidRPr="000B4E2C">
              <w:rPr>
                <w:rFonts w:cstheme="minorHAnsi"/>
                <w:sz w:val="18"/>
                <w:szCs w:val="18"/>
                <w:lang w:eastAsia="en-GB"/>
              </w:rPr>
              <w:t xml:space="preserve"> </w:t>
            </w:r>
            <w:r w:rsidRPr="000B4E2C">
              <w:rPr>
                <w:rFonts w:cstheme="minorHAnsi"/>
                <w:sz w:val="18"/>
                <w:szCs w:val="18"/>
                <w:lang w:eastAsia="en-GB"/>
              </w:rPr>
              <w:t>(CKD 3a): 781</w:t>
            </w:r>
            <w:r w:rsidR="000B4E2C" w:rsidRPr="000B4E2C">
              <w:rPr>
                <w:rFonts w:cstheme="minorHAnsi"/>
                <w:sz w:val="18"/>
                <w:szCs w:val="18"/>
                <w:lang w:eastAsia="en-GB"/>
              </w:rPr>
              <w:t xml:space="preserve"> </w:t>
            </w:r>
            <w:r w:rsidRPr="000B4E2C">
              <w:rPr>
                <w:rFonts w:cstheme="minorHAnsi"/>
                <w:sz w:val="18"/>
                <w:szCs w:val="18"/>
                <w:lang w:eastAsia="en-GB"/>
              </w:rPr>
              <w:t xml:space="preserve">GFR </w:t>
            </w:r>
            <w:r w:rsidR="000B4E2C" w:rsidRPr="000B4E2C">
              <w:rPr>
                <w:rFonts w:cstheme="minorHAnsi"/>
                <w:color w:val="00B0F0"/>
                <w:sz w:val="18"/>
                <w:szCs w:val="18"/>
                <w:lang w:eastAsia="en-GB"/>
              </w:rPr>
              <w:t>&lt;</w:t>
            </w:r>
            <w:r w:rsidR="000B4E2C" w:rsidRPr="000B4E2C">
              <w:rPr>
                <w:rFonts w:cstheme="minorHAnsi"/>
                <w:color w:val="00B0F0"/>
                <w:sz w:val="18"/>
                <w:szCs w:val="18"/>
                <w:lang w:eastAsia="en-GB"/>
              </w:rPr>
              <w:t> </w:t>
            </w:r>
            <w:r w:rsidRPr="000B4E2C">
              <w:rPr>
                <w:rFonts w:cstheme="minorHAnsi"/>
                <w:sz w:val="18"/>
                <w:szCs w:val="18"/>
                <w:lang w:eastAsia="en-GB"/>
              </w:rPr>
              <w:t>44 (CKD 3b or worse): 1449</w:t>
            </w:r>
          </w:p>
          <w:p w14:paraId="01C2BF23" w14:textId="3FFEF5E4" w:rsidR="002F0133" w:rsidRPr="000B4E2C" w:rsidRDefault="002F0133" w:rsidP="008A7464">
            <w:pPr>
              <w:rPr>
                <w:rFonts w:cstheme="minorHAnsi"/>
                <w:color w:val="000000"/>
                <w:sz w:val="18"/>
                <w:szCs w:val="18"/>
                <w:lang w:eastAsia="en-GB"/>
              </w:rPr>
            </w:pPr>
          </w:p>
        </w:tc>
        <w:tc>
          <w:tcPr>
            <w:tcW w:w="0" w:type="auto"/>
            <w:shd w:val="clear" w:color="auto" w:fill="auto"/>
            <w:hideMark/>
          </w:tcPr>
          <w:p w14:paraId="272B42E9" w14:textId="46671FF8"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79.85 (3.99)</w:t>
            </w:r>
            <w:r w:rsidR="000B4E2C" w:rsidRPr="000B4E2C">
              <w:rPr>
                <w:rFonts w:cstheme="minorHAnsi"/>
                <w:sz w:val="18"/>
                <w:szCs w:val="18"/>
                <w:lang w:eastAsia="en-GB"/>
              </w:rPr>
              <w:t xml:space="preserve"> </w:t>
            </w:r>
            <w:r w:rsidRPr="000B4E2C">
              <w:rPr>
                <w:rFonts w:cstheme="minorHAnsi"/>
                <w:sz w:val="18"/>
                <w:szCs w:val="18"/>
                <w:lang w:eastAsia="en-GB"/>
              </w:rPr>
              <w:t>79.39 (3.73)</w:t>
            </w:r>
            <w:r w:rsidR="000B4E2C" w:rsidRPr="000B4E2C">
              <w:rPr>
                <w:rFonts w:cstheme="minorHAnsi"/>
                <w:sz w:val="18"/>
                <w:szCs w:val="18"/>
                <w:lang w:eastAsia="en-GB"/>
              </w:rPr>
              <w:t xml:space="preserve"> </w:t>
            </w:r>
            <w:r w:rsidRPr="000B4E2C">
              <w:rPr>
                <w:rFonts w:cstheme="minorHAnsi"/>
                <w:sz w:val="18"/>
                <w:szCs w:val="18"/>
                <w:lang w:eastAsia="en-GB"/>
              </w:rPr>
              <w:t>80.42 (4.23)</w:t>
            </w:r>
            <w:r w:rsidR="000B4E2C" w:rsidRPr="000B4E2C">
              <w:rPr>
                <w:rFonts w:cstheme="minorHAnsi"/>
                <w:sz w:val="18"/>
                <w:szCs w:val="18"/>
                <w:lang w:eastAsia="en-GB"/>
              </w:rPr>
              <w:t xml:space="preserve"> </w:t>
            </w:r>
            <w:r w:rsidRPr="000B4E2C">
              <w:rPr>
                <w:rFonts w:cstheme="minorHAnsi"/>
                <w:sz w:val="18"/>
                <w:szCs w:val="18"/>
                <w:lang w:eastAsia="en-GB"/>
              </w:rPr>
              <w:t>NR</w:t>
            </w:r>
            <w:r w:rsidR="000B4E2C" w:rsidRPr="000B4E2C">
              <w:rPr>
                <w:rFonts w:cstheme="minorHAnsi"/>
                <w:sz w:val="18"/>
                <w:szCs w:val="18"/>
                <w:lang w:eastAsia="en-GB"/>
              </w:rPr>
              <w:t xml:space="preserve"> </w:t>
            </w:r>
            <w:r w:rsidRPr="000B4E2C">
              <w:rPr>
                <w:rFonts w:cstheme="minorHAnsi"/>
                <w:sz w:val="18"/>
                <w:szCs w:val="18"/>
                <w:lang w:eastAsia="en-GB"/>
              </w:rPr>
              <w:t>NR</w:t>
            </w:r>
            <w:r w:rsidR="000B4E2C" w:rsidRPr="000B4E2C">
              <w:rPr>
                <w:rFonts w:cstheme="minorHAnsi"/>
                <w:sz w:val="18"/>
                <w:szCs w:val="18"/>
                <w:lang w:eastAsia="en-GB"/>
              </w:rPr>
              <w:t xml:space="preserve"> </w:t>
            </w:r>
            <w:r w:rsidRPr="000B4E2C">
              <w:rPr>
                <w:rFonts w:cstheme="minorHAnsi"/>
                <w:sz w:val="18"/>
                <w:szCs w:val="18"/>
                <w:lang w:eastAsia="en-GB"/>
              </w:rPr>
              <w:t>NR</w:t>
            </w:r>
          </w:p>
        </w:tc>
        <w:tc>
          <w:tcPr>
            <w:tcW w:w="0" w:type="auto"/>
            <w:shd w:val="clear" w:color="auto" w:fill="auto"/>
            <w:hideMark/>
          </w:tcPr>
          <w:p w14:paraId="41B2AA08" w14:textId="78B0C521"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62.1%</w:t>
            </w:r>
            <w:r w:rsidR="000B4E2C" w:rsidRPr="000B4E2C">
              <w:rPr>
                <w:rFonts w:cstheme="minorHAnsi"/>
                <w:sz w:val="18"/>
                <w:szCs w:val="18"/>
                <w:lang w:eastAsia="en-GB"/>
              </w:rPr>
              <w:t xml:space="preserve"> </w:t>
            </w:r>
            <w:r w:rsidRPr="000B4E2C">
              <w:rPr>
                <w:rFonts w:cstheme="minorHAnsi"/>
                <w:sz w:val="18"/>
                <w:szCs w:val="18"/>
                <w:lang w:eastAsia="en-GB"/>
              </w:rPr>
              <w:t>62%</w:t>
            </w:r>
            <w:r w:rsidR="000B4E2C" w:rsidRPr="000B4E2C">
              <w:rPr>
                <w:rFonts w:cstheme="minorHAnsi"/>
                <w:sz w:val="18"/>
                <w:szCs w:val="18"/>
                <w:lang w:eastAsia="en-GB"/>
              </w:rPr>
              <w:t xml:space="preserve"> </w:t>
            </w:r>
            <w:r w:rsidRPr="000B4E2C">
              <w:rPr>
                <w:rFonts w:cstheme="minorHAnsi"/>
                <w:sz w:val="18"/>
                <w:szCs w:val="18"/>
                <w:lang w:eastAsia="en-GB"/>
              </w:rPr>
              <w:t>62.3%</w:t>
            </w:r>
            <w:r w:rsidR="000B4E2C" w:rsidRPr="000B4E2C">
              <w:rPr>
                <w:rFonts w:cstheme="minorHAnsi"/>
                <w:sz w:val="18"/>
                <w:szCs w:val="18"/>
                <w:lang w:eastAsia="en-GB"/>
              </w:rPr>
              <w:t xml:space="preserve"> </w:t>
            </w:r>
            <w:r w:rsidRPr="000B4E2C">
              <w:rPr>
                <w:rFonts w:cstheme="minorHAnsi"/>
                <w:sz w:val="18"/>
                <w:szCs w:val="18"/>
                <w:lang w:eastAsia="en-GB"/>
              </w:rPr>
              <w:t>NR</w:t>
            </w:r>
            <w:r w:rsidR="000B4E2C" w:rsidRPr="000B4E2C">
              <w:rPr>
                <w:rFonts w:cstheme="minorHAnsi"/>
                <w:sz w:val="18"/>
                <w:szCs w:val="18"/>
                <w:lang w:eastAsia="en-GB"/>
              </w:rPr>
              <w:t xml:space="preserve"> </w:t>
            </w:r>
            <w:r w:rsidRPr="000B4E2C">
              <w:rPr>
                <w:rFonts w:cstheme="minorHAnsi"/>
                <w:sz w:val="18"/>
                <w:szCs w:val="18"/>
                <w:lang w:eastAsia="en-GB"/>
              </w:rPr>
              <w:t>NR</w:t>
            </w:r>
            <w:r w:rsidR="000B4E2C" w:rsidRPr="000B4E2C">
              <w:rPr>
                <w:rFonts w:cstheme="minorHAnsi"/>
                <w:sz w:val="18"/>
                <w:szCs w:val="18"/>
                <w:lang w:eastAsia="en-GB"/>
              </w:rPr>
              <w:t xml:space="preserve"> </w:t>
            </w:r>
            <w:r w:rsidRPr="000B4E2C">
              <w:rPr>
                <w:rFonts w:cstheme="minorHAnsi"/>
                <w:sz w:val="18"/>
                <w:szCs w:val="18"/>
                <w:lang w:eastAsia="en-GB"/>
              </w:rPr>
              <w:t>NR</w:t>
            </w:r>
          </w:p>
        </w:tc>
        <w:tc>
          <w:tcPr>
            <w:tcW w:w="0" w:type="auto"/>
            <w:shd w:val="clear" w:color="auto" w:fill="auto"/>
            <w:hideMark/>
          </w:tcPr>
          <w:p w14:paraId="7E31C706" w14:textId="55606EB8"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All:</w:t>
            </w:r>
            <w:r w:rsidR="000B4E2C" w:rsidRPr="000B4E2C">
              <w:rPr>
                <w:rFonts w:cstheme="minorHAnsi"/>
                <w:sz w:val="18"/>
                <w:szCs w:val="18"/>
                <w:lang w:eastAsia="en-GB"/>
              </w:rPr>
              <w:t xml:space="preserve"> </w:t>
            </w:r>
            <w:r w:rsidRPr="000B4E2C">
              <w:rPr>
                <w:rFonts w:cstheme="minorHAnsi"/>
                <w:sz w:val="18"/>
                <w:szCs w:val="18"/>
                <w:lang w:eastAsia="en-GB"/>
              </w:rPr>
              <w:t>Non-CKD:</w:t>
            </w:r>
            <w:r w:rsidR="000B4E2C" w:rsidRPr="000B4E2C">
              <w:rPr>
                <w:rFonts w:cstheme="minorHAnsi"/>
                <w:sz w:val="18"/>
                <w:szCs w:val="18"/>
                <w:lang w:eastAsia="en-GB"/>
              </w:rPr>
              <w:t xml:space="preserve"> </w:t>
            </w:r>
            <w:r w:rsidRPr="000B4E2C">
              <w:rPr>
                <w:rFonts w:cstheme="minorHAnsi"/>
                <w:sz w:val="18"/>
                <w:szCs w:val="18"/>
                <w:lang w:eastAsia="en-GB"/>
              </w:rPr>
              <w:t>CKD:</w:t>
            </w:r>
            <w:r w:rsidR="000B4E2C" w:rsidRPr="000B4E2C">
              <w:rPr>
                <w:rFonts w:cstheme="minorHAnsi"/>
                <w:sz w:val="18"/>
                <w:szCs w:val="18"/>
                <w:lang w:eastAsia="en-GB"/>
              </w:rPr>
              <w:t xml:space="preserve"> </w:t>
            </w:r>
            <w:r w:rsidRPr="000B4E2C">
              <w:rPr>
                <w:rFonts w:cstheme="minorHAnsi"/>
                <w:sz w:val="18"/>
                <w:szCs w:val="18"/>
                <w:lang w:eastAsia="en-GB"/>
              </w:rPr>
              <w:t>GFR 6</w:t>
            </w:r>
            <w:r w:rsidR="000B4E2C" w:rsidRPr="000B4E2C">
              <w:rPr>
                <w:rFonts w:cstheme="minorHAnsi"/>
                <w:color w:val="00B0F0"/>
                <w:sz w:val="18"/>
                <w:szCs w:val="18"/>
                <w:lang w:eastAsia="en-GB"/>
              </w:rPr>
              <w:t>0</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w:t>
            </w:r>
            <w:r w:rsidR="000B4E2C" w:rsidRPr="000B4E2C">
              <w:rPr>
                <w:rFonts w:cstheme="minorHAnsi"/>
                <w:sz w:val="18"/>
                <w:szCs w:val="18"/>
                <w:lang w:eastAsia="en-GB"/>
              </w:rPr>
              <w:t xml:space="preserve"> </w:t>
            </w:r>
            <w:r w:rsidRPr="000B4E2C">
              <w:rPr>
                <w:rFonts w:cstheme="minorHAnsi"/>
                <w:sz w:val="18"/>
                <w:szCs w:val="18"/>
                <w:lang w:eastAsia="en-GB"/>
              </w:rPr>
              <w:t>GFR 44</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6</w:t>
            </w:r>
            <w:r w:rsidRPr="000B4E2C">
              <w:rPr>
                <w:rFonts w:cstheme="minorHAnsi"/>
                <w:sz w:val="18"/>
                <w:szCs w:val="18"/>
                <w:lang w:eastAsia="en-GB"/>
              </w:rPr>
              <w:t>0</w:t>
            </w:r>
            <w:r w:rsidR="000B4E2C" w:rsidRPr="000B4E2C">
              <w:rPr>
                <w:rFonts w:cstheme="minorHAnsi"/>
                <w:sz w:val="18"/>
                <w:szCs w:val="18"/>
                <w:lang w:eastAsia="en-GB"/>
              </w:rPr>
              <w:t xml:space="preserve"> </w:t>
            </w:r>
            <w:r w:rsidRPr="000B4E2C">
              <w:rPr>
                <w:rFonts w:cstheme="minorHAnsi"/>
                <w:sz w:val="18"/>
                <w:szCs w:val="18"/>
                <w:lang w:eastAsia="en-GB"/>
              </w:rPr>
              <w:t xml:space="preserve">GFR </w:t>
            </w:r>
            <w:r w:rsidR="000B4E2C" w:rsidRPr="000B4E2C">
              <w:rPr>
                <w:rFonts w:cstheme="minorHAnsi"/>
                <w:color w:val="00B0F0"/>
                <w:sz w:val="18"/>
                <w:szCs w:val="18"/>
                <w:lang w:eastAsia="en-GB"/>
              </w:rPr>
              <w:t>&lt;</w:t>
            </w:r>
            <w:r w:rsidR="000B4E2C" w:rsidRPr="000B4E2C">
              <w:rPr>
                <w:rFonts w:cstheme="minorHAnsi"/>
                <w:color w:val="00B0F0"/>
                <w:sz w:val="18"/>
                <w:szCs w:val="18"/>
                <w:lang w:eastAsia="en-GB"/>
              </w:rPr>
              <w:t> </w:t>
            </w:r>
            <w:r w:rsidRPr="000B4E2C">
              <w:rPr>
                <w:rFonts w:cstheme="minorHAnsi"/>
                <w:sz w:val="18"/>
                <w:szCs w:val="18"/>
                <w:lang w:eastAsia="en-GB"/>
              </w:rPr>
              <w:t xml:space="preserve">44 </w:t>
            </w:r>
          </w:p>
        </w:tc>
        <w:tc>
          <w:tcPr>
            <w:tcW w:w="0" w:type="auto"/>
            <w:shd w:val="clear" w:color="auto" w:fill="auto"/>
            <w:hideMark/>
          </w:tcPr>
          <w:p w14:paraId="56AD3461" w14:textId="231C69B6"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0.85</w:t>
            </w:r>
            <w:r w:rsidR="000B4E2C" w:rsidRPr="000B4E2C">
              <w:rPr>
                <w:rFonts w:cstheme="minorHAnsi"/>
                <w:sz w:val="18"/>
                <w:szCs w:val="18"/>
                <w:lang w:eastAsia="en-GB"/>
              </w:rPr>
              <w:t xml:space="preserve"> </w:t>
            </w:r>
            <w:r w:rsidRPr="000B4E2C">
              <w:rPr>
                <w:rFonts w:cstheme="minorHAnsi"/>
                <w:sz w:val="18"/>
                <w:szCs w:val="18"/>
                <w:lang w:eastAsia="en-GB"/>
              </w:rPr>
              <w:t>0.85</w:t>
            </w:r>
            <w:r w:rsidR="000B4E2C" w:rsidRPr="000B4E2C">
              <w:rPr>
                <w:rFonts w:cstheme="minorHAnsi"/>
                <w:sz w:val="18"/>
                <w:szCs w:val="18"/>
                <w:lang w:eastAsia="en-GB"/>
              </w:rPr>
              <w:t xml:space="preserve"> </w:t>
            </w:r>
            <w:r w:rsidRPr="000B4E2C">
              <w:rPr>
                <w:rFonts w:cstheme="minorHAnsi"/>
                <w:sz w:val="18"/>
                <w:szCs w:val="18"/>
                <w:lang w:eastAsia="en-GB"/>
              </w:rPr>
              <w:t>0.84</w:t>
            </w:r>
            <w:r w:rsidR="000B4E2C" w:rsidRPr="000B4E2C">
              <w:rPr>
                <w:rFonts w:cstheme="minorHAnsi"/>
                <w:sz w:val="18"/>
                <w:szCs w:val="18"/>
                <w:lang w:eastAsia="en-GB"/>
              </w:rPr>
              <w:t xml:space="preserve"> </w:t>
            </w:r>
            <w:r w:rsidRPr="000B4E2C">
              <w:rPr>
                <w:rFonts w:cstheme="minorHAnsi"/>
                <w:sz w:val="18"/>
                <w:szCs w:val="18"/>
                <w:lang w:eastAsia="en-GB"/>
              </w:rPr>
              <w:t>0.85</w:t>
            </w:r>
            <w:r w:rsidR="000B4E2C" w:rsidRPr="000B4E2C">
              <w:rPr>
                <w:rFonts w:cstheme="minorHAnsi"/>
                <w:sz w:val="18"/>
                <w:szCs w:val="18"/>
                <w:lang w:eastAsia="en-GB"/>
              </w:rPr>
              <w:t xml:space="preserve"> </w:t>
            </w:r>
            <w:r w:rsidRPr="000B4E2C">
              <w:rPr>
                <w:rFonts w:cstheme="minorHAnsi"/>
                <w:sz w:val="18"/>
                <w:szCs w:val="18"/>
                <w:lang w:eastAsia="en-GB"/>
              </w:rPr>
              <w:t>0.85</w:t>
            </w:r>
            <w:r w:rsidR="000B4E2C" w:rsidRPr="000B4E2C">
              <w:rPr>
                <w:rFonts w:cstheme="minorHAnsi"/>
                <w:sz w:val="18"/>
                <w:szCs w:val="18"/>
                <w:lang w:eastAsia="en-GB"/>
              </w:rPr>
              <w:t xml:space="preserve"> </w:t>
            </w:r>
            <w:r w:rsidRPr="000B4E2C">
              <w:rPr>
                <w:rFonts w:cstheme="minorHAnsi"/>
                <w:sz w:val="18"/>
                <w:szCs w:val="18"/>
                <w:lang w:eastAsia="en-GB"/>
              </w:rPr>
              <w:t>0.82</w:t>
            </w:r>
          </w:p>
        </w:tc>
        <w:tc>
          <w:tcPr>
            <w:tcW w:w="0" w:type="auto"/>
            <w:shd w:val="clear" w:color="auto" w:fill="auto"/>
            <w:hideMark/>
          </w:tcPr>
          <w:p w14:paraId="4DBF492D" w14:textId="4729AE42"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E671851" w14:textId="203CA335"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0.00</w:t>
            </w:r>
            <w:r w:rsidR="000B4E2C" w:rsidRPr="000B4E2C">
              <w:rPr>
                <w:rFonts w:cstheme="minorHAnsi"/>
                <w:sz w:val="18"/>
                <w:szCs w:val="18"/>
                <w:lang w:eastAsia="en-GB"/>
              </w:rPr>
              <w:t xml:space="preserve"> </w:t>
            </w:r>
            <w:r w:rsidRPr="000B4E2C">
              <w:rPr>
                <w:rFonts w:cstheme="minorHAnsi"/>
                <w:sz w:val="18"/>
                <w:szCs w:val="18"/>
                <w:lang w:eastAsia="en-GB"/>
              </w:rPr>
              <w:t>0.01</w:t>
            </w:r>
            <w:r w:rsidR="000B4E2C" w:rsidRPr="000B4E2C">
              <w:rPr>
                <w:rFonts w:cstheme="minorHAnsi"/>
                <w:sz w:val="18"/>
                <w:szCs w:val="18"/>
                <w:lang w:eastAsia="en-GB"/>
              </w:rPr>
              <w:t xml:space="preserve"> </w:t>
            </w:r>
            <w:r w:rsidRPr="000B4E2C">
              <w:rPr>
                <w:rFonts w:cstheme="minorHAnsi"/>
                <w:sz w:val="18"/>
                <w:szCs w:val="18"/>
                <w:lang w:eastAsia="en-GB"/>
              </w:rPr>
              <w:t>0.01</w:t>
            </w:r>
          </w:p>
        </w:tc>
        <w:tc>
          <w:tcPr>
            <w:tcW w:w="0" w:type="auto"/>
            <w:shd w:val="clear" w:color="auto" w:fill="auto"/>
            <w:hideMark/>
          </w:tcPr>
          <w:p w14:paraId="141CB485" w14:textId="5E293A3D" w:rsidR="002F0133" w:rsidRPr="000B4E2C" w:rsidRDefault="002F0133" w:rsidP="008A7464">
            <w:pPr>
              <w:spacing w:after="240"/>
              <w:rPr>
                <w:rFonts w:cstheme="minorHAnsi"/>
                <w:color w:val="000000"/>
                <w:sz w:val="18"/>
                <w:szCs w:val="18"/>
                <w:lang w:eastAsia="en-GB"/>
              </w:rPr>
            </w:pPr>
            <w:r w:rsidRPr="000B4E2C">
              <w:rPr>
                <w:rFonts w:cstheme="minorHAnsi"/>
                <w:sz w:val="18"/>
                <w:szCs w:val="18"/>
                <w:lang w:eastAsia="en-GB"/>
              </w:rPr>
              <w:t>0.13</w:t>
            </w:r>
            <w:r w:rsidR="000B4E2C" w:rsidRPr="000B4E2C">
              <w:rPr>
                <w:rFonts w:cstheme="minorHAnsi"/>
                <w:sz w:val="18"/>
                <w:szCs w:val="18"/>
                <w:lang w:eastAsia="en-GB"/>
              </w:rPr>
              <w:t xml:space="preserve"> </w:t>
            </w:r>
            <w:r w:rsidRPr="000B4E2C">
              <w:rPr>
                <w:rFonts w:cstheme="minorHAnsi"/>
                <w:sz w:val="18"/>
                <w:szCs w:val="18"/>
                <w:lang w:eastAsia="en-GB"/>
              </w:rPr>
              <w:t>0.13</w:t>
            </w:r>
            <w:r w:rsidR="000B4E2C" w:rsidRPr="000B4E2C">
              <w:rPr>
                <w:rFonts w:cstheme="minorHAnsi"/>
                <w:sz w:val="18"/>
                <w:szCs w:val="18"/>
                <w:lang w:eastAsia="en-GB"/>
              </w:rPr>
              <w:t xml:space="preserve"> </w:t>
            </w:r>
            <w:r w:rsidRPr="000B4E2C">
              <w:rPr>
                <w:rFonts w:cstheme="minorHAnsi"/>
                <w:sz w:val="18"/>
                <w:szCs w:val="18"/>
                <w:lang w:eastAsia="en-GB"/>
              </w:rPr>
              <w:t>0.13</w:t>
            </w:r>
            <w:r w:rsidR="000B4E2C" w:rsidRPr="000B4E2C">
              <w:rPr>
                <w:rFonts w:cstheme="minorHAnsi"/>
                <w:sz w:val="18"/>
                <w:szCs w:val="18"/>
                <w:lang w:eastAsia="en-GB"/>
              </w:rPr>
              <w:t xml:space="preserve"> </w:t>
            </w:r>
          </w:p>
        </w:tc>
        <w:tc>
          <w:tcPr>
            <w:tcW w:w="0" w:type="auto"/>
            <w:shd w:val="clear" w:color="auto" w:fill="auto"/>
            <w:hideMark/>
          </w:tcPr>
          <w:p w14:paraId="2C4604AB" w14:textId="4C5E4B8F"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52DF05C" w14:textId="16C17759"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E6AC3E7" w14:textId="502DE30A"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00EA3D87" w14:textId="4199CA18"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452E529C" w14:textId="77777777" w:rsidTr="000B4E2C">
        <w:trPr>
          <w:cantSplit/>
          <w:tblHeader/>
        </w:trPr>
        <w:tc>
          <w:tcPr>
            <w:tcW w:w="0" w:type="auto"/>
            <w:shd w:val="clear" w:color="auto" w:fill="auto"/>
            <w:hideMark/>
          </w:tcPr>
          <w:p w14:paraId="036C7A5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Wong</w:t>
            </w:r>
          </w:p>
        </w:tc>
        <w:tc>
          <w:tcPr>
            <w:tcW w:w="0" w:type="auto"/>
            <w:shd w:val="clear" w:color="auto" w:fill="auto"/>
            <w:hideMark/>
          </w:tcPr>
          <w:p w14:paraId="739E5240"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2019</w:t>
            </w:r>
          </w:p>
        </w:tc>
        <w:tc>
          <w:tcPr>
            <w:tcW w:w="0" w:type="auto"/>
            <w:shd w:val="clear" w:color="auto" w:fill="auto"/>
            <w:hideMark/>
          </w:tcPr>
          <w:p w14:paraId="1BC6665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ESRD on dialysis</w:t>
            </w:r>
          </w:p>
        </w:tc>
        <w:tc>
          <w:tcPr>
            <w:tcW w:w="0" w:type="auto"/>
            <w:shd w:val="clear" w:color="auto" w:fill="auto"/>
            <w:hideMark/>
          </w:tcPr>
          <w:p w14:paraId="2551B875"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China</w:t>
            </w:r>
          </w:p>
        </w:tc>
        <w:tc>
          <w:tcPr>
            <w:tcW w:w="0" w:type="auto"/>
            <w:shd w:val="clear" w:color="auto" w:fill="auto"/>
            <w:hideMark/>
          </w:tcPr>
          <w:p w14:paraId="4B1E1C99" w14:textId="59A103E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S</w:t>
            </w:r>
            <w:r w:rsidR="000B4E2C" w:rsidRPr="000B4E2C">
              <w:rPr>
                <w:rFonts w:cstheme="minorHAnsi"/>
                <w:color w:val="00B0F0"/>
                <w:sz w:val="18"/>
                <w:szCs w:val="18"/>
                <w:lang w:eastAsia="en-GB"/>
              </w:rPr>
              <w:t>F</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6</w:t>
            </w:r>
            <w:r w:rsidRPr="000B4E2C">
              <w:rPr>
                <w:rFonts w:cstheme="minorHAnsi"/>
                <w:sz w:val="18"/>
                <w:szCs w:val="18"/>
                <w:lang w:eastAsia="en-GB"/>
              </w:rPr>
              <w:t>D</w:t>
            </w:r>
          </w:p>
        </w:tc>
        <w:tc>
          <w:tcPr>
            <w:tcW w:w="0" w:type="auto"/>
            <w:shd w:val="clear" w:color="auto" w:fill="auto"/>
            <w:hideMark/>
          </w:tcPr>
          <w:p w14:paraId="5D3BE6FB" w14:textId="1DEA9559"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China</w:t>
            </w:r>
            <w:r w:rsidR="000B4E2C" w:rsidRPr="000B4E2C">
              <w:rPr>
                <w:rFonts w:cstheme="minorHAnsi"/>
                <w:color w:val="00B0F0"/>
                <w:sz w:val="18"/>
                <w:szCs w:val="18"/>
                <w:lang w:eastAsia="en-GB"/>
              </w:rPr>
              <w:t>/</w:t>
            </w:r>
            <w:r w:rsidRPr="000B4E2C">
              <w:rPr>
                <w:rFonts w:cstheme="minorHAnsi"/>
                <w:sz w:val="18"/>
                <w:szCs w:val="18"/>
                <w:lang w:eastAsia="en-GB"/>
              </w:rPr>
              <w:t xml:space="preserve">Hong Kong </w:t>
            </w:r>
          </w:p>
        </w:tc>
        <w:tc>
          <w:tcPr>
            <w:tcW w:w="0" w:type="auto"/>
            <w:shd w:val="clear" w:color="auto" w:fill="auto"/>
            <w:hideMark/>
          </w:tcPr>
          <w:p w14:paraId="5E191D5F" w14:textId="652D7486"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All: 397</w:t>
            </w:r>
            <w:r w:rsidR="000B4E2C" w:rsidRPr="000B4E2C">
              <w:rPr>
                <w:rFonts w:cstheme="minorHAnsi"/>
                <w:sz w:val="18"/>
                <w:szCs w:val="18"/>
                <w:lang w:eastAsia="en-GB"/>
              </w:rPr>
              <w:t xml:space="preserve"> </w:t>
            </w:r>
            <w:r w:rsidRPr="000B4E2C">
              <w:rPr>
                <w:rFonts w:cstheme="minorHAnsi"/>
                <w:sz w:val="18"/>
                <w:szCs w:val="18"/>
                <w:lang w:eastAsia="en-GB"/>
              </w:rPr>
              <w:t>PD: 103</w:t>
            </w:r>
            <w:r w:rsidR="000B4E2C" w:rsidRPr="000B4E2C">
              <w:rPr>
                <w:rFonts w:cstheme="minorHAnsi"/>
                <w:sz w:val="18"/>
                <w:szCs w:val="18"/>
                <w:lang w:eastAsia="en-GB"/>
              </w:rPr>
              <w:t xml:space="preserve"> </w:t>
            </w:r>
            <w:r w:rsidRPr="000B4E2C">
              <w:rPr>
                <w:rFonts w:cstheme="minorHAnsi"/>
                <w:sz w:val="18"/>
                <w:szCs w:val="18"/>
                <w:lang w:eastAsia="en-GB"/>
              </w:rPr>
              <w:t>Hosp. HD: 135</w:t>
            </w:r>
            <w:r w:rsidR="000B4E2C" w:rsidRPr="000B4E2C">
              <w:rPr>
                <w:rFonts w:cstheme="minorHAnsi"/>
                <w:sz w:val="18"/>
                <w:szCs w:val="18"/>
                <w:lang w:eastAsia="en-GB"/>
              </w:rPr>
              <w:t xml:space="preserve"> </w:t>
            </w:r>
            <w:r w:rsidRPr="000B4E2C">
              <w:rPr>
                <w:rFonts w:cstheme="minorHAnsi"/>
                <w:sz w:val="18"/>
                <w:szCs w:val="18"/>
                <w:lang w:eastAsia="en-GB"/>
              </w:rPr>
              <w:t>Home HD: 41</w:t>
            </w:r>
            <w:r w:rsidR="000B4E2C" w:rsidRPr="000B4E2C">
              <w:rPr>
                <w:rFonts w:cstheme="minorHAnsi"/>
                <w:sz w:val="18"/>
                <w:szCs w:val="18"/>
                <w:lang w:eastAsia="en-GB"/>
              </w:rPr>
              <w:t xml:space="preserve"> </w:t>
            </w:r>
            <w:r w:rsidRPr="000B4E2C">
              <w:rPr>
                <w:rFonts w:cstheme="minorHAnsi"/>
                <w:sz w:val="18"/>
                <w:szCs w:val="18"/>
                <w:lang w:eastAsia="en-GB"/>
              </w:rPr>
              <w:t>Comm. HD: 118</w:t>
            </w:r>
          </w:p>
        </w:tc>
        <w:tc>
          <w:tcPr>
            <w:tcW w:w="0" w:type="auto"/>
            <w:shd w:val="clear" w:color="auto" w:fill="auto"/>
            <w:hideMark/>
          </w:tcPr>
          <w:p w14:paraId="0488BED3" w14:textId="46A88C19"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57.3 (12.7)</w:t>
            </w:r>
            <w:r w:rsidR="000B4E2C" w:rsidRPr="000B4E2C">
              <w:rPr>
                <w:rFonts w:cstheme="minorHAnsi"/>
                <w:sz w:val="18"/>
                <w:szCs w:val="18"/>
                <w:lang w:eastAsia="en-GB"/>
              </w:rPr>
              <w:t xml:space="preserve"> </w:t>
            </w:r>
            <w:r w:rsidRPr="000B4E2C">
              <w:rPr>
                <w:rFonts w:cstheme="minorHAnsi"/>
                <w:sz w:val="18"/>
                <w:szCs w:val="18"/>
                <w:lang w:eastAsia="en-GB"/>
              </w:rPr>
              <w:t>63.1 (12.7)</w:t>
            </w:r>
            <w:r w:rsidR="000B4E2C" w:rsidRPr="000B4E2C">
              <w:rPr>
                <w:rFonts w:cstheme="minorHAnsi"/>
                <w:sz w:val="18"/>
                <w:szCs w:val="18"/>
                <w:lang w:eastAsia="en-GB"/>
              </w:rPr>
              <w:t xml:space="preserve"> </w:t>
            </w:r>
            <w:r w:rsidRPr="000B4E2C">
              <w:rPr>
                <w:rFonts w:cstheme="minorHAnsi"/>
                <w:sz w:val="18"/>
                <w:szCs w:val="18"/>
                <w:lang w:eastAsia="en-GB"/>
              </w:rPr>
              <w:t>56.4 (12.6)</w:t>
            </w:r>
            <w:r w:rsidR="000B4E2C" w:rsidRPr="000B4E2C">
              <w:rPr>
                <w:rFonts w:cstheme="minorHAnsi"/>
                <w:sz w:val="18"/>
                <w:szCs w:val="18"/>
                <w:lang w:eastAsia="en-GB"/>
              </w:rPr>
              <w:t xml:space="preserve"> </w:t>
            </w:r>
            <w:r w:rsidRPr="000B4E2C">
              <w:rPr>
                <w:rFonts w:cstheme="minorHAnsi"/>
                <w:sz w:val="18"/>
                <w:szCs w:val="18"/>
                <w:lang w:eastAsia="en-GB"/>
              </w:rPr>
              <w:t>47.9 (8.5)</w:t>
            </w:r>
            <w:r w:rsidR="000B4E2C" w:rsidRPr="000B4E2C">
              <w:rPr>
                <w:rFonts w:cstheme="minorHAnsi"/>
                <w:sz w:val="18"/>
                <w:szCs w:val="18"/>
                <w:lang w:eastAsia="en-GB"/>
              </w:rPr>
              <w:t xml:space="preserve"> </w:t>
            </w:r>
            <w:r w:rsidRPr="000B4E2C">
              <w:rPr>
                <w:rFonts w:cstheme="minorHAnsi"/>
                <w:sz w:val="18"/>
                <w:szCs w:val="18"/>
                <w:lang w:eastAsia="en-GB"/>
              </w:rPr>
              <w:t>56.8 (11.6)</w:t>
            </w:r>
          </w:p>
        </w:tc>
        <w:tc>
          <w:tcPr>
            <w:tcW w:w="0" w:type="auto"/>
            <w:shd w:val="clear" w:color="auto" w:fill="auto"/>
            <w:hideMark/>
          </w:tcPr>
          <w:p w14:paraId="0D0D5B0E" w14:textId="74B092DA"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61.9%</w:t>
            </w:r>
            <w:r w:rsidR="000B4E2C" w:rsidRPr="000B4E2C">
              <w:rPr>
                <w:rFonts w:cstheme="minorHAnsi"/>
                <w:sz w:val="18"/>
                <w:szCs w:val="18"/>
                <w:lang w:eastAsia="en-GB"/>
              </w:rPr>
              <w:t xml:space="preserve"> </w:t>
            </w:r>
            <w:r w:rsidRPr="000B4E2C">
              <w:rPr>
                <w:rFonts w:cstheme="minorHAnsi"/>
                <w:sz w:val="18"/>
                <w:szCs w:val="18"/>
                <w:lang w:eastAsia="en-GB"/>
              </w:rPr>
              <w:t>61.2%</w:t>
            </w:r>
            <w:r w:rsidR="000B4E2C" w:rsidRPr="000B4E2C">
              <w:rPr>
                <w:rFonts w:cstheme="minorHAnsi"/>
                <w:sz w:val="18"/>
                <w:szCs w:val="18"/>
                <w:lang w:eastAsia="en-GB"/>
              </w:rPr>
              <w:t xml:space="preserve"> </w:t>
            </w:r>
            <w:r w:rsidRPr="000B4E2C">
              <w:rPr>
                <w:rFonts w:cstheme="minorHAnsi"/>
                <w:sz w:val="18"/>
                <w:szCs w:val="18"/>
                <w:lang w:eastAsia="en-GB"/>
              </w:rPr>
              <w:t>57.0%</w:t>
            </w:r>
            <w:r w:rsidR="000B4E2C" w:rsidRPr="000B4E2C">
              <w:rPr>
                <w:rFonts w:cstheme="minorHAnsi"/>
                <w:sz w:val="18"/>
                <w:szCs w:val="18"/>
                <w:lang w:eastAsia="en-GB"/>
              </w:rPr>
              <w:t xml:space="preserve"> </w:t>
            </w:r>
            <w:r w:rsidRPr="000B4E2C">
              <w:rPr>
                <w:rFonts w:cstheme="minorHAnsi"/>
                <w:sz w:val="18"/>
                <w:szCs w:val="18"/>
                <w:lang w:eastAsia="en-GB"/>
              </w:rPr>
              <w:t>67.4%</w:t>
            </w:r>
            <w:r w:rsidR="000B4E2C" w:rsidRPr="000B4E2C">
              <w:rPr>
                <w:rFonts w:cstheme="minorHAnsi"/>
                <w:sz w:val="18"/>
                <w:szCs w:val="18"/>
                <w:lang w:eastAsia="en-GB"/>
              </w:rPr>
              <w:t xml:space="preserve"> </w:t>
            </w:r>
            <w:r w:rsidRPr="000B4E2C">
              <w:rPr>
                <w:rFonts w:cstheme="minorHAnsi"/>
                <w:sz w:val="18"/>
                <w:szCs w:val="18"/>
                <w:lang w:eastAsia="en-GB"/>
              </w:rPr>
              <w:t>66.1%</w:t>
            </w:r>
          </w:p>
        </w:tc>
        <w:tc>
          <w:tcPr>
            <w:tcW w:w="0" w:type="auto"/>
            <w:shd w:val="clear" w:color="auto" w:fill="auto"/>
            <w:hideMark/>
          </w:tcPr>
          <w:p w14:paraId="546AD69E" w14:textId="6C2E8D59"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All dialysis</w:t>
            </w:r>
            <w:r w:rsidR="000B4E2C" w:rsidRPr="000B4E2C">
              <w:rPr>
                <w:rFonts w:cstheme="minorHAnsi"/>
                <w:sz w:val="18"/>
                <w:szCs w:val="18"/>
                <w:lang w:eastAsia="en-GB"/>
              </w:rPr>
              <w:t xml:space="preserve"> </w:t>
            </w:r>
            <w:r w:rsidRPr="000B4E2C">
              <w:rPr>
                <w:rFonts w:cstheme="minorHAnsi"/>
                <w:sz w:val="18"/>
                <w:szCs w:val="18"/>
                <w:lang w:eastAsia="en-GB"/>
              </w:rPr>
              <w:t>PD:</w:t>
            </w:r>
            <w:r w:rsidR="000B4E2C" w:rsidRPr="000B4E2C">
              <w:rPr>
                <w:rFonts w:cstheme="minorHAnsi"/>
                <w:sz w:val="18"/>
                <w:szCs w:val="18"/>
                <w:lang w:eastAsia="en-GB"/>
              </w:rPr>
              <w:t xml:space="preserve"> </w:t>
            </w:r>
            <w:r w:rsidRPr="000B4E2C">
              <w:rPr>
                <w:rFonts w:cstheme="minorHAnsi"/>
                <w:sz w:val="18"/>
                <w:szCs w:val="18"/>
                <w:lang w:eastAsia="en-GB"/>
              </w:rPr>
              <w:t>Hospital HD:</w:t>
            </w:r>
            <w:r w:rsidR="000B4E2C" w:rsidRPr="000B4E2C">
              <w:rPr>
                <w:rFonts w:cstheme="minorHAnsi"/>
                <w:sz w:val="18"/>
                <w:szCs w:val="18"/>
                <w:lang w:eastAsia="en-GB"/>
              </w:rPr>
              <w:t xml:space="preserve"> </w:t>
            </w:r>
            <w:r w:rsidRPr="000B4E2C">
              <w:rPr>
                <w:rFonts w:cstheme="minorHAnsi"/>
                <w:sz w:val="18"/>
                <w:szCs w:val="18"/>
                <w:lang w:eastAsia="en-GB"/>
              </w:rPr>
              <w:t>Home HD:</w:t>
            </w:r>
            <w:r w:rsidR="000B4E2C" w:rsidRPr="000B4E2C">
              <w:rPr>
                <w:rFonts w:cstheme="minorHAnsi"/>
                <w:sz w:val="18"/>
                <w:szCs w:val="18"/>
                <w:lang w:eastAsia="en-GB"/>
              </w:rPr>
              <w:t xml:space="preserve"> </w:t>
            </w:r>
            <w:r w:rsidRPr="000B4E2C">
              <w:rPr>
                <w:rFonts w:cstheme="minorHAnsi"/>
                <w:sz w:val="18"/>
                <w:szCs w:val="18"/>
                <w:lang w:eastAsia="en-GB"/>
              </w:rPr>
              <w:t xml:space="preserve">Comm. HD: </w:t>
            </w:r>
          </w:p>
        </w:tc>
        <w:tc>
          <w:tcPr>
            <w:tcW w:w="0" w:type="auto"/>
            <w:shd w:val="clear" w:color="auto" w:fill="auto"/>
            <w:hideMark/>
          </w:tcPr>
          <w:p w14:paraId="21B83D86" w14:textId="1B96985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0.766</w:t>
            </w:r>
            <w:r w:rsidR="000B4E2C" w:rsidRPr="000B4E2C">
              <w:rPr>
                <w:rFonts w:cstheme="minorHAnsi"/>
                <w:sz w:val="18"/>
                <w:szCs w:val="18"/>
                <w:lang w:eastAsia="en-GB"/>
              </w:rPr>
              <w:t xml:space="preserve"> </w:t>
            </w:r>
            <w:r w:rsidRPr="000B4E2C">
              <w:rPr>
                <w:rFonts w:cstheme="minorHAnsi"/>
                <w:sz w:val="18"/>
                <w:szCs w:val="18"/>
                <w:lang w:eastAsia="en-GB"/>
              </w:rPr>
              <w:t>0.778</w:t>
            </w:r>
            <w:r w:rsidR="000B4E2C" w:rsidRPr="000B4E2C">
              <w:rPr>
                <w:rFonts w:cstheme="minorHAnsi"/>
                <w:sz w:val="18"/>
                <w:szCs w:val="18"/>
                <w:lang w:eastAsia="en-GB"/>
              </w:rPr>
              <w:t xml:space="preserve"> </w:t>
            </w:r>
            <w:r w:rsidRPr="000B4E2C">
              <w:rPr>
                <w:rFonts w:cstheme="minorHAnsi"/>
                <w:sz w:val="18"/>
                <w:szCs w:val="18"/>
                <w:lang w:eastAsia="en-GB"/>
              </w:rPr>
              <w:t>0.731</w:t>
            </w:r>
            <w:r w:rsidR="000B4E2C" w:rsidRPr="000B4E2C">
              <w:rPr>
                <w:rFonts w:cstheme="minorHAnsi"/>
                <w:sz w:val="18"/>
                <w:szCs w:val="18"/>
                <w:lang w:eastAsia="en-GB"/>
              </w:rPr>
              <w:t xml:space="preserve"> </w:t>
            </w:r>
            <w:r w:rsidRPr="000B4E2C">
              <w:rPr>
                <w:rFonts w:cstheme="minorHAnsi"/>
                <w:sz w:val="18"/>
                <w:szCs w:val="18"/>
                <w:lang w:eastAsia="en-GB"/>
              </w:rPr>
              <w:t>0.778</w:t>
            </w:r>
            <w:r w:rsidR="000B4E2C" w:rsidRPr="000B4E2C">
              <w:rPr>
                <w:rFonts w:cstheme="minorHAnsi"/>
                <w:sz w:val="18"/>
                <w:szCs w:val="18"/>
                <w:lang w:eastAsia="en-GB"/>
              </w:rPr>
              <w:t xml:space="preserve"> </w:t>
            </w:r>
            <w:r w:rsidRPr="000B4E2C">
              <w:rPr>
                <w:rFonts w:cstheme="minorHAnsi"/>
                <w:sz w:val="18"/>
                <w:szCs w:val="18"/>
                <w:lang w:eastAsia="en-GB"/>
              </w:rPr>
              <w:t>0.790</w:t>
            </w:r>
          </w:p>
        </w:tc>
        <w:tc>
          <w:tcPr>
            <w:tcW w:w="0" w:type="auto"/>
            <w:shd w:val="clear" w:color="auto" w:fill="auto"/>
            <w:hideMark/>
          </w:tcPr>
          <w:p w14:paraId="341CF427" w14:textId="24FA2BD4"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5CF5807" w14:textId="6489BFB3"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0E70F8E9" w14:textId="24BFEB95"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0.111</w:t>
            </w:r>
            <w:r w:rsidR="000B4E2C" w:rsidRPr="000B4E2C">
              <w:rPr>
                <w:rFonts w:cstheme="minorHAnsi"/>
                <w:sz w:val="18"/>
                <w:szCs w:val="18"/>
                <w:lang w:eastAsia="en-GB"/>
              </w:rPr>
              <w:t xml:space="preserve"> </w:t>
            </w:r>
            <w:r w:rsidRPr="000B4E2C">
              <w:rPr>
                <w:rFonts w:cstheme="minorHAnsi"/>
                <w:sz w:val="18"/>
                <w:szCs w:val="18"/>
                <w:lang w:eastAsia="en-GB"/>
              </w:rPr>
              <w:t>0.110</w:t>
            </w:r>
            <w:r w:rsidR="000B4E2C" w:rsidRPr="000B4E2C">
              <w:rPr>
                <w:rFonts w:cstheme="minorHAnsi"/>
                <w:sz w:val="18"/>
                <w:szCs w:val="18"/>
                <w:lang w:eastAsia="en-GB"/>
              </w:rPr>
              <w:t xml:space="preserve"> </w:t>
            </w:r>
            <w:r w:rsidRPr="000B4E2C">
              <w:rPr>
                <w:rFonts w:cstheme="minorHAnsi"/>
                <w:sz w:val="18"/>
                <w:szCs w:val="18"/>
                <w:lang w:eastAsia="en-GB"/>
              </w:rPr>
              <w:t>0.114</w:t>
            </w:r>
            <w:r w:rsidR="000B4E2C" w:rsidRPr="000B4E2C">
              <w:rPr>
                <w:rFonts w:cstheme="minorHAnsi"/>
                <w:sz w:val="18"/>
                <w:szCs w:val="18"/>
                <w:lang w:eastAsia="en-GB"/>
              </w:rPr>
              <w:t xml:space="preserve"> </w:t>
            </w:r>
            <w:r w:rsidRPr="000B4E2C">
              <w:rPr>
                <w:rFonts w:cstheme="minorHAnsi"/>
                <w:sz w:val="18"/>
                <w:szCs w:val="18"/>
                <w:lang w:eastAsia="en-GB"/>
              </w:rPr>
              <w:t>0.091</w:t>
            </w:r>
            <w:r w:rsidR="000B4E2C" w:rsidRPr="000B4E2C">
              <w:rPr>
                <w:rFonts w:cstheme="minorHAnsi"/>
                <w:sz w:val="18"/>
                <w:szCs w:val="18"/>
                <w:lang w:eastAsia="en-GB"/>
              </w:rPr>
              <w:t xml:space="preserve"> </w:t>
            </w:r>
            <w:r w:rsidRPr="000B4E2C">
              <w:rPr>
                <w:rFonts w:cstheme="minorHAnsi"/>
                <w:sz w:val="18"/>
                <w:szCs w:val="18"/>
                <w:lang w:eastAsia="en-GB"/>
              </w:rPr>
              <w:t>0.107</w:t>
            </w:r>
          </w:p>
        </w:tc>
        <w:tc>
          <w:tcPr>
            <w:tcW w:w="0" w:type="auto"/>
            <w:shd w:val="clear" w:color="auto" w:fill="auto"/>
            <w:hideMark/>
          </w:tcPr>
          <w:p w14:paraId="1F09B97F" w14:textId="038DD82E"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31DEF1D" w14:textId="059007FE"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E6B0B4B" w14:textId="705CFDF9"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B9D1B55" w14:textId="1597B703"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015F7E09" w14:textId="77777777" w:rsidTr="000B4E2C">
        <w:trPr>
          <w:cantSplit/>
          <w:tblHeader/>
        </w:trPr>
        <w:tc>
          <w:tcPr>
            <w:tcW w:w="0" w:type="auto"/>
            <w:shd w:val="clear" w:color="auto" w:fill="auto"/>
            <w:hideMark/>
          </w:tcPr>
          <w:p w14:paraId="1D24167F"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Yang</w:t>
            </w:r>
          </w:p>
        </w:tc>
        <w:tc>
          <w:tcPr>
            <w:tcW w:w="0" w:type="auto"/>
            <w:shd w:val="clear" w:color="auto" w:fill="auto"/>
            <w:hideMark/>
          </w:tcPr>
          <w:p w14:paraId="0C7FC83A"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2019</w:t>
            </w:r>
          </w:p>
        </w:tc>
        <w:tc>
          <w:tcPr>
            <w:tcW w:w="0" w:type="auto"/>
            <w:shd w:val="clear" w:color="auto" w:fill="auto"/>
            <w:hideMark/>
          </w:tcPr>
          <w:p w14:paraId="1D31147E"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ESRD on dialysis</w:t>
            </w:r>
          </w:p>
        </w:tc>
        <w:tc>
          <w:tcPr>
            <w:tcW w:w="0" w:type="auto"/>
            <w:shd w:val="clear" w:color="auto" w:fill="auto"/>
            <w:hideMark/>
          </w:tcPr>
          <w:p w14:paraId="7EEBDAD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Singapore</w:t>
            </w:r>
          </w:p>
        </w:tc>
        <w:tc>
          <w:tcPr>
            <w:tcW w:w="0" w:type="auto"/>
            <w:shd w:val="clear" w:color="auto" w:fill="auto"/>
            <w:hideMark/>
          </w:tcPr>
          <w:p w14:paraId="39369B35" w14:textId="3C67A2B1"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S</w:t>
            </w:r>
            <w:r w:rsidR="000B4E2C" w:rsidRPr="000B4E2C">
              <w:rPr>
                <w:rFonts w:cstheme="minorHAnsi"/>
                <w:color w:val="00B0F0"/>
                <w:sz w:val="18"/>
                <w:szCs w:val="18"/>
                <w:lang w:eastAsia="en-GB"/>
              </w:rPr>
              <w:t>F</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1</w:t>
            </w:r>
            <w:r w:rsidRPr="000B4E2C">
              <w:rPr>
                <w:rFonts w:cstheme="minorHAnsi"/>
                <w:sz w:val="18"/>
                <w:szCs w:val="18"/>
                <w:lang w:eastAsia="en-GB"/>
              </w:rPr>
              <w:t>2 mapped to 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hideMark/>
          </w:tcPr>
          <w:p w14:paraId="7EED0FE6"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unclear</w:t>
            </w:r>
          </w:p>
        </w:tc>
        <w:tc>
          <w:tcPr>
            <w:tcW w:w="0" w:type="auto"/>
            <w:shd w:val="clear" w:color="auto" w:fill="auto"/>
            <w:hideMark/>
          </w:tcPr>
          <w:p w14:paraId="6787EDFA" w14:textId="2281E822"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Total: 266</w:t>
            </w:r>
            <w:r w:rsidR="000B4E2C" w:rsidRPr="000B4E2C">
              <w:rPr>
                <w:rFonts w:cstheme="minorHAnsi"/>
                <w:sz w:val="18"/>
                <w:szCs w:val="18"/>
                <w:lang w:eastAsia="en-GB"/>
              </w:rPr>
              <w:t xml:space="preserve"> </w:t>
            </w:r>
            <w:r w:rsidRPr="000B4E2C">
              <w:rPr>
                <w:rFonts w:cstheme="minorHAnsi"/>
                <w:sz w:val="18"/>
                <w:szCs w:val="18"/>
                <w:lang w:eastAsia="en-GB"/>
              </w:rPr>
              <w:t>CAPD: 145</w:t>
            </w:r>
            <w:r w:rsidR="000B4E2C" w:rsidRPr="000B4E2C">
              <w:rPr>
                <w:rFonts w:cstheme="minorHAnsi"/>
                <w:sz w:val="18"/>
                <w:szCs w:val="18"/>
                <w:lang w:eastAsia="en-GB"/>
              </w:rPr>
              <w:t xml:space="preserve"> </w:t>
            </w:r>
            <w:r w:rsidRPr="000B4E2C">
              <w:rPr>
                <w:rFonts w:cstheme="minorHAnsi"/>
                <w:sz w:val="18"/>
                <w:szCs w:val="18"/>
                <w:lang w:eastAsia="en-GB"/>
              </w:rPr>
              <w:t>APD: 121</w:t>
            </w:r>
          </w:p>
        </w:tc>
        <w:tc>
          <w:tcPr>
            <w:tcW w:w="0" w:type="auto"/>
            <w:shd w:val="clear" w:color="auto" w:fill="auto"/>
            <w:hideMark/>
          </w:tcPr>
          <w:p w14:paraId="64C180BC" w14:textId="41CF5FBC"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59.3 (12.5)</w:t>
            </w:r>
            <w:r w:rsidR="000B4E2C" w:rsidRPr="000B4E2C">
              <w:rPr>
                <w:rFonts w:cstheme="minorHAnsi"/>
                <w:sz w:val="18"/>
                <w:szCs w:val="18"/>
                <w:lang w:eastAsia="en-GB"/>
              </w:rPr>
              <w:t xml:space="preserve"> </w:t>
            </w:r>
            <w:r w:rsidRPr="000B4E2C">
              <w:rPr>
                <w:rFonts w:cstheme="minorHAnsi"/>
                <w:sz w:val="18"/>
                <w:szCs w:val="18"/>
                <w:lang w:eastAsia="en-GB"/>
              </w:rPr>
              <w:t>60.8 (11.4)</w:t>
            </w:r>
            <w:r w:rsidR="000B4E2C" w:rsidRPr="000B4E2C">
              <w:rPr>
                <w:rFonts w:cstheme="minorHAnsi"/>
                <w:sz w:val="18"/>
                <w:szCs w:val="18"/>
                <w:lang w:eastAsia="en-GB"/>
              </w:rPr>
              <w:t xml:space="preserve"> </w:t>
            </w:r>
            <w:r w:rsidRPr="000B4E2C">
              <w:rPr>
                <w:rFonts w:cstheme="minorHAnsi"/>
                <w:sz w:val="18"/>
                <w:szCs w:val="18"/>
                <w:lang w:eastAsia="en-GB"/>
              </w:rPr>
              <w:t>57.4 (13.6)</w:t>
            </w:r>
          </w:p>
        </w:tc>
        <w:tc>
          <w:tcPr>
            <w:tcW w:w="0" w:type="auto"/>
            <w:shd w:val="clear" w:color="auto" w:fill="auto"/>
            <w:hideMark/>
          </w:tcPr>
          <w:p w14:paraId="6E74A23B" w14:textId="132F2768"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45.5%</w:t>
            </w:r>
            <w:r w:rsidR="000B4E2C" w:rsidRPr="000B4E2C">
              <w:rPr>
                <w:rFonts w:cstheme="minorHAnsi"/>
                <w:sz w:val="18"/>
                <w:szCs w:val="18"/>
                <w:lang w:eastAsia="en-GB"/>
              </w:rPr>
              <w:t xml:space="preserve"> </w:t>
            </w:r>
            <w:r w:rsidRPr="000B4E2C">
              <w:rPr>
                <w:rFonts w:cstheme="minorHAnsi"/>
                <w:sz w:val="18"/>
                <w:szCs w:val="18"/>
                <w:lang w:eastAsia="en-GB"/>
              </w:rPr>
              <w:t>45.5%</w:t>
            </w:r>
            <w:r w:rsidR="000B4E2C" w:rsidRPr="000B4E2C">
              <w:rPr>
                <w:rFonts w:cstheme="minorHAnsi"/>
                <w:sz w:val="18"/>
                <w:szCs w:val="18"/>
                <w:lang w:eastAsia="en-GB"/>
              </w:rPr>
              <w:t xml:space="preserve"> </w:t>
            </w:r>
            <w:r w:rsidRPr="000B4E2C">
              <w:rPr>
                <w:rFonts w:cstheme="minorHAnsi"/>
                <w:sz w:val="18"/>
                <w:szCs w:val="18"/>
                <w:lang w:eastAsia="en-GB"/>
              </w:rPr>
              <w:t>45.5%</w:t>
            </w:r>
          </w:p>
        </w:tc>
        <w:tc>
          <w:tcPr>
            <w:tcW w:w="0" w:type="auto"/>
            <w:shd w:val="clear" w:color="auto" w:fill="auto"/>
            <w:hideMark/>
          </w:tcPr>
          <w:p w14:paraId="0B80ADE5" w14:textId="6BC837D1"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Total</w:t>
            </w:r>
            <w:r w:rsidR="000B4E2C" w:rsidRPr="000B4E2C">
              <w:rPr>
                <w:rFonts w:cstheme="minorHAnsi"/>
                <w:sz w:val="18"/>
                <w:szCs w:val="18"/>
                <w:lang w:eastAsia="en-GB"/>
              </w:rPr>
              <w:t xml:space="preserve"> </w:t>
            </w:r>
            <w:r w:rsidRPr="000B4E2C">
              <w:rPr>
                <w:rFonts w:cstheme="minorHAnsi"/>
                <w:sz w:val="18"/>
                <w:szCs w:val="18"/>
                <w:lang w:eastAsia="en-GB"/>
              </w:rPr>
              <w:t>CAPD</w:t>
            </w:r>
            <w:r w:rsidR="000B4E2C" w:rsidRPr="000B4E2C">
              <w:rPr>
                <w:rFonts w:cstheme="minorHAnsi"/>
                <w:sz w:val="18"/>
                <w:szCs w:val="18"/>
                <w:lang w:eastAsia="en-GB"/>
              </w:rPr>
              <w:t xml:space="preserve"> </w:t>
            </w:r>
            <w:r w:rsidRPr="000B4E2C">
              <w:rPr>
                <w:rFonts w:cstheme="minorHAnsi"/>
                <w:sz w:val="18"/>
                <w:szCs w:val="18"/>
                <w:lang w:eastAsia="en-GB"/>
              </w:rPr>
              <w:t>APD</w:t>
            </w:r>
          </w:p>
        </w:tc>
        <w:tc>
          <w:tcPr>
            <w:tcW w:w="0" w:type="auto"/>
            <w:shd w:val="clear" w:color="auto" w:fill="auto"/>
            <w:hideMark/>
          </w:tcPr>
          <w:p w14:paraId="629BD26D" w14:textId="23780FD2"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0.59</w:t>
            </w:r>
            <w:r w:rsidR="000B4E2C" w:rsidRPr="000B4E2C">
              <w:rPr>
                <w:rFonts w:cstheme="minorHAnsi"/>
                <w:sz w:val="18"/>
                <w:szCs w:val="18"/>
                <w:lang w:eastAsia="en-GB"/>
              </w:rPr>
              <w:t xml:space="preserve"> </w:t>
            </w:r>
            <w:r w:rsidRPr="000B4E2C">
              <w:rPr>
                <w:rFonts w:cstheme="minorHAnsi"/>
                <w:sz w:val="18"/>
                <w:szCs w:val="18"/>
                <w:lang w:eastAsia="en-GB"/>
              </w:rPr>
              <w:t>0.58</w:t>
            </w:r>
            <w:r w:rsidR="000B4E2C" w:rsidRPr="000B4E2C">
              <w:rPr>
                <w:rFonts w:cstheme="minorHAnsi"/>
                <w:sz w:val="18"/>
                <w:szCs w:val="18"/>
                <w:lang w:eastAsia="en-GB"/>
              </w:rPr>
              <w:t xml:space="preserve"> </w:t>
            </w:r>
            <w:r w:rsidRPr="000B4E2C">
              <w:rPr>
                <w:rFonts w:cstheme="minorHAnsi"/>
                <w:sz w:val="18"/>
                <w:szCs w:val="18"/>
                <w:lang w:eastAsia="en-GB"/>
              </w:rPr>
              <w:t>0.60</w:t>
            </w:r>
          </w:p>
        </w:tc>
        <w:tc>
          <w:tcPr>
            <w:tcW w:w="0" w:type="auto"/>
            <w:shd w:val="clear" w:color="auto" w:fill="auto"/>
            <w:hideMark/>
          </w:tcPr>
          <w:p w14:paraId="0EE48E32" w14:textId="64DD85C8"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712FCB89" w14:textId="4F8DB310"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51A02986" w14:textId="617766DD"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0.21</w:t>
            </w:r>
            <w:r w:rsidR="000B4E2C" w:rsidRPr="000B4E2C">
              <w:rPr>
                <w:rFonts w:cstheme="minorHAnsi"/>
                <w:sz w:val="18"/>
                <w:szCs w:val="18"/>
                <w:lang w:eastAsia="en-GB"/>
              </w:rPr>
              <w:t xml:space="preserve"> </w:t>
            </w:r>
            <w:r w:rsidRPr="000B4E2C">
              <w:rPr>
                <w:rFonts w:cstheme="minorHAnsi"/>
                <w:sz w:val="18"/>
                <w:szCs w:val="18"/>
                <w:lang w:eastAsia="en-GB"/>
              </w:rPr>
              <w:t>0.21</w:t>
            </w:r>
            <w:r w:rsidR="000B4E2C" w:rsidRPr="000B4E2C">
              <w:rPr>
                <w:rFonts w:cstheme="minorHAnsi"/>
                <w:sz w:val="18"/>
                <w:szCs w:val="18"/>
                <w:lang w:eastAsia="en-GB"/>
              </w:rPr>
              <w:t xml:space="preserve"> </w:t>
            </w:r>
            <w:r w:rsidRPr="000B4E2C">
              <w:rPr>
                <w:rFonts w:cstheme="minorHAnsi"/>
                <w:sz w:val="18"/>
                <w:szCs w:val="18"/>
                <w:lang w:eastAsia="en-GB"/>
              </w:rPr>
              <w:t>0.22</w:t>
            </w:r>
          </w:p>
        </w:tc>
        <w:tc>
          <w:tcPr>
            <w:tcW w:w="0" w:type="auto"/>
            <w:shd w:val="clear" w:color="auto" w:fill="auto"/>
            <w:hideMark/>
          </w:tcPr>
          <w:p w14:paraId="0865E31C" w14:textId="551033B7"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47C64C17" w14:textId="427A320F"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1D61DA8F" w14:textId="6686A423"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4E0A6F5F" w14:textId="644BC708"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19CA3445" w14:textId="77777777" w:rsidTr="000B4E2C">
        <w:trPr>
          <w:cantSplit/>
          <w:tblHeader/>
        </w:trPr>
        <w:tc>
          <w:tcPr>
            <w:tcW w:w="0" w:type="auto"/>
            <w:shd w:val="clear" w:color="auto" w:fill="auto"/>
            <w:hideMark/>
          </w:tcPr>
          <w:p w14:paraId="4772CFA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lastRenderedPageBreak/>
              <w:t>Yang</w:t>
            </w:r>
          </w:p>
        </w:tc>
        <w:tc>
          <w:tcPr>
            <w:tcW w:w="0" w:type="auto"/>
            <w:shd w:val="clear" w:color="auto" w:fill="auto"/>
            <w:hideMark/>
          </w:tcPr>
          <w:p w14:paraId="1A95E05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2018</w:t>
            </w:r>
          </w:p>
        </w:tc>
        <w:tc>
          <w:tcPr>
            <w:tcW w:w="0" w:type="auto"/>
            <w:shd w:val="clear" w:color="auto" w:fill="auto"/>
            <w:hideMark/>
          </w:tcPr>
          <w:p w14:paraId="02CD1DCA"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Dialysis</w:t>
            </w:r>
          </w:p>
        </w:tc>
        <w:tc>
          <w:tcPr>
            <w:tcW w:w="0" w:type="auto"/>
            <w:shd w:val="clear" w:color="auto" w:fill="auto"/>
            <w:hideMark/>
          </w:tcPr>
          <w:p w14:paraId="11FC853C" w14:textId="18E05A6A"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France, Germany, Italy, Spain</w:t>
            </w:r>
            <w:r w:rsidR="000B4E2C" w:rsidRPr="000B4E2C">
              <w:rPr>
                <w:rFonts w:cstheme="minorHAnsi"/>
                <w:sz w:val="18"/>
                <w:szCs w:val="18"/>
                <w:lang w:eastAsia="en-GB"/>
              </w:rPr>
              <w:t xml:space="preserve"> </w:t>
            </w:r>
            <w:r w:rsidRPr="000B4E2C">
              <w:rPr>
                <w:rFonts w:cstheme="minorHAnsi"/>
                <w:sz w:val="18"/>
                <w:szCs w:val="18"/>
                <w:lang w:eastAsia="en-GB"/>
              </w:rPr>
              <w:t>Singapore</w:t>
            </w:r>
          </w:p>
        </w:tc>
        <w:tc>
          <w:tcPr>
            <w:tcW w:w="0" w:type="auto"/>
            <w:shd w:val="clear" w:color="auto" w:fill="auto"/>
            <w:hideMark/>
          </w:tcPr>
          <w:p w14:paraId="1F9000C7" w14:textId="07869CF3"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r w:rsidR="000B4E2C" w:rsidRPr="000B4E2C">
              <w:rPr>
                <w:rFonts w:cstheme="minorHAnsi"/>
                <w:sz w:val="18"/>
                <w:szCs w:val="18"/>
                <w:lang w:eastAsia="en-GB"/>
              </w:rPr>
              <w:t xml:space="preserve"> </w:t>
            </w: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w:t>
            </w:r>
            <w:r w:rsidRPr="000B4E2C">
              <w:rPr>
                <w:rFonts w:cstheme="minorHAnsi"/>
                <w:sz w:val="18"/>
                <w:szCs w:val="18"/>
                <w:lang w:eastAsia="en-GB"/>
              </w:rPr>
              <w:t>L</w:t>
            </w:r>
          </w:p>
        </w:tc>
        <w:tc>
          <w:tcPr>
            <w:tcW w:w="0" w:type="auto"/>
            <w:shd w:val="clear" w:color="auto" w:fill="auto"/>
            <w:hideMark/>
          </w:tcPr>
          <w:p w14:paraId="727AA2B0"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Country specific value sets</w:t>
            </w:r>
          </w:p>
        </w:tc>
        <w:tc>
          <w:tcPr>
            <w:tcW w:w="0" w:type="auto"/>
            <w:shd w:val="clear" w:color="auto" w:fill="auto"/>
            <w:hideMark/>
          </w:tcPr>
          <w:p w14:paraId="65C03651" w14:textId="2A3D5EEF"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France: 299</w:t>
            </w:r>
            <w:r w:rsidR="000B4E2C" w:rsidRPr="000B4E2C">
              <w:rPr>
                <w:rFonts w:cstheme="minorHAnsi"/>
                <w:sz w:val="18"/>
                <w:szCs w:val="18"/>
                <w:lang w:eastAsia="en-GB"/>
              </w:rPr>
              <w:t xml:space="preserve"> </w:t>
            </w:r>
            <w:r w:rsidRPr="000B4E2C">
              <w:rPr>
                <w:rFonts w:cstheme="minorHAnsi"/>
                <w:sz w:val="18"/>
                <w:szCs w:val="18"/>
                <w:lang w:eastAsia="en-GB"/>
              </w:rPr>
              <w:t>Germany: 413</w:t>
            </w:r>
            <w:r w:rsidR="000B4E2C" w:rsidRPr="000B4E2C">
              <w:rPr>
                <w:rFonts w:cstheme="minorHAnsi"/>
                <w:sz w:val="18"/>
                <w:szCs w:val="18"/>
                <w:lang w:eastAsia="en-GB"/>
              </w:rPr>
              <w:t xml:space="preserve"> </w:t>
            </w:r>
            <w:r w:rsidRPr="000B4E2C">
              <w:rPr>
                <w:rFonts w:cstheme="minorHAnsi"/>
                <w:sz w:val="18"/>
                <w:szCs w:val="18"/>
                <w:lang w:eastAsia="en-GB"/>
              </w:rPr>
              <w:t>Italy: 278</w:t>
            </w:r>
            <w:r w:rsidR="000B4E2C" w:rsidRPr="000B4E2C">
              <w:rPr>
                <w:rFonts w:cstheme="minorHAnsi"/>
                <w:sz w:val="18"/>
                <w:szCs w:val="18"/>
                <w:lang w:eastAsia="en-GB"/>
              </w:rPr>
              <w:t xml:space="preserve"> </w:t>
            </w:r>
            <w:r w:rsidRPr="000B4E2C">
              <w:rPr>
                <w:rFonts w:cstheme="minorHAnsi"/>
                <w:sz w:val="18"/>
                <w:szCs w:val="18"/>
                <w:lang w:eastAsia="en-GB"/>
              </w:rPr>
              <w:t>Spain: 225</w:t>
            </w:r>
            <w:r w:rsidR="000B4E2C" w:rsidRPr="000B4E2C">
              <w:rPr>
                <w:rFonts w:cstheme="minorHAnsi"/>
                <w:sz w:val="18"/>
                <w:szCs w:val="18"/>
                <w:lang w:eastAsia="en-GB"/>
              </w:rPr>
              <w:t xml:space="preserve"> </w:t>
            </w:r>
            <w:r w:rsidRPr="000B4E2C">
              <w:rPr>
                <w:rFonts w:cstheme="minorHAnsi"/>
                <w:sz w:val="18"/>
                <w:szCs w:val="18"/>
                <w:lang w:eastAsia="en-GB"/>
              </w:rPr>
              <w:t>Singapore (5L): 163</w:t>
            </w:r>
          </w:p>
        </w:tc>
        <w:tc>
          <w:tcPr>
            <w:tcW w:w="0" w:type="auto"/>
            <w:shd w:val="clear" w:color="auto" w:fill="auto"/>
            <w:hideMark/>
          </w:tcPr>
          <w:p w14:paraId="19F0AF59" w14:textId="6859344A"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66.6 (14.1)</w:t>
            </w:r>
            <w:r w:rsidR="000B4E2C" w:rsidRPr="000B4E2C">
              <w:rPr>
                <w:rFonts w:cstheme="minorHAnsi"/>
                <w:sz w:val="18"/>
                <w:szCs w:val="18"/>
                <w:lang w:eastAsia="en-GB"/>
              </w:rPr>
              <w:t xml:space="preserve"> </w:t>
            </w:r>
            <w:r w:rsidRPr="000B4E2C">
              <w:rPr>
                <w:rFonts w:cstheme="minorHAnsi"/>
                <w:sz w:val="18"/>
                <w:szCs w:val="18"/>
                <w:lang w:eastAsia="en-GB"/>
              </w:rPr>
              <w:t>61.8 (14.4)</w:t>
            </w:r>
            <w:r w:rsidR="000B4E2C" w:rsidRPr="000B4E2C">
              <w:rPr>
                <w:rFonts w:cstheme="minorHAnsi"/>
                <w:sz w:val="18"/>
                <w:szCs w:val="18"/>
                <w:lang w:eastAsia="en-GB"/>
              </w:rPr>
              <w:t xml:space="preserve"> </w:t>
            </w:r>
            <w:r w:rsidRPr="000B4E2C">
              <w:rPr>
                <w:rFonts w:cstheme="minorHAnsi"/>
                <w:sz w:val="18"/>
                <w:szCs w:val="18"/>
                <w:lang w:eastAsia="en-GB"/>
              </w:rPr>
              <w:t>60.8 (13.4)</w:t>
            </w:r>
            <w:r w:rsidR="000B4E2C" w:rsidRPr="000B4E2C">
              <w:rPr>
                <w:rFonts w:cstheme="minorHAnsi"/>
                <w:sz w:val="18"/>
                <w:szCs w:val="18"/>
                <w:lang w:eastAsia="en-GB"/>
              </w:rPr>
              <w:t xml:space="preserve"> </w:t>
            </w:r>
            <w:r w:rsidRPr="000B4E2C">
              <w:rPr>
                <w:rFonts w:cstheme="minorHAnsi"/>
                <w:sz w:val="18"/>
                <w:szCs w:val="18"/>
                <w:lang w:eastAsia="en-GB"/>
              </w:rPr>
              <w:t>60.6 (16.4)</w:t>
            </w:r>
            <w:r w:rsidR="000B4E2C" w:rsidRPr="000B4E2C">
              <w:rPr>
                <w:rFonts w:cstheme="minorHAnsi"/>
                <w:sz w:val="18"/>
                <w:szCs w:val="18"/>
                <w:lang w:eastAsia="en-GB"/>
              </w:rPr>
              <w:t xml:space="preserve"> </w:t>
            </w:r>
            <w:r w:rsidRPr="000B4E2C">
              <w:rPr>
                <w:rFonts w:cstheme="minorHAnsi"/>
                <w:sz w:val="18"/>
                <w:szCs w:val="18"/>
                <w:lang w:eastAsia="en-GB"/>
              </w:rPr>
              <w:t>60.5 (11.5)</w:t>
            </w:r>
          </w:p>
        </w:tc>
        <w:tc>
          <w:tcPr>
            <w:tcW w:w="0" w:type="auto"/>
            <w:shd w:val="clear" w:color="auto" w:fill="auto"/>
            <w:hideMark/>
          </w:tcPr>
          <w:p w14:paraId="4183AEB7" w14:textId="5EEE016E"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62.5%</w:t>
            </w:r>
            <w:r w:rsidR="000B4E2C" w:rsidRPr="000B4E2C">
              <w:rPr>
                <w:rFonts w:cstheme="minorHAnsi"/>
                <w:sz w:val="18"/>
                <w:szCs w:val="18"/>
                <w:lang w:eastAsia="en-GB"/>
              </w:rPr>
              <w:t xml:space="preserve"> </w:t>
            </w:r>
            <w:r w:rsidRPr="000B4E2C">
              <w:rPr>
                <w:rFonts w:cstheme="minorHAnsi"/>
                <w:sz w:val="18"/>
                <w:szCs w:val="18"/>
                <w:lang w:eastAsia="en-GB"/>
              </w:rPr>
              <w:t>57.1%</w:t>
            </w:r>
            <w:r w:rsidR="000B4E2C" w:rsidRPr="000B4E2C">
              <w:rPr>
                <w:rFonts w:cstheme="minorHAnsi"/>
                <w:sz w:val="18"/>
                <w:szCs w:val="18"/>
                <w:lang w:eastAsia="en-GB"/>
              </w:rPr>
              <w:t xml:space="preserve"> </w:t>
            </w:r>
            <w:r w:rsidRPr="000B4E2C">
              <w:rPr>
                <w:rFonts w:cstheme="minorHAnsi"/>
                <w:sz w:val="18"/>
                <w:szCs w:val="18"/>
                <w:lang w:eastAsia="en-GB"/>
              </w:rPr>
              <w:t>54.7%</w:t>
            </w:r>
            <w:r w:rsidR="000B4E2C" w:rsidRPr="000B4E2C">
              <w:rPr>
                <w:rFonts w:cstheme="minorHAnsi"/>
                <w:sz w:val="18"/>
                <w:szCs w:val="18"/>
                <w:lang w:eastAsia="en-GB"/>
              </w:rPr>
              <w:t xml:space="preserve"> </w:t>
            </w:r>
            <w:r w:rsidRPr="000B4E2C">
              <w:rPr>
                <w:rFonts w:cstheme="minorHAnsi"/>
                <w:sz w:val="18"/>
                <w:szCs w:val="18"/>
                <w:lang w:eastAsia="en-GB"/>
              </w:rPr>
              <w:t>60.0%</w:t>
            </w:r>
            <w:r w:rsidR="000B4E2C" w:rsidRPr="000B4E2C">
              <w:rPr>
                <w:rFonts w:cstheme="minorHAnsi"/>
                <w:sz w:val="18"/>
                <w:szCs w:val="18"/>
                <w:lang w:eastAsia="en-GB"/>
              </w:rPr>
              <w:t xml:space="preserve"> </w:t>
            </w:r>
            <w:r w:rsidRPr="000B4E2C">
              <w:rPr>
                <w:rFonts w:cstheme="minorHAnsi"/>
                <w:sz w:val="18"/>
                <w:szCs w:val="18"/>
                <w:lang w:eastAsia="en-GB"/>
              </w:rPr>
              <w:t>52.2%</w:t>
            </w:r>
          </w:p>
        </w:tc>
        <w:tc>
          <w:tcPr>
            <w:tcW w:w="0" w:type="auto"/>
            <w:shd w:val="clear" w:color="auto" w:fill="auto"/>
            <w:hideMark/>
          </w:tcPr>
          <w:p w14:paraId="73D283F6" w14:textId="506F6D66"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France:</w:t>
            </w:r>
            <w:r w:rsidR="000B4E2C" w:rsidRPr="000B4E2C">
              <w:rPr>
                <w:rFonts w:cstheme="minorHAnsi"/>
                <w:sz w:val="18"/>
                <w:szCs w:val="18"/>
                <w:lang w:eastAsia="en-GB"/>
              </w:rPr>
              <w:t xml:space="preserve"> </w:t>
            </w:r>
            <w:r w:rsidRPr="000B4E2C">
              <w:rPr>
                <w:rFonts w:cstheme="minorHAnsi"/>
                <w:sz w:val="18"/>
                <w:szCs w:val="18"/>
                <w:lang w:eastAsia="en-GB"/>
              </w:rPr>
              <w:t>Germany:</w:t>
            </w:r>
            <w:r w:rsidR="000B4E2C" w:rsidRPr="000B4E2C">
              <w:rPr>
                <w:rFonts w:cstheme="minorHAnsi"/>
                <w:sz w:val="18"/>
                <w:szCs w:val="18"/>
                <w:lang w:eastAsia="en-GB"/>
              </w:rPr>
              <w:t xml:space="preserve"> </w:t>
            </w:r>
            <w:r w:rsidRPr="000B4E2C">
              <w:rPr>
                <w:rFonts w:cstheme="minorHAnsi"/>
                <w:sz w:val="18"/>
                <w:szCs w:val="18"/>
                <w:lang w:eastAsia="en-GB"/>
              </w:rPr>
              <w:t>Italy:</w:t>
            </w:r>
            <w:r w:rsidR="000B4E2C" w:rsidRPr="000B4E2C">
              <w:rPr>
                <w:rFonts w:cstheme="minorHAnsi"/>
                <w:sz w:val="18"/>
                <w:szCs w:val="18"/>
                <w:lang w:eastAsia="en-GB"/>
              </w:rPr>
              <w:t xml:space="preserve"> </w:t>
            </w:r>
            <w:r w:rsidRPr="000B4E2C">
              <w:rPr>
                <w:rFonts w:cstheme="minorHAnsi"/>
                <w:sz w:val="18"/>
                <w:szCs w:val="18"/>
                <w:lang w:eastAsia="en-GB"/>
              </w:rPr>
              <w:t>Spain:</w:t>
            </w:r>
            <w:r w:rsidR="000B4E2C" w:rsidRPr="000B4E2C">
              <w:rPr>
                <w:rFonts w:cstheme="minorHAnsi"/>
                <w:sz w:val="18"/>
                <w:szCs w:val="18"/>
                <w:lang w:eastAsia="en-GB"/>
              </w:rPr>
              <w:t xml:space="preserve"> </w:t>
            </w:r>
            <w:r w:rsidRPr="000B4E2C">
              <w:rPr>
                <w:rFonts w:cstheme="minorHAnsi"/>
                <w:sz w:val="18"/>
                <w:szCs w:val="18"/>
                <w:lang w:eastAsia="en-GB"/>
              </w:rPr>
              <w:t>Singapore</w:t>
            </w:r>
          </w:p>
        </w:tc>
        <w:tc>
          <w:tcPr>
            <w:tcW w:w="0" w:type="auto"/>
            <w:shd w:val="clear" w:color="auto" w:fill="auto"/>
            <w:hideMark/>
          </w:tcPr>
          <w:p w14:paraId="6E1D5A44" w14:textId="58BE8BC6"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0.622</w:t>
            </w:r>
            <w:r w:rsidR="000B4E2C" w:rsidRPr="000B4E2C">
              <w:rPr>
                <w:rFonts w:cstheme="minorHAnsi"/>
                <w:sz w:val="18"/>
                <w:szCs w:val="18"/>
                <w:lang w:eastAsia="en-GB"/>
              </w:rPr>
              <w:t xml:space="preserve"> </w:t>
            </w:r>
            <w:r w:rsidRPr="000B4E2C">
              <w:rPr>
                <w:rFonts w:cstheme="minorHAnsi"/>
                <w:sz w:val="18"/>
                <w:szCs w:val="18"/>
                <w:lang w:eastAsia="en-GB"/>
              </w:rPr>
              <w:t>0.796</w:t>
            </w:r>
            <w:r w:rsidR="000B4E2C" w:rsidRPr="000B4E2C">
              <w:rPr>
                <w:rFonts w:cstheme="minorHAnsi"/>
                <w:sz w:val="18"/>
                <w:szCs w:val="18"/>
                <w:lang w:eastAsia="en-GB"/>
              </w:rPr>
              <w:t xml:space="preserve"> </w:t>
            </w:r>
            <w:r w:rsidRPr="000B4E2C">
              <w:rPr>
                <w:rFonts w:cstheme="minorHAnsi"/>
                <w:sz w:val="18"/>
                <w:szCs w:val="18"/>
                <w:lang w:eastAsia="en-GB"/>
              </w:rPr>
              <w:t>0.864</w:t>
            </w:r>
            <w:r w:rsidR="000B4E2C" w:rsidRPr="000B4E2C">
              <w:rPr>
                <w:rFonts w:cstheme="minorHAnsi"/>
                <w:sz w:val="18"/>
                <w:szCs w:val="18"/>
                <w:lang w:eastAsia="en-GB"/>
              </w:rPr>
              <w:t xml:space="preserve"> </w:t>
            </w:r>
            <w:r w:rsidRPr="000B4E2C">
              <w:rPr>
                <w:rFonts w:cstheme="minorHAnsi"/>
                <w:sz w:val="18"/>
                <w:szCs w:val="18"/>
                <w:lang w:eastAsia="en-GB"/>
              </w:rPr>
              <w:t>0.746</w:t>
            </w:r>
            <w:r w:rsidR="000B4E2C" w:rsidRPr="000B4E2C">
              <w:rPr>
                <w:rFonts w:cstheme="minorHAnsi"/>
                <w:sz w:val="18"/>
                <w:szCs w:val="18"/>
                <w:lang w:eastAsia="en-GB"/>
              </w:rPr>
              <w:t xml:space="preserve"> </w:t>
            </w:r>
            <w:r w:rsidRPr="000B4E2C">
              <w:rPr>
                <w:rFonts w:cstheme="minorHAnsi"/>
                <w:sz w:val="18"/>
                <w:szCs w:val="18"/>
                <w:lang w:eastAsia="en-GB"/>
              </w:rPr>
              <w:t>0.621</w:t>
            </w:r>
          </w:p>
        </w:tc>
        <w:tc>
          <w:tcPr>
            <w:tcW w:w="0" w:type="auto"/>
            <w:shd w:val="clear" w:color="auto" w:fill="auto"/>
            <w:hideMark/>
          </w:tcPr>
          <w:p w14:paraId="771CE41A" w14:textId="307300AE"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2A67ADF6" w14:textId="2DFFBC2D"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66897B39" w14:textId="76AB9DCD"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0.383</w:t>
            </w:r>
            <w:r w:rsidR="000B4E2C" w:rsidRPr="000B4E2C">
              <w:rPr>
                <w:rFonts w:cstheme="minorHAnsi"/>
                <w:sz w:val="18"/>
                <w:szCs w:val="18"/>
                <w:lang w:eastAsia="en-GB"/>
              </w:rPr>
              <w:t xml:space="preserve"> </w:t>
            </w:r>
            <w:r w:rsidRPr="000B4E2C">
              <w:rPr>
                <w:rFonts w:cstheme="minorHAnsi"/>
                <w:sz w:val="18"/>
                <w:szCs w:val="18"/>
                <w:lang w:eastAsia="en-GB"/>
              </w:rPr>
              <w:t>0.224</w:t>
            </w:r>
            <w:r w:rsidR="000B4E2C" w:rsidRPr="000B4E2C">
              <w:rPr>
                <w:rFonts w:cstheme="minorHAnsi"/>
                <w:sz w:val="18"/>
                <w:szCs w:val="18"/>
                <w:lang w:eastAsia="en-GB"/>
              </w:rPr>
              <w:t xml:space="preserve"> </w:t>
            </w:r>
            <w:r w:rsidRPr="000B4E2C">
              <w:rPr>
                <w:rFonts w:cstheme="minorHAnsi"/>
                <w:sz w:val="18"/>
                <w:szCs w:val="18"/>
                <w:lang w:eastAsia="en-GB"/>
              </w:rPr>
              <w:t>0.185</w:t>
            </w:r>
            <w:r w:rsidR="000B4E2C" w:rsidRPr="000B4E2C">
              <w:rPr>
                <w:rFonts w:cstheme="minorHAnsi"/>
                <w:sz w:val="18"/>
                <w:szCs w:val="18"/>
                <w:lang w:eastAsia="en-GB"/>
              </w:rPr>
              <w:t xml:space="preserve"> </w:t>
            </w:r>
            <w:r w:rsidRPr="000B4E2C">
              <w:rPr>
                <w:rFonts w:cstheme="minorHAnsi"/>
                <w:sz w:val="18"/>
                <w:szCs w:val="18"/>
                <w:lang w:eastAsia="en-GB"/>
              </w:rPr>
              <w:t>0.292</w:t>
            </w:r>
            <w:r w:rsidR="000B4E2C" w:rsidRPr="000B4E2C">
              <w:rPr>
                <w:rFonts w:cstheme="minorHAnsi"/>
                <w:sz w:val="18"/>
                <w:szCs w:val="18"/>
                <w:lang w:eastAsia="en-GB"/>
              </w:rPr>
              <w:t xml:space="preserve"> </w:t>
            </w:r>
            <w:r w:rsidRPr="000B4E2C">
              <w:rPr>
                <w:rFonts w:cstheme="minorHAnsi"/>
                <w:sz w:val="18"/>
                <w:szCs w:val="18"/>
                <w:lang w:eastAsia="en-GB"/>
              </w:rPr>
              <w:t>0.447</w:t>
            </w:r>
          </w:p>
        </w:tc>
        <w:tc>
          <w:tcPr>
            <w:tcW w:w="0" w:type="auto"/>
            <w:shd w:val="clear" w:color="auto" w:fill="auto"/>
            <w:hideMark/>
          </w:tcPr>
          <w:p w14:paraId="43493723" w14:textId="06C97499"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6AD51619" w14:textId="5E79C24E"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0BBDBBDD" w14:textId="6A88DEC5"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08DCCDA7" w14:textId="1D01C144"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7F9FD05D" w14:textId="77777777" w:rsidTr="000B4E2C">
        <w:trPr>
          <w:cantSplit/>
          <w:tblHeader/>
        </w:trPr>
        <w:tc>
          <w:tcPr>
            <w:tcW w:w="0" w:type="auto"/>
            <w:shd w:val="clear" w:color="auto" w:fill="auto"/>
            <w:hideMark/>
          </w:tcPr>
          <w:p w14:paraId="7D44022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Zyoud</w:t>
            </w:r>
          </w:p>
        </w:tc>
        <w:tc>
          <w:tcPr>
            <w:tcW w:w="0" w:type="auto"/>
            <w:shd w:val="clear" w:color="auto" w:fill="auto"/>
            <w:hideMark/>
          </w:tcPr>
          <w:p w14:paraId="35143A4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2016</w:t>
            </w:r>
          </w:p>
        </w:tc>
        <w:tc>
          <w:tcPr>
            <w:tcW w:w="0" w:type="auto"/>
            <w:shd w:val="clear" w:color="auto" w:fill="auto"/>
            <w:hideMark/>
          </w:tcPr>
          <w:p w14:paraId="640CD65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ESRD on HD</w:t>
            </w:r>
          </w:p>
        </w:tc>
        <w:tc>
          <w:tcPr>
            <w:tcW w:w="0" w:type="auto"/>
            <w:shd w:val="clear" w:color="auto" w:fill="auto"/>
            <w:hideMark/>
          </w:tcPr>
          <w:p w14:paraId="5B889170"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Palestine</w:t>
            </w:r>
          </w:p>
        </w:tc>
        <w:tc>
          <w:tcPr>
            <w:tcW w:w="0" w:type="auto"/>
            <w:shd w:val="clear" w:color="auto" w:fill="auto"/>
            <w:hideMark/>
          </w:tcPr>
          <w:p w14:paraId="214065DB" w14:textId="24D118AB"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w:t>
            </w:r>
            <w:r w:rsidRPr="000B4E2C">
              <w:rPr>
                <w:rFonts w:cstheme="minorHAnsi"/>
                <w:sz w:val="18"/>
                <w:szCs w:val="18"/>
                <w:lang w:eastAsia="en-GB"/>
              </w:rPr>
              <w:t>L</w:t>
            </w:r>
          </w:p>
        </w:tc>
        <w:tc>
          <w:tcPr>
            <w:tcW w:w="0" w:type="auto"/>
            <w:shd w:val="clear" w:color="auto" w:fill="auto"/>
            <w:hideMark/>
          </w:tcPr>
          <w:p w14:paraId="3E90592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unclear</w:t>
            </w:r>
          </w:p>
        </w:tc>
        <w:tc>
          <w:tcPr>
            <w:tcW w:w="0" w:type="auto"/>
            <w:shd w:val="clear" w:color="auto" w:fill="auto"/>
            <w:hideMark/>
          </w:tcPr>
          <w:p w14:paraId="42B9EC4A" w14:textId="4E452DDC"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Age 6</w:t>
            </w:r>
            <w:r w:rsidR="000B4E2C" w:rsidRPr="000B4E2C">
              <w:rPr>
                <w:rFonts w:cstheme="minorHAnsi"/>
                <w:color w:val="00B0F0"/>
                <w:sz w:val="18"/>
                <w:szCs w:val="18"/>
                <w:lang w:eastAsia="en-GB"/>
              </w:rPr>
              <w:t>0</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 xml:space="preserve">+: </w:t>
            </w:r>
            <w:r w:rsidRPr="000B4E2C">
              <w:rPr>
                <w:rFonts w:cstheme="minorHAnsi"/>
                <w:sz w:val="18"/>
                <w:szCs w:val="18"/>
                <w:lang w:eastAsia="en-GB"/>
              </w:rPr>
              <w:t>97</w:t>
            </w:r>
          </w:p>
        </w:tc>
        <w:tc>
          <w:tcPr>
            <w:tcW w:w="0" w:type="auto"/>
            <w:shd w:val="clear" w:color="auto" w:fill="auto"/>
            <w:hideMark/>
          </w:tcPr>
          <w:p w14:paraId="71AA9DA9"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Mean NR</w:t>
            </w:r>
          </w:p>
        </w:tc>
        <w:tc>
          <w:tcPr>
            <w:tcW w:w="0" w:type="auto"/>
            <w:shd w:val="clear" w:color="auto" w:fill="auto"/>
            <w:hideMark/>
          </w:tcPr>
          <w:p w14:paraId="396F40E0"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52.1%</w:t>
            </w:r>
          </w:p>
        </w:tc>
        <w:tc>
          <w:tcPr>
            <w:tcW w:w="0" w:type="auto"/>
            <w:shd w:val="clear" w:color="auto" w:fill="auto"/>
            <w:hideMark/>
          </w:tcPr>
          <w:p w14:paraId="7C189B2D"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ESRD</w:t>
            </w:r>
          </w:p>
        </w:tc>
        <w:tc>
          <w:tcPr>
            <w:tcW w:w="0" w:type="auto"/>
            <w:shd w:val="clear" w:color="auto" w:fill="auto"/>
            <w:hideMark/>
          </w:tcPr>
          <w:p w14:paraId="57060A54"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0.17</w:t>
            </w:r>
          </w:p>
        </w:tc>
        <w:tc>
          <w:tcPr>
            <w:tcW w:w="0" w:type="auto"/>
            <w:shd w:val="clear" w:color="auto" w:fill="auto"/>
            <w:hideMark/>
          </w:tcPr>
          <w:p w14:paraId="1DC71175" w14:textId="69818EBA"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78F58047" w14:textId="739E78CC"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7D472EA2"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0.4</w:t>
            </w:r>
          </w:p>
        </w:tc>
        <w:tc>
          <w:tcPr>
            <w:tcW w:w="0" w:type="auto"/>
            <w:shd w:val="clear" w:color="auto" w:fill="auto"/>
            <w:hideMark/>
          </w:tcPr>
          <w:p w14:paraId="2ED4ED05" w14:textId="3BC03D4C"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995AF82" w14:textId="66A8334D"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E7AEE23" w14:textId="67B5D09E"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0D0E7B60" w14:textId="4097B893"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r w:rsidR="000B4E2C" w:rsidRPr="000B4E2C" w14:paraId="441BA372" w14:textId="77777777" w:rsidTr="000B4E2C">
        <w:trPr>
          <w:cantSplit/>
          <w:tblHeader/>
        </w:trPr>
        <w:tc>
          <w:tcPr>
            <w:tcW w:w="0" w:type="auto"/>
            <w:shd w:val="clear" w:color="auto" w:fill="auto"/>
            <w:noWrap/>
            <w:hideMark/>
          </w:tcPr>
          <w:p w14:paraId="31096C5C"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Park</w:t>
            </w:r>
          </w:p>
        </w:tc>
        <w:tc>
          <w:tcPr>
            <w:tcW w:w="0" w:type="auto"/>
            <w:shd w:val="clear" w:color="auto" w:fill="auto"/>
            <w:noWrap/>
            <w:hideMark/>
          </w:tcPr>
          <w:p w14:paraId="518EC08A"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2016</w:t>
            </w:r>
          </w:p>
        </w:tc>
        <w:tc>
          <w:tcPr>
            <w:tcW w:w="0" w:type="auto"/>
            <w:shd w:val="clear" w:color="auto" w:fill="auto"/>
            <w:noWrap/>
            <w:hideMark/>
          </w:tcPr>
          <w:p w14:paraId="6C7D5408"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CKD</w:t>
            </w:r>
          </w:p>
        </w:tc>
        <w:tc>
          <w:tcPr>
            <w:tcW w:w="0" w:type="auto"/>
            <w:shd w:val="clear" w:color="auto" w:fill="auto"/>
            <w:noWrap/>
            <w:hideMark/>
          </w:tcPr>
          <w:p w14:paraId="1F0DB84F"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Korea</w:t>
            </w:r>
          </w:p>
        </w:tc>
        <w:tc>
          <w:tcPr>
            <w:tcW w:w="0" w:type="auto"/>
            <w:shd w:val="clear" w:color="auto" w:fill="auto"/>
            <w:noWrap/>
            <w:hideMark/>
          </w:tcPr>
          <w:p w14:paraId="6C647CD9" w14:textId="5D825579"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noWrap/>
            <w:hideMark/>
          </w:tcPr>
          <w:p w14:paraId="66167BFA" w14:textId="77777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Korean value set</w:t>
            </w:r>
          </w:p>
        </w:tc>
        <w:tc>
          <w:tcPr>
            <w:tcW w:w="0" w:type="auto"/>
            <w:shd w:val="clear" w:color="auto" w:fill="auto"/>
            <w:hideMark/>
          </w:tcPr>
          <w:p w14:paraId="079F1C70" w14:textId="0308B87F"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All: 46,676</w:t>
            </w:r>
            <w:r w:rsidR="000B4E2C" w:rsidRPr="000B4E2C">
              <w:rPr>
                <w:rFonts w:cstheme="minorHAnsi"/>
                <w:sz w:val="18"/>
                <w:szCs w:val="18"/>
                <w:lang w:eastAsia="en-GB"/>
              </w:rPr>
              <w:t xml:space="preserve"> </w:t>
            </w:r>
            <w:r w:rsidRPr="000B4E2C">
              <w:rPr>
                <w:rFonts w:cstheme="minorHAnsi"/>
                <w:sz w:val="18"/>
                <w:szCs w:val="18"/>
                <w:lang w:eastAsia="en-GB"/>
              </w:rPr>
              <w:t>No CKD: 44,108</w:t>
            </w:r>
            <w:r w:rsidR="000B4E2C" w:rsidRPr="000B4E2C">
              <w:rPr>
                <w:rFonts w:cstheme="minorHAnsi"/>
                <w:sz w:val="18"/>
                <w:szCs w:val="18"/>
                <w:lang w:eastAsia="en-GB"/>
              </w:rPr>
              <w:t xml:space="preserve"> </w:t>
            </w:r>
            <w:r w:rsidRPr="000B4E2C">
              <w:rPr>
                <w:rFonts w:cstheme="minorHAnsi"/>
                <w:sz w:val="18"/>
                <w:szCs w:val="18"/>
                <w:lang w:eastAsia="en-GB"/>
              </w:rPr>
              <w:t>Stage 1 CKD: 793</w:t>
            </w:r>
            <w:r w:rsidR="000B4E2C" w:rsidRPr="000B4E2C">
              <w:rPr>
                <w:rFonts w:cstheme="minorHAnsi"/>
                <w:sz w:val="18"/>
                <w:szCs w:val="18"/>
                <w:lang w:eastAsia="en-GB"/>
              </w:rPr>
              <w:t xml:space="preserve"> </w:t>
            </w:r>
            <w:r w:rsidRPr="000B4E2C">
              <w:rPr>
                <w:rFonts w:cstheme="minorHAnsi"/>
                <w:sz w:val="18"/>
                <w:szCs w:val="18"/>
                <w:lang w:eastAsia="en-GB"/>
              </w:rPr>
              <w:t>Stage 2 CKD: 444</w:t>
            </w:r>
            <w:r w:rsidR="000B4E2C" w:rsidRPr="000B4E2C">
              <w:rPr>
                <w:rFonts w:cstheme="minorHAnsi"/>
                <w:sz w:val="18"/>
                <w:szCs w:val="18"/>
                <w:lang w:eastAsia="en-GB"/>
              </w:rPr>
              <w:t xml:space="preserve"> </w:t>
            </w:r>
            <w:r w:rsidRPr="000B4E2C">
              <w:rPr>
                <w:rFonts w:cstheme="minorHAnsi"/>
                <w:sz w:val="18"/>
                <w:szCs w:val="18"/>
                <w:lang w:eastAsia="en-GB"/>
              </w:rPr>
              <w:t>Stage 3a CKD: 1030</w:t>
            </w:r>
            <w:r w:rsidR="000B4E2C" w:rsidRPr="000B4E2C">
              <w:rPr>
                <w:rFonts w:cstheme="minorHAnsi"/>
                <w:sz w:val="18"/>
                <w:szCs w:val="18"/>
                <w:lang w:eastAsia="en-GB"/>
              </w:rPr>
              <w:t xml:space="preserve"> </w:t>
            </w:r>
            <w:r w:rsidRPr="000B4E2C">
              <w:rPr>
                <w:rFonts w:cstheme="minorHAnsi"/>
                <w:sz w:val="18"/>
                <w:szCs w:val="18"/>
                <w:lang w:eastAsia="en-GB"/>
              </w:rPr>
              <w:t>Stage 3b CKD: 211</w:t>
            </w:r>
            <w:r w:rsidR="000B4E2C" w:rsidRPr="000B4E2C">
              <w:rPr>
                <w:rFonts w:cstheme="minorHAnsi"/>
                <w:sz w:val="18"/>
                <w:szCs w:val="18"/>
                <w:lang w:eastAsia="en-GB"/>
              </w:rPr>
              <w:t xml:space="preserve"> </w:t>
            </w:r>
            <w:r w:rsidRPr="000B4E2C">
              <w:rPr>
                <w:rFonts w:cstheme="minorHAnsi"/>
                <w:sz w:val="18"/>
                <w:szCs w:val="18"/>
                <w:lang w:eastAsia="en-GB"/>
              </w:rPr>
              <w:t>Stage 4/5 CKD (ESRD): 90</w:t>
            </w:r>
          </w:p>
        </w:tc>
        <w:tc>
          <w:tcPr>
            <w:tcW w:w="0" w:type="auto"/>
            <w:shd w:val="clear" w:color="auto" w:fill="auto"/>
            <w:hideMark/>
          </w:tcPr>
          <w:p w14:paraId="7E129667" w14:textId="57FE6632" w:rsidR="002F0133" w:rsidRPr="000B4E2C" w:rsidRDefault="002F0133" w:rsidP="008A7464">
            <w:pPr>
              <w:rPr>
                <w:rFonts w:cstheme="minorHAnsi"/>
                <w:color w:val="000000"/>
                <w:sz w:val="18"/>
                <w:szCs w:val="18"/>
                <w:lang w:val="da-DK" w:eastAsia="en-GB"/>
              </w:rPr>
            </w:pPr>
            <w:r w:rsidRPr="000B4E2C">
              <w:rPr>
                <w:rFonts w:cstheme="minorHAnsi"/>
                <w:sz w:val="18"/>
                <w:szCs w:val="18"/>
                <w:lang w:val="da-DK" w:eastAsia="en-GB"/>
              </w:rPr>
              <w:t>45.4 (SE:0.1)</w:t>
            </w:r>
            <w:r w:rsidR="000B4E2C" w:rsidRPr="000B4E2C">
              <w:rPr>
                <w:rFonts w:cstheme="minorHAnsi"/>
                <w:sz w:val="18"/>
                <w:szCs w:val="18"/>
                <w:lang w:val="da-DK" w:eastAsia="en-GB"/>
              </w:rPr>
              <w:t xml:space="preserve"> </w:t>
            </w:r>
            <w:r w:rsidRPr="000B4E2C">
              <w:rPr>
                <w:rFonts w:cstheme="minorHAnsi"/>
                <w:sz w:val="18"/>
                <w:szCs w:val="18"/>
                <w:lang w:val="da-DK" w:eastAsia="en-GB"/>
              </w:rPr>
              <w:t>44.6 (SE:0.2)</w:t>
            </w:r>
            <w:r w:rsidR="000B4E2C" w:rsidRPr="000B4E2C">
              <w:rPr>
                <w:rFonts w:cstheme="minorHAnsi"/>
                <w:sz w:val="18"/>
                <w:szCs w:val="18"/>
                <w:lang w:val="da-DK" w:eastAsia="en-GB"/>
              </w:rPr>
              <w:t xml:space="preserve"> </w:t>
            </w:r>
            <w:r w:rsidRPr="000B4E2C">
              <w:rPr>
                <w:rFonts w:cstheme="minorHAnsi"/>
                <w:sz w:val="18"/>
                <w:szCs w:val="18"/>
                <w:lang w:val="da-DK" w:eastAsia="en-GB"/>
              </w:rPr>
              <w:t>38.7 (SE:2.8)</w:t>
            </w:r>
            <w:r w:rsidR="000B4E2C" w:rsidRPr="000B4E2C">
              <w:rPr>
                <w:rFonts w:cstheme="minorHAnsi"/>
                <w:sz w:val="18"/>
                <w:szCs w:val="18"/>
                <w:lang w:val="da-DK" w:eastAsia="en-GB"/>
              </w:rPr>
              <w:t xml:space="preserve"> </w:t>
            </w:r>
            <w:r w:rsidRPr="000B4E2C">
              <w:rPr>
                <w:rFonts w:cstheme="minorHAnsi"/>
                <w:sz w:val="18"/>
                <w:szCs w:val="18"/>
                <w:lang w:val="da-DK" w:eastAsia="en-GB"/>
              </w:rPr>
              <w:t>54.9 (SE:3.3)</w:t>
            </w:r>
            <w:r w:rsidR="000B4E2C" w:rsidRPr="000B4E2C">
              <w:rPr>
                <w:rFonts w:cstheme="minorHAnsi"/>
                <w:sz w:val="18"/>
                <w:szCs w:val="18"/>
                <w:lang w:val="da-DK" w:eastAsia="en-GB"/>
              </w:rPr>
              <w:t xml:space="preserve"> </w:t>
            </w:r>
            <w:r w:rsidRPr="000B4E2C">
              <w:rPr>
                <w:rFonts w:cstheme="minorHAnsi"/>
                <w:sz w:val="18"/>
                <w:szCs w:val="18"/>
                <w:lang w:val="da-DK" w:eastAsia="en-GB"/>
              </w:rPr>
              <w:t>72.8 (SE:0.5)</w:t>
            </w:r>
            <w:r w:rsidR="000B4E2C" w:rsidRPr="000B4E2C">
              <w:rPr>
                <w:rFonts w:cstheme="minorHAnsi"/>
                <w:sz w:val="18"/>
                <w:szCs w:val="18"/>
                <w:lang w:val="da-DK" w:eastAsia="en-GB"/>
              </w:rPr>
              <w:t xml:space="preserve"> </w:t>
            </w:r>
            <w:r w:rsidRPr="000B4E2C">
              <w:rPr>
                <w:rFonts w:cstheme="minorHAnsi"/>
                <w:sz w:val="18"/>
                <w:szCs w:val="18"/>
                <w:lang w:val="da-DK" w:eastAsia="en-GB"/>
              </w:rPr>
              <w:t>73.2 (SE:1.1)</w:t>
            </w:r>
            <w:r w:rsidR="000B4E2C" w:rsidRPr="000B4E2C">
              <w:rPr>
                <w:rFonts w:cstheme="minorHAnsi"/>
                <w:sz w:val="18"/>
                <w:szCs w:val="18"/>
                <w:lang w:val="da-DK" w:eastAsia="en-GB"/>
              </w:rPr>
              <w:t xml:space="preserve"> </w:t>
            </w:r>
            <w:r w:rsidRPr="000B4E2C">
              <w:rPr>
                <w:rFonts w:cstheme="minorHAnsi"/>
                <w:sz w:val="18"/>
                <w:szCs w:val="18"/>
                <w:lang w:val="da-DK" w:eastAsia="en-GB"/>
              </w:rPr>
              <w:t>64.0 (SE:1.8)</w:t>
            </w:r>
          </w:p>
        </w:tc>
        <w:tc>
          <w:tcPr>
            <w:tcW w:w="0" w:type="auto"/>
            <w:shd w:val="clear" w:color="auto" w:fill="auto"/>
            <w:hideMark/>
          </w:tcPr>
          <w:p w14:paraId="2A20E395" w14:textId="58885777"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49.5%</w:t>
            </w:r>
            <w:r w:rsidR="000B4E2C" w:rsidRPr="000B4E2C">
              <w:rPr>
                <w:rFonts w:cstheme="minorHAnsi"/>
                <w:sz w:val="18"/>
                <w:szCs w:val="18"/>
                <w:lang w:eastAsia="en-GB"/>
              </w:rPr>
              <w:t xml:space="preserve"> </w:t>
            </w:r>
            <w:r w:rsidRPr="000B4E2C">
              <w:rPr>
                <w:rFonts w:cstheme="minorHAnsi"/>
                <w:sz w:val="18"/>
                <w:szCs w:val="18"/>
                <w:lang w:eastAsia="en-GB"/>
              </w:rPr>
              <w:t>49.9%</w:t>
            </w:r>
            <w:r w:rsidR="000B4E2C" w:rsidRPr="000B4E2C">
              <w:rPr>
                <w:rFonts w:cstheme="minorHAnsi"/>
                <w:sz w:val="18"/>
                <w:szCs w:val="18"/>
                <w:lang w:eastAsia="en-GB"/>
              </w:rPr>
              <w:t xml:space="preserve"> </w:t>
            </w:r>
            <w:r w:rsidRPr="000B4E2C">
              <w:rPr>
                <w:rFonts w:cstheme="minorHAnsi"/>
                <w:sz w:val="18"/>
                <w:szCs w:val="18"/>
                <w:lang w:eastAsia="en-GB"/>
              </w:rPr>
              <w:t>42.8%</w:t>
            </w:r>
            <w:r w:rsidR="000B4E2C" w:rsidRPr="000B4E2C">
              <w:rPr>
                <w:rFonts w:cstheme="minorHAnsi"/>
                <w:sz w:val="18"/>
                <w:szCs w:val="18"/>
                <w:lang w:eastAsia="en-GB"/>
              </w:rPr>
              <w:t xml:space="preserve"> </w:t>
            </w:r>
            <w:r w:rsidRPr="000B4E2C">
              <w:rPr>
                <w:rFonts w:cstheme="minorHAnsi"/>
                <w:sz w:val="18"/>
                <w:szCs w:val="18"/>
                <w:lang w:eastAsia="en-GB"/>
              </w:rPr>
              <w:t>56.6%</w:t>
            </w:r>
            <w:r w:rsidR="000B4E2C" w:rsidRPr="000B4E2C">
              <w:rPr>
                <w:rFonts w:cstheme="minorHAnsi"/>
                <w:sz w:val="18"/>
                <w:szCs w:val="18"/>
                <w:lang w:eastAsia="en-GB"/>
              </w:rPr>
              <w:t xml:space="preserve"> </w:t>
            </w:r>
            <w:r w:rsidRPr="000B4E2C">
              <w:rPr>
                <w:rFonts w:cstheme="minorHAnsi"/>
                <w:sz w:val="18"/>
                <w:szCs w:val="18"/>
                <w:lang w:eastAsia="en-GB"/>
              </w:rPr>
              <w:t>42.6%</w:t>
            </w:r>
            <w:r w:rsidR="000B4E2C" w:rsidRPr="000B4E2C">
              <w:rPr>
                <w:rFonts w:cstheme="minorHAnsi"/>
                <w:sz w:val="18"/>
                <w:szCs w:val="18"/>
                <w:lang w:eastAsia="en-GB"/>
              </w:rPr>
              <w:t xml:space="preserve"> </w:t>
            </w:r>
            <w:r w:rsidRPr="000B4E2C">
              <w:rPr>
                <w:rFonts w:cstheme="minorHAnsi"/>
                <w:sz w:val="18"/>
                <w:szCs w:val="18"/>
                <w:lang w:eastAsia="en-GB"/>
              </w:rPr>
              <w:t>44.9%</w:t>
            </w:r>
            <w:r w:rsidR="000B4E2C" w:rsidRPr="000B4E2C">
              <w:rPr>
                <w:rFonts w:cstheme="minorHAnsi"/>
                <w:sz w:val="18"/>
                <w:szCs w:val="18"/>
                <w:lang w:eastAsia="en-GB"/>
              </w:rPr>
              <w:t xml:space="preserve"> </w:t>
            </w:r>
            <w:r w:rsidRPr="000B4E2C">
              <w:rPr>
                <w:rFonts w:cstheme="minorHAnsi"/>
                <w:sz w:val="18"/>
                <w:szCs w:val="18"/>
                <w:lang w:eastAsia="en-GB"/>
              </w:rPr>
              <w:t>44%</w:t>
            </w:r>
          </w:p>
        </w:tc>
        <w:tc>
          <w:tcPr>
            <w:tcW w:w="0" w:type="auto"/>
            <w:shd w:val="clear" w:color="auto" w:fill="auto"/>
            <w:hideMark/>
          </w:tcPr>
          <w:p w14:paraId="4AC78FD6" w14:textId="56C29C8D"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All:</w:t>
            </w:r>
            <w:r w:rsidR="000B4E2C" w:rsidRPr="000B4E2C">
              <w:rPr>
                <w:rFonts w:cstheme="minorHAnsi"/>
                <w:sz w:val="18"/>
                <w:szCs w:val="18"/>
                <w:lang w:eastAsia="en-GB"/>
              </w:rPr>
              <w:t xml:space="preserve"> </w:t>
            </w:r>
            <w:r w:rsidRPr="000B4E2C">
              <w:rPr>
                <w:rFonts w:cstheme="minorHAnsi"/>
                <w:sz w:val="18"/>
                <w:szCs w:val="18"/>
                <w:lang w:eastAsia="en-GB"/>
              </w:rPr>
              <w:t>No CKD:</w:t>
            </w:r>
            <w:r w:rsidR="000B4E2C" w:rsidRPr="000B4E2C">
              <w:rPr>
                <w:rFonts w:cstheme="minorHAnsi"/>
                <w:sz w:val="18"/>
                <w:szCs w:val="18"/>
                <w:lang w:eastAsia="en-GB"/>
              </w:rPr>
              <w:t xml:space="preserve"> </w:t>
            </w:r>
            <w:r w:rsidRPr="000B4E2C">
              <w:rPr>
                <w:rFonts w:cstheme="minorHAnsi"/>
                <w:sz w:val="18"/>
                <w:szCs w:val="18"/>
                <w:lang w:eastAsia="en-GB"/>
              </w:rPr>
              <w:t>Stage 1:</w:t>
            </w:r>
            <w:r w:rsidR="000B4E2C" w:rsidRPr="000B4E2C">
              <w:rPr>
                <w:rFonts w:cstheme="minorHAnsi"/>
                <w:sz w:val="18"/>
                <w:szCs w:val="18"/>
                <w:lang w:eastAsia="en-GB"/>
              </w:rPr>
              <w:t xml:space="preserve"> </w:t>
            </w:r>
            <w:r w:rsidRPr="000B4E2C">
              <w:rPr>
                <w:rFonts w:cstheme="minorHAnsi"/>
                <w:sz w:val="18"/>
                <w:szCs w:val="18"/>
                <w:lang w:eastAsia="en-GB"/>
              </w:rPr>
              <w:t>Stage 2:</w:t>
            </w:r>
            <w:r w:rsidR="000B4E2C" w:rsidRPr="000B4E2C">
              <w:rPr>
                <w:rFonts w:cstheme="minorHAnsi"/>
                <w:sz w:val="18"/>
                <w:szCs w:val="18"/>
                <w:lang w:eastAsia="en-GB"/>
              </w:rPr>
              <w:t xml:space="preserve"> </w:t>
            </w:r>
            <w:r w:rsidRPr="000B4E2C">
              <w:rPr>
                <w:rFonts w:cstheme="minorHAnsi"/>
                <w:sz w:val="18"/>
                <w:szCs w:val="18"/>
                <w:lang w:eastAsia="en-GB"/>
              </w:rPr>
              <w:t>Stage 3a:</w:t>
            </w:r>
            <w:r w:rsidR="000B4E2C" w:rsidRPr="000B4E2C">
              <w:rPr>
                <w:rFonts w:cstheme="minorHAnsi"/>
                <w:sz w:val="18"/>
                <w:szCs w:val="18"/>
                <w:lang w:eastAsia="en-GB"/>
              </w:rPr>
              <w:t xml:space="preserve"> </w:t>
            </w:r>
            <w:r w:rsidRPr="000B4E2C">
              <w:rPr>
                <w:rFonts w:cstheme="minorHAnsi"/>
                <w:sz w:val="18"/>
                <w:szCs w:val="18"/>
                <w:lang w:eastAsia="en-GB"/>
              </w:rPr>
              <w:t>Stage 3b:</w:t>
            </w:r>
            <w:r w:rsidR="000B4E2C" w:rsidRPr="000B4E2C">
              <w:rPr>
                <w:rFonts w:cstheme="minorHAnsi"/>
                <w:sz w:val="18"/>
                <w:szCs w:val="18"/>
                <w:lang w:eastAsia="en-GB"/>
              </w:rPr>
              <w:t xml:space="preserve"> </w:t>
            </w:r>
            <w:r w:rsidRPr="000B4E2C">
              <w:rPr>
                <w:rFonts w:cstheme="minorHAnsi"/>
                <w:sz w:val="18"/>
                <w:szCs w:val="18"/>
                <w:lang w:eastAsia="en-GB"/>
              </w:rPr>
              <w:t xml:space="preserve">Stage 4/5: </w:t>
            </w:r>
          </w:p>
        </w:tc>
        <w:tc>
          <w:tcPr>
            <w:tcW w:w="0" w:type="auto"/>
            <w:shd w:val="clear" w:color="auto" w:fill="auto"/>
            <w:hideMark/>
          </w:tcPr>
          <w:p w14:paraId="64E5F43C" w14:textId="73089193"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0.943</w:t>
            </w:r>
            <w:r w:rsidR="000B4E2C" w:rsidRPr="000B4E2C">
              <w:rPr>
                <w:rFonts w:cstheme="minorHAnsi"/>
                <w:sz w:val="18"/>
                <w:szCs w:val="18"/>
                <w:lang w:eastAsia="en-GB"/>
              </w:rPr>
              <w:t xml:space="preserve"> </w:t>
            </w:r>
            <w:r w:rsidRPr="000B4E2C">
              <w:rPr>
                <w:rFonts w:cstheme="minorHAnsi"/>
                <w:sz w:val="18"/>
                <w:szCs w:val="18"/>
                <w:lang w:eastAsia="en-GB"/>
              </w:rPr>
              <w:t>0.946</w:t>
            </w:r>
            <w:r w:rsidR="000B4E2C" w:rsidRPr="000B4E2C">
              <w:rPr>
                <w:rFonts w:cstheme="minorHAnsi"/>
                <w:sz w:val="18"/>
                <w:szCs w:val="18"/>
                <w:lang w:eastAsia="en-GB"/>
              </w:rPr>
              <w:t xml:space="preserve"> </w:t>
            </w:r>
            <w:r w:rsidRPr="000B4E2C">
              <w:rPr>
                <w:rFonts w:cstheme="minorHAnsi"/>
                <w:sz w:val="18"/>
                <w:szCs w:val="18"/>
                <w:lang w:eastAsia="en-GB"/>
              </w:rPr>
              <w:t>0.955</w:t>
            </w:r>
            <w:r w:rsidR="000B4E2C" w:rsidRPr="000B4E2C">
              <w:rPr>
                <w:rFonts w:cstheme="minorHAnsi"/>
                <w:sz w:val="18"/>
                <w:szCs w:val="18"/>
                <w:lang w:eastAsia="en-GB"/>
              </w:rPr>
              <w:t xml:space="preserve"> </w:t>
            </w:r>
            <w:r w:rsidRPr="000B4E2C">
              <w:rPr>
                <w:rFonts w:cstheme="minorHAnsi"/>
                <w:sz w:val="18"/>
                <w:szCs w:val="18"/>
                <w:lang w:eastAsia="en-GB"/>
              </w:rPr>
              <w:t>0.901</w:t>
            </w:r>
            <w:r w:rsidR="000B4E2C" w:rsidRPr="000B4E2C">
              <w:rPr>
                <w:rFonts w:cstheme="minorHAnsi"/>
                <w:sz w:val="18"/>
                <w:szCs w:val="18"/>
                <w:lang w:eastAsia="en-GB"/>
              </w:rPr>
              <w:t xml:space="preserve"> </w:t>
            </w:r>
            <w:r w:rsidRPr="000B4E2C">
              <w:rPr>
                <w:rFonts w:cstheme="minorHAnsi"/>
                <w:sz w:val="18"/>
                <w:szCs w:val="18"/>
                <w:lang w:eastAsia="en-GB"/>
              </w:rPr>
              <w:t>0.826</w:t>
            </w:r>
            <w:r w:rsidR="000B4E2C" w:rsidRPr="000B4E2C">
              <w:rPr>
                <w:rFonts w:cstheme="minorHAnsi"/>
                <w:sz w:val="18"/>
                <w:szCs w:val="18"/>
                <w:lang w:eastAsia="en-GB"/>
              </w:rPr>
              <w:t xml:space="preserve"> </w:t>
            </w:r>
            <w:r w:rsidRPr="000B4E2C">
              <w:rPr>
                <w:rFonts w:cstheme="minorHAnsi"/>
                <w:sz w:val="18"/>
                <w:szCs w:val="18"/>
                <w:lang w:eastAsia="en-GB"/>
              </w:rPr>
              <w:t>0.787</w:t>
            </w:r>
            <w:r w:rsidR="000B4E2C" w:rsidRPr="000B4E2C">
              <w:rPr>
                <w:rFonts w:cstheme="minorHAnsi"/>
                <w:sz w:val="18"/>
                <w:szCs w:val="18"/>
                <w:lang w:eastAsia="en-GB"/>
              </w:rPr>
              <w:t xml:space="preserve"> </w:t>
            </w:r>
            <w:r w:rsidRPr="000B4E2C">
              <w:rPr>
                <w:rFonts w:cstheme="minorHAnsi"/>
                <w:sz w:val="18"/>
                <w:szCs w:val="18"/>
                <w:lang w:eastAsia="en-GB"/>
              </w:rPr>
              <w:t>0.793</w:t>
            </w:r>
          </w:p>
        </w:tc>
        <w:tc>
          <w:tcPr>
            <w:tcW w:w="0" w:type="auto"/>
            <w:shd w:val="clear" w:color="auto" w:fill="auto"/>
            <w:noWrap/>
            <w:hideMark/>
          </w:tcPr>
          <w:p w14:paraId="64D7866C" w14:textId="279D9FFF"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hideMark/>
          </w:tcPr>
          <w:p w14:paraId="3B4CDB44" w14:textId="2627FE40" w:rsidR="002F0133" w:rsidRPr="000B4E2C" w:rsidRDefault="002F0133" w:rsidP="008A7464">
            <w:pPr>
              <w:rPr>
                <w:rFonts w:cstheme="minorHAnsi"/>
                <w:color w:val="000000"/>
                <w:sz w:val="18"/>
                <w:szCs w:val="18"/>
                <w:lang w:eastAsia="en-GB"/>
              </w:rPr>
            </w:pPr>
            <w:r w:rsidRPr="000B4E2C">
              <w:rPr>
                <w:rFonts w:cstheme="minorHAnsi"/>
                <w:sz w:val="18"/>
                <w:szCs w:val="18"/>
                <w:lang w:eastAsia="en-GB"/>
              </w:rPr>
              <w:t>0.001</w:t>
            </w:r>
            <w:r w:rsidR="000B4E2C" w:rsidRPr="000B4E2C">
              <w:rPr>
                <w:rFonts w:cstheme="minorHAnsi"/>
                <w:sz w:val="18"/>
                <w:szCs w:val="18"/>
                <w:lang w:eastAsia="en-GB"/>
              </w:rPr>
              <w:t xml:space="preserve"> </w:t>
            </w:r>
            <w:r w:rsidRPr="000B4E2C">
              <w:rPr>
                <w:rFonts w:cstheme="minorHAnsi"/>
                <w:sz w:val="18"/>
                <w:szCs w:val="18"/>
                <w:lang w:eastAsia="en-GB"/>
              </w:rPr>
              <w:t>0.001</w:t>
            </w:r>
            <w:r w:rsidR="000B4E2C" w:rsidRPr="000B4E2C">
              <w:rPr>
                <w:rFonts w:cstheme="minorHAnsi"/>
                <w:sz w:val="18"/>
                <w:szCs w:val="18"/>
                <w:lang w:eastAsia="en-GB"/>
              </w:rPr>
              <w:t xml:space="preserve"> </w:t>
            </w:r>
            <w:r w:rsidRPr="000B4E2C">
              <w:rPr>
                <w:rFonts w:cstheme="minorHAnsi"/>
                <w:sz w:val="18"/>
                <w:szCs w:val="18"/>
                <w:lang w:eastAsia="en-GB"/>
              </w:rPr>
              <w:t>0.011</w:t>
            </w:r>
            <w:r w:rsidR="000B4E2C" w:rsidRPr="000B4E2C">
              <w:rPr>
                <w:rFonts w:cstheme="minorHAnsi"/>
                <w:sz w:val="18"/>
                <w:szCs w:val="18"/>
                <w:lang w:eastAsia="en-GB"/>
              </w:rPr>
              <w:t xml:space="preserve"> </w:t>
            </w:r>
            <w:r w:rsidRPr="000B4E2C">
              <w:rPr>
                <w:rFonts w:cstheme="minorHAnsi"/>
                <w:sz w:val="18"/>
                <w:szCs w:val="18"/>
                <w:lang w:eastAsia="en-GB"/>
              </w:rPr>
              <w:t>0.017</w:t>
            </w:r>
            <w:r w:rsidR="000B4E2C" w:rsidRPr="000B4E2C">
              <w:rPr>
                <w:rFonts w:cstheme="minorHAnsi"/>
                <w:sz w:val="18"/>
                <w:szCs w:val="18"/>
                <w:lang w:eastAsia="en-GB"/>
              </w:rPr>
              <w:t xml:space="preserve"> </w:t>
            </w:r>
            <w:r w:rsidRPr="000B4E2C">
              <w:rPr>
                <w:rFonts w:cstheme="minorHAnsi"/>
                <w:sz w:val="18"/>
                <w:szCs w:val="18"/>
                <w:lang w:eastAsia="en-GB"/>
              </w:rPr>
              <w:t>0.005</w:t>
            </w:r>
            <w:r w:rsidR="000B4E2C" w:rsidRPr="000B4E2C">
              <w:rPr>
                <w:rFonts w:cstheme="minorHAnsi"/>
                <w:sz w:val="18"/>
                <w:szCs w:val="18"/>
                <w:lang w:eastAsia="en-GB"/>
              </w:rPr>
              <w:t xml:space="preserve"> </w:t>
            </w:r>
            <w:r w:rsidRPr="000B4E2C">
              <w:rPr>
                <w:rFonts w:cstheme="minorHAnsi"/>
                <w:sz w:val="18"/>
                <w:szCs w:val="18"/>
                <w:lang w:eastAsia="en-GB"/>
              </w:rPr>
              <w:t>0.011</w:t>
            </w:r>
            <w:r w:rsidR="000B4E2C" w:rsidRPr="000B4E2C">
              <w:rPr>
                <w:rFonts w:cstheme="minorHAnsi"/>
                <w:sz w:val="18"/>
                <w:szCs w:val="18"/>
                <w:lang w:eastAsia="en-GB"/>
              </w:rPr>
              <w:t xml:space="preserve"> </w:t>
            </w:r>
            <w:r w:rsidRPr="000B4E2C">
              <w:rPr>
                <w:rFonts w:cstheme="minorHAnsi"/>
                <w:sz w:val="18"/>
                <w:szCs w:val="18"/>
                <w:lang w:eastAsia="en-GB"/>
              </w:rPr>
              <w:t>0.018</w:t>
            </w:r>
          </w:p>
        </w:tc>
        <w:tc>
          <w:tcPr>
            <w:tcW w:w="0" w:type="auto"/>
            <w:shd w:val="clear" w:color="auto" w:fill="auto"/>
            <w:noWrap/>
            <w:hideMark/>
          </w:tcPr>
          <w:p w14:paraId="0E84871D" w14:textId="2978F4C8"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noWrap/>
            <w:hideMark/>
          </w:tcPr>
          <w:p w14:paraId="0D401AFC" w14:textId="39A5BDF6"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noWrap/>
            <w:hideMark/>
          </w:tcPr>
          <w:p w14:paraId="6F57F8E8" w14:textId="7E1E5843"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noWrap/>
            <w:hideMark/>
          </w:tcPr>
          <w:p w14:paraId="1CF4C170" w14:textId="7120D32D" w:rsidR="002F0133" w:rsidRPr="000B4E2C" w:rsidRDefault="000B4E2C" w:rsidP="008A7464">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noWrap/>
            <w:hideMark/>
          </w:tcPr>
          <w:p w14:paraId="74ADA18D" w14:textId="59CCB274" w:rsidR="002F0133" w:rsidRPr="000B4E2C" w:rsidRDefault="000B4E2C" w:rsidP="008A7464">
            <w:pPr>
              <w:rPr>
                <w:rFonts w:cstheme="minorHAnsi"/>
                <w:sz w:val="18"/>
                <w:szCs w:val="18"/>
                <w:lang w:eastAsia="en-GB"/>
              </w:rPr>
            </w:pPr>
            <w:r w:rsidRPr="000B4E2C">
              <w:rPr>
                <w:rFonts w:cstheme="minorHAnsi"/>
                <w:sz w:val="18"/>
                <w:szCs w:val="18"/>
                <w:lang w:eastAsia="en-GB"/>
              </w:rPr>
              <w:t xml:space="preserve"> </w:t>
            </w:r>
          </w:p>
        </w:tc>
      </w:tr>
    </w:tbl>
    <w:p w14:paraId="625FD54C" w14:textId="77777777" w:rsidR="000B4E2C" w:rsidRPr="000B4E2C" w:rsidRDefault="002F0133" w:rsidP="008A7464">
      <w:pPr>
        <w:rPr>
          <w:color w:val="000000" w:themeColor="text1"/>
          <w:sz w:val="18"/>
          <w:szCs w:val="18"/>
          <w:lang w:eastAsia="en-GB"/>
        </w:rPr>
      </w:pPr>
      <w:r w:rsidRPr="000B4E2C">
        <w:rPr>
          <w:color w:val="000000" w:themeColor="text1"/>
          <w:sz w:val="18"/>
          <w:szCs w:val="18"/>
          <w:lang w:eastAsia="en-GB"/>
        </w:rPr>
        <w:t>PFKT: Previous Failed Kidney Transplant; CM: Conservative Management</w:t>
      </w:r>
    </w:p>
    <w:p w14:paraId="27D94D3F" w14:textId="207692EF" w:rsidR="002F0133" w:rsidRPr="000B4E2C" w:rsidRDefault="000B4E2C" w:rsidP="008A7464">
      <w:pPr>
        <w:pStyle w:val="Heading2"/>
      </w:pPr>
      <w:r w:rsidRPr="000B4E2C">
        <w:rPr>
          <w:i/>
          <w:color w:val="FF0000"/>
        </w:rPr>
        <w:lastRenderedPageBreak/>
        <w:t>T</w:t>
      </w:r>
      <w:r w:rsidRPr="000B4E2C">
        <w:rPr>
          <w:i/>
          <w:color w:val="FF0000"/>
        </w:rPr>
        <w:t>able</w:t>
      </w:r>
      <w:r w:rsidRPr="000B4E2C">
        <w:rPr>
          <w:i/>
          <w:color w:val="FF0000"/>
        </w:rPr>
        <w:t xml:space="preserve"> </w:t>
      </w:r>
      <w:r w:rsidRPr="000B4E2C">
        <w:rPr>
          <w:i/>
          <w:color w:val="FF0000"/>
        </w:rPr>
        <w:t>34</w:t>
      </w:r>
      <w:r w:rsidRPr="000B4E2C">
        <w:t xml:space="preserve"> </w:t>
      </w:r>
      <w:r w:rsidR="002F0133" w:rsidRPr="000B4E2C">
        <w:t>Maintenance cost and consumables for the different tests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889"/>
        <w:gridCol w:w="835"/>
        <w:gridCol w:w="765"/>
        <w:gridCol w:w="3823"/>
      </w:tblGrid>
      <w:tr w:rsidR="002F0133" w:rsidRPr="000B4E2C" w14:paraId="5F366316" w14:textId="77777777" w:rsidTr="000B4E2C">
        <w:trPr>
          <w:cantSplit/>
          <w:tblHeader/>
        </w:trPr>
        <w:tc>
          <w:tcPr>
            <w:tcW w:w="0" w:type="auto"/>
            <w:shd w:val="clear" w:color="auto" w:fill="auto"/>
            <w:hideMark/>
          </w:tcPr>
          <w:p w14:paraId="56753E8E" w14:textId="77777777" w:rsidR="002F0133" w:rsidRPr="000B4E2C" w:rsidRDefault="002F0133" w:rsidP="008A7464">
            <w:pPr>
              <w:rPr>
                <w:b/>
                <w:bCs/>
                <w:sz w:val="22"/>
              </w:rPr>
            </w:pPr>
            <w:r w:rsidRPr="000B4E2C">
              <w:rPr>
                <w:b/>
                <w:bCs/>
                <w:sz w:val="22"/>
              </w:rPr>
              <w:t>Maintenance/consumables</w:t>
            </w:r>
          </w:p>
        </w:tc>
        <w:tc>
          <w:tcPr>
            <w:tcW w:w="0" w:type="auto"/>
            <w:shd w:val="clear" w:color="auto" w:fill="auto"/>
            <w:hideMark/>
          </w:tcPr>
          <w:p w14:paraId="6AEDB12A" w14:textId="77777777" w:rsidR="002F0133" w:rsidRPr="000B4E2C" w:rsidRDefault="002F0133" w:rsidP="008A7464">
            <w:pPr>
              <w:rPr>
                <w:b/>
                <w:bCs/>
                <w:sz w:val="22"/>
              </w:rPr>
            </w:pPr>
            <w:r w:rsidRPr="000B4E2C">
              <w:rPr>
                <w:b/>
                <w:bCs/>
                <w:sz w:val="22"/>
              </w:rPr>
              <w:t>Price</w:t>
            </w:r>
          </w:p>
        </w:tc>
        <w:tc>
          <w:tcPr>
            <w:tcW w:w="0" w:type="auto"/>
            <w:shd w:val="clear" w:color="auto" w:fill="auto"/>
            <w:hideMark/>
          </w:tcPr>
          <w:p w14:paraId="3BB28175" w14:textId="77777777" w:rsidR="002F0133" w:rsidRPr="000B4E2C" w:rsidRDefault="002F0133" w:rsidP="008A7464">
            <w:pPr>
              <w:rPr>
                <w:b/>
                <w:bCs/>
                <w:sz w:val="22"/>
              </w:rPr>
            </w:pPr>
            <w:r w:rsidRPr="000B4E2C">
              <w:rPr>
                <w:b/>
                <w:bCs/>
                <w:sz w:val="22"/>
              </w:rPr>
              <w:t>Cost per test</w:t>
            </w:r>
          </w:p>
        </w:tc>
        <w:tc>
          <w:tcPr>
            <w:tcW w:w="0" w:type="auto"/>
            <w:shd w:val="clear" w:color="auto" w:fill="auto"/>
            <w:hideMark/>
          </w:tcPr>
          <w:p w14:paraId="4A1D403E" w14:textId="77777777" w:rsidR="002F0133" w:rsidRPr="000B4E2C" w:rsidRDefault="002F0133" w:rsidP="008A7464">
            <w:pPr>
              <w:rPr>
                <w:b/>
                <w:bCs/>
                <w:sz w:val="22"/>
              </w:rPr>
            </w:pPr>
            <w:r w:rsidRPr="000B4E2C">
              <w:rPr>
                <w:b/>
                <w:bCs/>
                <w:sz w:val="22"/>
              </w:rPr>
              <w:t>Formula</w:t>
            </w:r>
          </w:p>
        </w:tc>
      </w:tr>
      <w:tr w:rsidR="002F0133" w:rsidRPr="000B4E2C" w14:paraId="1F57FAC1" w14:textId="77777777" w:rsidTr="000B4E2C">
        <w:trPr>
          <w:cantSplit/>
          <w:tblHeader/>
        </w:trPr>
        <w:tc>
          <w:tcPr>
            <w:tcW w:w="0" w:type="auto"/>
            <w:gridSpan w:val="4"/>
            <w:shd w:val="clear" w:color="auto" w:fill="auto"/>
            <w:hideMark/>
          </w:tcPr>
          <w:p w14:paraId="448437A8" w14:textId="6239B288" w:rsidR="002F0133" w:rsidRPr="000B4E2C" w:rsidRDefault="002F0133" w:rsidP="008A7464">
            <w:pPr>
              <w:rPr>
                <w:sz w:val="22"/>
              </w:rPr>
            </w:pPr>
            <w:r w:rsidRPr="000B4E2C">
              <w:rPr>
                <w:b/>
                <w:bCs/>
                <w:sz w:val="22"/>
              </w:rPr>
              <w:t>Nephrocheck</w:t>
            </w:r>
            <w:r w:rsidR="000B4E2C" w:rsidRPr="000B4E2C">
              <w:rPr>
                <w:sz w:val="22"/>
              </w:rPr>
              <w:t xml:space="preserve"> </w:t>
            </w:r>
          </w:p>
        </w:tc>
      </w:tr>
      <w:tr w:rsidR="002F0133" w:rsidRPr="000B4E2C" w14:paraId="09D4A058" w14:textId="77777777" w:rsidTr="000B4E2C">
        <w:trPr>
          <w:cantSplit/>
          <w:tblHeader/>
        </w:trPr>
        <w:tc>
          <w:tcPr>
            <w:tcW w:w="0" w:type="auto"/>
            <w:shd w:val="clear" w:color="auto" w:fill="auto"/>
            <w:hideMark/>
          </w:tcPr>
          <w:p w14:paraId="0D3B85F9" w14:textId="77777777" w:rsidR="002F0133" w:rsidRPr="000B4E2C" w:rsidRDefault="002F0133" w:rsidP="008A7464">
            <w:pPr>
              <w:rPr>
                <w:sz w:val="22"/>
              </w:rPr>
            </w:pPr>
            <w:r w:rsidRPr="000B4E2C">
              <w:rPr>
                <w:sz w:val="22"/>
              </w:rPr>
              <w:t xml:space="preserve">Paper roll </w:t>
            </w:r>
          </w:p>
        </w:tc>
        <w:tc>
          <w:tcPr>
            <w:tcW w:w="0" w:type="auto"/>
            <w:shd w:val="clear" w:color="auto" w:fill="auto"/>
            <w:hideMark/>
          </w:tcPr>
          <w:p w14:paraId="3F8F5C5A" w14:textId="77777777" w:rsidR="002F0133" w:rsidRPr="000B4E2C" w:rsidRDefault="002F0133" w:rsidP="008A7464">
            <w:pPr>
              <w:rPr>
                <w:sz w:val="22"/>
              </w:rPr>
            </w:pPr>
            <w:r w:rsidRPr="000B4E2C">
              <w:rPr>
                <w:sz w:val="22"/>
              </w:rPr>
              <w:t>£2.50</w:t>
            </w:r>
          </w:p>
        </w:tc>
        <w:tc>
          <w:tcPr>
            <w:tcW w:w="0" w:type="auto"/>
            <w:shd w:val="clear" w:color="auto" w:fill="auto"/>
            <w:hideMark/>
          </w:tcPr>
          <w:p w14:paraId="79D6B9B1" w14:textId="77777777" w:rsidR="002F0133" w:rsidRPr="000B4E2C" w:rsidRDefault="002F0133" w:rsidP="008A7464">
            <w:pPr>
              <w:rPr>
                <w:sz w:val="22"/>
              </w:rPr>
            </w:pPr>
            <w:r w:rsidRPr="000B4E2C">
              <w:rPr>
                <w:sz w:val="22"/>
              </w:rPr>
              <w:t>£0.10</w:t>
            </w:r>
          </w:p>
        </w:tc>
        <w:tc>
          <w:tcPr>
            <w:tcW w:w="0" w:type="auto"/>
            <w:shd w:val="clear" w:color="auto" w:fill="auto"/>
            <w:hideMark/>
          </w:tcPr>
          <w:p w14:paraId="3D9EA2B4" w14:textId="3492EB09" w:rsidR="002F0133" w:rsidRPr="000B4E2C" w:rsidRDefault="002F0133" w:rsidP="008A7464">
            <w:pPr>
              <w:rPr>
                <w:sz w:val="22"/>
              </w:rPr>
            </w:pPr>
            <w:r w:rsidRPr="000B4E2C">
              <w:rPr>
                <w:sz w:val="22"/>
              </w:rPr>
              <w:t>£2.5</w:t>
            </w:r>
            <w:r w:rsidR="000B4E2C" w:rsidRPr="000B4E2C">
              <w:rPr>
                <w:color w:val="00B0F0"/>
                <w:sz w:val="22"/>
              </w:rPr>
              <w:t>/</w:t>
            </w:r>
            <w:r w:rsidRPr="000B4E2C">
              <w:rPr>
                <w:sz w:val="22"/>
              </w:rPr>
              <w:t>number of tests in kit (</w:t>
            </w:r>
            <w:r w:rsidR="000B4E2C" w:rsidRPr="000B4E2C">
              <w:rPr>
                <w:color w:val="00B0F0"/>
                <w:sz w:val="22"/>
              </w:rPr>
              <w:t> = </w:t>
            </w:r>
            <w:r w:rsidRPr="000B4E2C">
              <w:rPr>
                <w:sz w:val="22"/>
              </w:rPr>
              <w:t>25 tests)</w:t>
            </w:r>
          </w:p>
        </w:tc>
      </w:tr>
      <w:tr w:rsidR="002F0133" w:rsidRPr="000B4E2C" w14:paraId="3ADCB4B9" w14:textId="77777777" w:rsidTr="000B4E2C">
        <w:trPr>
          <w:cantSplit/>
          <w:tblHeader/>
        </w:trPr>
        <w:tc>
          <w:tcPr>
            <w:tcW w:w="0" w:type="auto"/>
            <w:shd w:val="clear" w:color="auto" w:fill="auto"/>
            <w:hideMark/>
          </w:tcPr>
          <w:p w14:paraId="3D18185A" w14:textId="77777777" w:rsidR="002F0133" w:rsidRPr="000B4E2C" w:rsidRDefault="002F0133" w:rsidP="008A7464">
            <w:pPr>
              <w:rPr>
                <w:sz w:val="22"/>
              </w:rPr>
            </w:pPr>
            <w:r w:rsidRPr="000B4E2C">
              <w:rPr>
                <w:sz w:val="22"/>
              </w:rPr>
              <w:t>Liquid quality control (one per kit)</w:t>
            </w:r>
          </w:p>
        </w:tc>
        <w:tc>
          <w:tcPr>
            <w:tcW w:w="0" w:type="auto"/>
            <w:shd w:val="clear" w:color="auto" w:fill="auto"/>
            <w:hideMark/>
          </w:tcPr>
          <w:p w14:paraId="606AFA01" w14:textId="77777777" w:rsidR="002F0133" w:rsidRPr="000B4E2C" w:rsidRDefault="002F0133" w:rsidP="008A7464">
            <w:pPr>
              <w:rPr>
                <w:sz w:val="22"/>
              </w:rPr>
            </w:pPr>
            <w:r w:rsidRPr="000B4E2C">
              <w:rPr>
                <w:sz w:val="22"/>
              </w:rPr>
              <w:t>£100.00</w:t>
            </w:r>
          </w:p>
        </w:tc>
        <w:tc>
          <w:tcPr>
            <w:tcW w:w="0" w:type="auto"/>
            <w:shd w:val="clear" w:color="auto" w:fill="auto"/>
            <w:hideMark/>
          </w:tcPr>
          <w:p w14:paraId="0305D2E1" w14:textId="77777777" w:rsidR="002F0133" w:rsidRPr="000B4E2C" w:rsidRDefault="002F0133" w:rsidP="008A7464">
            <w:pPr>
              <w:rPr>
                <w:sz w:val="22"/>
              </w:rPr>
            </w:pPr>
            <w:r w:rsidRPr="000B4E2C">
              <w:rPr>
                <w:sz w:val="22"/>
              </w:rPr>
              <w:t>£4.00</w:t>
            </w:r>
          </w:p>
        </w:tc>
        <w:tc>
          <w:tcPr>
            <w:tcW w:w="0" w:type="auto"/>
            <w:shd w:val="clear" w:color="auto" w:fill="auto"/>
            <w:hideMark/>
          </w:tcPr>
          <w:p w14:paraId="1177C567" w14:textId="1D745B8E" w:rsidR="002F0133" w:rsidRPr="000B4E2C" w:rsidRDefault="002F0133" w:rsidP="008A7464">
            <w:pPr>
              <w:rPr>
                <w:sz w:val="22"/>
              </w:rPr>
            </w:pPr>
            <w:r w:rsidRPr="000B4E2C">
              <w:rPr>
                <w:sz w:val="22"/>
              </w:rPr>
              <w:t>£100</w:t>
            </w:r>
            <w:r w:rsidR="000B4E2C" w:rsidRPr="000B4E2C">
              <w:rPr>
                <w:color w:val="00B0F0"/>
                <w:sz w:val="22"/>
              </w:rPr>
              <w:t>/</w:t>
            </w:r>
            <w:r w:rsidRPr="000B4E2C">
              <w:rPr>
                <w:sz w:val="22"/>
              </w:rPr>
              <w:t>number of tests in kit (</w:t>
            </w:r>
            <w:r w:rsidR="000B4E2C" w:rsidRPr="000B4E2C">
              <w:rPr>
                <w:color w:val="00B0F0"/>
                <w:sz w:val="22"/>
              </w:rPr>
              <w:t> = </w:t>
            </w:r>
            <w:r w:rsidRPr="000B4E2C">
              <w:rPr>
                <w:sz w:val="22"/>
              </w:rPr>
              <w:t>25 tests)</w:t>
            </w:r>
          </w:p>
        </w:tc>
      </w:tr>
      <w:tr w:rsidR="002F0133" w:rsidRPr="000B4E2C" w14:paraId="69BD9200" w14:textId="77777777" w:rsidTr="000B4E2C">
        <w:trPr>
          <w:cantSplit/>
          <w:tblHeader/>
        </w:trPr>
        <w:tc>
          <w:tcPr>
            <w:tcW w:w="0" w:type="auto"/>
            <w:shd w:val="clear" w:color="auto" w:fill="auto"/>
            <w:hideMark/>
          </w:tcPr>
          <w:p w14:paraId="400DDF72" w14:textId="77777777" w:rsidR="002F0133" w:rsidRPr="000B4E2C" w:rsidRDefault="002F0133" w:rsidP="008A7464">
            <w:pPr>
              <w:rPr>
                <w:sz w:val="22"/>
              </w:rPr>
            </w:pPr>
            <w:r w:rsidRPr="000B4E2C">
              <w:rPr>
                <w:sz w:val="22"/>
              </w:rPr>
              <w:t>Electronic quality control (every 6 months)</w:t>
            </w:r>
          </w:p>
        </w:tc>
        <w:tc>
          <w:tcPr>
            <w:tcW w:w="0" w:type="auto"/>
            <w:shd w:val="clear" w:color="auto" w:fill="auto"/>
            <w:hideMark/>
          </w:tcPr>
          <w:p w14:paraId="6F41E1C4" w14:textId="77777777" w:rsidR="002F0133" w:rsidRPr="000B4E2C" w:rsidRDefault="002F0133" w:rsidP="008A7464">
            <w:pPr>
              <w:rPr>
                <w:sz w:val="22"/>
              </w:rPr>
            </w:pPr>
            <w:r w:rsidRPr="000B4E2C">
              <w:rPr>
                <w:sz w:val="22"/>
              </w:rPr>
              <w:t>£80.00</w:t>
            </w:r>
          </w:p>
        </w:tc>
        <w:tc>
          <w:tcPr>
            <w:tcW w:w="0" w:type="auto"/>
            <w:shd w:val="clear" w:color="auto" w:fill="auto"/>
            <w:hideMark/>
          </w:tcPr>
          <w:p w14:paraId="4D7F15BD" w14:textId="77777777" w:rsidR="002F0133" w:rsidRPr="000B4E2C" w:rsidRDefault="002F0133" w:rsidP="008A7464">
            <w:pPr>
              <w:rPr>
                <w:sz w:val="22"/>
              </w:rPr>
            </w:pPr>
            <w:r w:rsidRPr="000B4E2C">
              <w:rPr>
                <w:sz w:val="22"/>
              </w:rPr>
              <w:t>£0.13</w:t>
            </w:r>
          </w:p>
        </w:tc>
        <w:tc>
          <w:tcPr>
            <w:tcW w:w="0" w:type="auto"/>
            <w:shd w:val="clear" w:color="auto" w:fill="auto"/>
            <w:hideMark/>
          </w:tcPr>
          <w:p w14:paraId="1F71BF1E" w14:textId="705BD7A7" w:rsidR="002F0133" w:rsidRPr="000B4E2C" w:rsidRDefault="002F0133" w:rsidP="008A7464">
            <w:pPr>
              <w:rPr>
                <w:sz w:val="22"/>
              </w:rPr>
            </w:pPr>
            <w:r w:rsidRPr="000B4E2C">
              <w:rPr>
                <w:sz w:val="22"/>
              </w:rPr>
              <w:t>£80*2</w:t>
            </w:r>
            <w:r w:rsidR="000B4E2C" w:rsidRPr="000B4E2C">
              <w:rPr>
                <w:color w:val="00B0F0"/>
                <w:sz w:val="22"/>
              </w:rPr>
              <w:t>/</w:t>
            </w:r>
            <w:r w:rsidRPr="000B4E2C">
              <w:rPr>
                <w:sz w:val="22"/>
              </w:rPr>
              <w:t>number of tests performed per year in hospital laboratory (</w:t>
            </w:r>
            <w:r w:rsidR="000B4E2C" w:rsidRPr="000B4E2C">
              <w:rPr>
                <w:color w:val="00B0F0"/>
                <w:sz w:val="22"/>
              </w:rPr>
              <w:t> = </w:t>
            </w:r>
            <w:r w:rsidRPr="000B4E2C">
              <w:rPr>
                <w:sz w:val="22"/>
              </w:rPr>
              <w:t>1253, in St. James</w:t>
            </w:r>
            <w:r w:rsidR="000B4E2C" w:rsidRPr="000B4E2C">
              <w:rPr>
                <w:color w:val="00B0F0"/>
                <w:sz w:val="22"/>
              </w:rPr>
              <w:t>’</w:t>
            </w:r>
            <w:r w:rsidRPr="000B4E2C">
              <w:rPr>
                <w:sz w:val="22"/>
              </w:rPr>
              <w:t>s University Hospital, Leeds, source: Hall</w:t>
            </w:r>
            <w:r w:rsidRPr="000B4E2C">
              <w:rPr>
                <w:i/>
                <w:color w:val="00B0F0"/>
                <w:sz w:val="22"/>
              </w:rPr>
              <w:t xml:space="preserve"> et al</w:t>
            </w:r>
            <w:r w:rsidRPr="000B4E2C">
              <w:rPr>
                <w:sz w:val="22"/>
              </w:rPr>
              <w:t>. 2018)</w:t>
            </w:r>
          </w:p>
        </w:tc>
      </w:tr>
      <w:tr w:rsidR="002F0133" w:rsidRPr="000B4E2C" w14:paraId="4336182B" w14:textId="77777777" w:rsidTr="000B4E2C">
        <w:trPr>
          <w:cantSplit/>
          <w:tblHeader/>
        </w:trPr>
        <w:tc>
          <w:tcPr>
            <w:tcW w:w="0" w:type="auto"/>
            <w:gridSpan w:val="4"/>
            <w:shd w:val="clear" w:color="auto" w:fill="auto"/>
            <w:hideMark/>
          </w:tcPr>
          <w:p w14:paraId="2896FB5E" w14:textId="16B102E2" w:rsidR="002F0133" w:rsidRPr="000B4E2C" w:rsidRDefault="009D7F5A" w:rsidP="008A7464">
            <w:pPr>
              <w:rPr>
                <w:sz w:val="22"/>
              </w:rPr>
            </w:pPr>
            <w:r w:rsidRPr="000B4E2C">
              <w:rPr>
                <w:b/>
                <w:bCs/>
                <w:sz w:val="22"/>
              </w:rPr>
              <w:t>BioPorto</w:t>
            </w:r>
          </w:p>
        </w:tc>
      </w:tr>
      <w:tr w:rsidR="002F0133" w:rsidRPr="000B4E2C" w14:paraId="65D7889C" w14:textId="77777777" w:rsidTr="000B4E2C">
        <w:trPr>
          <w:cantSplit/>
          <w:tblHeader/>
        </w:trPr>
        <w:tc>
          <w:tcPr>
            <w:tcW w:w="0" w:type="auto"/>
            <w:shd w:val="clear" w:color="auto" w:fill="auto"/>
            <w:hideMark/>
          </w:tcPr>
          <w:p w14:paraId="0D4A0D5B" w14:textId="77777777" w:rsidR="002F0133" w:rsidRPr="000B4E2C" w:rsidRDefault="002F0133" w:rsidP="008A7464">
            <w:pPr>
              <w:rPr>
                <w:sz w:val="22"/>
              </w:rPr>
            </w:pPr>
            <w:r w:rsidRPr="000B4E2C">
              <w:rPr>
                <w:sz w:val="22"/>
              </w:rPr>
              <w:t>NGAL Calibrator</w:t>
            </w:r>
          </w:p>
        </w:tc>
        <w:tc>
          <w:tcPr>
            <w:tcW w:w="0" w:type="auto"/>
            <w:shd w:val="clear" w:color="auto" w:fill="auto"/>
            <w:hideMark/>
          </w:tcPr>
          <w:p w14:paraId="6CEF0677" w14:textId="77777777" w:rsidR="002F0133" w:rsidRPr="000B4E2C" w:rsidRDefault="002F0133" w:rsidP="008A7464">
            <w:pPr>
              <w:rPr>
                <w:sz w:val="22"/>
              </w:rPr>
            </w:pPr>
            <w:r w:rsidRPr="000B4E2C">
              <w:rPr>
                <w:sz w:val="22"/>
              </w:rPr>
              <w:t>£385.00</w:t>
            </w:r>
          </w:p>
        </w:tc>
        <w:tc>
          <w:tcPr>
            <w:tcW w:w="0" w:type="auto"/>
            <w:shd w:val="clear" w:color="auto" w:fill="auto"/>
            <w:hideMark/>
          </w:tcPr>
          <w:p w14:paraId="28D7FC17" w14:textId="77777777" w:rsidR="002F0133" w:rsidRPr="000B4E2C" w:rsidRDefault="002F0133" w:rsidP="008A7464">
            <w:pPr>
              <w:rPr>
                <w:sz w:val="22"/>
              </w:rPr>
            </w:pPr>
            <w:r w:rsidRPr="000B4E2C">
              <w:rPr>
                <w:sz w:val="22"/>
              </w:rPr>
              <w:t>£1.28</w:t>
            </w:r>
          </w:p>
        </w:tc>
        <w:tc>
          <w:tcPr>
            <w:tcW w:w="0" w:type="auto"/>
            <w:shd w:val="clear" w:color="auto" w:fill="auto"/>
            <w:hideMark/>
          </w:tcPr>
          <w:p w14:paraId="00EED7C0" w14:textId="0C741148" w:rsidR="002F0133" w:rsidRPr="000B4E2C" w:rsidRDefault="002F0133" w:rsidP="008A7464">
            <w:pPr>
              <w:rPr>
                <w:sz w:val="22"/>
              </w:rPr>
            </w:pPr>
            <w:r w:rsidRPr="000B4E2C">
              <w:rPr>
                <w:sz w:val="22"/>
              </w:rPr>
              <w:t>£385</w:t>
            </w:r>
            <w:r w:rsidR="000B4E2C" w:rsidRPr="000B4E2C">
              <w:rPr>
                <w:color w:val="00B0F0"/>
                <w:sz w:val="22"/>
              </w:rPr>
              <w:t>/</w:t>
            </w:r>
            <w:r w:rsidRPr="000B4E2C">
              <w:rPr>
                <w:sz w:val="22"/>
              </w:rPr>
              <w:t>number of tests in kit (</w:t>
            </w:r>
            <w:r w:rsidR="000B4E2C" w:rsidRPr="000B4E2C">
              <w:rPr>
                <w:color w:val="00B0F0"/>
                <w:sz w:val="22"/>
              </w:rPr>
              <w:t> = </w:t>
            </w:r>
            <w:r w:rsidRPr="000B4E2C">
              <w:rPr>
                <w:sz w:val="22"/>
              </w:rPr>
              <w:t>300)</w:t>
            </w:r>
          </w:p>
        </w:tc>
      </w:tr>
      <w:tr w:rsidR="002F0133" w:rsidRPr="000B4E2C" w14:paraId="12E8333A" w14:textId="77777777" w:rsidTr="000B4E2C">
        <w:trPr>
          <w:cantSplit/>
          <w:tblHeader/>
        </w:trPr>
        <w:tc>
          <w:tcPr>
            <w:tcW w:w="0" w:type="auto"/>
            <w:shd w:val="clear" w:color="auto" w:fill="auto"/>
            <w:hideMark/>
          </w:tcPr>
          <w:p w14:paraId="18A0BACB" w14:textId="77777777" w:rsidR="002F0133" w:rsidRPr="000B4E2C" w:rsidRDefault="002F0133" w:rsidP="008A7464">
            <w:pPr>
              <w:rPr>
                <w:sz w:val="22"/>
              </w:rPr>
            </w:pPr>
            <w:r w:rsidRPr="000B4E2C">
              <w:rPr>
                <w:sz w:val="22"/>
              </w:rPr>
              <w:t>NGAL Control kit</w:t>
            </w:r>
          </w:p>
        </w:tc>
        <w:tc>
          <w:tcPr>
            <w:tcW w:w="0" w:type="auto"/>
            <w:shd w:val="clear" w:color="auto" w:fill="auto"/>
            <w:hideMark/>
          </w:tcPr>
          <w:p w14:paraId="692AAED2" w14:textId="77777777" w:rsidR="002F0133" w:rsidRPr="000B4E2C" w:rsidRDefault="002F0133" w:rsidP="008A7464">
            <w:pPr>
              <w:rPr>
                <w:sz w:val="22"/>
              </w:rPr>
            </w:pPr>
            <w:r w:rsidRPr="000B4E2C">
              <w:rPr>
                <w:sz w:val="22"/>
              </w:rPr>
              <w:t>£185.00</w:t>
            </w:r>
          </w:p>
        </w:tc>
        <w:tc>
          <w:tcPr>
            <w:tcW w:w="0" w:type="auto"/>
            <w:shd w:val="clear" w:color="auto" w:fill="auto"/>
            <w:hideMark/>
          </w:tcPr>
          <w:p w14:paraId="2581AD85" w14:textId="77777777" w:rsidR="002F0133" w:rsidRPr="000B4E2C" w:rsidRDefault="002F0133" w:rsidP="008A7464">
            <w:pPr>
              <w:rPr>
                <w:sz w:val="22"/>
              </w:rPr>
            </w:pPr>
            <w:r w:rsidRPr="000B4E2C">
              <w:rPr>
                <w:sz w:val="22"/>
              </w:rPr>
              <w:t>£0.62</w:t>
            </w:r>
          </w:p>
        </w:tc>
        <w:tc>
          <w:tcPr>
            <w:tcW w:w="0" w:type="auto"/>
            <w:shd w:val="clear" w:color="auto" w:fill="auto"/>
            <w:hideMark/>
          </w:tcPr>
          <w:p w14:paraId="7AEA8B20" w14:textId="15F27A23" w:rsidR="002F0133" w:rsidRPr="000B4E2C" w:rsidRDefault="002F0133" w:rsidP="008A7464">
            <w:pPr>
              <w:rPr>
                <w:sz w:val="22"/>
              </w:rPr>
            </w:pPr>
            <w:r w:rsidRPr="000B4E2C">
              <w:rPr>
                <w:sz w:val="22"/>
              </w:rPr>
              <w:t>£185</w:t>
            </w:r>
            <w:r w:rsidR="000B4E2C" w:rsidRPr="000B4E2C">
              <w:rPr>
                <w:color w:val="00B0F0"/>
                <w:sz w:val="22"/>
              </w:rPr>
              <w:t>/</w:t>
            </w:r>
            <w:r w:rsidRPr="000B4E2C">
              <w:rPr>
                <w:sz w:val="22"/>
              </w:rPr>
              <w:t>number of tests in kit (</w:t>
            </w:r>
            <w:r w:rsidR="000B4E2C" w:rsidRPr="000B4E2C">
              <w:rPr>
                <w:color w:val="00B0F0"/>
                <w:sz w:val="22"/>
              </w:rPr>
              <w:t> = </w:t>
            </w:r>
            <w:r w:rsidRPr="000B4E2C">
              <w:rPr>
                <w:sz w:val="22"/>
              </w:rPr>
              <w:t>300)</w:t>
            </w:r>
          </w:p>
        </w:tc>
      </w:tr>
      <w:tr w:rsidR="002F0133" w:rsidRPr="000B4E2C" w14:paraId="74FD85C4" w14:textId="77777777" w:rsidTr="000B4E2C">
        <w:trPr>
          <w:cantSplit/>
          <w:tblHeader/>
        </w:trPr>
        <w:tc>
          <w:tcPr>
            <w:tcW w:w="0" w:type="auto"/>
            <w:gridSpan w:val="4"/>
            <w:shd w:val="clear" w:color="auto" w:fill="auto"/>
            <w:hideMark/>
          </w:tcPr>
          <w:p w14:paraId="7102016C" w14:textId="77777777" w:rsidR="002F0133" w:rsidRPr="000B4E2C" w:rsidRDefault="002F0133" w:rsidP="008A7464">
            <w:pPr>
              <w:rPr>
                <w:sz w:val="22"/>
              </w:rPr>
            </w:pPr>
            <w:r w:rsidRPr="000B4E2C">
              <w:rPr>
                <w:b/>
                <w:bCs/>
                <w:sz w:val="22"/>
              </w:rPr>
              <w:t>Abbott</w:t>
            </w:r>
          </w:p>
        </w:tc>
      </w:tr>
      <w:tr w:rsidR="002F0133" w:rsidRPr="000B4E2C" w14:paraId="285A0BF7" w14:textId="77777777" w:rsidTr="000B4E2C">
        <w:trPr>
          <w:cantSplit/>
          <w:tblHeader/>
        </w:trPr>
        <w:tc>
          <w:tcPr>
            <w:tcW w:w="0" w:type="auto"/>
            <w:shd w:val="clear" w:color="auto" w:fill="auto"/>
            <w:hideMark/>
          </w:tcPr>
          <w:p w14:paraId="3D01A205" w14:textId="77777777" w:rsidR="002F0133" w:rsidRPr="000B4E2C" w:rsidRDefault="002F0133" w:rsidP="008A7464">
            <w:pPr>
              <w:rPr>
                <w:sz w:val="22"/>
              </w:rPr>
            </w:pPr>
            <w:r w:rsidRPr="000B4E2C">
              <w:rPr>
                <w:sz w:val="22"/>
              </w:rPr>
              <w:t xml:space="preserve">ARCHITECT Urine Calibrator kit </w:t>
            </w:r>
          </w:p>
        </w:tc>
        <w:tc>
          <w:tcPr>
            <w:tcW w:w="0" w:type="auto"/>
            <w:shd w:val="clear" w:color="auto" w:fill="auto"/>
            <w:hideMark/>
          </w:tcPr>
          <w:p w14:paraId="02B1705D" w14:textId="77777777" w:rsidR="002F0133" w:rsidRPr="000B4E2C" w:rsidRDefault="002F0133" w:rsidP="008A7464">
            <w:pPr>
              <w:rPr>
                <w:sz w:val="22"/>
              </w:rPr>
            </w:pPr>
            <w:r w:rsidRPr="000B4E2C">
              <w:rPr>
                <w:sz w:val="22"/>
              </w:rPr>
              <w:t>£165</w:t>
            </w:r>
          </w:p>
        </w:tc>
        <w:tc>
          <w:tcPr>
            <w:tcW w:w="0" w:type="auto"/>
            <w:shd w:val="clear" w:color="auto" w:fill="auto"/>
            <w:hideMark/>
          </w:tcPr>
          <w:p w14:paraId="6C304B64" w14:textId="77777777" w:rsidR="002F0133" w:rsidRPr="000B4E2C" w:rsidRDefault="002F0133" w:rsidP="008A7464">
            <w:pPr>
              <w:rPr>
                <w:sz w:val="22"/>
              </w:rPr>
            </w:pPr>
            <w:r w:rsidRPr="000B4E2C">
              <w:rPr>
                <w:sz w:val="22"/>
              </w:rPr>
              <w:t>£2.06</w:t>
            </w:r>
          </w:p>
        </w:tc>
        <w:tc>
          <w:tcPr>
            <w:tcW w:w="0" w:type="auto"/>
            <w:shd w:val="clear" w:color="auto" w:fill="auto"/>
            <w:hideMark/>
          </w:tcPr>
          <w:p w14:paraId="13C93099" w14:textId="63CD115F" w:rsidR="002F0133" w:rsidRPr="000B4E2C" w:rsidRDefault="002F0133" w:rsidP="008A7464">
            <w:pPr>
              <w:rPr>
                <w:sz w:val="22"/>
              </w:rPr>
            </w:pPr>
            <w:r w:rsidRPr="000B4E2C">
              <w:rPr>
                <w:sz w:val="22"/>
              </w:rPr>
              <w:t>£165</w:t>
            </w:r>
            <w:r w:rsidR="000B4E2C" w:rsidRPr="000B4E2C">
              <w:rPr>
                <w:color w:val="00B0F0"/>
                <w:sz w:val="22"/>
              </w:rPr>
              <w:t>/</w:t>
            </w:r>
            <w:r w:rsidRPr="000B4E2C">
              <w:rPr>
                <w:sz w:val="22"/>
              </w:rPr>
              <w:t>number of tests a kit can produce (</w:t>
            </w:r>
            <w:r w:rsidR="000B4E2C" w:rsidRPr="000B4E2C">
              <w:rPr>
                <w:color w:val="00B0F0"/>
                <w:sz w:val="22"/>
              </w:rPr>
              <w:t> = </w:t>
            </w:r>
            <w:r w:rsidRPr="000B4E2C">
              <w:rPr>
                <w:sz w:val="22"/>
              </w:rPr>
              <w:t>80)</w:t>
            </w:r>
          </w:p>
        </w:tc>
      </w:tr>
      <w:tr w:rsidR="002F0133" w:rsidRPr="000B4E2C" w14:paraId="094CFE42" w14:textId="77777777" w:rsidTr="000B4E2C">
        <w:trPr>
          <w:cantSplit/>
          <w:tblHeader/>
        </w:trPr>
        <w:tc>
          <w:tcPr>
            <w:tcW w:w="0" w:type="auto"/>
            <w:shd w:val="clear" w:color="auto" w:fill="auto"/>
            <w:hideMark/>
          </w:tcPr>
          <w:p w14:paraId="2189C6EB" w14:textId="77777777" w:rsidR="002F0133" w:rsidRPr="000B4E2C" w:rsidRDefault="002F0133" w:rsidP="008A7464">
            <w:pPr>
              <w:rPr>
                <w:sz w:val="22"/>
              </w:rPr>
            </w:pPr>
            <w:r w:rsidRPr="000B4E2C">
              <w:rPr>
                <w:sz w:val="22"/>
              </w:rPr>
              <w:t xml:space="preserve">ARCHITECT Urine Control kit </w:t>
            </w:r>
          </w:p>
        </w:tc>
        <w:tc>
          <w:tcPr>
            <w:tcW w:w="0" w:type="auto"/>
            <w:shd w:val="clear" w:color="auto" w:fill="auto"/>
            <w:hideMark/>
          </w:tcPr>
          <w:p w14:paraId="3DA0E416" w14:textId="77777777" w:rsidR="002F0133" w:rsidRPr="000B4E2C" w:rsidRDefault="002F0133" w:rsidP="008A7464">
            <w:pPr>
              <w:rPr>
                <w:sz w:val="22"/>
              </w:rPr>
            </w:pPr>
            <w:r w:rsidRPr="000B4E2C">
              <w:rPr>
                <w:sz w:val="22"/>
              </w:rPr>
              <w:t>£115</w:t>
            </w:r>
          </w:p>
        </w:tc>
        <w:tc>
          <w:tcPr>
            <w:tcW w:w="0" w:type="auto"/>
            <w:shd w:val="clear" w:color="auto" w:fill="auto"/>
            <w:hideMark/>
          </w:tcPr>
          <w:p w14:paraId="605AFB1A" w14:textId="77777777" w:rsidR="002F0133" w:rsidRPr="000B4E2C" w:rsidRDefault="002F0133" w:rsidP="008A7464">
            <w:pPr>
              <w:rPr>
                <w:sz w:val="22"/>
              </w:rPr>
            </w:pPr>
            <w:r w:rsidRPr="000B4E2C">
              <w:rPr>
                <w:sz w:val="22"/>
              </w:rPr>
              <w:t>£1.44</w:t>
            </w:r>
          </w:p>
        </w:tc>
        <w:tc>
          <w:tcPr>
            <w:tcW w:w="0" w:type="auto"/>
            <w:shd w:val="clear" w:color="auto" w:fill="auto"/>
            <w:hideMark/>
          </w:tcPr>
          <w:p w14:paraId="1D600FDB" w14:textId="6BD2ADB3" w:rsidR="002F0133" w:rsidRPr="000B4E2C" w:rsidRDefault="002F0133" w:rsidP="008A7464">
            <w:pPr>
              <w:rPr>
                <w:sz w:val="22"/>
              </w:rPr>
            </w:pPr>
            <w:r w:rsidRPr="000B4E2C">
              <w:rPr>
                <w:sz w:val="22"/>
              </w:rPr>
              <w:t>£115</w:t>
            </w:r>
            <w:r w:rsidR="000B4E2C" w:rsidRPr="000B4E2C">
              <w:rPr>
                <w:color w:val="00B0F0"/>
                <w:sz w:val="22"/>
              </w:rPr>
              <w:t>/</w:t>
            </w:r>
            <w:r w:rsidRPr="000B4E2C">
              <w:rPr>
                <w:sz w:val="22"/>
              </w:rPr>
              <w:t>number of tests a kit can produce (</w:t>
            </w:r>
            <w:r w:rsidR="000B4E2C" w:rsidRPr="000B4E2C">
              <w:rPr>
                <w:color w:val="00B0F0"/>
                <w:sz w:val="22"/>
              </w:rPr>
              <w:t> = </w:t>
            </w:r>
            <w:r w:rsidRPr="000B4E2C">
              <w:rPr>
                <w:sz w:val="22"/>
              </w:rPr>
              <w:t>80)</w:t>
            </w:r>
          </w:p>
        </w:tc>
      </w:tr>
      <w:tr w:rsidR="002F0133" w:rsidRPr="000B4E2C" w14:paraId="580CC271" w14:textId="77777777" w:rsidTr="000B4E2C">
        <w:trPr>
          <w:cantSplit/>
          <w:tblHeader/>
        </w:trPr>
        <w:tc>
          <w:tcPr>
            <w:tcW w:w="0" w:type="auto"/>
            <w:shd w:val="clear" w:color="auto" w:fill="auto"/>
            <w:hideMark/>
          </w:tcPr>
          <w:p w14:paraId="69C2D835" w14:textId="77777777" w:rsidR="002F0133" w:rsidRPr="000B4E2C" w:rsidRDefault="002F0133" w:rsidP="008A7464">
            <w:pPr>
              <w:rPr>
                <w:sz w:val="22"/>
              </w:rPr>
            </w:pPr>
            <w:r w:rsidRPr="000B4E2C">
              <w:rPr>
                <w:sz w:val="22"/>
              </w:rPr>
              <w:t>Reaction vessels and bulk solutions</w:t>
            </w:r>
          </w:p>
        </w:tc>
        <w:tc>
          <w:tcPr>
            <w:tcW w:w="0" w:type="auto"/>
            <w:shd w:val="clear" w:color="auto" w:fill="auto"/>
            <w:hideMark/>
          </w:tcPr>
          <w:p w14:paraId="72ED45DD" w14:textId="6FF11663" w:rsidR="002F0133" w:rsidRPr="000B4E2C" w:rsidRDefault="000B4E2C" w:rsidP="008A7464">
            <w:pPr>
              <w:rPr>
                <w:sz w:val="22"/>
              </w:rPr>
            </w:pPr>
            <w:r w:rsidRPr="000B4E2C">
              <w:rPr>
                <w:sz w:val="22"/>
              </w:rPr>
              <w:t xml:space="preserve"> </w:t>
            </w:r>
          </w:p>
        </w:tc>
        <w:tc>
          <w:tcPr>
            <w:tcW w:w="0" w:type="auto"/>
            <w:shd w:val="clear" w:color="auto" w:fill="auto"/>
            <w:hideMark/>
          </w:tcPr>
          <w:p w14:paraId="139E1C9C" w14:textId="77777777" w:rsidR="002F0133" w:rsidRPr="000B4E2C" w:rsidRDefault="002F0133" w:rsidP="008A7464">
            <w:pPr>
              <w:rPr>
                <w:sz w:val="22"/>
              </w:rPr>
            </w:pPr>
            <w:r w:rsidRPr="000B4E2C">
              <w:rPr>
                <w:sz w:val="22"/>
              </w:rPr>
              <w:t>0.01</w:t>
            </w:r>
          </w:p>
        </w:tc>
        <w:tc>
          <w:tcPr>
            <w:tcW w:w="0" w:type="auto"/>
            <w:shd w:val="clear" w:color="auto" w:fill="auto"/>
            <w:hideMark/>
          </w:tcPr>
          <w:p w14:paraId="33BC40C0" w14:textId="3EA71E1E" w:rsidR="002F0133" w:rsidRPr="000B4E2C" w:rsidRDefault="000B4E2C" w:rsidP="008A7464">
            <w:pPr>
              <w:rPr>
                <w:sz w:val="22"/>
              </w:rPr>
            </w:pPr>
            <w:r w:rsidRPr="000B4E2C">
              <w:rPr>
                <w:sz w:val="22"/>
              </w:rPr>
              <w:t xml:space="preserve"> </w:t>
            </w:r>
            <w:r w:rsidR="002F0133" w:rsidRPr="000B4E2C">
              <w:rPr>
                <w:sz w:val="22"/>
              </w:rPr>
              <w:t>Manufacturer estimation (sourced from NICE</w:t>
            </w:r>
            <w:r w:rsidRPr="000B4E2C">
              <w:rPr>
                <w:color w:val="00B0F0"/>
                <w:sz w:val="22"/>
              </w:rPr>
              <w:t>’</w:t>
            </w:r>
            <w:r w:rsidR="002F0133" w:rsidRPr="000B4E2C">
              <w:rPr>
                <w:sz w:val="22"/>
              </w:rPr>
              <w:t>s Request for Information document)</w:t>
            </w:r>
          </w:p>
        </w:tc>
      </w:tr>
      <w:tr w:rsidR="002F0133" w:rsidRPr="000B4E2C" w14:paraId="2CACADF7" w14:textId="77777777" w:rsidTr="000B4E2C">
        <w:trPr>
          <w:cantSplit/>
          <w:tblHeader/>
        </w:trPr>
        <w:tc>
          <w:tcPr>
            <w:tcW w:w="0" w:type="auto"/>
            <w:gridSpan w:val="4"/>
            <w:shd w:val="clear" w:color="auto" w:fill="auto"/>
            <w:hideMark/>
          </w:tcPr>
          <w:p w14:paraId="7C8C47D5" w14:textId="77777777" w:rsidR="002F0133" w:rsidRPr="000B4E2C" w:rsidRDefault="002F0133" w:rsidP="008A7464">
            <w:pPr>
              <w:rPr>
                <w:sz w:val="22"/>
              </w:rPr>
            </w:pPr>
            <w:r w:rsidRPr="000B4E2C">
              <w:rPr>
                <w:b/>
                <w:bCs/>
                <w:sz w:val="22"/>
              </w:rPr>
              <w:t>Alinity</w:t>
            </w:r>
          </w:p>
        </w:tc>
      </w:tr>
      <w:tr w:rsidR="002F0133" w:rsidRPr="000B4E2C" w14:paraId="54392E7C" w14:textId="77777777" w:rsidTr="000B4E2C">
        <w:trPr>
          <w:cantSplit/>
          <w:tblHeader/>
        </w:trPr>
        <w:tc>
          <w:tcPr>
            <w:tcW w:w="0" w:type="auto"/>
            <w:shd w:val="clear" w:color="auto" w:fill="auto"/>
            <w:hideMark/>
          </w:tcPr>
          <w:p w14:paraId="779AB2AC" w14:textId="77777777" w:rsidR="002F0133" w:rsidRPr="000B4E2C" w:rsidRDefault="002F0133" w:rsidP="008A7464">
            <w:pPr>
              <w:rPr>
                <w:sz w:val="22"/>
              </w:rPr>
            </w:pPr>
            <w:r w:rsidRPr="000B4E2C">
              <w:rPr>
                <w:sz w:val="22"/>
              </w:rPr>
              <w:t xml:space="preserve">Alinity Urine Calibrator kit </w:t>
            </w:r>
          </w:p>
        </w:tc>
        <w:tc>
          <w:tcPr>
            <w:tcW w:w="0" w:type="auto"/>
            <w:shd w:val="clear" w:color="auto" w:fill="auto"/>
            <w:hideMark/>
          </w:tcPr>
          <w:p w14:paraId="04C55771" w14:textId="77777777" w:rsidR="002F0133" w:rsidRPr="000B4E2C" w:rsidRDefault="002F0133" w:rsidP="008A7464">
            <w:pPr>
              <w:rPr>
                <w:sz w:val="22"/>
              </w:rPr>
            </w:pPr>
            <w:r w:rsidRPr="000B4E2C">
              <w:rPr>
                <w:sz w:val="22"/>
              </w:rPr>
              <w:t>£165</w:t>
            </w:r>
          </w:p>
        </w:tc>
        <w:tc>
          <w:tcPr>
            <w:tcW w:w="0" w:type="auto"/>
            <w:shd w:val="clear" w:color="auto" w:fill="auto"/>
            <w:hideMark/>
          </w:tcPr>
          <w:p w14:paraId="21B82D58" w14:textId="77777777" w:rsidR="002F0133" w:rsidRPr="000B4E2C" w:rsidRDefault="002F0133" w:rsidP="008A7464">
            <w:pPr>
              <w:rPr>
                <w:sz w:val="22"/>
              </w:rPr>
            </w:pPr>
            <w:r w:rsidRPr="000B4E2C">
              <w:rPr>
                <w:sz w:val="22"/>
              </w:rPr>
              <w:t>£2.06</w:t>
            </w:r>
          </w:p>
        </w:tc>
        <w:tc>
          <w:tcPr>
            <w:tcW w:w="0" w:type="auto"/>
            <w:shd w:val="clear" w:color="auto" w:fill="auto"/>
            <w:hideMark/>
          </w:tcPr>
          <w:p w14:paraId="31B051A7" w14:textId="23283177" w:rsidR="002F0133" w:rsidRPr="000B4E2C" w:rsidRDefault="002F0133" w:rsidP="008A7464">
            <w:pPr>
              <w:rPr>
                <w:sz w:val="22"/>
              </w:rPr>
            </w:pPr>
            <w:r w:rsidRPr="000B4E2C">
              <w:rPr>
                <w:sz w:val="22"/>
              </w:rPr>
              <w:t>£165</w:t>
            </w:r>
            <w:r w:rsidR="000B4E2C" w:rsidRPr="000B4E2C">
              <w:rPr>
                <w:color w:val="00B0F0"/>
                <w:sz w:val="22"/>
              </w:rPr>
              <w:t>/</w:t>
            </w:r>
            <w:r w:rsidRPr="000B4E2C">
              <w:rPr>
                <w:sz w:val="22"/>
              </w:rPr>
              <w:t>number of tests a kit can produce (</w:t>
            </w:r>
            <w:r w:rsidR="000B4E2C" w:rsidRPr="000B4E2C">
              <w:rPr>
                <w:color w:val="00B0F0"/>
                <w:sz w:val="22"/>
              </w:rPr>
              <w:t> = </w:t>
            </w:r>
            <w:r w:rsidRPr="000B4E2C">
              <w:rPr>
                <w:sz w:val="22"/>
              </w:rPr>
              <w:t>80)</w:t>
            </w:r>
          </w:p>
        </w:tc>
      </w:tr>
      <w:tr w:rsidR="002F0133" w:rsidRPr="000B4E2C" w14:paraId="064FFB18" w14:textId="77777777" w:rsidTr="000B4E2C">
        <w:trPr>
          <w:cantSplit/>
          <w:tblHeader/>
        </w:trPr>
        <w:tc>
          <w:tcPr>
            <w:tcW w:w="0" w:type="auto"/>
            <w:shd w:val="clear" w:color="auto" w:fill="auto"/>
            <w:hideMark/>
          </w:tcPr>
          <w:p w14:paraId="30B93B71" w14:textId="77777777" w:rsidR="002F0133" w:rsidRPr="000B4E2C" w:rsidRDefault="002F0133" w:rsidP="008A7464">
            <w:pPr>
              <w:rPr>
                <w:sz w:val="22"/>
              </w:rPr>
            </w:pPr>
            <w:r w:rsidRPr="000B4E2C">
              <w:rPr>
                <w:sz w:val="22"/>
              </w:rPr>
              <w:t xml:space="preserve">Alinity Urine Control kit </w:t>
            </w:r>
          </w:p>
        </w:tc>
        <w:tc>
          <w:tcPr>
            <w:tcW w:w="0" w:type="auto"/>
            <w:shd w:val="clear" w:color="auto" w:fill="auto"/>
            <w:hideMark/>
          </w:tcPr>
          <w:p w14:paraId="4D2A2336" w14:textId="77777777" w:rsidR="002F0133" w:rsidRPr="000B4E2C" w:rsidRDefault="002F0133" w:rsidP="008A7464">
            <w:pPr>
              <w:rPr>
                <w:sz w:val="22"/>
              </w:rPr>
            </w:pPr>
            <w:r w:rsidRPr="000B4E2C">
              <w:rPr>
                <w:sz w:val="22"/>
              </w:rPr>
              <w:t>£115</w:t>
            </w:r>
          </w:p>
        </w:tc>
        <w:tc>
          <w:tcPr>
            <w:tcW w:w="0" w:type="auto"/>
            <w:shd w:val="clear" w:color="auto" w:fill="auto"/>
            <w:hideMark/>
          </w:tcPr>
          <w:p w14:paraId="64959B31" w14:textId="77777777" w:rsidR="002F0133" w:rsidRPr="000B4E2C" w:rsidRDefault="002F0133" w:rsidP="008A7464">
            <w:pPr>
              <w:rPr>
                <w:sz w:val="22"/>
              </w:rPr>
            </w:pPr>
            <w:r w:rsidRPr="000B4E2C">
              <w:rPr>
                <w:sz w:val="22"/>
              </w:rPr>
              <w:t>£1.44</w:t>
            </w:r>
          </w:p>
        </w:tc>
        <w:tc>
          <w:tcPr>
            <w:tcW w:w="0" w:type="auto"/>
            <w:shd w:val="clear" w:color="auto" w:fill="auto"/>
            <w:hideMark/>
          </w:tcPr>
          <w:p w14:paraId="5A6F9911" w14:textId="57F63B34" w:rsidR="002F0133" w:rsidRPr="000B4E2C" w:rsidRDefault="002F0133" w:rsidP="008A7464">
            <w:pPr>
              <w:rPr>
                <w:sz w:val="22"/>
              </w:rPr>
            </w:pPr>
            <w:r w:rsidRPr="000B4E2C">
              <w:rPr>
                <w:sz w:val="22"/>
              </w:rPr>
              <w:t>£115</w:t>
            </w:r>
            <w:r w:rsidR="000B4E2C" w:rsidRPr="000B4E2C">
              <w:rPr>
                <w:color w:val="00B0F0"/>
                <w:sz w:val="22"/>
              </w:rPr>
              <w:t>/</w:t>
            </w:r>
            <w:r w:rsidRPr="000B4E2C">
              <w:rPr>
                <w:sz w:val="22"/>
              </w:rPr>
              <w:t>number of tests a kit can produce (</w:t>
            </w:r>
            <w:r w:rsidR="000B4E2C" w:rsidRPr="000B4E2C">
              <w:rPr>
                <w:color w:val="00B0F0"/>
                <w:sz w:val="22"/>
              </w:rPr>
              <w:t> = </w:t>
            </w:r>
            <w:r w:rsidRPr="000B4E2C">
              <w:rPr>
                <w:sz w:val="22"/>
              </w:rPr>
              <w:t>80)</w:t>
            </w:r>
          </w:p>
        </w:tc>
      </w:tr>
      <w:tr w:rsidR="002F0133" w:rsidRPr="000B4E2C" w14:paraId="5ADC8A9D" w14:textId="77777777" w:rsidTr="000B4E2C">
        <w:trPr>
          <w:cantSplit/>
          <w:tblHeader/>
        </w:trPr>
        <w:tc>
          <w:tcPr>
            <w:tcW w:w="0" w:type="auto"/>
            <w:shd w:val="clear" w:color="auto" w:fill="auto"/>
            <w:hideMark/>
          </w:tcPr>
          <w:p w14:paraId="456079FF" w14:textId="77777777" w:rsidR="002F0133" w:rsidRPr="000B4E2C" w:rsidRDefault="002F0133" w:rsidP="008A7464">
            <w:pPr>
              <w:rPr>
                <w:sz w:val="22"/>
              </w:rPr>
            </w:pPr>
            <w:r w:rsidRPr="000B4E2C">
              <w:rPr>
                <w:sz w:val="22"/>
              </w:rPr>
              <w:t>Reaction vessels and bulk solutions</w:t>
            </w:r>
          </w:p>
        </w:tc>
        <w:tc>
          <w:tcPr>
            <w:tcW w:w="0" w:type="auto"/>
            <w:shd w:val="clear" w:color="auto" w:fill="auto"/>
            <w:hideMark/>
          </w:tcPr>
          <w:p w14:paraId="213500E8" w14:textId="3A34E6DB" w:rsidR="002F0133" w:rsidRPr="000B4E2C" w:rsidRDefault="000B4E2C" w:rsidP="008A7464">
            <w:pPr>
              <w:rPr>
                <w:sz w:val="22"/>
              </w:rPr>
            </w:pPr>
            <w:r w:rsidRPr="000B4E2C">
              <w:rPr>
                <w:sz w:val="22"/>
              </w:rPr>
              <w:t xml:space="preserve"> </w:t>
            </w:r>
          </w:p>
        </w:tc>
        <w:tc>
          <w:tcPr>
            <w:tcW w:w="0" w:type="auto"/>
            <w:shd w:val="clear" w:color="auto" w:fill="auto"/>
            <w:hideMark/>
          </w:tcPr>
          <w:p w14:paraId="097092E2" w14:textId="77777777" w:rsidR="002F0133" w:rsidRPr="000B4E2C" w:rsidRDefault="002F0133" w:rsidP="008A7464">
            <w:pPr>
              <w:rPr>
                <w:sz w:val="22"/>
              </w:rPr>
            </w:pPr>
            <w:r w:rsidRPr="000B4E2C">
              <w:rPr>
                <w:sz w:val="22"/>
              </w:rPr>
              <w:t>£0.01</w:t>
            </w:r>
          </w:p>
        </w:tc>
        <w:tc>
          <w:tcPr>
            <w:tcW w:w="0" w:type="auto"/>
            <w:shd w:val="clear" w:color="auto" w:fill="auto"/>
            <w:hideMark/>
          </w:tcPr>
          <w:p w14:paraId="3EBFB055" w14:textId="76FF948C" w:rsidR="002F0133" w:rsidRPr="000B4E2C" w:rsidRDefault="000B4E2C" w:rsidP="008A7464">
            <w:pPr>
              <w:rPr>
                <w:sz w:val="22"/>
              </w:rPr>
            </w:pPr>
            <w:r w:rsidRPr="000B4E2C">
              <w:rPr>
                <w:sz w:val="22"/>
              </w:rPr>
              <w:t xml:space="preserve"> </w:t>
            </w:r>
            <w:r w:rsidR="002F0133" w:rsidRPr="000B4E2C">
              <w:rPr>
                <w:sz w:val="22"/>
              </w:rPr>
              <w:t>Manufacturer estimation (sourced from NICE</w:t>
            </w:r>
            <w:r w:rsidRPr="000B4E2C">
              <w:rPr>
                <w:color w:val="00B0F0"/>
                <w:sz w:val="22"/>
              </w:rPr>
              <w:t>’</w:t>
            </w:r>
            <w:r w:rsidR="002F0133" w:rsidRPr="000B4E2C">
              <w:rPr>
                <w:sz w:val="22"/>
              </w:rPr>
              <w:t>s Request for Information document)</w:t>
            </w:r>
          </w:p>
        </w:tc>
      </w:tr>
    </w:tbl>
    <w:p w14:paraId="1186B322" w14:textId="77777777" w:rsidR="000B4E2C" w:rsidRPr="000B4E2C" w:rsidRDefault="000B4E2C" w:rsidP="008A7464"/>
    <w:p w14:paraId="6C49647B" w14:textId="2A2A202D" w:rsidR="002F0133" w:rsidRPr="000B4E2C" w:rsidRDefault="000B4E2C" w:rsidP="008A7464">
      <w:pPr>
        <w:pStyle w:val="Heading2"/>
      </w:pPr>
      <w:r w:rsidRPr="000B4E2C">
        <w:rPr>
          <w:rStyle w:val="Heading2Char"/>
          <w:b/>
          <w:bCs/>
          <w:i/>
          <w:iCs/>
          <w:color w:val="FF0000"/>
        </w:rPr>
        <w:t>T</w:t>
      </w:r>
      <w:r w:rsidRPr="000B4E2C">
        <w:rPr>
          <w:rStyle w:val="Heading2Char"/>
          <w:b/>
          <w:bCs/>
          <w:i/>
          <w:iCs/>
          <w:color w:val="FF0000"/>
        </w:rPr>
        <w:t>able</w:t>
      </w:r>
      <w:r w:rsidRPr="000B4E2C">
        <w:rPr>
          <w:rStyle w:val="Heading2Char"/>
          <w:b/>
          <w:bCs/>
          <w:i/>
          <w:iCs/>
          <w:color w:val="FF0000"/>
        </w:rPr>
        <w:t xml:space="preserve"> </w:t>
      </w:r>
      <w:r w:rsidRPr="000B4E2C">
        <w:rPr>
          <w:i/>
          <w:color w:val="FF0000"/>
        </w:rPr>
        <w:t>35</w:t>
      </w:r>
      <w:r w:rsidRPr="000B4E2C">
        <w:t xml:space="preserve"> </w:t>
      </w:r>
      <w:r w:rsidR="002F0133" w:rsidRPr="000B4E2C">
        <w:t>ESA medication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5187"/>
        <w:gridCol w:w="1408"/>
        <w:gridCol w:w="882"/>
        <w:gridCol w:w="835"/>
      </w:tblGrid>
      <w:tr w:rsidR="002F0133" w:rsidRPr="000B4E2C" w14:paraId="73F198D3" w14:textId="77777777" w:rsidTr="000B4E2C">
        <w:trPr>
          <w:cantSplit/>
        </w:trPr>
        <w:tc>
          <w:tcPr>
            <w:tcW w:w="0" w:type="auto"/>
            <w:shd w:val="clear" w:color="auto" w:fill="auto"/>
            <w:noWrap/>
            <w:hideMark/>
          </w:tcPr>
          <w:p w14:paraId="56A0B83F" w14:textId="1F60F99E" w:rsidR="002F0133" w:rsidRPr="000B4E2C" w:rsidRDefault="000B4E2C" w:rsidP="008A7464">
            <w:pPr>
              <w:rPr>
                <w:sz w:val="22"/>
              </w:rPr>
            </w:pPr>
            <w:r w:rsidRPr="000B4E2C">
              <w:rPr>
                <w:sz w:val="22"/>
              </w:rPr>
              <w:t xml:space="preserve"> </w:t>
            </w:r>
          </w:p>
        </w:tc>
        <w:tc>
          <w:tcPr>
            <w:tcW w:w="0" w:type="auto"/>
            <w:shd w:val="clear" w:color="auto" w:fill="auto"/>
            <w:noWrap/>
            <w:hideMark/>
          </w:tcPr>
          <w:p w14:paraId="6EC92293" w14:textId="77777777" w:rsidR="002F0133" w:rsidRPr="000B4E2C" w:rsidRDefault="002F0133" w:rsidP="008A7464">
            <w:pPr>
              <w:rPr>
                <w:b/>
                <w:bCs/>
                <w:sz w:val="22"/>
              </w:rPr>
            </w:pPr>
            <w:r w:rsidRPr="000B4E2C">
              <w:rPr>
                <w:b/>
                <w:bCs/>
                <w:sz w:val="22"/>
              </w:rPr>
              <w:t>NeoRecormon</w:t>
            </w:r>
          </w:p>
        </w:tc>
        <w:tc>
          <w:tcPr>
            <w:tcW w:w="0" w:type="auto"/>
            <w:shd w:val="clear" w:color="auto" w:fill="auto"/>
            <w:noWrap/>
            <w:hideMark/>
          </w:tcPr>
          <w:p w14:paraId="35404B80" w14:textId="77777777" w:rsidR="002F0133" w:rsidRPr="000B4E2C" w:rsidRDefault="002F0133" w:rsidP="008A7464">
            <w:pPr>
              <w:rPr>
                <w:b/>
                <w:bCs/>
                <w:sz w:val="22"/>
              </w:rPr>
            </w:pPr>
            <w:r w:rsidRPr="000B4E2C">
              <w:rPr>
                <w:b/>
                <w:bCs/>
                <w:sz w:val="22"/>
              </w:rPr>
              <w:t xml:space="preserve">Aranesp </w:t>
            </w:r>
          </w:p>
        </w:tc>
        <w:tc>
          <w:tcPr>
            <w:tcW w:w="0" w:type="auto"/>
            <w:shd w:val="clear" w:color="auto" w:fill="auto"/>
          </w:tcPr>
          <w:p w14:paraId="7E9D4F21" w14:textId="77777777" w:rsidR="002F0133" w:rsidRPr="000B4E2C" w:rsidRDefault="002F0133" w:rsidP="008A7464">
            <w:pPr>
              <w:rPr>
                <w:b/>
                <w:bCs/>
                <w:sz w:val="22"/>
              </w:rPr>
            </w:pPr>
            <w:r w:rsidRPr="000B4E2C">
              <w:rPr>
                <w:b/>
                <w:bCs/>
                <w:sz w:val="22"/>
              </w:rPr>
              <w:t>Source</w:t>
            </w:r>
          </w:p>
        </w:tc>
      </w:tr>
      <w:tr w:rsidR="002F0133" w:rsidRPr="000B4E2C" w14:paraId="4854BEBF" w14:textId="77777777" w:rsidTr="000B4E2C">
        <w:trPr>
          <w:cantSplit/>
        </w:trPr>
        <w:tc>
          <w:tcPr>
            <w:tcW w:w="0" w:type="auto"/>
            <w:shd w:val="clear" w:color="auto" w:fill="auto"/>
            <w:noWrap/>
          </w:tcPr>
          <w:p w14:paraId="1680CFF7" w14:textId="77777777" w:rsidR="002F0133" w:rsidRPr="000B4E2C" w:rsidRDefault="002F0133" w:rsidP="008A7464">
            <w:pPr>
              <w:rPr>
                <w:sz w:val="22"/>
              </w:rPr>
            </w:pPr>
            <w:r w:rsidRPr="000B4E2C">
              <w:rPr>
                <w:sz w:val="22"/>
              </w:rPr>
              <w:t>Price per IU</w:t>
            </w:r>
          </w:p>
        </w:tc>
        <w:tc>
          <w:tcPr>
            <w:tcW w:w="0" w:type="auto"/>
            <w:shd w:val="clear" w:color="auto" w:fill="auto"/>
            <w:noWrap/>
          </w:tcPr>
          <w:p w14:paraId="66B6ED34" w14:textId="77777777" w:rsidR="002F0133" w:rsidRPr="000B4E2C" w:rsidRDefault="002F0133" w:rsidP="008A7464">
            <w:pPr>
              <w:rPr>
                <w:b/>
                <w:bCs/>
                <w:sz w:val="22"/>
              </w:rPr>
            </w:pPr>
            <w:r w:rsidRPr="000B4E2C">
              <w:rPr>
                <w:sz w:val="22"/>
              </w:rPr>
              <w:t>£0.007</w:t>
            </w:r>
          </w:p>
        </w:tc>
        <w:tc>
          <w:tcPr>
            <w:tcW w:w="0" w:type="auto"/>
            <w:shd w:val="clear" w:color="auto" w:fill="auto"/>
            <w:noWrap/>
          </w:tcPr>
          <w:p w14:paraId="12B6BFC1" w14:textId="77777777" w:rsidR="002F0133" w:rsidRPr="000B4E2C" w:rsidRDefault="002F0133" w:rsidP="008A7464">
            <w:pPr>
              <w:rPr>
                <w:b/>
                <w:bCs/>
                <w:sz w:val="22"/>
              </w:rPr>
            </w:pPr>
            <w:r w:rsidRPr="000B4E2C">
              <w:rPr>
                <w:sz w:val="22"/>
              </w:rPr>
              <w:t>£0.007</w:t>
            </w:r>
          </w:p>
        </w:tc>
        <w:tc>
          <w:tcPr>
            <w:tcW w:w="0" w:type="auto"/>
            <w:shd w:val="clear" w:color="auto" w:fill="auto"/>
          </w:tcPr>
          <w:p w14:paraId="07E71D1E" w14:textId="77777777" w:rsidR="002F0133" w:rsidRPr="000B4E2C" w:rsidRDefault="002F0133" w:rsidP="008A7464">
            <w:pPr>
              <w:rPr>
                <w:sz w:val="22"/>
              </w:rPr>
            </w:pPr>
            <w:r w:rsidRPr="000B4E2C">
              <w:rPr>
                <w:sz w:val="22"/>
              </w:rPr>
              <w:t>BNF 2019</w:t>
            </w:r>
          </w:p>
        </w:tc>
      </w:tr>
      <w:tr w:rsidR="002F0133" w:rsidRPr="000B4E2C" w14:paraId="5F2E8399" w14:textId="77777777" w:rsidTr="000B4E2C">
        <w:trPr>
          <w:cantSplit/>
        </w:trPr>
        <w:tc>
          <w:tcPr>
            <w:tcW w:w="0" w:type="auto"/>
            <w:shd w:val="clear" w:color="auto" w:fill="auto"/>
            <w:noWrap/>
          </w:tcPr>
          <w:p w14:paraId="76267DB9" w14:textId="77777777" w:rsidR="002F0133" w:rsidRPr="000B4E2C" w:rsidRDefault="002F0133" w:rsidP="008A7464">
            <w:pPr>
              <w:rPr>
                <w:sz w:val="22"/>
              </w:rPr>
            </w:pPr>
          </w:p>
        </w:tc>
        <w:tc>
          <w:tcPr>
            <w:tcW w:w="0" w:type="auto"/>
            <w:shd w:val="clear" w:color="auto" w:fill="auto"/>
            <w:noWrap/>
          </w:tcPr>
          <w:p w14:paraId="3DB22854" w14:textId="77777777" w:rsidR="002F0133" w:rsidRPr="000B4E2C" w:rsidRDefault="002F0133" w:rsidP="008A7464">
            <w:pPr>
              <w:rPr>
                <w:b/>
                <w:sz w:val="22"/>
              </w:rPr>
            </w:pPr>
            <w:r w:rsidRPr="000B4E2C">
              <w:rPr>
                <w:b/>
                <w:sz w:val="22"/>
              </w:rPr>
              <w:t>HD</w:t>
            </w:r>
          </w:p>
        </w:tc>
        <w:tc>
          <w:tcPr>
            <w:tcW w:w="0" w:type="auto"/>
            <w:shd w:val="clear" w:color="auto" w:fill="auto"/>
            <w:noWrap/>
          </w:tcPr>
          <w:p w14:paraId="76C1FDBF" w14:textId="77777777" w:rsidR="002F0133" w:rsidRPr="000B4E2C" w:rsidRDefault="002F0133" w:rsidP="008A7464">
            <w:pPr>
              <w:rPr>
                <w:b/>
                <w:sz w:val="22"/>
              </w:rPr>
            </w:pPr>
            <w:r w:rsidRPr="000B4E2C">
              <w:rPr>
                <w:b/>
                <w:sz w:val="22"/>
              </w:rPr>
              <w:t>PD</w:t>
            </w:r>
          </w:p>
        </w:tc>
        <w:tc>
          <w:tcPr>
            <w:tcW w:w="0" w:type="auto"/>
            <w:shd w:val="clear" w:color="auto" w:fill="auto"/>
          </w:tcPr>
          <w:p w14:paraId="0B30836C" w14:textId="77777777" w:rsidR="002F0133" w:rsidRPr="000B4E2C" w:rsidRDefault="002F0133" w:rsidP="008A7464">
            <w:pPr>
              <w:rPr>
                <w:sz w:val="22"/>
              </w:rPr>
            </w:pPr>
          </w:p>
        </w:tc>
      </w:tr>
      <w:tr w:rsidR="002F0133" w:rsidRPr="000B4E2C" w14:paraId="6132CA25" w14:textId="77777777" w:rsidTr="000B4E2C">
        <w:trPr>
          <w:cantSplit/>
        </w:trPr>
        <w:tc>
          <w:tcPr>
            <w:tcW w:w="0" w:type="auto"/>
            <w:shd w:val="clear" w:color="auto" w:fill="auto"/>
            <w:noWrap/>
          </w:tcPr>
          <w:p w14:paraId="167B7BB9" w14:textId="77777777" w:rsidR="002F0133" w:rsidRPr="000B4E2C" w:rsidRDefault="002F0133" w:rsidP="008A7464">
            <w:pPr>
              <w:rPr>
                <w:sz w:val="22"/>
              </w:rPr>
            </w:pPr>
            <w:r w:rsidRPr="000B4E2C">
              <w:rPr>
                <w:sz w:val="22"/>
              </w:rPr>
              <w:t>Proportion taking ESAs (%)</w:t>
            </w:r>
          </w:p>
        </w:tc>
        <w:tc>
          <w:tcPr>
            <w:tcW w:w="0" w:type="auto"/>
            <w:shd w:val="clear" w:color="auto" w:fill="auto"/>
            <w:noWrap/>
          </w:tcPr>
          <w:p w14:paraId="1A461458" w14:textId="62FEFD1E" w:rsidR="002F0133" w:rsidRPr="000B4E2C" w:rsidRDefault="000B4E2C" w:rsidP="008A7464">
            <w:pPr>
              <w:rPr>
                <w:b/>
                <w:bCs/>
                <w:sz w:val="22"/>
              </w:rPr>
            </w:pPr>
            <w:r w:rsidRPr="000B4E2C">
              <w:rPr>
                <w:sz w:val="22"/>
              </w:rPr>
              <w:t xml:space="preserve"> </w:t>
            </w:r>
            <w:r w:rsidR="002F0133" w:rsidRPr="000B4E2C">
              <w:rPr>
                <w:sz w:val="22"/>
              </w:rPr>
              <w:t>92.6%</w:t>
            </w:r>
          </w:p>
        </w:tc>
        <w:tc>
          <w:tcPr>
            <w:tcW w:w="0" w:type="auto"/>
            <w:shd w:val="clear" w:color="auto" w:fill="auto"/>
            <w:noWrap/>
          </w:tcPr>
          <w:p w14:paraId="0D8726EC" w14:textId="4546B602" w:rsidR="002F0133" w:rsidRPr="000B4E2C" w:rsidRDefault="000B4E2C" w:rsidP="008A7464">
            <w:pPr>
              <w:rPr>
                <w:b/>
                <w:bCs/>
                <w:sz w:val="22"/>
              </w:rPr>
            </w:pPr>
            <w:r w:rsidRPr="000B4E2C">
              <w:rPr>
                <w:sz w:val="22"/>
              </w:rPr>
              <w:t xml:space="preserve"> </w:t>
            </w:r>
            <w:r w:rsidR="002F0133" w:rsidRPr="000B4E2C">
              <w:rPr>
                <w:sz w:val="22"/>
              </w:rPr>
              <w:t>78.6%</w:t>
            </w:r>
          </w:p>
        </w:tc>
        <w:tc>
          <w:tcPr>
            <w:tcW w:w="0" w:type="auto"/>
            <w:shd w:val="clear" w:color="auto" w:fill="auto"/>
          </w:tcPr>
          <w:p w14:paraId="14ECF2FE" w14:textId="77777777" w:rsidR="002F0133" w:rsidRPr="000B4E2C" w:rsidRDefault="002F0133" w:rsidP="008A7464">
            <w:pPr>
              <w:rPr>
                <w:sz w:val="22"/>
              </w:rPr>
            </w:pPr>
            <w:r w:rsidRPr="000B4E2C">
              <w:rPr>
                <w:sz w:val="22"/>
              </w:rPr>
              <w:t>UK Renal Registry (2019)</w:t>
            </w:r>
          </w:p>
        </w:tc>
      </w:tr>
      <w:tr w:rsidR="002F0133" w:rsidRPr="000B4E2C" w14:paraId="18C4DD73" w14:textId="77777777" w:rsidTr="000B4E2C">
        <w:trPr>
          <w:cantSplit/>
        </w:trPr>
        <w:tc>
          <w:tcPr>
            <w:tcW w:w="0" w:type="auto"/>
            <w:shd w:val="clear" w:color="auto" w:fill="auto"/>
            <w:noWrap/>
            <w:hideMark/>
          </w:tcPr>
          <w:p w14:paraId="7481DF68" w14:textId="77777777" w:rsidR="002F0133" w:rsidRPr="000B4E2C" w:rsidRDefault="002F0133" w:rsidP="008A7464">
            <w:pPr>
              <w:rPr>
                <w:sz w:val="22"/>
              </w:rPr>
            </w:pPr>
            <w:r w:rsidRPr="000B4E2C">
              <w:rPr>
                <w:sz w:val="22"/>
              </w:rPr>
              <w:t>Dose (IU) per week</w:t>
            </w:r>
          </w:p>
        </w:tc>
        <w:tc>
          <w:tcPr>
            <w:tcW w:w="0" w:type="auto"/>
            <w:shd w:val="clear" w:color="auto" w:fill="auto"/>
            <w:noWrap/>
            <w:hideMark/>
          </w:tcPr>
          <w:p w14:paraId="35647D30" w14:textId="77777777" w:rsidR="002F0133" w:rsidRPr="000B4E2C" w:rsidRDefault="002F0133" w:rsidP="008A7464">
            <w:pPr>
              <w:rPr>
                <w:sz w:val="22"/>
              </w:rPr>
            </w:pPr>
            <w:r w:rsidRPr="000B4E2C">
              <w:rPr>
                <w:sz w:val="22"/>
              </w:rPr>
              <w:t>8000</w:t>
            </w:r>
          </w:p>
        </w:tc>
        <w:tc>
          <w:tcPr>
            <w:tcW w:w="0" w:type="auto"/>
            <w:shd w:val="clear" w:color="auto" w:fill="auto"/>
            <w:noWrap/>
            <w:hideMark/>
          </w:tcPr>
          <w:p w14:paraId="6B235D32" w14:textId="77777777" w:rsidR="002F0133" w:rsidRPr="000B4E2C" w:rsidRDefault="002F0133" w:rsidP="008A7464">
            <w:pPr>
              <w:rPr>
                <w:sz w:val="22"/>
              </w:rPr>
            </w:pPr>
            <w:r w:rsidRPr="000B4E2C">
              <w:rPr>
                <w:sz w:val="22"/>
              </w:rPr>
              <w:t>4000</w:t>
            </w:r>
          </w:p>
        </w:tc>
        <w:tc>
          <w:tcPr>
            <w:tcW w:w="0" w:type="auto"/>
            <w:shd w:val="clear" w:color="auto" w:fill="auto"/>
          </w:tcPr>
          <w:p w14:paraId="46BB414C" w14:textId="77777777" w:rsidR="002F0133" w:rsidRPr="000B4E2C" w:rsidRDefault="002F0133" w:rsidP="008A7464">
            <w:pPr>
              <w:rPr>
                <w:sz w:val="22"/>
              </w:rPr>
            </w:pPr>
            <w:r w:rsidRPr="000B4E2C">
              <w:rPr>
                <w:sz w:val="22"/>
              </w:rPr>
              <w:t>UK Renal Registry (2019)</w:t>
            </w:r>
          </w:p>
        </w:tc>
      </w:tr>
      <w:tr w:rsidR="002F0133" w:rsidRPr="000B4E2C" w14:paraId="592B19BA" w14:textId="77777777" w:rsidTr="000B4E2C">
        <w:trPr>
          <w:cantSplit/>
        </w:trPr>
        <w:tc>
          <w:tcPr>
            <w:tcW w:w="0" w:type="auto"/>
            <w:shd w:val="clear" w:color="auto" w:fill="auto"/>
            <w:noWrap/>
            <w:hideMark/>
          </w:tcPr>
          <w:p w14:paraId="53703A46" w14:textId="77777777" w:rsidR="002F0133" w:rsidRPr="000B4E2C" w:rsidRDefault="002F0133" w:rsidP="008A7464">
            <w:pPr>
              <w:rPr>
                <w:sz w:val="22"/>
              </w:rPr>
            </w:pPr>
            <w:r w:rsidRPr="000B4E2C">
              <w:rPr>
                <w:sz w:val="22"/>
              </w:rPr>
              <w:lastRenderedPageBreak/>
              <w:t>Cost per year</w:t>
            </w:r>
          </w:p>
        </w:tc>
        <w:tc>
          <w:tcPr>
            <w:tcW w:w="0" w:type="auto"/>
            <w:shd w:val="clear" w:color="auto" w:fill="auto"/>
            <w:noWrap/>
            <w:hideMark/>
          </w:tcPr>
          <w:p w14:paraId="137883CC" w14:textId="77777777" w:rsidR="002F0133" w:rsidRPr="000B4E2C" w:rsidRDefault="002F0133" w:rsidP="008A7464">
            <w:pPr>
              <w:rPr>
                <w:sz w:val="22"/>
              </w:rPr>
            </w:pPr>
            <w:r w:rsidRPr="000B4E2C">
              <w:rPr>
                <w:sz w:val="22"/>
              </w:rPr>
              <w:t>£2,765</w:t>
            </w:r>
          </w:p>
        </w:tc>
        <w:tc>
          <w:tcPr>
            <w:tcW w:w="0" w:type="auto"/>
            <w:shd w:val="clear" w:color="auto" w:fill="auto"/>
            <w:noWrap/>
            <w:hideMark/>
          </w:tcPr>
          <w:p w14:paraId="1164DFF6" w14:textId="45760017" w:rsidR="002F0133" w:rsidRPr="000B4E2C" w:rsidRDefault="000B4E2C" w:rsidP="008A7464">
            <w:pPr>
              <w:rPr>
                <w:sz w:val="22"/>
              </w:rPr>
            </w:pPr>
            <w:r w:rsidRPr="000B4E2C">
              <w:rPr>
                <w:sz w:val="22"/>
              </w:rPr>
              <w:t xml:space="preserve"> </w:t>
            </w:r>
            <w:r w:rsidR="002F0133" w:rsidRPr="000B4E2C">
              <w:rPr>
                <w:sz w:val="22"/>
              </w:rPr>
              <w:t>£1,174</w:t>
            </w:r>
          </w:p>
        </w:tc>
        <w:tc>
          <w:tcPr>
            <w:tcW w:w="0" w:type="auto"/>
            <w:shd w:val="clear" w:color="auto" w:fill="auto"/>
          </w:tcPr>
          <w:p w14:paraId="65F09258" w14:textId="77777777" w:rsidR="002F0133" w:rsidRPr="000B4E2C" w:rsidRDefault="002F0133" w:rsidP="008A7464">
            <w:pPr>
              <w:rPr>
                <w:sz w:val="22"/>
              </w:rPr>
            </w:pPr>
          </w:p>
        </w:tc>
      </w:tr>
      <w:tr w:rsidR="002F0133" w:rsidRPr="000B4E2C" w14:paraId="6A0A00B6" w14:textId="77777777" w:rsidTr="000B4E2C">
        <w:trPr>
          <w:cantSplit/>
        </w:trPr>
        <w:tc>
          <w:tcPr>
            <w:tcW w:w="0" w:type="auto"/>
            <w:shd w:val="clear" w:color="auto" w:fill="auto"/>
            <w:noWrap/>
          </w:tcPr>
          <w:p w14:paraId="6586D3A7" w14:textId="77777777" w:rsidR="002F0133" w:rsidRPr="000B4E2C" w:rsidRDefault="002F0133" w:rsidP="008A7464">
            <w:pPr>
              <w:rPr>
                <w:sz w:val="22"/>
              </w:rPr>
            </w:pPr>
            <w:r w:rsidRPr="000B4E2C">
              <w:rPr>
                <w:sz w:val="22"/>
              </w:rPr>
              <w:t>Proportion on HD</w:t>
            </w:r>
          </w:p>
        </w:tc>
        <w:tc>
          <w:tcPr>
            <w:tcW w:w="0" w:type="auto"/>
            <w:shd w:val="clear" w:color="auto" w:fill="auto"/>
            <w:noWrap/>
          </w:tcPr>
          <w:p w14:paraId="00729AC5" w14:textId="77777777" w:rsidR="002F0133" w:rsidRPr="000B4E2C" w:rsidRDefault="002F0133" w:rsidP="008A7464">
            <w:pPr>
              <w:jc w:val="center"/>
              <w:rPr>
                <w:sz w:val="22"/>
              </w:rPr>
            </w:pPr>
            <w:r w:rsidRPr="000B4E2C">
              <w:rPr>
                <w:sz w:val="22"/>
              </w:rPr>
              <w:t>87.5%</w:t>
            </w:r>
          </w:p>
        </w:tc>
        <w:tc>
          <w:tcPr>
            <w:tcW w:w="0" w:type="auto"/>
            <w:shd w:val="clear" w:color="auto" w:fill="auto"/>
            <w:noWrap/>
          </w:tcPr>
          <w:p w14:paraId="47A816A9" w14:textId="77777777" w:rsidR="002F0133" w:rsidRPr="000B4E2C" w:rsidRDefault="002F0133" w:rsidP="008A7464">
            <w:pPr>
              <w:rPr>
                <w:sz w:val="22"/>
              </w:rPr>
            </w:pPr>
            <w:r w:rsidRPr="000B4E2C">
              <w:rPr>
                <w:sz w:val="22"/>
              </w:rPr>
              <w:t>12.5%</w:t>
            </w:r>
          </w:p>
        </w:tc>
        <w:tc>
          <w:tcPr>
            <w:tcW w:w="0" w:type="auto"/>
            <w:shd w:val="clear" w:color="auto" w:fill="auto"/>
          </w:tcPr>
          <w:p w14:paraId="167A39D9" w14:textId="77777777" w:rsidR="002F0133" w:rsidRPr="000B4E2C" w:rsidRDefault="002F0133" w:rsidP="008A7464">
            <w:pPr>
              <w:rPr>
                <w:sz w:val="22"/>
              </w:rPr>
            </w:pPr>
          </w:p>
        </w:tc>
      </w:tr>
      <w:tr w:rsidR="002F0133" w:rsidRPr="000B4E2C" w14:paraId="1F03B9C4" w14:textId="77777777" w:rsidTr="000B4E2C">
        <w:trPr>
          <w:cantSplit/>
        </w:trPr>
        <w:tc>
          <w:tcPr>
            <w:tcW w:w="0" w:type="auto"/>
            <w:shd w:val="clear" w:color="auto" w:fill="auto"/>
            <w:noWrap/>
          </w:tcPr>
          <w:p w14:paraId="1CCA3FE1" w14:textId="77777777" w:rsidR="002F0133" w:rsidRPr="000B4E2C" w:rsidRDefault="002F0133" w:rsidP="008A7464">
            <w:pPr>
              <w:rPr>
                <w:sz w:val="22"/>
              </w:rPr>
            </w:pPr>
            <w:r w:rsidRPr="000B4E2C">
              <w:rPr>
                <w:sz w:val="22"/>
              </w:rPr>
              <w:t>Total cost per year (based on the proportion on HD and PD)</w:t>
            </w:r>
          </w:p>
        </w:tc>
        <w:tc>
          <w:tcPr>
            <w:tcW w:w="0" w:type="auto"/>
            <w:gridSpan w:val="2"/>
            <w:shd w:val="clear" w:color="auto" w:fill="auto"/>
            <w:noWrap/>
          </w:tcPr>
          <w:p w14:paraId="16015496" w14:textId="77777777" w:rsidR="002F0133" w:rsidRPr="000B4E2C" w:rsidRDefault="002F0133" w:rsidP="008A7464">
            <w:pPr>
              <w:jc w:val="center"/>
              <w:rPr>
                <w:sz w:val="22"/>
              </w:rPr>
            </w:pPr>
            <w:r w:rsidRPr="000B4E2C">
              <w:rPr>
                <w:sz w:val="22"/>
              </w:rPr>
              <w:t>£2566</w:t>
            </w:r>
          </w:p>
        </w:tc>
        <w:tc>
          <w:tcPr>
            <w:tcW w:w="0" w:type="auto"/>
            <w:shd w:val="clear" w:color="auto" w:fill="auto"/>
          </w:tcPr>
          <w:p w14:paraId="4C16BAA9" w14:textId="77777777" w:rsidR="002F0133" w:rsidRPr="000B4E2C" w:rsidRDefault="002F0133" w:rsidP="008A7464">
            <w:pPr>
              <w:rPr>
                <w:sz w:val="22"/>
              </w:rPr>
            </w:pPr>
          </w:p>
        </w:tc>
      </w:tr>
    </w:tbl>
    <w:p w14:paraId="6CFA5BE8" w14:textId="77777777" w:rsidR="002F0133" w:rsidRPr="000B4E2C" w:rsidRDefault="002F0133" w:rsidP="008A7464"/>
    <w:p w14:paraId="5BA4CCF7" w14:textId="5FAAD1D6" w:rsidR="002F0133" w:rsidRPr="000B4E2C" w:rsidRDefault="000B4E2C" w:rsidP="008A7464">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36</w:t>
      </w:r>
      <w:r w:rsidRPr="000B4E2C">
        <w:t xml:space="preserve"> </w:t>
      </w:r>
      <w:r w:rsidR="002F0133" w:rsidRPr="000B4E2C">
        <w:t>Blood pressure medication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692"/>
        <w:gridCol w:w="1435"/>
        <w:gridCol w:w="3182"/>
        <w:gridCol w:w="1455"/>
        <w:gridCol w:w="548"/>
      </w:tblGrid>
      <w:tr w:rsidR="002F0133" w:rsidRPr="000B4E2C" w14:paraId="661F21EA" w14:textId="77777777" w:rsidTr="000B4E2C">
        <w:trPr>
          <w:cantSplit/>
        </w:trPr>
        <w:tc>
          <w:tcPr>
            <w:tcW w:w="0" w:type="auto"/>
            <w:shd w:val="clear" w:color="auto" w:fill="auto"/>
            <w:noWrap/>
            <w:hideMark/>
          </w:tcPr>
          <w:p w14:paraId="5C57F8F8" w14:textId="01A07AD8" w:rsidR="002F0133" w:rsidRPr="000B4E2C" w:rsidRDefault="000B4E2C" w:rsidP="008A7464">
            <w:pPr>
              <w:rPr>
                <w:sz w:val="22"/>
              </w:rPr>
            </w:pPr>
            <w:r w:rsidRPr="000B4E2C">
              <w:rPr>
                <w:sz w:val="22"/>
              </w:rPr>
              <w:t xml:space="preserve"> </w:t>
            </w:r>
          </w:p>
        </w:tc>
        <w:tc>
          <w:tcPr>
            <w:tcW w:w="0" w:type="auto"/>
            <w:shd w:val="clear" w:color="auto" w:fill="auto"/>
            <w:noWrap/>
            <w:hideMark/>
          </w:tcPr>
          <w:p w14:paraId="35F728BF" w14:textId="77777777" w:rsidR="002F0133" w:rsidRPr="000B4E2C" w:rsidRDefault="002F0133" w:rsidP="008A7464">
            <w:pPr>
              <w:rPr>
                <w:b/>
                <w:bCs/>
                <w:sz w:val="22"/>
              </w:rPr>
            </w:pPr>
            <w:r w:rsidRPr="000B4E2C">
              <w:rPr>
                <w:b/>
                <w:bCs/>
                <w:sz w:val="22"/>
              </w:rPr>
              <w:t>Unit cost per year (£)</w:t>
            </w:r>
          </w:p>
        </w:tc>
        <w:tc>
          <w:tcPr>
            <w:tcW w:w="0" w:type="auto"/>
            <w:shd w:val="clear" w:color="auto" w:fill="auto"/>
            <w:noWrap/>
            <w:hideMark/>
          </w:tcPr>
          <w:p w14:paraId="65E2FB61" w14:textId="77777777" w:rsidR="002F0133" w:rsidRPr="000B4E2C" w:rsidRDefault="002F0133" w:rsidP="008A7464">
            <w:pPr>
              <w:rPr>
                <w:b/>
                <w:bCs/>
                <w:sz w:val="22"/>
              </w:rPr>
            </w:pPr>
            <w:r w:rsidRPr="000B4E2C">
              <w:rPr>
                <w:b/>
                <w:bCs/>
                <w:sz w:val="22"/>
              </w:rPr>
              <w:t>Proportion of patients on each type of medication</w:t>
            </w:r>
          </w:p>
        </w:tc>
        <w:tc>
          <w:tcPr>
            <w:tcW w:w="0" w:type="auto"/>
            <w:shd w:val="clear" w:color="auto" w:fill="auto"/>
            <w:noWrap/>
            <w:hideMark/>
          </w:tcPr>
          <w:p w14:paraId="4FD2A9D4" w14:textId="77777777" w:rsidR="002F0133" w:rsidRPr="000B4E2C" w:rsidRDefault="002F0133" w:rsidP="008A7464">
            <w:pPr>
              <w:rPr>
                <w:b/>
                <w:bCs/>
                <w:sz w:val="22"/>
              </w:rPr>
            </w:pPr>
            <w:r w:rsidRPr="000B4E2C">
              <w:rPr>
                <w:b/>
                <w:bCs/>
                <w:sz w:val="22"/>
              </w:rPr>
              <w:t>Total average cost (£)</w:t>
            </w:r>
          </w:p>
        </w:tc>
        <w:tc>
          <w:tcPr>
            <w:tcW w:w="0" w:type="auto"/>
            <w:shd w:val="clear" w:color="auto" w:fill="auto"/>
          </w:tcPr>
          <w:p w14:paraId="5FCA11F1" w14:textId="77777777" w:rsidR="002F0133" w:rsidRPr="000B4E2C" w:rsidRDefault="002F0133" w:rsidP="008A7464">
            <w:pPr>
              <w:rPr>
                <w:b/>
                <w:bCs/>
                <w:sz w:val="22"/>
              </w:rPr>
            </w:pPr>
            <w:r w:rsidRPr="000B4E2C">
              <w:rPr>
                <w:b/>
                <w:bCs/>
                <w:sz w:val="22"/>
              </w:rPr>
              <w:t>Source</w:t>
            </w:r>
          </w:p>
        </w:tc>
      </w:tr>
      <w:tr w:rsidR="002F0133" w:rsidRPr="000B4E2C" w14:paraId="2CBBD0A8" w14:textId="77777777" w:rsidTr="000B4E2C">
        <w:trPr>
          <w:cantSplit/>
        </w:trPr>
        <w:tc>
          <w:tcPr>
            <w:tcW w:w="0" w:type="auto"/>
            <w:shd w:val="clear" w:color="auto" w:fill="auto"/>
            <w:noWrap/>
            <w:hideMark/>
          </w:tcPr>
          <w:p w14:paraId="53650644" w14:textId="77777777" w:rsidR="002F0133" w:rsidRPr="000B4E2C" w:rsidRDefault="002F0133" w:rsidP="008A7464">
            <w:pPr>
              <w:rPr>
                <w:sz w:val="22"/>
              </w:rPr>
            </w:pPr>
            <w:r w:rsidRPr="000B4E2C">
              <w:rPr>
                <w:sz w:val="22"/>
              </w:rPr>
              <w:t>ACE inhibitor</w:t>
            </w:r>
          </w:p>
        </w:tc>
        <w:tc>
          <w:tcPr>
            <w:tcW w:w="0" w:type="auto"/>
            <w:shd w:val="clear" w:color="auto" w:fill="auto"/>
            <w:noWrap/>
            <w:hideMark/>
          </w:tcPr>
          <w:p w14:paraId="65AE4CFF" w14:textId="77777777" w:rsidR="002F0133" w:rsidRPr="000B4E2C" w:rsidRDefault="002F0133" w:rsidP="008A7464">
            <w:pPr>
              <w:rPr>
                <w:sz w:val="22"/>
              </w:rPr>
            </w:pPr>
            <w:r w:rsidRPr="000B4E2C">
              <w:rPr>
                <w:sz w:val="22"/>
              </w:rPr>
              <w:t>35.74</w:t>
            </w:r>
          </w:p>
        </w:tc>
        <w:tc>
          <w:tcPr>
            <w:tcW w:w="0" w:type="auto"/>
            <w:shd w:val="clear" w:color="auto" w:fill="auto"/>
            <w:noWrap/>
            <w:hideMark/>
          </w:tcPr>
          <w:p w14:paraId="6ACCBADC" w14:textId="77777777" w:rsidR="002F0133" w:rsidRPr="000B4E2C" w:rsidRDefault="002F0133" w:rsidP="008A7464">
            <w:pPr>
              <w:rPr>
                <w:sz w:val="22"/>
              </w:rPr>
            </w:pPr>
            <w:r w:rsidRPr="000B4E2C">
              <w:rPr>
                <w:sz w:val="22"/>
              </w:rPr>
              <w:t>0.211</w:t>
            </w:r>
          </w:p>
        </w:tc>
        <w:tc>
          <w:tcPr>
            <w:tcW w:w="0" w:type="auto"/>
            <w:shd w:val="clear" w:color="auto" w:fill="auto"/>
            <w:noWrap/>
            <w:hideMark/>
          </w:tcPr>
          <w:p w14:paraId="4B297D29" w14:textId="77777777" w:rsidR="002F0133" w:rsidRPr="000B4E2C" w:rsidRDefault="002F0133" w:rsidP="008A7464">
            <w:pPr>
              <w:rPr>
                <w:sz w:val="22"/>
              </w:rPr>
            </w:pPr>
            <w:r w:rsidRPr="000B4E2C">
              <w:rPr>
                <w:sz w:val="22"/>
              </w:rPr>
              <w:t>7.54</w:t>
            </w:r>
          </w:p>
        </w:tc>
        <w:tc>
          <w:tcPr>
            <w:tcW w:w="0" w:type="auto"/>
            <w:shd w:val="clear" w:color="auto" w:fill="auto"/>
          </w:tcPr>
          <w:p w14:paraId="11B375D3" w14:textId="77777777" w:rsidR="002F0133" w:rsidRPr="000B4E2C" w:rsidRDefault="002F0133" w:rsidP="008A7464">
            <w:pPr>
              <w:rPr>
                <w:sz w:val="22"/>
              </w:rPr>
            </w:pPr>
            <w:r w:rsidRPr="000B4E2C">
              <w:rPr>
                <w:sz w:val="22"/>
              </w:rPr>
              <w:t>Tan</w:t>
            </w:r>
            <w:r w:rsidRPr="000B4E2C">
              <w:rPr>
                <w:i/>
                <w:color w:val="00B0F0"/>
                <w:sz w:val="22"/>
              </w:rPr>
              <w:t xml:space="preserve"> et al</w:t>
            </w:r>
            <w:r w:rsidRPr="000B4E2C">
              <w:rPr>
                <w:color w:val="00B0F0"/>
                <w:sz w:val="22"/>
              </w:rPr>
              <w:t>.,</w:t>
            </w:r>
            <w:r w:rsidRPr="000B4E2C">
              <w:rPr>
                <w:sz w:val="22"/>
              </w:rPr>
              <w:t xml:space="preserve"> 2016, BNF 2019</w:t>
            </w:r>
          </w:p>
        </w:tc>
      </w:tr>
      <w:tr w:rsidR="002F0133" w:rsidRPr="000B4E2C" w14:paraId="442DB15F" w14:textId="77777777" w:rsidTr="000B4E2C">
        <w:trPr>
          <w:cantSplit/>
        </w:trPr>
        <w:tc>
          <w:tcPr>
            <w:tcW w:w="0" w:type="auto"/>
            <w:shd w:val="clear" w:color="auto" w:fill="auto"/>
            <w:noWrap/>
            <w:hideMark/>
          </w:tcPr>
          <w:p w14:paraId="3C408EEE" w14:textId="77777777" w:rsidR="002F0133" w:rsidRPr="000B4E2C" w:rsidRDefault="002F0133" w:rsidP="008A7464">
            <w:pPr>
              <w:rPr>
                <w:sz w:val="22"/>
              </w:rPr>
            </w:pPr>
            <w:r w:rsidRPr="000B4E2C">
              <w:rPr>
                <w:sz w:val="22"/>
              </w:rPr>
              <w:t>ARBs</w:t>
            </w:r>
          </w:p>
        </w:tc>
        <w:tc>
          <w:tcPr>
            <w:tcW w:w="0" w:type="auto"/>
            <w:shd w:val="clear" w:color="auto" w:fill="auto"/>
            <w:noWrap/>
            <w:hideMark/>
          </w:tcPr>
          <w:p w14:paraId="13B80865" w14:textId="77777777" w:rsidR="002F0133" w:rsidRPr="000B4E2C" w:rsidRDefault="002F0133" w:rsidP="008A7464">
            <w:pPr>
              <w:rPr>
                <w:sz w:val="22"/>
              </w:rPr>
            </w:pPr>
            <w:r w:rsidRPr="000B4E2C">
              <w:rPr>
                <w:sz w:val="22"/>
              </w:rPr>
              <w:t>43.04</w:t>
            </w:r>
          </w:p>
        </w:tc>
        <w:tc>
          <w:tcPr>
            <w:tcW w:w="0" w:type="auto"/>
            <w:shd w:val="clear" w:color="auto" w:fill="auto"/>
            <w:noWrap/>
            <w:hideMark/>
          </w:tcPr>
          <w:p w14:paraId="1626CC8E" w14:textId="77777777" w:rsidR="002F0133" w:rsidRPr="000B4E2C" w:rsidRDefault="002F0133" w:rsidP="008A7464">
            <w:pPr>
              <w:rPr>
                <w:sz w:val="22"/>
              </w:rPr>
            </w:pPr>
            <w:r w:rsidRPr="000B4E2C">
              <w:rPr>
                <w:sz w:val="22"/>
              </w:rPr>
              <w:t>0.156</w:t>
            </w:r>
          </w:p>
        </w:tc>
        <w:tc>
          <w:tcPr>
            <w:tcW w:w="0" w:type="auto"/>
            <w:shd w:val="clear" w:color="auto" w:fill="auto"/>
            <w:noWrap/>
            <w:hideMark/>
          </w:tcPr>
          <w:p w14:paraId="69823076" w14:textId="77777777" w:rsidR="002F0133" w:rsidRPr="000B4E2C" w:rsidRDefault="002F0133" w:rsidP="008A7464">
            <w:pPr>
              <w:rPr>
                <w:sz w:val="22"/>
              </w:rPr>
            </w:pPr>
            <w:r w:rsidRPr="000B4E2C">
              <w:rPr>
                <w:sz w:val="22"/>
              </w:rPr>
              <w:t>6.70</w:t>
            </w:r>
          </w:p>
        </w:tc>
        <w:tc>
          <w:tcPr>
            <w:tcW w:w="0" w:type="auto"/>
            <w:shd w:val="clear" w:color="auto" w:fill="auto"/>
          </w:tcPr>
          <w:p w14:paraId="428A06A5" w14:textId="77777777" w:rsidR="002F0133" w:rsidRPr="000B4E2C" w:rsidRDefault="002F0133" w:rsidP="008A7464">
            <w:pPr>
              <w:rPr>
                <w:sz w:val="22"/>
              </w:rPr>
            </w:pPr>
            <w:r w:rsidRPr="000B4E2C">
              <w:rPr>
                <w:sz w:val="22"/>
              </w:rPr>
              <w:t>Tan</w:t>
            </w:r>
            <w:r w:rsidRPr="000B4E2C">
              <w:rPr>
                <w:i/>
                <w:color w:val="00B0F0"/>
                <w:sz w:val="22"/>
              </w:rPr>
              <w:t xml:space="preserve"> et al</w:t>
            </w:r>
            <w:r w:rsidRPr="000B4E2C">
              <w:rPr>
                <w:color w:val="00B0F0"/>
                <w:sz w:val="22"/>
              </w:rPr>
              <w:t>.,</w:t>
            </w:r>
            <w:r w:rsidRPr="000B4E2C">
              <w:rPr>
                <w:sz w:val="22"/>
              </w:rPr>
              <w:t xml:space="preserve"> 2016, BNF 2019</w:t>
            </w:r>
          </w:p>
        </w:tc>
      </w:tr>
      <w:tr w:rsidR="002F0133" w:rsidRPr="000B4E2C" w14:paraId="43E512F3" w14:textId="77777777" w:rsidTr="000B4E2C">
        <w:trPr>
          <w:cantSplit/>
        </w:trPr>
        <w:tc>
          <w:tcPr>
            <w:tcW w:w="0" w:type="auto"/>
            <w:shd w:val="clear" w:color="auto" w:fill="auto"/>
            <w:noWrap/>
            <w:hideMark/>
          </w:tcPr>
          <w:p w14:paraId="27FA63A7" w14:textId="77777777" w:rsidR="002F0133" w:rsidRPr="000B4E2C" w:rsidRDefault="002F0133" w:rsidP="008A7464">
            <w:pPr>
              <w:rPr>
                <w:sz w:val="22"/>
              </w:rPr>
            </w:pPr>
            <w:r w:rsidRPr="000B4E2C">
              <w:rPr>
                <w:sz w:val="22"/>
              </w:rPr>
              <w:t>Calcium-channel blockers</w:t>
            </w:r>
          </w:p>
        </w:tc>
        <w:tc>
          <w:tcPr>
            <w:tcW w:w="0" w:type="auto"/>
            <w:shd w:val="clear" w:color="auto" w:fill="auto"/>
            <w:noWrap/>
            <w:hideMark/>
          </w:tcPr>
          <w:p w14:paraId="4BCDC4D9" w14:textId="77777777" w:rsidR="002F0133" w:rsidRPr="000B4E2C" w:rsidRDefault="002F0133" w:rsidP="008A7464">
            <w:pPr>
              <w:rPr>
                <w:sz w:val="22"/>
              </w:rPr>
            </w:pPr>
            <w:r w:rsidRPr="000B4E2C">
              <w:rPr>
                <w:sz w:val="22"/>
              </w:rPr>
              <w:t>28.80</w:t>
            </w:r>
          </w:p>
        </w:tc>
        <w:tc>
          <w:tcPr>
            <w:tcW w:w="0" w:type="auto"/>
            <w:shd w:val="clear" w:color="auto" w:fill="auto"/>
            <w:noWrap/>
            <w:hideMark/>
          </w:tcPr>
          <w:p w14:paraId="3005A81A" w14:textId="77777777" w:rsidR="002F0133" w:rsidRPr="000B4E2C" w:rsidRDefault="002F0133" w:rsidP="008A7464">
            <w:pPr>
              <w:rPr>
                <w:sz w:val="22"/>
              </w:rPr>
            </w:pPr>
            <w:r w:rsidRPr="000B4E2C">
              <w:rPr>
                <w:sz w:val="22"/>
              </w:rPr>
              <w:t>0.219</w:t>
            </w:r>
          </w:p>
        </w:tc>
        <w:tc>
          <w:tcPr>
            <w:tcW w:w="0" w:type="auto"/>
            <w:shd w:val="clear" w:color="auto" w:fill="auto"/>
            <w:noWrap/>
            <w:hideMark/>
          </w:tcPr>
          <w:p w14:paraId="640EBD2B" w14:textId="77777777" w:rsidR="002F0133" w:rsidRPr="000B4E2C" w:rsidRDefault="002F0133" w:rsidP="008A7464">
            <w:pPr>
              <w:rPr>
                <w:sz w:val="22"/>
              </w:rPr>
            </w:pPr>
            <w:r w:rsidRPr="000B4E2C">
              <w:rPr>
                <w:sz w:val="22"/>
              </w:rPr>
              <w:t>6.31</w:t>
            </w:r>
          </w:p>
        </w:tc>
        <w:tc>
          <w:tcPr>
            <w:tcW w:w="0" w:type="auto"/>
            <w:shd w:val="clear" w:color="auto" w:fill="auto"/>
          </w:tcPr>
          <w:p w14:paraId="247BFEA7" w14:textId="77777777" w:rsidR="002F0133" w:rsidRPr="000B4E2C" w:rsidRDefault="002F0133" w:rsidP="008A7464">
            <w:pPr>
              <w:rPr>
                <w:sz w:val="22"/>
              </w:rPr>
            </w:pPr>
            <w:r w:rsidRPr="000B4E2C">
              <w:rPr>
                <w:sz w:val="22"/>
              </w:rPr>
              <w:t>Tan</w:t>
            </w:r>
            <w:r w:rsidRPr="000B4E2C">
              <w:rPr>
                <w:i/>
                <w:color w:val="00B0F0"/>
                <w:sz w:val="22"/>
              </w:rPr>
              <w:t xml:space="preserve"> et al</w:t>
            </w:r>
            <w:r w:rsidRPr="000B4E2C">
              <w:rPr>
                <w:color w:val="00B0F0"/>
                <w:sz w:val="22"/>
              </w:rPr>
              <w:t>.,</w:t>
            </w:r>
            <w:r w:rsidRPr="000B4E2C">
              <w:rPr>
                <w:sz w:val="22"/>
              </w:rPr>
              <w:t xml:space="preserve"> 2016, BNF 2019</w:t>
            </w:r>
          </w:p>
        </w:tc>
      </w:tr>
      <w:tr w:rsidR="002F0133" w:rsidRPr="000B4E2C" w14:paraId="19DF82A1" w14:textId="77777777" w:rsidTr="000B4E2C">
        <w:trPr>
          <w:cantSplit/>
        </w:trPr>
        <w:tc>
          <w:tcPr>
            <w:tcW w:w="0" w:type="auto"/>
            <w:shd w:val="clear" w:color="auto" w:fill="auto"/>
            <w:noWrap/>
            <w:hideMark/>
          </w:tcPr>
          <w:p w14:paraId="4614DCA7" w14:textId="77777777" w:rsidR="002F0133" w:rsidRPr="000B4E2C" w:rsidRDefault="002F0133" w:rsidP="008A7464">
            <w:pPr>
              <w:rPr>
                <w:sz w:val="22"/>
              </w:rPr>
            </w:pPr>
            <w:r w:rsidRPr="000B4E2C">
              <w:rPr>
                <w:sz w:val="22"/>
              </w:rPr>
              <w:t>Diuretics</w:t>
            </w:r>
          </w:p>
        </w:tc>
        <w:tc>
          <w:tcPr>
            <w:tcW w:w="0" w:type="auto"/>
            <w:shd w:val="clear" w:color="auto" w:fill="auto"/>
            <w:noWrap/>
            <w:hideMark/>
          </w:tcPr>
          <w:p w14:paraId="2961CD7C" w14:textId="77777777" w:rsidR="002F0133" w:rsidRPr="000B4E2C" w:rsidRDefault="002F0133" w:rsidP="008A7464">
            <w:pPr>
              <w:rPr>
                <w:sz w:val="22"/>
              </w:rPr>
            </w:pPr>
            <w:r w:rsidRPr="000B4E2C">
              <w:rPr>
                <w:sz w:val="22"/>
              </w:rPr>
              <w:t>21.92</w:t>
            </w:r>
          </w:p>
        </w:tc>
        <w:tc>
          <w:tcPr>
            <w:tcW w:w="0" w:type="auto"/>
            <w:shd w:val="clear" w:color="auto" w:fill="auto"/>
            <w:noWrap/>
            <w:hideMark/>
          </w:tcPr>
          <w:p w14:paraId="2814C738" w14:textId="77777777" w:rsidR="002F0133" w:rsidRPr="000B4E2C" w:rsidRDefault="002F0133" w:rsidP="008A7464">
            <w:pPr>
              <w:rPr>
                <w:sz w:val="22"/>
              </w:rPr>
            </w:pPr>
            <w:r w:rsidRPr="000B4E2C">
              <w:rPr>
                <w:sz w:val="22"/>
              </w:rPr>
              <w:t>0.487</w:t>
            </w:r>
          </w:p>
        </w:tc>
        <w:tc>
          <w:tcPr>
            <w:tcW w:w="0" w:type="auto"/>
            <w:shd w:val="clear" w:color="auto" w:fill="auto"/>
            <w:noWrap/>
            <w:hideMark/>
          </w:tcPr>
          <w:p w14:paraId="402B7986" w14:textId="77777777" w:rsidR="002F0133" w:rsidRPr="000B4E2C" w:rsidRDefault="002F0133" w:rsidP="008A7464">
            <w:pPr>
              <w:rPr>
                <w:sz w:val="22"/>
              </w:rPr>
            </w:pPr>
            <w:r w:rsidRPr="000B4E2C">
              <w:rPr>
                <w:sz w:val="22"/>
              </w:rPr>
              <w:t>10.66</w:t>
            </w:r>
          </w:p>
        </w:tc>
        <w:tc>
          <w:tcPr>
            <w:tcW w:w="0" w:type="auto"/>
            <w:shd w:val="clear" w:color="auto" w:fill="auto"/>
          </w:tcPr>
          <w:p w14:paraId="5EE1DCC6" w14:textId="77777777" w:rsidR="002F0133" w:rsidRPr="000B4E2C" w:rsidRDefault="002F0133" w:rsidP="008A7464">
            <w:pPr>
              <w:rPr>
                <w:sz w:val="22"/>
              </w:rPr>
            </w:pPr>
            <w:r w:rsidRPr="000B4E2C">
              <w:rPr>
                <w:sz w:val="22"/>
              </w:rPr>
              <w:t>Tan</w:t>
            </w:r>
            <w:r w:rsidRPr="000B4E2C">
              <w:rPr>
                <w:i/>
                <w:color w:val="00B0F0"/>
                <w:sz w:val="22"/>
              </w:rPr>
              <w:t xml:space="preserve"> et al</w:t>
            </w:r>
            <w:r w:rsidRPr="000B4E2C">
              <w:rPr>
                <w:color w:val="00B0F0"/>
                <w:sz w:val="22"/>
              </w:rPr>
              <w:t>.,</w:t>
            </w:r>
            <w:r w:rsidRPr="000B4E2C">
              <w:rPr>
                <w:sz w:val="22"/>
              </w:rPr>
              <w:t xml:space="preserve"> 2016, BNF 2019</w:t>
            </w:r>
          </w:p>
        </w:tc>
      </w:tr>
      <w:tr w:rsidR="002F0133" w:rsidRPr="000B4E2C" w14:paraId="03AB173E" w14:textId="77777777" w:rsidTr="000B4E2C">
        <w:trPr>
          <w:cantSplit/>
        </w:trPr>
        <w:tc>
          <w:tcPr>
            <w:tcW w:w="0" w:type="auto"/>
            <w:shd w:val="clear" w:color="auto" w:fill="auto"/>
            <w:noWrap/>
            <w:hideMark/>
          </w:tcPr>
          <w:p w14:paraId="2EA32724" w14:textId="77777777" w:rsidR="002F0133" w:rsidRPr="000B4E2C" w:rsidRDefault="002F0133" w:rsidP="008A7464">
            <w:pPr>
              <w:rPr>
                <w:sz w:val="22"/>
              </w:rPr>
            </w:pPr>
            <w:r w:rsidRPr="000B4E2C">
              <w:rPr>
                <w:sz w:val="22"/>
              </w:rPr>
              <w:t>Beta-blockers</w:t>
            </w:r>
          </w:p>
        </w:tc>
        <w:tc>
          <w:tcPr>
            <w:tcW w:w="0" w:type="auto"/>
            <w:shd w:val="clear" w:color="auto" w:fill="auto"/>
            <w:noWrap/>
            <w:hideMark/>
          </w:tcPr>
          <w:p w14:paraId="442162F3" w14:textId="77777777" w:rsidR="002F0133" w:rsidRPr="000B4E2C" w:rsidRDefault="002F0133" w:rsidP="008A7464">
            <w:pPr>
              <w:rPr>
                <w:sz w:val="22"/>
              </w:rPr>
            </w:pPr>
            <w:r w:rsidRPr="000B4E2C">
              <w:rPr>
                <w:sz w:val="22"/>
              </w:rPr>
              <w:t>15.52</w:t>
            </w:r>
          </w:p>
        </w:tc>
        <w:tc>
          <w:tcPr>
            <w:tcW w:w="0" w:type="auto"/>
            <w:shd w:val="clear" w:color="auto" w:fill="auto"/>
            <w:noWrap/>
            <w:hideMark/>
          </w:tcPr>
          <w:p w14:paraId="4FDDDA12" w14:textId="77777777" w:rsidR="002F0133" w:rsidRPr="000B4E2C" w:rsidRDefault="002F0133" w:rsidP="008A7464">
            <w:pPr>
              <w:rPr>
                <w:sz w:val="22"/>
              </w:rPr>
            </w:pPr>
            <w:r w:rsidRPr="000B4E2C">
              <w:rPr>
                <w:sz w:val="22"/>
              </w:rPr>
              <w:t>0.248</w:t>
            </w:r>
          </w:p>
        </w:tc>
        <w:tc>
          <w:tcPr>
            <w:tcW w:w="0" w:type="auto"/>
            <w:shd w:val="clear" w:color="auto" w:fill="auto"/>
            <w:noWrap/>
            <w:hideMark/>
          </w:tcPr>
          <w:p w14:paraId="0D03BD8F" w14:textId="77777777" w:rsidR="002F0133" w:rsidRPr="000B4E2C" w:rsidRDefault="002F0133" w:rsidP="008A7464">
            <w:pPr>
              <w:rPr>
                <w:sz w:val="22"/>
              </w:rPr>
            </w:pPr>
            <w:r w:rsidRPr="000B4E2C">
              <w:rPr>
                <w:sz w:val="22"/>
              </w:rPr>
              <w:t>3.85</w:t>
            </w:r>
          </w:p>
        </w:tc>
        <w:tc>
          <w:tcPr>
            <w:tcW w:w="0" w:type="auto"/>
            <w:shd w:val="clear" w:color="auto" w:fill="auto"/>
          </w:tcPr>
          <w:p w14:paraId="638BC255" w14:textId="77777777" w:rsidR="002F0133" w:rsidRPr="000B4E2C" w:rsidRDefault="002F0133" w:rsidP="008A7464">
            <w:pPr>
              <w:rPr>
                <w:sz w:val="22"/>
              </w:rPr>
            </w:pPr>
            <w:r w:rsidRPr="000B4E2C">
              <w:rPr>
                <w:sz w:val="22"/>
              </w:rPr>
              <w:t>Tan</w:t>
            </w:r>
            <w:r w:rsidRPr="000B4E2C">
              <w:rPr>
                <w:i/>
                <w:color w:val="00B0F0"/>
                <w:sz w:val="22"/>
              </w:rPr>
              <w:t xml:space="preserve"> et al</w:t>
            </w:r>
            <w:r w:rsidRPr="000B4E2C">
              <w:rPr>
                <w:color w:val="00B0F0"/>
                <w:sz w:val="22"/>
              </w:rPr>
              <w:t>.,</w:t>
            </w:r>
            <w:r w:rsidRPr="000B4E2C">
              <w:rPr>
                <w:sz w:val="22"/>
              </w:rPr>
              <w:t xml:space="preserve"> 2016, BNF 2019</w:t>
            </w:r>
          </w:p>
        </w:tc>
      </w:tr>
      <w:tr w:rsidR="002F0133" w:rsidRPr="000B4E2C" w14:paraId="28C277A7" w14:textId="77777777" w:rsidTr="000B4E2C">
        <w:trPr>
          <w:cantSplit/>
        </w:trPr>
        <w:tc>
          <w:tcPr>
            <w:tcW w:w="0" w:type="auto"/>
            <w:shd w:val="clear" w:color="auto" w:fill="auto"/>
            <w:noWrap/>
            <w:hideMark/>
          </w:tcPr>
          <w:p w14:paraId="55A74943" w14:textId="77777777" w:rsidR="002F0133" w:rsidRPr="000B4E2C" w:rsidRDefault="002F0133" w:rsidP="008A7464">
            <w:pPr>
              <w:rPr>
                <w:sz w:val="22"/>
              </w:rPr>
            </w:pPr>
            <w:r w:rsidRPr="000B4E2C">
              <w:rPr>
                <w:sz w:val="22"/>
              </w:rPr>
              <w:lastRenderedPageBreak/>
              <w:t>Alpha-blockers</w:t>
            </w:r>
          </w:p>
        </w:tc>
        <w:tc>
          <w:tcPr>
            <w:tcW w:w="0" w:type="auto"/>
            <w:shd w:val="clear" w:color="auto" w:fill="auto"/>
            <w:noWrap/>
            <w:hideMark/>
          </w:tcPr>
          <w:p w14:paraId="0DB281D5" w14:textId="77777777" w:rsidR="002F0133" w:rsidRPr="000B4E2C" w:rsidRDefault="002F0133" w:rsidP="008A7464">
            <w:pPr>
              <w:rPr>
                <w:sz w:val="22"/>
              </w:rPr>
            </w:pPr>
            <w:r w:rsidRPr="000B4E2C">
              <w:rPr>
                <w:sz w:val="22"/>
              </w:rPr>
              <w:t>7.83</w:t>
            </w:r>
          </w:p>
        </w:tc>
        <w:tc>
          <w:tcPr>
            <w:tcW w:w="0" w:type="auto"/>
            <w:shd w:val="clear" w:color="auto" w:fill="auto"/>
            <w:noWrap/>
            <w:hideMark/>
          </w:tcPr>
          <w:p w14:paraId="142B90D6" w14:textId="77777777" w:rsidR="002F0133" w:rsidRPr="000B4E2C" w:rsidRDefault="002F0133" w:rsidP="008A7464">
            <w:pPr>
              <w:rPr>
                <w:sz w:val="22"/>
              </w:rPr>
            </w:pPr>
            <w:r w:rsidRPr="000B4E2C">
              <w:rPr>
                <w:sz w:val="22"/>
              </w:rPr>
              <w:t>0.172</w:t>
            </w:r>
          </w:p>
        </w:tc>
        <w:tc>
          <w:tcPr>
            <w:tcW w:w="0" w:type="auto"/>
            <w:shd w:val="clear" w:color="auto" w:fill="auto"/>
            <w:noWrap/>
            <w:hideMark/>
          </w:tcPr>
          <w:p w14:paraId="66602E04" w14:textId="77777777" w:rsidR="002F0133" w:rsidRPr="000B4E2C" w:rsidRDefault="002F0133" w:rsidP="008A7464">
            <w:pPr>
              <w:rPr>
                <w:sz w:val="22"/>
              </w:rPr>
            </w:pPr>
            <w:r w:rsidRPr="000B4E2C">
              <w:rPr>
                <w:sz w:val="22"/>
              </w:rPr>
              <w:t>1.35</w:t>
            </w:r>
          </w:p>
        </w:tc>
        <w:tc>
          <w:tcPr>
            <w:tcW w:w="0" w:type="auto"/>
            <w:shd w:val="clear" w:color="auto" w:fill="auto"/>
          </w:tcPr>
          <w:p w14:paraId="12D24C36" w14:textId="77777777" w:rsidR="002F0133" w:rsidRPr="000B4E2C" w:rsidRDefault="002F0133" w:rsidP="008A7464">
            <w:pPr>
              <w:rPr>
                <w:sz w:val="22"/>
              </w:rPr>
            </w:pPr>
            <w:r w:rsidRPr="000B4E2C">
              <w:rPr>
                <w:sz w:val="22"/>
              </w:rPr>
              <w:t>Tan</w:t>
            </w:r>
            <w:r w:rsidRPr="000B4E2C">
              <w:rPr>
                <w:i/>
                <w:color w:val="00B0F0"/>
                <w:sz w:val="22"/>
              </w:rPr>
              <w:t xml:space="preserve"> et al</w:t>
            </w:r>
            <w:r w:rsidRPr="000B4E2C">
              <w:rPr>
                <w:color w:val="00B0F0"/>
                <w:sz w:val="22"/>
              </w:rPr>
              <w:t>.,</w:t>
            </w:r>
            <w:r w:rsidRPr="000B4E2C">
              <w:rPr>
                <w:sz w:val="22"/>
              </w:rPr>
              <w:t xml:space="preserve"> 2016, BNF 2019</w:t>
            </w:r>
          </w:p>
        </w:tc>
      </w:tr>
      <w:tr w:rsidR="002F0133" w:rsidRPr="000B4E2C" w14:paraId="793DC57C" w14:textId="77777777" w:rsidTr="000B4E2C">
        <w:trPr>
          <w:cantSplit/>
        </w:trPr>
        <w:tc>
          <w:tcPr>
            <w:tcW w:w="0" w:type="auto"/>
            <w:shd w:val="clear" w:color="auto" w:fill="auto"/>
            <w:noWrap/>
            <w:hideMark/>
          </w:tcPr>
          <w:p w14:paraId="477518CF" w14:textId="77777777" w:rsidR="002F0133" w:rsidRPr="000B4E2C" w:rsidRDefault="002F0133" w:rsidP="008A7464">
            <w:pPr>
              <w:rPr>
                <w:sz w:val="22"/>
              </w:rPr>
            </w:pPr>
            <w:r w:rsidRPr="000B4E2C">
              <w:rPr>
                <w:sz w:val="22"/>
              </w:rPr>
              <w:t>Total average cost per year</w:t>
            </w:r>
          </w:p>
        </w:tc>
        <w:tc>
          <w:tcPr>
            <w:tcW w:w="0" w:type="auto"/>
            <w:shd w:val="clear" w:color="auto" w:fill="auto"/>
            <w:noWrap/>
            <w:hideMark/>
          </w:tcPr>
          <w:p w14:paraId="7245A08D" w14:textId="6EFD710E" w:rsidR="002F0133" w:rsidRPr="000B4E2C" w:rsidRDefault="000B4E2C" w:rsidP="008A7464">
            <w:pPr>
              <w:rPr>
                <w:sz w:val="22"/>
              </w:rPr>
            </w:pPr>
            <w:r w:rsidRPr="000B4E2C">
              <w:rPr>
                <w:sz w:val="22"/>
              </w:rPr>
              <w:t xml:space="preserve"> </w:t>
            </w:r>
          </w:p>
        </w:tc>
        <w:tc>
          <w:tcPr>
            <w:tcW w:w="0" w:type="auto"/>
            <w:shd w:val="clear" w:color="auto" w:fill="auto"/>
            <w:noWrap/>
            <w:hideMark/>
          </w:tcPr>
          <w:p w14:paraId="742D3BE1" w14:textId="3B4BF467" w:rsidR="002F0133" w:rsidRPr="000B4E2C" w:rsidRDefault="000B4E2C" w:rsidP="008A7464">
            <w:pPr>
              <w:rPr>
                <w:sz w:val="22"/>
              </w:rPr>
            </w:pPr>
            <w:r w:rsidRPr="000B4E2C">
              <w:rPr>
                <w:sz w:val="22"/>
              </w:rPr>
              <w:t xml:space="preserve"> </w:t>
            </w:r>
          </w:p>
        </w:tc>
        <w:tc>
          <w:tcPr>
            <w:tcW w:w="0" w:type="auto"/>
            <w:shd w:val="clear" w:color="auto" w:fill="auto"/>
            <w:noWrap/>
            <w:hideMark/>
          </w:tcPr>
          <w:p w14:paraId="065F0DEB" w14:textId="77777777" w:rsidR="002F0133" w:rsidRPr="000B4E2C" w:rsidRDefault="002F0133" w:rsidP="008A7464">
            <w:pPr>
              <w:rPr>
                <w:sz w:val="22"/>
              </w:rPr>
            </w:pPr>
            <w:r w:rsidRPr="000B4E2C">
              <w:rPr>
                <w:sz w:val="22"/>
              </w:rPr>
              <w:t>36.41</w:t>
            </w:r>
          </w:p>
        </w:tc>
        <w:tc>
          <w:tcPr>
            <w:tcW w:w="0" w:type="auto"/>
            <w:shd w:val="clear" w:color="auto" w:fill="auto"/>
          </w:tcPr>
          <w:p w14:paraId="07A5A87F" w14:textId="77777777" w:rsidR="002F0133" w:rsidRPr="000B4E2C" w:rsidRDefault="002F0133" w:rsidP="008A7464">
            <w:pPr>
              <w:rPr>
                <w:sz w:val="22"/>
              </w:rPr>
            </w:pPr>
            <w:r w:rsidRPr="000B4E2C">
              <w:rPr>
                <w:sz w:val="22"/>
              </w:rPr>
              <w:t>Tan</w:t>
            </w:r>
            <w:r w:rsidRPr="000B4E2C">
              <w:rPr>
                <w:i/>
                <w:color w:val="00B0F0"/>
                <w:sz w:val="22"/>
              </w:rPr>
              <w:t xml:space="preserve"> et al</w:t>
            </w:r>
            <w:r w:rsidRPr="000B4E2C">
              <w:rPr>
                <w:color w:val="00B0F0"/>
                <w:sz w:val="22"/>
              </w:rPr>
              <w:t>.,</w:t>
            </w:r>
            <w:r w:rsidRPr="000B4E2C">
              <w:rPr>
                <w:sz w:val="22"/>
              </w:rPr>
              <w:t xml:space="preserve"> 2016, BNF 2019</w:t>
            </w:r>
          </w:p>
        </w:tc>
      </w:tr>
    </w:tbl>
    <w:p w14:paraId="6CE2F04E" w14:textId="00895D0A" w:rsidR="008523B9" w:rsidRPr="000B4E2C" w:rsidRDefault="000B4E2C" w:rsidP="008523B9">
      <w:pPr>
        <w:pStyle w:val="Heading2"/>
      </w:pPr>
      <w:r w:rsidRPr="000B4E2C">
        <w:rPr>
          <w:i/>
          <w:color w:val="FF0000"/>
        </w:rPr>
        <w:t>T</w:t>
      </w:r>
      <w:r w:rsidRPr="000B4E2C">
        <w:rPr>
          <w:i/>
          <w:color w:val="FF0000"/>
        </w:rPr>
        <w:t>able</w:t>
      </w:r>
      <w:r w:rsidRPr="000B4E2C">
        <w:rPr>
          <w:i/>
          <w:color w:val="FF0000"/>
        </w:rPr>
        <w:t xml:space="preserve"> </w:t>
      </w:r>
      <w:r w:rsidRPr="000B4E2C">
        <w:rPr>
          <w:i/>
          <w:color w:val="FF0000"/>
        </w:rPr>
        <w:t>37</w:t>
      </w:r>
      <w:r w:rsidRPr="000B4E2C">
        <w:t xml:space="preserve"> </w:t>
      </w:r>
      <w:r w:rsidR="008523B9" w:rsidRPr="000B4E2C">
        <w:t>Utility studies for acute kidney injury (AKI) that were considered for economic modelling</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693"/>
        <w:gridCol w:w="399"/>
        <w:gridCol w:w="767"/>
        <w:gridCol w:w="759"/>
        <w:gridCol w:w="598"/>
        <w:gridCol w:w="546"/>
        <w:gridCol w:w="612"/>
        <w:gridCol w:w="524"/>
        <w:gridCol w:w="462"/>
        <w:gridCol w:w="723"/>
        <w:gridCol w:w="493"/>
        <w:gridCol w:w="554"/>
        <w:gridCol w:w="351"/>
        <w:gridCol w:w="418"/>
        <w:gridCol w:w="418"/>
      </w:tblGrid>
      <w:tr w:rsidR="000B4E2C" w:rsidRPr="000B4E2C" w14:paraId="13995AED" w14:textId="77777777" w:rsidTr="000B4E2C">
        <w:trPr>
          <w:cantSplit/>
        </w:trPr>
        <w:tc>
          <w:tcPr>
            <w:tcW w:w="0" w:type="auto"/>
            <w:shd w:val="clear" w:color="auto" w:fill="auto"/>
            <w:vAlign w:val="bottom"/>
            <w:hideMark/>
          </w:tcPr>
          <w:p w14:paraId="5929DD2A" w14:textId="77777777" w:rsidR="008523B9" w:rsidRPr="000B4E2C" w:rsidRDefault="008523B9" w:rsidP="00A908B8">
            <w:pPr>
              <w:rPr>
                <w:b/>
                <w:bCs/>
                <w:color w:val="000000"/>
                <w:sz w:val="18"/>
                <w:szCs w:val="18"/>
                <w:lang w:eastAsia="en-GB"/>
              </w:rPr>
            </w:pPr>
            <w:r w:rsidRPr="000B4E2C">
              <w:rPr>
                <w:b/>
                <w:bCs/>
                <w:sz w:val="18"/>
                <w:szCs w:val="18"/>
                <w:lang w:eastAsia="en-GB"/>
              </w:rPr>
              <w:t>Author</w:t>
            </w:r>
          </w:p>
        </w:tc>
        <w:tc>
          <w:tcPr>
            <w:tcW w:w="0" w:type="auto"/>
            <w:shd w:val="clear" w:color="auto" w:fill="auto"/>
            <w:vAlign w:val="bottom"/>
            <w:hideMark/>
          </w:tcPr>
          <w:p w14:paraId="361685C6" w14:textId="77777777" w:rsidR="008523B9" w:rsidRPr="000B4E2C" w:rsidRDefault="008523B9" w:rsidP="00A908B8">
            <w:pPr>
              <w:rPr>
                <w:b/>
                <w:bCs/>
                <w:color w:val="000000"/>
                <w:sz w:val="18"/>
                <w:szCs w:val="18"/>
                <w:lang w:eastAsia="en-GB"/>
              </w:rPr>
            </w:pPr>
            <w:r w:rsidRPr="000B4E2C">
              <w:rPr>
                <w:b/>
                <w:bCs/>
                <w:sz w:val="18"/>
                <w:szCs w:val="18"/>
                <w:lang w:eastAsia="en-GB"/>
              </w:rPr>
              <w:t>Year</w:t>
            </w:r>
          </w:p>
        </w:tc>
        <w:tc>
          <w:tcPr>
            <w:tcW w:w="0" w:type="auto"/>
            <w:shd w:val="clear" w:color="auto" w:fill="auto"/>
            <w:vAlign w:val="bottom"/>
            <w:hideMark/>
          </w:tcPr>
          <w:p w14:paraId="1916DDE4" w14:textId="77777777" w:rsidR="008523B9" w:rsidRPr="000B4E2C" w:rsidRDefault="008523B9" w:rsidP="00A908B8">
            <w:pPr>
              <w:rPr>
                <w:b/>
                <w:bCs/>
                <w:color w:val="000000"/>
                <w:sz w:val="18"/>
                <w:szCs w:val="18"/>
                <w:lang w:eastAsia="en-GB"/>
              </w:rPr>
            </w:pPr>
            <w:r w:rsidRPr="000B4E2C">
              <w:rPr>
                <w:b/>
                <w:bCs/>
                <w:sz w:val="18"/>
                <w:szCs w:val="18"/>
                <w:lang w:eastAsia="en-GB"/>
              </w:rPr>
              <w:t>Population</w:t>
            </w:r>
          </w:p>
        </w:tc>
        <w:tc>
          <w:tcPr>
            <w:tcW w:w="0" w:type="auto"/>
            <w:shd w:val="clear" w:color="auto" w:fill="auto"/>
            <w:vAlign w:val="bottom"/>
            <w:hideMark/>
          </w:tcPr>
          <w:p w14:paraId="1D4B28F4" w14:textId="77777777" w:rsidR="008523B9" w:rsidRPr="000B4E2C" w:rsidRDefault="008523B9" w:rsidP="00A908B8">
            <w:pPr>
              <w:rPr>
                <w:b/>
                <w:bCs/>
                <w:color w:val="000000"/>
                <w:sz w:val="18"/>
                <w:szCs w:val="18"/>
                <w:lang w:eastAsia="en-GB"/>
              </w:rPr>
            </w:pPr>
            <w:r w:rsidRPr="000B4E2C">
              <w:rPr>
                <w:b/>
                <w:bCs/>
                <w:sz w:val="18"/>
                <w:szCs w:val="18"/>
                <w:lang w:eastAsia="en-GB"/>
              </w:rPr>
              <w:t>Country</w:t>
            </w:r>
          </w:p>
        </w:tc>
        <w:tc>
          <w:tcPr>
            <w:tcW w:w="0" w:type="auto"/>
            <w:shd w:val="clear" w:color="auto" w:fill="auto"/>
            <w:vAlign w:val="bottom"/>
            <w:hideMark/>
          </w:tcPr>
          <w:p w14:paraId="676EEA29" w14:textId="77777777" w:rsidR="008523B9" w:rsidRPr="000B4E2C" w:rsidRDefault="008523B9" w:rsidP="00A908B8">
            <w:pPr>
              <w:rPr>
                <w:b/>
                <w:bCs/>
                <w:color w:val="000000"/>
                <w:sz w:val="18"/>
                <w:szCs w:val="18"/>
                <w:lang w:eastAsia="en-GB"/>
              </w:rPr>
            </w:pPr>
            <w:r w:rsidRPr="000B4E2C">
              <w:rPr>
                <w:b/>
                <w:bCs/>
                <w:sz w:val="18"/>
                <w:szCs w:val="18"/>
                <w:lang w:eastAsia="en-GB"/>
              </w:rPr>
              <w:t>Utility measure</w:t>
            </w:r>
          </w:p>
        </w:tc>
        <w:tc>
          <w:tcPr>
            <w:tcW w:w="0" w:type="auto"/>
            <w:shd w:val="clear" w:color="auto" w:fill="auto"/>
            <w:vAlign w:val="bottom"/>
            <w:hideMark/>
          </w:tcPr>
          <w:p w14:paraId="251A18B6" w14:textId="77777777" w:rsidR="008523B9" w:rsidRPr="000B4E2C" w:rsidRDefault="008523B9" w:rsidP="00A908B8">
            <w:pPr>
              <w:rPr>
                <w:b/>
                <w:bCs/>
                <w:sz w:val="18"/>
                <w:szCs w:val="18"/>
                <w:lang w:eastAsia="en-GB"/>
              </w:rPr>
            </w:pPr>
            <w:r w:rsidRPr="000B4E2C">
              <w:rPr>
                <w:b/>
                <w:bCs/>
                <w:sz w:val="18"/>
                <w:szCs w:val="18"/>
                <w:lang w:eastAsia="en-GB"/>
              </w:rPr>
              <w:t>Value</w:t>
            </w:r>
          </w:p>
          <w:p w14:paraId="7532D495" w14:textId="77777777" w:rsidR="008523B9" w:rsidRPr="000B4E2C" w:rsidRDefault="008523B9" w:rsidP="00A908B8">
            <w:pPr>
              <w:rPr>
                <w:b/>
                <w:bCs/>
                <w:color w:val="000000"/>
                <w:sz w:val="18"/>
                <w:szCs w:val="18"/>
                <w:lang w:eastAsia="en-GB"/>
              </w:rPr>
            </w:pPr>
            <w:r w:rsidRPr="000B4E2C">
              <w:rPr>
                <w:b/>
                <w:bCs/>
                <w:sz w:val="18"/>
                <w:szCs w:val="18"/>
                <w:lang w:eastAsia="en-GB"/>
              </w:rPr>
              <w:t>set</w:t>
            </w:r>
          </w:p>
        </w:tc>
        <w:tc>
          <w:tcPr>
            <w:tcW w:w="0" w:type="auto"/>
            <w:shd w:val="clear" w:color="auto" w:fill="auto"/>
            <w:vAlign w:val="bottom"/>
            <w:hideMark/>
          </w:tcPr>
          <w:p w14:paraId="3A12497F" w14:textId="77777777" w:rsidR="008523B9" w:rsidRPr="000B4E2C" w:rsidRDefault="008523B9" w:rsidP="00A908B8">
            <w:pPr>
              <w:rPr>
                <w:b/>
                <w:bCs/>
                <w:color w:val="000000"/>
                <w:sz w:val="18"/>
                <w:szCs w:val="18"/>
                <w:lang w:eastAsia="en-GB"/>
              </w:rPr>
            </w:pPr>
            <w:r w:rsidRPr="000B4E2C">
              <w:rPr>
                <w:b/>
                <w:bCs/>
                <w:sz w:val="18"/>
                <w:szCs w:val="18"/>
                <w:lang w:eastAsia="en-GB"/>
              </w:rPr>
              <w:t xml:space="preserve">N </w:t>
            </w:r>
          </w:p>
        </w:tc>
        <w:tc>
          <w:tcPr>
            <w:tcW w:w="0" w:type="auto"/>
            <w:shd w:val="clear" w:color="auto" w:fill="auto"/>
            <w:vAlign w:val="bottom"/>
            <w:hideMark/>
          </w:tcPr>
          <w:p w14:paraId="6A9A603B" w14:textId="77777777" w:rsidR="008523B9" w:rsidRPr="000B4E2C" w:rsidRDefault="008523B9" w:rsidP="00A908B8">
            <w:pPr>
              <w:rPr>
                <w:b/>
                <w:bCs/>
                <w:color w:val="000000"/>
                <w:sz w:val="18"/>
                <w:szCs w:val="18"/>
                <w:lang w:eastAsia="en-GB"/>
              </w:rPr>
            </w:pPr>
            <w:r w:rsidRPr="000B4E2C">
              <w:rPr>
                <w:b/>
                <w:bCs/>
                <w:sz w:val="18"/>
                <w:szCs w:val="18"/>
                <w:lang w:eastAsia="en-GB"/>
              </w:rPr>
              <w:t>Age</w:t>
            </w:r>
          </w:p>
        </w:tc>
        <w:tc>
          <w:tcPr>
            <w:tcW w:w="0" w:type="auto"/>
            <w:shd w:val="clear" w:color="auto" w:fill="auto"/>
            <w:vAlign w:val="bottom"/>
            <w:hideMark/>
          </w:tcPr>
          <w:p w14:paraId="3F6AA222" w14:textId="77777777" w:rsidR="008523B9" w:rsidRPr="000B4E2C" w:rsidRDefault="008523B9" w:rsidP="00A908B8">
            <w:pPr>
              <w:rPr>
                <w:b/>
                <w:bCs/>
                <w:sz w:val="18"/>
                <w:szCs w:val="18"/>
                <w:lang w:eastAsia="en-GB"/>
              </w:rPr>
            </w:pPr>
            <w:r w:rsidRPr="000B4E2C">
              <w:rPr>
                <w:b/>
                <w:bCs/>
                <w:sz w:val="18"/>
                <w:szCs w:val="18"/>
                <w:lang w:eastAsia="en-GB"/>
              </w:rPr>
              <w:t>Male</w:t>
            </w:r>
          </w:p>
          <w:p w14:paraId="78DABF00" w14:textId="77777777" w:rsidR="008523B9" w:rsidRPr="000B4E2C" w:rsidRDefault="008523B9" w:rsidP="00A908B8">
            <w:pPr>
              <w:rPr>
                <w:b/>
                <w:bCs/>
                <w:color w:val="000000"/>
                <w:sz w:val="18"/>
                <w:szCs w:val="18"/>
                <w:lang w:eastAsia="en-GB"/>
              </w:rPr>
            </w:pPr>
            <w:r w:rsidRPr="000B4E2C">
              <w:rPr>
                <w:b/>
                <w:bCs/>
                <w:sz w:val="18"/>
                <w:szCs w:val="18"/>
                <w:lang w:eastAsia="en-GB"/>
              </w:rPr>
              <w:t>(%)</w:t>
            </w:r>
          </w:p>
        </w:tc>
        <w:tc>
          <w:tcPr>
            <w:tcW w:w="0" w:type="auto"/>
            <w:shd w:val="clear" w:color="auto" w:fill="auto"/>
            <w:vAlign w:val="bottom"/>
            <w:hideMark/>
          </w:tcPr>
          <w:p w14:paraId="7ADE5C3B" w14:textId="77777777" w:rsidR="008523B9" w:rsidRPr="000B4E2C" w:rsidRDefault="008523B9" w:rsidP="00A908B8">
            <w:pPr>
              <w:rPr>
                <w:b/>
                <w:bCs/>
                <w:color w:val="000000"/>
                <w:sz w:val="18"/>
                <w:szCs w:val="18"/>
                <w:lang w:eastAsia="en-GB"/>
              </w:rPr>
            </w:pPr>
            <w:r w:rsidRPr="000B4E2C">
              <w:rPr>
                <w:b/>
                <w:bCs/>
                <w:sz w:val="18"/>
                <w:szCs w:val="18"/>
                <w:lang w:eastAsia="en-GB"/>
              </w:rPr>
              <w:t>Utility values reported</w:t>
            </w:r>
          </w:p>
        </w:tc>
        <w:tc>
          <w:tcPr>
            <w:tcW w:w="0" w:type="auto"/>
            <w:shd w:val="clear" w:color="auto" w:fill="auto"/>
            <w:vAlign w:val="bottom"/>
            <w:hideMark/>
          </w:tcPr>
          <w:p w14:paraId="3F853FBD" w14:textId="77777777" w:rsidR="008523B9" w:rsidRPr="000B4E2C" w:rsidRDefault="008523B9" w:rsidP="00A908B8">
            <w:pPr>
              <w:rPr>
                <w:b/>
                <w:bCs/>
                <w:color w:val="000000"/>
                <w:sz w:val="18"/>
                <w:szCs w:val="18"/>
                <w:lang w:eastAsia="en-GB"/>
              </w:rPr>
            </w:pPr>
            <w:r w:rsidRPr="000B4E2C">
              <w:rPr>
                <w:b/>
                <w:bCs/>
                <w:sz w:val="18"/>
                <w:szCs w:val="18"/>
                <w:lang w:eastAsia="en-GB"/>
              </w:rPr>
              <w:t>Mean</w:t>
            </w:r>
          </w:p>
        </w:tc>
        <w:tc>
          <w:tcPr>
            <w:tcW w:w="0" w:type="auto"/>
            <w:shd w:val="clear" w:color="auto" w:fill="auto"/>
            <w:vAlign w:val="bottom"/>
            <w:hideMark/>
          </w:tcPr>
          <w:p w14:paraId="75EB1CAF" w14:textId="77777777" w:rsidR="008523B9" w:rsidRPr="000B4E2C" w:rsidRDefault="008523B9" w:rsidP="00A908B8">
            <w:pPr>
              <w:rPr>
                <w:b/>
                <w:bCs/>
                <w:color w:val="000000"/>
                <w:sz w:val="18"/>
                <w:szCs w:val="18"/>
                <w:lang w:eastAsia="en-GB"/>
              </w:rPr>
            </w:pPr>
            <w:r w:rsidRPr="000B4E2C">
              <w:rPr>
                <w:b/>
                <w:bCs/>
                <w:sz w:val="18"/>
                <w:szCs w:val="18"/>
                <w:lang w:eastAsia="en-GB"/>
              </w:rPr>
              <w:t>Median</w:t>
            </w:r>
          </w:p>
        </w:tc>
        <w:tc>
          <w:tcPr>
            <w:tcW w:w="0" w:type="auto"/>
            <w:shd w:val="clear" w:color="auto" w:fill="auto"/>
            <w:vAlign w:val="bottom"/>
            <w:hideMark/>
          </w:tcPr>
          <w:p w14:paraId="57B85C69" w14:textId="77777777" w:rsidR="008523B9" w:rsidRPr="000B4E2C" w:rsidRDefault="008523B9" w:rsidP="00A908B8">
            <w:pPr>
              <w:rPr>
                <w:b/>
                <w:bCs/>
                <w:color w:val="000000"/>
                <w:sz w:val="18"/>
                <w:szCs w:val="18"/>
                <w:lang w:eastAsia="en-GB"/>
              </w:rPr>
            </w:pPr>
            <w:r w:rsidRPr="000B4E2C">
              <w:rPr>
                <w:b/>
                <w:bCs/>
                <w:sz w:val="18"/>
                <w:szCs w:val="18"/>
                <w:lang w:eastAsia="en-GB"/>
              </w:rPr>
              <w:t>SD</w:t>
            </w:r>
          </w:p>
        </w:tc>
        <w:tc>
          <w:tcPr>
            <w:tcW w:w="0" w:type="auto"/>
            <w:shd w:val="clear" w:color="auto" w:fill="auto"/>
            <w:vAlign w:val="bottom"/>
            <w:hideMark/>
          </w:tcPr>
          <w:p w14:paraId="56BE0548" w14:textId="77777777" w:rsidR="008523B9" w:rsidRPr="000B4E2C" w:rsidRDefault="008523B9" w:rsidP="00A908B8">
            <w:pPr>
              <w:rPr>
                <w:b/>
                <w:bCs/>
                <w:color w:val="000000"/>
                <w:sz w:val="18"/>
                <w:szCs w:val="18"/>
                <w:lang w:eastAsia="en-GB"/>
              </w:rPr>
            </w:pPr>
            <w:r w:rsidRPr="000B4E2C">
              <w:rPr>
                <w:b/>
                <w:bCs/>
                <w:sz w:val="18"/>
                <w:szCs w:val="18"/>
                <w:lang w:eastAsia="en-GB"/>
              </w:rPr>
              <w:t>IQR low</w:t>
            </w:r>
          </w:p>
        </w:tc>
        <w:tc>
          <w:tcPr>
            <w:tcW w:w="0" w:type="auto"/>
            <w:shd w:val="clear" w:color="auto" w:fill="auto"/>
            <w:vAlign w:val="bottom"/>
            <w:hideMark/>
          </w:tcPr>
          <w:p w14:paraId="52DD6C87" w14:textId="77777777" w:rsidR="008523B9" w:rsidRPr="000B4E2C" w:rsidRDefault="008523B9" w:rsidP="00A908B8">
            <w:pPr>
              <w:rPr>
                <w:b/>
                <w:bCs/>
                <w:sz w:val="18"/>
                <w:szCs w:val="18"/>
                <w:lang w:eastAsia="en-GB"/>
              </w:rPr>
            </w:pPr>
            <w:r w:rsidRPr="000B4E2C">
              <w:rPr>
                <w:b/>
                <w:bCs/>
                <w:sz w:val="18"/>
                <w:szCs w:val="18"/>
                <w:lang w:eastAsia="en-GB"/>
              </w:rPr>
              <w:t>IQR high</w:t>
            </w:r>
          </w:p>
        </w:tc>
      </w:tr>
      <w:tr w:rsidR="000B4E2C" w:rsidRPr="000B4E2C" w14:paraId="36F39482" w14:textId="77777777" w:rsidTr="000B4E2C">
        <w:trPr>
          <w:cantSplit/>
        </w:trPr>
        <w:tc>
          <w:tcPr>
            <w:tcW w:w="0" w:type="auto"/>
            <w:shd w:val="clear" w:color="auto" w:fill="auto"/>
            <w:vAlign w:val="bottom"/>
            <w:hideMark/>
          </w:tcPr>
          <w:p w14:paraId="7D41EE71" w14:textId="4876DEBE" w:rsidR="008523B9" w:rsidRPr="000B4E2C" w:rsidRDefault="008523B9" w:rsidP="00A908B8">
            <w:pPr>
              <w:rPr>
                <w:color w:val="000000"/>
                <w:sz w:val="18"/>
                <w:szCs w:val="18"/>
                <w:lang w:eastAsia="en-GB"/>
              </w:rPr>
            </w:pPr>
            <w:r w:rsidRPr="000B4E2C">
              <w:rPr>
                <w:sz w:val="18"/>
                <w:szCs w:val="18"/>
                <w:lang w:eastAsia="en-GB"/>
              </w:rPr>
              <w:t>Ethgen</w:t>
            </w:r>
            <w:r w:rsidR="00280A97" w:rsidRPr="000B4E2C">
              <w:rPr>
                <w:noProof/>
                <w:sz w:val="18"/>
                <w:szCs w:val="18"/>
                <w:vertAlign w:val="superscript"/>
                <w:lang w:eastAsia="en-GB"/>
              </w:rPr>
              <w:t>150</w:t>
            </w:r>
            <w:r w:rsidRPr="000B4E2C">
              <w:rPr>
                <w:sz w:val="18"/>
                <w:szCs w:val="18"/>
                <w:lang w:eastAsia="en-GB"/>
              </w:rPr>
              <w:t xml:space="preserve"> </w:t>
            </w:r>
          </w:p>
        </w:tc>
        <w:tc>
          <w:tcPr>
            <w:tcW w:w="0" w:type="auto"/>
            <w:shd w:val="clear" w:color="auto" w:fill="auto"/>
            <w:vAlign w:val="bottom"/>
            <w:hideMark/>
          </w:tcPr>
          <w:p w14:paraId="656555AB" w14:textId="77777777" w:rsidR="008523B9" w:rsidRPr="000B4E2C" w:rsidRDefault="008523B9" w:rsidP="00A908B8">
            <w:pPr>
              <w:jc w:val="right"/>
              <w:rPr>
                <w:color w:val="000000"/>
                <w:sz w:val="18"/>
                <w:szCs w:val="18"/>
                <w:lang w:eastAsia="en-GB"/>
              </w:rPr>
            </w:pPr>
            <w:r w:rsidRPr="000B4E2C">
              <w:rPr>
                <w:sz w:val="18"/>
                <w:szCs w:val="18"/>
                <w:lang w:eastAsia="en-GB"/>
              </w:rPr>
              <w:t>2015</w:t>
            </w:r>
          </w:p>
        </w:tc>
        <w:tc>
          <w:tcPr>
            <w:tcW w:w="0" w:type="auto"/>
            <w:shd w:val="clear" w:color="auto" w:fill="auto"/>
            <w:vAlign w:val="bottom"/>
            <w:hideMark/>
          </w:tcPr>
          <w:p w14:paraId="7B945B42" w14:textId="77777777" w:rsidR="008523B9" w:rsidRPr="000B4E2C" w:rsidRDefault="008523B9" w:rsidP="00A908B8">
            <w:pPr>
              <w:rPr>
                <w:color w:val="000000"/>
                <w:sz w:val="18"/>
                <w:szCs w:val="18"/>
                <w:lang w:eastAsia="en-GB"/>
              </w:rPr>
            </w:pPr>
            <w:r w:rsidRPr="000B4E2C">
              <w:rPr>
                <w:sz w:val="18"/>
                <w:szCs w:val="18"/>
                <w:lang w:eastAsia="en-GB"/>
              </w:rPr>
              <w:t>AKI, intensive care</w:t>
            </w:r>
          </w:p>
        </w:tc>
        <w:tc>
          <w:tcPr>
            <w:tcW w:w="0" w:type="auto"/>
            <w:shd w:val="clear" w:color="auto" w:fill="auto"/>
            <w:vAlign w:val="bottom"/>
            <w:hideMark/>
          </w:tcPr>
          <w:p w14:paraId="057DE087" w14:textId="77777777" w:rsidR="008523B9" w:rsidRPr="000B4E2C" w:rsidRDefault="008523B9" w:rsidP="00A908B8">
            <w:pPr>
              <w:rPr>
                <w:color w:val="000000"/>
                <w:sz w:val="18"/>
                <w:szCs w:val="18"/>
                <w:lang w:eastAsia="en-GB"/>
              </w:rPr>
            </w:pPr>
            <w:r w:rsidRPr="000B4E2C">
              <w:rPr>
                <w:sz w:val="18"/>
                <w:szCs w:val="18"/>
                <w:lang w:eastAsia="en-GB"/>
              </w:rPr>
              <w:t>USA</w:t>
            </w:r>
          </w:p>
        </w:tc>
        <w:tc>
          <w:tcPr>
            <w:tcW w:w="0" w:type="auto"/>
            <w:shd w:val="clear" w:color="auto" w:fill="auto"/>
            <w:vAlign w:val="bottom"/>
            <w:hideMark/>
          </w:tcPr>
          <w:p w14:paraId="491B3DBC" w14:textId="77777777" w:rsidR="008523B9" w:rsidRPr="000B4E2C" w:rsidRDefault="008523B9" w:rsidP="00A908B8">
            <w:pPr>
              <w:rPr>
                <w:color w:val="000000"/>
                <w:sz w:val="18"/>
                <w:szCs w:val="18"/>
                <w:lang w:eastAsia="en-GB"/>
              </w:rPr>
            </w:pPr>
            <w:r w:rsidRPr="000B4E2C">
              <w:rPr>
                <w:sz w:val="18"/>
                <w:szCs w:val="18"/>
                <w:lang w:eastAsia="en-GB"/>
              </w:rPr>
              <w:t>DAM: Unclear (sourced from lit)</w:t>
            </w:r>
          </w:p>
        </w:tc>
        <w:tc>
          <w:tcPr>
            <w:tcW w:w="0" w:type="auto"/>
            <w:shd w:val="clear" w:color="auto" w:fill="auto"/>
            <w:vAlign w:val="bottom"/>
            <w:hideMark/>
          </w:tcPr>
          <w:p w14:paraId="351C32F5" w14:textId="77777777" w:rsidR="008523B9" w:rsidRPr="000B4E2C" w:rsidRDefault="008523B9" w:rsidP="00A908B8">
            <w:pPr>
              <w:rPr>
                <w:color w:val="000000"/>
                <w:sz w:val="18"/>
                <w:szCs w:val="18"/>
                <w:lang w:eastAsia="en-GB"/>
              </w:rPr>
            </w:pPr>
            <w:r w:rsidRPr="000B4E2C">
              <w:rPr>
                <w:sz w:val="18"/>
                <w:szCs w:val="18"/>
                <w:lang w:eastAsia="en-GB"/>
              </w:rPr>
              <w:t>Unclear</w:t>
            </w:r>
          </w:p>
        </w:tc>
        <w:tc>
          <w:tcPr>
            <w:tcW w:w="0" w:type="auto"/>
            <w:shd w:val="clear" w:color="auto" w:fill="auto"/>
            <w:vAlign w:val="bottom"/>
            <w:hideMark/>
          </w:tcPr>
          <w:p w14:paraId="15DBBCCB" w14:textId="77777777" w:rsidR="008523B9" w:rsidRPr="000B4E2C" w:rsidRDefault="008523B9" w:rsidP="00A908B8">
            <w:pPr>
              <w:rPr>
                <w:color w:val="000000"/>
                <w:sz w:val="18"/>
                <w:szCs w:val="18"/>
                <w:lang w:eastAsia="en-GB"/>
              </w:rPr>
            </w:pPr>
            <w:r w:rsidRPr="000B4E2C">
              <w:rPr>
                <w:sz w:val="18"/>
                <w:szCs w:val="18"/>
                <w:lang w:eastAsia="en-GB"/>
              </w:rPr>
              <w:t>NR</w:t>
            </w:r>
          </w:p>
        </w:tc>
        <w:tc>
          <w:tcPr>
            <w:tcW w:w="0" w:type="auto"/>
            <w:shd w:val="clear" w:color="auto" w:fill="auto"/>
            <w:vAlign w:val="bottom"/>
            <w:hideMark/>
          </w:tcPr>
          <w:p w14:paraId="29E67EC8" w14:textId="77777777" w:rsidR="008523B9" w:rsidRPr="000B4E2C" w:rsidRDefault="008523B9" w:rsidP="00A908B8">
            <w:pPr>
              <w:rPr>
                <w:color w:val="000000"/>
                <w:sz w:val="18"/>
                <w:szCs w:val="18"/>
                <w:lang w:eastAsia="en-GB"/>
              </w:rPr>
            </w:pPr>
            <w:r w:rsidRPr="000B4E2C">
              <w:rPr>
                <w:sz w:val="18"/>
                <w:szCs w:val="18"/>
                <w:lang w:eastAsia="en-GB"/>
              </w:rPr>
              <w:t>NR</w:t>
            </w:r>
          </w:p>
        </w:tc>
        <w:tc>
          <w:tcPr>
            <w:tcW w:w="0" w:type="auto"/>
            <w:shd w:val="clear" w:color="auto" w:fill="auto"/>
            <w:vAlign w:val="bottom"/>
            <w:hideMark/>
          </w:tcPr>
          <w:p w14:paraId="0A9A79A1" w14:textId="77777777" w:rsidR="008523B9" w:rsidRPr="000B4E2C" w:rsidRDefault="008523B9" w:rsidP="00A908B8">
            <w:pPr>
              <w:rPr>
                <w:color w:val="000000"/>
                <w:sz w:val="18"/>
                <w:szCs w:val="18"/>
                <w:lang w:eastAsia="en-GB"/>
              </w:rPr>
            </w:pPr>
            <w:r w:rsidRPr="000B4E2C">
              <w:rPr>
                <w:sz w:val="18"/>
                <w:szCs w:val="18"/>
                <w:lang w:eastAsia="en-GB"/>
              </w:rPr>
              <w:t>NR</w:t>
            </w:r>
          </w:p>
        </w:tc>
        <w:tc>
          <w:tcPr>
            <w:tcW w:w="0" w:type="auto"/>
            <w:shd w:val="clear" w:color="auto" w:fill="auto"/>
            <w:vAlign w:val="bottom"/>
            <w:hideMark/>
          </w:tcPr>
          <w:p w14:paraId="6338C717" w14:textId="2E94D575" w:rsidR="008523B9" w:rsidRPr="000B4E2C" w:rsidRDefault="008523B9" w:rsidP="00A908B8">
            <w:pPr>
              <w:rPr>
                <w:color w:val="000000"/>
                <w:sz w:val="18"/>
                <w:szCs w:val="18"/>
                <w:lang w:eastAsia="en-GB"/>
              </w:rPr>
            </w:pPr>
            <w:r w:rsidRPr="000B4E2C">
              <w:rPr>
                <w:sz w:val="18"/>
                <w:szCs w:val="18"/>
                <w:lang w:eastAsia="en-GB"/>
              </w:rPr>
              <w:t>CCRT (ICU)</w:t>
            </w:r>
            <w:r w:rsidR="000B4E2C" w:rsidRPr="000B4E2C">
              <w:rPr>
                <w:sz w:val="18"/>
                <w:szCs w:val="18"/>
                <w:lang w:eastAsia="en-GB"/>
              </w:rPr>
              <w:t xml:space="preserve"> </w:t>
            </w:r>
            <w:r w:rsidRPr="000B4E2C">
              <w:rPr>
                <w:sz w:val="18"/>
                <w:szCs w:val="18"/>
                <w:lang w:eastAsia="en-GB"/>
              </w:rPr>
              <w:t>CCRT (DI)</w:t>
            </w:r>
            <w:r w:rsidR="000B4E2C" w:rsidRPr="000B4E2C">
              <w:rPr>
                <w:sz w:val="18"/>
                <w:szCs w:val="18"/>
                <w:lang w:eastAsia="en-GB"/>
              </w:rPr>
              <w:t xml:space="preserve"> </w:t>
            </w:r>
            <w:r w:rsidRPr="000B4E2C">
              <w:rPr>
                <w:sz w:val="18"/>
                <w:szCs w:val="18"/>
                <w:lang w:eastAsia="en-GB"/>
              </w:rPr>
              <w:t>CCRT (DD)</w:t>
            </w:r>
            <w:r w:rsidR="000B4E2C" w:rsidRPr="000B4E2C">
              <w:rPr>
                <w:sz w:val="18"/>
                <w:szCs w:val="18"/>
                <w:lang w:eastAsia="en-GB"/>
              </w:rPr>
              <w:t xml:space="preserve"> </w:t>
            </w:r>
            <w:r w:rsidRPr="000B4E2C">
              <w:rPr>
                <w:sz w:val="18"/>
                <w:szCs w:val="18"/>
                <w:lang w:eastAsia="en-GB"/>
              </w:rPr>
              <w:t>IRRT (ICU)</w:t>
            </w:r>
            <w:r w:rsidR="000B4E2C" w:rsidRPr="000B4E2C">
              <w:rPr>
                <w:sz w:val="18"/>
                <w:szCs w:val="18"/>
                <w:lang w:eastAsia="en-GB"/>
              </w:rPr>
              <w:t xml:space="preserve"> </w:t>
            </w:r>
            <w:r w:rsidRPr="000B4E2C">
              <w:rPr>
                <w:sz w:val="18"/>
                <w:szCs w:val="18"/>
                <w:lang w:eastAsia="en-GB"/>
              </w:rPr>
              <w:t>IRRT(DI)</w:t>
            </w:r>
            <w:r w:rsidR="000B4E2C" w:rsidRPr="000B4E2C">
              <w:rPr>
                <w:sz w:val="18"/>
                <w:szCs w:val="18"/>
                <w:lang w:eastAsia="en-GB"/>
              </w:rPr>
              <w:t xml:space="preserve"> </w:t>
            </w:r>
            <w:r w:rsidRPr="000B4E2C">
              <w:rPr>
                <w:sz w:val="18"/>
                <w:szCs w:val="18"/>
                <w:lang w:eastAsia="en-GB"/>
              </w:rPr>
              <w:t>IRRT (DD)</w:t>
            </w:r>
          </w:p>
        </w:tc>
        <w:tc>
          <w:tcPr>
            <w:tcW w:w="0" w:type="auto"/>
            <w:shd w:val="clear" w:color="auto" w:fill="auto"/>
            <w:vAlign w:val="bottom"/>
            <w:hideMark/>
          </w:tcPr>
          <w:p w14:paraId="143AA0A3" w14:textId="216F7839" w:rsidR="008523B9" w:rsidRPr="000B4E2C" w:rsidRDefault="008523B9" w:rsidP="00A908B8">
            <w:pPr>
              <w:rPr>
                <w:color w:val="000000"/>
                <w:sz w:val="18"/>
                <w:szCs w:val="18"/>
                <w:lang w:eastAsia="en-GB"/>
              </w:rPr>
            </w:pPr>
            <w:r w:rsidRPr="000B4E2C">
              <w:rPr>
                <w:sz w:val="18"/>
                <w:szCs w:val="18"/>
                <w:lang w:eastAsia="en-GB"/>
              </w:rPr>
              <w:t>0.13</w:t>
            </w:r>
            <w:r w:rsidR="000B4E2C" w:rsidRPr="000B4E2C">
              <w:rPr>
                <w:sz w:val="18"/>
                <w:szCs w:val="18"/>
                <w:lang w:eastAsia="en-GB"/>
              </w:rPr>
              <w:t xml:space="preserve"> </w:t>
            </w:r>
            <w:r w:rsidRPr="000B4E2C">
              <w:rPr>
                <w:sz w:val="18"/>
                <w:szCs w:val="18"/>
                <w:lang w:eastAsia="en-GB"/>
              </w:rPr>
              <w:t>0.84</w:t>
            </w:r>
            <w:r w:rsidR="000B4E2C" w:rsidRPr="000B4E2C">
              <w:rPr>
                <w:sz w:val="18"/>
                <w:szCs w:val="18"/>
                <w:lang w:eastAsia="en-GB"/>
              </w:rPr>
              <w:t xml:space="preserve"> </w:t>
            </w:r>
            <w:r w:rsidRPr="000B4E2C">
              <w:rPr>
                <w:sz w:val="18"/>
                <w:szCs w:val="18"/>
                <w:lang w:eastAsia="en-GB"/>
              </w:rPr>
              <w:t>0.62</w:t>
            </w:r>
            <w:r w:rsidR="000B4E2C" w:rsidRPr="000B4E2C">
              <w:rPr>
                <w:sz w:val="18"/>
                <w:szCs w:val="18"/>
                <w:lang w:eastAsia="en-GB"/>
              </w:rPr>
              <w:t xml:space="preserve"> </w:t>
            </w:r>
            <w:r w:rsidRPr="000B4E2C">
              <w:rPr>
                <w:sz w:val="18"/>
                <w:szCs w:val="18"/>
                <w:lang w:eastAsia="en-GB"/>
              </w:rPr>
              <w:t>0.13</w:t>
            </w:r>
            <w:r w:rsidR="000B4E2C" w:rsidRPr="000B4E2C">
              <w:rPr>
                <w:sz w:val="18"/>
                <w:szCs w:val="18"/>
                <w:lang w:eastAsia="en-GB"/>
              </w:rPr>
              <w:t xml:space="preserve"> </w:t>
            </w:r>
            <w:r w:rsidRPr="000B4E2C">
              <w:rPr>
                <w:sz w:val="18"/>
                <w:szCs w:val="18"/>
                <w:lang w:eastAsia="en-GB"/>
              </w:rPr>
              <w:t>0.84</w:t>
            </w:r>
            <w:r w:rsidR="000B4E2C" w:rsidRPr="000B4E2C">
              <w:rPr>
                <w:sz w:val="18"/>
                <w:szCs w:val="18"/>
                <w:lang w:eastAsia="en-GB"/>
              </w:rPr>
              <w:t xml:space="preserve"> </w:t>
            </w:r>
            <w:r w:rsidRPr="000B4E2C">
              <w:rPr>
                <w:sz w:val="18"/>
                <w:szCs w:val="18"/>
                <w:lang w:eastAsia="en-GB"/>
              </w:rPr>
              <w:t>0.62</w:t>
            </w:r>
          </w:p>
        </w:tc>
        <w:tc>
          <w:tcPr>
            <w:tcW w:w="0" w:type="auto"/>
            <w:shd w:val="clear" w:color="auto" w:fill="auto"/>
            <w:vAlign w:val="bottom"/>
            <w:hideMark/>
          </w:tcPr>
          <w:p w14:paraId="28315A8B" w14:textId="53AF3D85" w:rsidR="008523B9" w:rsidRPr="000B4E2C" w:rsidRDefault="000B4E2C" w:rsidP="00A908B8">
            <w:pPr>
              <w:rPr>
                <w:color w:val="000000"/>
                <w:sz w:val="18"/>
                <w:szCs w:val="18"/>
                <w:lang w:eastAsia="en-GB"/>
              </w:rPr>
            </w:pPr>
            <w:r w:rsidRPr="000B4E2C">
              <w:rPr>
                <w:sz w:val="18"/>
                <w:szCs w:val="18"/>
                <w:lang w:eastAsia="en-GB"/>
              </w:rPr>
              <w:t xml:space="preserve"> </w:t>
            </w:r>
          </w:p>
        </w:tc>
        <w:tc>
          <w:tcPr>
            <w:tcW w:w="0" w:type="auto"/>
            <w:shd w:val="clear" w:color="auto" w:fill="auto"/>
            <w:vAlign w:val="bottom"/>
            <w:hideMark/>
          </w:tcPr>
          <w:p w14:paraId="086B4B5C" w14:textId="77777777" w:rsidR="008523B9" w:rsidRPr="000B4E2C" w:rsidRDefault="008523B9" w:rsidP="00A908B8">
            <w:pPr>
              <w:rPr>
                <w:color w:val="000000"/>
                <w:sz w:val="18"/>
                <w:szCs w:val="18"/>
                <w:lang w:eastAsia="en-GB"/>
              </w:rPr>
            </w:pPr>
            <w:r w:rsidRPr="000B4E2C">
              <w:rPr>
                <w:sz w:val="18"/>
                <w:szCs w:val="18"/>
                <w:lang w:eastAsia="en-GB"/>
              </w:rPr>
              <w:t>NR</w:t>
            </w:r>
          </w:p>
        </w:tc>
        <w:tc>
          <w:tcPr>
            <w:tcW w:w="0" w:type="auto"/>
            <w:shd w:val="clear" w:color="auto" w:fill="auto"/>
            <w:vAlign w:val="bottom"/>
            <w:hideMark/>
          </w:tcPr>
          <w:p w14:paraId="1736B921" w14:textId="6D454670" w:rsidR="008523B9" w:rsidRPr="000B4E2C" w:rsidRDefault="000B4E2C" w:rsidP="00A908B8">
            <w:pPr>
              <w:rPr>
                <w:color w:val="000000"/>
                <w:sz w:val="18"/>
                <w:szCs w:val="18"/>
                <w:lang w:eastAsia="en-GB"/>
              </w:rPr>
            </w:pPr>
            <w:r w:rsidRPr="000B4E2C">
              <w:rPr>
                <w:sz w:val="18"/>
                <w:szCs w:val="18"/>
                <w:lang w:eastAsia="en-GB"/>
              </w:rPr>
              <w:t xml:space="preserve"> </w:t>
            </w:r>
          </w:p>
        </w:tc>
        <w:tc>
          <w:tcPr>
            <w:tcW w:w="0" w:type="auto"/>
            <w:shd w:val="clear" w:color="auto" w:fill="auto"/>
            <w:vAlign w:val="bottom"/>
            <w:hideMark/>
          </w:tcPr>
          <w:p w14:paraId="2968DD03" w14:textId="0B3B5526" w:rsidR="008523B9" w:rsidRPr="000B4E2C" w:rsidRDefault="000B4E2C" w:rsidP="00A908B8">
            <w:pPr>
              <w:rPr>
                <w:sz w:val="18"/>
                <w:szCs w:val="18"/>
                <w:lang w:eastAsia="en-GB"/>
              </w:rPr>
            </w:pPr>
            <w:r w:rsidRPr="000B4E2C">
              <w:rPr>
                <w:sz w:val="18"/>
                <w:szCs w:val="18"/>
                <w:lang w:eastAsia="en-GB"/>
              </w:rPr>
              <w:t xml:space="preserve"> </w:t>
            </w:r>
          </w:p>
        </w:tc>
      </w:tr>
      <w:tr w:rsidR="000B4E2C" w:rsidRPr="000B4E2C" w14:paraId="49C02D2C" w14:textId="77777777" w:rsidTr="000B4E2C">
        <w:trPr>
          <w:cantSplit/>
        </w:trPr>
        <w:tc>
          <w:tcPr>
            <w:tcW w:w="0" w:type="auto"/>
            <w:shd w:val="clear" w:color="auto" w:fill="auto"/>
            <w:vAlign w:val="bottom"/>
            <w:hideMark/>
          </w:tcPr>
          <w:p w14:paraId="3994FF97" w14:textId="590CD10B" w:rsidR="008523B9" w:rsidRPr="000B4E2C" w:rsidRDefault="008523B9" w:rsidP="00A908B8">
            <w:pPr>
              <w:rPr>
                <w:color w:val="000000"/>
                <w:sz w:val="18"/>
                <w:szCs w:val="18"/>
                <w:lang w:eastAsia="en-GB"/>
              </w:rPr>
            </w:pPr>
            <w:r w:rsidRPr="000B4E2C">
              <w:rPr>
                <w:sz w:val="18"/>
                <w:szCs w:val="18"/>
                <w:lang w:eastAsia="en-GB"/>
              </w:rPr>
              <w:t>Hall</w:t>
            </w:r>
            <w:r w:rsidRPr="000B4E2C">
              <w:rPr>
                <w:noProof/>
                <w:sz w:val="18"/>
                <w:szCs w:val="18"/>
                <w:vertAlign w:val="superscript"/>
                <w:lang w:eastAsia="en-GB"/>
              </w:rPr>
              <w:t>99</w:t>
            </w:r>
          </w:p>
        </w:tc>
        <w:tc>
          <w:tcPr>
            <w:tcW w:w="0" w:type="auto"/>
            <w:shd w:val="clear" w:color="auto" w:fill="auto"/>
            <w:vAlign w:val="bottom"/>
            <w:hideMark/>
          </w:tcPr>
          <w:p w14:paraId="241E1ED2" w14:textId="77777777" w:rsidR="008523B9" w:rsidRPr="000B4E2C" w:rsidRDefault="008523B9" w:rsidP="00A908B8">
            <w:pPr>
              <w:jc w:val="right"/>
              <w:rPr>
                <w:color w:val="000000"/>
                <w:sz w:val="18"/>
                <w:szCs w:val="18"/>
                <w:lang w:eastAsia="en-GB"/>
              </w:rPr>
            </w:pPr>
            <w:r w:rsidRPr="000B4E2C">
              <w:rPr>
                <w:sz w:val="18"/>
                <w:szCs w:val="18"/>
                <w:lang w:eastAsia="en-GB"/>
              </w:rPr>
              <w:t>2018</w:t>
            </w:r>
          </w:p>
        </w:tc>
        <w:tc>
          <w:tcPr>
            <w:tcW w:w="0" w:type="auto"/>
            <w:shd w:val="clear" w:color="auto" w:fill="auto"/>
            <w:vAlign w:val="bottom"/>
            <w:hideMark/>
          </w:tcPr>
          <w:p w14:paraId="32912566" w14:textId="77777777" w:rsidR="008523B9" w:rsidRPr="000B4E2C" w:rsidRDefault="008523B9" w:rsidP="00A908B8">
            <w:pPr>
              <w:rPr>
                <w:color w:val="000000"/>
                <w:sz w:val="18"/>
                <w:szCs w:val="18"/>
                <w:lang w:eastAsia="en-GB"/>
              </w:rPr>
            </w:pPr>
            <w:r w:rsidRPr="000B4E2C">
              <w:rPr>
                <w:sz w:val="18"/>
                <w:szCs w:val="18"/>
                <w:lang w:eastAsia="en-GB"/>
              </w:rPr>
              <w:t>AKI, intensive care</w:t>
            </w:r>
          </w:p>
        </w:tc>
        <w:tc>
          <w:tcPr>
            <w:tcW w:w="0" w:type="auto"/>
            <w:shd w:val="clear" w:color="auto" w:fill="auto"/>
            <w:vAlign w:val="bottom"/>
            <w:hideMark/>
          </w:tcPr>
          <w:p w14:paraId="05547BFF" w14:textId="77777777" w:rsidR="008523B9" w:rsidRPr="000B4E2C" w:rsidRDefault="008523B9" w:rsidP="00A908B8">
            <w:pPr>
              <w:rPr>
                <w:color w:val="000000"/>
                <w:sz w:val="18"/>
                <w:szCs w:val="18"/>
                <w:lang w:eastAsia="en-GB"/>
              </w:rPr>
            </w:pPr>
            <w:r w:rsidRPr="000B4E2C">
              <w:rPr>
                <w:sz w:val="18"/>
                <w:szCs w:val="18"/>
                <w:lang w:eastAsia="en-GB"/>
              </w:rPr>
              <w:t>UK</w:t>
            </w:r>
          </w:p>
        </w:tc>
        <w:tc>
          <w:tcPr>
            <w:tcW w:w="0" w:type="auto"/>
            <w:shd w:val="clear" w:color="auto" w:fill="auto"/>
            <w:vAlign w:val="bottom"/>
            <w:hideMark/>
          </w:tcPr>
          <w:p w14:paraId="1525931F" w14:textId="77777777" w:rsidR="008523B9" w:rsidRPr="000B4E2C" w:rsidRDefault="008523B9" w:rsidP="00A908B8">
            <w:pPr>
              <w:rPr>
                <w:color w:val="000000"/>
                <w:sz w:val="18"/>
                <w:szCs w:val="18"/>
                <w:lang w:eastAsia="en-GB"/>
              </w:rPr>
            </w:pPr>
            <w:r w:rsidRPr="000B4E2C">
              <w:rPr>
                <w:sz w:val="18"/>
                <w:szCs w:val="18"/>
                <w:lang w:eastAsia="en-GB"/>
              </w:rPr>
              <w:t>Mix</w:t>
            </w:r>
          </w:p>
        </w:tc>
        <w:tc>
          <w:tcPr>
            <w:tcW w:w="0" w:type="auto"/>
            <w:shd w:val="clear" w:color="auto" w:fill="auto"/>
            <w:vAlign w:val="bottom"/>
            <w:hideMark/>
          </w:tcPr>
          <w:p w14:paraId="5D89C98D" w14:textId="77777777" w:rsidR="008523B9" w:rsidRPr="000B4E2C" w:rsidRDefault="008523B9" w:rsidP="00A908B8">
            <w:pPr>
              <w:rPr>
                <w:color w:val="000000"/>
                <w:sz w:val="18"/>
                <w:szCs w:val="18"/>
                <w:lang w:eastAsia="en-GB"/>
              </w:rPr>
            </w:pPr>
            <w:r w:rsidRPr="000B4E2C">
              <w:rPr>
                <w:sz w:val="18"/>
                <w:szCs w:val="18"/>
                <w:lang w:eastAsia="en-GB"/>
              </w:rPr>
              <w:t>various</w:t>
            </w:r>
          </w:p>
        </w:tc>
        <w:tc>
          <w:tcPr>
            <w:tcW w:w="0" w:type="auto"/>
            <w:shd w:val="clear" w:color="auto" w:fill="auto"/>
            <w:vAlign w:val="bottom"/>
            <w:hideMark/>
          </w:tcPr>
          <w:p w14:paraId="0A061665" w14:textId="77777777" w:rsidR="008523B9" w:rsidRPr="000B4E2C" w:rsidRDefault="008523B9" w:rsidP="00A908B8">
            <w:pPr>
              <w:rPr>
                <w:color w:val="000000"/>
                <w:sz w:val="18"/>
                <w:szCs w:val="18"/>
                <w:lang w:eastAsia="en-GB"/>
              </w:rPr>
            </w:pPr>
            <w:r w:rsidRPr="000B4E2C">
              <w:rPr>
                <w:sz w:val="18"/>
                <w:szCs w:val="18"/>
                <w:lang w:eastAsia="en-GB"/>
              </w:rPr>
              <w:t>Mix</w:t>
            </w:r>
          </w:p>
        </w:tc>
        <w:tc>
          <w:tcPr>
            <w:tcW w:w="0" w:type="auto"/>
            <w:shd w:val="clear" w:color="auto" w:fill="auto"/>
            <w:vAlign w:val="bottom"/>
            <w:hideMark/>
          </w:tcPr>
          <w:p w14:paraId="2695D0F2" w14:textId="34240076" w:rsidR="008523B9" w:rsidRPr="000B4E2C" w:rsidRDefault="000B4E2C" w:rsidP="00A908B8">
            <w:pPr>
              <w:rPr>
                <w:color w:val="000000"/>
                <w:sz w:val="18"/>
                <w:szCs w:val="18"/>
                <w:lang w:eastAsia="en-GB"/>
              </w:rPr>
            </w:pPr>
            <w:r w:rsidRPr="000B4E2C">
              <w:rPr>
                <w:sz w:val="18"/>
                <w:szCs w:val="18"/>
                <w:lang w:eastAsia="en-GB"/>
              </w:rPr>
              <w:t xml:space="preserve"> </w:t>
            </w:r>
          </w:p>
        </w:tc>
        <w:tc>
          <w:tcPr>
            <w:tcW w:w="0" w:type="auto"/>
            <w:shd w:val="clear" w:color="auto" w:fill="auto"/>
            <w:vAlign w:val="bottom"/>
            <w:hideMark/>
          </w:tcPr>
          <w:p w14:paraId="5C7DACDA" w14:textId="007CE766" w:rsidR="008523B9" w:rsidRPr="000B4E2C" w:rsidRDefault="000B4E2C" w:rsidP="00A908B8">
            <w:pPr>
              <w:rPr>
                <w:color w:val="000000"/>
                <w:sz w:val="18"/>
                <w:szCs w:val="18"/>
                <w:lang w:eastAsia="en-GB"/>
              </w:rPr>
            </w:pPr>
            <w:r w:rsidRPr="000B4E2C">
              <w:rPr>
                <w:sz w:val="18"/>
                <w:szCs w:val="18"/>
                <w:lang w:eastAsia="en-GB"/>
              </w:rPr>
              <w:t xml:space="preserve"> </w:t>
            </w:r>
          </w:p>
        </w:tc>
        <w:tc>
          <w:tcPr>
            <w:tcW w:w="0" w:type="auto"/>
            <w:shd w:val="clear" w:color="auto" w:fill="auto"/>
            <w:vAlign w:val="bottom"/>
            <w:hideMark/>
          </w:tcPr>
          <w:p w14:paraId="5C5D1856" w14:textId="77777777" w:rsidR="008523B9" w:rsidRPr="000B4E2C" w:rsidRDefault="008523B9" w:rsidP="00A908B8">
            <w:pPr>
              <w:rPr>
                <w:sz w:val="18"/>
                <w:szCs w:val="18"/>
                <w:lang w:eastAsia="en-GB"/>
              </w:rPr>
            </w:pPr>
            <w:r w:rsidRPr="000B4E2C">
              <w:rPr>
                <w:sz w:val="18"/>
                <w:szCs w:val="18"/>
                <w:lang w:eastAsia="en-GB"/>
              </w:rPr>
              <w:t>ICU</w:t>
            </w:r>
          </w:p>
          <w:p w14:paraId="7A7B7FB8" w14:textId="7CDD408B" w:rsidR="008523B9" w:rsidRPr="000B4E2C" w:rsidRDefault="008523B9" w:rsidP="00A908B8">
            <w:pPr>
              <w:rPr>
                <w:color w:val="000000"/>
                <w:sz w:val="18"/>
                <w:szCs w:val="18"/>
                <w:lang w:eastAsia="en-GB"/>
              </w:rPr>
            </w:pPr>
            <w:r w:rsidRPr="000B4E2C">
              <w:rPr>
                <w:sz w:val="18"/>
                <w:szCs w:val="18"/>
                <w:lang w:eastAsia="en-GB"/>
              </w:rPr>
              <w:t>Ward (post ICU)</w:t>
            </w:r>
            <w:r w:rsidR="000B4E2C" w:rsidRPr="000B4E2C">
              <w:rPr>
                <w:sz w:val="18"/>
                <w:szCs w:val="18"/>
                <w:lang w:eastAsia="en-GB"/>
              </w:rPr>
              <w:t xml:space="preserve"> </w:t>
            </w:r>
            <w:r w:rsidRPr="000B4E2C">
              <w:rPr>
                <w:sz w:val="18"/>
                <w:szCs w:val="18"/>
                <w:lang w:eastAsia="en-GB"/>
              </w:rPr>
              <w:t>Discharged (post ICU)</w:t>
            </w:r>
            <w:r w:rsidR="000B4E2C" w:rsidRPr="000B4E2C">
              <w:rPr>
                <w:sz w:val="18"/>
                <w:szCs w:val="18"/>
                <w:lang w:eastAsia="en-GB"/>
              </w:rPr>
              <w:t xml:space="preserve"> </w:t>
            </w:r>
            <w:r w:rsidRPr="000B4E2C">
              <w:rPr>
                <w:sz w:val="18"/>
                <w:szCs w:val="18"/>
                <w:lang w:eastAsia="en-GB"/>
              </w:rPr>
              <w:t>DD decrement</w:t>
            </w:r>
          </w:p>
        </w:tc>
        <w:tc>
          <w:tcPr>
            <w:tcW w:w="0" w:type="auto"/>
            <w:shd w:val="clear" w:color="auto" w:fill="auto"/>
            <w:vAlign w:val="bottom"/>
            <w:hideMark/>
          </w:tcPr>
          <w:p w14:paraId="6EDFA5EF" w14:textId="58E63049" w:rsidR="008523B9" w:rsidRPr="000B4E2C" w:rsidRDefault="000B4E2C" w:rsidP="00A908B8">
            <w:pPr>
              <w:rPr>
                <w:color w:val="000000"/>
                <w:sz w:val="18"/>
                <w:szCs w:val="18"/>
                <w:lang w:eastAsia="en-GB"/>
              </w:rPr>
            </w:pPr>
            <w:r w:rsidRPr="000B4E2C">
              <w:rPr>
                <w:color w:val="00B0F0"/>
                <w:sz w:val="18"/>
                <w:szCs w:val="18"/>
                <w:lang w:eastAsia="en-GB"/>
              </w:rPr>
              <w:t>–</w:t>
            </w:r>
            <w:r w:rsidRPr="000B4E2C">
              <w:rPr>
                <w:color w:val="00B0F0"/>
                <w:sz w:val="18"/>
                <w:szCs w:val="18"/>
                <w:lang w:eastAsia="en-GB"/>
              </w:rPr>
              <w:t>0</w:t>
            </w:r>
            <w:r w:rsidR="008523B9" w:rsidRPr="000B4E2C">
              <w:rPr>
                <w:sz w:val="18"/>
                <w:szCs w:val="18"/>
                <w:lang w:eastAsia="en-GB"/>
              </w:rPr>
              <w:t>.402</w:t>
            </w:r>
            <w:r w:rsidRPr="000B4E2C">
              <w:rPr>
                <w:sz w:val="18"/>
                <w:szCs w:val="18"/>
                <w:lang w:eastAsia="en-GB"/>
              </w:rPr>
              <w:t xml:space="preserve"> </w:t>
            </w:r>
            <w:r w:rsidR="008523B9" w:rsidRPr="000B4E2C">
              <w:rPr>
                <w:sz w:val="18"/>
                <w:szCs w:val="18"/>
                <w:lang w:eastAsia="en-GB"/>
              </w:rPr>
              <w:t>0.44</w:t>
            </w:r>
            <w:r w:rsidRPr="000B4E2C">
              <w:rPr>
                <w:sz w:val="18"/>
                <w:szCs w:val="18"/>
                <w:lang w:eastAsia="en-GB"/>
              </w:rPr>
              <w:t xml:space="preserve"> </w:t>
            </w:r>
            <w:r w:rsidR="008523B9" w:rsidRPr="000B4E2C">
              <w:rPr>
                <w:sz w:val="18"/>
                <w:szCs w:val="18"/>
                <w:lang w:eastAsia="en-GB"/>
              </w:rPr>
              <w:t>0.62</w:t>
            </w:r>
            <w:r w:rsidRPr="000B4E2C">
              <w:rPr>
                <w:sz w:val="18"/>
                <w:szCs w:val="18"/>
                <w:lang w:eastAsia="en-GB"/>
              </w:rPr>
              <w:t xml:space="preserve"> </w:t>
            </w:r>
            <w:r w:rsidR="008523B9" w:rsidRPr="000B4E2C">
              <w:rPr>
                <w:sz w:val="18"/>
                <w:szCs w:val="18"/>
                <w:lang w:eastAsia="en-GB"/>
              </w:rPr>
              <w:t>0.11</w:t>
            </w:r>
          </w:p>
        </w:tc>
        <w:tc>
          <w:tcPr>
            <w:tcW w:w="0" w:type="auto"/>
            <w:shd w:val="clear" w:color="auto" w:fill="auto"/>
            <w:vAlign w:val="bottom"/>
            <w:hideMark/>
          </w:tcPr>
          <w:p w14:paraId="14EDB7D7" w14:textId="0AF4793E" w:rsidR="008523B9" w:rsidRPr="000B4E2C" w:rsidRDefault="000B4E2C" w:rsidP="00A908B8">
            <w:pPr>
              <w:rPr>
                <w:color w:val="000000"/>
                <w:sz w:val="18"/>
                <w:szCs w:val="18"/>
                <w:lang w:eastAsia="en-GB"/>
              </w:rPr>
            </w:pPr>
            <w:r w:rsidRPr="000B4E2C">
              <w:rPr>
                <w:sz w:val="18"/>
                <w:szCs w:val="18"/>
                <w:lang w:eastAsia="en-GB"/>
              </w:rPr>
              <w:t xml:space="preserve"> </w:t>
            </w:r>
          </w:p>
        </w:tc>
        <w:tc>
          <w:tcPr>
            <w:tcW w:w="0" w:type="auto"/>
            <w:shd w:val="clear" w:color="auto" w:fill="auto"/>
            <w:vAlign w:val="bottom"/>
            <w:hideMark/>
          </w:tcPr>
          <w:p w14:paraId="7EB269E0" w14:textId="276844D4" w:rsidR="008523B9" w:rsidRPr="000B4E2C" w:rsidRDefault="008523B9" w:rsidP="00A908B8">
            <w:pPr>
              <w:rPr>
                <w:color w:val="000000"/>
                <w:sz w:val="18"/>
                <w:szCs w:val="18"/>
                <w:lang w:eastAsia="en-GB"/>
              </w:rPr>
            </w:pPr>
            <w:r w:rsidRPr="000B4E2C">
              <w:rPr>
                <w:sz w:val="18"/>
                <w:szCs w:val="18"/>
                <w:lang w:eastAsia="en-GB"/>
              </w:rPr>
              <w:t>0.20</w:t>
            </w:r>
            <w:r w:rsidR="000B4E2C" w:rsidRPr="000B4E2C">
              <w:rPr>
                <w:sz w:val="18"/>
                <w:szCs w:val="18"/>
                <w:lang w:eastAsia="en-GB"/>
              </w:rPr>
              <w:t xml:space="preserve"> </w:t>
            </w:r>
            <w:r w:rsidRPr="000B4E2C">
              <w:rPr>
                <w:sz w:val="18"/>
                <w:szCs w:val="18"/>
                <w:lang w:eastAsia="en-GB"/>
              </w:rPr>
              <w:t>0.31</w:t>
            </w:r>
            <w:r w:rsidR="000B4E2C" w:rsidRPr="000B4E2C">
              <w:rPr>
                <w:sz w:val="18"/>
                <w:szCs w:val="18"/>
                <w:lang w:eastAsia="en-GB"/>
              </w:rPr>
              <w:t xml:space="preserve"> </w:t>
            </w:r>
            <w:r w:rsidRPr="000B4E2C">
              <w:rPr>
                <w:sz w:val="18"/>
                <w:szCs w:val="18"/>
                <w:lang w:eastAsia="en-GB"/>
              </w:rPr>
              <w:t>0.32</w:t>
            </w:r>
            <w:r w:rsidR="000B4E2C" w:rsidRPr="000B4E2C">
              <w:rPr>
                <w:sz w:val="18"/>
                <w:szCs w:val="18"/>
                <w:lang w:eastAsia="en-GB"/>
              </w:rPr>
              <w:t xml:space="preserve"> </w:t>
            </w:r>
            <w:r w:rsidRPr="000B4E2C">
              <w:rPr>
                <w:sz w:val="18"/>
                <w:szCs w:val="18"/>
                <w:lang w:eastAsia="en-GB"/>
              </w:rPr>
              <w:t>0.02</w:t>
            </w:r>
          </w:p>
        </w:tc>
        <w:tc>
          <w:tcPr>
            <w:tcW w:w="0" w:type="auto"/>
            <w:shd w:val="clear" w:color="auto" w:fill="auto"/>
            <w:vAlign w:val="bottom"/>
            <w:hideMark/>
          </w:tcPr>
          <w:p w14:paraId="1D94AE1D" w14:textId="132302E4" w:rsidR="008523B9" w:rsidRPr="000B4E2C" w:rsidRDefault="000B4E2C" w:rsidP="00A908B8">
            <w:pPr>
              <w:rPr>
                <w:color w:val="000000"/>
                <w:sz w:val="18"/>
                <w:szCs w:val="18"/>
                <w:lang w:eastAsia="en-GB"/>
              </w:rPr>
            </w:pPr>
            <w:r w:rsidRPr="000B4E2C">
              <w:rPr>
                <w:sz w:val="18"/>
                <w:szCs w:val="18"/>
                <w:lang w:eastAsia="en-GB"/>
              </w:rPr>
              <w:t xml:space="preserve"> </w:t>
            </w:r>
          </w:p>
        </w:tc>
        <w:tc>
          <w:tcPr>
            <w:tcW w:w="0" w:type="auto"/>
            <w:shd w:val="clear" w:color="auto" w:fill="auto"/>
            <w:vAlign w:val="bottom"/>
            <w:hideMark/>
          </w:tcPr>
          <w:p w14:paraId="6BE84C33" w14:textId="4FC43A95" w:rsidR="008523B9" w:rsidRPr="000B4E2C" w:rsidRDefault="000B4E2C" w:rsidP="00A908B8">
            <w:pPr>
              <w:rPr>
                <w:sz w:val="18"/>
                <w:szCs w:val="18"/>
                <w:lang w:eastAsia="en-GB"/>
              </w:rPr>
            </w:pPr>
            <w:r w:rsidRPr="000B4E2C">
              <w:rPr>
                <w:sz w:val="18"/>
                <w:szCs w:val="18"/>
                <w:lang w:eastAsia="en-GB"/>
              </w:rPr>
              <w:t xml:space="preserve"> </w:t>
            </w:r>
          </w:p>
        </w:tc>
      </w:tr>
      <w:tr w:rsidR="000B4E2C" w:rsidRPr="000B4E2C" w14:paraId="54740CDB" w14:textId="77777777" w:rsidTr="000B4E2C">
        <w:trPr>
          <w:cantSplit/>
        </w:trPr>
        <w:tc>
          <w:tcPr>
            <w:tcW w:w="0" w:type="auto"/>
            <w:shd w:val="clear" w:color="auto" w:fill="auto"/>
            <w:vAlign w:val="bottom"/>
            <w:hideMark/>
          </w:tcPr>
          <w:p w14:paraId="6C91D982" w14:textId="09E7E9EF" w:rsidR="008523B9" w:rsidRPr="000B4E2C" w:rsidRDefault="008523B9" w:rsidP="00A908B8">
            <w:pPr>
              <w:rPr>
                <w:color w:val="000000"/>
                <w:sz w:val="18"/>
                <w:szCs w:val="18"/>
                <w:lang w:eastAsia="en-GB"/>
              </w:rPr>
            </w:pPr>
            <w:r w:rsidRPr="000B4E2C">
              <w:rPr>
                <w:sz w:val="18"/>
                <w:szCs w:val="18"/>
                <w:lang w:eastAsia="en-GB"/>
              </w:rPr>
              <w:t>Kaier</w:t>
            </w:r>
            <w:r w:rsidR="00280A97" w:rsidRPr="000B4E2C">
              <w:rPr>
                <w:noProof/>
                <w:sz w:val="18"/>
                <w:szCs w:val="18"/>
                <w:vertAlign w:val="superscript"/>
                <w:lang w:eastAsia="en-GB"/>
              </w:rPr>
              <w:t>151</w:t>
            </w:r>
            <w:r w:rsidRPr="000B4E2C">
              <w:rPr>
                <w:sz w:val="18"/>
                <w:szCs w:val="18"/>
                <w:lang w:eastAsia="en-GB"/>
              </w:rPr>
              <w:t xml:space="preserve"> </w:t>
            </w:r>
          </w:p>
        </w:tc>
        <w:tc>
          <w:tcPr>
            <w:tcW w:w="0" w:type="auto"/>
            <w:shd w:val="clear" w:color="auto" w:fill="auto"/>
            <w:vAlign w:val="bottom"/>
            <w:hideMark/>
          </w:tcPr>
          <w:p w14:paraId="325238FA" w14:textId="77777777" w:rsidR="008523B9" w:rsidRPr="000B4E2C" w:rsidRDefault="008523B9" w:rsidP="00A908B8">
            <w:pPr>
              <w:jc w:val="right"/>
              <w:rPr>
                <w:color w:val="000000"/>
                <w:sz w:val="18"/>
                <w:szCs w:val="18"/>
                <w:lang w:eastAsia="en-GB"/>
              </w:rPr>
            </w:pPr>
            <w:r w:rsidRPr="000B4E2C">
              <w:rPr>
                <w:sz w:val="18"/>
                <w:szCs w:val="18"/>
                <w:lang w:eastAsia="en-GB"/>
              </w:rPr>
              <w:t>2016</w:t>
            </w:r>
          </w:p>
        </w:tc>
        <w:tc>
          <w:tcPr>
            <w:tcW w:w="0" w:type="auto"/>
            <w:shd w:val="clear" w:color="auto" w:fill="auto"/>
            <w:vAlign w:val="bottom"/>
            <w:hideMark/>
          </w:tcPr>
          <w:p w14:paraId="1760A644" w14:textId="77777777" w:rsidR="008523B9" w:rsidRPr="000B4E2C" w:rsidRDefault="008523B9" w:rsidP="00A908B8">
            <w:pPr>
              <w:rPr>
                <w:color w:val="000000"/>
                <w:sz w:val="18"/>
                <w:szCs w:val="18"/>
                <w:lang w:eastAsia="en-GB"/>
              </w:rPr>
            </w:pPr>
            <w:r w:rsidRPr="000B4E2C">
              <w:rPr>
                <w:sz w:val="18"/>
                <w:szCs w:val="18"/>
                <w:lang w:eastAsia="en-GB"/>
              </w:rPr>
              <w:t>Surgical aortic value replacement</w:t>
            </w:r>
          </w:p>
        </w:tc>
        <w:tc>
          <w:tcPr>
            <w:tcW w:w="0" w:type="auto"/>
            <w:shd w:val="clear" w:color="auto" w:fill="auto"/>
            <w:vAlign w:val="bottom"/>
            <w:hideMark/>
          </w:tcPr>
          <w:p w14:paraId="71D73134" w14:textId="77777777" w:rsidR="008523B9" w:rsidRPr="000B4E2C" w:rsidRDefault="008523B9" w:rsidP="00A908B8">
            <w:pPr>
              <w:rPr>
                <w:color w:val="000000"/>
                <w:sz w:val="18"/>
                <w:szCs w:val="18"/>
                <w:lang w:eastAsia="en-GB"/>
              </w:rPr>
            </w:pPr>
            <w:r w:rsidRPr="000B4E2C">
              <w:rPr>
                <w:sz w:val="18"/>
                <w:szCs w:val="18"/>
                <w:lang w:eastAsia="en-GB"/>
              </w:rPr>
              <w:t>Germany</w:t>
            </w:r>
          </w:p>
        </w:tc>
        <w:tc>
          <w:tcPr>
            <w:tcW w:w="0" w:type="auto"/>
            <w:shd w:val="clear" w:color="auto" w:fill="auto"/>
            <w:vAlign w:val="bottom"/>
            <w:hideMark/>
          </w:tcPr>
          <w:p w14:paraId="67878210" w14:textId="12D11D79" w:rsidR="008523B9" w:rsidRPr="000B4E2C" w:rsidRDefault="008523B9" w:rsidP="00A908B8">
            <w:pPr>
              <w:rPr>
                <w:color w:val="000000"/>
                <w:sz w:val="18"/>
                <w:szCs w:val="18"/>
                <w:lang w:eastAsia="en-GB"/>
              </w:rPr>
            </w:pPr>
            <w:r w:rsidRPr="000B4E2C">
              <w:rPr>
                <w:sz w:val="18"/>
                <w:szCs w:val="18"/>
                <w:lang w:eastAsia="en-GB"/>
              </w:rPr>
              <w:t>E</w:t>
            </w:r>
            <w:r w:rsidR="000B4E2C" w:rsidRPr="000B4E2C">
              <w:rPr>
                <w:color w:val="00B0F0"/>
                <w:sz w:val="18"/>
                <w:szCs w:val="18"/>
                <w:lang w:eastAsia="en-GB"/>
              </w:rPr>
              <w:t>Q</w:t>
            </w:r>
            <w:r w:rsidR="000B4E2C" w:rsidRPr="000B4E2C">
              <w:rPr>
                <w:color w:val="00B0F0"/>
                <w:sz w:val="18"/>
                <w:szCs w:val="18"/>
                <w:lang w:eastAsia="en-GB"/>
              </w:rPr>
              <w:t>-</w:t>
            </w:r>
            <w:r w:rsidR="000B4E2C" w:rsidRPr="000B4E2C">
              <w:rPr>
                <w:color w:val="00B0F0"/>
                <w:sz w:val="18"/>
                <w:szCs w:val="18"/>
                <w:lang w:eastAsia="en-GB"/>
              </w:rPr>
              <w:t>5D</w:t>
            </w:r>
            <w:r w:rsidR="000B4E2C" w:rsidRPr="000B4E2C">
              <w:rPr>
                <w:color w:val="00B0F0"/>
                <w:sz w:val="18"/>
                <w:szCs w:val="18"/>
                <w:lang w:eastAsia="en-GB"/>
              </w:rPr>
              <w:t>-</w:t>
            </w:r>
            <w:r w:rsidR="000B4E2C" w:rsidRPr="000B4E2C">
              <w:rPr>
                <w:color w:val="00B0F0"/>
                <w:sz w:val="18"/>
                <w:szCs w:val="18"/>
                <w:lang w:eastAsia="en-GB"/>
              </w:rPr>
              <w:t>3</w:t>
            </w:r>
            <w:r w:rsidRPr="000B4E2C">
              <w:rPr>
                <w:sz w:val="18"/>
                <w:szCs w:val="18"/>
                <w:lang w:eastAsia="en-GB"/>
              </w:rPr>
              <w:t>L</w:t>
            </w:r>
          </w:p>
        </w:tc>
        <w:tc>
          <w:tcPr>
            <w:tcW w:w="0" w:type="auto"/>
            <w:shd w:val="clear" w:color="auto" w:fill="auto"/>
            <w:vAlign w:val="bottom"/>
            <w:hideMark/>
          </w:tcPr>
          <w:p w14:paraId="5495887D" w14:textId="77777777" w:rsidR="008523B9" w:rsidRPr="000B4E2C" w:rsidRDefault="008523B9" w:rsidP="00A908B8">
            <w:pPr>
              <w:rPr>
                <w:color w:val="000000"/>
                <w:sz w:val="18"/>
                <w:szCs w:val="18"/>
                <w:lang w:eastAsia="en-GB"/>
              </w:rPr>
            </w:pPr>
            <w:r w:rsidRPr="000B4E2C">
              <w:rPr>
                <w:sz w:val="18"/>
                <w:szCs w:val="18"/>
                <w:lang w:eastAsia="en-GB"/>
              </w:rPr>
              <w:t xml:space="preserve">German </w:t>
            </w:r>
          </w:p>
        </w:tc>
        <w:tc>
          <w:tcPr>
            <w:tcW w:w="0" w:type="auto"/>
            <w:shd w:val="clear" w:color="auto" w:fill="auto"/>
            <w:vAlign w:val="bottom"/>
            <w:hideMark/>
          </w:tcPr>
          <w:p w14:paraId="07A1F3BD" w14:textId="3FB7BAF0" w:rsidR="008523B9" w:rsidRPr="000B4E2C" w:rsidRDefault="008523B9" w:rsidP="00A908B8">
            <w:pPr>
              <w:rPr>
                <w:color w:val="000000"/>
                <w:sz w:val="18"/>
                <w:szCs w:val="18"/>
                <w:lang w:eastAsia="en-GB"/>
              </w:rPr>
            </w:pPr>
            <w:r w:rsidRPr="000B4E2C">
              <w:rPr>
                <w:sz w:val="18"/>
                <w:szCs w:val="18"/>
                <w:lang w:eastAsia="en-GB"/>
              </w:rPr>
              <w:t>Baseline: 169</w:t>
            </w:r>
            <w:r w:rsidR="000B4E2C" w:rsidRPr="000B4E2C">
              <w:rPr>
                <w:sz w:val="18"/>
                <w:szCs w:val="18"/>
                <w:lang w:eastAsia="en-GB"/>
              </w:rPr>
              <w:t xml:space="preserve"> </w:t>
            </w:r>
            <w:r w:rsidRPr="000B4E2C">
              <w:rPr>
                <w:sz w:val="18"/>
                <w:szCs w:val="18"/>
                <w:highlight w:val="magenta"/>
                <w:lang w:eastAsia="en-GB"/>
              </w:rPr>
              <w:t>Follow up</w:t>
            </w:r>
            <w:r w:rsidRPr="000B4E2C">
              <w:rPr>
                <w:sz w:val="18"/>
                <w:szCs w:val="18"/>
                <w:lang w:eastAsia="en-GB"/>
              </w:rPr>
              <w:t>: 2294</w:t>
            </w:r>
          </w:p>
        </w:tc>
        <w:tc>
          <w:tcPr>
            <w:tcW w:w="0" w:type="auto"/>
            <w:shd w:val="clear" w:color="auto" w:fill="auto"/>
            <w:vAlign w:val="bottom"/>
            <w:hideMark/>
          </w:tcPr>
          <w:p w14:paraId="6B104258" w14:textId="77777777" w:rsidR="008523B9" w:rsidRPr="000B4E2C" w:rsidRDefault="008523B9" w:rsidP="00A908B8">
            <w:pPr>
              <w:rPr>
                <w:color w:val="000000"/>
                <w:sz w:val="18"/>
                <w:szCs w:val="18"/>
                <w:lang w:eastAsia="en-GB"/>
              </w:rPr>
            </w:pPr>
            <w:r w:rsidRPr="000B4E2C">
              <w:rPr>
                <w:sz w:val="18"/>
                <w:szCs w:val="18"/>
                <w:lang w:eastAsia="en-GB"/>
              </w:rPr>
              <w:t>82.15 (5.16)</w:t>
            </w:r>
          </w:p>
        </w:tc>
        <w:tc>
          <w:tcPr>
            <w:tcW w:w="0" w:type="auto"/>
            <w:shd w:val="clear" w:color="auto" w:fill="auto"/>
            <w:vAlign w:val="bottom"/>
            <w:hideMark/>
          </w:tcPr>
          <w:p w14:paraId="69CE1C02" w14:textId="77777777" w:rsidR="008523B9" w:rsidRPr="000B4E2C" w:rsidRDefault="008523B9" w:rsidP="00A908B8">
            <w:pPr>
              <w:rPr>
                <w:color w:val="000000"/>
                <w:sz w:val="18"/>
                <w:szCs w:val="18"/>
                <w:lang w:eastAsia="en-GB"/>
              </w:rPr>
            </w:pPr>
            <w:r w:rsidRPr="000B4E2C">
              <w:rPr>
                <w:sz w:val="18"/>
                <w:szCs w:val="18"/>
                <w:lang w:eastAsia="en-GB"/>
              </w:rPr>
              <w:t>NR</w:t>
            </w:r>
          </w:p>
        </w:tc>
        <w:tc>
          <w:tcPr>
            <w:tcW w:w="0" w:type="auto"/>
            <w:shd w:val="clear" w:color="auto" w:fill="auto"/>
            <w:vAlign w:val="bottom"/>
            <w:hideMark/>
          </w:tcPr>
          <w:p w14:paraId="23156440" w14:textId="55302737" w:rsidR="008523B9" w:rsidRPr="000B4E2C" w:rsidRDefault="008523B9" w:rsidP="00A908B8">
            <w:pPr>
              <w:rPr>
                <w:color w:val="000000"/>
                <w:sz w:val="18"/>
                <w:szCs w:val="18"/>
                <w:lang w:eastAsia="en-GB"/>
              </w:rPr>
            </w:pPr>
            <w:r w:rsidRPr="000B4E2C">
              <w:rPr>
                <w:sz w:val="18"/>
                <w:szCs w:val="18"/>
                <w:lang w:eastAsia="en-GB"/>
              </w:rPr>
              <w:t>Baseline</w:t>
            </w:r>
            <w:r w:rsidR="000B4E2C" w:rsidRPr="000B4E2C">
              <w:rPr>
                <w:sz w:val="18"/>
                <w:szCs w:val="18"/>
                <w:lang w:eastAsia="en-GB"/>
              </w:rPr>
              <w:t xml:space="preserve"> </w:t>
            </w:r>
            <w:r w:rsidRPr="000B4E2C">
              <w:rPr>
                <w:sz w:val="18"/>
                <w:szCs w:val="18"/>
                <w:highlight w:val="magenta"/>
                <w:lang w:eastAsia="en-GB"/>
              </w:rPr>
              <w:t>Follow up</w:t>
            </w:r>
            <w:r w:rsidR="000B4E2C" w:rsidRPr="000B4E2C">
              <w:rPr>
                <w:sz w:val="18"/>
                <w:szCs w:val="18"/>
                <w:lang w:eastAsia="en-GB"/>
              </w:rPr>
              <w:t xml:space="preserve"> </w:t>
            </w:r>
            <w:r w:rsidRPr="000B4E2C">
              <w:rPr>
                <w:sz w:val="18"/>
                <w:szCs w:val="18"/>
                <w:lang w:eastAsia="en-GB"/>
              </w:rPr>
              <w:t>AKIN 1</w:t>
            </w:r>
            <w:r w:rsidR="000B4E2C" w:rsidRPr="000B4E2C">
              <w:rPr>
                <w:sz w:val="18"/>
                <w:szCs w:val="18"/>
                <w:lang w:eastAsia="en-GB"/>
              </w:rPr>
              <w:t xml:space="preserve"> </w:t>
            </w:r>
            <w:r w:rsidRPr="000B4E2C">
              <w:rPr>
                <w:sz w:val="18"/>
                <w:szCs w:val="18"/>
                <w:lang w:eastAsia="en-GB"/>
              </w:rPr>
              <w:t>AKIN 2</w:t>
            </w:r>
            <w:r w:rsidR="000B4E2C" w:rsidRPr="000B4E2C">
              <w:rPr>
                <w:sz w:val="18"/>
                <w:szCs w:val="18"/>
                <w:lang w:eastAsia="en-GB"/>
              </w:rPr>
              <w:t xml:space="preserve"> </w:t>
            </w:r>
            <w:r w:rsidRPr="000B4E2C">
              <w:rPr>
                <w:sz w:val="18"/>
                <w:szCs w:val="18"/>
                <w:lang w:eastAsia="en-GB"/>
              </w:rPr>
              <w:t xml:space="preserve">AKIN 3 </w:t>
            </w:r>
          </w:p>
        </w:tc>
        <w:tc>
          <w:tcPr>
            <w:tcW w:w="0" w:type="auto"/>
            <w:shd w:val="clear" w:color="auto" w:fill="auto"/>
            <w:vAlign w:val="bottom"/>
            <w:hideMark/>
          </w:tcPr>
          <w:p w14:paraId="06B3B7D5" w14:textId="05A65707" w:rsidR="008523B9" w:rsidRPr="000B4E2C" w:rsidRDefault="008523B9" w:rsidP="00A908B8">
            <w:pPr>
              <w:rPr>
                <w:color w:val="000000"/>
                <w:sz w:val="18"/>
                <w:szCs w:val="18"/>
                <w:lang w:eastAsia="en-GB"/>
              </w:rPr>
            </w:pPr>
            <w:r w:rsidRPr="000B4E2C">
              <w:rPr>
                <w:sz w:val="18"/>
                <w:szCs w:val="18"/>
                <w:lang w:eastAsia="en-GB"/>
              </w:rPr>
              <w:t>0.78</w:t>
            </w:r>
            <w:r w:rsidR="000B4E2C" w:rsidRPr="000B4E2C">
              <w:rPr>
                <w:sz w:val="18"/>
                <w:szCs w:val="18"/>
                <w:lang w:eastAsia="en-GB"/>
              </w:rPr>
              <w:t xml:space="preserve"> </w:t>
            </w:r>
            <w:r w:rsidRPr="000B4E2C">
              <w:rPr>
                <w:sz w:val="18"/>
                <w:szCs w:val="18"/>
                <w:lang w:eastAsia="en-GB"/>
              </w:rPr>
              <w:t>0.77</w:t>
            </w:r>
            <w:r w:rsidR="000B4E2C" w:rsidRPr="000B4E2C">
              <w:rPr>
                <w:sz w:val="18"/>
                <w:szCs w:val="18"/>
                <w:lang w:eastAsia="en-GB"/>
              </w:rPr>
              <w:t xml:space="preserve"> </w:t>
            </w:r>
            <w:r w:rsidRPr="000B4E2C">
              <w:rPr>
                <w:sz w:val="18"/>
                <w:szCs w:val="18"/>
                <w:lang w:eastAsia="en-GB"/>
              </w:rPr>
              <w:t>+.0659</w:t>
            </w:r>
            <w:r w:rsidR="000B4E2C" w:rsidRPr="000B4E2C">
              <w:rPr>
                <w:sz w:val="18"/>
                <w:szCs w:val="18"/>
                <w:lang w:eastAsia="en-GB"/>
              </w:rPr>
              <w:t xml:space="preserve"> </w:t>
            </w:r>
            <w:r w:rsidR="000B4E2C" w:rsidRPr="000B4E2C">
              <w:rPr>
                <w:color w:val="00B0F0"/>
                <w:sz w:val="18"/>
                <w:szCs w:val="18"/>
                <w:lang w:eastAsia="en-GB"/>
              </w:rPr>
              <w:t>–</w:t>
            </w:r>
            <w:r w:rsidR="000B4E2C" w:rsidRPr="000B4E2C">
              <w:rPr>
                <w:color w:val="00B0F0"/>
                <w:sz w:val="18"/>
                <w:szCs w:val="18"/>
                <w:lang w:eastAsia="en-GB"/>
              </w:rPr>
              <w:t>0</w:t>
            </w:r>
            <w:r w:rsidRPr="000B4E2C">
              <w:rPr>
                <w:sz w:val="18"/>
                <w:szCs w:val="18"/>
                <w:lang w:eastAsia="en-GB"/>
              </w:rPr>
              <w:t>.158</w:t>
            </w:r>
            <w:r w:rsidR="000B4E2C" w:rsidRPr="000B4E2C">
              <w:rPr>
                <w:sz w:val="18"/>
                <w:szCs w:val="18"/>
                <w:lang w:eastAsia="en-GB"/>
              </w:rPr>
              <w:t xml:space="preserve"> </w:t>
            </w:r>
            <w:r w:rsidR="000B4E2C" w:rsidRPr="000B4E2C">
              <w:rPr>
                <w:color w:val="00B0F0"/>
                <w:sz w:val="18"/>
                <w:szCs w:val="18"/>
                <w:lang w:eastAsia="en-GB"/>
              </w:rPr>
              <w:t>–</w:t>
            </w:r>
            <w:r w:rsidR="000B4E2C" w:rsidRPr="000B4E2C">
              <w:rPr>
                <w:color w:val="00B0F0"/>
                <w:sz w:val="18"/>
                <w:szCs w:val="18"/>
                <w:lang w:eastAsia="en-GB"/>
              </w:rPr>
              <w:t>0</w:t>
            </w:r>
            <w:r w:rsidRPr="000B4E2C">
              <w:rPr>
                <w:sz w:val="18"/>
                <w:szCs w:val="18"/>
                <w:lang w:eastAsia="en-GB"/>
              </w:rPr>
              <w:t>.177</w:t>
            </w:r>
          </w:p>
        </w:tc>
        <w:tc>
          <w:tcPr>
            <w:tcW w:w="0" w:type="auto"/>
            <w:shd w:val="clear" w:color="auto" w:fill="auto"/>
            <w:vAlign w:val="bottom"/>
            <w:hideMark/>
          </w:tcPr>
          <w:p w14:paraId="37A00BEB" w14:textId="74E14665" w:rsidR="008523B9" w:rsidRPr="000B4E2C" w:rsidRDefault="000B4E2C" w:rsidP="00A908B8">
            <w:pPr>
              <w:rPr>
                <w:color w:val="000000"/>
                <w:sz w:val="18"/>
                <w:szCs w:val="18"/>
                <w:lang w:eastAsia="en-GB"/>
              </w:rPr>
            </w:pPr>
            <w:r w:rsidRPr="000B4E2C">
              <w:rPr>
                <w:sz w:val="18"/>
                <w:szCs w:val="18"/>
                <w:lang w:eastAsia="en-GB"/>
              </w:rPr>
              <w:t xml:space="preserve"> </w:t>
            </w:r>
          </w:p>
        </w:tc>
        <w:tc>
          <w:tcPr>
            <w:tcW w:w="0" w:type="auto"/>
            <w:shd w:val="clear" w:color="auto" w:fill="auto"/>
            <w:vAlign w:val="bottom"/>
            <w:hideMark/>
          </w:tcPr>
          <w:p w14:paraId="11F6104A" w14:textId="5E9A4265" w:rsidR="008523B9" w:rsidRPr="000B4E2C" w:rsidRDefault="008523B9" w:rsidP="00A908B8">
            <w:pPr>
              <w:rPr>
                <w:color w:val="000000"/>
                <w:sz w:val="18"/>
                <w:szCs w:val="18"/>
                <w:lang w:eastAsia="en-GB"/>
              </w:rPr>
            </w:pPr>
            <w:r w:rsidRPr="000B4E2C">
              <w:rPr>
                <w:sz w:val="18"/>
                <w:szCs w:val="18"/>
                <w:lang w:eastAsia="en-GB"/>
              </w:rPr>
              <w:t>0.23</w:t>
            </w:r>
            <w:r w:rsidR="000B4E2C" w:rsidRPr="000B4E2C">
              <w:rPr>
                <w:sz w:val="18"/>
                <w:szCs w:val="18"/>
                <w:lang w:eastAsia="en-GB"/>
              </w:rPr>
              <w:t xml:space="preserve"> </w:t>
            </w:r>
            <w:r w:rsidRPr="000B4E2C">
              <w:rPr>
                <w:sz w:val="18"/>
                <w:szCs w:val="18"/>
                <w:lang w:eastAsia="en-GB"/>
              </w:rPr>
              <w:t>0.25</w:t>
            </w:r>
            <w:r w:rsidR="000B4E2C" w:rsidRPr="000B4E2C">
              <w:rPr>
                <w:sz w:val="18"/>
                <w:szCs w:val="18"/>
                <w:lang w:eastAsia="en-GB"/>
              </w:rPr>
              <w:t xml:space="preserve"> </w:t>
            </w:r>
            <w:r w:rsidRPr="000B4E2C">
              <w:rPr>
                <w:sz w:val="18"/>
                <w:szCs w:val="18"/>
                <w:lang w:eastAsia="en-GB"/>
              </w:rPr>
              <w:t>NR</w:t>
            </w:r>
            <w:r w:rsidR="000B4E2C" w:rsidRPr="000B4E2C">
              <w:rPr>
                <w:sz w:val="18"/>
                <w:szCs w:val="18"/>
                <w:lang w:eastAsia="en-GB"/>
              </w:rPr>
              <w:t xml:space="preserve"> </w:t>
            </w:r>
            <w:r w:rsidRPr="000B4E2C">
              <w:rPr>
                <w:sz w:val="18"/>
                <w:szCs w:val="18"/>
                <w:lang w:eastAsia="en-GB"/>
              </w:rPr>
              <w:t>NR</w:t>
            </w:r>
            <w:r w:rsidR="000B4E2C" w:rsidRPr="000B4E2C">
              <w:rPr>
                <w:sz w:val="18"/>
                <w:szCs w:val="18"/>
                <w:lang w:eastAsia="en-GB"/>
              </w:rPr>
              <w:t xml:space="preserve"> </w:t>
            </w:r>
            <w:r w:rsidRPr="000B4E2C">
              <w:rPr>
                <w:sz w:val="18"/>
                <w:szCs w:val="18"/>
                <w:lang w:eastAsia="en-GB"/>
              </w:rPr>
              <w:t>NR</w:t>
            </w:r>
          </w:p>
        </w:tc>
        <w:tc>
          <w:tcPr>
            <w:tcW w:w="0" w:type="auto"/>
            <w:shd w:val="clear" w:color="auto" w:fill="auto"/>
            <w:vAlign w:val="bottom"/>
            <w:hideMark/>
          </w:tcPr>
          <w:p w14:paraId="27DB9929" w14:textId="6D21BFA1" w:rsidR="008523B9" w:rsidRPr="000B4E2C" w:rsidRDefault="000B4E2C" w:rsidP="00A908B8">
            <w:pPr>
              <w:rPr>
                <w:color w:val="000000"/>
                <w:sz w:val="18"/>
                <w:szCs w:val="18"/>
                <w:lang w:eastAsia="en-GB"/>
              </w:rPr>
            </w:pPr>
            <w:r w:rsidRPr="000B4E2C">
              <w:rPr>
                <w:sz w:val="18"/>
                <w:szCs w:val="18"/>
                <w:lang w:eastAsia="en-GB"/>
              </w:rPr>
              <w:t xml:space="preserve"> </w:t>
            </w:r>
          </w:p>
        </w:tc>
        <w:tc>
          <w:tcPr>
            <w:tcW w:w="0" w:type="auto"/>
            <w:shd w:val="clear" w:color="auto" w:fill="auto"/>
            <w:vAlign w:val="bottom"/>
            <w:hideMark/>
          </w:tcPr>
          <w:p w14:paraId="2E8F8F2A" w14:textId="1184C171" w:rsidR="008523B9" w:rsidRPr="000B4E2C" w:rsidRDefault="000B4E2C" w:rsidP="00A908B8">
            <w:pPr>
              <w:rPr>
                <w:sz w:val="18"/>
                <w:szCs w:val="18"/>
                <w:lang w:eastAsia="en-GB"/>
              </w:rPr>
            </w:pPr>
            <w:r w:rsidRPr="000B4E2C">
              <w:rPr>
                <w:sz w:val="18"/>
                <w:szCs w:val="18"/>
                <w:lang w:eastAsia="en-GB"/>
              </w:rPr>
              <w:t xml:space="preserve"> </w:t>
            </w:r>
          </w:p>
        </w:tc>
      </w:tr>
      <w:tr w:rsidR="000B4E2C" w:rsidRPr="000B4E2C" w14:paraId="78D528AB" w14:textId="77777777" w:rsidTr="000B4E2C">
        <w:trPr>
          <w:cantSplit/>
        </w:trPr>
        <w:tc>
          <w:tcPr>
            <w:tcW w:w="0" w:type="auto"/>
            <w:shd w:val="clear" w:color="auto" w:fill="auto"/>
            <w:vAlign w:val="bottom"/>
            <w:hideMark/>
          </w:tcPr>
          <w:p w14:paraId="031E1C28" w14:textId="17794043" w:rsidR="008523B9" w:rsidRPr="000B4E2C" w:rsidRDefault="008523B9" w:rsidP="00A908B8">
            <w:pPr>
              <w:rPr>
                <w:color w:val="000000"/>
                <w:sz w:val="18"/>
                <w:szCs w:val="18"/>
                <w:lang w:eastAsia="en-GB"/>
              </w:rPr>
            </w:pPr>
            <w:r w:rsidRPr="000B4E2C">
              <w:rPr>
                <w:sz w:val="18"/>
                <w:szCs w:val="18"/>
                <w:lang w:eastAsia="en-GB"/>
              </w:rPr>
              <w:t>Oeyen</w:t>
            </w:r>
            <w:r w:rsidR="00280A97" w:rsidRPr="000B4E2C">
              <w:rPr>
                <w:noProof/>
                <w:sz w:val="18"/>
                <w:szCs w:val="18"/>
                <w:vertAlign w:val="superscript"/>
                <w:lang w:eastAsia="en-GB"/>
              </w:rPr>
              <w:t>152</w:t>
            </w:r>
          </w:p>
        </w:tc>
        <w:tc>
          <w:tcPr>
            <w:tcW w:w="0" w:type="auto"/>
            <w:shd w:val="clear" w:color="auto" w:fill="auto"/>
            <w:vAlign w:val="bottom"/>
            <w:hideMark/>
          </w:tcPr>
          <w:p w14:paraId="352AE1E7" w14:textId="77777777" w:rsidR="008523B9" w:rsidRPr="000B4E2C" w:rsidRDefault="008523B9" w:rsidP="00A908B8">
            <w:pPr>
              <w:jc w:val="right"/>
              <w:rPr>
                <w:color w:val="000000"/>
                <w:sz w:val="18"/>
                <w:szCs w:val="18"/>
                <w:lang w:eastAsia="en-GB"/>
              </w:rPr>
            </w:pPr>
            <w:r w:rsidRPr="000B4E2C">
              <w:rPr>
                <w:sz w:val="18"/>
                <w:szCs w:val="18"/>
                <w:lang w:eastAsia="en-GB"/>
              </w:rPr>
              <w:t>2015</w:t>
            </w:r>
          </w:p>
        </w:tc>
        <w:tc>
          <w:tcPr>
            <w:tcW w:w="0" w:type="auto"/>
            <w:shd w:val="clear" w:color="auto" w:fill="auto"/>
            <w:vAlign w:val="bottom"/>
            <w:hideMark/>
          </w:tcPr>
          <w:p w14:paraId="49293DAD" w14:textId="77777777" w:rsidR="008523B9" w:rsidRPr="000B4E2C" w:rsidRDefault="008523B9" w:rsidP="00A908B8">
            <w:pPr>
              <w:rPr>
                <w:color w:val="000000"/>
                <w:sz w:val="18"/>
                <w:szCs w:val="18"/>
                <w:lang w:eastAsia="en-GB"/>
              </w:rPr>
            </w:pPr>
            <w:r w:rsidRPr="000B4E2C">
              <w:rPr>
                <w:sz w:val="18"/>
                <w:szCs w:val="18"/>
                <w:lang w:eastAsia="en-GB"/>
              </w:rPr>
              <w:t>Critically ill after AKI, need RRT</w:t>
            </w:r>
          </w:p>
        </w:tc>
        <w:tc>
          <w:tcPr>
            <w:tcW w:w="0" w:type="auto"/>
            <w:shd w:val="clear" w:color="auto" w:fill="auto"/>
            <w:vAlign w:val="bottom"/>
            <w:hideMark/>
          </w:tcPr>
          <w:p w14:paraId="4E2FEFC3" w14:textId="77777777" w:rsidR="008523B9" w:rsidRPr="000B4E2C" w:rsidRDefault="008523B9" w:rsidP="00A908B8">
            <w:pPr>
              <w:rPr>
                <w:color w:val="000000"/>
                <w:sz w:val="18"/>
                <w:szCs w:val="18"/>
                <w:lang w:eastAsia="en-GB"/>
              </w:rPr>
            </w:pPr>
            <w:r w:rsidRPr="000B4E2C">
              <w:rPr>
                <w:sz w:val="18"/>
                <w:szCs w:val="18"/>
                <w:lang w:eastAsia="en-GB"/>
              </w:rPr>
              <w:t>Belgium</w:t>
            </w:r>
          </w:p>
        </w:tc>
        <w:tc>
          <w:tcPr>
            <w:tcW w:w="0" w:type="auto"/>
            <w:shd w:val="clear" w:color="auto" w:fill="auto"/>
            <w:vAlign w:val="bottom"/>
            <w:hideMark/>
          </w:tcPr>
          <w:p w14:paraId="200DE47B" w14:textId="04C17A77" w:rsidR="008523B9" w:rsidRPr="000B4E2C" w:rsidRDefault="008523B9" w:rsidP="00A908B8">
            <w:pPr>
              <w:rPr>
                <w:color w:val="000000"/>
                <w:sz w:val="18"/>
                <w:szCs w:val="18"/>
                <w:lang w:eastAsia="en-GB"/>
              </w:rPr>
            </w:pPr>
            <w:r w:rsidRPr="000B4E2C">
              <w:rPr>
                <w:sz w:val="18"/>
                <w:szCs w:val="18"/>
                <w:lang w:eastAsia="en-GB"/>
              </w:rPr>
              <w:t>E</w:t>
            </w:r>
            <w:r w:rsidR="000B4E2C" w:rsidRPr="000B4E2C">
              <w:rPr>
                <w:color w:val="00B0F0"/>
                <w:sz w:val="18"/>
                <w:szCs w:val="18"/>
                <w:lang w:eastAsia="en-GB"/>
              </w:rPr>
              <w:t>Q</w:t>
            </w:r>
            <w:r w:rsidR="000B4E2C" w:rsidRPr="000B4E2C">
              <w:rPr>
                <w:color w:val="00B0F0"/>
                <w:sz w:val="18"/>
                <w:szCs w:val="18"/>
                <w:lang w:eastAsia="en-GB"/>
              </w:rPr>
              <w:t>-</w:t>
            </w:r>
            <w:r w:rsidR="000B4E2C" w:rsidRPr="000B4E2C">
              <w:rPr>
                <w:color w:val="00B0F0"/>
                <w:sz w:val="18"/>
                <w:szCs w:val="18"/>
                <w:lang w:eastAsia="en-GB"/>
              </w:rPr>
              <w:t>5D</w:t>
            </w:r>
            <w:r w:rsidR="000B4E2C" w:rsidRPr="000B4E2C">
              <w:rPr>
                <w:color w:val="00B0F0"/>
                <w:sz w:val="18"/>
                <w:szCs w:val="18"/>
                <w:lang w:eastAsia="en-GB"/>
              </w:rPr>
              <w:t>-</w:t>
            </w:r>
            <w:r w:rsidR="000B4E2C" w:rsidRPr="000B4E2C">
              <w:rPr>
                <w:color w:val="00B0F0"/>
                <w:sz w:val="18"/>
                <w:szCs w:val="18"/>
                <w:lang w:eastAsia="en-GB"/>
              </w:rPr>
              <w:t>3</w:t>
            </w:r>
            <w:r w:rsidRPr="000B4E2C">
              <w:rPr>
                <w:sz w:val="18"/>
                <w:szCs w:val="18"/>
                <w:lang w:eastAsia="en-GB"/>
              </w:rPr>
              <w:t>L</w:t>
            </w:r>
          </w:p>
        </w:tc>
        <w:tc>
          <w:tcPr>
            <w:tcW w:w="0" w:type="auto"/>
            <w:shd w:val="clear" w:color="auto" w:fill="auto"/>
            <w:vAlign w:val="bottom"/>
            <w:hideMark/>
          </w:tcPr>
          <w:p w14:paraId="500317F4" w14:textId="77777777" w:rsidR="008523B9" w:rsidRPr="000B4E2C" w:rsidRDefault="008523B9" w:rsidP="00A908B8">
            <w:pPr>
              <w:rPr>
                <w:color w:val="000000"/>
                <w:sz w:val="18"/>
                <w:szCs w:val="18"/>
                <w:lang w:eastAsia="en-GB"/>
              </w:rPr>
            </w:pPr>
            <w:r w:rsidRPr="000B4E2C">
              <w:rPr>
                <w:sz w:val="18"/>
                <w:szCs w:val="18"/>
                <w:lang w:eastAsia="en-GB"/>
              </w:rPr>
              <w:t>None</w:t>
            </w:r>
          </w:p>
        </w:tc>
        <w:tc>
          <w:tcPr>
            <w:tcW w:w="0" w:type="auto"/>
            <w:shd w:val="clear" w:color="auto" w:fill="auto"/>
            <w:vAlign w:val="bottom"/>
            <w:hideMark/>
          </w:tcPr>
          <w:p w14:paraId="21BABA3E" w14:textId="77777777" w:rsidR="008523B9" w:rsidRPr="000B4E2C" w:rsidRDefault="008523B9" w:rsidP="00A908B8">
            <w:pPr>
              <w:jc w:val="right"/>
              <w:rPr>
                <w:color w:val="000000"/>
                <w:sz w:val="18"/>
                <w:szCs w:val="18"/>
                <w:lang w:eastAsia="en-GB"/>
              </w:rPr>
            </w:pPr>
            <w:r w:rsidRPr="000B4E2C">
              <w:rPr>
                <w:sz w:val="18"/>
                <w:szCs w:val="18"/>
                <w:lang w:eastAsia="en-GB"/>
              </w:rPr>
              <w:t>141</w:t>
            </w:r>
          </w:p>
        </w:tc>
        <w:tc>
          <w:tcPr>
            <w:tcW w:w="0" w:type="auto"/>
            <w:shd w:val="clear" w:color="auto" w:fill="auto"/>
            <w:vAlign w:val="bottom"/>
            <w:hideMark/>
          </w:tcPr>
          <w:p w14:paraId="1387A4C2" w14:textId="77777777" w:rsidR="008523B9" w:rsidRPr="000B4E2C" w:rsidRDefault="008523B9" w:rsidP="00A908B8">
            <w:pPr>
              <w:jc w:val="right"/>
              <w:rPr>
                <w:color w:val="000000"/>
                <w:sz w:val="18"/>
                <w:szCs w:val="18"/>
                <w:lang w:eastAsia="en-GB"/>
              </w:rPr>
            </w:pPr>
            <w:r w:rsidRPr="000B4E2C">
              <w:rPr>
                <w:sz w:val="18"/>
                <w:szCs w:val="18"/>
                <w:lang w:eastAsia="en-GB"/>
              </w:rPr>
              <w:t>57</w:t>
            </w:r>
          </w:p>
        </w:tc>
        <w:tc>
          <w:tcPr>
            <w:tcW w:w="0" w:type="auto"/>
            <w:shd w:val="clear" w:color="auto" w:fill="auto"/>
            <w:vAlign w:val="bottom"/>
            <w:hideMark/>
          </w:tcPr>
          <w:p w14:paraId="55C85DD9" w14:textId="77777777" w:rsidR="008523B9" w:rsidRPr="000B4E2C" w:rsidRDefault="008523B9" w:rsidP="00A908B8">
            <w:pPr>
              <w:jc w:val="right"/>
              <w:rPr>
                <w:color w:val="000000"/>
                <w:sz w:val="18"/>
                <w:szCs w:val="18"/>
                <w:lang w:eastAsia="en-GB"/>
              </w:rPr>
            </w:pPr>
            <w:r w:rsidRPr="000B4E2C">
              <w:rPr>
                <w:sz w:val="18"/>
                <w:szCs w:val="18"/>
                <w:lang w:eastAsia="en-GB"/>
              </w:rPr>
              <w:t>66%</w:t>
            </w:r>
          </w:p>
        </w:tc>
        <w:tc>
          <w:tcPr>
            <w:tcW w:w="0" w:type="auto"/>
            <w:shd w:val="clear" w:color="auto" w:fill="auto"/>
            <w:vAlign w:val="bottom"/>
            <w:hideMark/>
          </w:tcPr>
          <w:p w14:paraId="02C53097" w14:textId="77777777" w:rsidR="008523B9" w:rsidRPr="000B4E2C" w:rsidRDefault="008523B9" w:rsidP="00A908B8">
            <w:pPr>
              <w:rPr>
                <w:color w:val="000000"/>
                <w:sz w:val="18"/>
                <w:szCs w:val="18"/>
                <w:lang w:eastAsia="en-GB"/>
              </w:rPr>
            </w:pPr>
            <w:r w:rsidRPr="000B4E2C">
              <w:rPr>
                <w:sz w:val="18"/>
                <w:szCs w:val="18"/>
                <w:lang w:eastAsia="en-GB"/>
              </w:rPr>
              <w:t>None</w:t>
            </w:r>
          </w:p>
        </w:tc>
        <w:tc>
          <w:tcPr>
            <w:tcW w:w="0" w:type="auto"/>
            <w:shd w:val="clear" w:color="auto" w:fill="auto"/>
            <w:vAlign w:val="bottom"/>
            <w:hideMark/>
          </w:tcPr>
          <w:p w14:paraId="61E5D3C4" w14:textId="77777777" w:rsidR="008523B9" w:rsidRPr="000B4E2C" w:rsidRDefault="008523B9" w:rsidP="00A908B8">
            <w:pPr>
              <w:rPr>
                <w:color w:val="000000"/>
                <w:sz w:val="18"/>
                <w:szCs w:val="18"/>
                <w:lang w:eastAsia="en-GB"/>
              </w:rPr>
            </w:pPr>
            <w:r w:rsidRPr="000B4E2C">
              <w:rPr>
                <w:sz w:val="18"/>
                <w:szCs w:val="18"/>
                <w:lang w:eastAsia="en-GB"/>
              </w:rPr>
              <w:t>NR</w:t>
            </w:r>
          </w:p>
        </w:tc>
        <w:tc>
          <w:tcPr>
            <w:tcW w:w="0" w:type="auto"/>
            <w:shd w:val="clear" w:color="auto" w:fill="auto"/>
            <w:vAlign w:val="bottom"/>
            <w:hideMark/>
          </w:tcPr>
          <w:p w14:paraId="48F9E7E9" w14:textId="1F5B7C30" w:rsidR="008523B9" w:rsidRPr="000B4E2C" w:rsidRDefault="000B4E2C" w:rsidP="00A908B8">
            <w:pPr>
              <w:rPr>
                <w:color w:val="000000"/>
                <w:sz w:val="18"/>
                <w:szCs w:val="18"/>
                <w:lang w:eastAsia="en-GB"/>
              </w:rPr>
            </w:pPr>
            <w:r w:rsidRPr="000B4E2C">
              <w:rPr>
                <w:sz w:val="18"/>
                <w:szCs w:val="18"/>
                <w:lang w:eastAsia="en-GB"/>
              </w:rPr>
              <w:t xml:space="preserve"> </w:t>
            </w:r>
          </w:p>
        </w:tc>
        <w:tc>
          <w:tcPr>
            <w:tcW w:w="0" w:type="auto"/>
            <w:shd w:val="clear" w:color="auto" w:fill="auto"/>
            <w:vAlign w:val="bottom"/>
            <w:hideMark/>
          </w:tcPr>
          <w:p w14:paraId="3642C118" w14:textId="77777777" w:rsidR="008523B9" w:rsidRPr="000B4E2C" w:rsidRDefault="008523B9" w:rsidP="00A908B8">
            <w:pPr>
              <w:rPr>
                <w:color w:val="000000"/>
                <w:sz w:val="18"/>
                <w:szCs w:val="18"/>
                <w:lang w:eastAsia="en-GB"/>
              </w:rPr>
            </w:pPr>
            <w:r w:rsidRPr="000B4E2C">
              <w:rPr>
                <w:sz w:val="18"/>
                <w:szCs w:val="18"/>
                <w:lang w:eastAsia="en-GB"/>
              </w:rPr>
              <w:t>NR</w:t>
            </w:r>
          </w:p>
        </w:tc>
        <w:tc>
          <w:tcPr>
            <w:tcW w:w="0" w:type="auto"/>
            <w:shd w:val="clear" w:color="auto" w:fill="auto"/>
            <w:vAlign w:val="bottom"/>
            <w:hideMark/>
          </w:tcPr>
          <w:p w14:paraId="39F67B54" w14:textId="170BBFDB" w:rsidR="008523B9" w:rsidRPr="000B4E2C" w:rsidRDefault="000B4E2C" w:rsidP="00A908B8">
            <w:pPr>
              <w:rPr>
                <w:color w:val="000000"/>
                <w:sz w:val="18"/>
                <w:szCs w:val="18"/>
                <w:lang w:eastAsia="en-GB"/>
              </w:rPr>
            </w:pPr>
            <w:r w:rsidRPr="000B4E2C">
              <w:rPr>
                <w:sz w:val="18"/>
                <w:szCs w:val="18"/>
                <w:lang w:eastAsia="en-GB"/>
              </w:rPr>
              <w:t xml:space="preserve"> </w:t>
            </w:r>
          </w:p>
        </w:tc>
        <w:tc>
          <w:tcPr>
            <w:tcW w:w="0" w:type="auto"/>
            <w:shd w:val="clear" w:color="auto" w:fill="auto"/>
            <w:vAlign w:val="bottom"/>
            <w:hideMark/>
          </w:tcPr>
          <w:p w14:paraId="3FE6158A" w14:textId="0600DFDD" w:rsidR="008523B9" w:rsidRPr="000B4E2C" w:rsidRDefault="000B4E2C" w:rsidP="00A908B8">
            <w:pPr>
              <w:rPr>
                <w:sz w:val="18"/>
                <w:szCs w:val="18"/>
                <w:lang w:eastAsia="en-GB"/>
              </w:rPr>
            </w:pPr>
            <w:r w:rsidRPr="000B4E2C">
              <w:rPr>
                <w:sz w:val="18"/>
                <w:szCs w:val="18"/>
                <w:lang w:eastAsia="en-GB"/>
              </w:rPr>
              <w:t xml:space="preserve"> </w:t>
            </w:r>
          </w:p>
        </w:tc>
      </w:tr>
      <w:tr w:rsidR="000B4E2C" w:rsidRPr="000B4E2C" w14:paraId="7E72FC4F" w14:textId="77777777" w:rsidTr="000B4E2C">
        <w:trPr>
          <w:cantSplit/>
        </w:trPr>
        <w:tc>
          <w:tcPr>
            <w:tcW w:w="0" w:type="auto"/>
            <w:shd w:val="clear" w:color="auto" w:fill="auto"/>
            <w:vAlign w:val="bottom"/>
            <w:hideMark/>
          </w:tcPr>
          <w:p w14:paraId="24862AA6" w14:textId="35EB7A1E" w:rsidR="008523B9" w:rsidRPr="000B4E2C" w:rsidRDefault="008523B9" w:rsidP="00A908B8">
            <w:pPr>
              <w:rPr>
                <w:color w:val="000000"/>
                <w:sz w:val="18"/>
                <w:szCs w:val="18"/>
                <w:lang w:eastAsia="en-GB"/>
              </w:rPr>
            </w:pPr>
            <w:r w:rsidRPr="000B4E2C">
              <w:rPr>
                <w:sz w:val="18"/>
                <w:szCs w:val="18"/>
                <w:lang w:eastAsia="en-GB"/>
              </w:rPr>
              <w:lastRenderedPageBreak/>
              <w:t>Soliman</w:t>
            </w:r>
            <w:r w:rsidR="00280A97" w:rsidRPr="000B4E2C">
              <w:rPr>
                <w:noProof/>
                <w:sz w:val="18"/>
                <w:szCs w:val="18"/>
                <w:vertAlign w:val="superscript"/>
                <w:lang w:eastAsia="en-GB"/>
              </w:rPr>
              <w:t>153</w:t>
            </w:r>
          </w:p>
        </w:tc>
        <w:tc>
          <w:tcPr>
            <w:tcW w:w="0" w:type="auto"/>
            <w:shd w:val="clear" w:color="auto" w:fill="auto"/>
            <w:vAlign w:val="bottom"/>
            <w:hideMark/>
          </w:tcPr>
          <w:p w14:paraId="4A1EE5F7" w14:textId="77777777" w:rsidR="008523B9" w:rsidRPr="000B4E2C" w:rsidRDefault="008523B9" w:rsidP="00A908B8">
            <w:pPr>
              <w:jc w:val="right"/>
              <w:rPr>
                <w:color w:val="000000"/>
                <w:sz w:val="18"/>
                <w:szCs w:val="18"/>
                <w:lang w:eastAsia="en-GB"/>
              </w:rPr>
            </w:pPr>
            <w:r w:rsidRPr="000B4E2C">
              <w:rPr>
                <w:sz w:val="18"/>
                <w:szCs w:val="18"/>
                <w:lang w:eastAsia="en-GB"/>
              </w:rPr>
              <w:t>2016</w:t>
            </w:r>
          </w:p>
        </w:tc>
        <w:tc>
          <w:tcPr>
            <w:tcW w:w="0" w:type="auto"/>
            <w:shd w:val="clear" w:color="auto" w:fill="auto"/>
            <w:vAlign w:val="bottom"/>
            <w:hideMark/>
          </w:tcPr>
          <w:p w14:paraId="1E690F65" w14:textId="77777777" w:rsidR="008523B9" w:rsidRPr="000B4E2C" w:rsidRDefault="008523B9" w:rsidP="00A908B8">
            <w:pPr>
              <w:rPr>
                <w:color w:val="000000"/>
                <w:sz w:val="18"/>
                <w:szCs w:val="18"/>
                <w:lang w:eastAsia="en-GB"/>
              </w:rPr>
            </w:pPr>
            <w:r w:rsidRPr="000B4E2C">
              <w:rPr>
                <w:sz w:val="18"/>
                <w:szCs w:val="18"/>
                <w:lang w:eastAsia="en-GB"/>
              </w:rPr>
              <w:t>AKI patients mixed ICU</w:t>
            </w:r>
          </w:p>
        </w:tc>
        <w:tc>
          <w:tcPr>
            <w:tcW w:w="0" w:type="auto"/>
            <w:shd w:val="clear" w:color="auto" w:fill="auto"/>
            <w:vAlign w:val="bottom"/>
            <w:hideMark/>
          </w:tcPr>
          <w:p w14:paraId="3F80674A" w14:textId="77777777" w:rsidR="008523B9" w:rsidRPr="000B4E2C" w:rsidRDefault="008523B9" w:rsidP="00A908B8">
            <w:pPr>
              <w:rPr>
                <w:color w:val="000000"/>
                <w:sz w:val="18"/>
                <w:szCs w:val="18"/>
                <w:lang w:eastAsia="en-GB"/>
              </w:rPr>
            </w:pPr>
            <w:r w:rsidRPr="000B4E2C">
              <w:rPr>
                <w:sz w:val="18"/>
                <w:szCs w:val="18"/>
                <w:lang w:eastAsia="en-GB"/>
              </w:rPr>
              <w:t>Netherlands</w:t>
            </w:r>
          </w:p>
        </w:tc>
        <w:tc>
          <w:tcPr>
            <w:tcW w:w="0" w:type="auto"/>
            <w:shd w:val="clear" w:color="auto" w:fill="auto"/>
            <w:vAlign w:val="bottom"/>
            <w:hideMark/>
          </w:tcPr>
          <w:p w14:paraId="3C07544E" w14:textId="6F47518C" w:rsidR="008523B9" w:rsidRPr="000B4E2C" w:rsidRDefault="008523B9" w:rsidP="00A908B8">
            <w:pPr>
              <w:rPr>
                <w:color w:val="000000"/>
                <w:sz w:val="18"/>
                <w:szCs w:val="18"/>
                <w:lang w:eastAsia="en-GB"/>
              </w:rPr>
            </w:pPr>
            <w:r w:rsidRPr="000B4E2C">
              <w:rPr>
                <w:sz w:val="18"/>
                <w:szCs w:val="18"/>
                <w:lang w:eastAsia="en-GB"/>
              </w:rPr>
              <w:t>E</w:t>
            </w:r>
            <w:r w:rsidR="000B4E2C" w:rsidRPr="000B4E2C">
              <w:rPr>
                <w:color w:val="00B0F0"/>
                <w:sz w:val="18"/>
                <w:szCs w:val="18"/>
                <w:lang w:eastAsia="en-GB"/>
              </w:rPr>
              <w:t>Q</w:t>
            </w:r>
            <w:r w:rsidR="000B4E2C" w:rsidRPr="000B4E2C">
              <w:rPr>
                <w:color w:val="00B0F0"/>
                <w:sz w:val="18"/>
                <w:szCs w:val="18"/>
                <w:lang w:eastAsia="en-GB"/>
              </w:rPr>
              <w:t>-</w:t>
            </w:r>
            <w:r w:rsidR="000B4E2C" w:rsidRPr="000B4E2C">
              <w:rPr>
                <w:color w:val="00B0F0"/>
                <w:sz w:val="18"/>
                <w:szCs w:val="18"/>
                <w:lang w:eastAsia="en-GB"/>
              </w:rPr>
              <w:t>5D</w:t>
            </w:r>
            <w:r w:rsidR="000B4E2C" w:rsidRPr="000B4E2C">
              <w:rPr>
                <w:color w:val="00B0F0"/>
                <w:sz w:val="18"/>
                <w:szCs w:val="18"/>
                <w:lang w:eastAsia="en-GB"/>
              </w:rPr>
              <w:t>-</w:t>
            </w:r>
            <w:r w:rsidR="000B4E2C" w:rsidRPr="000B4E2C">
              <w:rPr>
                <w:color w:val="00B0F0"/>
                <w:sz w:val="18"/>
                <w:szCs w:val="18"/>
                <w:lang w:eastAsia="en-GB"/>
              </w:rPr>
              <w:t>3</w:t>
            </w:r>
            <w:r w:rsidRPr="000B4E2C">
              <w:rPr>
                <w:sz w:val="18"/>
                <w:szCs w:val="18"/>
                <w:lang w:eastAsia="en-GB"/>
              </w:rPr>
              <w:t>L</w:t>
            </w:r>
          </w:p>
        </w:tc>
        <w:tc>
          <w:tcPr>
            <w:tcW w:w="0" w:type="auto"/>
            <w:shd w:val="clear" w:color="auto" w:fill="auto"/>
            <w:vAlign w:val="bottom"/>
            <w:hideMark/>
          </w:tcPr>
          <w:p w14:paraId="003A06B0" w14:textId="77777777" w:rsidR="008523B9" w:rsidRPr="000B4E2C" w:rsidRDefault="008523B9" w:rsidP="00A908B8">
            <w:pPr>
              <w:rPr>
                <w:color w:val="000000"/>
                <w:sz w:val="18"/>
                <w:szCs w:val="18"/>
                <w:lang w:eastAsia="en-GB"/>
              </w:rPr>
            </w:pPr>
            <w:r w:rsidRPr="000B4E2C">
              <w:rPr>
                <w:sz w:val="18"/>
                <w:szCs w:val="18"/>
                <w:lang w:eastAsia="en-GB"/>
              </w:rPr>
              <w:t>Dutch</w:t>
            </w:r>
          </w:p>
        </w:tc>
        <w:tc>
          <w:tcPr>
            <w:tcW w:w="0" w:type="auto"/>
            <w:shd w:val="clear" w:color="auto" w:fill="auto"/>
            <w:vAlign w:val="bottom"/>
            <w:hideMark/>
          </w:tcPr>
          <w:p w14:paraId="4D1F32F4" w14:textId="5B8F62E0" w:rsidR="008523B9" w:rsidRPr="000B4E2C" w:rsidRDefault="008523B9" w:rsidP="00A908B8">
            <w:pPr>
              <w:rPr>
                <w:color w:val="000000"/>
                <w:sz w:val="18"/>
                <w:szCs w:val="18"/>
                <w:lang w:eastAsia="en-GB"/>
              </w:rPr>
            </w:pPr>
            <w:r w:rsidRPr="000B4E2C">
              <w:rPr>
                <w:sz w:val="18"/>
                <w:szCs w:val="18"/>
                <w:lang w:eastAsia="en-GB"/>
              </w:rPr>
              <w:t>All: 2420</w:t>
            </w:r>
            <w:r w:rsidR="000B4E2C" w:rsidRPr="000B4E2C">
              <w:rPr>
                <w:sz w:val="18"/>
                <w:szCs w:val="18"/>
                <w:lang w:eastAsia="en-GB"/>
              </w:rPr>
              <w:t xml:space="preserve"> </w:t>
            </w:r>
            <w:r w:rsidRPr="000B4E2C">
              <w:rPr>
                <w:sz w:val="18"/>
                <w:szCs w:val="18"/>
                <w:lang w:eastAsia="en-GB"/>
              </w:rPr>
              <w:t>No AKI: 1588</w:t>
            </w:r>
            <w:r w:rsidR="000B4E2C" w:rsidRPr="000B4E2C">
              <w:rPr>
                <w:sz w:val="18"/>
                <w:szCs w:val="18"/>
                <w:lang w:eastAsia="en-GB"/>
              </w:rPr>
              <w:t xml:space="preserve"> </w:t>
            </w:r>
            <w:r w:rsidRPr="000B4E2C">
              <w:rPr>
                <w:sz w:val="18"/>
                <w:szCs w:val="18"/>
                <w:lang w:eastAsia="en-GB"/>
              </w:rPr>
              <w:t>Risk: 456</w:t>
            </w:r>
            <w:r w:rsidR="000B4E2C" w:rsidRPr="000B4E2C">
              <w:rPr>
                <w:sz w:val="18"/>
                <w:szCs w:val="18"/>
                <w:lang w:eastAsia="en-GB"/>
              </w:rPr>
              <w:t xml:space="preserve"> </w:t>
            </w:r>
            <w:r w:rsidRPr="000B4E2C">
              <w:rPr>
                <w:sz w:val="18"/>
                <w:szCs w:val="18"/>
                <w:lang w:eastAsia="en-GB"/>
              </w:rPr>
              <w:t>Injury: 253</w:t>
            </w:r>
            <w:r w:rsidR="000B4E2C" w:rsidRPr="000B4E2C">
              <w:rPr>
                <w:sz w:val="18"/>
                <w:szCs w:val="18"/>
                <w:lang w:eastAsia="en-GB"/>
              </w:rPr>
              <w:t xml:space="preserve"> </w:t>
            </w:r>
            <w:r w:rsidRPr="000B4E2C">
              <w:rPr>
                <w:sz w:val="18"/>
                <w:szCs w:val="18"/>
                <w:lang w:eastAsia="en-GB"/>
              </w:rPr>
              <w:t>Failure: 123</w:t>
            </w:r>
          </w:p>
        </w:tc>
        <w:tc>
          <w:tcPr>
            <w:tcW w:w="0" w:type="auto"/>
            <w:shd w:val="clear" w:color="auto" w:fill="auto"/>
            <w:vAlign w:val="bottom"/>
            <w:hideMark/>
          </w:tcPr>
          <w:p w14:paraId="40F28A24" w14:textId="77777777" w:rsidR="008523B9" w:rsidRPr="000B4E2C" w:rsidRDefault="008523B9" w:rsidP="00A908B8">
            <w:pPr>
              <w:rPr>
                <w:sz w:val="18"/>
                <w:szCs w:val="18"/>
                <w:lang w:eastAsia="en-GB"/>
              </w:rPr>
            </w:pPr>
            <w:r w:rsidRPr="000B4E2C">
              <w:rPr>
                <w:sz w:val="18"/>
                <w:szCs w:val="18"/>
                <w:lang w:eastAsia="en-GB"/>
              </w:rPr>
              <w:t>Median (IQR)</w:t>
            </w:r>
          </w:p>
          <w:p w14:paraId="33AA6497" w14:textId="06E3E652" w:rsidR="008523B9" w:rsidRPr="000B4E2C" w:rsidRDefault="008523B9" w:rsidP="00A908B8">
            <w:pPr>
              <w:rPr>
                <w:color w:val="000000"/>
                <w:sz w:val="18"/>
                <w:szCs w:val="18"/>
                <w:lang w:eastAsia="en-GB"/>
              </w:rPr>
            </w:pPr>
            <w:r w:rsidRPr="000B4E2C">
              <w:rPr>
                <w:sz w:val="18"/>
                <w:szCs w:val="18"/>
                <w:lang w:eastAsia="en-GB"/>
              </w:rPr>
              <w:t>59; (47</w:t>
            </w:r>
            <w:r w:rsidR="000B4E2C" w:rsidRPr="000B4E2C">
              <w:rPr>
                <w:color w:val="00B0F0"/>
                <w:sz w:val="18"/>
                <w:szCs w:val="18"/>
                <w:lang w:eastAsia="en-GB"/>
              </w:rPr>
              <w:t>–</w:t>
            </w:r>
            <w:r w:rsidR="000B4E2C" w:rsidRPr="000B4E2C">
              <w:rPr>
                <w:color w:val="00B0F0"/>
                <w:sz w:val="18"/>
                <w:szCs w:val="18"/>
                <w:lang w:eastAsia="en-GB"/>
              </w:rPr>
              <w:t>6</w:t>
            </w:r>
            <w:r w:rsidRPr="000B4E2C">
              <w:rPr>
                <w:sz w:val="18"/>
                <w:szCs w:val="18"/>
                <w:lang w:eastAsia="en-GB"/>
              </w:rPr>
              <w:t>9)</w:t>
            </w:r>
            <w:r w:rsidR="000B4E2C" w:rsidRPr="000B4E2C">
              <w:rPr>
                <w:sz w:val="18"/>
                <w:szCs w:val="18"/>
                <w:lang w:eastAsia="en-GB"/>
              </w:rPr>
              <w:t xml:space="preserve"> </w:t>
            </w:r>
            <w:r w:rsidRPr="000B4E2C">
              <w:rPr>
                <w:sz w:val="18"/>
                <w:szCs w:val="18"/>
                <w:lang w:eastAsia="en-GB"/>
              </w:rPr>
              <w:t>59; (47</w:t>
            </w:r>
            <w:r w:rsidR="000B4E2C" w:rsidRPr="000B4E2C">
              <w:rPr>
                <w:color w:val="00B0F0"/>
                <w:sz w:val="18"/>
                <w:szCs w:val="18"/>
                <w:lang w:eastAsia="en-GB"/>
              </w:rPr>
              <w:t>–</w:t>
            </w:r>
            <w:r w:rsidR="000B4E2C" w:rsidRPr="000B4E2C">
              <w:rPr>
                <w:color w:val="00B0F0"/>
                <w:sz w:val="18"/>
                <w:szCs w:val="18"/>
                <w:lang w:eastAsia="en-GB"/>
              </w:rPr>
              <w:t>6</w:t>
            </w:r>
            <w:r w:rsidRPr="000B4E2C">
              <w:rPr>
                <w:sz w:val="18"/>
                <w:szCs w:val="18"/>
                <w:lang w:eastAsia="en-GB"/>
              </w:rPr>
              <w:t>9)</w:t>
            </w:r>
            <w:r w:rsidR="000B4E2C" w:rsidRPr="000B4E2C">
              <w:rPr>
                <w:sz w:val="18"/>
                <w:szCs w:val="18"/>
                <w:lang w:eastAsia="en-GB"/>
              </w:rPr>
              <w:t xml:space="preserve"> </w:t>
            </w:r>
            <w:r w:rsidRPr="000B4E2C">
              <w:rPr>
                <w:sz w:val="18"/>
                <w:szCs w:val="18"/>
                <w:lang w:eastAsia="en-GB"/>
              </w:rPr>
              <w:t>59; (47</w:t>
            </w:r>
            <w:r w:rsidR="000B4E2C" w:rsidRPr="000B4E2C">
              <w:rPr>
                <w:color w:val="00B0F0"/>
                <w:sz w:val="18"/>
                <w:szCs w:val="18"/>
                <w:lang w:eastAsia="en-GB"/>
              </w:rPr>
              <w:t>–</w:t>
            </w:r>
            <w:r w:rsidR="000B4E2C" w:rsidRPr="000B4E2C">
              <w:rPr>
                <w:color w:val="00B0F0"/>
                <w:sz w:val="18"/>
                <w:szCs w:val="18"/>
                <w:lang w:eastAsia="en-GB"/>
              </w:rPr>
              <w:t>6</w:t>
            </w:r>
            <w:r w:rsidRPr="000B4E2C">
              <w:rPr>
                <w:sz w:val="18"/>
                <w:szCs w:val="18"/>
                <w:lang w:eastAsia="en-GB"/>
              </w:rPr>
              <w:t>9)</w:t>
            </w:r>
            <w:r w:rsidR="000B4E2C" w:rsidRPr="000B4E2C">
              <w:rPr>
                <w:sz w:val="18"/>
                <w:szCs w:val="18"/>
                <w:lang w:eastAsia="en-GB"/>
              </w:rPr>
              <w:t xml:space="preserve"> </w:t>
            </w:r>
            <w:r w:rsidRPr="000B4E2C">
              <w:rPr>
                <w:sz w:val="18"/>
                <w:szCs w:val="18"/>
                <w:lang w:eastAsia="en-GB"/>
              </w:rPr>
              <w:t>59; (47</w:t>
            </w:r>
            <w:r w:rsidR="000B4E2C" w:rsidRPr="000B4E2C">
              <w:rPr>
                <w:color w:val="00B0F0"/>
                <w:sz w:val="18"/>
                <w:szCs w:val="18"/>
                <w:lang w:eastAsia="en-GB"/>
              </w:rPr>
              <w:t>–</w:t>
            </w:r>
            <w:r w:rsidR="000B4E2C" w:rsidRPr="000B4E2C">
              <w:rPr>
                <w:color w:val="00B0F0"/>
                <w:sz w:val="18"/>
                <w:szCs w:val="18"/>
                <w:lang w:eastAsia="en-GB"/>
              </w:rPr>
              <w:t>6</w:t>
            </w:r>
            <w:r w:rsidRPr="000B4E2C">
              <w:rPr>
                <w:sz w:val="18"/>
                <w:szCs w:val="18"/>
                <w:lang w:eastAsia="en-GB"/>
              </w:rPr>
              <w:t>9)</w:t>
            </w:r>
            <w:r w:rsidR="000B4E2C" w:rsidRPr="000B4E2C">
              <w:rPr>
                <w:sz w:val="18"/>
                <w:szCs w:val="18"/>
                <w:lang w:eastAsia="en-GB"/>
              </w:rPr>
              <w:t xml:space="preserve"> </w:t>
            </w:r>
            <w:r w:rsidRPr="000B4E2C">
              <w:rPr>
                <w:sz w:val="18"/>
                <w:szCs w:val="18"/>
                <w:lang w:eastAsia="en-GB"/>
              </w:rPr>
              <w:t>59; (47</w:t>
            </w:r>
            <w:r w:rsidR="000B4E2C" w:rsidRPr="000B4E2C">
              <w:rPr>
                <w:color w:val="00B0F0"/>
                <w:sz w:val="18"/>
                <w:szCs w:val="18"/>
                <w:lang w:eastAsia="en-GB"/>
              </w:rPr>
              <w:t>–</w:t>
            </w:r>
            <w:r w:rsidR="000B4E2C" w:rsidRPr="000B4E2C">
              <w:rPr>
                <w:color w:val="00B0F0"/>
                <w:sz w:val="18"/>
                <w:szCs w:val="18"/>
                <w:lang w:eastAsia="en-GB"/>
              </w:rPr>
              <w:t>6</w:t>
            </w:r>
            <w:r w:rsidRPr="000B4E2C">
              <w:rPr>
                <w:sz w:val="18"/>
                <w:szCs w:val="18"/>
                <w:lang w:eastAsia="en-GB"/>
              </w:rPr>
              <w:t>9)</w:t>
            </w:r>
          </w:p>
        </w:tc>
        <w:tc>
          <w:tcPr>
            <w:tcW w:w="0" w:type="auto"/>
            <w:shd w:val="clear" w:color="auto" w:fill="auto"/>
            <w:vAlign w:val="bottom"/>
            <w:hideMark/>
          </w:tcPr>
          <w:p w14:paraId="2AE1C2B5" w14:textId="32B5D81E" w:rsidR="008523B9" w:rsidRPr="000B4E2C" w:rsidRDefault="008523B9" w:rsidP="00A908B8">
            <w:pPr>
              <w:rPr>
                <w:color w:val="000000"/>
                <w:sz w:val="18"/>
                <w:szCs w:val="18"/>
                <w:lang w:eastAsia="en-GB"/>
              </w:rPr>
            </w:pPr>
            <w:r w:rsidRPr="000B4E2C">
              <w:rPr>
                <w:sz w:val="18"/>
                <w:szCs w:val="18"/>
                <w:lang w:eastAsia="en-GB"/>
              </w:rPr>
              <w:t>58.7%</w:t>
            </w:r>
            <w:r w:rsidR="000B4E2C" w:rsidRPr="000B4E2C">
              <w:rPr>
                <w:sz w:val="18"/>
                <w:szCs w:val="18"/>
                <w:lang w:eastAsia="en-GB"/>
              </w:rPr>
              <w:t xml:space="preserve"> </w:t>
            </w:r>
            <w:r w:rsidRPr="000B4E2C">
              <w:rPr>
                <w:sz w:val="18"/>
                <w:szCs w:val="18"/>
                <w:lang w:eastAsia="en-GB"/>
              </w:rPr>
              <w:t>58.3%</w:t>
            </w:r>
            <w:r w:rsidR="000B4E2C" w:rsidRPr="000B4E2C">
              <w:rPr>
                <w:sz w:val="18"/>
                <w:szCs w:val="18"/>
                <w:lang w:eastAsia="en-GB"/>
              </w:rPr>
              <w:t xml:space="preserve"> </w:t>
            </w:r>
            <w:r w:rsidRPr="000B4E2C">
              <w:rPr>
                <w:sz w:val="18"/>
                <w:szCs w:val="18"/>
                <w:lang w:eastAsia="en-GB"/>
              </w:rPr>
              <w:t>57.0%</w:t>
            </w:r>
            <w:r w:rsidR="000B4E2C" w:rsidRPr="000B4E2C">
              <w:rPr>
                <w:sz w:val="18"/>
                <w:szCs w:val="18"/>
                <w:lang w:eastAsia="en-GB"/>
              </w:rPr>
              <w:t xml:space="preserve"> </w:t>
            </w:r>
            <w:r w:rsidRPr="000B4E2C">
              <w:rPr>
                <w:sz w:val="18"/>
                <w:szCs w:val="18"/>
                <w:lang w:eastAsia="en-GB"/>
              </w:rPr>
              <w:t>61.7%</w:t>
            </w:r>
            <w:r w:rsidR="000B4E2C" w:rsidRPr="000B4E2C">
              <w:rPr>
                <w:sz w:val="18"/>
                <w:szCs w:val="18"/>
                <w:lang w:eastAsia="en-GB"/>
              </w:rPr>
              <w:t xml:space="preserve"> </w:t>
            </w:r>
            <w:r w:rsidRPr="000B4E2C">
              <w:rPr>
                <w:sz w:val="18"/>
                <w:szCs w:val="18"/>
                <w:lang w:eastAsia="en-GB"/>
              </w:rPr>
              <w:t>63.4%</w:t>
            </w:r>
          </w:p>
        </w:tc>
        <w:tc>
          <w:tcPr>
            <w:tcW w:w="0" w:type="auto"/>
            <w:shd w:val="clear" w:color="auto" w:fill="auto"/>
            <w:vAlign w:val="bottom"/>
            <w:hideMark/>
          </w:tcPr>
          <w:p w14:paraId="31F76907" w14:textId="3E14D6D3" w:rsidR="008523B9" w:rsidRPr="000B4E2C" w:rsidRDefault="008523B9" w:rsidP="00A908B8">
            <w:pPr>
              <w:rPr>
                <w:color w:val="000000"/>
                <w:sz w:val="18"/>
                <w:szCs w:val="18"/>
                <w:lang w:eastAsia="en-GB"/>
              </w:rPr>
            </w:pPr>
            <w:r w:rsidRPr="000B4E2C">
              <w:rPr>
                <w:sz w:val="18"/>
                <w:szCs w:val="18"/>
                <w:lang w:eastAsia="en-GB"/>
              </w:rPr>
              <w:t>All:</w:t>
            </w:r>
            <w:r w:rsidR="000B4E2C" w:rsidRPr="000B4E2C">
              <w:rPr>
                <w:sz w:val="18"/>
                <w:szCs w:val="18"/>
                <w:lang w:eastAsia="en-GB"/>
              </w:rPr>
              <w:t xml:space="preserve"> </w:t>
            </w:r>
            <w:r w:rsidRPr="000B4E2C">
              <w:rPr>
                <w:sz w:val="18"/>
                <w:szCs w:val="18"/>
                <w:lang w:eastAsia="en-GB"/>
              </w:rPr>
              <w:t>No AKI:</w:t>
            </w:r>
            <w:r w:rsidR="000B4E2C" w:rsidRPr="000B4E2C">
              <w:rPr>
                <w:sz w:val="18"/>
                <w:szCs w:val="18"/>
                <w:lang w:eastAsia="en-GB"/>
              </w:rPr>
              <w:t xml:space="preserve"> </w:t>
            </w:r>
            <w:r w:rsidRPr="000B4E2C">
              <w:rPr>
                <w:sz w:val="18"/>
                <w:szCs w:val="18"/>
                <w:lang w:eastAsia="en-GB"/>
              </w:rPr>
              <w:t>Risk:</w:t>
            </w:r>
            <w:r w:rsidR="000B4E2C" w:rsidRPr="000B4E2C">
              <w:rPr>
                <w:sz w:val="18"/>
                <w:szCs w:val="18"/>
                <w:lang w:eastAsia="en-GB"/>
              </w:rPr>
              <w:t xml:space="preserve"> </w:t>
            </w:r>
            <w:r w:rsidRPr="000B4E2C">
              <w:rPr>
                <w:sz w:val="18"/>
                <w:szCs w:val="18"/>
                <w:lang w:eastAsia="en-GB"/>
              </w:rPr>
              <w:t>Injury:</w:t>
            </w:r>
            <w:r w:rsidR="000B4E2C" w:rsidRPr="000B4E2C">
              <w:rPr>
                <w:sz w:val="18"/>
                <w:szCs w:val="18"/>
                <w:lang w:eastAsia="en-GB"/>
              </w:rPr>
              <w:t xml:space="preserve"> </w:t>
            </w:r>
            <w:r w:rsidRPr="000B4E2C">
              <w:rPr>
                <w:sz w:val="18"/>
                <w:szCs w:val="18"/>
                <w:lang w:eastAsia="en-GB"/>
              </w:rPr>
              <w:t xml:space="preserve">Failure: </w:t>
            </w:r>
          </w:p>
        </w:tc>
        <w:tc>
          <w:tcPr>
            <w:tcW w:w="0" w:type="auto"/>
            <w:shd w:val="clear" w:color="auto" w:fill="auto"/>
            <w:vAlign w:val="bottom"/>
            <w:hideMark/>
          </w:tcPr>
          <w:p w14:paraId="7B85121F" w14:textId="019A8BDF" w:rsidR="008523B9" w:rsidRPr="000B4E2C" w:rsidRDefault="000B4E2C" w:rsidP="00A908B8">
            <w:pPr>
              <w:rPr>
                <w:color w:val="000000"/>
                <w:sz w:val="18"/>
                <w:szCs w:val="18"/>
                <w:lang w:eastAsia="en-GB"/>
              </w:rPr>
            </w:pPr>
            <w:r w:rsidRPr="000B4E2C">
              <w:rPr>
                <w:sz w:val="18"/>
                <w:szCs w:val="18"/>
                <w:lang w:eastAsia="en-GB"/>
              </w:rPr>
              <w:t xml:space="preserve"> </w:t>
            </w:r>
          </w:p>
        </w:tc>
        <w:tc>
          <w:tcPr>
            <w:tcW w:w="0" w:type="auto"/>
            <w:shd w:val="clear" w:color="auto" w:fill="auto"/>
            <w:vAlign w:val="bottom"/>
            <w:hideMark/>
          </w:tcPr>
          <w:p w14:paraId="3B1534A2" w14:textId="0EB6F26A" w:rsidR="008523B9" w:rsidRPr="000B4E2C" w:rsidRDefault="008523B9" w:rsidP="00A908B8">
            <w:pPr>
              <w:rPr>
                <w:color w:val="000000"/>
                <w:sz w:val="18"/>
                <w:szCs w:val="18"/>
                <w:lang w:eastAsia="en-GB"/>
              </w:rPr>
            </w:pPr>
            <w:r w:rsidRPr="000B4E2C">
              <w:rPr>
                <w:sz w:val="18"/>
                <w:szCs w:val="18"/>
                <w:lang w:eastAsia="en-GB"/>
              </w:rPr>
              <w:t>0.806</w:t>
            </w:r>
            <w:r w:rsidR="000B4E2C" w:rsidRPr="000B4E2C">
              <w:rPr>
                <w:sz w:val="18"/>
                <w:szCs w:val="18"/>
                <w:lang w:eastAsia="en-GB"/>
              </w:rPr>
              <w:t xml:space="preserve"> </w:t>
            </w:r>
            <w:r w:rsidRPr="000B4E2C">
              <w:rPr>
                <w:sz w:val="18"/>
                <w:szCs w:val="18"/>
                <w:lang w:eastAsia="en-GB"/>
              </w:rPr>
              <w:t>0.810</w:t>
            </w:r>
            <w:r w:rsidR="000B4E2C" w:rsidRPr="000B4E2C">
              <w:rPr>
                <w:sz w:val="18"/>
                <w:szCs w:val="18"/>
                <w:lang w:eastAsia="en-GB"/>
              </w:rPr>
              <w:t xml:space="preserve"> </w:t>
            </w:r>
            <w:r w:rsidRPr="000B4E2C">
              <w:rPr>
                <w:sz w:val="18"/>
                <w:szCs w:val="18"/>
                <w:lang w:eastAsia="en-GB"/>
              </w:rPr>
              <w:t>0.778</w:t>
            </w:r>
            <w:r w:rsidR="000B4E2C" w:rsidRPr="000B4E2C">
              <w:rPr>
                <w:sz w:val="18"/>
                <w:szCs w:val="18"/>
                <w:lang w:eastAsia="en-GB"/>
              </w:rPr>
              <w:t xml:space="preserve"> </w:t>
            </w:r>
            <w:r w:rsidRPr="000B4E2C">
              <w:rPr>
                <w:sz w:val="18"/>
                <w:szCs w:val="18"/>
                <w:lang w:eastAsia="en-GB"/>
              </w:rPr>
              <w:t>0.772</w:t>
            </w:r>
            <w:r w:rsidR="000B4E2C" w:rsidRPr="000B4E2C">
              <w:rPr>
                <w:sz w:val="18"/>
                <w:szCs w:val="18"/>
                <w:lang w:eastAsia="en-GB"/>
              </w:rPr>
              <w:t xml:space="preserve"> </w:t>
            </w:r>
            <w:r w:rsidRPr="000B4E2C">
              <w:rPr>
                <w:sz w:val="18"/>
                <w:szCs w:val="18"/>
                <w:lang w:eastAsia="en-GB"/>
              </w:rPr>
              <w:t>0.666</w:t>
            </w:r>
          </w:p>
        </w:tc>
        <w:tc>
          <w:tcPr>
            <w:tcW w:w="0" w:type="auto"/>
            <w:shd w:val="clear" w:color="auto" w:fill="auto"/>
            <w:vAlign w:val="bottom"/>
            <w:hideMark/>
          </w:tcPr>
          <w:p w14:paraId="379110FB" w14:textId="656F9D61" w:rsidR="008523B9" w:rsidRPr="000B4E2C" w:rsidRDefault="000B4E2C" w:rsidP="00A908B8">
            <w:pPr>
              <w:rPr>
                <w:color w:val="000000"/>
                <w:sz w:val="18"/>
                <w:szCs w:val="18"/>
                <w:lang w:eastAsia="en-GB"/>
              </w:rPr>
            </w:pPr>
            <w:r w:rsidRPr="000B4E2C">
              <w:rPr>
                <w:sz w:val="18"/>
                <w:szCs w:val="18"/>
                <w:lang w:eastAsia="en-GB"/>
              </w:rPr>
              <w:t xml:space="preserve"> </w:t>
            </w:r>
          </w:p>
        </w:tc>
        <w:tc>
          <w:tcPr>
            <w:tcW w:w="0" w:type="auto"/>
            <w:shd w:val="clear" w:color="auto" w:fill="auto"/>
            <w:vAlign w:val="bottom"/>
            <w:hideMark/>
          </w:tcPr>
          <w:p w14:paraId="534536C3" w14:textId="34865AED" w:rsidR="008523B9" w:rsidRPr="000B4E2C" w:rsidRDefault="008523B9" w:rsidP="00A908B8">
            <w:pPr>
              <w:rPr>
                <w:color w:val="000000"/>
                <w:sz w:val="18"/>
                <w:szCs w:val="18"/>
                <w:lang w:eastAsia="en-GB"/>
              </w:rPr>
            </w:pPr>
            <w:r w:rsidRPr="000B4E2C">
              <w:rPr>
                <w:sz w:val="18"/>
                <w:szCs w:val="18"/>
                <w:lang w:eastAsia="en-GB"/>
              </w:rPr>
              <w:t>0.590</w:t>
            </w:r>
            <w:r w:rsidR="000B4E2C" w:rsidRPr="000B4E2C">
              <w:rPr>
                <w:sz w:val="18"/>
                <w:szCs w:val="18"/>
                <w:lang w:eastAsia="en-GB"/>
              </w:rPr>
              <w:t xml:space="preserve"> </w:t>
            </w:r>
            <w:r w:rsidRPr="000B4E2C">
              <w:rPr>
                <w:sz w:val="18"/>
                <w:szCs w:val="18"/>
                <w:lang w:eastAsia="en-GB"/>
              </w:rPr>
              <w:t>0.640</w:t>
            </w:r>
            <w:r w:rsidR="000B4E2C" w:rsidRPr="000B4E2C">
              <w:rPr>
                <w:sz w:val="18"/>
                <w:szCs w:val="18"/>
                <w:lang w:eastAsia="en-GB"/>
              </w:rPr>
              <w:t xml:space="preserve"> </w:t>
            </w:r>
            <w:r w:rsidRPr="000B4E2C">
              <w:rPr>
                <w:sz w:val="18"/>
                <w:szCs w:val="18"/>
                <w:lang w:eastAsia="en-GB"/>
              </w:rPr>
              <w:t>0.570</w:t>
            </w:r>
            <w:r w:rsidR="000B4E2C" w:rsidRPr="000B4E2C">
              <w:rPr>
                <w:sz w:val="18"/>
                <w:szCs w:val="18"/>
                <w:lang w:eastAsia="en-GB"/>
              </w:rPr>
              <w:t xml:space="preserve"> </w:t>
            </w:r>
            <w:r w:rsidRPr="000B4E2C">
              <w:rPr>
                <w:sz w:val="18"/>
                <w:szCs w:val="18"/>
                <w:lang w:eastAsia="en-GB"/>
              </w:rPr>
              <w:t>0.470</w:t>
            </w:r>
            <w:r w:rsidR="000B4E2C" w:rsidRPr="000B4E2C">
              <w:rPr>
                <w:sz w:val="18"/>
                <w:szCs w:val="18"/>
                <w:lang w:eastAsia="en-GB"/>
              </w:rPr>
              <w:t xml:space="preserve"> </w:t>
            </w:r>
            <w:r w:rsidRPr="000B4E2C">
              <w:rPr>
                <w:sz w:val="18"/>
                <w:szCs w:val="18"/>
                <w:lang w:eastAsia="en-GB"/>
              </w:rPr>
              <w:t>0.370</w:t>
            </w:r>
          </w:p>
        </w:tc>
        <w:tc>
          <w:tcPr>
            <w:tcW w:w="0" w:type="auto"/>
            <w:shd w:val="clear" w:color="auto" w:fill="auto"/>
            <w:vAlign w:val="bottom"/>
            <w:hideMark/>
          </w:tcPr>
          <w:p w14:paraId="2152BEEB" w14:textId="5E3B8441" w:rsidR="008523B9" w:rsidRPr="000B4E2C" w:rsidRDefault="008523B9" w:rsidP="00A908B8">
            <w:pPr>
              <w:rPr>
                <w:sz w:val="18"/>
                <w:szCs w:val="18"/>
                <w:lang w:eastAsia="en-GB"/>
              </w:rPr>
            </w:pPr>
            <w:r w:rsidRPr="000B4E2C">
              <w:rPr>
                <w:sz w:val="18"/>
                <w:szCs w:val="18"/>
                <w:lang w:eastAsia="en-GB"/>
              </w:rPr>
              <w:t>0.940</w:t>
            </w:r>
            <w:r w:rsidR="000B4E2C" w:rsidRPr="000B4E2C">
              <w:rPr>
                <w:sz w:val="18"/>
                <w:szCs w:val="18"/>
                <w:lang w:eastAsia="en-GB"/>
              </w:rPr>
              <w:t xml:space="preserve"> </w:t>
            </w:r>
            <w:r w:rsidRPr="000B4E2C">
              <w:rPr>
                <w:sz w:val="18"/>
                <w:szCs w:val="18"/>
                <w:lang w:eastAsia="en-GB"/>
              </w:rPr>
              <w:t>1.000</w:t>
            </w:r>
            <w:r w:rsidR="000B4E2C" w:rsidRPr="000B4E2C">
              <w:rPr>
                <w:sz w:val="18"/>
                <w:szCs w:val="18"/>
                <w:lang w:eastAsia="en-GB"/>
              </w:rPr>
              <w:t xml:space="preserve"> </w:t>
            </w:r>
            <w:r w:rsidRPr="000B4E2C">
              <w:rPr>
                <w:sz w:val="18"/>
                <w:szCs w:val="18"/>
                <w:lang w:eastAsia="en-GB"/>
              </w:rPr>
              <w:t>0.890</w:t>
            </w:r>
            <w:r w:rsidR="000B4E2C" w:rsidRPr="000B4E2C">
              <w:rPr>
                <w:sz w:val="18"/>
                <w:szCs w:val="18"/>
                <w:lang w:eastAsia="en-GB"/>
              </w:rPr>
              <w:t xml:space="preserve"> </w:t>
            </w:r>
            <w:r w:rsidRPr="000B4E2C">
              <w:rPr>
                <w:sz w:val="18"/>
                <w:szCs w:val="18"/>
                <w:lang w:eastAsia="en-GB"/>
              </w:rPr>
              <w:t>0.870</w:t>
            </w:r>
            <w:r w:rsidR="000B4E2C" w:rsidRPr="000B4E2C">
              <w:rPr>
                <w:sz w:val="18"/>
                <w:szCs w:val="18"/>
                <w:lang w:eastAsia="en-GB"/>
              </w:rPr>
              <w:t xml:space="preserve"> </w:t>
            </w:r>
            <w:r w:rsidRPr="000B4E2C">
              <w:rPr>
                <w:sz w:val="18"/>
                <w:szCs w:val="18"/>
                <w:lang w:eastAsia="en-GB"/>
              </w:rPr>
              <w:t>0.850</w:t>
            </w:r>
          </w:p>
        </w:tc>
      </w:tr>
    </w:tbl>
    <w:p w14:paraId="563905FD" w14:textId="77777777" w:rsidR="000B4E2C" w:rsidRPr="000B4E2C" w:rsidRDefault="008523B9" w:rsidP="008523B9">
      <w:pPr>
        <w:tabs>
          <w:tab w:val="left" w:pos="1544"/>
        </w:tabs>
        <w:contextualSpacing/>
        <w:rPr>
          <w:color w:val="000000" w:themeColor="text1"/>
          <w:lang w:eastAsia="en-GB"/>
        </w:rPr>
      </w:pPr>
      <w:r w:rsidRPr="000B4E2C">
        <w:rPr>
          <w:color w:val="000000" w:themeColor="text1"/>
          <w:lang w:eastAsia="en-GB"/>
        </w:rPr>
        <w:t>DI: Dialysis Independence; DD: dialysis dependence</w:t>
      </w:r>
    </w:p>
    <w:p w14:paraId="1028938E" w14:textId="393277C1" w:rsidR="008523B9" w:rsidRPr="000B4E2C" w:rsidRDefault="000B4E2C" w:rsidP="008523B9">
      <w:pPr>
        <w:pStyle w:val="Heading2"/>
      </w:pPr>
      <w:r w:rsidRPr="000B4E2C">
        <w:rPr>
          <w:i/>
          <w:color w:val="FF0000"/>
        </w:rPr>
        <w:lastRenderedPageBreak/>
        <w:t>T</w:t>
      </w:r>
      <w:r w:rsidRPr="000B4E2C">
        <w:rPr>
          <w:i/>
          <w:color w:val="FF0000"/>
        </w:rPr>
        <w:t>able</w:t>
      </w:r>
      <w:r w:rsidRPr="000B4E2C">
        <w:rPr>
          <w:i/>
          <w:color w:val="FF0000"/>
        </w:rPr>
        <w:t xml:space="preserve"> </w:t>
      </w:r>
      <w:r w:rsidRPr="000B4E2C">
        <w:rPr>
          <w:i/>
          <w:color w:val="FF0000"/>
        </w:rPr>
        <w:t>38</w:t>
      </w:r>
      <w:r w:rsidRPr="000B4E2C">
        <w:t xml:space="preserve"> </w:t>
      </w:r>
      <w:r w:rsidR="008523B9" w:rsidRPr="000B4E2C">
        <w:t>Summary of post-Hall utility studies considered for the economic modelling</w:t>
      </w:r>
    </w:p>
    <w:tbl>
      <w:tblPr>
        <w:tblW w:w="0" w:type="auto"/>
        <w:tblInd w:w="-572" w:type="dxa"/>
        <w:tblCellMar>
          <w:top w:w="40" w:type="dxa"/>
          <w:left w:w="60" w:type="dxa"/>
          <w:bottom w:w="40" w:type="dxa"/>
          <w:right w:w="60" w:type="dxa"/>
        </w:tblCellMar>
        <w:tblLook w:val="04A0" w:firstRow="1" w:lastRow="0" w:firstColumn="1" w:lastColumn="0" w:noHBand="0" w:noVBand="1"/>
      </w:tblPr>
      <w:tblGrid>
        <w:gridCol w:w="726"/>
        <w:gridCol w:w="345"/>
        <w:gridCol w:w="645"/>
        <w:gridCol w:w="527"/>
        <w:gridCol w:w="526"/>
        <w:gridCol w:w="595"/>
        <w:gridCol w:w="601"/>
        <w:gridCol w:w="464"/>
        <w:gridCol w:w="651"/>
        <w:gridCol w:w="620"/>
        <w:gridCol w:w="465"/>
        <w:gridCol w:w="489"/>
        <w:gridCol w:w="373"/>
        <w:gridCol w:w="317"/>
        <w:gridCol w:w="409"/>
        <w:gridCol w:w="465"/>
        <w:gridCol w:w="333"/>
        <w:gridCol w:w="333"/>
      </w:tblGrid>
      <w:tr w:rsidR="000B4E2C" w:rsidRPr="000B4E2C" w14:paraId="284EDA96" w14:textId="77777777" w:rsidTr="000B4E2C">
        <w:trPr>
          <w:cantSplit/>
          <w:tblHeader/>
        </w:trPr>
        <w:tc>
          <w:tcPr>
            <w:tcW w:w="0" w:type="auto"/>
            <w:shd w:val="clear" w:color="auto" w:fill="auto"/>
            <w:vAlign w:val="bottom"/>
            <w:hideMark/>
          </w:tcPr>
          <w:p w14:paraId="7FB16D39" w14:textId="77777777" w:rsidR="008523B9" w:rsidRPr="000B4E2C" w:rsidRDefault="008523B9" w:rsidP="00A908B8">
            <w:pPr>
              <w:rPr>
                <w:rFonts w:cstheme="minorHAnsi"/>
                <w:b/>
                <w:bCs/>
                <w:color w:val="000000"/>
                <w:sz w:val="18"/>
                <w:szCs w:val="18"/>
                <w:lang w:eastAsia="en-GB"/>
              </w:rPr>
            </w:pPr>
            <w:r w:rsidRPr="000B4E2C">
              <w:rPr>
                <w:rFonts w:cstheme="minorHAnsi"/>
                <w:b/>
                <w:bCs/>
                <w:sz w:val="18"/>
                <w:szCs w:val="18"/>
                <w:lang w:eastAsia="en-GB"/>
              </w:rPr>
              <w:lastRenderedPageBreak/>
              <w:t>Author</w:t>
            </w:r>
          </w:p>
        </w:tc>
        <w:tc>
          <w:tcPr>
            <w:tcW w:w="0" w:type="auto"/>
            <w:shd w:val="clear" w:color="auto" w:fill="auto"/>
            <w:vAlign w:val="bottom"/>
            <w:hideMark/>
          </w:tcPr>
          <w:p w14:paraId="54B81E37" w14:textId="77777777" w:rsidR="008523B9" w:rsidRPr="000B4E2C" w:rsidRDefault="008523B9" w:rsidP="00A908B8">
            <w:pPr>
              <w:rPr>
                <w:rFonts w:cstheme="minorHAnsi"/>
                <w:b/>
                <w:bCs/>
                <w:color w:val="000000"/>
                <w:sz w:val="18"/>
                <w:szCs w:val="18"/>
                <w:lang w:eastAsia="en-GB"/>
              </w:rPr>
            </w:pPr>
            <w:r w:rsidRPr="000B4E2C">
              <w:rPr>
                <w:rFonts w:cstheme="minorHAnsi"/>
                <w:b/>
                <w:bCs/>
                <w:sz w:val="18"/>
                <w:szCs w:val="18"/>
                <w:lang w:eastAsia="en-GB"/>
              </w:rPr>
              <w:t>Yr</w:t>
            </w:r>
          </w:p>
        </w:tc>
        <w:tc>
          <w:tcPr>
            <w:tcW w:w="0" w:type="auto"/>
            <w:shd w:val="clear" w:color="auto" w:fill="auto"/>
            <w:vAlign w:val="bottom"/>
            <w:hideMark/>
          </w:tcPr>
          <w:p w14:paraId="366BFD39" w14:textId="77777777" w:rsidR="008523B9" w:rsidRPr="000B4E2C" w:rsidRDefault="008523B9" w:rsidP="00A908B8">
            <w:pPr>
              <w:rPr>
                <w:rFonts w:cstheme="minorHAnsi"/>
                <w:b/>
                <w:bCs/>
                <w:color w:val="000000"/>
                <w:sz w:val="18"/>
                <w:szCs w:val="18"/>
                <w:lang w:eastAsia="en-GB"/>
              </w:rPr>
            </w:pPr>
            <w:r w:rsidRPr="000B4E2C">
              <w:rPr>
                <w:rFonts w:cstheme="minorHAnsi"/>
                <w:b/>
                <w:bCs/>
                <w:sz w:val="18"/>
                <w:szCs w:val="18"/>
                <w:lang w:eastAsia="en-GB"/>
              </w:rPr>
              <w:t>Population</w:t>
            </w:r>
          </w:p>
        </w:tc>
        <w:tc>
          <w:tcPr>
            <w:tcW w:w="0" w:type="auto"/>
            <w:shd w:val="clear" w:color="auto" w:fill="auto"/>
            <w:vAlign w:val="bottom"/>
            <w:hideMark/>
          </w:tcPr>
          <w:p w14:paraId="67DE33FE" w14:textId="77777777" w:rsidR="008523B9" w:rsidRPr="000B4E2C" w:rsidRDefault="008523B9" w:rsidP="00A908B8">
            <w:pPr>
              <w:rPr>
                <w:rFonts w:cstheme="minorHAnsi"/>
                <w:b/>
                <w:bCs/>
                <w:color w:val="000000"/>
                <w:sz w:val="18"/>
                <w:szCs w:val="18"/>
                <w:lang w:eastAsia="en-GB"/>
              </w:rPr>
            </w:pPr>
            <w:r w:rsidRPr="000B4E2C">
              <w:rPr>
                <w:rFonts w:cstheme="minorHAnsi"/>
                <w:b/>
                <w:bCs/>
                <w:sz w:val="18"/>
                <w:szCs w:val="18"/>
                <w:lang w:eastAsia="en-GB"/>
              </w:rPr>
              <w:t>Country</w:t>
            </w:r>
          </w:p>
        </w:tc>
        <w:tc>
          <w:tcPr>
            <w:tcW w:w="0" w:type="auto"/>
            <w:shd w:val="clear" w:color="auto" w:fill="auto"/>
            <w:vAlign w:val="bottom"/>
            <w:hideMark/>
          </w:tcPr>
          <w:p w14:paraId="527D91A1" w14:textId="77777777" w:rsidR="008523B9" w:rsidRPr="000B4E2C" w:rsidRDefault="008523B9" w:rsidP="00A908B8">
            <w:pPr>
              <w:rPr>
                <w:rFonts w:cstheme="minorHAnsi"/>
                <w:b/>
                <w:bCs/>
                <w:color w:val="000000"/>
                <w:sz w:val="18"/>
                <w:szCs w:val="18"/>
                <w:lang w:eastAsia="en-GB"/>
              </w:rPr>
            </w:pPr>
            <w:r w:rsidRPr="000B4E2C">
              <w:rPr>
                <w:rFonts w:cstheme="minorHAnsi"/>
                <w:b/>
                <w:bCs/>
                <w:sz w:val="18"/>
                <w:szCs w:val="18"/>
                <w:lang w:eastAsia="en-GB"/>
              </w:rPr>
              <w:t>Utility measure</w:t>
            </w:r>
          </w:p>
        </w:tc>
        <w:tc>
          <w:tcPr>
            <w:tcW w:w="0" w:type="auto"/>
            <w:shd w:val="clear" w:color="auto" w:fill="auto"/>
            <w:vAlign w:val="bottom"/>
            <w:hideMark/>
          </w:tcPr>
          <w:p w14:paraId="3648BF15" w14:textId="77777777" w:rsidR="008523B9" w:rsidRPr="000B4E2C" w:rsidRDefault="008523B9" w:rsidP="00A908B8">
            <w:pPr>
              <w:rPr>
                <w:rFonts w:cstheme="minorHAnsi"/>
                <w:b/>
                <w:bCs/>
                <w:color w:val="000000"/>
                <w:sz w:val="18"/>
                <w:szCs w:val="18"/>
                <w:lang w:eastAsia="en-GB"/>
              </w:rPr>
            </w:pPr>
            <w:r w:rsidRPr="000B4E2C">
              <w:rPr>
                <w:rFonts w:cstheme="minorHAnsi"/>
                <w:b/>
                <w:bCs/>
                <w:sz w:val="18"/>
                <w:szCs w:val="18"/>
                <w:lang w:eastAsia="en-GB"/>
              </w:rPr>
              <w:t>Valuation set</w:t>
            </w:r>
          </w:p>
        </w:tc>
        <w:tc>
          <w:tcPr>
            <w:tcW w:w="0" w:type="auto"/>
            <w:shd w:val="clear" w:color="auto" w:fill="auto"/>
            <w:vAlign w:val="bottom"/>
            <w:hideMark/>
          </w:tcPr>
          <w:p w14:paraId="1FD74A32" w14:textId="77777777" w:rsidR="008523B9" w:rsidRPr="000B4E2C" w:rsidRDefault="008523B9" w:rsidP="00A908B8">
            <w:pPr>
              <w:rPr>
                <w:rFonts w:cstheme="minorHAnsi"/>
                <w:b/>
                <w:bCs/>
                <w:color w:val="000000"/>
                <w:sz w:val="18"/>
                <w:szCs w:val="18"/>
                <w:lang w:eastAsia="en-GB"/>
              </w:rPr>
            </w:pPr>
            <w:r w:rsidRPr="000B4E2C">
              <w:rPr>
                <w:rFonts w:cstheme="minorHAnsi"/>
                <w:b/>
                <w:bCs/>
                <w:sz w:val="18"/>
                <w:szCs w:val="18"/>
                <w:lang w:eastAsia="en-GB"/>
              </w:rPr>
              <w:t>N</w:t>
            </w:r>
          </w:p>
        </w:tc>
        <w:tc>
          <w:tcPr>
            <w:tcW w:w="0" w:type="auto"/>
            <w:shd w:val="clear" w:color="auto" w:fill="auto"/>
            <w:vAlign w:val="bottom"/>
            <w:hideMark/>
          </w:tcPr>
          <w:p w14:paraId="2146112B" w14:textId="77777777" w:rsidR="008523B9" w:rsidRPr="000B4E2C" w:rsidRDefault="008523B9" w:rsidP="00A908B8">
            <w:pPr>
              <w:rPr>
                <w:rFonts w:cstheme="minorHAnsi"/>
                <w:b/>
                <w:bCs/>
                <w:color w:val="000000"/>
                <w:sz w:val="18"/>
                <w:szCs w:val="18"/>
                <w:lang w:eastAsia="en-GB"/>
              </w:rPr>
            </w:pPr>
            <w:r w:rsidRPr="000B4E2C">
              <w:rPr>
                <w:rFonts w:cstheme="minorHAnsi"/>
                <w:b/>
                <w:bCs/>
                <w:sz w:val="18"/>
                <w:szCs w:val="18"/>
                <w:lang w:eastAsia="en-GB"/>
              </w:rPr>
              <w:t>Age</w:t>
            </w:r>
          </w:p>
        </w:tc>
        <w:tc>
          <w:tcPr>
            <w:tcW w:w="0" w:type="auto"/>
            <w:shd w:val="clear" w:color="auto" w:fill="auto"/>
            <w:vAlign w:val="bottom"/>
            <w:hideMark/>
          </w:tcPr>
          <w:p w14:paraId="180D7085" w14:textId="77777777" w:rsidR="008523B9" w:rsidRPr="000B4E2C" w:rsidRDefault="008523B9" w:rsidP="00A908B8">
            <w:pPr>
              <w:rPr>
                <w:rFonts w:cstheme="minorHAnsi"/>
                <w:b/>
                <w:bCs/>
                <w:color w:val="000000"/>
                <w:sz w:val="18"/>
                <w:szCs w:val="18"/>
                <w:lang w:eastAsia="en-GB"/>
              </w:rPr>
            </w:pPr>
            <w:r w:rsidRPr="000B4E2C">
              <w:rPr>
                <w:rFonts w:cstheme="minorHAnsi"/>
                <w:b/>
                <w:bCs/>
                <w:sz w:val="18"/>
                <w:szCs w:val="18"/>
                <w:lang w:eastAsia="en-GB"/>
              </w:rPr>
              <w:t>Proportion male</w:t>
            </w:r>
          </w:p>
        </w:tc>
        <w:tc>
          <w:tcPr>
            <w:tcW w:w="0" w:type="auto"/>
            <w:shd w:val="clear" w:color="auto" w:fill="auto"/>
            <w:vAlign w:val="bottom"/>
            <w:hideMark/>
          </w:tcPr>
          <w:p w14:paraId="56A2663F" w14:textId="77777777" w:rsidR="008523B9" w:rsidRPr="000B4E2C" w:rsidRDefault="008523B9" w:rsidP="00A908B8">
            <w:pPr>
              <w:rPr>
                <w:rFonts w:cstheme="minorHAnsi"/>
                <w:b/>
                <w:bCs/>
                <w:color w:val="000000"/>
                <w:sz w:val="18"/>
                <w:szCs w:val="18"/>
                <w:lang w:eastAsia="en-GB"/>
              </w:rPr>
            </w:pPr>
            <w:r w:rsidRPr="000B4E2C">
              <w:rPr>
                <w:rFonts w:cstheme="minorHAnsi"/>
                <w:b/>
                <w:bCs/>
                <w:sz w:val="18"/>
                <w:szCs w:val="18"/>
                <w:lang w:eastAsia="en-GB"/>
              </w:rPr>
              <w:t>Utility values reported</w:t>
            </w:r>
          </w:p>
        </w:tc>
        <w:tc>
          <w:tcPr>
            <w:tcW w:w="0" w:type="auto"/>
            <w:shd w:val="clear" w:color="auto" w:fill="auto"/>
            <w:vAlign w:val="bottom"/>
            <w:hideMark/>
          </w:tcPr>
          <w:p w14:paraId="2F39671D" w14:textId="77777777" w:rsidR="008523B9" w:rsidRPr="000B4E2C" w:rsidRDefault="008523B9" w:rsidP="00A908B8">
            <w:pPr>
              <w:rPr>
                <w:rFonts w:cstheme="minorHAnsi"/>
                <w:b/>
                <w:bCs/>
                <w:color w:val="000000"/>
                <w:sz w:val="18"/>
                <w:szCs w:val="18"/>
                <w:lang w:eastAsia="en-GB"/>
              </w:rPr>
            </w:pPr>
            <w:r w:rsidRPr="000B4E2C">
              <w:rPr>
                <w:rFonts w:cstheme="minorHAnsi"/>
                <w:b/>
                <w:bCs/>
                <w:sz w:val="18"/>
                <w:szCs w:val="18"/>
                <w:lang w:eastAsia="en-GB"/>
              </w:rPr>
              <w:t>Mean</w:t>
            </w:r>
          </w:p>
        </w:tc>
        <w:tc>
          <w:tcPr>
            <w:tcW w:w="0" w:type="auto"/>
            <w:shd w:val="clear" w:color="auto" w:fill="auto"/>
            <w:vAlign w:val="bottom"/>
            <w:hideMark/>
          </w:tcPr>
          <w:p w14:paraId="48359069" w14:textId="77777777" w:rsidR="008523B9" w:rsidRPr="000B4E2C" w:rsidRDefault="008523B9" w:rsidP="00A908B8">
            <w:pPr>
              <w:rPr>
                <w:rFonts w:cstheme="minorHAnsi"/>
                <w:b/>
                <w:bCs/>
                <w:color w:val="000000"/>
                <w:sz w:val="18"/>
                <w:szCs w:val="18"/>
                <w:lang w:eastAsia="en-GB"/>
              </w:rPr>
            </w:pPr>
            <w:r w:rsidRPr="000B4E2C">
              <w:rPr>
                <w:rFonts w:cstheme="minorHAnsi"/>
                <w:b/>
                <w:bCs/>
                <w:sz w:val="18"/>
                <w:szCs w:val="18"/>
                <w:lang w:eastAsia="en-GB"/>
              </w:rPr>
              <w:t>Median</w:t>
            </w:r>
          </w:p>
        </w:tc>
        <w:tc>
          <w:tcPr>
            <w:tcW w:w="0" w:type="auto"/>
            <w:shd w:val="clear" w:color="auto" w:fill="auto"/>
            <w:vAlign w:val="bottom"/>
            <w:hideMark/>
          </w:tcPr>
          <w:p w14:paraId="49F1F3EC" w14:textId="77777777" w:rsidR="008523B9" w:rsidRPr="000B4E2C" w:rsidRDefault="008523B9" w:rsidP="00A908B8">
            <w:pPr>
              <w:rPr>
                <w:rFonts w:cstheme="minorHAnsi"/>
                <w:b/>
                <w:bCs/>
                <w:color w:val="000000"/>
                <w:sz w:val="18"/>
                <w:szCs w:val="18"/>
                <w:lang w:eastAsia="en-GB"/>
              </w:rPr>
            </w:pPr>
            <w:r w:rsidRPr="000B4E2C">
              <w:rPr>
                <w:rFonts w:cstheme="minorHAnsi"/>
                <w:b/>
                <w:bCs/>
                <w:sz w:val="18"/>
                <w:szCs w:val="18"/>
                <w:lang w:eastAsia="en-GB"/>
              </w:rPr>
              <w:t>SE</w:t>
            </w:r>
          </w:p>
        </w:tc>
        <w:tc>
          <w:tcPr>
            <w:tcW w:w="0" w:type="auto"/>
            <w:shd w:val="clear" w:color="auto" w:fill="auto"/>
            <w:vAlign w:val="bottom"/>
            <w:hideMark/>
          </w:tcPr>
          <w:p w14:paraId="62276E2A" w14:textId="77777777" w:rsidR="008523B9" w:rsidRPr="000B4E2C" w:rsidRDefault="008523B9" w:rsidP="00A908B8">
            <w:pPr>
              <w:rPr>
                <w:rFonts w:cstheme="minorHAnsi"/>
                <w:b/>
                <w:bCs/>
                <w:color w:val="000000"/>
                <w:sz w:val="18"/>
                <w:szCs w:val="18"/>
                <w:lang w:eastAsia="en-GB"/>
              </w:rPr>
            </w:pPr>
            <w:r w:rsidRPr="000B4E2C">
              <w:rPr>
                <w:rFonts w:cstheme="minorHAnsi"/>
                <w:b/>
                <w:bCs/>
                <w:sz w:val="18"/>
                <w:szCs w:val="18"/>
                <w:lang w:eastAsia="en-GB"/>
              </w:rPr>
              <w:t>SD</w:t>
            </w:r>
          </w:p>
        </w:tc>
        <w:tc>
          <w:tcPr>
            <w:tcW w:w="0" w:type="auto"/>
            <w:shd w:val="clear" w:color="auto" w:fill="auto"/>
            <w:vAlign w:val="bottom"/>
            <w:hideMark/>
          </w:tcPr>
          <w:p w14:paraId="1DBA1B66" w14:textId="77777777" w:rsidR="008523B9" w:rsidRPr="000B4E2C" w:rsidRDefault="008523B9" w:rsidP="00A908B8">
            <w:pPr>
              <w:rPr>
                <w:rFonts w:cstheme="minorHAnsi"/>
                <w:b/>
                <w:bCs/>
                <w:color w:val="000000"/>
                <w:sz w:val="18"/>
                <w:szCs w:val="18"/>
                <w:lang w:eastAsia="en-GB"/>
              </w:rPr>
            </w:pPr>
            <w:r w:rsidRPr="000B4E2C">
              <w:rPr>
                <w:rFonts w:cstheme="minorHAnsi"/>
                <w:b/>
                <w:bCs/>
                <w:sz w:val="18"/>
                <w:szCs w:val="18"/>
                <w:lang w:eastAsia="en-GB"/>
              </w:rPr>
              <w:t>CI low</w:t>
            </w:r>
          </w:p>
        </w:tc>
        <w:tc>
          <w:tcPr>
            <w:tcW w:w="0" w:type="auto"/>
            <w:shd w:val="clear" w:color="auto" w:fill="auto"/>
            <w:vAlign w:val="bottom"/>
            <w:hideMark/>
          </w:tcPr>
          <w:p w14:paraId="07B9DF3E" w14:textId="77777777" w:rsidR="008523B9" w:rsidRPr="000B4E2C" w:rsidRDefault="008523B9" w:rsidP="00A908B8">
            <w:pPr>
              <w:rPr>
                <w:rFonts w:cstheme="minorHAnsi"/>
                <w:b/>
                <w:bCs/>
                <w:color w:val="000000"/>
                <w:sz w:val="18"/>
                <w:szCs w:val="18"/>
                <w:lang w:eastAsia="en-GB"/>
              </w:rPr>
            </w:pPr>
            <w:r w:rsidRPr="000B4E2C">
              <w:rPr>
                <w:rFonts w:cstheme="minorHAnsi"/>
                <w:b/>
                <w:bCs/>
                <w:sz w:val="18"/>
                <w:szCs w:val="18"/>
                <w:lang w:eastAsia="en-GB"/>
              </w:rPr>
              <w:t>CI high</w:t>
            </w:r>
          </w:p>
        </w:tc>
        <w:tc>
          <w:tcPr>
            <w:tcW w:w="0" w:type="auto"/>
            <w:shd w:val="clear" w:color="auto" w:fill="auto"/>
            <w:vAlign w:val="bottom"/>
            <w:hideMark/>
          </w:tcPr>
          <w:p w14:paraId="00B5F012" w14:textId="77777777" w:rsidR="008523B9" w:rsidRPr="000B4E2C" w:rsidRDefault="008523B9" w:rsidP="00A908B8">
            <w:pPr>
              <w:rPr>
                <w:rFonts w:cstheme="minorHAnsi"/>
                <w:b/>
                <w:bCs/>
                <w:color w:val="000000"/>
                <w:sz w:val="18"/>
                <w:szCs w:val="18"/>
                <w:lang w:eastAsia="en-GB"/>
              </w:rPr>
            </w:pPr>
            <w:r w:rsidRPr="000B4E2C">
              <w:rPr>
                <w:rFonts w:cstheme="minorHAnsi"/>
                <w:b/>
                <w:bCs/>
                <w:sz w:val="18"/>
                <w:szCs w:val="18"/>
                <w:lang w:eastAsia="en-GB"/>
              </w:rPr>
              <w:t>IQR low</w:t>
            </w:r>
          </w:p>
        </w:tc>
        <w:tc>
          <w:tcPr>
            <w:tcW w:w="0" w:type="auto"/>
            <w:shd w:val="clear" w:color="auto" w:fill="auto"/>
            <w:vAlign w:val="bottom"/>
            <w:hideMark/>
          </w:tcPr>
          <w:p w14:paraId="5EC78BE6" w14:textId="77777777" w:rsidR="008523B9" w:rsidRPr="000B4E2C" w:rsidRDefault="008523B9" w:rsidP="00A908B8">
            <w:pPr>
              <w:rPr>
                <w:rFonts w:cstheme="minorHAnsi"/>
                <w:b/>
                <w:bCs/>
                <w:sz w:val="18"/>
                <w:szCs w:val="18"/>
                <w:lang w:eastAsia="en-GB"/>
              </w:rPr>
            </w:pPr>
            <w:r w:rsidRPr="000B4E2C">
              <w:rPr>
                <w:rFonts w:cstheme="minorHAnsi"/>
                <w:b/>
                <w:bCs/>
                <w:sz w:val="18"/>
                <w:szCs w:val="18"/>
                <w:lang w:eastAsia="en-GB"/>
              </w:rPr>
              <w:t>IQR high</w:t>
            </w:r>
          </w:p>
        </w:tc>
      </w:tr>
      <w:tr w:rsidR="000B4E2C" w:rsidRPr="000B4E2C" w14:paraId="2E08C4E7" w14:textId="77777777" w:rsidTr="000B4E2C">
        <w:trPr>
          <w:cantSplit/>
          <w:tblHeader/>
        </w:trPr>
        <w:tc>
          <w:tcPr>
            <w:tcW w:w="0" w:type="auto"/>
            <w:shd w:val="clear" w:color="auto" w:fill="auto"/>
            <w:vAlign w:val="bottom"/>
            <w:hideMark/>
          </w:tcPr>
          <w:p w14:paraId="74247E3C" w14:textId="025B7CCB"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Chang</w:t>
            </w:r>
            <w:r w:rsidR="00280A97" w:rsidRPr="000B4E2C">
              <w:rPr>
                <w:rFonts w:cstheme="minorHAnsi"/>
                <w:noProof/>
                <w:sz w:val="18"/>
                <w:szCs w:val="18"/>
                <w:vertAlign w:val="superscript"/>
                <w:lang w:eastAsia="en-GB"/>
              </w:rPr>
              <w:t>154</w:t>
            </w:r>
          </w:p>
        </w:tc>
        <w:tc>
          <w:tcPr>
            <w:tcW w:w="0" w:type="auto"/>
            <w:shd w:val="clear" w:color="auto" w:fill="auto"/>
            <w:vAlign w:val="bottom"/>
            <w:hideMark/>
          </w:tcPr>
          <w:p w14:paraId="370BCA85" w14:textId="77777777" w:rsidR="008523B9" w:rsidRPr="000B4E2C" w:rsidRDefault="008523B9" w:rsidP="00A908B8">
            <w:pPr>
              <w:jc w:val="right"/>
              <w:rPr>
                <w:rFonts w:cstheme="minorHAnsi"/>
                <w:color w:val="000000"/>
                <w:sz w:val="18"/>
                <w:szCs w:val="18"/>
                <w:lang w:eastAsia="en-GB"/>
              </w:rPr>
            </w:pPr>
            <w:r w:rsidRPr="000B4E2C">
              <w:rPr>
                <w:rFonts w:cstheme="minorHAnsi"/>
                <w:sz w:val="18"/>
                <w:szCs w:val="18"/>
                <w:lang w:eastAsia="en-GB"/>
              </w:rPr>
              <w:t>2016</w:t>
            </w:r>
          </w:p>
        </w:tc>
        <w:tc>
          <w:tcPr>
            <w:tcW w:w="0" w:type="auto"/>
            <w:shd w:val="clear" w:color="auto" w:fill="auto"/>
            <w:vAlign w:val="bottom"/>
            <w:hideMark/>
          </w:tcPr>
          <w:p w14:paraId="5A651A92"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ESRD with PD and HD</w:t>
            </w:r>
          </w:p>
        </w:tc>
        <w:tc>
          <w:tcPr>
            <w:tcW w:w="0" w:type="auto"/>
            <w:shd w:val="clear" w:color="auto" w:fill="auto"/>
            <w:vAlign w:val="bottom"/>
            <w:hideMark/>
          </w:tcPr>
          <w:p w14:paraId="73B92D1A"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Taiwan</w:t>
            </w:r>
          </w:p>
        </w:tc>
        <w:tc>
          <w:tcPr>
            <w:tcW w:w="0" w:type="auto"/>
            <w:shd w:val="clear" w:color="auto" w:fill="auto"/>
            <w:vAlign w:val="bottom"/>
            <w:hideMark/>
          </w:tcPr>
          <w:p w14:paraId="22042506" w14:textId="69F8475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vAlign w:val="bottom"/>
            <w:hideMark/>
          </w:tcPr>
          <w:p w14:paraId="140D2449"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 xml:space="preserve">UK </w:t>
            </w:r>
          </w:p>
        </w:tc>
        <w:tc>
          <w:tcPr>
            <w:tcW w:w="0" w:type="auto"/>
            <w:shd w:val="clear" w:color="auto" w:fill="auto"/>
            <w:vAlign w:val="bottom"/>
            <w:hideMark/>
          </w:tcPr>
          <w:p w14:paraId="5735B479" w14:textId="29CB9B78"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Total: 1687</w:t>
            </w:r>
            <w:r w:rsidR="000B4E2C" w:rsidRPr="000B4E2C">
              <w:rPr>
                <w:rFonts w:cstheme="minorHAnsi"/>
                <w:sz w:val="18"/>
                <w:szCs w:val="18"/>
                <w:lang w:eastAsia="en-GB"/>
              </w:rPr>
              <w:t xml:space="preserve"> </w:t>
            </w:r>
            <w:r w:rsidRPr="000B4E2C">
              <w:rPr>
                <w:rFonts w:cstheme="minorHAnsi"/>
                <w:sz w:val="18"/>
                <w:szCs w:val="18"/>
                <w:lang w:eastAsia="en-GB"/>
              </w:rPr>
              <w:t>HD: 1403</w:t>
            </w:r>
            <w:r w:rsidR="000B4E2C" w:rsidRPr="000B4E2C">
              <w:rPr>
                <w:rFonts w:cstheme="minorHAnsi"/>
                <w:sz w:val="18"/>
                <w:szCs w:val="18"/>
                <w:lang w:eastAsia="en-GB"/>
              </w:rPr>
              <w:t xml:space="preserve"> </w:t>
            </w:r>
            <w:r w:rsidRPr="000B4E2C">
              <w:rPr>
                <w:rFonts w:cstheme="minorHAnsi"/>
                <w:sz w:val="18"/>
                <w:szCs w:val="18"/>
                <w:lang w:eastAsia="en-GB"/>
              </w:rPr>
              <w:t>PD: 284</w:t>
            </w:r>
          </w:p>
        </w:tc>
        <w:tc>
          <w:tcPr>
            <w:tcW w:w="0" w:type="auto"/>
            <w:shd w:val="clear" w:color="auto" w:fill="auto"/>
            <w:vAlign w:val="bottom"/>
            <w:hideMark/>
          </w:tcPr>
          <w:p w14:paraId="42596963" w14:textId="140FBA49"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Total: NR</w:t>
            </w:r>
            <w:r w:rsidR="000B4E2C" w:rsidRPr="000B4E2C">
              <w:rPr>
                <w:rFonts w:cstheme="minorHAnsi"/>
                <w:sz w:val="18"/>
                <w:szCs w:val="18"/>
                <w:lang w:eastAsia="en-GB"/>
              </w:rPr>
              <w:t xml:space="preserve"> </w:t>
            </w:r>
            <w:r w:rsidRPr="000B4E2C">
              <w:rPr>
                <w:rFonts w:cstheme="minorHAnsi"/>
                <w:sz w:val="18"/>
                <w:szCs w:val="18"/>
                <w:lang w:eastAsia="en-GB"/>
              </w:rPr>
              <w:t>HD: 57.1 (13.6)</w:t>
            </w:r>
            <w:r w:rsidR="000B4E2C" w:rsidRPr="000B4E2C">
              <w:rPr>
                <w:rFonts w:cstheme="minorHAnsi"/>
                <w:sz w:val="18"/>
                <w:szCs w:val="18"/>
                <w:lang w:eastAsia="en-GB"/>
              </w:rPr>
              <w:t xml:space="preserve"> </w:t>
            </w:r>
            <w:r w:rsidRPr="000B4E2C">
              <w:rPr>
                <w:rFonts w:cstheme="minorHAnsi"/>
                <w:sz w:val="18"/>
                <w:szCs w:val="18"/>
                <w:lang w:eastAsia="en-GB"/>
              </w:rPr>
              <w:t>PD: 46.7 (13.2)</w:t>
            </w:r>
          </w:p>
        </w:tc>
        <w:tc>
          <w:tcPr>
            <w:tcW w:w="0" w:type="auto"/>
            <w:shd w:val="clear" w:color="auto" w:fill="auto"/>
            <w:vAlign w:val="bottom"/>
            <w:hideMark/>
          </w:tcPr>
          <w:p w14:paraId="7B2CD639" w14:textId="1991D332"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HD: 49.9%</w:t>
            </w:r>
            <w:r w:rsidR="000B4E2C" w:rsidRPr="000B4E2C">
              <w:rPr>
                <w:rFonts w:cstheme="minorHAnsi"/>
                <w:sz w:val="18"/>
                <w:szCs w:val="18"/>
                <w:lang w:eastAsia="en-GB"/>
              </w:rPr>
              <w:t xml:space="preserve"> </w:t>
            </w:r>
            <w:r w:rsidRPr="000B4E2C">
              <w:rPr>
                <w:rFonts w:cstheme="minorHAnsi"/>
                <w:sz w:val="18"/>
                <w:szCs w:val="18"/>
                <w:lang w:eastAsia="en-GB"/>
              </w:rPr>
              <w:t>PD: 51.1%</w:t>
            </w:r>
          </w:p>
        </w:tc>
        <w:tc>
          <w:tcPr>
            <w:tcW w:w="0" w:type="auto"/>
            <w:shd w:val="clear" w:color="auto" w:fill="auto"/>
            <w:vAlign w:val="bottom"/>
            <w:hideMark/>
          </w:tcPr>
          <w:p w14:paraId="0223520E" w14:textId="1D961442"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HD</w:t>
            </w:r>
            <w:r w:rsidR="000B4E2C" w:rsidRPr="000B4E2C">
              <w:rPr>
                <w:rFonts w:cstheme="minorHAnsi"/>
                <w:sz w:val="18"/>
                <w:szCs w:val="18"/>
                <w:lang w:eastAsia="en-GB"/>
              </w:rPr>
              <w:t xml:space="preserve"> </w:t>
            </w:r>
            <w:r w:rsidRPr="000B4E2C">
              <w:rPr>
                <w:rFonts w:cstheme="minorHAnsi"/>
                <w:sz w:val="18"/>
                <w:szCs w:val="18"/>
                <w:lang w:eastAsia="en-GB"/>
              </w:rPr>
              <w:t>PD</w:t>
            </w:r>
          </w:p>
        </w:tc>
        <w:tc>
          <w:tcPr>
            <w:tcW w:w="0" w:type="auto"/>
            <w:shd w:val="clear" w:color="auto" w:fill="auto"/>
            <w:vAlign w:val="bottom"/>
            <w:hideMark/>
          </w:tcPr>
          <w:p w14:paraId="200F949E" w14:textId="3FF7E715"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0.83</w:t>
            </w:r>
            <w:r w:rsidR="000B4E2C" w:rsidRPr="000B4E2C">
              <w:rPr>
                <w:rFonts w:cstheme="minorHAnsi"/>
                <w:sz w:val="18"/>
                <w:szCs w:val="18"/>
                <w:lang w:eastAsia="en-GB"/>
              </w:rPr>
              <w:t xml:space="preserve"> </w:t>
            </w:r>
            <w:r w:rsidRPr="000B4E2C">
              <w:rPr>
                <w:rFonts w:cstheme="minorHAnsi"/>
                <w:sz w:val="18"/>
                <w:szCs w:val="18"/>
                <w:lang w:eastAsia="en-GB"/>
              </w:rPr>
              <w:t>0.90</w:t>
            </w:r>
          </w:p>
        </w:tc>
        <w:tc>
          <w:tcPr>
            <w:tcW w:w="0" w:type="auto"/>
            <w:shd w:val="clear" w:color="auto" w:fill="auto"/>
            <w:vAlign w:val="bottom"/>
            <w:hideMark/>
          </w:tcPr>
          <w:p w14:paraId="10C5275A" w14:textId="37AE09E2"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768369C7" w14:textId="77777777" w:rsidR="008523B9" w:rsidRPr="000B4E2C" w:rsidRDefault="008523B9" w:rsidP="00A908B8">
            <w:pPr>
              <w:rPr>
                <w:rFonts w:cstheme="minorHAnsi"/>
                <w:color w:val="000000"/>
                <w:sz w:val="18"/>
                <w:szCs w:val="18"/>
                <w:lang w:eastAsia="en-GB"/>
              </w:rPr>
            </w:pPr>
          </w:p>
        </w:tc>
        <w:tc>
          <w:tcPr>
            <w:tcW w:w="0" w:type="auto"/>
            <w:shd w:val="clear" w:color="auto" w:fill="auto"/>
            <w:vAlign w:val="bottom"/>
            <w:hideMark/>
          </w:tcPr>
          <w:p w14:paraId="2A7DFF70" w14:textId="6548CE2C"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r w:rsidR="008523B9" w:rsidRPr="000B4E2C">
              <w:rPr>
                <w:rFonts w:cstheme="minorHAnsi"/>
                <w:sz w:val="18"/>
                <w:szCs w:val="18"/>
                <w:lang w:eastAsia="en-GB"/>
              </w:rPr>
              <w:t>0.19</w:t>
            </w:r>
            <w:r w:rsidRPr="000B4E2C">
              <w:rPr>
                <w:rFonts w:cstheme="minorHAnsi"/>
                <w:sz w:val="18"/>
                <w:szCs w:val="18"/>
                <w:lang w:eastAsia="en-GB"/>
              </w:rPr>
              <w:t xml:space="preserve"> </w:t>
            </w:r>
            <w:r w:rsidR="008523B9" w:rsidRPr="000B4E2C">
              <w:rPr>
                <w:rFonts w:cstheme="minorHAnsi"/>
                <w:sz w:val="18"/>
                <w:szCs w:val="18"/>
                <w:lang w:eastAsia="en-GB"/>
              </w:rPr>
              <w:t>0.16</w:t>
            </w:r>
          </w:p>
        </w:tc>
        <w:tc>
          <w:tcPr>
            <w:tcW w:w="0" w:type="auto"/>
            <w:shd w:val="clear" w:color="auto" w:fill="auto"/>
            <w:vAlign w:val="bottom"/>
            <w:hideMark/>
          </w:tcPr>
          <w:p w14:paraId="3EBD472D" w14:textId="34CD626D"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7E605ADE" w14:textId="7F89D121"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518AE877" w14:textId="6D04212A"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5904F3C5" w14:textId="103CDB72" w:rsidR="008523B9" w:rsidRPr="000B4E2C" w:rsidRDefault="000B4E2C" w:rsidP="00A908B8">
            <w:pPr>
              <w:rPr>
                <w:rFonts w:cstheme="minorHAnsi"/>
                <w:sz w:val="18"/>
                <w:szCs w:val="18"/>
                <w:lang w:eastAsia="en-GB"/>
              </w:rPr>
            </w:pPr>
            <w:r w:rsidRPr="000B4E2C">
              <w:rPr>
                <w:rFonts w:cstheme="minorHAnsi"/>
                <w:sz w:val="18"/>
                <w:szCs w:val="18"/>
                <w:lang w:eastAsia="en-GB"/>
              </w:rPr>
              <w:t xml:space="preserve"> </w:t>
            </w:r>
          </w:p>
        </w:tc>
      </w:tr>
      <w:tr w:rsidR="000B4E2C" w:rsidRPr="000B4E2C" w14:paraId="56CA4935" w14:textId="77777777" w:rsidTr="000B4E2C">
        <w:trPr>
          <w:cantSplit/>
          <w:tblHeader/>
        </w:trPr>
        <w:tc>
          <w:tcPr>
            <w:tcW w:w="0" w:type="auto"/>
            <w:shd w:val="clear" w:color="auto" w:fill="auto"/>
            <w:vAlign w:val="bottom"/>
            <w:hideMark/>
          </w:tcPr>
          <w:p w14:paraId="2176A0D2" w14:textId="5E2E8C33"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Jesky</w:t>
            </w:r>
            <w:r w:rsidR="00280A97" w:rsidRPr="000B4E2C">
              <w:rPr>
                <w:rFonts w:cstheme="minorHAnsi"/>
                <w:noProof/>
                <w:sz w:val="18"/>
                <w:szCs w:val="18"/>
                <w:vertAlign w:val="superscript"/>
                <w:lang w:eastAsia="en-GB"/>
              </w:rPr>
              <w:t>155</w:t>
            </w:r>
          </w:p>
        </w:tc>
        <w:tc>
          <w:tcPr>
            <w:tcW w:w="0" w:type="auto"/>
            <w:shd w:val="clear" w:color="auto" w:fill="auto"/>
            <w:vAlign w:val="bottom"/>
            <w:hideMark/>
          </w:tcPr>
          <w:p w14:paraId="5F045607" w14:textId="77777777" w:rsidR="008523B9" w:rsidRPr="000B4E2C" w:rsidRDefault="008523B9" w:rsidP="00A908B8">
            <w:pPr>
              <w:jc w:val="right"/>
              <w:rPr>
                <w:rFonts w:cstheme="minorHAnsi"/>
                <w:color w:val="000000"/>
                <w:sz w:val="18"/>
                <w:szCs w:val="18"/>
                <w:lang w:eastAsia="en-GB"/>
              </w:rPr>
            </w:pPr>
            <w:r w:rsidRPr="000B4E2C">
              <w:rPr>
                <w:rFonts w:cstheme="minorHAnsi"/>
                <w:sz w:val="18"/>
                <w:szCs w:val="18"/>
                <w:lang w:eastAsia="en-GB"/>
              </w:rPr>
              <w:t>2016</w:t>
            </w:r>
          </w:p>
        </w:tc>
        <w:tc>
          <w:tcPr>
            <w:tcW w:w="0" w:type="auto"/>
            <w:shd w:val="clear" w:color="auto" w:fill="auto"/>
            <w:vAlign w:val="bottom"/>
            <w:hideMark/>
          </w:tcPr>
          <w:p w14:paraId="44653E28"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pre-dialysis CKD (as per NICE guidance, CKD, 2008)</w:t>
            </w:r>
          </w:p>
        </w:tc>
        <w:tc>
          <w:tcPr>
            <w:tcW w:w="0" w:type="auto"/>
            <w:shd w:val="clear" w:color="auto" w:fill="auto"/>
            <w:vAlign w:val="bottom"/>
            <w:hideMark/>
          </w:tcPr>
          <w:p w14:paraId="7B0E68C8"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vAlign w:val="bottom"/>
            <w:hideMark/>
          </w:tcPr>
          <w:p w14:paraId="72D6C234" w14:textId="1374425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vAlign w:val="bottom"/>
            <w:hideMark/>
          </w:tcPr>
          <w:p w14:paraId="33E54758"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vAlign w:val="bottom"/>
            <w:hideMark/>
          </w:tcPr>
          <w:p w14:paraId="7DEEB795" w14:textId="4131F21F"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All CKD: 745</w:t>
            </w:r>
            <w:r w:rsidR="000B4E2C" w:rsidRPr="000B4E2C">
              <w:rPr>
                <w:rFonts w:cstheme="minorHAnsi"/>
                <w:sz w:val="18"/>
                <w:szCs w:val="18"/>
                <w:lang w:eastAsia="en-GB"/>
              </w:rPr>
              <w:t xml:space="preserve"> </w:t>
            </w:r>
            <w:r w:rsidRPr="000B4E2C">
              <w:rPr>
                <w:rFonts w:cstheme="minorHAnsi"/>
                <w:sz w:val="18"/>
                <w:szCs w:val="18"/>
                <w:lang w:eastAsia="en-GB"/>
              </w:rPr>
              <w:t>G1/2: 29</w:t>
            </w:r>
            <w:r w:rsidR="000B4E2C" w:rsidRPr="000B4E2C">
              <w:rPr>
                <w:rFonts w:cstheme="minorHAnsi"/>
                <w:sz w:val="18"/>
                <w:szCs w:val="18"/>
                <w:lang w:eastAsia="en-GB"/>
              </w:rPr>
              <w:t xml:space="preserve"> </w:t>
            </w:r>
            <w:r w:rsidRPr="000B4E2C">
              <w:rPr>
                <w:rFonts w:cstheme="minorHAnsi"/>
                <w:sz w:val="18"/>
                <w:szCs w:val="18"/>
                <w:lang w:eastAsia="en-GB"/>
              </w:rPr>
              <w:t>G3a: 45</w:t>
            </w:r>
            <w:r w:rsidR="000B4E2C" w:rsidRPr="000B4E2C">
              <w:rPr>
                <w:rFonts w:cstheme="minorHAnsi"/>
                <w:sz w:val="18"/>
                <w:szCs w:val="18"/>
                <w:lang w:eastAsia="en-GB"/>
              </w:rPr>
              <w:t xml:space="preserve"> </w:t>
            </w:r>
            <w:r w:rsidRPr="000B4E2C">
              <w:rPr>
                <w:rFonts w:cstheme="minorHAnsi"/>
                <w:sz w:val="18"/>
                <w:szCs w:val="18"/>
                <w:lang w:eastAsia="en-GB"/>
              </w:rPr>
              <w:t>G3b: 173</w:t>
            </w:r>
            <w:r w:rsidR="000B4E2C" w:rsidRPr="000B4E2C">
              <w:rPr>
                <w:rFonts w:cstheme="minorHAnsi"/>
                <w:sz w:val="18"/>
                <w:szCs w:val="18"/>
                <w:lang w:eastAsia="en-GB"/>
              </w:rPr>
              <w:t xml:space="preserve"> </w:t>
            </w:r>
            <w:r w:rsidRPr="000B4E2C">
              <w:rPr>
                <w:rFonts w:cstheme="minorHAnsi"/>
                <w:sz w:val="18"/>
                <w:szCs w:val="18"/>
                <w:lang w:eastAsia="en-GB"/>
              </w:rPr>
              <w:t>G4: 423</w:t>
            </w:r>
            <w:r w:rsidR="000B4E2C" w:rsidRPr="000B4E2C">
              <w:rPr>
                <w:rFonts w:cstheme="minorHAnsi"/>
                <w:sz w:val="18"/>
                <w:szCs w:val="18"/>
                <w:lang w:eastAsia="en-GB"/>
              </w:rPr>
              <w:t xml:space="preserve"> </w:t>
            </w:r>
            <w:r w:rsidRPr="000B4E2C">
              <w:rPr>
                <w:rFonts w:cstheme="minorHAnsi"/>
                <w:sz w:val="18"/>
                <w:szCs w:val="18"/>
                <w:lang w:eastAsia="en-GB"/>
              </w:rPr>
              <w:t>G5: 75</w:t>
            </w:r>
          </w:p>
        </w:tc>
        <w:tc>
          <w:tcPr>
            <w:tcW w:w="0" w:type="auto"/>
            <w:shd w:val="clear" w:color="auto" w:fill="auto"/>
            <w:vAlign w:val="bottom"/>
            <w:hideMark/>
          </w:tcPr>
          <w:p w14:paraId="4A05CD4F" w14:textId="77777777" w:rsidR="008523B9" w:rsidRPr="000B4E2C" w:rsidRDefault="008523B9" w:rsidP="00A908B8">
            <w:pPr>
              <w:rPr>
                <w:rFonts w:cstheme="minorHAnsi"/>
                <w:sz w:val="18"/>
                <w:szCs w:val="18"/>
                <w:u w:val="single"/>
                <w:lang w:eastAsia="en-GB"/>
              </w:rPr>
            </w:pPr>
            <w:r w:rsidRPr="000B4E2C">
              <w:rPr>
                <w:rFonts w:cstheme="minorHAnsi"/>
                <w:sz w:val="18"/>
                <w:szCs w:val="18"/>
                <w:u w:val="single"/>
                <w:lang w:eastAsia="en-GB"/>
              </w:rPr>
              <w:t>Median (IQR)</w:t>
            </w:r>
          </w:p>
          <w:p w14:paraId="5BA2250B" w14:textId="71E3BAB5"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All CKD 64; (50</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7</w:t>
            </w:r>
            <w:r w:rsidRPr="000B4E2C">
              <w:rPr>
                <w:rFonts w:cstheme="minorHAnsi"/>
                <w:sz w:val="18"/>
                <w:szCs w:val="18"/>
                <w:lang w:eastAsia="en-GB"/>
              </w:rPr>
              <w:t>6)</w:t>
            </w:r>
            <w:r w:rsidR="000B4E2C" w:rsidRPr="000B4E2C">
              <w:rPr>
                <w:rFonts w:cstheme="minorHAnsi"/>
                <w:sz w:val="18"/>
                <w:szCs w:val="18"/>
                <w:lang w:eastAsia="en-GB"/>
              </w:rPr>
              <w:t xml:space="preserve"> </w:t>
            </w:r>
            <w:r w:rsidRPr="000B4E2C">
              <w:rPr>
                <w:rFonts w:cstheme="minorHAnsi"/>
                <w:sz w:val="18"/>
                <w:szCs w:val="18"/>
                <w:lang w:eastAsia="en-GB"/>
              </w:rPr>
              <w:t>G1/2 41; (34.5</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w:t>
            </w:r>
            <w:r w:rsidRPr="000B4E2C">
              <w:rPr>
                <w:rFonts w:cstheme="minorHAnsi"/>
                <w:sz w:val="18"/>
                <w:szCs w:val="18"/>
                <w:lang w:eastAsia="en-GB"/>
              </w:rPr>
              <w:t>5.5)</w:t>
            </w:r>
            <w:r w:rsidR="000B4E2C" w:rsidRPr="000B4E2C">
              <w:rPr>
                <w:rFonts w:cstheme="minorHAnsi"/>
                <w:sz w:val="18"/>
                <w:szCs w:val="18"/>
                <w:lang w:eastAsia="en-GB"/>
              </w:rPr>
              <w:t xml:space="preserve"> </w:t>
            </w:r>
            <w:r w:rsidRPr="000B4E2C">
              <w:rPr>
                <w:rFonts w:cstheme="minorHAnsi"/>
                <w:sz w:val="18"/>
                <w:szCs w:val="18"/>
                <w:lang w:eastAsia="en-GB"/>
              </w:rPr>
              <w:t>G3a 55; (45</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6</w:t>
            </w:r>
            <w:r w:rsidRPr="000B4E2C">
              <w:rPr>
                <w:rFonts w:cstheme="minorHAnsi"/>
                <w:sz w:val="18"/>
                <w:szCs w:val="18"/>
                <w:lang w:eastAsia="en-GB"/>
              </w:rPr>
              <w:t>6.5)</w:t>
            </w:r>
            <w:r w:rsidR="000B4E2C" w:rsidRPr="000B4E2C">
              <w:rPr>
                <w:rFonts w:cstheme="minorHAnsi"/>
                <w:sz w:val="18"/>
                <w:szCs w:val="18"/>
                <w:lang w:eastAsia="en-GB"/>
              </w:rPr>
              <w:t xml:space="preserve"> </w:t>
            </w:r>
            <w:r w:rsidRPr="000B4E2C">
              <w:rPr>
                <w:rFonts w:cstheme="minorHAnsi"/>
                <w:sz w:val="18"/>
                <w:szCs w:val="18"/>
                <w:lang w:eastAsia="en-GB"/>
              </w:rPr>
              <w:t>G3b 61.5; (48.3</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7</w:t>
            </w:r>
            <w:r w:rsidRPr="000B4E2C">
              <w:rPr>
                <w:rFonts w:cstheme="minorHAnsi"/>
                <w:sz w:val="18"/>
                <w:szCs w:val="18"/>
                <w:lang w:eastAsia="en-GB"/>
              </w:rPr>
              <w:t>3.8)</w:t>
            </w:r>
            <w:r w:rsidR="000B4E2C" w:rsidRPr="000B4E2C">
              <w:rPr>
                <w:rFonts w:cstheme="minorHAnsi"/>
                <w:sz w:val="18"/>
                <w:szCs w:val="18"/>
                <w:lang w:eastAsia="en-GB"/>
              </w:rPr>
              <w:t xml:space="preserve"> </w:t>
            </w:r>
            <w:r w:rsidRPr="000B4E2C">
              <w:rPr>
                <w:rFonts w:cstheme="minorHAnsi"/>
                <w:sz w:val="18"/>
                <w:szCs w:val="18"/>
                <w:lang w:eastAsia="en-GB"/>
              </w:rPr>
              <w:t>G4: 69; (54</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7</w:t>
            </w:r>
            <w:r w:rsidRPr="000B4E2C">
              <w:rPr>
                <w:rFonts w:cstheme="minorHAnsi"/>
                <w:sz w:val="18"/>
                <w:szCs w:val="18"/>
                <w:lang w:eastAsia="en-GB"/>
              </w:rPr>
              <w:t>5.5)</w:t>
            </w:r>
            <w:r w:rsidR="000B4E2C" w:rsidRPr="000B4E2C">
              <w:rPr>
                <w:rFonts w:cstheme="minorHAnsi"/>
                <w:sz w:val="18"/>
                <w:szCs w:val="18"/>
                <w:lang w:eastAsia="en-GB"/>
              </w:rPr>
              <w:t xml:space="preserve"> </w:t>
            </w:r>
            <w:r w:rsidRPr="000B4E2C">
              <w:rPr>
                <w:rFonts w:cstheme="minorHAnsi"/>
                <w:sz w:val="18"/>
                <w:szCs w:val="18"/>
                <w:lang w:eastAsia="en-GB"/>
              </w:rPr>
              <w:t>G5: 64; (53.5</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7</w:t>
            </w:r>
            <w:r w:rsidRPr="000B4E2C">
              <w:rPr>
                <w:rFonts w:cstheme="minorHAnsi"/>
                <w:sz w:val="18"/>
                <w:szCs w:val="18"/>
                <w:lang w:eastAsia="en-GB"/>
              </w:rPr>
              <w:t>5.5)</w:t>
            </w:r>
          </w:p>
        </w:tc>
        <w:tc>
          <w:tcPr>
            <w:tcW w:w="0" w:type="auto"/>
            <w:shd w:val="clear" w:color="auto" w:fill="auto"/>
            <w:vAlign w:val="bottom"/>
            <w:hideMark/>
          </w:tcPr>
          <w:p w14:paraId="7673EC90" w14:textId="27DB74A1"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All CKD: 60.80%</w:t>
            </w:r>
            <w:r w:rsidR="000B4E2C" w:rsidRPr="000B4E2C">
              <w:rPr>
                <w:rFonts w:cstheme="minorHAnsi"/>
                <w:sz w:val="18"/>
                <w:szCs w:val="18"/>
                <w:lang w:eastAsia="en-GB"/>
              </w:rPr>
              <w:t xml:space="preserve"> </w:t>
            </w:r>
            <w:r w:rsidRPr="000B4E2C">
              <w:rPr>
                <w:rFonts w:cstheme="minorHAnsi"/>
                <w:sz w:val="18"/>
                <w:szCs w:val="18"/>
                <w:lang w:eastAsia="en-GB"/>
              </w:rPr>
              <w:t>G1/2: 65.52%</w:t>
            </w:r>
            <w:r w:rsidR="000B4E2C" w:rsidRPr="000B4E2C">
              <w:rPr>
                <w:rFonts w:cstheme="minorHAnsi"/>
                <w:sz w:val="18"/>
                <w:szCs w:val="18"/>
                <w:lang w:eastAsia="en-GB"/>
              </w:rPr>
              <w:t xml:space="preserve"> </w:t>
            </w:r>
            <w:r w:rsidRPr="000B4E2C">
              <w:rPr>
                <w:rFonts w:cstheme="minorHAnsi"/>
                <w:sz w:val="18"/>
                <w:szCs w:val="18"/>
                <w:lang w:eastAsia="en-GB"/>
              </w:rPr>
              <w:t>G3a: 71.11%</w:t>
            </w:r>
            <w:r w:rsidR="000B4E2C" w:rsidRPr="000B4E2C">
              <w:rPr>
                <w:rFonts w:cstheme="minorHAnsi"/>
                <w:sz w:val="18"/>
                <w:szCs w:val="18"/>
                <w:lang w:eastAsia="en-GB"/>
              </w:rPr>
              <w:t xml:space="preserve"> </w:t>
            </w:r>
            <w:r w:rsidRPr="000B4E2C">
              <w:rPr>
                <w:rFonts w:cstheme="minorHAnsi"/>
                <w:sz w:val="18"/>
                <w:szCs w:val="18"/>
                <w:lang w:eastAsia="en-GB"/>
              </w:rPr>
              <w:t>G3b: 66.86%</w:t>
            </w:r>
            <w:r w:rsidR="000B4E2C" w:rsidRPr="000B4E2C">
              <w:rPr>
                <w:rFonts w:cstheme="minorHAnsi"/>
                <w:sz w:val="18"/>
                <w:szCs w:val="18"/>
                <w:lang w:eastAsia="en-GB"/>
              </w:rPr>
              <w:t xml:space="preserve"> </w:t>
            </w:r>
            <w:r w:rsidRPr="000B4E2C">
              <w:rPr>
                <w:rFonts w:cstheme="minorHAnsi"/>
                <w:sz w:val="18"/>
                <w:szCs w:val="18"/>
                <w:lang w:eastAsia="en-GB"/>
              </w:rPr>
              <w:t>G4: 59.00%</w:t>
            </w:r>
            <w:r w:rsidR="000B4E2C" w:rsidRPr="000B4E2C">
              <w:rPr>
                <w:rFonts w:cstheme="minorHAnsi"/>
                <w:sz w:val="18"/>
                <w:szCs w:val="18"/>
                <w:lang w:eastAsia="en-GB"/>
              </w:rPr>
              <w:t xml:space="preserve"> </w:t>
            </w:r>
            <w:r w:rsidRPr="000B4E2C">
              <w:rPr>
                <w:rFonts w:cstheme="minorHAnsi"/>
                <w:sz w:val="18"/>
                <w:szCs w:val="18"/>
                <w:lang w:eastAsia="en-GB"/>
              </w:rPr>
              <w:t>G5: 49.35%</w:t>
            </w:r>
          </w:p>
        </w:tc>
        <w:tc>
          <w:tcPr>
            <w:tcW w:w="0" w:type="auto"/>
            <w:shd w:val="clear" w:color="auto" w:fill="auto"/>
            <w:vAlign w:val="bottom"/>
            <w:hideMark/>
          </w:tcPr>
          <w:p w14:paraId="58473AC9" w14:textId="208903B2"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All CKD</w:t>
            </w:r>
            <w:r w:rsidR="000B4E2C" w:rsidRPr="000B4E2C">
              <w:rPr>
                <w:rFonts w:cstheme="minorHAnsi"/>
                <w:sz w:val="18"/>
                <w:szCs w:val="18"/>
                <w:lang w:eastAsia="en-GB"/>
              </w:rPr>
              <w:t xml:space="preserve"> </w:t>
            </w:r>
            <w:r w:rsidRPr="000B4E2C">
              <w:rPr>
                <w:rFonts w:cstheme="minorHAnsi"/>
                <w:sz w:val="18"/>
                <w:szCs w:val="18"/>
                <w:lang w:eastAsia="en-GB"/>
              </w:rPr>
              <w:t>G1/2</w:t>
            </w:r>
            <w:r w:rsidR="000B4E2C" w:rsidRPr="000B4E2C">
              <w:rPr>
                <w:rFonts w:cstheme="minorHAnsi"/>
                <w:sz w:val="18"/>
                <w:szCs w:val="18"/>
                <w:lang w:eastAsia="en-GB"/>
              </w:rPr>
              <w:t xml:space="preserve"> </w:t>
            </w:r>
            <w:r w:rsidRPr="000B4E2C">
              <w:rPr>
                <w:rFonts w:cstheme="minorHAnsi"/>
                <w:sz w:val="18"/>
                <w:szCs w:val="18"/>
                <w:lang w:eastAsia="en-GB"/>
              </w:rPr>
              <w:t>G3a</w:t>
            </w:r>
            <w:r w:rsidR="000B4E2C" w:rsidRPr="000B4E2C">
              <w:rPr>
                <w:rFonts w:cstheme="minorHAnsi"/>
                <w:sz w:val="18"/>
                <w:szCs w:val="18"/>
                <w:lang w:eastAsia="en-GB"/>
              </w:rPr>
              <w:t xml:space="preserve"> </w:t>
            </w:r>
            <w:r w:rsidRPr="000B4E2C">
              <w:rPr>
                <w:rFonts w:cstheme="minorHAnsi"/>
                <w:sz w:val="18"/>
                <w:szCs w:val="18"/>
                <w:lang w:eastAsia="en-GB"/>
              </w:rPr>
              <w:t>G3b</w:t>
            </w:r>
            <w:r w:rsidR="000B4E2C" w:rsidRPr="000B4E2C">
              <w:rPr>
                <w:rFonts w:cstheme="minorHAnsi"/>
                <w:sz w:val="18"/>
                <w:szCs w:val="18"/>
                <w:lang w:eastAsia="en-GB"/>
              </w:rPr>
              <w:t xml:space="preserve"> </w:t>
            </w:r>
            <w:r w:rsidRPr="000B4E2C">
              <w:rPr>
                <w:rFonts w:cstheme="minorHAnsi"/>
                <w:sz w:val="18"/>
                <w:szCs w:val="18"/>
                <w:lang w:eastAsia="en-GB"/>
              </w:rPr>
              <w:t>G4</w:t>
            </w:r>
            <w:r w:rsidR="000B4E2C" w:rsidRPr="000B4E2C">
              <w:rPr>
                <w:rFonts w:cstheme="minorHAnsi"/>
                <w:sz w:val="18"/>
                <w:szCs w:val="18"/>
                <w:lang w:eastAsia="en-GB"/>
              </w:rPr>
              <w:t xml:space="preserve"> </w:t>
            </w:r>
            <w:r w:rsidRPr="000B4E2C">
              <w:rPr>
                <w:rFonts w:cstheme="minorHAnsi"/>
                <w:sz w:val="18"/>
                <w:szCs w:val="18"/>
                <w:lang w:eastAsia="en-GB"/>
              </w:rPr>
              <w:t>G5</w:t>
            </w:r>
          </w:p>
        </w:tc>
        <w:tc>
          <w:tcPr>
            <w:tcW w:w="0" w:type="auto"/>
            <w:shd w:val="clear" w:color="auto" w:fill="auto"/>
            <w:vAlign w:val="bottom"/>
            <w:hideMark/>
          </w:tcPr>
          <w:p w14:paraId="3FA70F34" w14:textId="72BD3C48"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06FF2419" w14:textId="07BC7A35"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0.74</w:t>
            </w:r>
            <w:r w:rsidR="000B4E2C" w:rsidRPr="000B4E2C">
              <w:rPr>
                <w:rFonts w:cstheme="minorHAnsi"/>
                <w:sz w:val="18"/>
                <w:szCs w:val="18"/>
                <w:lang w:eastAsia="en-GB"/>
              </w:rPr>
              <w:t xml:space="preserve"> </w:t>
            </w:r>
            <w:r w:rsidRPr="000B4E2C">
              <w:rPr>
                <w:rFonts w:cstheme="minorHAnsi"/>
                <w:sz w:val="18"/>
                <w:szCs w:val="18"/>
                <w:lang w:eastAsia="en-GB"/>
              </w:rPr>
              <w:t>0.85</w:t>
            </w:r>
            <w:r w:rsidR="000B4E2C" w:rsidRPr="000B4E2C">
              <w:rPr>
                <w:rFonts w:cstheme="minorHAnsi"/>
                <w:sz w:val="18"/>
                <w:szCs w:val="18"/>
                <w:lang w:eastAsia="en-GB"/>
              </w:rPr>
              <w:t xml:space="preserve"> </w:t>
            </w:r>
            <w:r w:rsidRPr="000B4E2C">
              <w:rPr>
                <w:rFonts w:cstheme="minorHAnsi"/>
                <w:sz w:val="18"/>
                <w:szCs w:val="18"/>
                <w:lang w:eastAsia="en-GB"/>
              </w:rPr>
              <w:t>0.80</w:t>
            </w:r>
            <w:r w:rsidR="000B4E2C" w:rsidRPr="000B4E2C">
              <w:rPr>
                <w:rFonts w:cstheme="minorHAnsi"/>
                <w:sz w:val="18"/>
                <w:szCs w:val="18"/>
                <w:lang w:eastAsia="en-GB"/>
              </w:rPr>
              <w:t xml:space="preserve"> </w:t>
            </w:r>
            <w:r w:rsidRPr="000B4E2C">
              <w:rPr>
                <w:rFonts w:cstheme="minorHAnsi"/>
                <w:sz w:val="18"/>
                <w:szCs w:val="18"/>
                <w:lang w:eastAsia="en-GB"/>
              </w:rPr>
              <w:t>0.80</w:t>
            </w:r>
            <w:r w:rsidR="000B4E2C" w:rsidRPr="000B4E2C">
              <w:rPr>
                <w:rFonts w:cstheme="minorHAnsi"/>
                <w:sz w:val="18"/>
                <w:szCs w:val="18"/>
                <w:lang w:eastAsia="en-GB"/>
              </w:rPr>
              <w:t xml:space="preserve"> </w:t>
            </w:r>
            <w:r w:rsidRPr="000B4E2C">
              <w:rPr>
                <w:rFonts w:cstheme="minorHAnsi"/>
                <w:sz w:val="18"/>
                <w:szCs w:val="18"/>
                <w:lang w:eastAsia="en-GB"/>
              </w:rPr>
              <w:t>0.74</w:t>
            </w:r>
            <w:r w:rsidR="000B4E2C" w:rsidRPr="000B4E2C">
              <w:rPr>
                <w:rFonts w:cstheme="minorHAnsi"/>
                <w:sz w:val="18"/>
                <w:szCs w:val="18"/>
                <w:lang w:eastAsia="en-GB"/>
              </w:rPr>
              <w:t xml:space="preserve"> </w:t>
            </w:r>
            <w:r w:rsidRPr="000B4E2C">
              <w:rPr>
                <w:rFonts w:cstheme="minorHAnsi"/>
                <w:sz w:val="18"/>
                <w:szCs w:val="18"/>
                <w:lang w:eastAsia="en-GB"/>
              </w:rPr>
              <w:t>0.73</w:t>
            </w:r>
          </w:p>
        </w:tc>
        <w:tc>
          <w:tcPr>
            <w:tcW w:w="0" w:type="auto"/>
            <w:shd w:val="clear" w:color="auto" w:fill="auto"/>
            <w:vAlign w:val="bottom"/>
            <w:hideMark/>
          </w:tcPr>
          <w:p w14:paraId="05187D45" w14:textId="0A647B8E"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178A7DA9" w14:textId="1E88178C"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37037BB6" w14:textId="1329C0F5"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1BADBB41" w14:textId="71CF1169"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72F560B0" w14:textId="226C2AC6"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0.66</w:t>
            </w:r>
            <w:r w:rsidR="000B4E2C" w:rsidRPr="000B4E2C">
              <w:rPr>
                <w:rFonts w:cstheme="minorHAnsi"/>
                <w:sz w:val="18"/>
                <w:szCs w:val="18"/>
                <w:lang w:eastAsia="en-GB"/>
              </w:rPr>
              <w:t xml:space="preserve"> </w:t>
            </w:r>
            <w:r w:rsidRPr="000B4E2C">
              <w:rPr>
                <w:rFonts w:cstheme="minorHAnsi"/>
                <w:sz w:val="18"/>
                <w:szCs w:val="18"/>
                <w:lang w:eastAsia="en-GB"/>
              </w:rPr>
              <w:t>0.70</w:t>
            </w:r>
            <w:r w:rsidR="000B4E2C" w:rsidRPr="000B4E2C">
              <w:rPr>
                <w:rFonts w:cstheme="minorHAnsi"/>
                <w:sz w:val="18"/>
                <w:szCs w:val="18"/>
                <w:lang w:eastAsia="en-GB"/>
              </w:rPr>
              <w:t xml:space="preserve"> </w:t>
            </w:r>
            <w:r w:rsidRPr="000B4E2C">
              <w:rPr>
                <w:rFonts w:cstheme="minorHAnsi"/>
                <w:sz w:val="18"/>
                <w:szCs w:val="18"/>
                <w:lang w:eastAsia="en-GB"/>
              </w:rPr>
              <w:t>0.69</w:t>
            </w:r>
            <w:r w:rsidR="000B4E2C" w:rsidRPr="000B4E2C">
              <w:rPr>
                <w:rFonts w:cstheme="minorHAnsi"/>
                <w:sz w:val="18"/>
                <w:szCs w:val="18"/>
                <w:lang w:eastAsia="en-GB"/>
              </w:rPr>
              <w:t xml:space="preserve"> </w:t>
            </w:r>
            <w:r w:rsidRPr="000B4E2C">
              <w:rPr>
                <w:rFonts w:cstheme="minorHAnsi"/>
                <w:sz w:val="18"/>
                <w:szCs w:val="18"/>
                <w:lang w:eastAsia="en-GB"/>
              </w:rPr>
              <w:t>0.68</w:t>
            </w:r>
            <w:r w:rsidR="000B4E2C" w:rsidRPr="000B4E2C">
              <w:rPr>
                <w:rFonts w:cstheme="minorHAnsi"/>
                <w:sz w:val="18"/>
                <w:szCs w:val="18"/>
                <w:lang w:eastAsia="en-GB"/>
              </w:rPr>
              <w:t xml:space="preserve"> </w:t>
            </w:r>
            <w:r w:rsidRPr="000B4E2C">
              <w:rPr>
                <w:rFonts w:cstheme="minorHAnsi"/>
                <w:sz w:val="18"/>
                <w:szCs w:val="18"/>
                <w:lang w:eastAsia="en-GB"/>
              </w:rPr>
              <w:t>0.62</w:t>
            </w:r>
            <w:r w:rsidR="000B4E2C" w:rsidRPr="000B4E2C">
              <w:rPr>
                <w:rFonts w:cstheme="minorHAnsi"/>
                <w:sz w:val="18"/>
                <w:szCs w:val="18"/>
                <w:lang w:eastAsia="en-GB"/>
              </w:rPr>
              <w:t xml:space="preserve"> </w:t>
            </w:r>
            <w:r w:rsidRPr="000B4E2C">
              <w:rPr>
                <w:rFonts w:cstheme="minorHAnsi"/>
                <w:sz w:val="18"/>
                <w:szCs w:val="18"/>
                <w:lang w:eastAsia="en-GB"/>
              </w:rPr>
              <w:t>0.62</w:t>
            </w:r>
          </w:p>
        </w:tc>
        <w:tc>
          <w:tcPr>
            <w:tcW w:w="0" w:type="auto"/>
            <w:shd w:val="clear" w:color="auto" w:fill="auto"/>
            <w:vAlign w:val="bottom"/>
            <w:hideMark/>
          </w:tcPr>
          <w:p w14:paraId="4A8B22FE" w14:textId="51B86EC4" w:rsidR="008523B9" w:rsidRPr="000B4E2C" w:rsidRDefault="008523B9" w:rsidP="00A908B8">
            <w:pPr>
              <w:rPr>
                <w:rFonts w:cstheme="minorHAnsi"/>
                <w:sz w:val="18"/>
                <w:szCs w:val="18"/>
                <w:lang w:eastAsia="en-GB"/>
              </w:rPr>
            </w:pPr>
            <w:r w:rsidRPr="000B4E2C">
              <w:rPr>
                <w:rFonts w:cstheme="minorHAnsi"/>
                <w:sz w:val="18"/>
                <w:szCs w:val="18"/>
                <w:lang w:eastAsia="en-GB"/>
              </w:rPr>
              <w:t>0.88</w:t>
            </w:r>
            <w:r w:rsidR="000B4E2C" w:rsidRPr="000B4E2C">
              <w:rPr>
                <w:rFonts w:cstheme="minorHAnsi"/>
                <w:sz w:val="18"/>
                <w:szCs w:val="18"/>
                <w:lang w:eastAsia="en-GB"/>
              </w:rPr>
              <w:t xml:space="preserve"> </w:t>
            </w:r>
            <w:r w:rsidRPr="000B4E2C">
              <w:rPr>
                <w:rFonts w:cstheme="minorHAnsi"/>
                <w:sz w:val="18"/>
                <w:szCs w:val="18"/>
                <w:lang w:eastAsia="en-GB"/>
              </w:rPr>
              <w:t>1</w:t>
            </w:r>
            <w:r w:rsidR="000B4E2C" w:rsidRPr="000B4E2C">
              <w:rPr>
                <w:rFonts w:cstheme="minorHAnsi"/>
                <w:sz w:val="18"/>
                <w:szCs w:val="18"/>
                <w:lang w:eastAsia="en-GB"/>
              </w:rPr>
              <w:t xml:space="preserve"> </w:t>
            </w:r>
            <w:r w:rsidRPr="000B4E2C">
              <w:rPr>
                <w:rFonts w:cstheme="minorHAnsi"/>
                <w:sz w:val="18"/>
                <w:szCs w:val="18"/>
                <w:lang w:eastAsia="en-GB"/>
              </w:rPr>
              <w:t>1</w:t>
            </w:r>
            <w:r w:rsidR="000B4E2C" w:rsidRPr="000B4E2C">
              <w:rPr>
                <w:rFonts w:cstheme="minorHAnsi"/>
                <w:sz w:val="18"/>
                <w:szCs w:val="18"/>
                <w:lang w:eastAsia="en-GB"/>
              </w:rPr>
              <w:t xml:space="preserve"> </w:t>
            </w:r>
            <w:r w:rsidRPr="000B4E2C">
              <w:rPr>
                <w:rFonts w:cstheme="minorHAnsi"/>
                <w:sz w:val="18"/>
                <w:szCs w:val="18"/>
                <w:lang w:eastAsia="en-GB"/>
              </w:rPr>
              <w:t>1</w:t>
            </w:r>
            <w:r w:rsidR="000B4E2C" w:rsidRPr="000B4E2C">
              <w:rPr>
                <w:rFonts w:cstheme="minorHAnsi"/>
                <w:sz w:val="18"/>
                <w:szCs w:val="18"/>
                <w:lang w:eastAsia="en-GB"/>
              </w:rPr>
              <w:t xml:space="preserve"> </w:t>
            </w:r>
            <w:r w:rsidRPr="000B4E2C">
              <w:rPr>
                <w:rFonts w:cstheme="minorHAnsi"/>
                <w:sz w:val="18"/>
                <w:szCs w:val="18"/>
                <w:lang w:eastAsia="en-GB"/>
              </w:rPr>
              <w:t>0.85</w:t>
            </w:r>
            <w:r w:rsidR="000B4E2C" w:rsidRPr="000B4E2C">
              <w:rPr>
                <w:rFonts w:cstheme="minorHAnsi"/>
                <w:sz w:val="18"/>
                <w:szCs w:val="18"/>
                <w:lang w:eastAsia="en-GB"/>
              </w:rPr>
              <w:t xml:space="preserve"> </w:t>
            </w:r>
            <w:r w:rsidRPr="000B4E2C">
              <w:rPr>
                <w:rFonts w:cstheme="minorHAnsi"/>
                <w:sz w:val="18"/>
                <w:szCs w:val="18"/>
                <w:lang w:eastAsia="en-GB"/>
              </w:rPr>
              <w:t>1</w:t>
            </w:r>
          </w:p>
        </w:tc>
      </w:tr>
      <w:tr w:rsidR="000B4E2C" w:rsidRPr="000B4E2C" w14:paraId="489306F5" w14:textId="77777777" w:rsidTr="000B4E2C">
        <w:trPr>
          <w:cantSplit/>
          <w:tblHeader/>
        </w:trPr>
        <w:tc>
          <w:tcPr>
            <w:tcW w:w="0" w:type="auto"/>
            <w:shd w:val="clear" w:color="auto" w:fill="auto"/>
            <w:vAlign w:val="bottom"/>
            <w:hideMark/>
          </w:tcPr>
          <w:p w14:paraId="2967556A" w14:textId="5A8DB3E5"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Kularatna</w:t>
            </w:r>
            <w:r w:rsidR="00280A97" w:rsidRPr="000B4E2C">
              <w:rPr>
                <w:rFonts w:cstheme="minorHAnsi"/>
                <w:noProof/>
                <w:sz w:val="18"/>
                <w:szCs w:val="18"/>
                <w:vertAlign w:val="superscript"/>
                <w:lang w:eastAsia="en-GB"/>
              </w:rPr>
              <w:t>156</w:t>
            </w:r>
          </w:p>
        </w:tc>
        <w:tc>
          <w:tcPr>
            <w:tcW w:w="0" w:type="auto"/>
            <w:shd w:val="clear" w:color="auto" w:fill="auto"/>
            <w:vAlign w:val="bottom"/>
            <w:hideMark/>
          </w:tcPr>
          <w:p w14:paraId="7C449135" w14:textId="77777777" w:rsidR="008523B9" w:rsidRPr="000B4E2C" w:rsidRDefault="008523B9" w:rsidP="00A908B8">
            <w:pPr>
              <w:jc w:val="right"/>
              <w:rPr>
                <w:rFonts w:cstheme="minorHAnsi"/>
                <w:color w:val="000000"/>
                <w:sz w:val="18"/>
                <w:szCs w:val="18"/>
                <w:lang w:eastAsia="en-GB"/>
              </w:rPr>
            </w:pPr>
            <w:r w:rsidRPr="000B4E2C">
              <w:rPr>
                <w:rFonts w:cstheme="minorHAnsi"/>
                <w:sz w:val="18"/>
                <w:szCs w:val="18"/>
                <w:lang w:eastAsia="en-GB"/>
              </w:rPr>
              <w:t>2019</w:t>
            </w:r>
          </w:p>
        </w:tc>
        <w:tc>
          <w:tcPr>
            <w:tcW w:w="0" w:type="auto"/>
            <w:shd w:val="clear" w:color="auto" w:fill="auto"/>
            <w:vAlign w:val="bottom"/>
            <w:hideMark/>
          </w:tcPr>
          <w:p w14:paraId="6D8385F4"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CKD</w:t>
            </w:r>
          </w:p>
        </w:tc>
        <w:tc>
          <w:tcPr>
            <w:tcW w:w="0" w:type="auto"/>
            <w:shd w:val="clear" w:color="auto" w:fill="auto"/>
            <w:vAlign w:val="bottom"/>
            <w:hideMark/>
          </w:tcPr>
          <w:p w14:paraId="69B6CA77"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Sri Lanka</w:t>
            </w:r>
          </w:p>
        </w:tc>
        <w:tc>
          <w:tcPr>
            <w:tcW w:w="0" w:type="auto"/>
            <w:shd w:val="clear" w:color="auto" w:fill="auto"/>
            <w:vAlign w:val="bottom"/>
            <w:hideMark/>
          </w:tcPr>
          <w:p w14:paraId="24821591" w14:textId="2380427F"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vAlign w:val="bottom"/>
            <w:hideMark/>
          </w:tcPr>
          <w:p w14:paraId="2D822974"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 xml:space="preserve">UK </w:t>
            </w:r>
          </w:p>
        </w:tc>
        <w:tc>
          <w:tcPr>
            <w:tcW w:w="0" w:type="auto"/>
            <w:shd w:val="clear" w:color="auto" w:fill="auto"/>
            <w:vAlign w:val="bottom"/>
            <w:hideMark/>
          </w:tcPr>
          <w:p w14:paraId="757D0F72" w14:textId="65D6565C"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Early Stage: 254</w:t>
            </w:r>
            <w:r w:rsidR="000B4E2C" w:rsidRPr="000B4E2C">
              <w:rPr>
                <w:rFonts w:cstheme="minorHAnsi"/>
                <w:sz w:val="18"/>
                <w:szCs w:val="18"/>
                <w:lang w:eastAsia="en-GB"/>
              </w:rPr>
              <w:t xml:space="preserve"> </w:t>
            </w:r>
            <w:r w:rsidRPr="000B4E2C">
              <w:rPr>
                <w:rFonts w:cstheme="minorHAnsi"/>
                <w:sz w:val="18"/>
                <w:szCs w:val="18"/>
                <w:lang w:eastAsia="en-GB"/>
              </w:rPr>
              <w:t>Stage 4: 614</w:t>
            </w:r>
            <w:r w:rsidR="000B4E2C" w:rsidRPr="000B4E2C">
              <w:rPr>
                <w:rFonts w:cstheme="minorHAnsi"/>
                <w:sz w:val="18"/>
                <w:szCs w:val="18"/>
                <w:lang w:eastAsia="en-GB"/>
              </w:rPr>
              <w:t xml:space="preserve"> </w:t>
            </w:r>
            <w:r w:rsidRPr="000B4E2C">
              <w:rPr>
                <w:rFonts w:cstheme="minorHAnsi"/>
                <w:sz w:val="18"/>
                <w:szCs w:val="18"/>
                <w:lang w:eastAsia="en-GB"/>
              </w:rPr>
              <w:t>Stage 5: 151</w:t>
            </w:r>
            <w:r w:rsidR="000B4E2C" w:rsidRPr="000B4E2C">
              <w:rPr>
                <w:rFonts w:cstheme="minorHAnsi"/>
                <w:sz w:val="18"/>
                <w:szCs w:val="18"/>
                <w:lang w:eastAsia="en-GB"/>
              </w:rPr>
              <w:t xml:space="preserve"> </w:t>
            </w:r>
            <w:r w:rsidRPr="000B4E2C">
              <w:rPr>
                <w:rFonts w:cstheme="minorHAnsi"/>
                <w:sz w:val="18"/>
                <w:szCs w:val="18"/>
                <w:lang w:eastAsia="en-GB"/>
              </w:rPr>
              <w:t>Dialysis: 38</w:t>
            </w:r>
          </w:p>
        </w:tc>
        <w:tc>
          <w:tcPr>
            <w:tcW w:w="0" w:type="auto"/>
            <w:shd w:val="clear" w:color="auto" w:fill="auto"/>
            <w:vAlign w:val="bottom"/>
            <w:hideMark/>
          </w:tcPr>
          <w:p w14:paraId="59C66D1E"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Median approx age 41</w:t>
            </w:r>
          </w:p>
        </w:tc>
        <w:tc>
          <w:tcPr>
            <w:tcW w:w="0" w:type="auto"/>
            <w:shd w:val="clear" w:color="auto" w:fill="auto"/>
            <w:vAlign w:val="bottom"/>
            <w:hideMark/>
          </w:tcPr>
          <w:p w14:paraId="2C54F689" w14:textId="77777777" w:rsidR="008523B9" w:rsidRPr="000B4E2C" w:rsidRDefault="008523B9" w:rsidP="00A908B8">
            <w:pPr>
              <w:jc w:val="right"/>
              <w:rPr>
                <w:rFonts w:cstheme="minorHAnsi"/>
                <w:color w:val="000000"/>
                <w:sz w:val="18"/>
                <w:szCs w:val="18"/>
                <w:lang w:eastAsia="en-GB"/>
              </w:rPr>
            </w:pPr>
            <w:r w:rsidRPr="000B4E2C">
              <w:rPr>
                <w:rFonts w:cstheme="minorHAnsi"/>
                <w:sz w:val="18"/>
                <w:szCs w:val="18"/>
                <w:lang w:eastAsia="en-GB"/>
              </w:rPr>
              <w:t>56.10%</w:t>
            </w:r>
          </w:p>
        </w:tc>
        <w:tc>
          <w:tcPr>
            <w:tcW w:w="0" w:type="auto"/>
            <w:shd w:val="clear" w:color="auto" w:fill="auto"/>
            <w:vAlign w:val="bottom"/>
            <w:hideMark/>
          </w:tcPr>
          <w:p w14:paraId="5282A90E" w14:textId="69CB4A00"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Early:</w:t>
            </w:r>
            <w:r w:rsidR="000B4E2C" w:rsidRPr="000B4E2C">
              <w:rPr>
                <w:rFonts w:cstheme="minorHAnsi"/>
                <w:sz w:val="18"/>
                <w:szCs w:val="18"/>
                <w:lang w:eastAsia="en-GB"/>
              </w:rPr>
              <w:t xml:space="preserve"> </w:t>
            </w:r>
            <w:r w:rsidRPr="000B4E2C">
              <w:rPr>
                <w:rFonts w:cstheme="minorHAnsi"/>
                <w:sz w:val="18"/>
                <w:szCs w:val="18"/>
                <w:lang w:eastAsia="en-GB"/>
              </w:rPr>
              <w:t>Stage 4:</w:t>
            </w:r>
            <w:r w:rsidR="000B4E2C" w:rsidRPr="000B4E2C">
              <w:rPr>
                <w:rFonts w:cstheme="minorHAnsi"/>
                <w:sz w:val="18"/>
                <w:szCs w:val="18"/>
                <w:lang w:eastAsia="en-GB"/>
              </w:rPr>
              <w:t xml:space="preserve"> </w:t>
            </w:r>
            <w:r w:rsidRPr="000B4E2C">
              <w:rPr>
                <w:rFonts w:cstheme="minorHAnsi"/>
                <w:sz w:val="18"/>
                <w:szCs w:val="18"/>
                <w:lang w:eastAsia="en-GB"/>
              </w:rPr>
              <w:t>Stage 5:</w:t>
            </w:r>
            <w:r w:rsidR="000B4E2C" w:rsidRPr="000B4E2C">
              <w:rPr>
                <w:rFonts w:cstheme="minorHAnsi"/>
                <w:sz w:val="18"/>
                <w:szCs w:val="18"/>
                <w:lang w:eastAsia="en-GB"/>
              </w:rPr>
              <w:t xml:space="preserve"> </w:t>
            </w:r>
            <w:r w:rsidRPr="000B4E2C">
              <w:rPr>
                <w:rFonts w:cstheme="minorHAnsi"/>
                <w:sz w:val="18"/>
                <w:szCs w:val="18"/>
                <w:lang w:eastAsia="en-GB"/>
              </w:rPr>
              <w:t xml:space="preserve">Dialysis: </w:t>
            </w:r>
          </w:p>
        </w:tc>
        <w:tc>
          <w:tcPr>
            <w:tcW w:w="0" w:type="auto"/>
            <w:shd w:val="clear" w:color="auto" w:fill="auto"/>
            <w:vAlign w:val="bottom"/>
            <w:hideMark/>
          </w:tcPr>
          <w:p w14:paraId="799C5C45" w14:textId="6CAF7321"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0.588</w:t>
            </w:r>
            <w:r w:rsidR="000B4E2C" w:rsidRPr="000B4E2C">
              <w:rPr>
                <w:rFonts w:cstheme="minorHAnsi"/>
                <w:sz w:val="18"/>
                <w:szCs w:val="18"/>
                <w:lang w:eastAsia="en-GB"/>
              </w:rPr>
              <w:t xml:space="preserve"> </w:t>
            </w:r>
            <w:r w:rsidRPr="000B4E2C">
              <w:rPr>
                <w:rFonts w:cstheme="minorHAnsi"/>
                <w:sz w:val="18"/>
                <w:szCs w:val="18"/>
                <w:lang w:eastAsia="en-GB"/>
              </w:rPr>
              <w:t>0.566</w:t>
            </w:r>
            <w:r w:rsidR="000B4E2C" w:rsidRPr="000B4E2C">
              <w:rPr>
                <w:rFonts w:cstheme="minorHAnsi"/>
                <w:sz w:val="18"/>
                <w:szCs w:val="18"/>
                <w:lang w:eastAsia="en-GB"/>
              </w:rPr>
              <w:t xml:space="preserve"> </w:t>
            </w:r>
            <w:r w:rsidRPr="000B4E2C">
              <w:rPr>
                <w:rFonts w:cstheme="minorHAnsi"/>
                <w:sz w:val="18"/>
                <w:szCs w:val="18"/>
                <w:lang w:eastAsia="en-GB"/>
              </w:rPr>
              <w:t>0.467</w:t>
            </w:r>
            <w:r w:rsidR="000B4E2C" w:rsidRPr="000B4E2C">
              <w:rPr>
                <w:rFonts w:cstheme="minorHAnsi"/>
                <w:sz w:val="18"/>
                <w:szCs w:val="18"/>
                <w:lang w:eastAsia="en-GB"/>
              </w:rPr>
              <w:t xml:space="preserve"> </w:t>
            </w:r>
            <w:r w:rsidRPr="000B4E2C">
              <w:rPr>
                <w:rFonts w:cstheme="minorHAnsi"/>
                <w:sz w:val="18"/>
                <w:szCs w:val="18"/>
                <w:lang w:eastAsia="en-GB"/>
              </w:rPr>
              <w:t>0.126</w:t>
            </w:r>
          </w:p>
        </w:tc>
        <w:tc>
          <w:tcPr>
            <w:tcW w:w="0" w:type="auto"/>
            <w:shd w:val="clear" w:color="auto" w:fill="auto"/>
            <w:vAlign w:val="bottom"/>
            <w:hideMark/>
          </w:tcPr>
          <w:p w14:paraId="7E8CA944" w14:textId="22183291"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75468C9D" w14:textId="064FD9A0"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2E8D4711" w14:textId="5650816C"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0.30</w:t>
            </w:r>
            <w:r w:rsidR="000B4E2C" w:rsidRPr="000B4E2C">
              <w:rPr>
                <w:rFonts w:cstheme="minorHAnsi"/>
                <w:sz w:val="18"/>
                <w:szCs w:val="18"/>
                <w:lang w:eastAsia="en-GB"/>
              </w:rPr>
              <w:t xml:space="preserve"> </w:t>
            </w:r>
            <w:r w:rsidRPr="000B4E2C">
              <w:rPr>
                <w:rFonts w:cstheme="minorHAnsi"/>
                <w:sz w:val="18"/>
                <w:szCs w:val="18"/>
                <w:lang w:eastAsia="en-GB"/>
              </w:rPr>
              <w:t>0.42</w:t>
            </w:r>
            <w:r w:rsidR="000B4E2C" w:rsidRPr="000B4E2C">
              <w:rPr>
                <w:rFonts w:cstheme="minorHAnsi"/>
                <w:sz w:val="18"/>
                <w:szCs w:val="18"/>
                <w:lang w:eastAsia="en-GB"/>
              </w:rPr>
              <w:t xml:space="preserve"> </w:t>
            </w:r>
            <w:r w:rsidRPr="000B4E2C">
              <w:rPr>
                <w:rFonts w:cstheme="minorHAnsi"/>
                <w:sz w:val="18"/>
                <w:szCs w:val="18"/>
                <w:lang w:eastAsia="en-GB"/>
              </w:rPr>
              <w:t>0.42</w:t>
            </w:r>
            <w:r w:rsidR="000B4E2C" w:rsidRPr="000B4E2C">
              <w:rPr>
                <w:rFonts w:cstheme="minorHAnsi"/>
                <w:sz w:val="18"/>
                <w:szCs w:val="18"/>
                <w:lang w:eastAsia="en-GB"/>
              </w:rPr>
              <w:t xml:space="preserve"> </w:t>
            </w:r>
            <w:r w:rsidRPr="000B4E2C">
              <w:rPr>
                <w:rFonts w:cstheme="minorHAnsi"/>
                <w:sz w:val="18"/>
                <w:szCs w:val="18"/>
                <w:lang w:eastAsia="en-GB"/>
              </w:rPr>
              <w:t>0.39</w:t>
            </w:r>
          </w:p>
        </w:tc>
        <w:tc>
          <w:tcPr>
            <w:tcW w:w="0" w:type="auto"/>
            <w:shd w:val="clear" w:color="auto" w:fill="auto"/>
            <w:vAlign w:val="bottom"/>
            <w:hideMark/>
          </w:tcPr>
          <w:p w14:paraId="7CEC1D88" w14:textId="35A11B6C"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0935D9C1" w14:textId="75DABD03"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71EF7197" w14:textId="73B3D03A"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09E59BB4" w14:textId="7105E2BB" w:rsidR="008523B9" w:rsidRPr="000B4E2C" w:rsidRDefault="000B4E2C" w:rsidP="00A908B8">
            <w:pPr>
              <w:rPr>
                <w:rFonts w:cstheme="minorHAnsi"/>
                <w:sz w:val="18"/>
                <w:szCs w:val="18"/>
                <w:lang w:eastAsia="en-GB"/>
              </w:rPr>
            </w:pPr>
            <w:r w:rsidRPr="000B4E2C">
              <w:rPr>
                <w:rFonts w:cstheme="minorHAnsi"/>
                <w:sz w:val="18"/>
                <w:szCs w:val="18"/>
                <w:lang w:eastAsia="en-GB"/>
              </w:rPr>
              <w:t xml:space="preserve"> </w:t>
            </w:r>
          </w:p>
        </w:tc>
      </w:tr>
      <w:tr w:rsidR="000B4E2C" w:rsidRPr="000B4E2C" w14:paraId="17BC9DDA" w14:textId="77777777" w:rsidTr="000B4E2C">
        <w:trPr>
          <w:cantSplit/>
          <w:tblHeader/>
        </w:trPr>
        <w:tc>
          <w:tcPr>
            <w:tcW w:w="0" w:type="auto"/>
            <w:shd w:val="clear" w:color="auto" w:fill="auto"/>
            <w:vAlign w:val="bottom"/>
            <w:hideMark/>
          </w:tcPr>
          <w:p w14:paraId="4B7EB22E" w14:textId="3CB57A0F"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lastRenderedPageBreak/>
              <w:t>Li</w:t>
            </w:r>
            <w:r w:rsidR="00280A97" w:rsidRPr="000B4E2C">
              <w:rPr>
                <w:rFonts w:cstheme="minorHAnsi"/>
                <w:noProof/>
                <w:sz w:val="18"/>
                <w:szCs w:val="18"/>
                <w:vertAlign w:val="superscript"/>
                <w:lang w:eastAsia="en-GB"/>
              </w:rPr>
              <w:t>157</w:t>
            </w:r>
          </w:p>
        </w:tc>
        <w:tc>
          <w:tcPr>
            <w:tcW w:w="0" w:type="auto"/>
            <w:shd w:val="clear" w:color="auto" w:fill="auto"/>
            <w:vAlign w:val="bottom"/>
            <w:hideMark/>
          </w:tcPr>
          <w:p w14:paraId="56866BFF" w14:textId="77777777" w:rsidR="008523B9" w:rsidRPr="000B4E2C" w:rsidRDefault="008523B9" w:rsidP="00A908B8">
            <w:pPr>
              <w:jc w:val="right"/>
              <w:rPr>
                <w:rFonts w:cstheme="minorHAnsi"/>
                <w:color w:val="000000"/>
                <w:sz w:val="18"/>
                <w:szCs w:val="18"/>
                <w:lang w:eastAsia="en-GB"/>
              </w:rPr>
            </w:pPr>
            <w:r w:rsidRPr="000B4E2C">
              <w:rPr>
                <w:rFonts w:cstheme="minorHAnsi"/>
                <w:sz w:val="18"/>
                <w:szCs w:val="18"/>
                <w:lang w:eastAsia="en-GB"/>
              </w:rPr>
              <w:t>2017</w:t>
            </w:r>
          </w:p>
        </w:tc>
        <w:tc>
          <w:tcPr>
            <w:tcW w:w="0" w:type="auto"/>
            <w:shd w:val="clear" w:color="auto" w:fill="auto"/>
            <w:vAlign w:val="bottom"/>
            <w:hideMark/>
          </w:tcPr>
          <w:p w14:paraId="7DE9F4F1"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Kidney transplant recipients and waiting list</w:t>
            </w:r>
          </w:p>
        </w:tc>
        <w:tc>
          <w:tcPr>
            <w:tcW w:w="0" w:type="auto"/>
            <w:shd w:val="clear" w:color="auto" w:fill="auto"/>
            <w:vAlign w:val="bottom"/>
            <w:hideMark/>
          </w:tcPr>
          <w:p w14:paraId="1366C38E"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vAlign w:val="bottom"/>
            <w:hideMark/>
          </w:tcPr>
          <w:p w14:paraId="6868D7C1" w14:textId="20BA1811"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w:t>
            </w:r>
            <w:r w:rsidRPr="000B4E2C">
              <w:rPr>
                <w:rFonts w:cstheme="minorHAnsi"/>
                <w:sz w:val="18"/>
                <w:szCs w:val="18"/>
                <w:lang w:eastAsia="en-GB"/>
              </w:rPr>
              <w:t>L</w:t>
            </w:r>
          </w:p>
        </w:tc>
        <w:tc>
          <w:tcPr>
            <w:tcW w:w="0" w:type="auto"/>
            <w:shd w:val="clear" w:color="auto" w:fill="auto"/>
            <w:vAlign w:val="bottom"/>
            <w:hideMark/>
          </w:tcPr>
          <w:p w14:paraId="1929F7A9"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vAlign w:val="bottom"/>
            <w:hideMark/>
          </w:tcPr>
          <w:p w14:paraId="7A0EBB20" w14:textId="3B04AECD"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Transplant recipients: 512</w:t>
            </w:r>
            <w:r w:rsidR="000B4E2C" w:rsidRPr="000B4E2C">
              <w:rPr>
                <w:rFonts w:cstheme="minorHAnsi"/>
                <w:sz w:val="18"/>
                <w:szCs w:val="18"/>
                <w:lang w:eastAsia="en-GB"/>
              </w:rPr>
              <w:t xml:space="preserve"> </w:t>
            </w:r>
            <w:r w:rsidRPr="000B4E2C">
              <w:rPr>
                <w:rFonts w:cstheme="minorHAnsi"/>
                <w:sz w:val="18"/>
                <w:szCs w:val="18"/>
                <w:lang w:eastAsia="en-GB"/>
              </w:rPr>
              <w:t>Waiting list: 1704</w:t>
            </w:r>
          </w:p>
        </w:tc>
        <w:tc>
          <w:tcPr>
            <w:tcW w:w="0" w:type="auto"/>
            <w:shd w:val="clear" w:color="auto" w:fill="auto"/>
            <w:vAlign w:val="bottom"/>
            <w:hideMark/>
          </w:tcPr>
          <w:p w14:paraId="222DA553" w14:textId="1067C378"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Median ~ 50</w:t>
            </w:r>
            <w:r w:rsidR="000B4E2C" w:rsidRPr="000B4E2C">
              <w:rPr>
                <w:rFonts w:cstheme="minorHAnsi"/>
                <w:sz w:val="18"/>
                <w:szCs w:val="18"/>
                <w:lang w:eastAsia="en-GB"/>
              </w:rPr>
              <w:t xml:space="preserve"> </w:t>
            </w:r>
            <w:r w:rsidRPr="000B4E2C">
              <w:rPr>
                <w:rFonts w:cstheme="minorHAnsi"/>
                <w:sz w:val="18"/>
                <w:szCs w:val="18"/>
                <w:lang w:eastAsia="en-GB"/>
              </w:rPr>
              <w:t>Median ~ 50</w:t>
            </w:r>
          </w:p>
        </w:tc>
        <w:tc>
          <w:tcPr>
            <w:tcW w:w="0" w:type="auto"/>
            <w:shd w:val="clear" w:color="auto" w:fill="auto"/>
            <w:vAlign w:val="bottom"/>
            <w:hideMark/>
          </w:tcPr>
          <w:p w14:paraId="4C2C2DCE" w14:textId="7C84535F"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60%</w:t>
            </w:r>
            <w:r w:rsidR="000B4E2C" w:rsidRPr="000B4E2C">
              <w:rPr>
                <w:rFonts w:cstheme="minorHAnsi"/>
                <w:sz w:val="18"/>
                <w:szCs w:val="18"/>
                <w:lang w:eastAsia="en-GB"/>
              </w:rPr>
              <w:t xml:space="preserve"> </w:t>
            </w:r>
            <w:r w:rsidRPr="000B4E2C">
              <w:rPr>
                <w:rFonts w:cstheme="minorHAnsi"/>
                <w:sz w:val="18"/>
                <w:szCs w:val="18"/>
                <w:lang w:eastAsia="en-GB"/>
              </w:rPr>
              <w:t>58%</w:t>
            </w:r>
          </w:p>
        </w:tc>
        <w:tc>
          <w:tcPr>
            <w:tcW w:w="0" w:type="auto"/>
            <w:shd w:val="clear" w:color="auto" w:fill="auto"/>
            <w:vAlign w:val="bottom"/>
            <w:hideMark/>
          </w:tcPr>
          <w:p w14:paraId="55E60AB5" w14:textId="60E1F812"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waiting list</w:t>
            </w:r>
            <w:r w:rsidR="000B4E2C" w:rsidRPr="000B4E2C">
              <w:rPr>
                <w:rFonts w:cstheme="minorHAnsi"/>
                <w:sz w:val="18"/>
                <w:szCs w:val="18"/>
                <w:lang w:eastAsia="en-GB"/>
              </w:rPr>
              <w:t xml:space="preserve"> </w:t>
            </w:r>
            <w:r w:rsidRPr="000B4E2C">
              <w:rPr>
                <w:rFonts w:cstheme="minorHAnsi"/>
                <w:sz w:val="18"/>
                <w:szCs w:val="18"/>
                <w:lang w:eastAsia="en-GB"/>
              </w:rPr>
              <w:t>transplant (inc)</w:t>
            </w:r>
          </w:p>
        </w:tc>
        <w:tc>
          <w:tcPr>
            <w:tcW w:w="0" w:type="auto"/>
            <w:shd w:val="clear" w:color="auto" w:fill="auto"/>
            <w:vAlign w:val="bottom"/>
            <w:hideMark/>
          </w:tcPr>
          <w:p w14:paraId="0FF662AE" w14:textId="77777777" w:rsidR="000B4E2C" w:rsidRPr="000B4E2C" w:rsidRDefault="008523B9" w:rsidP="00A908B8">
            <w:pPr>
              <w:rPr>
                <w:rFonts w:cstheme="minorHAnsi"/>
                <w:sz w:val="18"/>
                <w:szCs w:val="18"/>
                <w:lang w:eastAsia="en-GB"/>
              </w:rPr>
            </w:pPr>
            <w:r w:rsidRPr="000B4E2C">
              <w:rPr>
                <w:rFonts w:cstheme="minorHAnsi"/>
                <w:sz w:val="18"/>
                <w:szCs w:val="18"/>
                <w:lang w:eastAsia="en-GB"/>
              </w:rPr>
              <w:t>0.773</w:t>
            </w:r>
          </w:p>
          <w:p w14:paraId="2403AEE0" w14:textId="1B514897" w:rsidR="008523B9" w:rsidRPr="000B4E2C" w:rsidRDefault="000B4E2C" w:rsidP="00A908B8">
            <w:pPr>
              <w:rPr>
                <w:rFonts w:cstheme="minorHAnsi"/>
                <w:color w:val="000000"/>
                <w:sz w:val="18"/>
                <w:szCs w:val="18"/>
                <w:lang w:eastAsia="en-GB"/>
              </w:rPr>
            </w:pPr>
            <w:r w:rsidRPr="000B4E2C">
              <w:rPr>
                <w:rFonts w:cstheme="minorHAnsi"/>
                <w:color w:val="00B0F0"/>
                <w:sz w:val="18"/>
                <w:szCs w:val="18"/>
                <w:lang w:eastAsia="en-GB"/>
              </w:rPr>
              <w:t>+</w:t>
            </w:r>
            <w:r w:rsidRPr="000B4E2C">
              <w:rPr>
                <w:rFonts w:cstheme="minorHAnsi"/>
                <w:color w:val="00B0F0"/>
                <w:sz w:val="18"/>
                <w:szCs w:val="18"/>
                <w:lang w:eastAsia="en-GB"/>
              </w:rPr>
              <w:t> </w:t>
            </w:r>
            <w:r w:rsidRPr="000B4E2C">
              <w:rPr>
                <w:rFonts w:cstheme="minorHAnsi"/>
                <w:color w:val="00B0F0"/>
                <w:sz w:val="18"/>
                <w:szCs w:val="18"/>
                <w:lang w:eastAsia="en-GB"/>
              </w:rPr>
              <w:t>0</w:t>
            </w:r>
            <w:r w:rsidR="008523B9" w:rsidRPr="000B4E2C">
              <w:rPr>
                <w:rFonts w:cstheme="minorHAnsi"/>
                <w:sz w:val="18"/>
                <w:szCs w:val="18"/>
                <w:lang w:eastAsia="en-GB"/>
              </w:rPr>
              <w:t>.054</w:t>
            </w:r>
          </w:p>
        </w:tc>
        <w:tc>
          <w:tcPr>
            <w:tcW w:w="0" w:type="auto"/>
            <w:shd w:val="clear" w:color="auto" w:fill="auto"/>
            <w:vAlign w:val="bottom"/>
            <w:hideMark/>
          </w:tcPr>
          <w:p w14:paraId="3C58991F" w14:textId="421C5EA2"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48E0B56B" w14:textId="77777777" w:rsidR="000B4E2C" w:rsidRPr="000B4E2C" w:rsidRDefault="008523B9" w:rsidP="00A908B8">
            <w:pPr>
              <w:rPr>
                <w:rFonts w:cstheme="minorHAnsi"/>
                <w:sz w:val="18"/>
                <w:szCs w:val="18"/>
                <w:lang w:eastAsia="en-GB"/>
              </w:rPr>
            </w:pPr>
            <w:r w:rsidRPr="000B4E2C">
              <w:rPr>
                <w:rFonts w:cstheme="minorHAnsi"/>
                <w:sz w:val="18"/>
                <w:szCs w:val="18"/>
                <w:lang w:eastAsia="en-GB"/>
              </w:rPr>
              <w:t>0.005</w:t>
            </w:r>
          </w:p>
          <w:p w14:paraId="7BC50FDD" w14:textId="7A347105"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0.011</w:t>
            </w:r>
          </w:p>
        </w:tc>
        <w:tc>
          <w:tcPr>
            <w:tcW w:w="0" w:type="auto"/>
            <w:shd w:val="clear" w:color="auto" w:fill="auto"/>
            <w:vAlign w:val="bottom"/>
            <w:hideMark/>
          </w:tcPr>
          <w:p w14:paraId="51FE83C6" w14:textId="7668E1F6"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2C1231C0" w14:textId="268C9B58"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510B5F07" w14:textId="07927CF9"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3C4965F0" w14:textId="02A2696B"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66D86C38" w14:textId="05CA040C" w:rsidR="008523B9" w:rsidRPr="000B4E2C" w:rsidRDefault="000B4E2C" w:rsidP="00A908B8">
            <w:pPr>
              <w:rPr>
                <w:rFonts w:cstheme="minorHAnsi"/>
                <w:sz w:val="18"/>
                <w:szCs w:val="18"/>
                <w:lang w:eastAsia="en-GB"/>
              </w:rPr>
            </w:pPr>
            <w:r w:rsidRPr="000B4E2C">
              <w:rPr>
                <w:rFonts w:cstheme="minorHAnsi"/>
                <w:sz w:val="18"/>
                <w:szCs w:val="18"/>
                <w:lang w:eastAsia="en-GB"/>
              </w:rPr>
              <w:t xml:space="preserve"> </w:t>
            </w:r>
          </w:p>
        </w:tc>
      </w:tr>
      <w:tr w:rsidR="000B4E2C" w:rsidRPr="000B4E2C" w14:paraId="178C0857" w14:textId="77777777" w:rsidTr="000B4E2C">
        <w:trPr>
          <w:cantSplit/>
          <w:tblHeader/>
        </w:trPr>
        <w:tc>
          <w:tcPr>
            <w:tcW w:w="0" w:type="auto"/>
            <w:shd w:val="clear" w:color="auto" w:fill="auto"/>
            <w:vAlign w:val="bottom"/>
            <w:hideMark/>
          </w:tcPr>
          <w:p w14:paraId="3A007130" w14:textId="12E44462"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Nguyen</w:t>
            </w:r>
            <w:r w:rsidR="00280A97" w:rsidRPr="000B4E2C">
              <w:rPr>
                <w:rFonts w:cstheme="minorHAnsi"/>
                <w:noProof/>
                <w:sz w:val="18"/>
                <w:szCs w:val="18"/>
                <w:vertAlign w:val="superscript"/>
                <w:lang w:eastAsia="en-GB"/>
              </w:rPr>
              <w:t>135</w:t>
            </w:r>
          </w:p>
        </w:tc>
        <w:tc>
          <w:tcPr>
            <w:tcW w:w="0" w:type="auto"/>
            <w:shd w:val="clear" w:color="auto" w:fill="auto"/>
            <w:vAlign w:val="bottom"/>
            <w:hideMark/>
          </w:tcPr>
          <w:p w14:paraId="3E0312BB" w14:textId="77777777" w:rsidR="008523B9" w:rsidRPr="000B4E2C" w:rsidRDefault="008523B9" w:rsidP="00A908B8">
            <w:pPr>
              <w:jc w:val="right"/>
              <w:rPr>
                <w:rFonts w:cstheme="minorHAnsi"/>
                <w:color w:val="000000"/>
                <w:sz w:val="18"/>
                <w:szCs w:val="18"/>
                <w:lang w:eastAsia="en-GB"/>
              </w:rPr>
            </w:pPr>
            <w:r w:rsidRPr="000B4E2C">
              <w:rPr>
                <w:rFonts w:cstheme="minorHAnsi"/>
                <w:sz w:val="18"/>
                <w:szCs w:val="18"/>
                <w:lang w:eastAsia="en-GB"/>
              </w:rPr>
              <w:t>2018</w:t>
            </w:r>
          </w:p>
        </w:tc>
        <w:tc>
          <w:tcPr>
            <w:tcW w:w="0" w:type="auto"/>
            <w:shd w:val="clear" w:color="auto" w:fill="auto"/>
            <w:vAlign w:val="bottom"/>
            <w:hideMark/>
          </w:tcPr>
          <w:p w14:paraId="16F2770A"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CKD and ESRD</w:t>
            </w:r>
          </w:p>
        </w:tc>
        <w:tc>
          <w:tcPr>
            <w:tcW w:w="0" w:type="auto"/>
            <w:shd w:val="clear" w:color="auto" w:fill="auto"/>
            <w:vAlign w:val="bottom"/>
            <w:hideMark/>
          </w:tcPr>
          <w:p w14:paraId="6ECD6BB5"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vAlign w:val="bottom"/>
            <w:hideMark/>
          </w:tcPr>
          <w:p w14:paraId="59A9FDFB" w14:textId="1E01A02E"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vAlign w:val="bottom"/>
            <w:hideMark/>
          </w:tcPr>
          <w:p w14:paraId="69817081"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vAlign w:val="bottom"/>
            <w:hideMark/>
          </w:tcPr>
          <w:p w14:paraId="25C5FB67" w14:textId="70A5414D"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CKD1: 56</w:t>
            </w:r>
            <w:r w:rsidR="000B4E2C" w:rsidRPr="000B4E2C">
              <w:rPr>
                <w:rFonts w:cstheme="minorHAnsi"/>
                <w:sz w:val="18"/>
                <w:szCs w:val="18"/>
                <w:lang w:eastAsia="en-GB"/>
              </w:rPr>
              <w:t xml:space="preserve"> </w:t>
            </w:r>
            <w:r w:rsidRPr="000B4E2C">
              <w:rPr>
                <w:rFonts w:cstheme="minorHAnsi"/>
                <w:sz w:val="18"/>
                <w:szCs w:val="18"/>
                <w:lang w:eastAsia="en-GB"/>
              </w:rPr>
              <w:t>CKD2: 106</w:t>
            </w:r>
            <w:r w:rsidR="000B4E2C" w:rsidRPr="000B4E2C">
              <w:rPr>
                <w:rFonts w:cstheme="minorHAnsi"/>
                <w:sz w:val="18"/>
                <w:szCs w:val="18"/>
                <w:lang w:eastAsia="en-GB"/>
              </w:rPr>
              <w:t xml:space="preserve"> </w:t>
            </w:r>
            <w:r w:rsidRPr="000B4E2C">
              <w:rPr>
                <w:rFonts w:cstheme="minorHAnsi"/>
                <w:sz w:val="18"/>
                <w:szCs w:val="18"/>
                <w:lang w:eastAsia="en-GB"/>
              </w:rPr>
              <w:t>CKD3a: 155</w:t>
            </w:r>
            <w:r w:rsidR="000B4E2C" w:rsidRPr="000B4E2C">
              <w:rPr>
                <w:rFonts w:cstheme="minorHAnsi"/>
                <w:sz w:val="18"/>
                <w:szCs w:val="18"/>
                <w:lang w:eastAsia="en-GB"/>
              </w:rPr>
              <w:t xml:space="preserve"> </w:t>
            </w:r>
            <w:r w:rsidRPr="000B4E2C">
              <w:rPr>
                <w:rFonts w:cstheme="minorHAnsi"/>
                <w:sz w:val="18"/>
                <w:szCs w:val="18"/>
                <w:lang w:eastAsia="en-GB"/>
              </w:rPr>
              <w:t>CKD3b: 35</w:t>
            </w:r>
            <w:r w:rsidR="000B4E2C" w:rsidRPr="000B4E2C">
              <w:rPr>
                <w:rFonts w:cstheme="minorHAnsi"/>
                <w:sz w:val="18"/>
                <w:szCs w:val="18"/>
                <w:lang w:eastAsia="en-GB"/>
              </w:rPr>
              <w:t xml:space="preserve"> </w:t>
            </w:r>
            <w:r w:rsidRPr="000B4E2C">
              <w:rPr>
                <w:rFonts w:cstheme="minorHAnsi"/>
                <w:sz w:val="18"/>
                <w:szCs w:val="18"/>
                <w:lang w:eastAsia="en-GB"/>
              </w:rPr>
              <w:t>CKD 4/5: 5</w:t>
            </w:r>
          </w:p>
        </w:tc>
        <w:tc>
          <w:tcPr>
            <w:tcW w:w="0" w:type="auto"/>
            <w:shd w:val="clear" w:color="auto" w:fill="auto"/>
            <w:vAlign w:val="bottom"/>
            <w:hideMark/>
          </w:tcPr>
          <w:p w14:paraId="374A5F88" w14:textId="346EA4C8"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44.6 (18.2)</w:t>
            </w:r>
            <w:r w:rsidR="000B4E2C" w:rsidRPr="000B4E2C">
              <w:rPr>
                <w:rFonts w:cstheme="minorHAnsi"/>
                <w:sz w:val="18"/>
                <w:szCs w:val="18"/>
                <w:lang w:eastAsia="en-GB"/>
              </w:rPr>
              <w:t xml:space="preserve"> </w:t>
            </w:r>
            <w:r w:rsidRPr="000B4E2C">
              <w:rPr>
                <w:rFonts w:cstheme="minorHAnsi"/>
                <w:sz w:val="18"/>
                <w:szCs w:val="18"/>
                <w:lang w:eastAsia="en-GB"/>
              </w:rPr>
              <w:t>60 (17.4)</w:t>
            </w:r>
            <w:r w:rsidR="000B4E2C" w:rsidRPr="000B4E2C">
              <w:rPr>
                <w:rFonts w:cstheme="minorHAnsi"/>
                <w:sz w:val="18"/>
                <w:szCs w:val="18"/>
                <w:lang w:eastAsia="en-GB"/>
              </w:rPr>
              <w:t xml:space="preserve"> </w:t>
            </w:r>
            <w:r w:rsidRPr="000B4E2C">
              <w:rPr>
                <w:rFonts w:cstheme="minorHAnsi"/>
                <w:sz w:val="18"/>
                <w:szCs w:val="18"/>
                <w:lang w:eastAsia="en-GB"/>
              </w:rPr>
              <w:t>65.3 (14.8)</w:t>
            </w:r>
            <w:r w:rsidR="000B4E2C" w:rsidRPr="000B4E2C">
              <w:rPr>
                <w:rFonts w:cstheme="minorHAnsi"/>
                <w:sz w:val="18"/>
                <w:szCs w:val="18"/>
                <w:lang w:eastAsia="en-GB"/>
              </w:rPr>
              <w:t xml:space="preserve"> </w:t>
            </w:r>
            <w:r w:rsidRPr="000B4E2C">
              <w:rPr>
                <w:rFonts w:cstheme="minorHAnsi"/>
                <w:sz w:val="18"/>
                <w:szCs w:val="18"/>
                <w:lang w:eastAsia="en-GB"/>
              </w:rPr>
              <w:t>74.1 (13.4)</w:t>
            </w:r>
            <w:r w:rsidR="000B4E2C" w:rsidRPr="000B4E2C">
              <w:rPr>
                <w:rFonts w:cstheme="minorHAnsi"/>
                <w:sz w:val="18"/>
                <w:szCs w:val="18"/>
                <w:lang w:eastAsia="en-GB"/>
              </w:rPr>
              <w:t xml:space="preserve"> </w:t>
            </w:r>
            <w:r w:rsidRPr="000B4E2C">
              <w:rPr>
                <w:rFonts w:cstheme="minorHAnsi"/>
                <w:sz w:val="18"/>
                <w:szCs w:val="18"/>
                <w:lang w:eastAsia="en-GB"/>
              </w:rPr>
              <w:t>72.2 (10.3)</w:t>
            </w:r>
          </w:p>
        </w:tc>
        <w:tc>
          <w:tcPr>
            <w:tcW w:w="0" w:type="auto"/>
            <w:shd w:val="clear" w:color="auto" w:fill="auto"/>
            <w:vAlign w:val="bottom"/>
            <w:hideMark/>
          </w:tcPr>
          <w:p w14:paraId="3B3FB854" w14:textId="6EE2AC5B"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33.9%</w:t>
            </w:r>
            <w:r w:rsidR="000B4E2C" w:rsidRPr="000B4E2C">
              <w:rPr>
                <w:rFonts w:cstheme="minorHAnsi"/>
                <w:sz w:val="18"/>
                <w:szCs w:val="18"/>
                <w:lang w:eastAsia="en-GB"/>
              </w:rPr>
              <w:t xml:space="preserve"> </w:t>
            </w:r>
            <w:r w:rsidRPr="000B4E2C">
              <w:rPr>
                <w:rFonts w:cstheme="minorHAnsi"/>
                <w:sz w:val="18"/>
                <w:szCs w:val="18"/>
                <w:lang w:eastAsia="en-GB"/>
              </w:rPr>
              <w:t>50.0%</w:t>
            </w:r>
            <w:r w:rsidR="000B4E2C" w:rsidRPr="000B4E2C">
              <w:rPr>
                <w:rFonts w:cstheme="minorHAnsi"/>
                <w:sz w:val="18"/>
                <w:szCs w:val="18"/>
                <w:lang w:eastAsia="en-GB"/>
              </w:rPr>
              <w:t xml:space="preserve"> </w:t>
            </w:r>
            <w:r w:rsidRPr="000B4E2C">
              <w:rPr>
                <w:rFonts w:cstheme="minorHAnsi"/>
                <w:sz w:val="18"/>
                <w:szCs w:val="18"/>
                <w:lang w:eastAsia="en-GB"/>
              </w:rPr>
              <w:t>46.5%</w:t>
            </w:r>
            <w:r w:rsidR="000B4E2C" w:rsidRPr="000B4E2C">
              <w:rPr>
                <w:rFonts w:cstheme="minorHAnsi"/>
                <w:sz w:val="18"/>
                <w:szCs w:val="18"/>
                <w:lang w:eastAsia="en-GB"/>
              </w:rPr>
              <w:t xml:space="preserve"> </w:t>
            </w:r>
            <w:r w:rsidRPr="000B4E2C">
              <w:rPr>
                <w:rFonts w:cstheme="minorHAnsi"/>
                <w:sz w:val="18"/>
                <w:szCs w:val="18"/>
                <w:lang w:eastAsia="en-GB"/>
              </w:rPr>
              <w:t>60.0%</w:t>
            </w:r>
            <w:r w:rsidR="000B4E2C" w:rsidRPr="000B4E2C">
              <w:rPr>
                <w:rFonts w:cstheme="minorHAnsi"/>
                <w:sz w:val="18"/>
                <w:szCs w:val="18"/>
                <w:lang w:eastAsia="en-GB"/>
              </w:rPr>
              <w:t xml:space="preserve"> </w:t>
            </w:r>
            <w:r w:rsidRPr="000B4E2C">
              <w:rPr>
                <w:rFonts w:cstheme="minorHAnsi"/>
                <w:sz w:val="18"/>
                <w:szCs w:val="18"/>
                <w:lang w:eastAsia="en-GB"/>
              </w:rPr>
              <w:t>40.0%</w:t>
            </w:r>
          </w:p>
        </w:tc>
        <w:tc>
          <w:tcPr>
            <w:tcW w:w="0" w:type="auto"/>
            <w:shd w:val="clear" w:color="auto" w:fill="auto"/>
            <w:vAlign w:val="bottom"/>
            <w:hideMark/>
          </w:tcPr>
          <w:p w14:paraId="168F32C7" w14:textId="1D3EFA3B"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S1</w:t>
            </w:r>
            <w:r w:rsidR="000B4E2C" w:rsidRPr="000B4E2C">
              <w:rPr>
                <w:rFonts w:cstheme="minorHAnsi"/>
                <w:sz w:val="18"/>
                <w:szCs w:val="18"/>
                <w:lang w:eastAsia="en-GB"/>
              </w:rPr>
              <w:t xml:space="preserve"> </w:t>
            </w:r>
            <w:r w:rsidRPr="000B4E2C">
              <w:rPr>
                <w:rFonts w:cstheme="minorHAnsi"/>
                <w:sz w:val="18"/>
                <w:szCs w:val="18"/>
                <w:lang w:eastAsia="en-GB"/>
              </w:rPr>
              <w:t>S2</w:t>
            </w:r>
            <w:r w:rsidR="000B4E2C" w:rsidRPr="000B4E2C">
              <w:rPr>
                <w:rFonts w:cstheme="minorHAnsi"/>
                <w:sz w:val="18"/>
                <w:szCs w:val="18"/>
                <w:lang w:eastAsia="en-GB"/>
              </w:rPr>
              <w:t xml:space="preserve"> </w:t>
            </w:r>
            <w:r w:rsidRPr="000B4E2C">
              <w:rPr>
                <w:rFonts w:cstheme="minorHAnsi"/>
                <w:sz w:val="18"/>
                <w:szCs w:val="18"/>
                <w:lang w:eastAsia="en-GB"/>
              </w:rPr>
              <w:t>S3a</w:t>
            </w:r>
            <w:r w:rsidR="000B4E2C" w:rsidRPr="000B4E2C">
              <w:rPr>
                <w:rFonts w:cstheme="minorHAnsi"/>
                <w:sz w:val="18"/>
                <w:szCs w:val="18"/>
                <w:lang w:eastAsia="en-GB"/>
              </w:rPr>
              <w:t xml:space="preserve"> </w:t>
            </w:r>
            <w:r w:rsidRPr="000B4E2C">
              <w:rPr>
                <w:rFonts w:cstheme="minorHAnsi"/>
                <w:sz w:val="18"/>
                <w:szCs w:val="18"/>
                <w:lang w:eastAsia="en-GB"/>
              </w:rPr>
              <w:t>S3b</w:t>
            </w:r>
            <w:r w:rsidR="000B4E2C" w:rsidRPr="000B4E2C">
              <w:rPr>
                <w:rFonts w:cstheme="minorHAnsi"/>
                <w:sz w:val="18"/>
                <w:szCs w:val="18"/>
                <w:lang w:eastAsia="en-GB"/>
              </w:rPr>
              <w:t xml:space="preserve"> </w:t>
            </w:r>
            <w:r w:rsidRPr="000B4E2C">
              <w:rPr>
                <w:rFonts w:cstheme="minorHAnsi"/>
                <w:sz w:val="18"/>
                <w:szCs w:val="18"/>
                <w:lang w:eastAsia="en-GB"/>
              </w:rPr>
              <w:t>S4/5</w:t>
            </w:r>
          </w:p>
        </w:tc>
        <w:tc>
          <w:tcPr>
            <w:tcW w:w="0" w:type="auto"/>
            <w:shd w:val="clear" w:color="auto" w:fill="auto"/>
            <w:vAlign w:val="bottom"/>
            <w:hideMark/>
          </w:tcPr>
          <w:p w14:paraId="0E9BC1FB" w14:textId="53CD8D8F"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base NR</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.112</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.062</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.185</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.284</w:t>
            </w:r>
          </w:p>
        </w:tc>
        <w:tc>
          <w:tcPr>
            <w:tcW w:w="0" w:type="auto"/>
            <w:shd w:val="clear" w:color="auto" w:fill="auto"/>
            <w:vAlign w:val="bottom"/>
            <w:hideMark/>
          </w:tcPr>
          <w:p w14:paraId="086D6AD1" w14:textId="44FB71F9"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68A782FB" w14:textId="0797651B"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7D58B3B7" w14:textId="049A1F50"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4EF38032" w14:textId="0AC4BCC4"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base NR</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.189</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.128</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.299</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.408</w:t>
            </w:r>
          </w:p>
        </w:tc>
        <w:tc>
          <w:tcPr>
            <w:tcW w:w="0" w:type="auto"/>
            <w:shd w:val="clear" w:color="auto" w:fill="auto"/>
            <w:vAlign w:val="bottom"/>
            <w:hideMark/>
          </w:tcPr>
          <w:p w14:paraId="6E89DCCC" w14:textId="464BD83C"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base NR</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.034</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0</w:t>
            </w:r>
            <w:r w:rsidRPr="000B4E2C">
              <w:rPr>
                <w:rFonts w:cstheme="minorHAnsi"/>
                <w:sz w:val="18"/>
                <w:szCs w:val="18"/>
                <w:lang w:eastAsia="en-GB"/>
              </w:rPr>
              <w:t>.005</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.071</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.160</w:t>
            </w:r>
          </w:p>
        </w:tc>
        <w:tc>
          <w:tcPr>
            <w:tcW w:w="0" w:type="auto"/>
            <w:shd w:val="clear" w:color="auto" w:fill="auto"/>
            <w:vAlign w:val="bottom"/>
            <w:hideMark/>
          </w:tcPr>
          <w:p w14:paraId="39E867C2" w14:textId="25DF32A2"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23E15BD0" w14:textId="481FACED" w:rsidR="008523B9" w:rsidRPr="000B4E2C" w:rsidRDefault="000B4E2C" w:rsidP="00A908B8">
            <w:pPr>
              <w:rPr>
                <w:rFonts w:cstheme="minorHAnsi"/>
                <w:sz w:val="18"/>
                <w:szCs w:val="18"/>
                <w:lang w:eastAsia="en-GB"/>
              </w:rPr>
            </w:pPr>
            <w:r w:rsidRPr="000B4E2C">
              <w:rPr>
                <w:rFonts w:cstheme="minorHAnsi"/>
                <w:sz w:val="18"/>
                <w:szCs w:val="18"/>
                <w:lang w:eastAsia="en-GB"/>
              </w:rPr>
              <w:t xml:space="preserve"> </w:t>
            </w:r>
          </w:p>
        </w:tc>
      </w:tr>
      <w:tr w:rsidR="000B4E2C" w:rsidRPr="000B4E2C" w14:paraId="1C429302" w14:textId="77777777" w:rsidTr="000B4E2C">
        <w:trPr>
          <w:cantSplit/>
          <w:tblHeader/>
        </w:trPr>
        <w:tc>
          <w:tcPr>
            <w:tcW w:w="0" w:type="auto"/>
            <w:shd w:val="clear" w:color="auto" w:fill="auto"/>
            <w:vAlign w:val="bottom"/>
            <w:hideMark/>
          </w:tcPr>
          <w:p w14:paraId="7228B9E9" w14:textId="372AB7E6"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Schlackow</w:t>
            </w:r>
            <w:r w:rsidR="00280A97" w:rsidRPr="000B4E2C">
              <w:rPr>
                <w:rFonts w:cstheme="minorHAnsi"/>
                <w:noProof/>
                <w:sz w:val="18"/>
                <w:szCs w:val="18"/>
                <w:vertAlign w:val="superscript"/>
                <w:lang w:eastAsia="en-GB"/>
              </w:rPr>
              <w:t>158</w:t>
            </w:r>
          </w:p>
        </w:tc>
        <w:tc>
          <w:tcPr>
            <w:tcW w:w="0" w:type="auto"/>
            <w:shd w:val="clear" w:color="auto" w:fill="auto"/>
            <w:vAlign w:val="bottom"/>
            <w:hideMark/>
          </w:tcPr>
          <w:p w14:paraId="1F71045A" w14:textId="77777777" w:rsidR="008523B9" w:rsidRPr="000B4E2C" w:rsidRDefault="008523B9" w:rsidP="00A908B8">
            <w:pPr>
              <w:jc w:val="right"/>
              <w:rPr>
                <w:rFonts w:cstheme="minorHAnsi"/>
                <w:color w:val="000000"/>
                <w:sz w:val="18"/>
                <w:szCs w:val="18"/>
                <w:lang w:eastAsia="en-GB"/>
              </w:rPr>
            </w:pPr>
            <w:r w:rsidRPr="000B4E2C">
              <w:rPr>
                <w:rFonts w:cstheme="minorHAnsi"/>
                <w:sz w:val="18"/>
                <w:szCs w:val="18"/>
                <w:lang w:eastAsia="en-GB"/>
              </w:rPr>
              <w:t>2017</w:t>
            </w:r>
          </w:p>
        </w:tc>
        <w:tc>
          <w:tcPr>
            <w:tcW w:w="0" w:type="auto"/>
            <w:shd w:val="clear" w:color="auto" w:fill="auto"/>
            <w:vAlign w:val="bottom"/>
            <w:hideMark/>
          </w:tcPr>
          <w:p w14:paraId="4DC0A8F7"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Moderate to advanced CKD</w:t>
            </w:r>
          </w:p>
        </w:tc>
        <w:tc>
          <w:tcPr>
            <w:tcW w:w="0" w:type="auto"/>
            <w:shd w:val="clear" w:color="auto" w:fill="auto"/>
            <w:vAlign w:val="bottom"/>
            <w:hideMark/>
          </w:tcPr>
          <w:p w14:paraId="731EF560"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vAlign w:val="bottom"/>
            <w:hideMark/>
          </w:tcPr>
          <w:p w14:paraId="05B8686D" w14:textId="3E64EDC0"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vAlign w:val="bottom"/>
            <w:hideMark/>
          </w:tcPr>
          <w:p w14:paraId="0E8ADD84"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vAlign w:val="bottom"/>
            <w:hideMark/>
          </w:tcPr>
          <w:p w14:paraId="0060C21C" w14:textId="77777777" w:rsidR="008523B9" w:rsidRPr="000B4E2C" w:rsidRDefault="008523B9" w:rsidP="00A908B8">
            <w:pPr>
              <w:jc w:val="right"/>
              <w:rPr>
                <w:rFonts w:cstheme="minorHAnsi"/>
                <w:color w:val="000000"/>
                <w:sz w:val="18"/>
                <w:szCs w:val="18"/>
                <w:lang w:eastAsia="en-GB"/>
              </w:rPr>
            </w:pPr>
            <w:r w:rsidRPr="000B4E2C">
              <w:rPr>
                <w:rFonts w:cstheme="minorHAnsi"/>
                <w:sz w:val="18"/>
                <w:szCs w:val="18"/>
                <w:lang w:eastAsia="en-GB"/>
              </w:rPr>
              <w:t>6356</w:t>
            </w:r>
          </w:p>
        </w:tc>
        <w:tc>
          <w:tcPr>
            <w:tcW w:w="0" w:type="auto"/>
            <w:shd w:val="clear" w:color="auto" w:fill="auto"/>
            <w:vAlign w:val="bottom"/>
            <w:hideMark/>
          </w:tcPr>
          <w:p w14:paraId="1B0365A5"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62 (12)</w:t>
            </w:r>
          </w:p>
        </w:tc>
        <w:tc>
          <w:tcPr>
            <w:tcW w:w="0" w:type="auto"/>
            <w:shd w:val="clear" w:color="auto" w:fill="auto"/>
            <w:vAlign w:val="bottom"/>
            <w:hideMark/>
          </w:tcPr>
          <w:p w14:paraId="6C5F2AA1" w14:textId="77777777" w:rsidR="008523B9" w:rsidRPr="000B4E2C" w:rsidRDefault="008523B9" w:rsidP="00A908B8">
            <w:pPr>
              <w:jc w:val="right"/>
              <w:rPr>
                <w:rFonts w:cstheme="minorHAnsi"/>
                <w:color w:val="000000"/>
                <w:sz w:val="18"/>
                <w:szCs w:val="18"/>
                <w:lang w:eastAsia="en-GB"/>
              </w:rPr>
            </w:pPr>
            <w:r w:rsidRPr="000B4E2C">
              <w:rPr>
                <w:rFonts w:cstheme="minorHAnsi"/>
                <w:sz w:val="18"/>
                <w:szCs w:val="18"/>
                <w:lang w:eastAsia="en-GB"/>
              </w:rPr>
              <w:t>63%</w:t>
            </w:r>
          </w:p>
        </w:tc>
        <w:tc>
          <w:tcPr>
            <w:tcW w:w="0" w:type="auto"/>
            <w:shd w:val="clear" w:color="auto" w:fill="auto"/>
            <w:vAlign w:val="bottom"/>
            <w:hideMark/>
          </w:tcPr>
          <w:p w14:paraId="19F359DA" w14:textId="69F06283" w:rsidR="008523B9" w:rsidRPr="000B4E2C" w:rsidRDefault="008523B9" w:rsidP="00A908B8">
            <w:pPr>
              <w:rPr>
                <w:rFonts w:cstheme="minorHAnsi"/>
                <w:color w:val="000000"/>
                <w:sz w:val="18"/>
                <w:szCs w:val="18"/>
                <w:lang w:eastAsia="en-GB"/>
              </w:rPr>
            </w:pPr>
            <w:r w:rsidRPr="000B4E2C">
              <w:rPr>
                <w:rFonts w:cstheme="minorHAnsi"/>
                <w:sz w:val="18"/>
                <w:szCs w:val="18"/>
                <w:u w:val="single"/>
                <w:lang w:eastAsia="en-GB"/>
              </w:rPr>
              <w:t>Regression</w:t>
            </w:r>
            <w:r w:rsidR="000B4E2C" w:rsidRPr="000B4E2C">
              <w:rPr>
                <w:rFonts w:cstheme="minorHAnsi"/>
                <w:sz w:val="18"/>
                <w:szCs w:val="18"/>
                <w:u w:val="single"/>
                <w:lang w:eastAsia="en-GB"/>
              </w:rPr>
              <w:t xml:space="preserve"> </w:t>
            </w:r>
            <w:r w:rsidRPr="000B4E2C">
              <w:rPr>
                <w:rFonts w:cstheme="minorHAnsi"/>
                <w:sz w:val="18"/>
                <w:szCs w:val="18"/>
                <w:lang w:eastAsia="en-GB"/>
              </w:rPr>
              <w:t>Mean (intercept)</w:t>
            </w:r>
            <w:r w:rsidR="000B4E2C" w:rsidRPr="000B4E2C">
              <w:rPr>
                <w:rFonts w:cstheme="minorHAnsi"/>
                <w:sz w:val="18"/>
                <w:szCs w:val="18"/>
                <w:lang w:eastAsia="en-GB"/>
              </w:rPr>
              <w:t xml:space="preserve"> </w:t>
            </w:r>
            <w:r w:rsidRPr="000B4E2C">
              <w:rPr>
                <w:rFonts w:cstheme="minorHAnsi"/>
                <w:sz w:val="18"/>
                <w:szCs w:val="18"/>
                <w:lang w:eastAsia="en-GB"/>
              </w:rPr>
              <w:t>Male</w:t>
            </w:r>
            <w:r w:rsidR="000B4E2C" w:rsidRPr="000B4E2C">
              <w:rPr>
                <w:rFonts w:cstheme="minorHAnsi"/>
                <w:sz w:val="18"/>
                <w:szCs w:val="18"/>
                <w:lang w:eastAsia="en-GB"/>
              </w:rPr>
              <w:t xml:space="preserve"> </w:t>
            </w:r>
            <w:r w:rsidRPr="000B4E2C">
              <w:rPr>
                <w:rFonts w:cstheme="minorHAnsi"/>
                <w:sz w:val="18"/>
                <w:szCs w:val="18"/>
                <w:lang w:eastAsia="en-GB"/>
              </w:rPr>
              <w:t xml:space="preserve">Age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1</w:t>
            </w:r>
            <w:r w:rsidRPr="000B4E2C">
              <w:rPr>
                <w:rFonts w:cstheme="minorHAnsi"/>
                <w:sz w:val="18"/>
                <w:szCs w:val="18"/>
                <w:lang w:eastAsia="en-GB"/>
              </w:rPr>
              <w:t>0y</w:t>
            </w:r>
            <w:r w:rsidR="000B4E2C" w:rsidRPr="000B4E2C">
              <w:rPr>
                <w:rFonts w:cstheme="minorHAnsi"/>
                <w:sz w:val="18"/>
                <w:szCs w:val="18"/>
                <w:lang w:eastAsia="en-GB"/>
              </w:rPr>
              <w:t xml:space="preserve"> </w:t>
            </w:r>
            <w:r w:rsidRPr="000B4E2C">
              <w:rPr>
                <w:rFonts w:cstheme="minorHAnsi"/>
                <w:sz w:val="18"/>
                <w:szCs w:val="18"/>
                <w:lang w:eastAsia="en-GB"/>
              </w:rPr>
              <w:t>PFKT</w:t>
            </w:r>
            <w:r w:rsidR="000B4E2C" w:rsidRPr="000B4E2C">
              <w:rPr>
                <w:rFonts w:cstheme="minorHAnsi"/>
                <w:sz w:val="18"/>
                <w:szCs w:val="18"/>
                <w:lang w:eastAsia="en-GB"/>
              </w:rPr>
              <w:t xml:space="preserve"> </w:t>
            </w:r>
            <w:r w:rsidRPr="000B4E2C">
              <w:rPr>
                <w:rFonts w:cstheme="minorHAnsi"/>
                <w:sz w:val="18"/>
                <w:szCs w:val="18"/>
                <w:lang w:eastAsia="en-GB"/>
              </w:rPr>
              <w:t xml:space="preserve">dialysis </w:t>
            </w:r>
          </w:p>
        </w:tc>
        <w:tc>
          <w:tcPr>
            <w:tcW w:w="0" w:type="auto"/>
            <w:shd w:val="clear" w:color="auto" w:fill="auto"/>
            <w:vAlign w:val="bottom"/>
            <w:hideMark/>
          </w:tcPr>
          <w:p w14:paraId="27CAC14F" w14:textId="1615C6C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0.86</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0</w:t>
            </w:r>
            <w:r w:rsidRPr="000B4E2C">
              <w:rPr>
                <w:rFonts w:cstheme="minorHAnsi"/>
                <w:sz w:val="18"/>
                <w:szCs w:val="18"/>
                <w:lang w:eastAsia="en-GB"/>
              </w:rPr>
              <w:t>.06</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.05</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.07</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.06</w:t>
            </w:r>
          </w:p>
        </w:tc>
        <w:tc>
          <w:tcPr>
            <w:tcW w:w="0" w:type="auto"/>
            <w:shd w:val="clear" w:color="auto" w:fill="auto"/>
            <w:vAlign w:val="bottom"/>
            <w:hideMark/>
          </w:tcPr>
          <w:p w14:paraId="2866C79F" w14:textId="0236892C"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0A04E306" w14:textId="041434BC"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788622DC" w14:textId="718D6A88"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4CF44F47" w14:textId="2E8603FE"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0.84</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0</w:t>
            </w:r>
            <w:r w:rsidRPr="000B4E2C">
              <w:rPr>
                <w:rFonts w:cstheme="minorHAnsi"/>
                <w:sz w:val="18"/>
                <w:szCs w:val="18"/>
                <w:lang w:eastAsia="en-GB"/>
              </w:rPr>
              <w:t>.05</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.05</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.11</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.07</w:t>
            </w:r>
          </w:p>
        </w:tc>
        <w:tc>
          <w:tcPr>
            <w:tcW w:w="0" w:type="auto"/>
            <w:shd w:val="clear" w:color="auto" w:fill="auto"/>
            <w:vAlign w:val="bottom"/>
            <w:hideMark/>
          </w:tcPr>
          <w:p w14:paraId="53922C49" w14:textId="3D1B062E"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0.88</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0</w:t>
            </w:r>
            <w:r w:rsidRPr="000B4E2C">
              <w:rPr>
                <w:rFonts w:cstheme="minorHAnsi"/>
                <w:sz w:val="18"/>
                <w:szCs w:val="18"/>
                <w:lang w:eastAsia="en-GB"/>
              </w:rPr>
              <w:t>.07</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.04</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.03</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.04</w:t>
            </w:r>
          </w:p>
        </w:tc>
        <w:tc>
          <w:tcPr>
            <w:tcW w:w="0" w:type="auto"/>
            <w:shd w:val="clear" w:color="auto" w:fill="auto"/>
            <w:vAlign w:val="bottom"/>
            <w:hideMark/>
          </w:tcPr>
          <w:p w14:paraId="29B9D007" w14:textId="0F88DE3C"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586E5869" w14:textId="0B3902FE" w:rsidR="008523B9" w:rsidRPr="000B4E2C" w:rsidRDefault="000B4E2C" w:rsidP="00A908B8">
            <w:pPr>
              <w:rPr>
                <w:rFonts w:cstheme="minorHAnsi"/>
                <w:sz w:val="18"/>
                <w:szCs w:val="18"/>
                <w:lang w:eastAsia="en-GB"/>
              </w:rPr>
            </w:pPr>
            <w:r w:rsidRPr="000B4E2C">
              <w:rPr>
                <w:rFonts w:cstheme="minorHAnsi"/>
                <w:sz w:val="18"/>
                <w:szCs w:val="18"/>
                <w:lang w:eastAsia="en-GB"/>
              </w:rPr>
              <w:t xml:space="preserve"> </w:t>
            </w:r>
          </w:p>
        </w:tc>
      </w:tr>
      <w:tr w:rsidR="000B4E2C" w:rsidRPr="000B4E2C" w14:paraId="1E317729" w14:textId="77777777" w:rsidTr="000B4E2C">
        <w:trPr>
          <w:cantSplit/>
          <w:tblHeader/>
        </w:trPr>
        <w:tc>
          <w:tcPr>
            <w:tcW w:w="0" w:type="auto"/>
            <w:shd w:val="clear" w:color="auto" w:fill="auto"/>
            <w:vAlign w:val="bottom"/>
            <w:hideMark/>
          </w:tcPr>
          <w:p w14:paraId="410E658E" w14:textId="0B79F329"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Snowsill</w:t>
            </w:r>
            <w:r w:rsidR="00280A97" w:rsidRPr="000B4E2C">
              <w:rPr>
                <w:rFonts w:cstheme="minorHAnsi"/>
                <w:noProof/>
                <w:sz w:val="18"/>
                <w:szCs w:val="18"/>
                <w:vertAlign w:val="superscript"/>
                <w:lang w:eastAsia="en-GB"/>
              </w:rPr>
              <w:t>159</w:t>
            </w:r>
          </w:p>
        </w:tc>
        <w:tc>
          <w:tcPr>
            <w:tcW w:w="0" w:type="auto"/>
            <w:shd w:val="clear" w:color="auto" w:fill="auto"/>
            <w:vAlign w:val="bottom"/>
            <w:hideMark/>
          </w:tcPr>
          <w:p w14:paraId="605ACA68" w14:textId="77777777" w:rsidR="008523B9" w:rsidRPr="000B4E2C" w:rsidRDefault="008523B9" w:rsidP="00A908B8">
            <w:pPr>
              <w:jc w:val="right"/>
              <w:rPr>
                <w:rFonts w:cstheme="minorHAnsi"/>
                <w:color w:val="000000"/>
                <w:sz w:val="18"/>
                <w:szCs w:val="18"/>
                <w:lang w:eastAsia="en-GB"/>
              </w:rPr>
            </w:pPr>
            <w:r w:rsidRPr="000B4E2C">
              <w:rPr>
                <w:rFonts w:cstheme="minorHAnsi"/>
                <w:sz w:val="18"/>
                <w:szCs w:val="18"/>
                <w:lang w:eastAsia="en-GB"/>
              </w:rPr>
              <w:t>2017</w:t>
            </w:r>
          </w:p>
        </w:tc>
        <w:tc>
          <w:tcPr>
            <w:tcW w:w="0" w:type="auto"/>
            <w:shd w:val="clear" w:color="auto" w:fill="auto"/>
            <w:vAlign w:val="bottom"/>
            <w:hideMark/>
          </w:tcPr>
          <w:p w14:paraId="1613DF1C"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Kidney transplant recipients</w:t>
            </w:r>
          </w:p>
        </w:tc>
        <w:tc>
          <w:tcPr>
            <w:tcW w:w="0" w:type="auto"/>
            <w:shd w:val="clear" w:color="auto" w:fill="auto"/>
            <w:vAlign w:val="bottom"/>
            <w:hideMark/>
          </w:tcPr>
          <w:p w14:paraId="1362FB28"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vAlign w:val="bottom"/>
            <w:hideMark/>
          </w:tcPr>
          <w:p w14:paraId="5749FA08" w14:textId="72E83B23"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E</w:t>
            </w:r>
            <w:r w:rsidR="000B4E2C" w:rsidRPr="000B4E2C">
              <w:rPr>
                <w:rFonts w:cstheme="minorHAnsi"/>
                <w:color w:val="00B0F0"/>
                <w:sz w:val="18"/>
                <w:szCs w:val="18"/>
                <w:lang w:eastAsia="en-GB"/>
              </w:rPr>
              <w:t>Q</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5D</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3</w:t>
            </w:r>
            <w:r w:rsidRPr="000B4E2C">
              <w:rPr>
                <w:rFonts w:cstheme="minorHAnsi"/>
                <w:sz w:val="18"/>
                <w:szCs w:val="18"/>
                <w:lang w:eastAsia="en-GB"/>
              </w:rPr>
              <w:t>L</w:t>
            </w:r>
          </w:p>
        </w:tc>
        <w:tc>
          <w:tcPr>
            <w:tcW w:w="0" w:type="auto"/>
            <w:shd w:val="clear" w:color="auto" w:fill="auto"/>
            <w:vAlign w:val="bottom"/>
            <w:hideMark/>
          </w:tcPr>
          <w:p w14:paraId="4C09F034"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UK</w:t>
            </w:r>
          </w:p>
        </w:tc>
        <w:tc>
          <w:tcPr>
            <w:tcW w:w="0" w:type="auto"/>
            <w:shd w:val="clear" w:color="auto" w:fill="auto"/>
            <w:vAlign w:val="bottom"/>
            <w:hideMark/>
          </w:tcPr>
          <w:p w14:paraId="3450D8ED"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N/A</w:t>
            </w:r>
          </w:p>
        </w:tc>
        <w:tc>
          <w:tcPr>
            <w:tcW w:w="0" w:type="auto"/>
            <w:shd w:val="clear" w:color="auto" w:fill="auto"/>
            <w:vAlign w:val="bottom"/>
            <w:hideMark/>
          </w:tcPr>
          <w:p w14:paraId="1C9ED45E"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N/A</w:t>
            </w:r>
          </w:p>
        </w:tc>
        <w:tc>
          <w:tcPr>
            <w:tcW w:w="0" w:type="auto"/>
            <w:shd w:val="clear" w:color="auto" w:fill="auto"/>
            <w:vAlign w:val="bottom"/>
            <w:hideMark/>
          </w:tcPr>
          <w:p w14:paraId="1445CC94"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N/A</w:t>
            </w:r>
          </w:p>
        </w:tc>
        <w:tc>
          <w:tcPr>
            <w:tcW w:w="0" w:type="auto"/>
            <w:shd w:val="clear" w:color="auto" w:fill="auto"/>
            <w:vAlign w:val="bottom"/>
            <w:hideMark/>
          </w:tcPr>
          <w:p w14:paraId="54C6069B" w14:textId="7CD2AF17" w:rsidR="008523B9" w:rsidRPr="000B4E2C" w:rsidRDefault="008523B9" w:rsidP="00A908B8">
            <w:pPr>
              <w:rPr>
                <w:rFonts w:cstheme="minorHAnsi"/>
                <w:color w:val="000000"/>
                <w:sz w:val="18"/>
                <w:szCs w:val="18"/>
                <w:lang w:eastAsia="en-GB"/>
              </w:rPr>
            </w:pPr>
            <w:r w:rsidRPr="000B4E2C">
              <w:rPr>
                <w:rFonts w:cstheme="minorHAnsi"/>
                <w:sz w:val="18"/>
                <w:szCs w:val="18"/>
                <w:u w:val="single"/>
                <w:lang w:eastAsia="en-GB"/>
              </w:rPr>
              <w:t>Regression</w:t>
            </w:r>
            <w:r w:rsidR="000B4E2C" w:rsidRPr="000B4E2C">
              <w:rPr>
                <w:rFonts w:cstheme="minorHAnsi"/>
                <w:sz w:val="18"/>
                <w:szCs w:val="18"/>
                <w:lang w:eastAsia="en-GB"/>
              </w:rPr>
              <w:t xml:space="preserve"> </w:t>
            </w:r>
            <w:r w:rsidRPr="000B4E2C">
              <w:rPr>
                <w:rFonts w:cstheme="minorHAnsi"/>
                <w:sz w:val="18"/>
                <w:szCs w:val="18"/>
                <w:lang w:eastAsia="en-GB"/>
              </w:rPr>
              <w:t>Mean (intercept)</w:t>
            </w:r>
            <w:r w:rsidR="000B4E2C" w:rsidRPr="000B4E2C">
              <w:rPr>
                <w:rFonts w:cstheme="minorHAnsi"/>
                <w:sz w:val="18"/>
                <w:szCs w:val="18"/>
                <w:lang w:eastAsia="en-GB"/>
              </w:rPr>
              <w:t xml:space="preserve"> </w:t>
            </w:r>
            <w:r w:rsidRPr="000B4E2C">
              <w:rPr>
                <w:rFonts w:cstheme="minorHAnsi"/>
                <w:sz w:val="18"/>
                <w:szCs w:val="18"/>
                <w:lang w:eastAsia="en-GB"/>
              </w:rPr>
              <w:t>Age</w:t>
            </w:r>
            <w:r w:rsidR="000B4E2C" w:rsidRPr="000B4E2C">
              <w:rPr>
                <w:rFonts w:cstheme="minorHAnsi"/>
                <w:sz w:val="18"/>
                <w:szCs w:val="18"/>
                <w:lang w:eastAsia="en-GB"/>
              </w:rPr>
              <w:t xml:space="preserve"> </w:t>
            </w:r>
            <w:r w:rsidRPr="000B4E2C">
              <w:rPr>
                <w:rFonts w:cstheme="minorHAnsi"/>
                <w:sz w:val="18"/>
                <w:szCs w:val="18"/>
                <w:lang w:eastAsia="en-GB"/>
              </w:rPr>
              <w:t>Age sq</w:t>
            </w:r>
            <w:r w:rsidR="000B4E2C" w:rsidRPr="000B4E2C">
              <w:rPr>
                <w:rFonts w:cstheme="minorHAnsi"/>
                <w:sz w:val="18"/>
                <w:szCs w:val="18"/>
                <w:lang w:eastAsia="en-GB"/>
              </w:rPr>
              <w:t xml:space="preserve"> </w:t>
            </w:r>
            <w:r w:rsidRPr="000B4E2C">
              <w:rPr>
                <w:rFonts w:cstheme="minorHAnsi"/>
                <w:sz w:val="18"/>
                <w:szCs w:val="18"/>
                <w:lang w:eastAsia="en-GB"/>
              </w:rPr>
              <w:t>Male</w:t>
            </w:r>
            <w:r w:rsidR="000B4E2C" w:rsidRPr="000B4E2C">
              <w:rPr>
                <w:rFonts w:cstheme="minorHAnsi"/>
                <w:sz w:val="18"/>
                <w:szCs w:val="18"/>
                <w:lang w:eastAsia="en-GB"/>
              </w:rPr>
              <w:t xml:space="preserve"> </w:t>
            </w:r>
            <w:r w:rsidRPr="000B4E2C">
              <w:rPr>
                <w:rFonts w:cstheme="minorHAnsi"/>
                <w:sz w:val="18"/>
                <w:szCs w:val="18"/>
                <w:lang w:eastAsia="en-GB"/>
              </w:rPr>
              <w:t>FG</w:t>
            </w:r>
            <w:r w:rsidR="000B4E2C" w:rsidRPr="000B4E2C">
              <w:rPr>
                <w:rFonts w:cstheme="minorHAnsi"/>
                <w:sz w:val="18"/>
                <w:szCs w:val="18"/>
                <w:lang w:eastAsia="en-GB"/>
              </w:rPr>
              <w:t xml:space="preserve"> </w:t>
            </w:r>
            <w:r w:rsidRPr="000B4E2C">
              <w:rPr>
                <w:rFonts w:cstheme="minorHAnsi"/>
                <w:sz w:val="18"/>
                <w:szCs w:val="18"/>
                <w:lang w:eastAsia="en-GB"/>
              </w:rPr>
              <w:t>HD</w:t>
            </w:r>
            <w:r w:rsidR="000B4E2C" w:rsidRPr="000B4E2C">
              <w:rPr>
                <w:rFonts w:cstheme="minorHAnsi"/>
                <w:sz w:val="18"/>
                <w:szCs w:val="18"/>
                <w:lang w:eastAsia="en-GB"/>
              </w:rPr>
              <w:t xml:space="preserve"> </w:t>
            </w:r>
            <w:r w:rsidRPr="000B4E2C">
              <w:rPr>
                <w:rFonts w:cstheme="minorHAnsi"/>
                <w:sz w:val="18"/>
                <w:szCs w:val="18"/>
                <w:lang w:eastAsia="en-GB"/>
              </w:rPr>
              <w:t>PD</w:t>
            </w:r>
            <w:r w:rsidR="000B4E2C" w:rsidRPr="000B4E2C">
              <w:rPr>
                <w:rFonts w:cstheme="minorHAnsi"/>
                <w:sz w:val="18"/>
                <w:szCs w:val="18"/>
                <w:lang w:eastAsia="en-GB"/>
              </w:rPr>
              <w:t xml:space="preserve"> </w:t>
            </w:r>
            <w:r w:rsidRPr="000B4E2C">
              <w:rPr>
                <w:rFonts w:cstheme="minorHAnsi"/>
                <w:sz w:val="18"/>
                <w:szCs w:val="18"/>
                <w:lang w:eastAsia="en-GB"/>
              </w:rPr>
              <w:t>PTDM</w:t>
            </w:r>
          </w:p>
        </w:tc>
        <w:tc>
          <w:tcPr>
            <w:tcW w:w="0" w:type="auto"/>
            <w:shd w:val="clear" w:color="auto" w:fill="auto"/>
            <w:vAlign w:val="bottom"/>
            <w:hideMark/>
          </w:tcPr>
          <w:p w14:paraId="4BF85507" w14:textId="50C4CE4E"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0.968</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.002</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.000</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 </w:t>
            </w:r>
            <w:r w:rsidR="000B4E2C" w:rsidRPr="000B4E2C">
              <w:rPr>
                <w:rFonts w:cstheme="minorHAnsi"/>
                <w:color w:val="00B0F0"/>
                <w:sz w:val="18"/>
                <w:szCs w:val="18"/>
                <w:lang w:eastAsia="en-GB"/>
              </w:rPr>
              <w:t>0</w:t>
            </w:r>
            <w:r w:rsidRPr="000B4E2C">
              <w:rPr>
                <w:rFonts w:cstheme="minorHAnsi"/>
                <w:sz w:val="18"/>
                <w:szCs w:val="18"/>
                <w:lang w:eastAsia="en-GB"/>
              </w:rPr>
              <w:t>.023</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.053</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.277</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.264</w:t>
            </w:r>
            <w:r w:rsidR="000B4E2C" w:rsidRPr="000B4E2C">
              <w:rPr>
                <w:rFonts w:cstheme="minorHAnsi"/>
                <w:sz w:val="18"/>
                <w:szCs w:val="18"/>
                <w:lang w:eastAsia="en-GB"/>
              </w:rPr>
              <w:t xml:space="preserve"> </w:t>
            </w:r>
            <w:r w:rsidR="000B4E2C" w:rsidRPr="000B4E2C">
              <w:rPr>
                <w:rFonts w:cstheme="minorHAnsi"/>
                <w:color w:val="00B0F0"/>
                <w:sz w:val="18"/>
                <w:szCs w:val="18"/>
                <w:lang w:eastAsia="en-GB"/>
              </w:rPr>
              <w:t>–</w:t>
            </w:r>
            <w:r w:rsidR="000B4E2C" w:rsidRPr="000B4E2C">
              <w:rPr>
                <w:rFonts w:cstheme="minorHAnsi"/>
                <w:color w:val="00B0F0"/>
                <w:sz w:val="18"/>
                <w:szCs w:val="18"/>
                <w:lang w:eastAsia="en-GB"/>
              </w:rPr>
              <w:t>0</w:t>
            </w:r>
            <w:r w:rsidRPr="000B4E2C">
              <w:rPr>
                <w:rFonts w:cstheme="minorHAnsi"/>
                <w:sz w:val="18"/>
                <w:szCs w:val="18"/>
                <w:lang w:eastAsia="en-GB"/>
              </w:rPr>
              <w:t>.060</w:t>
            </w:r>
          </w:p>
        </w:tc>
        <w:tc>
          <w:tcPr>
            <w:tcW w:w="0" w:type="auto"/>
            <w:shd w:val="clear" w:color="auto" w:fill="auto"/>
            <w:vAlign w:val="bottom"/>
            <w:hideMark/>
          </w:tcPr>
          <w:p w14:paraId="10E2DCE4" w14:textId="6A3EDB1E"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6A40C728" w14:textId="77777777" w:rsidR="008523B9" w:rsidRPr="000B4E2C" w:rsidRDefault="008523B9" w:rsidP="00A908B8">
            <w:pPr>
              <w:rPr>
                <w:rFonts w:cstheme="minorHAnsi"/>
                <w:color w:val="000000"/>
                <w:sz w:val="18"/>
                <w:szCs w:val="18"/>
                <w:lang w:eastAsia="en-GB"/>
              </w:rPr>
            </w:pPr>
            <w:r w:rsidRPr="000B4E2C">
              <w:rPr>
                <w:rFonts w:cstheme="minorHAnsi"/>
                <w:sz w:val="18"/>
                <w:szCs w:val="18"/>
                <w:lang w:eastAsia="en-GB"/>
              </w:rPr>
              <w:t>NR</w:t>
            </w:r>
          </w:p>
        </w:tc>
        <w:tc>
          <w:tcPr>
            <w:tcW w:w="0" w:type="auto"/>
            <w:shd w:val="clear" w:color="auto" w:fill="auto"/>
            <w:vAlign w:val="bottom"/>
            <w:hideMark/>
          </w:tcPr>
          <w:p w14:paraId="52252970" w14:textId="3EEA88AA"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76B39AB5" w14:textId="2C2E16EC"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6342F69B" w14:textId="3F8F7001"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1AFB8508" w14:textId="38E05ACA" w:rsidR="008523B9" w:rsidRPr="000B4E2C" w:rsidRDefault="000B4E2C" w:rsidP="00A908B8">
            <w:pPr>
              <w:rPr>
                <w:rFonts w:cstheme="minorHAnsi"/>
                <w:color w:val="000000"/>
                <w:sz w:val="18"/>
                <w:szCs w:val="18"/>
                <w:lang w:eastAsia="en-GB"/>
              </w:rPr>
            </w:pPr>
            <w:r w:rsidRPr="000B4E2C">
              <w:rPr>
                <w:rFonts w:cstheme="minorHAnsi"/>
                <w:sz w:val="18"/>
                <w:szCs w:val="18"/>
                <w:lang w:eastAsia="en-GB"/>
              </w:rPr>
              <w:t xml:space="preserve"> </w:t>
            </w:r>
          </w:p>
        </w:tc>
        <w:tc>
          <w:tcPr>
            <w:tcW w:w="0" w:type="auto"/>
            <w:shd w:val="clear" w:color="auto" w:fill="auto"/>
            <w:vAlign w:val="bottom"/>
            <w:hideMark/>
          </w:tcPr>
          <w:p w14:paraId="3E2B4CE3" w14:textId="4FD2D650" w:rsidR="008523B9" w:rsidRPr="000B4E2C" w:rsidRDefault="000B4E2C" w:rsidP="00A908B8">
            <w:pPr>
              <w:rPr>
                <w:rFonts w:cstheme="minorHAnsi"/>
                <w:sz w:val="18"/>
                <w:szCs w:val="18"/>
                <w:lang w:eastAsia="en-GB"/>
              </w:rPr>
            </w:pPr>
            <w:r w:rsidRPr="000B4E2C">
              <w:rPr>
                <w:rFonts w:cstheme="minorHAnsi"/>
                <w:sz w:val="18"/>
                <w:szCs w:val="18"/>
                <w:lang w:eastAsia="en-GB"/>
              </w:rPr>
              <w:t xml:space="preserve"> </w:t>
            </w:r>
          </w:p>
        </w:tc>
      </w:tr>
    </w:tbl>
    <w:p w14:paraId="0E47014D" w14:textId="77777777" w:rsidR="000B4E2C" w:rsidRPr="000B4E2C" w:rsidRDefault="008523B9" w:rsidP="00B76BCE">
      <w:pPr>
        <w:pStyle w:val="Heading2"/>
        <w:rPr>
          <w:szCs w:val="24"/>
        </w:rPr>
      </w:pPr>
      <w:r w:rsidRPr="000B4E2C">
        <w:rPr>
          <w:color w:val="000000" w:themeColor="text1"/>
        </w:rPr>
        <w:t>PFKT: Previous Failed Kidney Transplant; CM: Conservative Management</w:t>
      </w:r>
      <w:r w:rsidR="000B4E2C" w:rsidRPr="000B4E2C">
        <w:t xml:space="preserve"> </w:t>
      </w:r>
      <w:r w:rsidR="00B76BCE" w:rsidRPr="000B4E2C">
        <w:rPr>
          <w:szCs w:val="24"/>
          <w:lang w:val="pt-BR"/>
        </w:rPr>
        <w:t>Appendix 1</w:t>
      </w:r>
      <w:r w:rsidR="003508E0" w:rsidRPr="000B4E2C">
        <w:rPr>
          <w:szCs w:val="24"/>
          <w:lang w:val="pt-BR"/>
        </w:rPr>
        <w:t>6</w:t>
      </w:r>
      <w:r w:rsidR="00B76BCE" w:rsidRPr="000B4E2C">
        <w:rPr>
          <w:szCs w:val="24"/>
          <w:lang w:val="pt-BR"/>
        </w:rPr>
        <w:tab/>
      </w:r>
      <w:r w:rsidR="00B76BCE" w:rsidRPr="000B4E2C">
        <w:rPr>
          <w:szCs w:val="24"/>
        </w:rPr>
        <w:t>A</w:t>
      </w:r>
      <w:r w:rsidR="00CD615E" w:rsidRPr="000B4E2C">
        <w:rPr>
          <w:szCs w:val="24"/>
        </w:rPr>
        <w:t>DDENDUM</w:t>
      </w:r>
      <w:r w:rsidR="00B76BCE" w:rsidRPr="000B4E2C">
        <w:rPr>
          <w:szCs w:val="24"/>
        </w:rPr>
        <w:t xml:space="preserve"> </w:t>
      </w:r>
      <w:r w:rsidR="0070005A" w:rsidRPr="000B4E2C">
        <w:rPr>
          <w:szCs w:val="24"/>
        </w:rPr>
        <w:t>to the external assessment group report</w:t>
      </w:r>
    </w:p>
    <w:p w14:paraId="6E206C4E" w14:textId="1EDB6162" w:rsidR="000B4E2C" w:rsidRPr="000B4E2C" w:rsidRDefault="0070005A" w:rsidP="00622ABB">
      <w:pPr>
        <w:tabs>
          <w:tab w:val="left" w:pos="622"/>
        </w:tabs>
      </w:pPr>
      <w:r w:rsidRPr="000B4E2C">
        <w:rPr>
          <w:szCs w:val="24"/>
        </w:rPr>
        <w:t xml:space="preserve">This addendum was prepared by the EAG in response to the consultation comments for the assessment, where </w:t>
      </w:r>
      <w:r w:rsidRPr="000B4E2C">
        <w:t xml:space="preserve">several comments were made in relation to the test costs applied for NephroCheck and NGAL (BioPorto), the cost applied for fluids in the KDIGO </w:t>
      </w:r>
      <w:r w:rsidR="000B4E2C" w:rsidRPr="000B4E2C">
        <w:rPr>
          <w:color w:val="00B0F0"/>
        </w:rPr>
        <w:t>preventative</w:t>
      </w:r>
      <w:r w:rsidRPr="000B4E2C">
        <w:t xml:space="preserve"> care bundle, and the relative risk parameters applied in the model for averting and reducing the severity of AKI. With respect to the </w:t>
      </w:r>
      <w:r w:rsidRPr="000B4E2C">
        <w:rPr>
          <w:highlight w:val="magenta"/>
        </w:rPr>
        <w:t>latter</w:t>
      </w:r>
      <w:r w:rsidRPr="000B4E2C">
        <w:t xml:space="preserve"> issue, the economic model used relative risk estimates derived from Meersch</w:t>
      </w:r>
      <w:r w:rsidRPr="000B4E2C">
        <w:rPr>
          <w:i/>
          <w:color w:val="00B0F0"/>
        </w:rPr>
        <w:t xml:space="preserve"> et al</w:t>
      </w:r>
      <w:r w:rsidRPr="000B4E2C">
        <w:rPr>
          <w:color w:val="00B0F0"/>
        </w:rPr>
        <w:t>.,</w:t>
      </w:r>
      <w:r w:rsidR="00622ABB" w:rsidRPr="000B4E2C">
        <w:rPr>
          <w:vertAlign w:val="superscript"/>
        </w:rPr>
        <w:t>1</w:t>
      </w:r>
      <w:r w:rsidRPr="000B4E2C">
        <w:t xml:space="preserve"> when another study by Gocze</w:t>
      </w:r>
      <w:r w:rsidRPr="000B4E2C">
        <w:rPr>
          <w:i/>
          <w:color w:val="00B0F0"/>
        </w:rPr>
        <w:t xml:space="preserve"> et al</w:t>
      </w:r>
      <w:r w:rsidRPr="000B4E2C">
        <w:t>.</w:t>
      </w:r>
      <w:r w:rsidR="00622ABB" w:rsidRPr="000B4E2C">
        <w:rPr>
          <w:vertAlign w:val="superscript"/>
        </w:rPr>
        <w:t>2</w:t>
      </w:r>
      <w:r w:rsidR="00622ABB" w:rsidRPr="000B4E2C">
        <w:t xml:space="preserve"> </w:t>
      </w:r>
      <w:r w:rsidRPr="000B4E2C">
        <w:t>was also available.</w:t>
      </w:r>
      <w:r w:rsidR="000B4E2C" w:rsidRPr="000B4E2C">
        <w:t xml:space="preserve"> </w:t>
      </w:r>
      <w:r w:rsidRPr="000B4E2C">
        <w:t>Therefore, in this addendum we present three further scenario analyses that explore: a) alternative test costs for NephroCheck and NGAL (BioPorto); b) alternative costs of fluids in those with a positive test who receive the care bundle; and c) alternative relative risks for the aversion and redistribution ok AKI in the cohort who receive the care bundle.</w:t>
      </w:r>
    </w:p>
    <w:p w14:paraId="288D45EF" w14:textId="5509A589" w:rsidR="000B4E2C" w:rsidRPr="000B4E2C" w:rsidRDefault="00622ABB" w:rsidP="0070005A">
      <w:pPr>
        <w:rPr>
          <w:b/>
        </w:rPr>
      </w:pPr>
      <w:r w:rsidRPr="000B4E2C">
        <w:rPr>
          <w:b/>
        </w:rPr>
        <w:t>Additional cost-effectiveness results</w:t>
      </w:r>
    </w:p>
    <w:p w14:paraId="4EB64AED" w14:textId="5502B576" w:rsidR="000B4E2C" w:rsidRPr="000B4E2C" w:rsidRDefault="0070005A" w:rsidP="0070005A">
      <w:r w:rsidRPr="000B4E2C">
        <w:lastRenderedPageBreak/>
        <w:t>The three additional scenario analyses are conducted on base case 1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39</w:t>
      </w:r>
      <w:r w:rsidRPr="000B4E2C">
        <w:t>) and base case 2 (</w:t>
      </w:r>
      <w:r w:rsidR="000B4E2C" w:rsidRPr="000B4E2C">
        <w:rPr>
          <w:i/>
          <w:color w:val="FF0000"/>
        </w:rPr>
        <w:t>T</w:t>
      </w:r>
      <w:r w:rsidR="000B4E2C" w:rsidRPr="000B4E2C">
        <w:rPr>
          <w:i/>
          <w:color w:val="FF0000"/>
        </w:rPr>
        <w:t>able</w:t>
      </w:r>
      <w:r w:rsidR="000B4E2C" w:rsidRPr="000B4E2C">
        <w:rPr>
          <w:i/>
          <w:color w:val="FF0000"/>
        </w:rPr>
        <w:t xml:space="preserve"> </w:t>
      </w:r>
      <w:r w:rsidR="000B4E2C" w:rsidRPr="000B4E2C">
        <w:rPr>
          <w:i/>
          <w:color w:val="FF0000"/>
        </w:rPr>
        <w:t>40</w:t>
      </w:r>
      <w:r w:rsidRPr="000B4E2C">
        <w:t>). The scenarios are labelled as 1R to 1S, and 2R to 2S.</w:t>
      </w:r>
    </w:p>
    <w:p w14:paraId="19E41269" w14:textId="09935D6D" w:rsidR="0070005A" w:rsidRPr="000B4E2C" w:rsidRDefault="0070005A" w:rsidP="0070005A">
      <w:r w:rsidRPr="000B4E2C">
        <w:t>In the first scenario analysis (1R and 2R) the alternative testing costs for NephroCheck and NGAL (BioPorto) were explored to address the company</w:t>
      </w:r>
      <w:r w:rsidR="000B4E2C" w:rsidRPr="000B4E2C">
        <w:rPr>
          <w:color w:val="00B0F0"/>
        </w:rPr>
        <w:t>’</w:t>
      </w:r>
      <w:r w:rsidRPr="000B4E2C">
        <w:t>s (bioMérieux) concerns about the costing assumptions. The following assumptions were made in this alternative scenario as suggested by bioMérieux:</w:t>
      </w:r>
    </w:p>
    <w:p w14:paraId="42E239E2" w14:textId="77777777" w:rsidR="000B4E2C" w:rsidRPr="000B4E2C" w:rsidRDefault="0070005A" w:rsidP="0070005A">
      <w:pPr>
        <w:pStyle w:val="ListParagraph"/>
        <w:numPr>
          <w:ilvl w:val="0"/>
          <w:numId w:val="50"/>
        </w:numPr>
        <w:spacing w:after="160"/>
      </w:pPr>
      <w:r w:rsidRPr="000B4E2C">
        <w:t>Excluding all capital cost (on the basis that the company provide the capital equipment without charge)</w:t>
      </w:r>
    </w:p>
    <w:p w14:paraId="795A8778" w14:textId="474028EC" w:rsidR="000B4E2C" w:rsidRPr="000B4E2C" w:rsidRDefault="0070005A" w:rsidP="0070005A">
      <w:pPr>
        <w:pStyle w:val="ListParagraph"/>
        <w:numPr>
          <w:ilvl w:val="0"/>
          <w:numId w:val="50"/>
        </w:numPr>
        <w:spacing w:after="160"/>
      </w:pPr>
      <w:r w:rsidRPr="000B4E2C">
        <w:t>Assuming the liquid quality control for NephroCheck is conducted monthly. The monthly test throughput is assumed to be ~104 (</w:t>
      </w:r>
      <w:r w:rsidR="000B4E2C" w:rsidRPr="000B4E2C">
        <w:rPr>
          <w:color w:val="00B0F0"/>
        </w:rPr>
        <w:t> = </w:t>
      </w:r>
      <w:r w:rsidRPr="000B4E2C">
        <w:t>1253/12) where the test throughput of 1253 is based on throughput at an ICU department in a hospital in Leeds (St James teaching hospital) (Hall</w:t>
      </w:r>
      <w:r w:rsidRPr="000B4E2C">
        <w:rPr>
          <w:i/>
          <w:color w:val="00B0F0"/>
        </w:rPr>
        <w:t xml:space="preserve"> et al</w:t>
      </w:r>
      <w:r w:rsidRPr="000B4E2C">
        <w:t>.). The liquid quality control cost is therefore slightly cheaper at £1.91 (</w:t>
      </w:r>
      <w:r w:rsidR="000B4E2C" w:rsidRPr="000B4E2C">
        <w:rPr>
          <w:color w:val="00B0F0"/>
        </w:rPr>
        <w:t> = </w:t>
      </w:r>
      <w:r w:rsidRPr="000B4E2C">
        <w:t>(£10</w:t>
      </w:r>
      <w:r w:rsidR="000B4E2C" w:rsidRPr="000B4E2C">
        <w:rPr>
          <w:color w:val="00B0F0"/>
        </w:rPr>
        <w:t>0</w:t>
      </w:r>
      <w:r w:rsidR="000B4E2C" w:rsidRPr="000B4E2C">
        <w:rPr>
          <w:color w:val="00B0F0"/>
        </w:rPr>
        <w:t> </w:t>
      </w:r>
      <w:r w:rsidR="000B4E2C" w:rsidRPr="000B4E2C">
        <w:rPr>
          <w:color w:val="00B0F0"/>
        </w:rPr>
        <w:t>+</w:t>
      </w:r>
      <w:r w:rsidRPr="000B4E2C">
        <w:t>(2*£49.8))/(1253/12)).</w:t>
      </w:r>
    </w:p>
    <w:p w14:paraId="778BE584" w14:textId="4D645D4B" w:rsidR="0070005A" w:rsidRPr="000B4E2C" w:rsidRDefault="0070005A" w:rsidP="0070005A">
      <w:pPr>
        <w:pStyle w:val="ListParagraph"/>
        <w:numPr>
          <w:ilvl w:val="0"/>
          <w:numId w:val="50"/>
        </w:numPr>
        <w:spacing w:after="160"/>
      </w:pPr>
      <w:r w:rsidRPr="000B4E2C">
        <w:t xml:space="preserve">Assuming wastage may occur for NGAL (BioPorto) </w:t>
      </w:r>
      <w:r w:rsidRPr="000B4E2C">
        <w:rPr>
          <w:highlight w:val="magenta"/>
        </w:rPr>
        <w:t>due to</w:t>
      </w:r>
      <w:r w:rsidRPr="000B4E2C">
        <w:t xml:space="preserve"> the four-week shelf-life of the calibrator and test control kit once opened. This results in a slightly more expensive test maintenance cost of £5.46 (</w:t>
      </w:r>
      <w:r w:rsidR="000B4E2C" w:rsidRPr="000B4E2C">
        <w:rPr>
          <w:color w:val="00B0F0"/>
        </w:rPr>
        <w:t> = </w:t>
      </w:r>
      <w:r w:rsidRPr="000B4E2C">
        <w:t>((38</w:t>
      </w:r>
      <w:r w:rsidR="000B4E2C" w:rsidRPr="000B4E2C">
        <w:rPr>
          <w:color w:val="00B0F0"/>
        </w:rPr>
        <w:t>5</w:t>
      </w:r>
      <w:r w:rsidR="000B4E2C" w:rsidRPr="000B4E2C">
        <w:rPr>
          <w:color w:val="00B0F0"/>
        </w:rPr>
        <w:t> </w:t>
      </w:r>
      <w:r w:rsidR="000B4E2C" w:rsidRPr="000B4E2C">
        <w:rPr>
          <w:color w:val="00B0F0"/>
        </w:rPr>
        <w:t>+</w:t>
      </w:r>
      <w:r w:rsidR="000B4E2C" w:rsidRPr="000B4E2C">
        <w:rPr>
          <w:color w:val="00B0F0"/>
        </w:rPr>
        <w:t> </w:t>
      </w:r>
      <w:r w:rsidR="000B4E2C" w:rsidRPr="000B4E2C">
        <w:rPr>
          <w:color w:val="00B0F0"/>
        </w:rPr>
        <w:t>1</w:t>
      </w:r>
      <w:r w:rsidRPr="000B4E2C">
        <w:t>85)/(104/12))) for NGAL (BioPorto).</w:t>
      </w:r>
    </w:p>
    <w:p w14:paraId="64B59A22" w14:textId="77777777" w:rsidR="000B4E2C" w:rsidRPr="000B4E2C" w:rsidRDefault="0070005A" w:rsidP="0070005A">
      <w:r w:rsidRPr="000B4E2C">
        <w:t>The impact on the cost-effectiveness results is very limited and does not change the cost-effectiveness conclusions.</w:t>
      </w:r>
    </w:p>
    <w:p w14:paraId="260F1A80" w14:textId="78BC0426" w:rsidR="000B4E2C" w:rsidRPr="000B4E2C" w:rsidRDefault="0070005A" w:rsidP="0070005A">
      <w:r w:rsidRPr="000B4E2C">
        <w:t>In the second scenario (1S and 2S), we apply a more expensive buffered solution for fluids given as part of the KDIGO care bundle. The more expensive solution was assumed to be Hartmann</w:t>
      </w:r>
      <w:r w:rsidR="000B4E2C" w:rsidRPr="000B4E2C">
        <w:rPr>
          <w:color w:val="00B0F0"/>
        </w:rPr>
        <w:t>’</w:t>
      </w:r>
      <w:r w:rsidRPr="000B4E2C">
        <w:t>s solution, at a list price of £3.25 per litre (personal communication with the manufacturer, Baxter).</w:t>
      </w:r>
      <w:r w:rsidR="000B4E2C" w:rsidRPr="000B4E2C">
        <w:t xml:space="preserve"> </w:t>
      </w:r>
      <w:r w:rsidRPr="000B4E2C">
        <w:t>This resulted in a slightly higher care bundle cost (£7.11 higher care bundle cost overall) applied to those with a positive biomarker test result. However, the slightly higher care bundle cost had very little impact on the cost-effectiveness results.</w:t>
      </w:r>
    </w:p>
    <w:p w14:paraId="18EE75EF" w14:textId="3C9E83CD" w:rsidR="000B4E2C" w:rsidRPr="000B4E2C" w:rsidRDefault="0070005A" w:rsidP="0070005A">
      <w:r w:rsidRPr="000B4E2C">
        <w:t>In the third scenario (</w:t>
      </w:r>
      <w:r w:rsidR="000B4E2C" w:rsidRPr="000B4E2C">
        <w:rPr>
          <w:color w:val="00B0F0"/>
        </w:rPr>
        <w:t>1</w:t>
      </w:r>
      <w:r w:rsidR="000B4E2C" w:rsidRPr="000B4E2C">
        <w:rPr>
          <w:color w:val="00B0F0"/>
        </w:rPr>
        <w:t> </w:t>
      </w:r>
      <w:r w:rsidR="000B4E2C" w:rsidRPr="000B4E2C">
        <w:rPr>
          <w:color w:val="00B0F0"/>
        </w:rPr>
        <w:t xml:space="preserve">T </w:t>
      </w:r>
      <w:r w:rsidRPr="000B4E2C">
        <w:t xml:space="preserve">and </w:t>
      </w:r>
      <w:r w:rsidR="000B4E2C" w:rsidRPr="000B4E2C">
        <w:rPr>
          <w:color w:val="00B0F0"/>
        </w:rPr>
        <w:t>2</w:t>
      </w:r>
      <w:r w:rsidR="000B4E2C" w:rsidRPr="000B4E2C">
        <w:rPr>
          <w:color w:val="00B0F0"/>
        </w:rPr>
        <w:t> </w:t>
      </w:r>
      <w:r w:rsidR="000B4E2C" w:rsidRPr="000B4E2C">
        <w:rPr>
          <w:color w:val="00B0F0"/>
        </w:rPr>
        <w:t>T)</w:t>
      </w:r>
      <w:r w:rsidRPr="000B4E2C">
        <w:t>, the relative risk applied to the averted and redistributed cohort was equal to that reported in Gocze. The relative risk of having AKI versus no AKI, and AKI 1 given AKI and AKI 2/3 given AKI was 0.666, 1.347 and 0.509 respectively. Therefore, the effect sizes are larger than reported in the Meersch</w:t>
      </w:r>
      <w:r w:rsidRPr="000B4E2C">
        <w:rPr>
          <w:i/>
          <w:color w:val="00B0F0"/>
        </w:rPr>
        <w:t xml:space="preserve"> et al</w:t>
      </w:r>
      <w:r w:rsidRPr="000B4E2C">
        <w:t>.</w:t>
      </w:r>
      <w:r w:rsidR="000B4E2C" w:rsidRPr="000B4E2C">
        <w:rPr>
          <w:color w:val="00B0F0"/>
        </w:rPr>
        <w:t>’</w:t>
      </w:r>
      <w:r w:rsidR="00622ABB" w:rsidRPr="000B4E2C">
        <w:t>s</w:t>
      </w:r>
      <w:r w:rsidRPr="000B4E2C">
        <w:t xml:space="preserve"> study</w:t>
      </w:r>
      <w:r w:rsidR="00622ABB" w:rsidRPr="000B4E2C">
        <w:rPr>
          <w:vertAlign w:val="superscript"/>
        </w:rPr>
        <w:t>1</w:t>
      </w:r>
      <w:r w:rsidRPr="000B4E2C">
        <w:t xml:space="preserve"> which was used in the base case. Consequently, all the tests accrued higher QALYs and greater ICU cost savings in these scenarios, with all tests being dominant </w:t>
      </w:r>
      <w:r w:rsidRPr="000B4E2C">
        <w:rPr>
          <w:highlight w:val="magenta"/>
        </w:rPr>
        <w:t>compared to</w:t>
      </w:r>
      <w:r w:rsidRPr="000B4E2C">
        <w:t xml:space="preserve"> standard care in base case 1. In base case 2, NephroCheck was the only dominant strategy.</w:t>
      </w:r>
    </w:p>
    <w:p w14:paraId="04044D7D" w14:textId="2EB1F761" w:rsidR="000B4E2C" w:rsidRPr="000B4E2C" w:rsidRDefault="000B4E2C" w:rsidP="0070005A">
      <w:pPr>
        <w:pStyle w:val="Heading2"/>
        <w:rPr>
          <w:rFonts w:cs="Times New Roman"/>
          <w:szCs w:val="24"/>
        </w:rPr>
      </w:pPr>
      <w:r w:rsidRPr="000B4E2C">
        <w:rPr>
          <w:rFonts w:cs="Times New Roman"/>
          <w:i/>
          <w:color w:val="FF0000"/>
          <w:szCs w:val="24"/>
        </w:rPr>
        <w:t>T</w:t>
      </w:r>
      <w:r w:rsidRPr="000B4E2C">
        <w:rPr>
          <w:rFonts w:cs="Times New Roman"/>
          <w:i/>
          <w:color w:val="FF0000"/>
          <w:szCs w:val="24"/>
        </w:rPr>
        <w:t>able</w:t>
      </w:r>
      <w:r w:rsidRPr="000B4E2C">
        <w:rPr>
          <w:rFonts w:cs="Times New Roman"/>
          <w:i/>
          <w:color w:val="FF0000"/>
          <w:szCs w:val="24"/>
        </w:rPr>
        <w:t xml:space="preserve"> </w:t>
      </w:r>
      <w:r w:rsidRPr="000B4E2C">
        <w:rPr>
          <w:rFonts w:cs="Times New Roman"/>
          <w:i/>
          <w:color w:val="FF0000"/>
          <w:szCs w:val="24"/>
        </w:rPr>
        <w:t>39</w:t>
      </w:r>
      <w:r w:rsidRPr="000B4E2C">
        <w:rPr>
          <w:rFonts w:cs="Times New Roman"/>
          <w:szCs w:val="24"/>
        </w:rPr>
        <w:t xml:space="preserve"> </w:t>
      </w:r>
      <w:r w:rsidR="0070005A" w:rsidRPr="000B4E2C">
        <w:rPr>
          <w:rFonts w:cs="Times New Roman"/>
          <w:szCs w:val="24"/>
        </w:rPr>
        <w:t>Additional scenario analyses on base case 1 (assuming that the NGAL tests can avert AKI)</w:t>
      </w:r>
    </w:p>
    <w:p w14:paraId="3AAF06BA" w14:textId="5127EEE3" w:rsidR="0070005A" w:rsidRPr="000B4E2C" w:rsidRDefault="0070005A" w:rsidP="00622AB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564"/>
        <w:gridCol w:w="646"/>
        <w:gridCol w:w="840"/>
        <w:gridCol w:w="727"/>
        <w:gridCol w:w="840"/>
        <w:gridCol w:w="849"/>
        <w:gridCol w:w="768"/>
        <w:gridCol w:w="539"/>
        <w:gridCol w:w="539"/>
      </w:tblGrid>
      <w:tr w:rsidR="000B4E2C" w:rsidRPr="000B4E2C" w14:paraId="06574587" w14:textId="77777777" w:rsidTr="000B4E2C">
        <w:trPr>
          <w:cantSplit/>
        </w:trPr>
        <w:tc>
          <w:tcPr>
            <w:tcW w:w="0" w:type="auto"/>
            <w:shd w:val="clear" w:color="auto" w:fill="auto"/>
            <w:hideMark/>
          </w:tcPr>
          <w:p w14:paraId="67A1EE73" w14:textId="77777777" w:rsidR="0070005A" w:rsidRPr="000B4E2C" w:rsidRDefault="0070005A" w:rsidP="004871B7">
            <w:pPr>
              <w:rPr>
                <w:b/>
                <w:bCs/>
                <w:sz w:val="22"/>
              </w:rPr>
            </w:pPr>
            <w:r w:rsidRPr="000B4E2C">
              <w:rPr>
                <w:b/>
                <w:bCs/>
                <w:sz w:val="22"/>
              </w:rPr>
              <w:t>Scenario</w:t>
            </w:r>
          </w:p>
        </w:tc>
        <w:tc>
          <w:tcPr>
            <w:tcW w:w="0" w:type="auto"/>
            <w:shd w:val="clear" w:color="auto" w:fill="auto"/>
            <w:hideMark/>
          </w:tcPr>
          <w:p w14:paraId="4A45ACA9" w14:textId="77777777" w:rsidR="0070005A" w:rsidRPr="000B4E2C" w:rsidRDefault="0070005A" w:rsidP="004871B7">
            <w:pPr>
              <w:rPr>
                <w:b/>
                <w:bCs/>
                <w:sz w:val="22"/>
              </w:rPr>
            </w:pPr>
            <w:r w:rsidRPr="000B4E2C">
              <w:rPr>
                <w:b/>
                <w:bCs/>
                <w:sz w:val="22"/>
              </w:rPr>
              <w:t>Cost</w:t>
            </w:r>
          </w:p>
        </w:tc>
        <w:tc>
          <w:tcPr>
            <w:tcW w:w="0" w:type="auto"/>
            <w:shd w:val="clear" w:color="auto" w:fill="auto"/>
            <w:hideMark/>
          </w:tcPr>
          <w:p w14:paraId="6DFDA509" w14:textId="77777777" w:rsidR="0070005A" w:rsidRPr="000B4E2C" w:rsidRDefault="0070005A" w:rsidP="004871B7">
            <w:pPr>
              <w:rPr>
                <w:b/>
                <w:bCs/>
                <w:sz w:val="22"/>
              </w:rPr>
            </w:pPr>
            <w:r w:rsidRPr="000B4E2C">
              <w:rPr>
                <w:b/>
                <w:bCs/>
                <w:sz w:val="22"/>
              </w:rPr>
              <w:t>Inc. Cost</w:t>
            </w:r>
          </w:p>
        </w:tc>
        <w:tc>
          <w:tcPr>
            <w:tcW w:w="0" w:type="auto"/>
            <w:shd w:val="clear" w:color="auto" w:fill="auto"/>
            <w:hideMark/>
          </w:tcPr>
          <w:p w14:paraId="36B13BB6" w14:textId="77777777" w:rsidR="0070005A" w:rsidRPr="000B4E2C" w:rsidRDefault="0070005A" w:rsidP="004871B7">
            <w:pPr>
              <w:rPr>
                <w:b/>
                <w:bCs/>
                <w:sz w:val="22"/>
              </w:rPr>
            </w:pPr>
            <w:r w:rsidRPr="000B4E2C">
              <w:rPr>
                <w:b/>
                <w:bCs/>
                <w:sz w:val="22"/>
              </w:rPr>
              <w:t>QALY</w:t>
            </w:r>
          </w:p>
        </w:tc>
        <w:tc>
          <w:tcPr>
            <w:tcW w:w="0" w:type="auto"/>
            <w:shd w:val="clear" w:color="auto" w:fill="auto"/>
            <w:hideMark/>
          </w:tcPr>
          <w:p w14:paraId="484C8F41" w14:textId="77777777" w:rsidR="0070005A" w:rsidRPr="000B4E2C" w:rsidRDefault="0070005A" w:rsidP="004871B7">
            <w:pPr>
              <w:rPr>
                <w:b/>
                <w:bCs/>
                <w:sz w:val="22"/>
              </w:rPr>
            </w:pPr>
            <w:r w:rsidRPr="000B4E2C">
              <w:rPr>
                <w:b/>
                <w:bCs/>
                <w:sz w:val="22"/>
              </w:rPr>
              <w:t>Inc. QALY</w:t>
            </w:r>
          </w:p>
        </w:tc>
        <w:tc>
          <w:tcPr>
            <w:tcW w:w="0" w:type="auto"/>
            <w:shd w:val="clear" w:color="auto" w:fill="auto"/>
            <w:hideMark/>
          </w:tcPr>
          <w:p w14:paraId="3C209E29" w14:textId="77777777" w:rsidR="0070005A" w:rsidRPr="000B4E2C" w:rsidRDefault="0070005A" w:rsidP="004871B7">
            <w:pPr>
              <w:rPr>
                <w:b/>
                <w:bCs/>
                <w:sz w:val="22"/>
              </w:rPr>
            </w:pPr>
            <w:r w:rsidRPr="000B4E2C">
              <w:rPr>
                <w:b/>
                <w:bCs/>
                <w:sz w:val="22"/>
              </w:rPr>
              <w:t>ICER (inc)</w:t>
            </w:r>
          </w:p>
        </w:tc>
        <w:tc>
          <w:tcPr>
            <w:tcW w:w="0" w:type="auto"/>
            <w:shd w:val="clear" w:color="auto" w:fill="auto"/>
            <w:hideMark/>
          </w:tcPr>
          <w:p w14:paraId="4A6053CD" w14:textId="77777777" w:rsidR="0070005A" w:rsidRPr="000B4E2C" w:rsidRDefault="0070005A" w:rsidP="004871B7">
            <w:pPr>
              <w:rPr>
                <w:b/>
                <w:bCs/>
                <w:sz w:val="22"/>
              </w:rPr>
            </w:pPr>
            <w:r w:rsidRPr="000B4E2C">
              <w:rPr>
                <w:b/>
                <w:bCs/>
                <w:sz w:val="22"/>
              </w:rPr>
              <w:t>ICER vs. SC</w:t>
            </w:r>
          </w:p>
        </w:tc>
        <w:tc>
          <w:tcPr>
            <w:tcW w:w="0" w:type="auto"/>
            <w:shd w:val="clear" w:color="auto" w:fill="auto"/>
            <w:hideMark/>
          </w:tcPr>
          <w:p w14:paraId="6C7BAF32" w14:textId="77777777" w:rsidR="0070005A" w:rsidRPr="000B4E2C" w:rsidRDefault="0070005A" w:rsidP="004871B7">
            <w:pPr>
              <w:rPr>
                <w:b/>
                <w:bCs/>
                <w:sz w:val="22"/>
              </w:rPr>
            </w:pPr>
            <w:r w:rsidRPr="000B4E2C">
              <w:rPr>
                <w:b/>
                <w:bCs/>
                <w:i/>
                <w:color w:val="00B0F0"/>
                <w:sz w:val="22"/>
              </w:rPr>
              <w:t>p</w:t>
            </w:r>
            <w:r w:rsidRPr="000B4E2C">
              <w:rPr>
                <w:b/>
                <w:bCs/>
                <w:sz w:val="22"/>
              </w:rPr>
              <w:t xml:space="preserve"> (C/E) @ 20k</w:t>
            </w:r>
          </w:p>
        </w:tc>
        <w:tc>
          <w:tcPr>
            <w:tcW w:w="0" w:type="auto"/>
            <w:shd w:val="clear" w:color="auto" w:fill="auto"/>
            <w:hideMark/>
          </w:tcPr>
          <w:p w14:paraId="5FFCF531" w14:textId="77777777" w:rsidR="0070005A" w:rsidRPr="000B4E2C" w:rsidRDefault="0070005A" w:rsidP="004871B7">
            <w:pPr>
              <w:rPr>
                <w:b/>
                <w:bCs/>
                <w:sz w:val="22"/>
              </w:rPr>
            </w:pPr>
            <w:r w:rsidRPr="000B4E2C">
              <w:rPr>
                <w:b/>
                <w:bCs/>
                <w:i/>
                <w:color w:val="00B0F0"/>
                <w:sz w:val="22"/>
              </w:rPr>
              <w:t>p</w:t>
            </w:r>
            <w:r w:rsidRPr="000B4E2C">
              <w:rPr>
                <w:b/>
                <w:bCs/>
                <w:sz w:val="22"/>
              </w:rPr>
              <w:t xml:space="preserve"> (C/E) @ 20k vs. SC</w:t>
            </w:r>
          </w:p>
        </w:tc>
      </w:tr>
      <w:tr w:rsidR="0070005A" w:rsidRPr="000B4E2C" w14:paraId="3A5AA016" w14:textId="77777777" w:rsidTr="000B4E2C">
        <w:trPr>
          <w:cantSplit/>
        </w:trPr>
        <w:tc>
          <w:tcPr>
            <w:tcW w:w="0" w:type="auto"/>
            <w:gridSpan w:val="9"/>
            <w:shd w:val="clear" w:color="auto" w:fill="auto"/>
          </w:tcPr>
          <w:p w14:paraId="5D12EEA9" w14:textId="77777777" w:rsidR="0070005A" w:rsidRPr="000B4E2C" w:rsidRDefault="0070005A" w:rsidP="004871B7">
            <w:pPr>
              <w:rPr>
                <w:b/>
                <w:bCs/>
                <w:sz w:val="22"/>
              </w:rPr>
            </w:pPr>
            <w:r w:rsidRPr="000B4E2C">
              <w:rPr>
                <w:b/>
                <w:bCs/>
                <w:sz w:val="22"/>
                <w:lang w:eastAsia="en-GB"/>
              </w:rPr>
              <w:t xml:space="preserve">Base case 1 </w:t>
            </w:r>
          </w:p>
        </w:tc>
      </w:tr>
      <w:tr w:rsidR="000B4E2C" w:rsidRPr="000B4E2C" w14:paraId="2C1F1880" w14:textId="77777777" w:rsidTr="000B4E2C">
        <w:trPr>
          <w:cantSplit/>
        </w:trPr>
        <w:tc>
          <w:tcPr>
            <w:tcW w:w="0" w:type="auto"/>
            <w:shd w:val="clear" w:color="auto" w:fill="auto"/>
          </w:tcPr>
          <w:p w14:paraId="41BC4BE7" w14:textId="6DD5E5AE" w:rsidR="0070005A" w:rsidRPr="000B4E2C" w:rsidRDefault="0070005A" w:rsidP="004871B7">
            <w:pPr>
              <w:rPr>
                <w:sz w:val="22"/>
                <w:lang w:eastAsia="en-GB"/>
              </w:rPr>
            </w:pPr>
            <w:r w:rsidRPr="000B4E2C">
              <w:rPr>
                <w:sz w:val="22"/>
                <w:lang w:eastAsia="en-GB"/>
              </w:rPr>
              <w:t>Test 3 (NGAL urine</w:t>
            </w:r>
            <w:r w:rsidR="000B4E2C" w:rsidRPr="000B4E2C">
              <w:rPr>
                <w:color w:val="00B0F0"/>
                <w:sz w:val="22"/>
                <w:lang w:eastAsia="en-GB"/>
              </w:rPr>
              <w:t xml:space="preserve"> – </w:t>
            </w:r>
            <w:r w:rsidRPr="000B4E2C">
              <w:rPr>
                <w:sz w:val="22"/>
                <w:lang w:eastAsia="en-GB"/>
              </w:rPr>
              <w:t>BioPorto)</w:t>
            </w:r>
          </w:p>
        </w:tc>
        <w:tc>
          <w:tcPr>
            <w:tcW w:w="0" w:type="auto"/>
            <w:shd w:val="clear" w:color="auto" w:fill="auto"/>
          </w:tcPr>
          <w:p w14:paraId="6FB8A393" w14:textId="77777777" w:rsidR="0070005A" w:rsidRPr="000B4E2C" w:rsidRDefault="0070005A" w:rsidP="004871B7">
            <w:pPr>
              <w:rPr>
                <w:sz w:val="22"/>
                <w:lang w:eastAsia="en-GB"/>
              </w:rPr>
            </w:pPr>
            <w:r w:rsidRPr="000B4E2C">
              <w:rPr>
                <w:sz w:val="22"/>
                <w:lang w:eastAsia="en-GB"/>
              </w:rPr>
              <w:t>£22,887</w:t>
            </w:r>
          </w:p>
        </w:tc>
        <w:tc>
          <w:tcPr>
            <w:tcW w:w="0" w:type="auto"/>
            <w:shd w:val="clear" w:color="auto" w:fill="auto"/>
          </w:tcPr>
          <w:p w14:paraId="19682342" w14:textId="77777777" w:rsidR="0070005A" w:rsidRPr="000B4E2C" w:rsidRDefault="0070005A" w:rsidP="004871B7">
            <w:pPr>
              <w:rPr>
                <w:sz w:val="22"/>
                <w:lang w:eastAsia="en-GB"/>
              </w:rPr>
            </w:pPr>
            <w:r w:rsidRPr="000B4E2C">
              <w:rPr>
                <w:sz w:val="22"/>
                <w:lang w:eastAsia="en-GB"/>
              </w:rPr>
              <w:t>--</w:t>
            </w:r>
          </w:p>
        </w:tc>
        <w:tc>
          <w:tcPr>
            <w:tcW w:w="0" w:type="auto"/>
            <w:shd w:val="clear" w:color="auto" w:fill="auto"/>
          </w:tcPr>
          <w:p w14:paraId="4B1D6155" w14:textId="77777777" w:rsidR="0070005A" w:rsidRPr="000B4E2C" w:rsidRDefault="0070005A" w:rsidP="004871B7">
            <w:pPr>
              <w:rPr>
                <w:sz w:val="22"/>
                <w:lang w:eastAsia="en-GB"/>
              </w:rPr>
            </w:pPr>
            <w:r w:rsidRPr="000B4E2C">
              <w:rPr>
                <w:sz w:val="22"/>
                <w:lang w:eastAsia="en-GB"/>
              </w:rPr>
              <w:t>6.07332</w:t>
            </w:r>
          </w:p>
        </w:tc>
        <w:tc>
          <w:tcPr>
            <w:tcW w:w="0" w:type="auto"/>
            <w:shd w:val="clear" w:color="auto" w:fill="auto"/>
          </w:tcPr>
          <w:p w14:paraId="412BE939" w14:textId="77777777" w:rsidR="0070005A" w:rsidRPr="000B4E2C" w:rsidRDefault="0070005A" w:rsidP="004871B7">
            <w:pPr>
              <w:rPr>
                <w:sz w:val="22"/>
                <w:lang w:eastAsia="en-GB"/>
              </w:rPr>
            </w:pPr>
            <w:r w:rsidRPr="000B4E2C">
              <w:rPr>
                <w:sz w:val="22"/>
                <w:lang w:eastAsia="en-GB"/>
              </w:rPr>
              <w:t>--</w:t>
            </w:r>
          </w:p>
        </w:tc>
        <w:tc>
          <w:tcPr>
            <w:tcW w:w="0" w:type="auto"/>
            <w:shd w:val="clear" w:color="auto" w:fill="auto"/>
          </w:tcPr>
          <w:p w14:paraId="4C9F0666" w14:textId="77777777" w:rsidR="0070005A" w:rsidRPr="000B4E2C" w:rsidRDefault="0070005A" w:rsidP="004871B7">
            <w:pPr>
              <w:rPr>
                <w:sz w:val="22"/>
                <w:lang w:eastAsia="en-GB"/>
              </w:rPr>
            </w:pPr>
            <w:r w:rsidRPr="000B4E2C">
              <w:rPr>
                <w:sz w:val="22"/>
                <w:lang w:eastAsia="en-GB"/>
              </w:rPr>
              <w:t>--</w:t>
            </w:r>
          </w:p>
        </w:tc>
        <w:tc>
          <w:tcPr>
            <w:tcW w:w="0" w:type="auto"/>
            <w:shd w:val="clear" w:color="auto" w:fill="auto"/>
          </w:tcPr>
          <w:p w14:paraId="0BC556F7" w14:textId="77777777" w:rsidR="0070005A" w:rsidRPr="000B4E2C" w:rsidRDefault="0070005A" w:rsidP="004871B7">
            <w:pPr>
              <w:rPr>
                <w:sz w:val="22"/>
                <w:lang w:eastAsia="en-GB"/>
              </w:rPr>
            </w:pPr>
            <w:r w:rsidRPr="000B4E2C">
              <w:rPr>
                <w:sz w:val="22"/>
                <w:lang w:eastAsia="en-GB"/>
              </w:rPr>
              <w:t>Dominant</w:t>
            </w:r>
          </w:p>
        </w:tc>
        <w:tc>
          <w:tcPr>
            <w:tcW w:w="0" w:type="auto"/>
            <w:shd w:val="clear" w:color="auto" w:fill="auto"/>
          </w:tcPr>
          <w:p w14:paraId="2CA60864" w14:textId="77777777" w:rsidR="0070005A" w:rsidRPr="000B4E2C" w:rsidRDefault="0070005A" w:rsidP="004871B7">
            <w:pPr>
              <w:rPr>
                <w:sz w:val="22"/>
                <w:lang w:eastAsia="en-GB"/>
              </w:rPr>
            </w:pPr>
            <w:r w:rsidRPr="000B4E2C">
              <w:rPr>
                <w:sz w:val="22"/>
                <w:lang w:eastAsia="en-GB"/>
              </w:rPr>
              <w:t>43.5%</w:t>
            </w:r>
          </w:p>
        </w:tc>
        <w:tc>
          <w:tcPr>
            <w:tcW w:w="0" w:type="auto"/>
            <w:shd w:val="clear" w:color="auto" w:fill="auto"/>
          </w:tcPr>
          <w:p w14:paraId="789CA2D1" w14:textId="77777777" w:rsidR="0070005A" w:rsidRPr="000B4E2C" w:rsidRDefault="0070005A" w:rsidP="004871B7">
            <w:pPr>
              <w:rPr>
                <w:sz w:val="22"/>
                <w:lang w:eastAsia="en-GB"/>
              </w:rPr>
            </w:pPr>
            <w:r w:rsidRPr="000B4E2C">
              <w:rPr>
                <w:sz w:val="22"/>
                <w:lang w:eastAsia="en-GB"/>
              </w:rPr>
              <w:t>54.6%</w:t>
            </w:r>
          </w:p>
        </w:tc>
      </w:tr>
      <w:tr w:rsidR="000B4E2C" w:rsidRPr="000B4E2C" w14:paraId="5C366C3D" w14:textId="77777777" w:rsidTr="000B4E2C">
        <w:trPr>
          <w:cantSplit/>
        </w:trPr>
        <w:tc>
          <w:tcPr>
            <w:tcW w:w="0" w:type="auto"/>
            <w:shd w:val="clear" w:color="auto" w:fill="auto"/>
          </w:tcPr>
          <w:p w14:paraId="3FFBA19E" w14:textId="45BB187F" w:rsidR="0070005A" w:rsidRPr="000B4E2C" w:rsidRDefault="0070005A" w:rsidP="004871B7">
            <w:pPr>
              <w:rPr>
                <w:sz w:val="22"/>
                <w:lang w:eastAsia="en-GB"/>
              </w:rPr>
            </w:pPr>
            <w:r w:rsidRPr="000B4E2C">
              <w:rPr>
                <w:sz w:val="22"/>
                <w:lang w:eastAsia="en-GB"/>
              </w:rPr>
              <w:t>Test 2 (NGAL plasma</w:t>
            </w:r>
            <w:r w:rsidR="000B4E2C" w:rsidRPr="000B4E2C">
              <w:rPr>
                <w:color w:val="00B0F0"/>
                <w:sz w:val="22"/>
                <w:lang w:eastAsia="en-GB"/>
              </w:rPr>
              <w:t xml:space="preserve"> – </w:t>
            </w:r>
            <w:r w:rsidRPr="000B4E2C">
              <w:rPr>
                <w:sz w:val="22"/>
                <w:lang w:eastAsia="en-GB"/>
              </w:rPr>
              <w:t>BioPorto)</w:t>
            </w:r>
          </w:p>
        </w:tc>
        <w:tc>
          <w:tcPr>
            <w:tcW w:w="0" w:type="auto"/>
            <w:shd w:val="clear" w:color="auto" w:fill="auto"/>
          </w:tcPr>
          <w:p w14:paraId="3374104D" w14:textId="77777777" w:rsidR="0070005A" w:rsidRPr="000B4E2C" w:rsidRDefault="0070005A" w:rsidP="004871B7">
            <w:pPr>
              <w:rPr>
                <w:sz w:val="22"/>
                <w:lang w:eastAsia="en-GB"/>
              </w:rPr>
            </w:pPr>
            <w:r w:rsidRPr="000B4E2C">
              <w:rPr>
                <w:sz w:val="22"/>
                <w:lang w:eastAsia="en-GB"/>
              </w:rPr>
              <w:t>£22,900</w:t>
            </w:r>
          </w:p>
        </w:tc>
        <w:tc>
          <w:tcPr>
            <w:tcW w:w="0" w:type="auto"/>
            <w:shd w:val="clear" w:color="auto" w:fill="auto"/>
          </w:tcPr>
          <w:p w14:paraId="06A23504" w14:textId="77777777" w:rsidR="0070005A" w:rsidRPr="000B4E2C" w:rsidRDefault="0070005A" w:rsidP="004871B7">
            <w:pPr>
              <w:rPr>
                <w:sz w:val="22"/>
                <w:lang w:eastAsia="en-GB"/>
              </w:rPr>
            </w:pPr>
            <w:r w:rsidRPr="000B4E2C">
              <w:rPr>
                <w:sz w:val="22"/>
                <w:lang w:eastAsia="en-GB"/>
              </w:rPr>
              <w:t>£14</w:t>
            </w:r>
          </w:p>
        </w:tc>
        <w:tc>
          <w:tcPr>
            <w:tcW w:w="0" w:type="auto"/>
            <w:shd w:val="clear" w:color="auto" w:fill="auto"/>
          </w:tcPr>
          <w:p w14:paraId="17D8822B" w14:textId="77777777" w:rsidR="0070005A" w:rsidRPr="000B4E2C" w:rsidRDefault="0070005A" w:rsidP="004871B7">
            <w:pPr>
              <w:rPr>
                <w:sz w:val="22"/>
                <w:lang w:eastAsia="en-GB"/>
              </w:rPr>
            </w:pPr>
            <w:r w:rsidRPr="000B4E2C">
              <w:rPr>
                <w:sz w:val="22"/>
                <w:lang w:eastAsia="en-GB"/>
              </w:rPr>
              <w:t>6.07332</w:t>
            </w:r>
          </w:p>
        </w:tc>
        <w:tc>
          <w:tcPr>
            <w:tcW w:w="0" w:type="auto"/>
            <w:shd w:val="clear" w:color="auto" w:fill="auto"/>
          </w:tcPr>
          <w:p w14:paraId="6806696F" w14:textId="77777777" w:rsidR="0070005A" w:rsidRPr="000B4E2C" w:rsidRDefault="0070005A" w:rsidP="004871B7">
            <w:pPr>
              <w:rPr>
                <w:sz w:val="22"/>
                <w:lang w:eastAsia="en-GB"/>
              </w:rPr>
            </w:pPr>
            <w:r w:rsidRPr="000B4E2C">
              <w:rPr>
                <w:sz w:val="22"/>
                <w:lang w:eastAsia="en-GB"/>
              </w:rPr>
              <w:t>0.00001</w:t>
            </w:r>
          </w:p>
        </w:tc>
        <w:tc>
          <w:tcPr>
            <w:tcW w:w="0" w:type="auto"/>
            <w:shd w:val="clear" w:color="auto" w:fill="auto"/>
          </w:tcPr>
          <w:p w14:paraId="5907C1E8" w14:textId="77777777" w:rsidR="0070005A" w:rsidRPr="000B4E2C" w:rsidRDefault="0070005A" w:rsidP="004871B7">
            <w:pPr>
              <w:rPr>
                <w:sz w:val="22"/>
                <w:lang w:eastAsia="en-GB"/>
              </w:rPr>
            </w:pPr>
            <w:r w:rsidRPr="000B4E2C">
              <w:rPr>
                <w:sz w:val="22"/>
                <w:lang w:eastAsia="en-GB"/>
              </w:rPr>
              <w:t>£2,694,918</w:t>
            </w:r>
          </w:p>
        </w:tc>
        <w:tc>
          <w:tcPr>
            <w:tcW w:w="0" w:type="auto"/>
            <w:shd w:val="clear" w:color="auto" w:fill="auto"/>
          </w:tcPr>
          <w:p w14:paraId="19A6C16B" w14:textId="77777777" w:rsidR="0070005A" w:rsidRPr="000B4E2C" w:rsidRDefault="0070005A" w:rsidP="004871B7">
            <w:pPr>
              <w:rPr>
                <w:sz w:val="22"/>
                <w:lang w:eastAsia="en-GB"/>
              </w:rPr>
            </w:pPr>
            <w:r w:rsidRPr="000B4E2C">
              <w:rPr>
                <w:sz w:val="22"/>
                <w:lang w:eastAsia="en-GB"/>
              </w:rPr>
              <w:t>Dominant</w:t>
            </w:r>
          </w:p>
        </w:tc>
        <w:tc>
          <w:tcPr>
            <w:tcW w:w="0" w:type="auto"/>
            <w:shd w:val="clear" w:color="auto" w:fill="auto"/>
          </w:tcPr>
          <w:p w14:paraId="2D56DB12" w14:textId="77777777" w:rsidR="0070005A" w:rsidRPr="000B4E2C" w:rsidRDefault="0070005A" w:rsidP="004871B7">
            <w:pPr>
              <w:rPr>
                <w:sz w:val="22"/>
                <w:lang w:eastAsia="en-GB"/>
              </w:rPr>
            </w:pPr>
            <w:r w:rsidRPr="000B4E2C">
              <w:rPr>
                <w:sz w:val="22"/>
                <w:lang w:eastAsia="en-GB"/>
              </w:rPr>
              <w:t>11.1%</w:t>
            </w:r>
          </w:p>
        </w:tc>
        <w:tc>
          <w:tcPr>
            <w:tcW w:w="0" w:type="auto"/>
            <w:shd w:val="clear" w:color="auto" w:fill="auto"/>
          </w:tcPr>
          <w:p w14:paraId="781F1A07" w14:textId="77777777" w:rsidR="0070005A" w:rsidRPr="000B4E2C" w:rsidRDefault="0070005A" w:rsidP="004871B7">
            <w:pPr>
              <w:rPr>
                <w:sz w:val="22"/>
                <w:lang w:eastAsia="en-GB"/>
              </w:rPr>
            </w:pPr>
            <w:r w:rsidRPr="000B4E2C">
              <w:rPr>
                <w:sz w:val="22"/>
                <w:lang w:eastAsia="en-GB"/>
              </w:rPr>
              <w:t>47.6%</w:t>
            </w:r>
          </w:p>
        </w:tc>
      </w:tr>
      <w:tr w:rsidR="000B4E2C" w:rsidRPr="000B4E2C" w14:paraId="6129B3A8" w14:textId="77777777" w:rsidTr="000B4E2C">
        <w:trPr>
          <w:cantSplit/>
        </w:trPr>
        <w:tc>
          <w:tcPr>
            <w:tcW w:w="0" w:type="auto"/>
            <w:shd w:val="clear" w:color="auto" w:fill="auto"/>
          </w:tcPr>
          <w:p w14:paraId="2EE33701" w14:textId="77777777" w:rsidR="0070005A" w:rsidRPr="000B4E2C" w:rsidRDefault="0070005A" w:rsidP="004871B7">
            <w:pPr>
              <w:rPr>
                <w:sz w:val="22"/>
                <w:lang w:eastAsia="en-GB"/>
              </w:rPr>
            </w:pPr>
            <w:r w:rsidRPr="000B4E2C">
              <w:rPr>
                <w:sz w:val="22"/>
                <w:lang w:eastAsia="en-GB"/>
              </w:rPr>
              <w:t>Standard care (Scr)</w:t>
            </w:r>
          </w:p>
        </w:tc>
        <w:tc>
          <w:tcPr>
            <w:tcW w:w="0" w:type="auto"/>
            <w:shd w:val="clear" w:color="auto" w:fill="auto"/>
          </w:tcPr>
          <w:p w14:paraId="5DC1E8D8" w14:textId="77777777" w:rsidR="0070005A" w:rsidRPr="000B4E2C" w:rsidRDefault="0070005A" w:rsidP="004871B7">
            <w:pPr>
              <w:rPr>
                <w:sz w:val="22"/>
                <w:lang w:eastAsia="en-GB"/>
              </w:rPr>
            </w:pPr>
            <w:r w:rsidRPr="000B4E2C">
              <w:rPr>
                <w:sz w:val="22"/>
                <w:lang w:eastAsia="en-GB"/>
              </w:rPr>
              <w:t>£22,901</w:t>
            </w:r>
          </w:p>
        </w:tc>
        <w:tc>
          <w:tcPr>
            <w:tcW w:w="0" w:type="auto"/>
            <w:shd w:val="clear" w:color="auto" w:fill="auto"/>
          </w:tcPr>
          <w:p w14:paraId="730E8B3F"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1000D57E" w14:textId="77777777" w:rsidR="0070005A" w:rsidRPr="000B4E2C" w:rsidRDefault="0070005A" w:rsidP="004871B7">
            <w:pPr>
              <w:rPr>
                <w:sz w:val="22"/>
                <w:lang w:eastAsia="en-GB"/>
              </w:rPr>
            </w:pPr>
            <w:r w:rsidRPr="000B4E2C">
              <w:rPr>
                <w:sz w:val="22"/>
                <w:lang w:eastAsia="en-GB"/>
              </w:rPr>
              <w:t>6.07296</w:t>
            </w:r>
          </w:p>
        </w:tc>
        <w:tc>
          <w:tcPr>
            <w:tcW w:w="0" w:type="auto"/>
            <w:shd w:val="clear" w:color="auto" w:fill="auto"/>
          </w:tcPr>
          <w:p w14:paraId="0B0B01F1"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405632BF"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45E5AC11" w14:textId="77777777" w:rsidR="0070005A" w:rsidRPr="000B4E2C" w:rsidRDefault="0070005A" w:rsidP="004871B7">
            <w:pPr>
              <w:rPr>
                <w:sz w:val="22"/>
                <w:lang w:eastAsia="en-GB"/>
              </w:rPr>
            </w:pPr>
            <w:r w:rsidRPr="000B4E2C">
              <w:rPr>
                <w:sz w:val="22"/>
                <w:lang w:eastAsia="en-GB"/>
              </w:rPr>
              <w:t>--</w:t>
            </w:r>
          </w:p>
        </w:tc>
        <w:tc>
          <w:tcPr>
            <w:tcW w:w="0" w:type="auto"/>
            <w:shd w:val="clear" w:color="auto" w:fill="auto"/>
          </w:tcPr>
          <w:p w14:paraId="1706EA7C" w14:textId="77777777" w:rsidR="0070005A" w:rsidRPr="000B4E2C" w:rsidRDefault="0070005A" w:rsidP="004871B7">
            <w:pPr>
              <w:rPr>
                <w:sz w:val="22"/>
                <w:lang w:eastAsia="en-GB"/>
              </w:rPr>
            </w:pPr>
            <w:r w:rsidRPr="000B4E2C">
              <w:rPr>
                <w:sz w:val="22"/>
                <w:lang w:eastAsia="en-GB"/>
              </w:rPr>
              <w:t>45.1%</w:t>
            </w:r>
          </w:p>
        </w:tc>
        <w:tc>
          <w:tcPr>
            <w:tcW w:w="0" w:type="auto"/>
            <w:shd w:val="clear" w:color="auto" w:fill="auto"/>
          </w:tcPr>
          <w:p w14:paraId="7F5E5682" w14:textId="77777777" w:rsidR="0070005A" w:rsidRPr="000B4E2C" w:rsidRDefault="0070005A" w:rsidP="004871B7">
            <w:pPr>
              <w:rPr>
                <w:sz w:val="22"/>
                <w:lang w:eastAsia="en-GB"/>
              </w:rPr>
            </w:pPr>
            <w:r w:rsidRPr="000B4E2C">
              <w:rPr>
                <w:sz w:val="22"/>
                <w:lang w:eastAsia="en-GB"/>
              </w:rPr>
              <w:t>--</w:t>
            </w:r>
          </w:p>
        </w:tc>
      </w:tr>
      <w:tr w:rsidR="000B4E2C" w:rsidRPr="000B4E2C" w14:paraId="10FA6DCE" w14:textId="77777777" w:rsidTr="000B4E2C">
        <w:trPr>
          <w:cantSplit/>
        </w:trPr>
        <w:tc>
          <w:tcPr>
            <w:tcW w:w="0" w:type="auto"/>
            <w:shd w:val="clear" w:color="auto" w:fill="auto"/>
          </w:tcPr>
          <w:p w14:paraId="17DE2CBE" w14:textId="78860C1A" w:rsidR="0070005A" w:rsidRPr="000B4E2C" w:rsidRDefault="0070005A" w:rsidP="004871B7">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tcPr>
          <w:p w14:paraId="41674067" w14:textId="77777777" w:rsidR="0070005A" w:rsidRPr="000B4E2C" w:rsidRDefault="0070005A" w:rsidP="004871B7">
            <w:pPr>
              <w:rPr>
                <w:sz w:val="22"/>
                <w:lang w:eastAsia="en-GB"/>
              </w:rPr>
            </w:pPr>
            <w:r w:rsidRPr="000B4E2C">
              <w:rPr>
                <w:sz w:val="22"/>
                <w:lang w:eastAsia="en-GB"/>
              </w:rPr>
              <w:t>£22,912</w:t>
            </w:r>
          </w:p>
        </w:tc>
        <w:tc>
          <w:tcPr>
            <w:tcW w:w="0" w:type="auto"/>
            <w:shd w:val="clear" w:color="auto" w:fill="auto"/>
          </w:tcPr>
          <w:p w14:paraId="311E7EEB"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79F7CC7E" w14:textId="77777777" w:rsidR="0070005A" w:rsidRPr="000B4E2C" w:rsidRDefault="0070005A" w:rsidP="004871B7">
            <w:pPr>
              <w:rPr>
                <w:sz w:val="22"/>
                <w:lang w:eastAsia="en-GB"/>
              </w:rPr>
            </w:pPr>
            <w:r w:rsidRPr="000B4E2C">
              <w:rPr>
                <w:sz w:val="22"/>
                <w:lang w:eastAsia="en-GB"/>
              </w:rPr>
              <w:t>6.07328</w:t>
            </w:r>
          </w:p>
        </w:tc>
        <w:tc>
          <w:tcPr>
            <w:tcW w:w="0" w:type="auto"/>
            <w:shd w:val="clear" w:color="auto" w:fill="auto"/>
          </w:tcPr>
          <w:p w14:paraId="326CF6C9"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19443DFC"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6A0AB287" w14:textId="77777777" w:rsidR="0070005A" w:rsidRPr="000B4E2C" w:rsidRDefault="0070005A" w:rsidP="004871B7">
            <w:pPr>
              <w:rPr>
                <w:sz w:val="22"/>
                <w:lang w:eastAsia="en-GB"/>
              </w:rPr>
            </w:pPr>
            <w:r w:rsidRPr="000B4E2C">
              <w:rPr>
                <w:sz w:val="22"/>
              </w:rPr>
              <w:t>£32,131</w:t>
            </w:r>
          </w:p>
        </w:tc>
        <w:tc>
          <w:tcPr>
            <w:tcW w:w="0" w:type="auto"/>
            <w:shd w:val="clear" w:color="auto" w:fill="auto"/>
          </w:tcPr>
          <w:p w14:paraId="376FD7E9" w14:textId="77777777" w:rsidR="0070005A" w:rsidRPr="000B4E2C" w:rsidRDefault="0070005A" w:rsidP="004871B7">
            <w:pPr>
              <w:rPr>
                <w:sz w:val="22"/>
                <w:lang w:eastAsia="en-GB"/>
              </w:rPr>
            </w:pPr>
            <w:r w:rsidRPr="000B4E2C">
              <w:rPr>
                <w:sz w:val="22"/>
                <w:lang w:eastAsia="en-GB"/>
              </w:rPr>
              <w:t>0.1%</w:t>
            </w:r>
          </w:p>
        </w:tc>
        <w:tc>
          <w:tcPr>
            <w:tcW w:w="0" w:type="auto"/>
            <w:shd w:val="clear" w:color="auto" w:fill="auto"/>
          </w:tcPr>
          <w:p w14:paraId="58BACA94" w14:textId="77777777" w:rsidR="0070005A" w:rsidRPr="000B4E2C" w:rsidRDefault="0070005A" w:rsidP="004871B7">
            <w:pPr>
              <w:rPr>
                <w:sz w:val="22"/>
                <w:lang w:eastAsia="en-GB"/>
              </w:rPr>
            </w:pPr>
            <w:r w:rsidRPr="000B4E2C">
              <w:rPr>
                <w:sz w:val="22"/>
                <w:lang w:eastAsia="en-GB"/>
              </w:rPr>
              <w:t>41.4%</w:t>
            </w:r>
          </w:p>
        </w:tc>
      </w:tr>
      <w:tr w:rsidR="000B4E2C" w:rsidRPr="000B4E2C" w14:paraId="5FFEA1D5" w14:textId="77777777" w:rsidTr="000B4E2C">
        <w:trPr>
          <w:cantSplit/>
        </w:trPr>
        <w:tc>
          <w:tcPr>
            <w:tcW w:w="0" w:type="auto"/>
            <w:shd w:val="clear" w:color="auto" w:fill="auto"/>
          </w:tcPr>
          <w:p w14:paraId="725329BC" w14:textId="77777777" w:rsidR="0070005A" w:rsidRPr="000B4E2C" w:rsidRDefault="0070005A" w:rsidP="004871B7">
            <w:pPr>
              <w:rPr>
                <w:sz w:val="22"/>
                <w:lang w:eastAsia="en-GB"/>
              </w:rPr>
            </w:pPr>
            <w:r w:rsidRPr="000B4E2C">
              <w:rPr>
                <w:sz w:val="22"/>
                <w:lang w:eastAsia="en-GB"/>
              </w:rPr>
              <w:t>Test 1 (NephroCheck)</w:t>
            </w:r>
          </w:p>
        </w:tc>
        <w:tc>
          <w:tcPr>
            <w:tcW w:w="0" w:type="auto"/>
            <w:shd w:val="clear" w:color="auto" w:fill="auto"/>
          </w:tcPr>
          <w:p w14:paraId="7B751072" w14:textId="77777777" w:rsidR="0070005A" w:rsidRPr="000B4E2C" w:rsidRDefault="0070005A" w:rsidP="004871B7">
            <w:pPr>
              <w:rPr>
                <w:sz w:val="22"/>
                <w:lang w:eastAsia="en-GB"/>
              </w:rPr>
            </w:pPr>
            <w:r w:rsidRPr="000B4E2C">
              <w:rPr>
                <w:sz w:val="22"/>
                <w:lang w:eastAsia="en-GB"/>
              </w:rPr>
              <w:t>£22,938</w:t>
            </w:r>
          </w:p>
        </w:tc>
        <w:tc>
          <w:tcPr>
            <w:tcW w:w="0" w:type="auto"/>
            <w:shd w:val="clear" w:color="auto" w:fill="auto"/>
          </w:tcPr>
          <w:p w14:paraId="5504EF0E"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3953DFDA" w14:textId="77777777" w:rsidR="0070005A" w:rsidRPr="000B4E2C" w:rsidRDefault="0070005A" w:rsidP="004871B7">
            <w:pPr>
              <w:rPr>
                <w:sz w:val="22"/>
                <w:lang w:eastAsia="en-GB"/>
              </w:rPr>
            </w:pPr>
            <w:r w:rsidRPr="000B4E2C">
              <w:rPr>
                <w:sz w:val="22"/>
                <w:lang w:eastAsia="en-GB"/>
              </w:rPr>
              <w:t>6.07332</w:t>
            </w:r>
          </w:p>
        </w:tc>
        <w:tc>
          <w:tcPr>
            <w:tcW w:w="0" w:type="auto"/>
            <w:shd w:val="clear" w:color="auto" w:fill="auto"/>
          </w:tcPr>
          <w:p w14:paraId="61BF7A05"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09B90B21"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1AECA764" w14:textId="77777777" w:rsidR="0070005A" w:rsidRPr="000B4E2C" w:rsidRDefault="0070005A" w:rsidP="004871B7">
            <w:pPr>
              <w:rPr>
                <w:sz w:val="22"/>
                <w:lang w:eastAsia="en-GB"/>
              </w:rPr>
            </w:pPr>
            <w:r w:rsidRPr="000B4E2C">
              <w:rPr>
                <w:sz w:val="22"/>
              </w:rPr>
              <w:t>£101,456</w:t>
            </w:r>
          </w:p>
        </w:tc>
        <w:tc>
          <w:tcPr>
            <w:tcW w:w="0" w:type="auto"/>
            <w:shd w:val="clear" w:color="auto" w:fill="auto"/>
          </w:tcPr>
          <w:p w14:paraId="03DE55DD" w14:textId="77777777" w:rsidR="0070005A" w:rsidRPr="000B4E2C" w:rsidRDefault="0070005A" w:rsidP="004871B7">
            <w:pPr>
              <w:rPr>
                <w:sz w:val="22"/>
                <w:lang w:eastAsia="en-GB"/>
              </w:rPr>
            </w:pPr>
            <w:r w:rsidRPr="000B4E2C">
              <w:rPr>
                <w:sz w:val="22"/>
                <w:lang w:eastAsia="en-GB"/>
              </w:rPr>
              <w:t>0.2%</w:t>
            </w:r>
          </w:p>
        </w:tc>
        <w:tc>
          <w:tcPr>
            <w:tcW w:w="0" w:type="auto"/>
            <w:shd w:val="clear" w:color="auto" w:fill="auto"/>
          </w:tcPr>
          <w:p w14:paraId="0390AB0C" w14:textId="77777777" w:rsidR="0070005A" w:rsidRPr="000B4E2C" w:rsidRDefault="0070005A" w:rsidP="004871B7">
            <w:pPr>
              <w:rPr>
                <w:sz w:val="22"/>
                <w:lang w:eastAsia="en-GB"/>
              </w:rPr>
            </w:pPr>
            <w:r w:rsidRPr="000B4E2C">
              <w:rPr>
                <w:sz w:val="22"/>
                <w:lang w:eastAsia="en-GB"/>
              </w:rPr>
              <w:t>31.9%</w:t>
            </w:r>
          </w:p>
        </w:tc>
      </w:tr>
      <w:tr w:rsidR="0070005A" w:rsidRPr="000B4E2C" w14:paraId="1AADCC87" w14:textId="77777777" w:rsidTr="000B4E2C">
        <w:trPr>
          <w:cantSplit/>
        </w:trPr>
        <w:tc>
          <w:tcPr>
            <w:tcW w:w="0" w:type="auto"/>
            <w:gridSpan w:val="9"/>
            <w:shd w:val="clear" w:color="auto" w:fill="auto"/>
            <w:noWrap/>
            <w:hideMark/>
          </w:tcPr>
          <w:p w14:paraId="4693443E" w14:textId="77777777" w:rsidR="0070005A" w:rsidRPr="000B4E2C" w:rsidRDefault="0070005A" w:rsidP="004871B7">
            <w:pPr>
              <w:rPr>
                <w:b/>
                <w:bCs/>
                <w:sz w:val="22"/>
              </w:rPr>
            </w:pPr>
            <w:r w:rsidRPr="000B4E2C">
              <w:rPr>
                <w:b/>
                <w:bCs/>
                <w:sz w:val="22"/>
              </w:rPr>
              <w:t>1R. Alternative test costs for NephroCheck and NGAL (BioPorto)</w:t>
            </w:r>
          </w:p>
        </w:tc>
      </w:tr>
      <w:tr w:rsidR="000B4E2C" w:rsidRPr="000B4E2C" w14:paraId="12DB40E2" w14:textId="77777777" w:rsidTr="000B4E2C">
        <w:trPr>
          <w:cantSplit/>
        </w:trPr>
        <w:tc>
          <w:tcPr>
            <w:tcW w:w="0" w:type="auto"/>
            <w:shd w:val="clear" w:color="auto" w:fill="auto"/>
            <w:noWrap/>
            <w:hideMark/>
          </w:tcPr>
          <w:p w14:paraId="188C0DE5" w14:textId="7F1D2691" w:rsidR="0070005A" w:rsidRPr="000B4E2C" w:rsidRDefault="0070005A" w:rsidP="004871B7">
            <w:pPr>
              <w:rPr>
                <w:sz w:val="22"/>
              </w:rPr>
            </w:pPr>
            <w:r w:rsidRPr="000B4E2C">
              <w:rPr>
                <w:sz w:val="22"/>
              </w:rPr>
              <w:t>Test 3 (NGAL urine</w:t>
            </w:r>
            <w:r w:rsidR="000B4E2C" w:rsidRPr="000B4E2C">
              <w:rPr>
                <w:color w:val="00B0F0"/>
                <w:sz w:val="22"/>
              </w:rPr>
              <w:t xml:space="preserve"> – </w:t>
            </w:r>
            <w:r w:rsidRPr="000B4E2C">
              <w:rPr>
                <w:sz w:val="22"/>
              </w:rPr>
              <w:t>BioPorto)</w:t>
            </w:r>
          </w:p>
        </w:tc>
        <w:tc>
          <w:tcPr>
            <w:tcW w:w="0" w:type="auto"/>
            <w:shd w:val="clear" w:color="auto" w:fill="auto"/>
            <w:noWrap/>
            <w:hideMark/>
          </w:tcPr>
          <w:p w14:paraId="4FFDBC2B" w14:textId="77777777" w:rsidR="0070005A" w:rsidRPr="000B4E2C" w:rsidRDefault="0070005A" w:rsidP="004871B7">
            <w:pPr>
              <w:rPr>
                <w:sz w:val="22"/>
              </w:rPr>
            </w:pPr>
            <w:r w:rsidRPr="000B4E2C">
              <w:rPr>
                <w:sz w:val="22"/>
              </w:rPr>
              <w:t>£22,746</w:t>
            </w:r>
          </w:p>
        </w:tc>
        <w:tc>
          <w:tcPr>
            <w:tcW w:w="0" w:type="auto"/>
            <w:shd w:val="clear" w:color="auto" w:fill="auto"/>
            <w:noWrap/>
            <w:hideMark/>
          </w:tcPr>
          <w:p w14:paraId="54289D61" w14:textId="77777777" w:rsidR="0070005A" w:rsidRPr="000B4E2C" w:rsidRDefault="0070005A" w:rsidP="004871B7">
            <w:pPr>
              <w:rPr>
                <w:sz w:val="22"/>
              </w:rPr>
            </w:pPr>
            <w:r w:rsidRPr="000B4E2C">
              <w:rPr>
                <w:sz w:val="22"/>
              </w:rPr>
              <w:t>--</w:t>
            </w:r>
          </w:p>
        </w:tc>
        <w:tc>
          <w:tcPr>
            <w:tcW w:w="0" w:type="auto"/>
            <w:shd w:val="clear" w:color="auto" w:fill="auto"/>
            <w:noWrap/>
            <w:hideMark/>
          </w:tcPr>
          <w:p w14:paraId="352A7153" w14:textId="77777777" w:rsidR="0070005A" w:rsidRPr="000B4E2C" w:rsidRDefault="0070005A" w:rsidP="004871B7">
            <w:pPr>
              <w:rPr>
                <w:sz w:val="22"/>
              </w:rPr>
            </w:pPr>
            <w:r w:rsidRPr="000B4E2C">
              <w:rPr>
                <w:sz w:val="22"/>
              </w:rPr>
              <w:t>6.074431</w:t>
            </w:r>
          </w:p>
        </w:tc>
        <w:tc>
          <w:tcPr>
            <w:tcW w:w="0" w:type="auto"/>
            <w:shd w:val="clear" w:color="auto" w:fill="auto"/>
            <w:noWrap/>
            <w:hideMark/>
          </w:tcPr>
          <w:p w14:paraId="384A43E3" w14:textId="77777777" w:rsidR="0070005A" w:rsidRPr="000B4E2C" w:rsidRDefault="0070005A" w:rsidP="004871B7">
            <w:pPr>
              <w:rPr>
                <w:sz w:val="22"/>
              </w:rPr>
            </w:pPr>
            <w:r w:rsidRPr="000B4E2C">
              <w:rPr>
                <w:sz w:val="22"/>
              </w:rPr>
              <w:t>--</w:t>
            </w:r>
          </w:p>
        </w:tc>
        <w:tc>
          <w:tcPr>
            <w:tcW w:w="0" w:type="auto"/>
            <w:shd w:val="clear" w:color="auto" w:fill="auto"/>
            <w:noWrap/>
            <w:hideMark/>
          </w:tcPr>
          <w:p w14:paraId="141B20ED" w14:textId="77777777" w:rsidR="0070005A" w:rsidRPr="000B4E2C" w:rsidRDefault="0070005A" w:rsidP="004871B7">
            <w:pPr>
              <w:rPr>
                <w:sz w:val="22"/>
              </w:rPr>
            </w:pPr>
            <w:r w:rsidRPr="000B4E2C">
              <w:rPr>
                <w:sz w:val="22"/>
              </w:rPr>
              <w:t>--</w:t>
            </w:r>
          </w:p>
        </w:tc>
        <w:tc>
          <w:tcPr>
            <w:tcW w:w="0" w:type="auto"/>
            <w:shd w:val="clear" w:color="auto" w:fill="auto"/>
            <w:noWrap/>
            <w:hideMark/>
          </w:tcPr>
          <w:p w14:paraId="6FCAE62F" w14:textId="77777777" w:rsidR="0070005A" w:rsidRPr="000B4E2C" w:rsidRDefault="0070005A" w:rsidP="004871B7">
            <w:pPr>
              <w:rPr>
                <w:sz w:val="22"/>
              </w:rPr>
            </w:pPr>
            <w:r w:rsidRPr="000B4E2C">
              <w:rPr>
                <w:sz w:val="22"/>
              </w:rPr>
              <w:t>Dominant</w:t>
            </w:r>
          </w:p>
        </w:tc>
        <w:tc>
          <w:tcPr>
            <w:tcW w:w="0" w:type="auto"/>
            <w:shd w:val="clear" w:color="auto" w:fill="auto"/>
            <w:noWrap/>
            <w:hideMark/>
          </w:tcPr>
          <w:p w14:paraId="55ED7ADB" w14:textId="77777777" w:rsidR="0070005A" w:rsidRPr="000B4E2C" w:rsidRDefault="0070005A" w:rsidP="004871B7">
            <w:pPr>
              <w:rPr>
                <w:sz w:val="22"/>
              </w:rPr>
            </w:pPr>
            <w:r w:rsidRPr="000B4E2C">
              <w:rPr>
                <w:sz w:val="22"/>
              </w:rPr>
              <w:t>39.6%</w:t>
            </w:r>
          </w:p>
        </w:tc>
        <w:tc>
          <w:tcPr>
            <w:tcW w:w="0" w:type="auto"/>
            <w:shd w:val="clear" w:color="auto" w:fill="auto"/>
            <w:noWrap/>
            <w:hideMark/>
          </w:tcPr>
          <w:p w14:paraId="128EFF0D" w14:textId="77777777" w:rsidR="0070005A" w:rsidRPr="000B4E2C" w:rsidRDefault="0070005A" w:rsidP="004871B7">
            <w:pPr>
              <w:rPr>
                <w:sz w:val="22"/>
              </w:rPr>
            </w:pPr>
            <w:r w:rsidRPr="000B4E2C">
              <w:rPr>
                <w:sz w:val="22"/>
              </w:rPr>
              <w:t>52.5%</w:t>
            </w:r>
          </w:p>
        </w:tc>
      </w:tr>
      <w:tr w:rsidR="000B4E2C" w:rsidRPr="000B4E2C" w14:paraId="7AA43FBA" w14:textId="77777777" w:rsidTr="000B4E2C">
        <w:trPr>
          <w:cantSplit/>
        </w:trPr>
        <w:tc>
          <w:tcPr>
            <w:tcW w:w="0" w:type="auto"/>
            <w:shd w:val="clear" w:color="auto" w:fill="auto"/>
            <w:noWrap/>
            <w:hideMark/>
          </w:tcPr>
          <w:p w14:paraId="0054E98F" w14:textId="4B61912C" w:rsidR="0070005A" w:rsidRPr="000B4E2C" w:rsidRDefault="0070005A" w:rsidP="004871B7">
            <w:pPr>
              <w:rPr>
                <w:sz w:val="22"/>
              </w:rPr>
            </w:pPr>
            <w:r w:rsidRPr="000B4E2C">
              <w:rPr>
                <w:sz w:val="22"/>
              </w:rPr>
              <w:lastRenderedPageBreak/>
              <w:t>Test 2 (NGAL plasma</w:t>
            </w:r>
            <w:r w:rsidR="000B4E2C" w:rsidRPr="000B4E2C">
              <w:rPr>
                <w:color w:val="00B0F0"/>
                <w:sz w:val="22"/>
              </w:rPr>
              <w:t xml:space="preserve"> – </w:t>
            </w:r>
            <w:r w:rsidRPr="000B4E2C">
              <w:rPr>
                <w:sz w:val="22"/>
              </w:rPr>
              <w:t>BioPorto)</w:t>
            </w:r>
          </w:p>
        </w:tc>
        <w:tc>
          <w:tcPr>
            <w:tcW w:w="0" w:type="auto"/>
            <w:shd w:val="clear" w:color="auto" w:fill="auto"/>
            <w:noWrap/>
            <w:hideMark/>
          </w:tcPr>
          <w:p w14:paraId="5490C30D" w14:textId="77777777" w:rsidR="0070005A" w:rsidRPr="000B4E2C" w:rsidRDefault="0070005A" w:rsidP="004871B7">
            <w:pPr>
              <w:rPr>
                <w:sz w:val="22"/>
              </w:rPr>
            </w:pPr>
            <w:r w:rsidRPr="000B4E2C">
              <w:rPr>
                <w:sz w:val="22"/>
              </w:rPr>
              <w:t>£22,758</w:t>
            </w:r>
          </w:p>
        </w:tc>
        <w:tc>
          <w:tcPr>
            <w:tcW w:w="0" w:type="auto"/>
            <w:shd w:val="clear" w:color="auto" w:fill="auto"/>
            <w:noWrap/>
            <w:hideMark/>
          </w:tcPr>
          <w:p w14:paraId="5097BB17" w14:textId="77777777" w:rsidR="0070005A" w:rsidRPr="000B4E2C" w:rsidRDefault="0070005A" w:rsidP="004871B7">
            <w:pPr>
              <w:rPr>
                <w:sz w:val="22"/>
              </w:rPr>
            </w:pPr>
            <w:r w:rsidRPr="000B4E2C">
              <w:rPr>
                <w:sz w:val="22"/>
              </w:rPr>
              <w:t>£12</w:t>
            </w:r>
          </w:p>
        </w:tc>
        <w:tc>
          <w:tcPr>
            <w:tcW w:w="0" w:type="auto"/>
            <w:shd w:val="clear" w:color="auto" w:fill="auto"/>
            <w:noWrap/>
            <w:hideMark/>
          </w:tcPr>
          <w:p w14:paraId="67F142C3" w14:textId="77777777" w:rsidR="0070005A" w:rsidRPr="000B4E2C" w:rsidRDefault="0070005A" w:rsidP="004871B7">
            <w:pPr>
              <w:rPr>
                <w:sz w:val="22"/>
              </w:rPr>
            </w:pPr>
            <w:r w:rsidRPr="000B4E2C">
              <w:rPr>
                <w:sz w:val="22"/>
              </w:rPr>
              <w:t>6.074439</w:t>
            </w:r>
          </w:p>
        </w:tc>
        <w:tc>
          <w:tcPr>
            <w:tcW w:w="0" w:type="auto"/>
            <w:shd w:val="clear" w:color="auto" w:fill="auto"/>
            <w:noWrap/>
            <w:hideMark/>
          </w:tcPr>
          <w:p w14:paraId="2D9B11C7" w14:textId="77777777" w:rsidR="0070005A" w:rsidRPr="000B4E2C" w:rsidRDefault="0070005A" w:rsidP="004871B7">
            <w:pPr>
              <w:rPr>
                <w:sz w:val="22"/>
              </w:rPr>
            </w:pPr>
            <w:r w:rsidRPr="000B4E2C">
              <w:rPr>
                <w:sz w:val="22"/>
              </w:rPr>
              <w:t>0.000008</w:t>
            </w:r>
          </w:p>
        </w:tc>
        <w:tc>
          <w:tcPr>
            <w:tcW w:w="0" w:type="auto"/>
            <w:shd w:val="clear" w:color="auto" w:fill="auto"/>
            <w:noWrap/>
            <w:hideMark/>
          </w:tcPr>
          <w:p w14:paraId="3105B817" w14:textId="77777777" w:rsidR="0070005A" w:rsidRPr="000B4E2C" w:rsidRDefault="0070005A" w:rsidP="004871B7">
            <w:pPr>
              <w:rPr>
                <w:sz w:val="22"/>
              </w:rPr>
            </w:pPr>
            <w:r w:rsidRPr="000B4E2C">
              <w:rPr>
                <w:sz w:val="22"/>
              </w:rPr>
              <w:t>£1,621,578</w:t>
            </w:r>
          </w:p>
        </w:tc>
        <w:tc>
          <w:tcPr>
            <w:tcW w:w="0" w:type="auto"/>
            <w:shd w:val="clear" w:color="auto" w:fill="auto"/>
            <w:noWrap/>
            <w:hideMark/>
          </w:tcPr>
          <w:p w14:paraId="4374180E" w14:textId="77777777" w:rsidR="0070005A" w:rsidRPr="000B4E2C" w:rsidRDefault="0070005A" w:rsidP="004871B7">
            <w:pPr>
              <w:rPr>
                <w:sz w:val="22"/>
              </w:rPr>
            </w:pPr>
            <w:r w:rsidRPr="000B4E2C">
              <w:rPr>
                <w:sz w:val="22"/>
              </w:rPr>
              <w:t>Dominant</w:t>
            </w:r>
          </w:p>
        </w:tc>
        <w:tc>
          <w:tcPr>
            <w:tcW w:w="0" w:type="auto"/>
            <w:shd w:val="clear" w:color="auto" w:fill="auto"/>
            <w:noWrap/>
            <w:hideMark/>
          </w:tcPr>
          <w:p w14:paraId="57CBB8C9" w14:textId="77777777" w:rsidR="0070005A" w:rsidRPr="000B4E2C" w:rsidRDefault="0070005A" w:rsidP="004871B7">
            <w:pPr>
              <w:rPr>
                <w:sz w:val="22"/>
              </w:rPr>
            </w:pPr>
            <w:r w:rsidRPr="000B4E2C">
              <w:rPr>
                <w:sz w:val="22"/>
              </w:rPr>
              <w:t>12.2%</w:t>
            </w:r>
          </w:p>
        </w:tc>
        <w:tc>
          <w:tcPr>
            <w:tcW w:w="0" w:type="auto"/>
            <w:shd w:val="clear" w:color="auto" w:fill="auto"/>
            <w:noWrap/>
            <w:hideMark/>
          </w:tcPr>
          <w:p w14:paraId="3D7CDFD8" w14:textId="77777777" w:rsidR="0070005A" w:rsidRPr="000B4E2C" w:rsidRDefault="0070005A" w:rsidP="004871B7">
            <w:pPr>
              <w:rPr>
                <w:sz w:val="22"/>
              </w:rPr>
            </w:pPr>
            <w:r w:rsidRPr="000B4E2C">
              <w:rPr>
                <w:sz w:val="22"/>
              </w:rPr>
              <w:t>45.7%</w:t>
            </w:r>
          </w:p>
        </w:tc>
      </w:tr>
      <w:tr w:rsidR="000B4E2C" w:rsidRPr="000B4E2C" w14:paraId="5F68E445" w14:textId="77777777" w:rsidTr="000B4E2C">
        <w:trPr>
          <w:cantSplit/>
        </w:trPr>
        <w:tc>
          <w:tcPr>
            <w:tcW w:w="0" w:type="auto"/>
            <w:shd w:val="clear" w:color="auto" w:fill="auto"/>
            <w:noWrap/>
            <w:hideMark/>
          </w:tcPr>
          <w:p w14:paraId="0A2DAFBF" w14:textId="77777777" w:rsidR="0070005A" w:rsidRPr="000B4E2C" w:rsidRDefault="0070005A" w:rsidP="004871B7">
            <w:pPr>
              <w:rPr>
                <w:sz w:val="22"/>
              </w:rPr>
            </w:pPr>
            <w:r w:rsidRPr="000B4E2C">
              <w:rPr>
                <w:sz w:val="22"/>
              </w:rPr>
              <w:t>Standard care (Scr)</w:t>
            </w:r>
          </w:p>
        </w:tc>
        <w:tc>
          <w:tcPr>
            <w:tcW w:w="0" w:type="auto"/>
            <w:shd w:val="clear" w:color="auto" w:fill="auto"/>
            <w:noWrap/>
            <w:hideMark/>
          </w:tcPr>
          <w:p w14:paraId="15BBD887" w14:textId="77777777" w:rsidR="0070005A" w:rsidRPr="000B4E2C" w:rsidRDefault="0070005A" w:rsidP="004871B7">
            <w:pPr>
              <w:rPr>
                <w:sz w:val="22"/>
              </w:rPr>
            </w:pPr>
            <w:r w:rsidRPr="000B4E2C">
              <w:rPr>
                <w:sz w:val="22"/>
              </w:rPr>
              <w:t>£22,760</w:t>
            </w:r>
          </w:p>
        </w:tc>
        <w:tc>
          <w:tcPr>
            <w:tcW w:w="0" w:type="auto"/>
            <w:shd w:val="clear" w:color="auto" w:fill="auto"/>
            <w:noWrap/>
            <w:hideMark/>
          </w:tcPr>
          <w:p w14:paraId="626E77FA"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42FD8FDB" w14:textId="77777777" w:rsidR="0070005A" w:rsidRPr="000B4E2C" w:rsidRDefault="0070005A" w:rsidP="004871B7">
            <w:pPr>
              <w:rPr>
                <w:sz w:val="22"/>
              </w:rPr>
            </w:pPr>
            <w:r w:rsidRPr="000B4E2C">
              <w:rPr>
                <w:sz w:val="22"/>
              </w:rPr>
              <w:t>6.074090</w:t>
            </w:r>
          </w:p>
        </w:tc>
        <w:tc>
          <w:tcPr>
            <w:tcW w:w="0" w:type="auto"/>
            <w:shd w:val="clear" w:color="auto" w:fill="auto"/>
            <w:noWrap/>
            <w:hideMark/>
          </w:tcPr>
          <w:p w14:paraId="14849CD4"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3E812371"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7B398941" w14:textId="77777777" w:rsidR="0070005A" w:rsidRPr="000B4E2C" w:rsidRDefault="0070005A" w:rsidP="004871B7">
            <w:pPr>
              <w:rPr>
                <w:sz w:val="22"/>
              </w:rPr>
            </w:pPr>
            <w:r w:rsidRPr="000B4E2C">
              <w:rPr>
                <w:sz w:val="22"/>
              </w:rPr>
              <w:t>--</w:t>
            </w:r>
          </w:p>
        </w:tc>
        <w:tc>
          <w:tcPr>
            <w:tcW w:w="0" w:type="auto"/>
            <w:shd w:val="clear" w:color="auto" w:fill="auto"/>
            <w:noWrap/>
            <w:hideMark/>
          </w:tcPr>
          <w:p w14:paraId="69536F55" w14:textId="77777777" w:rsidR="0070005A" w:rsidRPr="000B4E2C" w:rsidRDefault="0070005A" w:rsidP="004871B7">
            <w:pPr>
              <w:rPr>
                <w:sz w:val="22"/>
              </w:rPr>
            </w:pPr>
            <w:r w:rsidRPr="000B4E2C">
              <w:rPr>
                <w:sz w:val="22"/>
              </w:rPr>
              <w:t>46.8%</w:t>
            </w:r>
          </w:p>
        </w:tc>
        <w:tc>
          <w:tcPr>
            <w:tcW w:w="0" w:type="auto"/>
            <w:shd w:val="clear" w:color="auto" w:fill="auto"/>
            <w:noWrap/>
            <w:hideMark/>
          </w:tcPr>
          <w:p w14:paraId="40E2FF4C" w14:textId="77777777" w:rsidR="0070005A" w:rsidRPr="000B4E2C" w:rsidRDefault="0070005A" w:rsidP="004871B7">
            <w:pPr>
              <w:rPr>
                <w:sz w:val="22"/>
              </w:rPr>
            </w:pPr>
            <w:r w:rsidRPr="000B4E2C">
              <w:rPr>
                <w:sz w:val="22"/>
              </w:rPr>
              <w:t>--</w:t>
            </w:r>
          </w:p>
        </w:tc>
      </w:tr>
      <w:tr w:rsidR="000B4E2C" w:rsidRPr="000B4E2C" w14:paraId="427DA835" w14:textId="77777777" w:rsidTr="000B4E2C">
        <w:trPr>
          <w:cantSplit/>
        </w:trPr>
        <w:tc>
          <w:tcPr>
            <w:tcW w:w="0" w:type="auto"/>
            <w:shd w:val="clear" w:color="auto" w:fill="auto"/>
            <w:noWrap/>
            <w:hideMark/>
          </w:tcPr>
          <w:p w14:paraId="560A06DA" w14:textId="3AD57463" w:rsidR="0070005A" w:rsidRPr="000B4E2C" w:rsidRDefault="0070005A" w:rsidP="004871B7">
            <w:pPr>
              <w:rPr>
                <w:sz w:val="22"/>
              </w:rPr>
            </w:pPr>
            <w:r w:rsidRPr="000B4E2C">
              <w:rPr>
                <w:sz w:val="22"/>
              </w:rPr>
              <w:t>Test 4 (NGAL urine</w:t>
            </w:r>
            <w:r w:rsidR="000B4E2C" w:rsidRPr="000B4E2C">
              <w:rPr>
                <w:color w:val="00B0F0"/>
                <w:sz w:val="22"/>
              </w:rPr>
              <w:t xml:space="preserve"> – </w:t>
            </w:r>
            <w:r w:rsidRPr="000B4E2C">
              <w:rPr>
                <w:sz w:val="22"/>
              </w:rPr>
              <w:t>ARCHITECT)</w:t>
            </w:r>
          </w:p>
        </w:tc>
        <w:tc>
          <w:tcPr>
            <w:tcW w:w="0" w:type="auto"/>
            <w:shd w:val="clear" w:color="auto" w:fill="auto"/>
            <w:noWrap/>
            <w:hideMark/>
          </w:tcPr>
          <w:p w14:paraId="59B5C697" w14:textId="77777777" w:rsidR="0070005A" w:rsidRPr="000B4E2C" w:rsidRDefault="0070005A" w:rsidP="004871B7">
            <w:pPr>
              <w:rPr>
                <w:sz w:val="22"/>
              </w:rPr>
            </w:pPr>
            <w:r w:rsidRPr="000B4E2C">
              <w:rPr>
                <w:sz w:val="22"/>
              </w:rPr>
              <w:t>£22,766</w:t>
            </w:r>
          </w:p>
        </w:tc>
        <w:tc>
          <w:tcPr>
            <w:tcW w:w="0" w:type="auto"/>
            <w:shd w:val="clear" w:color="auto" w:fill="auto"/>
            <w:noWrap/>
            <w:hideMark/>
          </w:tcPr>
          <w:p w14:paraId="2D907030"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192CB968" w14:textId="77777777" w:rsidR="0070005A" w:rsidRPr="000B4E2C" w:rsidRDefault="0070005A" w:rsidP="004871B7">
            <w:pPr>
              <w:rPr>
                <w:sz w:val="22"/>
              </w:rPr>
            </w:pPr>
            <w:r w:rsidRPr="000B4E2C">
              <w:rPr>
                <w:sz w:val="22"/>
              </w:rPr>
              <w:t>6.074404</w:t>
            </w:r>
          </w:p>
        </w:tc>
        <w:tc>
          <w:tcPr>
            <w:tcW w:w="0" w:type="auto"/>
            <w:shd w:val="clear" w:color="auto" w:fill="auto"/>
            <w:noWrap/>
            <w:hideMark/>
          </w:tcPr>
          <w:p w14:paraId="63D187B2"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784FAB5A"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236D86EB" w14:textId="77777777" w:rsidR="0070005A" w:rsidRPr="000B4E2C" w:rsidRDefault="0070005A" w:rsidP="004871B7">
            <w:pPr>
              <w:rPr>
                <w:sz w:val="22"/>
              </w:rPr>
            </w:pPr>
            <w:r w:rsidRPr="000B4E2C">
              <w:rPr>
                <w:sz w:val="22"/>
              </w:rPr>
              <w:t>£16,592</w:t>
            </w:r>
          </w:p>
        </w:tc>
        <w:tc>
          <w:tcPr>
            <w:tcW w:w="0" w:type="auto"/>
            <w:shd w:val="clear" w:color="auto" w:fill="auto"/>
            <w:noWrap/>
            <w:hideMark/>
          </w:tcPr>
          <w:p w14:paraId="3BDDBC83" w14:textId="77777777" w:rsidR="0070005A" w:rsidRPr="000B4E2C" w:rsidRDefault="0070005A" w:rsidP="004871B7">
            <w:pPr>
              <w:rPr>
                <w:sz w:val="22"/>
              </w:rPr>
            </w:pPr>
            <w:r w:rsidRPr="000B4E2C">
              <w:rPr>
                <w:sz w:val="22"/>
              </w:rPr>
              <w:t>0.9%</w:t>
            </w:r>
          </w:p>
        </w:tc>
        <w:tc>
          <w:tcPr>
            <w:tcW w:w="0" w:type="auto"/>
            <w:shd w:val="clear" w:color="auto" w:fill="auto"/>
            <w:noWrap/>
            <w:hideMark/>
          </w:tcPr>
          <w:p w14:paraId="4495D0F2" w14:textId="77777777" w:rsidR="0070005A" w:rsidRPr="000B4E2C" w:rsidRDefault="0070005A" w:rsidP="004871B7">
            <w:pPr>
              <w:rPr>
                <w:sz w:val="22"/>
              </w:rPr>
            </w:pPr>
            <w:r w:rsidRPr="000B4E2C">
              <w:rPr>
                <w:sz w:val="22"/>
              </w:rPr>
              <w:t>42.6%</w:t>
            </w:r>
          </w:p>
        </w:tc>
      </w:tr>
      <w:tr w:rsidR="000B4E2C" w:rsidRPr="000B4E2C" w14:paraId="3ADE078B" w14:textId="77777777" w:rsidTr="000B4E2C">
        <w:trPr>
          <w:cantSplit/>
        </w:trPr>
        <w:tc>
          <w:tcPr>
            <w:tcW w:w="0" w:type="auto"/>
            <w:shd w:val="clear" w:color="auto" w:fill="auto"/>
            <w:noWrap/>
            <w:hideMark/>
          </w:tcPr>
          <w:p w14:paraId="69AAE05A" w14:textId="77777777" w:rsidR="0070005A" w:rsidRPr="000B4E2C" w:rsidRDefault="0070005A" w:rsidP="004871B7">
            <w:pPr>
              <w:rPr>
                <w:sz w:val="22"/>
              </w:rPr>
            </w:pPr>
            <w:r w:rsidRPr="000B4E2C">
              <w:rPr>
                <w:sz w:val="22"/>
              </w:rPr>
              <w:t>Test 1 (NephroCheck)</w:t>
            </w:r>
          </w:p>
        </w:tc>
        <w:tc>
          <w:tcPr>
            <w:tcW w:w="0" w:type="auto"/>
            <w:shd w:val="clear" w:color="auto" w:fill="auto"/>
            <w:noWrap/>
            <w:hideMark/>
          </w:tcPr>
          <w:p w14:paraId="5B6DDA80" w14:textId="77777777" w:rsidR="0070005A" w:rsidRPr="000B4E2C" w:rsidRDefault="0070005A" w:rsidP="004871B7">
            <w:pPr>
              <w:rPr>
                <w:sz w:val="22"/>
              </w:rPr>
            </w:pPr>
            <w:r w:rsidRPr="000B4E2C">
              <w:rPr>
                <w:sz w:val="22"/>
              </w:rPr>
              <w:t>£22,789</w:t>
            </w:r>
          </w:p>
        </w:tc>
        <w:tc>
          <w:tcPr>
            <w:tcW w:w="0" w:type="auto"/>
            <w:shd w:val="clear" w:color="auto" w:fill="auto"/>
            <w:noWrap/>
            <w:hideMark/>
          </w:tcPr>
          <w:p w14:paraId="2064395E"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3FF98EF5" w14:textId="77777777" w:rsidR="0070005A" w:rsidRPr="000B4E2C" w:rsidRDefault="0070005A" w:rsidP="004871B7">
            <w:pPr>
              <w:rPr>
                <w:sz w:val="22"/>
              </w:rPr>
            </w:pPr>
            <w:r w:rsidRPr="000B4E2C">
              <w:rPr>
                <w:sz w:val="22"/>
              </w:rPr>
              <w:t>6.074438</w:t>
            </w:r>
          </w:p>
        </w:tc>
        <w:tc>
          <w:tcPr>
            <w:tcW w:w="0" w:type="auto"/>
            <w:shd w:val="clear" w:color="auto" w:fill="auto"/>
            <w:noWrap/>
            <w:hideMark/>
          </w:tcPr>
          <w:p w14:paraId="63EE359A"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448B44AA"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2DD600EE" w14:textId="77777777" w:rsidR="0070005A" w:rsidRPr="000B4E2C" w:rsidRDefault="0070005A" w:rsidP="004871B7">
            <w:pPr>
              <w:rPr>
                <w:sz w:val="22"/>
              </w:rPr>
            </w:pPr>
            <w:r w:rsidRPr="000B4E2C">
              <w:rPr>
                <w:sz w:val="22"/>
              </w:rPr>
              <w:t>£80,747</w:t>
            </w:r>
          </w:p>
        </w:tc>
        <w:tc>
          <w:tcPr>
            <w:tcW w:w="0" w:type="auto"/>
            <w:shd w:val="clear" w:color="auto" w:fill="auto"/>
            <w:noWrap/>
            <w:hideMark/>
          </w:tcPr>
          <w:p w14:paraId="05EE75C5" w14:textId="77777777" w:rsidR="0070005A" w:rsidRPr="000B4E2C" w:rsidRDefault="0070005A" w:rsidP="004871B7">
            <w:pPr>
              <w:rPr>
                <w:sz w:val="22"/>
              </w:rPr>
            </w:pPr>
            <w:r w:rsidRPr="000B4E2C">
              <w:rPr>
                <w:sz w:val="22"/>
              </w:rPr>
              <w:t>0.4%</w:t>
            </w:r>
          </w:p>
        </w:tc>
        <w:tc>
          <w:tcPr>
            <w:tcW w:w="0" w:type="auto"/>
            <w:shd w:val="clear" w:color="auto" w:fill="auto"/>
            <w:noWrap/>
            <w:hideMark/>
          </w:tcPr>
          <w:p w14:paraId="2828A8BC" w14:textId="77777777" w:rsidR="0070005A" w:rsidRPr="000B4E2C" w:rsidRDefault="0070005A" w:rsidP="004871B7">
            <w:pPr>
              <w:rPr>
                <w:sz w:val="22"/>
              </w:rPr>
            </w:pPr>
            <w:r w:rsidRPr="000B4E2C">
              <w:rPr>
                <w:sz w:val="22"/>
              </w:rPr>
              <w:t>34.3%</w:t>
            </w:r>
          </w:p>
        </w:tc>
      </w:tr>
      <w:tr w:rsidR="0070005A" w:rsidRPr="000B4E2C" w14:paraId="518616FA" w14:textId="77777777" w:rsidTr="000B4E2C">
        <w:trPr>
          <w:cantSplit/>
        </w:trPr>
        <w:tc>
          <w:tcPr>
            <w:tcW w:w="0" w:type="auto"/>
            <w:gridSpan w:val="9"/>
            <w:shd w:val="clear" w:color="auto" w:fill="auto"/>
            <w:noWrap/>
            <w:hideMark/>
          </w:tcPr>
          <w:p w14:paraId="72D431C4" w14:textId="20134FCF" w:rsidR="0070005A" w:rsidRPr="000B4E2C" w:rsidRDefault="0070005A" w:rsidP="004871B7">
            <w:pPr>
              <w:rPr>
                <w:b/>
                <w:bCs/>
                <w:sz w:val="22"/>
              </w:rPr>
            </w:pPr>
            <w:r w:rsidRPr="000B4E2C">
              <w:rPr>
                <w:b/>
                <w:bCs/>
                <w:sz w:val="22"/>
              </w:rPr>
              <w:t>1S. Alternative solution for fluid assistance (Hartmann</w:t>
            </w:r>
            <w:r w:rsidR="000B4E2C" w:rsidRPr="000B4E2C">
              <w:rPr>
                <w:b/>
                <w:bCs/>
                <w:color w:val="00B0F0"/>
                <w:sz w:val="22"/>
              </w:rPr>
              <w:t>’</w:t>
            </w:r>
            <w:r w:rsidRPr="000B4E2C">
              <w:rPr>
                <w:b/>
                <w:bCs/>
                <w:sz w:val="22"/>
              </w:rPr>
              <w:t>s solution)</w:t>
            </w:r>
          </w:p>
        </w:tc>
      </w:tr>
      <w:tr w:rsidR="000B4E2C" w:rsidRPr="000B4E2C" w14:paraId="47DD1C06" w14:textId="77777777" w:rsidTr="000B4E2C">
        <w:trPr>
          <w:cantSplit/>
        </w:trPr>
        <w:tc>
          <w:tcPr>
            <w:tcW w:w="0" w:type="auto"/>
            <w:shd w:val="clear" w:color="auto" w:fill="auto"/>
            <w:noWrap/>
            <w:hideMark/>
          </w:tcPr>
          <w:p w14:paraId="202C4884" w14:textId="60DE40A2" w:rsidR="0070005A" w:rsidRPr="000B4E2C" w:rsidRDefault="0070005A" w:rsidP="004871B7">
            <w:pPr>
              <w:rPr>
                <w:sz w:val="22"/>
              </w:rPr>
            </w:pPr>
            <w:r w:rsidRPr="000B4E2C">
              <w:rPr>
                <w:sz w:val="22"/>
              </w:rPr>
              <w:t>Test 3 (NGAL urine</w:t>
            </w:r>
            <w:r w:rsidR="000B4E2C" w:rsidRPr="000B4E2C">
              <w:rPr>
                <w:color w:val="00B0F0"/>
                <w:sz w:val="22"/>
              </w:rPr>
              <w:t xml:space="preserve"> – </w:t>
            </w:r>
            <w:r w:rsidRPr="000B4E2C">
              <w:rPr>
                <w:sz w:val="22"/>
              </w:rPr>
              <w:t>BioPorto)</w:t>
            </w:r>
          </w:p>
        </w:tc>
        <w:tc>
          <w:tcPr>
            <w:tcW w:w="0" w:type="auto"/>
            <w:shd w:val="clear" w:color="auto" w:fill="auto"/>
            <w:noWrap/>
            <w:hideMark/>
          </w:tcPr>
          <w:p w14:paraId="5DE6C5AB" w14:textId="77777777" w:rsidR="0070005A" w:rsidRPr="000B4E2C" w:rsidRDefault="0070005A" w:rsidP="004871B7">
            <w:pPr>
              <w:rPr>
                <w:sz w:val="22"/>
              </w:rPr>
            </w:pPr>
            <w:r w:rsidRPr="000B4E2C">
              <w:rPr>
                <w:sz w:val="22"/>
              </w:rPr>
              <w:t>£23,121</w:t>
            </w:r>
          </w:p>
        </w:tc>
        <w:tc>
          <w:tcPr>
            <w:tcW w:w="0" w:type="auto"/>
            <w:shd w:val="clear" w:color="auto" w:fill="auto"/>
            <w:noWrap/>
            <w:hideMark/>
          </w:tcPr>
          <w:p w14:paraId="793A2987" w14:textId="77777777" w:rsidR="0070005A" w:rsidRPr="000B4E2C" w:rsidRDefault="0070005A" w:rsidP="004871B7">
            <w:pPr>
              <w:rPr>
                <w:sz w:val="22"/>
              </w:rPr>
            </w:pPr>
            <w:r w:rsidRPr="000B4E2C">
              <w:rPr>
                <w:sz w:val="22"/>
              </w:rPr>
              <w:t>--</w:t>
            </w:r>
          </w:p>
        </w:tc>
        <w:tc>
          <w:tcPr>
            <w:tcW w:w="0" w:type="auto"/>
            <w:shd w:val="clear" w:color="auto" w:fill="auto"/>
            <w:noWrap/>
            <w:hideMark/>
          </w:tcPr>
          <w:p w14:paraId="47581C46" w14:textId="77777777" w:rsidR="0070005A" w:rsidRPr="000B4E2C" w:rsidRDefault="0070005A" w:rsidP="004871B7">
            <w:pPr>
              <w:rPr>
                <w:sz w:val="22"/>
              </w:rPr>
            </w:pPr>
            <w:r w:rsidRPr="000B4E2C">
              <w:rPr>
                <w:sz w:val="22"/>
              </w:rPr>
              <w:t>6.071715</w:t>
            </w:r>
          </w:p>
        </w:tc>
        <w:tc>
          <w:tcPr>
            <w:tcW w:w="0" w:type="auto"/>
            <w:shd w:val="clear" w:color="auto" w:fill="auto"/>
            <w:noWrap/>
            <w:hideMark/>
          </w:tcPr>
          <w:p w14:paraId="1A418991" w14:textId="77777777" w:rsidR="0070005A" w:rsidRPr="000B4E2C" w:rsidRDefault="0070005A" w:rsidP="004871B7">
            <w:pPr>
              <w:rPr>
                <w:sz w:val="22"/>
              </w:rPr>
            </w:pPr>
            <w:r w:rsidRPr="000B4E2C">
              <w:rPr>
                <w:sz w:val="22"/>
              </w:rPr>
              <w:t>--</w:t>
            </w:r>
          </w:p>
        </w:tc>
        <w:tc>
          <w:tcPr>
            <w:tcW w:w="0" w:type="auto"/>
            <w:shd w:val="clear" w:color="auto" w:fill="auto"/>
            <w:noWrap/>
            <w:hideMark/>
          </w:tcPr>
          <w:p w14:paraId="5F4734E0" w14:textId="77777777" w:rsidR="0070005A" w:rsidRPr="000B4E2C" w:rsidRDefault="0070005A" w:rsidP="004871B7">
            <w:pPr>
              <w:rPr>
                <w:sz w:val="22"/>
              </w:rPr>
            </w:pPr>
            <w:r w:rsidRPr="000B4E2C">
              <w:rPr>
                <w:sz w:val="22"/>
              </w:rPr>
              <w:t>--</w:t>
            </w:r>
          </w:p>
        </w:tc>
        <w:tc>
          <w:tcPr>
            <w:tcW w:w="0" w:type="auto"/>
            <w:shd w:val="clear" w:color="auto" w:fill="auto"/>
            <w:noWrap/>
            <w:hideMark/>
          </w:tcPr>
          <w:p w14:paraId="49C44DDD" w14:textId="77777777" w:rsidR="0070005A" w:rsidRPr="000B4E2C" w:rsidRDefault="0070005A" w:rsidP="004871B7">
            <w:pPr>
              <w:rPr>
                <w:sz w:val="22"/>
              </w:rPr>
            </w:pPr>
            <w:r w:rsidRPr="000B4E2C">
              <w:rPr>
                <w:sz w:val="22"/>
              </w:rPr>
              <w:t xml:space="preserve">Dominant </w:t>
            </w:r>
          </w:p>
        </w:tc>
        <w:tc>
          <w:tcPr>
            <w:tcW w:w="0" w:type="auto"/>
            <w:shd w:val="clear" w:color="auto" w:fill="auto"/>
            <w:noWrap/>
            <w:hideMark/>
          </w:tcPr>
          <w:p w14:paraId="0AEC04FC" w14:textId="77777777" w:rsidR="0070005A" w:rsidRPr="000B4E2C" w:rsidRDefault="0070005A" w:rsidP="004871B7">
            <w:pPr>
              <w:rPr>
                <w:sz w:val="22"/>
              </w:rPr>
            </w:pPr>
            <w:r w:rsidRPr="000B4E2C">
              <w:rPr>
                <w:sz w:val="22"/>
              </w:rPr>
              <w:t>39.3%</w:t>
            </w:r>
          </w:p>
        </w:tc>
        <w:tc>
          <w:tcPr>
            <w:tcW w:w="0" w:type="auto"/>
            <w:shd w:val="clear" w:color="auto" w:fill="auto"/>
            <w:noWrap/>
            <w:hideMark/>
          </w:tcPr>
          <w:p w14:paraId="1B87E807" w14:textId="77777777" w:rsidR="0070005A" w:rsidRPr="000B4E2C" w:rsidRDefault="0070005A" w:rsidP="004871B7">
            <w:pPr>
              <w:rPr>
                <w:sz w:val="22"/>
              </w:rPr>
            </w:pPr>
            <w:r w:rsidRPr="000B4E2C">
              <w:rPr>
                <w:sz w:val="22"/>
              </w:rPr>
              <w:t>51.5%</w:t>
            </w:r>
          </w:p>
        </w:tc>
      </w:tr>
      <w:tr w:rsidR="000B4E2C" w:rsidRPr="000B4E2C" w14:paraId="5D6E289A" w14:textId="77777777" w:rsidTr="000B4E2C">
        <w:trPr>
          <w:cantSplit/>
        </w:trPr>
        <w:tc>
          <w:tcPr>
            <w:tcW w:w="0" w:type="auto"/>
            <w:shd w:val="clear" w:color="auto" w:fill="auto"/>
            <w:noWrap/>
            <w:hideMark/>
          </w:tcPr>
          <w:p w14:paraId="0888F6F6" w14:textId="77777777" w:rsidR="0070005A" w:rsidRPr="000B4E2C" w:rsidRDefault="0070005A" w:rsidP="004871B7">
            <w:pPr>
              <w:rPr>
                <w:sz w:val="22"/>
              </w:rPr>
            </w:pPr>
            <w:r w:rsidRPr="000B4E2C">
              <w:rPr>
                <w:sz w:val="22"/>
              </w:rPr>
              <w:t>Standard care (Scr)</w:t>
            </w:r>
          </w:p>
        </w:tc>
        <w:tc>
          <w:tcPr>
            <w:tcW w:w="0" w:type="auto"/>
            <w:shd w:val="clear" w:color="auto" w:fill="auto"/>
            <w:noWrap/>
            <w:hideMark/>
          </w:tcPr>
          <w:p w14:paraId="0976FA9C" w14:textId="77777777" w:rsidR="0070005A" w:rsidRPr="000B4E2C" w:rsidRDefault="0070005A" w:rsidP="004871B7">
            <w:pPr>
              <w:rPr>
                <w:sz w:val="22"/>
              </w:rPr>
            </w:pPr>
            <w:r w:rsidRPr="000B4E2C">
              <w:rPr>
                <w:sz w:val="22"/>
              </w:rPr>
              <w:t>£23,132</w:t>
            </w:r>
          </w:p>
        </w:tc>
        <w:tc>
          <w:tcPr>
            <w:tcW w:w="0" w:type="auto"/>
            <w:shd w:val="clear" w:color="auto" w:fill="auto"/>
            <w:noWrap/>
            <w:hideMark/>
          </w:tcPr>
          <w:p w14:paraId="3478F1D6"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1EE27D4E" w14:textId="77777777" w:rsidR="0070005A" w:rsidRPr="000B4E2C" w:rsidRDefault="0070005A" w:rsidP="004871B7">
            <w:pPr>
              <w:rPr>
                <w:sz w:val="22"/>
              </w:rPr>
            </w:pPr>
            <w:r w:rsidRPr="000B4E2C">
              <w:rPr>
                <w:sz w:val="22"/>
              </w:rPr>
              <w:t>6.071353</w:t>
            </w:r>
          </w:p>
        </w:tc>
        <w:tc>
          <w:tcPr>
            <w:tcW w:w="0" w:type="auto"/>
            <w:shd w:val="clear" w:color="auto" w:fill="auto"/>
            <w:noWrap/>
            <w:hideMark/>
          </w:tcPr>
          <w:p w14:paraId="71EDD5A7"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4C2A49F9"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0D64BB4A" w14:textId="77777777" w:rsidR="0070005A" w:rsidRPr="000B4E2C" w:rsidRDefault="0070005A" w:rsidP="004871B7">
            <w:pPr>
              <w:rPr>
                <w:sz w:val="22"/>
              </w:rPr>
            </w:pPr>
            <w:r w:rsidRPr="000B4E2C">
              <w:rPr>
                <w:sz w:val="22"/>
              </w:rPr>
              <w:t>--</w:t>
            </w:r>
          </w:p>
        </w:tc>
        <w:tc>
          <w:tcPr>
            <w:tcW w:w="0" w:type="auto"/>
            <w:shd w:val="clear" w:color="auto" w:fill="auto"/>
            <w:noWrap/>
            <w:hideMark/>
          </w:tcPr>
          <w:p w14:paraId="6C71B396" w14:textId="77777777" w:rsidR="0070005A" w:rsidRPr="000B4E2C" w:rsidRDefault="0070005A" w:rsidP="004871B7">
            <w:pPr>
              <w:rPr>
                <w:sz w:val="22"/>
              </w:rPr>
            </w:pPr>
            <w:r w:rsidRPr="000B4E2C">
              <w:rPr>
                <w:sz w:val="22"/>
              </w:rPr>
              <w:t>47.8%</w:t>
            </w:r>
          </w:p>
        </w:tc>
        <w:tc>
          <w:tcPr>
            <w:tcW w:w="0" w:type="auto"/>
            <w:shd w:val="clear" w:color="auto" w:fill="auto"/>
            <w:noWrap/>
            <w:hideMark/>
          </w:tcPr>
          <w:p w14:paraId="61037A0D" w14:textId="77777777" w:rsidR="0070005A" w:rsidRPr="000B4E2C" w:rsidRDefault="0070005A" w:rsidP="004871B7">
            <w:pPr>
              <w:rPr>
                <w:sz w:val="22"/>
              </w:rPr>
            </w:pPr>
            <w:r w:rsidRPr="000B4E2C">
              <w:rPr>
                <w:sz w:val="22"/>
              </w:rPr>
              <w:t>--</w:t>
            </w:r>
          </w:p>
        </w:tc>
      </w:tr>
      <w:tr w:rsidR="000B4E2C" w:rsidRPr="000B4E2C" w14:paraId="537D6B00" w14:textId="77777777" w:rsidTr="000B4E2C">
        <w:trPr>
          <w:cantSplit/>
        </w:trPr>
        <w:tc>
          <w:tcPr>
            <w:tcW w:w="0" w:type="auto"/>
            <w:shd w:val="clear" w:color="auto" w:fill="auto"/>
            <w:noWrap/>
            <w:hideMark/>
          </w:tcPr>
          <w:p w14:paraId="66187AA7" w14:textId="5EFEAE24" w:rsidR="0070005A" w:rsidRPr="000B4E2C" w:rsidRDefault="0070005A" w:rsidP="004871B7">
            <w:pPr>
              <w:rPr>
                <w:sz w:val="22"/>
              </w:rPr>
            </w:pPr>
            <w:r w:rsidRPr="000B4E2C">
              <w:rPr>
                <w:sz w:val="22"/>
              </w:rPr>
              <w:t>Test 2 (NGAL plasma</w:t>
            </w:r>
            <w:r w:rsidR="000B4E2C" w:rsidRPr="000B4E2C">
              <w:rPr>
                <w:color w:val="00B0F0"/>
                <w:sz w:val="22"/>
              </w:rPr>
              <w:t xml:space="preserve"> – </w:t>
            </w:r>
            <w:r w:rsidRPr="000B4E2C">
              <w:rPr>
                <w:sz w:val="22"/>
              </w:rPr>
              <w:t>BioPorto)</w:t>
            </w:r>
          </w:p>
        </w:tc>
        <w:tc>
          <w:tcPr>
            <w:tcW w:w="0" w:type="auto"/>
            <w:shd w:val="clear" w:color="auto" w:fill="auto"/>
            <w:noWrap/>
            <w:hideMark/>
          </w:tcPr>
          <w:p w14:paraId="54264949" w14:textId="77777777" w:rsidR="0070005A" w:rsidRPr="000B4E2C" w:rsidRDefault="0070005A" w:rsidP="004871B7">
            <w:pPr>
              <w:rPr>
                <w:sz w:val="22"/>
              </w:rPr>
            </w:pPr>
            <w:r w:rsidRPr="000B4E2C">
              <w:rPr>
                <w:sz w:val="22"/>
              </w:rPr>
              <w:t>£23,135</w:t>
            </w:r>
          </w:p>
        </w:tc>
        <w:tc>
          <w:tcPr>
            <w:tcW w:w="0" w:type="auto"/>
            <w:shd w:val="clear" w:color="auto" w:fill="auto"/>
            <w:noWrap/>
            <w:hideMark/>
          </w:tcPr>
          <w:p w14:paraId="5BD64F95" w14:textId="77777777" w:rsidR="0070005A" w:rsidRPr="000B4E2C" w:rsidRDefault="0070005A" w:rsidP="004871B7">
            <w:pPr>
              <w:rPr>
                <w:sz w:val="22"/>
              </w:rPr>
            </w:pPr>
            <w:r w:rsidRPr="000B4E2C">
              <w:rPr>
                <w:sz w:val="22"/>
              </w:rPr>
              <w:t>£14</w:t>
            </w:r>
          </w:p>
        </w:tc>
        <w:tc>
          <w:tcPr>
            <w:tcW w:w="0" w:type="auto"/>
            <w:shd w:val="clear" w:color="auto" w:fill="auto"/>
            <w:noWrap/>
            <w:hideMark/>
          </w:tcPr>
          <w:p w14:paraId="47B7EDB5" w14:textId="77777777" w:rsidR="0070005A" w:rsidRPr="000B4E2C" w:rsidRDefault="0070005A" w:rsidP="004871B7">
            <w:pPr>
              <w:rPr>
                <w:sz w:val="22"/>
              </w:rPr>
            </w:pPr>
            <w:r w:rsidRPr="000B4E2C">
              <w:rPr>
                <w:sz w:val="22"/>
              </w:rPr>
              <w:t>6.071729</w:t>
            </w:r>
          </w:p>
        </w:tc>
        <w:tc>
          <w:tcPr>
            <w:tcW w:w="0" w:type="auto"/>
            <w:shd w:val="clear" w:color="auto" w:fill="auto"/>
            <w:noWrap/>
            <w:hideMark/>
          </w:tcPr>
          <w:p w14:paraId="762705C7" w14:textId="77777777" w:rsidR="0070005A" w:rsidRPr="000B4E2C" w:rsidRDefault="0070005A" w:rsidP="004871B7">
            <w:pPr>
              <w:rPr>
                <w:sz w:val="22"/>
              </w:rPr>
            </w:pPr>
            <w:r w:rsidRPr="000B4E2C">
              <w:rPr>
                <w:sz w:val="22"/>
              </w:rPr>
              <w:t>0.00001</w:t>
            </w:r>
          </w:p>
        </w:tc>
        <w:tc>
          <w:tcPr>
            <w:tcW w:w="0" w:type="auto"/>
            <w:shd w:val="clear" w:color="auto" w:fill="auto"/>
            <w:noWrap/>
            <w:hideMark/>
          </w:tcPr>
          <w:p w14:paraId="52159901" w14:textId="77777777" w:rsidR="0070005A" w:rsidRPr="000B4E2C" w:rsidRDefault="0070005A" w:rsidP="004871B7">
            <w:pPr>
              <w:rPr>
                <w:sz w:val="22"/>
              </w:rPr>
            </w:pPr>
            <w:r w:rsidRPr="000B4E2C">
              <w:rPr>
                <w:sz w:val="22"/>
              </w:rPr>
              <w:t>£1,015,368</w:t>
            </w:r>
          </w:p>
        </w:tc>
        <w:tc>
          <w:tcPr>
            <w:tcW w:w="0" w:type="auto"/>
            <w:shd w:val="clear" w:color="auto" w:fill="auto"/>
            <w:noWrap/>
            <w:hideMark/>
          </w:tcPr>
          <w:p w14:paraId="219BA2FE" w14:textId="77777777" w:rsidR="0070005A" w:rsidRPr="000B4E2C" w:rsidRDefault="0070005A" w:rsidP="004871B7">
            <w:pPr>
              <w:rPr>
                <w:sz w:val="22"/>
              </w:rPr>
            </w:pPr>
            <w:r w:rsidRPr="000B4E2C">
              <w:rPr>
                <w:sz w:val="22"/>
              </w:rPr>
              <w:t>£9,202</w:t>
            </w:r>
          </w:p>
        </w:tc>
        <w:tc>
          <w:tcPr>
            <w:tcW w:w="0" w:type="auto"/>
            <w:shd w:val="clear" w:color="auto" w:fill="auto"/>
            <w:noWrap/>
            <w:hideMark/>
          </w:tcPr>
          <w:p w14:paraId="6AC8A5C4" w14:textId="77777777" w:rsidR="0070005A" w:rsidRPr="000B4E2C" w:rsidRDefault="0070005A" w:rsidP="004871B7">
            <w:pPr>
              <w:rPr>
                <w:sz w:val="22"/>
              </w:rPr>
            </w:pPr>
            <w:r w:rsidRPr="000B4E2C">
              <w:rPr>
                <w:sz w:val="22"/>
              </w:rPr>
              <w:t>12.3%</w:t>
            </w:r>
          </w:p>
        </w:tc>
        <w:tc>
          <w:tcPr>
            <w:tcW w:w="0" w:type="auto"/>
            <w:shd w:val="clear" w:color="auto" w:fill="auto"/>
            <w:noWrap/>
            <w:hideMark/>
          </w:tcPr>
          <w:p w14:paraId="2E8C3296" w14:textId="77777777" w:rsidR="0070005A" w:rsidRPr="000B4E2C" w:rsidRDefault="0070005A" w:rsidP="004871B7">
            <w:pPr>
              <w:rPr>
                <w:sz w:val="22"/>
              </w:rPr>
            </w:pPr>
            <w:r w:rsidRPr="000B4E2C">
              <w:rPr>
                <w:sz w:val="22"/>
              </w:rPr>
              <w:t>46.7%</w:t>
            </w:r>
          </w:p>
        </w:tc>
      </w:tr>
      <w:tr w:rsidR="000B4E2C" w:rsidRPr="000B4E2C" w14:paraId="7DBF171D" w14:textId="77777777" w:rsidTr="000B4E2C">
        <w:trPr>
          <w:cantSplit/>
        </w:trPr>
        <w:tc>
          <w:tcPr>
            <w:tcW w:w="0" w:type="auto"/>
            <w:shd w:val="clear" w:color="auto" w:fill="auto"/>
            <w:noWrap/>
            <w:hideMark/>
          </w:tcPr>
          <w:p w14:paraId="0D7EB5EC" w14:textId="192E3678" w:rsidR="0070005A" w:rsidRPr="000B4E2C" w:rsidRDefault="0070005A" w:rsidP="004871B7">
            <w:pPr>
              <w:rPr>
                <w:sz w:val="22"/>
              </w:rPr>
            </w:pPr>
            <w:r w:rsidRPr="000B4E2C">
              <w:rPr>
                <w:sz w:val="22"/>
              </w:rPr>
              <w:t>Test 4 (NGAL urine</w:t>
            </w:r>
            <w:r w:rsidR="000B4E2C" w:rsidRPr="000B4E2C">
              <w:rPr>
                <w:color w:val="00B0F0"/>
                <w:sz w:val="22"/>
              </w:rPr>
              <w:t xml:space="preserve"> – </w:t>
            </w:r>
            <w:r w:rsidRPr="000B4E2C">
              <w:rPr>
                <w:sz w:val="22"/>
              </w:rPr>
              <w:t>ARCHITECT)</w:t>
            </w:r>
          </w:p>
        </w:tc>
        <w:tc>
          <w:tcPr>
            <w:tcW w:w="0" w:type="auto"/>
            <w:shd w:val="clear" w:color="auto" w:fill="auto"/>
            <w:noWrap/>
            <w:hideMark/>
          </w:tcPr>
          <w:p w14:paraId="5115C6D2" w14:textId="77777777" w:rsidR="0070005A" w:rsidRPr="000B4E2C" w:rsidRDefault="0070005A" w:rsidP="004871B7">
            <w:pPr>
              <w:rPr>
                <w:sz w:val="22"/>
              </w:rPr>
            </w:pPr>
            <w:r w:rsidRPr="000B4E2C">
              <w:rPr>
                <w:sz w:val="22"/>
              </w:rPr>
              <w:t>£23,146</w:t>
            </w:r>
          </w:p>
        </w:tc>
        <w:tc>
          <w:tcPr>
            <w:tcW w:w="0" w:type="auto"/>
            <w:shd w:val="clear" w:color="auto" w:fill="auto"/>
            <w:noWrap/>
            <w:hideMark/>
          </w:tcPr>
          <w:p w14:paraId="4B7946F2"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06A397E5" w14:textId="77777777" w:rsidR="0070005A" w:rsidRPr="000B4E2C" w:rsidRDefault="0070005A" w:rsidP="004871B7">
            <w:pPr>
              <w:rPr>
                <w:sz w:val="22"/>
              </w:rPr>
            </w:pPr>
            <w:r w:rsidRPr="000B4E2C">
              <w:rPr>
                <w:sz w:val="22"/>
              </w:rPr>
              <w:t>6.071686</w:t>
            </w:r>
          </w:p>
        </w:tc>
        <w:tc>
          <w:tcPr>
            <w:tcW w:w="0" w:type="auto"/>
            <w:shd w:val="clear" w:color="auto" w:fill="auto"/>
            <w:noWrap/>
            <w:hideMark/>
          </w:tcPr>
          <w:p w14:paraId="4D06E7D5"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1CF8C6B3"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0EEB7F39" w14:textId="77777777" w:rsidR="0070005A" w:rsidRPr="000B4E2C" w:rsidRDefault="0070005A" w:rsidP="004871B7">
            <w:pPr>
              <w:rPr>
                <w:sz w:val="22"/>
              </w:rPr>
            </w:pPr>
            <w:r w:rsidRPr="000B4E2C">
              <w:rPr>
                <w:sz w:val="22"/>
              </w:rPr>
              <w:t>£41,624</w:t>
            </w:r>
          </w:p>
        </w:tc>
        <w:tc>
          <w:tcPr>
            <w:tcW w:w="0" w:type="auto"/>
            <w:shd w:val="clear" w:color="auto" w:fill="auto"/>
            <w:noWrap/>
            <w:hideMark/>
          </w:tcPr>
          <w:p w14:paraId="7B7C580A" w14:textId="77777777" w:rsidR="0070005A" w:rsidRPr="000B4E2C" w:rsidRDefault="0070005A" w:rsidP="004871B7">
            <w:pPr>
              <w:rPr>
                <w:sz w:val="22"/>
              </w:rPr>
            </w:pPr>
            <w:r w:rsidRPr="000B4E2C">
              <w:rPr>
                <w:sz w:val="22"/>
              </w:rPr>
              <w:t>0.3%</w:t>
            </w:r>
          </w:p>
        </w:tc>
        <w:tc>
          <w:tcPr>
            <w:tcW w:w="0" w:type="auto"/>
            <w:shd w:val="clear" w:color="auto" w:fill="auto"/>
            <w:noWrap/>
            <w:hideMark/>
          </w:tcPr>
          <w:p w14:paraId="6C4A6985" w14:textId="77777777" w:rsidR="0070005A" w:rsidRPr="000B4E2C" w:rsidRDefault="0070005A" w:rsidP="004871B7">
            <w:pPr>
              <w:rPr>
                <w:sz w:val="22"/>
              </w:rPr>
            </w:pPr>
            <w:r w:rsidRPr="000B4E2C">
              <w:rPr>
                <w:sz w:val="22"/>
              </w:rPr>
              <w:t>40.7%</w:t>
            </w:r>
          </w:p>
        </w:tc>
      </w:tr>
      <w:tr w:rsidR="000B4E2C" w:rsidRPr="000B4E2C" w14:paraId="4DEAB12C" w14:textId="77777777" w:rsidTr="000B4E2C">
        <w:trPr>
          <w:cantSplit/>
        </w:trPr>
        <w:tc>
          <w:tcPr>
            <w:tcW w:w="0" w:type="auto"/>
            <w:shd w:val="clear" w:color="auto" w:fill="auto"/>
            <w:noWrap/>
            <w:hideMark/>
          </w:tcPr>
          <w:p w14:paraId="26E6A0DB" w14:textId="77777777" w:rsidR="0070005A" w:rsidRPr="000B4E2C" w:rsidRDefault="0070005A" w:rsidP="004871B7">
            <w:pPr>
              <w:rPr>
                <w:sz w:val="22"/>
              </w:rPr>
            </w:pPr>
            <w:r w:rsidRPr="000B4E2C">
              <w:rPr>
                <w:sz w:val="22"/>
              </w:rPr>
              <w:t>Test 1 (NephroCheck)</w:t>
            </w:r>
          </w:p>
        </w:tc>
        <w:tc>
          <w:tcPr>
            <w:tcW w:w="0" w:type="auto"/>
            <w:shd w:val="clear" w:color="auto" w:fill="auto"/>
            <w:noWrap/>
            <w:hideMark/>
          </w:tcPr>
          <w:p w14:paraId="78B5CBFE" w14:textId="77777777" w:rsidR="0070005A" w:rsidRPr="000B4E2C" w:rsidRDefault="0070005A" w:rsidP="004871B7">
            <w:pPr>
              <w:rPr>
                <w:sz w:val="22"/>
              </w:rPr>
            </w:pPr>
            <w:r w:rsidRPr="000B4E2C">
              <w:rPr>
                <w:sz w:val="22"/>
              </w:rPr>
              <w:t>£23,173</w:t>
            </w:r>
          </w:p>
        </w:tc>
        <w:tc>
          <w:tcPr>
            <w:tcW w:w="0" w:type="auto"/>
            <w:shd w:val="clear" w:color="auto" w:fill="auto"/>
            <w:noWrap/>
            <w:hideMark/>
          </w:tcPr>
          <w:p w14:paraId="715FD8B0" w14:textId="77777777" w:rsidR="0070005A" w:rsidRPr="000B4E2C" w:rsidRDefault="0070005A" w:rsidP="004871B7">
            <w:pPr>
              <w:rPr>
                <w:sz w:val="22"/>
              </w:rPr>
            </w:pPr>
            <w:r w:rsidRPr="000B4E2C">
              <w:rPr>
                <w:sz w:val="22"/>
              </w:rPr>
              <w:t xml:space="preserve">Dominated </w:t>
            </w:r>
          </w:p>
        </w:tc>
        <w:tc>
          <w:tcPr>
            <w:tcW w:w="0" w:type="auto"/>
            <w:shd w:val="clear" w:color="auto" w:fill="auto"/>
            <w:noWrap/>
            <w:hideMark/>
          </w:tcPr>
          <w:p w14:paraId="0508DD3D" w14:textId="77777777" w:rsidR="0070005A" w:rsidRPr="000B4E2C" w:rsidRDefault="0070005A" w:rsidP="004871B7">
            <w:pPr>
              <w:rPr>
                <w:sz w:val="22"/>
              </w:rPr>
            </w:pPr>
            <w:r w:rsidRPr="000B4E2C">
              <w:rPr>
                <w:sz w:val="22"/>
              </w:rPr>
              <w:t>6.071724</w:t>
            </w:r>
          </w:p>
        </w:tc>
        <w:tc>
          <w:tcPr>
            <w:tcW w:w="0" w:type="auto"/>
            <w:shd w:val="clear" w:color="auto" w:fill="auto"/>
            <w:noWrap/>
            <w:hideMark/>
          </w:tcPr>
          <w:p w14:paraId="401C2608" w14:textId="77777777" w:rsidR="0070005A" w:rsidRPr="000B4E2C" w:rsidRDefault="0070005A" w:rsidP="004871B7">
            <w:pPr>
              <w:rPr>
                <w:sz w:val="22"/>
              </w:rPr>
            </w:pPr>
            <w:r w:rsidRPr="000B4E2C">
              <w:rPr>
                <w:sz w:val="22"/>
              </w:rPr>
              <w:t xml:space="preserve">Dominated </w:t>
            </w:r>
          </w:p>
        </w:tc>
        <w:tc>
          <w:tcPr>
            <w:tcW w:w="0" w:type="auto"/>
            <w:shd w:val="clear" w:color="auto" w:fill="auto"/>
            <w:noWrap/>
            <w:hideMark/>
          </w:tcPr>
          <w:p w14:paraId="12EBD594" w14:textId="77777777" w:rsidR="0070005A" w:rsidRPr="000B4E2C" w:rsidRDefault="0070005A" w:rsidP="004871B7">
            <w:pPr>
              <w:rPr>
                <w:sz w:val="22"/>
              </w:rPr>
            </w:pPr>
            <w:r w:rsidRPr="000B4E2C">
              <w:rPr>
                <w:sz w:val="22"/>
              </w:rPr>
              <w:t xml:space="preserve">Dominated </w:t>
            </w:r>
          </w:p>
        </w:tc>
        <w:tc>
          <w:tcPr>
            <w:tcW w:w="0" w:type="auto"/>
            <w:shd w:val="clear" w:color="auto" w:fill="auto"/>
            <w:noWrap/>
            <w:hideMark/>
          </w:tcPr>
          <w:p w14:paraId="7C6D4BFB" w14:textId="77777777" w:rsidR="0070005A" w:rsidRPr="000B4E2C" w:rsidRDefault="0070005A" w:rsidP="004871B7">
            <w:pPr>
              <w:rPr>
                <w:sz w:val="22"/>
              </w:rPr>
            </w:pPr>
            <w:r w:rsidRPr="000B4E2C">
              <w:rPr>
                <w:sz w:val="22"/>
              </w:rPr>
              <w:t>£112,505</w:t>
            </w:r>
          </w:p>
        </w:tc>
        <w:tc>
          <w:tcPr>
            <w:tcW w:w="0" w:type="auto"/>
            <w:shd w:val="clear" w:color="auto" w:fill="auto"/>
            <w:noWrap/>
            <w:hideMark/>
          </w:tcPr>
          <w:p w14:paraId="0808C563" w14:textId="77777777" w:rsidR="0070005A" w:rsidRPr="000B4E2C" w:rsidRDefault="0070005A" w:rsidP="004871B7">
            <w:pPr>
              <w:rPr>
                <w:sz w:val="22"/>
              </w:rPr>
            </w:pPr>
            <w:r w:rsidRPr="000B4E2C">
              <w:rPr>
                <w:sz w:val="22"/>
              </w:rPr>
              <w:t>0.3%</w:t>
            </w:r>
          </w:p>
        </w:tc>
        <w:tc>
          <w:tcPr>
            <w:tcW w:w="0" w:type="auto"/>
            <w:shd w:val="clear" w:color="auto" w:fill="auto"/>
            <w:noWrap/>
            <w:hideMark/>
          </w:tcPr>
          <w:p w14:paraId="53891B57" w14:textId="77777777" w:rsidR="0070005A" w:rsidRPr="000B4E2C" w:rsidRDefault="0070005A" w:rsidP="004871B7">
            <w:pPr>
              <w:rPr>
                <w:sz w:val="22"/>
              </w:rPr>
            </w:pPr>
            <w:r w:rsidRPr="000B4E2C">
              <w:rPr>
                <w:sz w:val="22"/>
              </w:rPr>
              <w:t>31.4%</w:t>
            </w:r>
          </w:p>
        </w:tc>
      </w:tr>
      <w:tr w:rsidR="0070005A" w:rsidRPr="000B4E2C" w14:paraId="5339CA3D" w14:textId="77777777" w:rsidTr="000B4E2C">
        <w:trPr>
          <w:cantSplit/>
        </w:trPr>
        <w:tc>
          <w:tcPr>
            <w:tcW w:w="0" w:type="auto"/>
            <w:gridSpan w:val="9"/>
            <w:shd w:val="clear" w:color="auto" w:fill="auto"/>
            <w:noWrap/>
            <w:hideMark/>
          </w:tcPr>
          <w:p w14:paraId="3F9BB349" w14:textId="69D1EC9B" w:rsidR="0070005A" w:rsidRPr="000B4E2C" w:rsidRDefault="000B4E2C" w:rsidP="004871B7">
            <w:pPr>
              <w:rPr>
                <w:b/>
                <w:bCs/>
                <w:sz w:val="22"/>
                <w:lang w:val="da-DK"/>
              </w:rPr>
            </w:pPr>
            <w:r w:rsidRPr="000B4E2C">
              <w:rPr>
                <w:b/>
                <w:bCs/>
                <w:color w:val="00B0F0"/>
                <w:sz w:val="22"/>
                <w:lang w:val="da-DK"/>
              </w:rPr>
              <w:t>1</w:t>
            </w:r>
            <w:r w:rsidRPr="000B4E2C">
              <w:rPr>
                <w:b/>
                <w:bCs/>
                <w:color w:val="00B0F0"/>
                <w:sz w:val="22"/>
                <w:lang w:val="da-DK"/>
              </w:rPr>
              <w:t> </w:t>
            </w:r>
            <w:r w:rsidRPr="000B4E2C">
              <w:rPr>
                <w:b/>
                <w:bCs/>
                <w:color w:val="00B0F0"/>
                <w:sz w:val="22"/>
                <w:lang w:val="da-DK"/>
              </w:rPr>
              <w:t>T.</w:t>
            </w:r>
            <w:r w:rsidR="0070005A" w:rsidRPr="000B4E2C">
              <w:rPr>
                <w:b/>
                <w:bCs/>
                <w:sz w:val="22"/>
                <w:lang w:val="da-DK"/>
              </w:rPr>
              <w:t xml:space="preserve"> Alternative RR parameters (Gocze</w:t>
            </w:r>
            <w:r w:rsidR="0070005A" w:rsidRPr="000B4E2C">
              <w:rPr>
                <w:b/>
                <w:bCs/>
                <w:i/>
                <w:color w:val="00B0F0"/>
                <w:sz w:val="22"/>
                <w:lang w:val="da-DK"/>
              </w:rPr>
              <w:t xml:space="preserve"> et al</w:t>
            </w:r>
            <w:r w:rsidR="0070005A" w:rsidRPr="000B4E2C">
              <w:rPr>
                <w:b/>
                <w:bCs/>
                <w:sz w:val="22"/>
                <w:lang w:val="da-DK"/>
              </w:rPr>
              <w:t>.)</w:t>
            </w:r>
            <w:r w:rsidR="00622ABB" w:rsidRPr="000B4E2C">
              <w:rPr>
                <w:b/>
                <w:bCs/>
                <w:sz w:val="22"/>
                <w:vertAlign w:val="superscript"/>
                <w:lang w:val="da-DK"/>
              </w:rPr>
              <w:t>2</w:t>
            </w:r>
          </w:p>
        </w:tc>
      </w:tr>
      <w:tr w:rsidR="000B4E2C" w:rsidRPr="000B4E2C" w14:paraId="78DA8FFC" w14:textId="77777777" w:rsidTr="000B4E2C">
        <w:trPr>
          <w:cantSplit/>
        </w:trPr>
        <w:tc>
          <w:tcPr>
            <w:tcW w:w="0" w:type="auto"/>
            <w:shd w:val="clear" w:color="auto" w:fill="auto"/>
            <w:noWrap/>
            <w:hideMark/>
          </w:tcPr>
          <w:p w14:paraId="6B107461" w14:textId="341B51C2" w:rsidR="0070005A" w:rsidRPr="000B4E2C" w:rsidRDefault="0070005A" w:rsidP="004871B7">
            <w:pPr>
              <w:rPr>
                <w:sz w:val="22"/>
              </w:rPr>
            </w:pPr>
            <w:r w:rsidRPr="000B4E2C">
              <w:rPr>
                <w:sz w:val="22"/>
              </w:rPr>
              <w:t>Test 3 (NGAL urine</w:t>
            </w:r>
            <w:r w:rsidR="000B4E2C" w:rsidRPr="000B4E2C">
              <w:rPr>
                <w:color w:val="00B0F0"/>
                <w:sz w:val="22"/>
              </w:rPr>
              <w:t xml:space="preserve"> – </w:t>
            </w:r>
            <w:r w:rsidRPr="000B4E2C">
              <w:rPr>
                <w:sz w:val="22"/>
              </w:rPr>
              <w:t>BioPorto)</w:t>
            </w:r>
          </w:p>
        </w:tc>
        <w:tc>
          <w:tcPr>
            <w:tcW w:w="0" w:type="auto"/>
            <w:shd w:val="clear" w:color="auto" w:fill="auto"/>
            <w:noWrap/>
            <w:hideMark/>
          </w:tcPr>
          <w:p w14:paraId="714D8E7E" w14:textId="77777777" w:rsidR="0070005A" w:rsidRPr="000B4E2C" w:rsidRDefault="0070005A" w:rsidP="004871B7">
            <w:pPr>
              <w:rPr>
                <w:sz w:val="22"/>
              </w:rPr>
            </w:pPr>
            <w:r w:rsidRPr="000B4E2C">
              <w:rPr>
                <w:sz w:val="22"/>
              </w:rPr>
              <w:t>£23,079</w:t>
            </w:r>
          </w:p>
        </w:tc>
        <w:tc>
          <w:tcPr>
            <w:tcW w:w="0" w:type="auto"/>
            <w:shd w:val="clear" w:color="auto" w:fill="auto"/>
            <w:noWrap/>
            <w:hideMark/>
          </w:tcPr>
          <w:p w14:paraId="47606F49" w14:textId="77777777" w:rsidR="0070005A" w:rsidRPr="000B4E2C" w:rsidRDefault="0070005A" w:rsidP="004871B7">
            <w:pPr>
              <w:rPr>
                <w:sz w:val="22"/>
              </w:rPr>
            </w:pPr>
            <w:r w:rsidRPr="000B4E2C">
              <w:rPr>
                <w:sz w:val="22"/>
              </w:rPr>
              <w:t>--</w:t>
            </w:r>
          </w:p>
        </w:tc>
        <w:tc>
          <w:tcPr>
            <w:tcW w:w="0" w:type="auto"/>
            <w:shd w:val="clear" w:color="auto" w:fill="auto"/>
            <w:noWrap/>
            <w:hideMark/>
          </w:tcPr>
          <w:p w14:paraId="599A1291" w14:textId="77777777" w:rsidR="0070005A" w:rsidRPr="000B4E2C" w:rsidRDefault="0070005A" w:rsidP="004871B7">
            <w:pPr>
              <w:rPr>
                <w:sz w:val="22"/>
              </w:rPr>
            </w:pPr>
            <w:r w:rsidRPr="000B4E2C">
              <w:rPr>
                <w:sz w:val="22"/>
              </w:rPr>
              <w:t>6.082680</w:t>
            </w:r>
          </w:p>
        </w:tc>
        <w:tc>
          <w:tcPr>
            <w:tcW w:w="0" w:type="auto"/>
            <w:shd w:val="clear" w:color="auto" w:fill="auto"/>
            <w:noWrap/>
            <w:hideMark/>
          </w:tcPr>
          <w:p w14:paraId="06C736B8" w14:textId="77777777" w:rsidR="0070005A" w:rsidRPr="000B4E2C" w:rsidRDefault="0070005A" w:rsidP="004871B7">
            <w:pPr>
              <w:rPr>
                <w:sz w:val="22"/>
              </w:rPr>
            </w:pPr>
            <w:r w:rsidRPr="000B4E2C">
              <w:rPr>
                <w:sz w:val="22"/>
              </w:rPr>
              <w:t>--</w:t>
            </w:r>
          </w:p>
        </w:tc>
        <w:tc>
          <w:tcPr>
            <w:tcW w:w="0" w:type="auto"/>
            <w:shd w:val="clear" w:color="auto" w:fill="auto"/>
            <w:noWrap/>
            <w:hideMark/>
          </w:tcPr>
          <w:p w14:paraId="238AF5DB" w14:textId="77777777" w:rsidR="0070005A" w:rsidRPr="000B4E2C" w:rsidRDefault="0070005A" w:rsidP="004871B7">
            <w:pPr>
              <w:rPr>
                <w:sz w:val="22"/>
              </w:rPr>
            </w:pPr>
            <w:r w:rsidRPr="000B4E2C">
              <w:rPr>
                <w:sz w:val="22"/>
              </w:rPr>
              <w:t>--</w:t>
            </w:r>
          </w:p>
        </w:tc>
        <w:tc>
          <w:tcPr>
            <w:tcW w:w="0" w:type="auto"/>
            <w:shd w:val="clear" w:color="auto" w:fill="auto"/>
            <w:noWrap/>
            <w:hideMark/>
          </w:tcPr>
          <w:p w14:paraId="25069133" w14:textId="77777777" w:rsidR="0070005A" w:rsidRPr="000B4E2C" w:rsidRDefault="0070005A" w:rsidP="004871B7">
            <w:pPr>
              <w:rPr>
                <w:sz w:val="22"/>
              </w:rPr>
            </w:pPr>
            <w:r w:rsidRPr="000B4E2C">
              <w:rPr>
                <w:sz w:val="22"/>
              </w:rPr>
              <w:t xml:space="preserve">Dominant </w:t>
            </w:r>
          </w:p>
        </w:tc>
        <w:tc>
          <w:tcPr>
            <w:tcW w:w="0" w:type="auto"/>
            <w:shd w:val="clear" w:color="auto" w:fill="auto"/>
            <w:noWrap/>
            <w:hideMark/>
          </w:tcPr>
          <w:p w14:paraId="07FD25AD" w14:textId="77777777" w:rsidR="0070005A" w:rsidRPr="000B4E2C" w:rsidRDefault="0070005A" w:rsidP="004871B7">
            <w:pPr>
              <w:rPr>
                <w:sz w:val="22"/>
              </w:rPr>
            </w:pPr>
            <w:r w:rsidRPr="000B4E2C">
              <w:rPr>
                <w:sz w:val="22"/>
              </w:rPr>
              <w:t>49.3%</w:t>
            </w:r>
          </w:p>
        </w:tc>
        <w:tc>
          <w:tcPr>
            <w:tcW w:w="0" w:type="auto"/>
            <w:shd w:val="clear" w:color="auto" w:fill="auto"/>
            <w:noWrap/>
            <w:hideMark/>
          </w:tcPr>
          <w:p w14:paraId="159B10A7" w14:textId="77777777" w:rsidR="0070005A" w:rsidRPr="000B4E2C" w:rsidRDefault="0070005A" w:rsidP="004871B7">
            <w:pPr>
              <w:rPr>
                <w:sz w:val="22"/>
              </w:rPr>
            </w:pPr>
            <w:r w:rsidRPr="000B4E2C">
              <w:rPr>
                <w:sz w:val="22"/>
              </w:rPr>
              <w:t>67.1%</w:t>
            </w:r>
          </w:p>
        </w:tc>
      </w:tr>
      <w:tr w:rsidR="000B4E2C" w:rsidRPr="000B4E2C" w14:paraId="10289E92" w14:textId="77777777" w:rsidTr="000B4E2C">
        <w:trPr>
          <w:cantSplit/>
        </w:trPr>
        <w:tc>
          <w:tcPr>
            <w:tcW w:w="0" w:type="auto"/>
            <w:shd w:val="clear" w:color="auto" w:fill="auto"/>
            <w:noWrap/>
            <w:hideMark/>
          </w:tcPr>
          <w:p w14:paraId="73D2B506" w14:textId="35001115" w:rsidR="0070005A" w:rsidRPr="000B4E2C" w:rsidRDefault="0070005A" w:rsidP="004871B7">
            <w:pPr>
              <w:rPr>
                <w:sz w:val="22"/>
              </w:rPr>
            </w:pPr>
            <w:r w:rsidRPr="000B4E2C">
              <w:rPr>
                <w:sz w:val="22"/>
              </w:rPr>
              <w:t>Test 2 (NGAL plasma</w:t>
            </w:r>
            <w:r w:rsidR="000B4E2C" w:rsidRPr="000B4E2C">
              <w:rPr>
                <w:color w:val="00B0F0"/>
                <w:sz w:val="22"/>
              </w:rPr>
              <w:t xml:space="preserve"> – </w:t>
            </w:r>
            <w:r w:rsidRPr="000B4E2C">
              <w:rPr>
                <w:sz w:val="22"/>
              </w:rPr>
              <w:t>BioPorto)</w:t>
            </w:r>
          </w:p>
        </w:tc>
        <w:tc>
          <w:tcPr>
            <w:tcW w:w="0" w:type="auto"/>
            <w:shd w:val="clear" w:color="auto" w:fill="auto"/>
            <w:noWrap/>
            <w:hideMark/>
          </w:tcPr>
          <w:p w14:paraId="75779865" w14:textId="77777777" w:rsidR="0070005A" w:rsidRPr="000B4E2C" w:rsidRDefault="0070005A" w:rsidP="004871B7">
            <w:pPr>
              <w:rPr>
                <w:sz w:val="22"/>
              </w:rPr>
            </w:pPr>
            <w:r w:rsidRPr="000B4E2C">
              <w:rPr>
                <w:sz w:val="22"/>
              </w:rPr>
              <w:t>£23,091</w:t>
            </w:r>
          </w:p>
        </w:tc>
        <w:tc>
          <w:tcPr>
            <w:tcW w:w="0" w:type="auto"/>
            <w:shd w:val="clear" w:color="auto" w:fill="auto"/>
            <w:noWrap/>
            <w:hideMark/>
          </w:tcPr>
          <w:p w14:paraId="081E4638" w14:textId="77777777" w:rsidR="0070005A" w:rsidRPr="000B4E2C" w:rsidRDefault="0070005A" w:rsidP="004871B7">
            <w:pPr>
              <w:rPr>
                <w:sz w:val="22"/>
              </w:rPr>
            </w:pPr>
            <w:r w:rsidRPr="000B4E2C">
              <w:rPr>
                <w:sz w:val="22"/>
              </w:rPr>
              <w:t>£12</w:t>
            </w:r>
          </w:p>
        </w:tc>
        <w:tc>
          <w:tcPr>
            <w:tcW w:w="0" w:type="auto"/>
            <w:shd w:val="clear" w:color="auto" w:fill="auto"/>
            <w:noWrap/>
            <w:hideMark/>
          </w:tcPr>
          <w:p w14:paraId="0C7878A3" w14:textId="77777777" w:rsidR="0070005A" w:rsidRPr="000B4E2C" w:rsidRDefault="0070005A" w:rsidP="004871B7">
            <w:pPr>
              <w:rPr>
                <w:sz w:val="22"/>
              </w:rPr>
            </w:pPr>
            <w:r w:rsidRPr="000B4E2C">
              <w:rPr>
                <w:sz w:val="22"/>
              </w:rPr>
              <w:t>6.082690</w:t>
            </w:r>
          </w:p>
        </w:tc>
        <w:tc>
          <w:tcPr>
            <w:tcW w:w="0" w:type="auto"/>
            <w:shd w:val="clear" w:color="auto" w:fill="auto"/>
            <w:noWrap/>
            <w:hideMark/>
          </w:tcPr>
          <w:p w14:paraId="04B8B1BA" w14:textId="77777777" w:rsidR="0070005A" w:rsidRPr="000B4E2C" w:rsidRDefault="0070005A" w:rsidP="004871B7">
            <w:pPr>
              <w:rPr>
                <w:sz w:val="22"/>
              </w:rPr>
            </w:pPr>
            <w:r w:rsidRPr="000B4E2C">
              <w:rPr>
                <w:sz w:val="22"/>
              </w:rPr>
              <w:t>0.000010</w:t>
            </w:r>
          </w:p>
        </w:tc>
        <w:tc>
          <w:tcPr>
            <w:tcW w:w="0" w:type="auto"/>
            <w:shd w:val="clear" w:color="auto" w:fill="auto"/>
            <w:noWrap/>
            <w:hideMark/>
          </w:tcPr>
          <w:p w14:paraId="3C86DC00" w14:textId="77777777" w:rsidR="0070005A" w:rsidRPr="000B4E2C" w:rsidRDefault="0070005A" w:rsidP="004871B7">
            <w:pPr>
              <w:rPr>
                <w:sz w:val="22"/>
              </w:rPr>
            </w:pPr>
            <w:r w:rsidRPr="000B4E2C">
              <w:rPr>
                <w:sz w:val="22"/>
              </w:rPr>
              <w:t>£1,158,117</w:t>
            </w:r>
          </w:p>
        </w:tc>
        <w:tc>
          <w:tcPr>
            <w:tcW w:w="0" w:type="auto"/>
            <w:shd w:val="clear" w:color="auto" w:fill="auto"/>
            <w:noWrap/>
            <w:hideMark/>
          </w:tcPr>
          <w:p w14:paraId="1CB2C504" w14:textId="77777777" w:rsidR="0070005A" w:rsidRPr="000B4E2C" w:rsidRDefault="0070005A" w:rsidP="004871B7">
            <w:pPr>
              <w:rPr>
                <w:sz w:val="22"/>
              </w:rPr>
            </w:pPr>
            <w:r w:rsidRPr="000B4E2C">
              <w:rPr>
                <w:sz w:val="22"/>
              </w:rPr>
              <w:t xml:space="preserve">Dominant </w:t>
            </w:r>
          </w:p>
        </w:tc>
        <w:tc>
          <w:tcPr>
            <w:tcW w:w="0" w:type="auto"/>
            <w:shd w:val="clear" w:color="auto" w:fill="auto"/>
            <w:noWrap/>
            <w:hideMark/>
          </w:tcPr>
          <w:p w14:paraId="113CFC34" w14:textId="77777777" w:rsidR="0070005A" w:rsidRPr="000B4E2C" w:rsidRDefault="0070005A" w:rsidP="004871B7">
            <w:pPr>
              <w:rPr>
                <w:sz w:val="22"/>
              </w:rPr>
            </w:pPr>
            <w:r w:rsidRPr="000B4E2C">
              <w:rPr>
                <w:sz w:val="22"/>
              </w:rPr>
              <w:t>16.8%</w:t>
            </w:r>
          </w:p>
        </w:tc>
        <w:tc>
          <w:tcPr>
            <w:tcW w:w="0" w:type="auto"/>
            <w:shd w:val="clear" w:color="auto" w:fill="auto"/>
            <w:noWrap/>
            <w:hideMark/>
          </w:tcPr>
          <w:p w14:paraId="6BA410E2" w14:textId="77777777" w:rsidR="0070005A" w:rsidRPr="000B4E2C" w:rsidRDefault="0070005A" w:rsidP="004871B7">
            <w:pPr>
              <w:rPr>
                <w:sz w:val="22"/>
              </w:rPr>
            </w:pPr>
            <w:r w:rsidRPr="000B4E2C">
              <w:rPr>
                <w:sz w:val="22"/>
              </w:rPr>
              <w:t>62.2%</w:t>
            </w:r>
          </w:p>
        </w:tc>
      </w:tr>
      <w:tr w:rsidR="000B4E2C" w:rsidRPr="000B4E2C" w14:paraId="363E5F38" w14:textId="77777777" w:rsidTr="000B4E2C">
        <w:trPr>
          <w:cantSplit/>
        </w:trPr>
        <w:tc>
          <w:tcPr>
            <w:tcW w:w="0" w:type="auto"/>
            <w:shd w:val="clear" w:color="auto" w:fill="auto"/>
            <w:noWrap/>
            <w:hideMark/>
          </w:tcPr>
          <w:p w14:paraId="0158133F" w14:textId="272C573C" w:rsidR="0070005A" w:rsidRPr="000B4E2C" w:rsidRDefault="0070005A" w:rsidP="004871B7">
            <w:pPr>
              <w:rPr>
                <w:sz w:val="22"/>
              </w:rPr>
            </w:pPr>
            <w:r w:rsidRPr="000B4E2C">
              <w:rPr>
                <w:sz w:val="22"/>
              </w:rPr>
              <w:t>Test 4 (NGAL urine</w:t>
            </w:r>
            <w:r w:rsidR="000B4E2C" w:rsidRPr="000B4E2C">
              <w:rPr>
                <w:color w:val="00B0F0"/>
                <w:sz w:val="22"/>
              </w:rPr>
              <w:t xml:space="preserve"> – </w:t>
            </w:r>
            <w:r w:rsidRPr="000B4E2C">
              <w:rPr>
                <w:sz w:val="22"/>
              </w:rPr>
              <w:t>ARCHITECT)</w:t>
            </w:r>
          </w:p>
        </w:tc>
        <w:tc>
          <w:tcPr>
            <w:tcW w:w="0" w:type="auto"/>
            <w:shd w:val="clear" w:color="auto" w:fill="auto"/>
            <w:noWrap/>
            <w:hideMark/>
          </w:tcPr>
          <w:p w14:paraId="2AE700F3" w14:textId="77777777" w:rsidR="0070005A" w:rsidRPr="000B4E2C" w:rsidRDefault="0070005A" w:rsidP="004871B7">
            <w:pPr>
              <w:rPr>
                <w:sz w:val="22"/>
              </w:rPr>
            </w:pPr>
            <w:r w:rsidRPr="000B4E2C">
              <w:rPr>
                <w:sz w:val="22"/>
              </w:rPr>
              <w:t>£23,107</w:t>
            </w:r>
          </w:p>
        </w:tc>
        <w:tc>
          <w:tcPr>
            <w:tcW w:w="0" w:type="auto"/>
            <w:shd w:val="clear" w:color="auto" w:fill="auto"/>
            <w:noWrap/>
            <w:hideMark/>
          </w:tcPr>
          <w:p w14:paraId="7B1C326E"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03C7AE99" w14:textId="77777777" w:rsidR="0070005A" w:rsidRPr="000B4E2C" w:rsidRDefault="0070005A" w:rsidP="004871B7">
            <w:pPr>
              <w:rPr>
                <w:sz w:val="22"/>
              </w:rPr>
            </w:pPr>
            <w:r w:rsidRPr="000B4E2C">
              <w:rPr>
                <w:sz w:val="22"/>
              </w:rPr>
              <w:t>6.082632</w:t>
            </w:r>
          </w:p>
        </w:tc>
        <w:tc>
          <w:tcPr>
            <w:tcW w:w="0" w:type="auto"/>
            <w:shd w:val="clear" w:color="auto" w:fill="auto"/>
            <w:noWrap/>
            <w:hideMark/>
          </w:tcPr>
          <w:p w14:paraId="1E81CC6C"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748BFE7C"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39AEBE2D" w14:textId="77777777" w:rsidR="0070005A" w:rsidRPr="000B4E2C" w:rsidRDefault="0070005A" w:rsidP="004871B7">
            <w:pPr>
              <w:rPr>
                <w:sz w:val="22"/>
              </w:rPr>
            </w:pPr>
            <w:r w:rsidRPr="000B4E2C">
              <w:rPr>
                <w:sz w:val="22"/>
              </w:rPr>
              <w:t xml:space="preserve">Dominant </w:t>
            </w:r>
          </w:p>
        </w:tc>
        <w:tc>
          <w:tcPr>
            <w:tcW w:w="0" w:type="auto"/>
            <w:shd w:val="clear" w:color="auto" w:fill="auto"/>
            <w:noWrap/>
            <w:hideMark/>
          </w:tcPr>
          <w:p w14:paraId="7FC2AA2C" w14:textId="77777777" w:rsidR="0070005A" w:rsidRPr="000B4E2C" w:rsidRDefault="0070005A" w:rsidP="004871B7">
            <w:pPr>
              <w:rPr>
                <w:sz w:val="22"/>
              </w:rPr>
            </w:pPr>
            <w:r w:rsidRPr="000B4E2C">
              <w:rPr>
                <w:sz w:val="22"/>
              </w:rPr>
              <w:t>0.3%</w:t>
            </w:r>
          </w:p>
        </w:tc>
        <w:tc>
          <w:tcPr>
            <w:tcW w:w="0" w:type="auto"/>
            <w:shd w:val="clear" w:color="auto" w:fill="auto"/>
            <w:noWrap/>
            <w:hideMark/>
          </w:tcPr>
          <w:p w14:paraId="6A07546A" w14:textId="77777777" w:rsidR="0070005A" w:rsidRPr="000B4E2C" w:rsidRDefault="0070005A" w:rsidP="004871B7">
            <w:pPr>
              <w:rPr>
                <w:sz w:val="22"/>
              </w:rPr>
            </w:pPr>
            <w:r w:rsidRPr="000B4E2C">
              <w:rPr>
                <w:sz w:val="22"/>
              </w:rPr>
              <w:t>57.5%</w:t>
            </w:r>
          </w:p>
        </w:tc>
      </w:tr>
      <w:tr w:rsidR="000B4E2C" w:rsidRPr="000B4E2C" w14:paraId="1DBB6906" w14:textId="77777777" w:rsidTr="000B4E2C">
        <w:trPr>
          <w:cantSplit/>
        </w:trPr>
        <w:tc>
          <w:tcPr>
            <w:tcW w:w="0" w:type="auto"/>
            <w:shd w:val="clear" w:color="auto" w:fill="auto"/>
            <w:noWrap/>
            <w:hideMark/>
          </w:tcPr>
          <w:p w14:paraId="11D7B2BA" w14:textId="77777777" w:rsidR="0070005A" w:rsidRPr="000B4E2C" w:rsidRDefault="0070005A" w:rsidP="004871B7">
            <w:pPr>
              <w:rPr>
                <w:sz w:val="22"/>
              </w:rPr>
            </w:pPr>
            <w:r w:rsidRPr="000B4E2C">
              <w:rPr>
                <w:sz w:val="22"/>
              </w:rPr>
              <w:t>Test 1 (NephroCheck)</w:t>
            </w:r>
          </w:p>
        </w:tc>
        <w:tc>
          <w:tcPr>
            <w:tcW w:w="0" w:type="auto"/>
            <w:shd w:val="clear" w:color="auto" w:fill="auto"/>
            <w:noWrap/>
            <w:hideMark/>
          </w:tcPr>
          <w:p w14:paraId="1AF032B5" w14:textId="77777777" w:rsidR="0070005A" w:rsidRPr="000B4E2C" w:rsidRDefault="0070005A" w:rsidP="004871B7">
            <w:pPr>
              <w:rPr>
                <w:sz w:val="22"/>
              </w:rPr>
            </w:pPr>
            <w:r w:rsidRPr="000B4E2C">
              <w:rPr>
                <w:sz w:val="22"/>
              </w:rPr>
              <w:t>£23,129</w:t>
            </w:r>
          </w:p>
        </w:tc>
        <w:tc>
          <w:tcPr>
            <w:tcW w:w="0" w:type="auto"/>
            <w:shd w:val="clear" w:color="auto" w:fill="auto"/>
            <w:noWrap/>
            <w:hideMark/>
          </w:tcPr>
          <w:p w14:paraId="0BD618E2"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2F854263" w14:textId="77777777" w:rsidR="0070005A" w:rsidRPr="000B4E2C" w:rsidRDefault="0070005A" w:rsidP="004871B7">
            <w:pPr>
              <w:rPr>
                <w:sz w:val="22"/>
              </w:rPr>
            </w:pPr>
            <w:r w:rsidRPr="000B4E2C">
              <w:rPr>
                <w:sz w:val="22"/>
              </w:rPr>
              <w:t>6.082688</w:t>
            </w:r>
          </w:p>
        </w:tc>
        <w:tc>
          <w:tcPr>
            <w:tcW w:w="0" w:type="auto"/>
            <w:shd w:val="clear" w:color="auto" w:fill="auto"/>
            <w:noWrap/>
            <w:hideMark/>
          </w:tcPr>
          <w:p w14:paraId="265090DB"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7BD1E092"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3DA13807" w14:textId="77777777" w:rsidR="0070005A" w:rsidRPr="000B4E2C" w:rsidRDefault="0070005A" w:rsidP="004871B7">
            <w:pPr>
              <w:rPr>
                <w:sz w:val="22"/>
              </w:rPr>
            </w:pPr>
            <w:r w:rsidRPr="000B4E2C">
              <w:rPr>
                <w:sz w:val="22"/>
              </w:rPr>
              <w:t xml:space="preserve">Dominant </w:t>
            </w:r>
          </w:p>
        </w:tc>
        <w:tc>
          <w:tcPr>
            <w:tcW w:w="0" w:type="auto"/>
            <w:shd w:val="clear" w:color="auto" w:fill="auto"/>
            <w:noWrap/>
            <w:hideMark/>
          </w:tcPr>
          <w:p w14:paraId="6CEF291A" w14:textId="77777777" w:rsidR="0070005A" w:rsidRPr="000B4E2C" w:rsidRDefault="0070005A" w:rsidP="004871B7">
            <w:pPr>
              <w:rPr>
                <w:sz w:val="22"/>
              </w:rPr>
            </w:pPr>
            <w:r w:rsidRPr="000B4E2C">
              <w:rPr>
                <w:sz w:val="22"/>
              </w:rPr>
              <w:t>0.9%</w:t>
            </w:r>
          </w:p>
        </w:tc>
        <w:tc>
          <w:tcPr>
            <w:tcW w:w="0" w:type="auto"/>
            <w:shd w:val="clear" w:color="auto" w:fill="auto"/>
            <w:noWrap/>
            <w:hideMark/>
          </w:tcPr>
          <w:p w14:paraId="2E08AC01" w14:textId="77777777" w:rsidR="0070005A" w:rsidRPr="000B4E2C" w:rsidRDefault="0070005A" w:rsidP="004871B7">
            <w:pPr>
              <w:rPr>
                <w:sz w:val="22"/>
              </w:rPr>
            </w:pPr>
            <w:r w:rsidRPr="000B4E2C">
              <w:rPr>
                <w:sz w:val="22"/>
              </w:rPr>
              <w:t>47.9%</w:t>
            </w:r>
          </w:p>
        </w:tc>
      </w:tr>
      <w:tr w:rsidR="000B4E2C" w:rsidRPr="000B4E2C" w14:paraId="02139348" w14:textId="77777777" w:rsidTr="000B4E2C">
        <w:trPr>
          <w:cantSplit/>
        </w:trPr>
        <w:tc>
          <w:tcPr>
            <w:tcW w:w="0" w:type="auto"/>
            <w:shd w:val="clear" w:color="auto" w:fill="auto"/>
            <w:noWrap/>
            <w:hideMark/>
          </w:tcPr>
          <w:p w14:paraId="39B8C9AC" w14:textId="77777777" w:rsidR="0070005A" w:rsidRPr="000B4E2C" w:rsidRDefault="0070005A" w:rsidP="004871B7">
            <w:pPr>
              <w:rPr>
                <w:sz w:val="22"/>
              </w:rPr>
            </w:pPr>
            <w:r w:rsidRPr="000B4E2C">
              <w:rPr>
                <w:sz w:val="22"/>
              </w:rPr>
              <w:t>Standard care (Scr)</w:t>
            </w:r>
          </w:p>
        </w:tc>
        <w:tc>
          <w:tcPr>
            <w:tcW w:w="0" w:type="auto"/>
            <w:shd w:val="clear" w:color="auto" w:fill="auto"/>
            <w:noWrap/>
            <w:hideMark/>
          </w:tcPr>
          <w:p w14:paraId="011D91B2" w14:textId="77777777" w:rsidR="0070005A" w:rsidRPr="000B4E2C" w:rsidRDefault="0070005A" w:rsidP="004871B7">
            <w:pPr>
              <w:rPr>
                <w:sz w:val="22"/>
              </w:rPr>
            </w:pPr>
            <w:r w:rsidRPr="000B4E2C">
              <w:rPr>
                <w:sz w:val="22"/>
              </w:rPr>
              <w:t>£23,135</w:t>
            </w:r>
          </w:p>
        </w:tc>
        <w:tc>
          <w:tcPr>
            <w:tcW w:w="0" w:type="auto"/>
            <w:shd w:val="clear" w:color="auto" w:fill="auto"/>
            <w:noWrap/>
            <w:hideMark/>
          </w:tcPr>
          <w:p w14:paraId="666B14B5"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350642B1" w14:textId="77777777" w:rsidR="0070005A" w:rsidRPr="000B4E2C" w:rsidRDefault="0070005A" w:rsidP="004871B7">
            <w:pPr>
              <w:rPr>
                <w:sz w:val="22"/>
              </w:rPr>
            </w:pPr>
            <w:r w:rsidRPr="000B4E2C">
              <w:rPr>
                <w:sz w:val="22"/>
              </w:rPr>
              <w:t>6.082137</w:t>
            </w:r>
          </w:p>
        </w:tc>
        <w:tc>
          <w:tcPr>
            <w:tcW w:w="0" w:type="auto"/>
            <w:shd w:val="clear" w:color="auto" w:fill="auto"/>
            <w:noWrap/>
            <w:hideMark/>
          </w:tcPr>
          <w:p w14:paraId="4C39448F"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4C080DFF"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6C0DC6A0" w14:textId="77777777" w:rsidR="0070005A" w:rsidRPr="000B4E2C" w:rsidRDefault="0070005A" w:rsidP="004871B7">
            <w:pPr>
              <w:rPr>
                <w:sz w:val="22"/>
              </w:rPr>
            </w:pPr>
            <w:r w:rsidRPr="000B4E2C">
              <w:rPr>
                <w:sz w:val="22"/>
              </w:rPr>
              <w:t>--</w:t>
            </w:r>
          </w:p>
        </w:tc>
        <w:tc>
          <w:tcPr>
            <w:tcW w:w="0" w:type="auto"/>
            <w:shd w:val="clear" w:color="auto" w:fill="auto"/>
            <w:noWrap/>
            <w:hideMark/>
          </w:tcPr>
          <w:p w14:paraId="6789E3E8" w14:textId="77777777" w:rsidR="0070005A" w:rsidRPr="000B4E2C" w:rsidRDefault="0070005A" w:rsidP="004871B7">
            <w:pPr>
              <w:rPr>
                <w:sz w:val="22"/>
              </w:rPr>
            </w:pPr>
            <w:r w:rsidRPr="000B4E2C">
              <w:rPr>
                <w:sz w:val="22"/>
              </w:rPr>
              <w:t>32.7%</w:t>
            </w:r>
          </w:p>
        </w:tc>
        <w:tc>
          <w:tcPr>
            <w:tcW w:w="0" w:type="auto"/>
            <w:shd w:val="clear" w:color="auto" w:fill="auto"/>
            <w:noWrap/>
            <w:hideMark/>
          </w:tcPr>
          <w:p w14:paraId="2FF917D2" w14:textId="77777777" w:rsidR="0070005A" w:rsidRPr="000B4E2C" w:rsidRDefault="0070005A" w:rsidP="004871B7">
            <w:pPr>
              <w:rPr>
                <w:sz w:val="22"/>
              </w:rPr>
            </w:pPr>
            <w:r w:rsidRPr="000B4E2C">
              <w:rPr>
                <w:sz w:val="22"/>
              </w:rPr>
              <w:t>--</w:t>
            </w:r>
          </w:p>
        </w:tc>
      </w:tr>
    </w:tbl>
    <w:p w14:paraId="0F2F0E25" w14:textId="77777777" w:rsidR="000B4E2C" w:rsidRPr="000B4E2C" w:rsidRDefault="000B4E2C" w:rsidP="00622ABB"/>
    <w:p w14:paraId="314C6F5E" w14:textId="6269F372" w:rsidR="0070005A" w:rsidRPr="000B4E2C" w:rsidRDefault="000B4E2C" w:rsidP="0070005A">
      <w:pPr>
        <w:pStyle w:val="Heading2"/>
        <w:rPr>
          <w:rFonts w:cs="Times New Roman"/>
          <w:szCs w:val="24"/>
        </w:rPr>
      </w:pPr>
      <w:r w:rsidRPr="000B4E2C">
        <w:rPr>
          <w:rFonts w:cs="Times New Roman"/>
          <w:i/>
          <w:color w:val="FF0000"/>
          <w:szCs w:val="24"/>
        </w:rPr>
        <w:t>T</w:t>
      </w:r>
      <w:r w:rsidRPr="000B4E2C">
        <w:rPr>
          <w:rFonts w:cs="Times New Roman"/>
          <w:i/>
          <w:color w:val="FF0000"/>
          <w:szCs w:val="24"/>
        </w:rPr>
        <w:t>able</w:t>
      </w:r>
      <w:r w:rsidRPr="000B4E2C">
        <w:rPr>
          <w:rFonts w:cs="Times New Roman"/>
          <w:i/>
          <w:color w:val="FF0000"/>
          <w:szCs w:val="24"/>
        </w:rPr>
        <w:t xml:space="preserve"> </w:t>
      </w:r>
      <w:r w:rsidRPr="000B4E2C">
        <w:rPr>
          <w:rFonts w:cs="Times New Roman"/>
          <w:i/>
          <w:color w:val="FF0000"/>
          <w:szCs w:val="24"/>
        </w:rPr>
        <w:t>40</w:t>
      </w:r>
      <w:r w:rsidRPr="000B4E2C">
        <w:rPr>
          <w:rFonts w:cs="Times New Roman"/>
          <w:szCs w:val="24"/>
        </w:rPr>
        <w:t xml:space="preserve"> </w:t>
      </w:r>
      <w:r w:rsidR="0070005A" w:rsidRPr="000B4E2C">
        <w:rPr>
          <w:rFonts w:cs="Times New Roman"/>
          <w:szCs w:val="24"/>
        </w:rPr>
        <w:t>Additional scenario analyses on base case 2 (assuming that the NGAL tests cannot avert AKI)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595"/>
        <w:gridCol w:w="653"/>
        <w:gridCol w:w="849"/>
        <w:gridCol w:w="653"/>
        <w:gridCol w:w="849"/>
        <w:gridCol w:w="849"/>
        <w:gridCol w:w="776"/>
        <w:gridCol w:w="544"/>
        <w:gridCol w:w="544"/>
      </w:tblGrid>
      <w:tr w:rsidR="000B4E2C" w:rsidRPr="000B4E2C" w14:paraId="097D0D42" w14:textId="77777777" w:rsidTr="000B4E2C">
        <w:trPr>
          <w:cantSplit/>
        </w:trPr>
        <w:tc>
          <w:tcPr>
            <w:tcW w:w="0" w:type="auto"/>
            <w:shd w:val="clear" w:color="auto" w:fill="auto"/>
            <w:hideMark/>
          </w:tcPr>
          <w:p w14:paraId="5C59489B" w14:textId="77777777" w:rsidR="0070005A" w:rsidRPr="000B4E2C" w:rsidRDefault="0070005A" w:rsidP="004871B7">
            <w:pPr>
              <w:rPr>
                <w:b/>
                <w:bCs/>
                <w:sz w:val="22"/>
              </w:rPr>
            </w:pPr>
            <w:r w:rsidRPr="000B4E2C">
              <w:rPr>
                <w:b/>
                <w:bCs/>
                <w:sz w:val="22"/>
              </w:rPr>
              <w:t>Scenario</w:t>
            </w:r>
          </w:p>
        </w:tc>
        <w:tc>
          <w:tcPr>
            <w:tcW w:w="0" w:type="auto"/>
            <w:shd w:val="clear" w:color="auto" w:fill="auto"/>
            <w:hideMark/>
          </w:tcPr>
          <w:p w14:paraId="68434BE1" w14:textId="77777777" w:rsidR="0070005A" w:rsidRPr="000B4E2C" w:rsidRDefault="0070005A" w:rsidP="004871B7">
            <w:pPr>
              <w:rPr>
                <w:b/>
                <w:bCs/>
                <w:sz w:val="22"/>
              </w:rPr>
            </w:pPr>
            <w:r w:rsidRPr="000B4E2C">
              <w:rPr>
                <w:b/>
                <w:bCs/>
                <w:sz w:val="22"/>
              </w:rPr>
              <w:t>Cost</w:t>
            </w:r>
          </w:p>
        </w:tc>
        <w:tc>
          <w:tcPr>
            <w:tcW w:w="0" w:type="auto"/>
            <w:shd w:val="clear" w:color="auto" w:fill="auto"/>
            <w:hideMark/>
          </w:tcPr>
          <w:p w14:paraId="78C2F451" w14:textId="77777777" w:rsidR="0070005A" w:rsidRPr="000B4E2C" w:rsidRDefault="0070005A" w:rsidP="004871B7">
            <w:pPr>
              <w:rPr>
                <w:b/>
                <w:bCs/>
                <w:sz w:val="22"/>
              </w:rPr>
            </w:pPr>
            <w:r w:rsidRPr="000B4E2C">
              <w:rPr>
                <w:b/>
                <w:bCs/>
                <w:sz w:val="22"/>
              </w:rPr>
              <w:t>Inc. Cost</w:t>
            </w:r>
          </w:p>
        </w:tc>
        <w:tc>
          <w:tcPr>
            <w:tcW w:w="0" w:type="auto"/>
            <w:shd w:val="clear" w:color="auto" w:fill="auto"/>
            <w:hideMark/>
          </w:tcPr>
          <w:p w14:paraId="6A23B1BF" w14:textId="77777777" w:rsidR="0070005A" w:rsidRPr="000B4E2C" w:rsidRDefault="0070005A" w:rsidP="004871B7">
            <w:pPr>
              <w:rPr>
                <w:b/>
                <w:bCs/>
                <w:sz w:val="22"/>
              </w:rPr>
            </w:pPr>
            <w:r w:rsidRPr="000B4E2C">
              <w:rPr>
                <w:b/>
                <w:bCs/>
                <w:sz w:val="22"/>
              </w:rPr>
              <w:t>QALY</w:t>
            </w:r>
          </w:p>
        </w:tc>
        <w:tc>
          <w:tcPr>
            <w:tcW w:w="0" w:type="auto"/>
            <w:shd w:val="clear" w:color="auto" w:fill="auto"/>
            <w:hideMark/>
          </w:tcPr>
          <w:p w14:paraId="7666E2FF" w14:textId="77777777" w:rsidR="0070005A" w:rsidRPr="000B4E2C" w:rsidRDefault="0070005A" w:rsidP="004871B7">
            <w:pPr>
              <w:rPr>
                <w:b/>
                <w:bCs/>
                <w:sz w:val="22"/>
              </w:rPr>
            </w:pPr>
            <w:r w:rsidRPr="000B4E2C">
              <w:rPr>
                <w:b/>
                <w:bCs/>
                <w:sz w:val="22"/>
              </w:rPr>
              <w:t>Inc. QALY</w:t>
            </w:r>
          </w:p>
        </w:tc>
        <w:tc>
          <w:tcPr>
            <w:tcW w:w="0" w:type="auto"/>
            <w:shd w:val="clear" w:color="auto" w:fill="auto"/>
            <w:hideMark/>
          </w:tcPr>
          <w:p w14:paraId="641F3F14" w14:textId="77777777" w:rsidR="0070005A" w:rsidRPr="000B4E2C" w:rsidRDefault="0070005A" w:rsidP="004871B7">
            <w:pPr>
              <w:rPr>
                <w:b/>
                <w:bCs/>
                <w:sz w:val="22"/>
              </w:rPr>
            </w:pPr>
            <w:r w:rsidRPr="000B4E2C">
              <w:rPr>
                <w:b/>
                <w:bCs/>
                <w:sz w:val="22"/>
              </w:rPr>
              <w:t>ICER (inc)</w:t>
            </w:r>
          </w:p>
        </w:tc>
        <w:tc>
          <w:tcPr>
            <w:tcW w:w="0" w:type="auto"/>
            <w:shd w:val="clear" w:color="auto" w:fill="auto"/>
            <w:hideMark/>
          </w:tcPr>
          <w:p w14:paraId="1DC3D894" w14:textId="77777777" w:rsidR="0070005A" w:rsidRPr="000B4E2C" w:rsidRDefault="0070005A" w:rsidP="004871B7">
            <w:pPr>
              <w:rPr>
                <w:b/>
                <w:bCs/>
                <w:sz w:val="22"/>
              </w:rPr>
            </w:pPr>
            <w:r w:rsidRPr="000B4E2C">
              <w:rPr>
                <w:b/>
                <w:bCs/>
                <w:sz w:val="22"/>
              </w:rPr>
              <w:t>ICER vs. SC</w:t>
            </w:r>
          </w:p>
        </w:tc>
        <w:tc>
          <w:tcPr>
            <w:tcW w:w="0" w:type="auto"/>
            <w:shd w:val="clear" w:color="auto" w:fill="auto"/>
            <w:hideMark/>
          </w:tcPr>
          <w:p w14:paraId="7D587855" w14:textId="77777777" w:rsidR="0070005A" w:rsidRPr="000B4E2C" w:rsidRDefault="0070005A" w:rsidP="004871B7">
            <w:pPr>
              <w:rPr>
                <w:b/>
                <w:bCs/>
                <w:sz w:val="22"/>
              </w:rPr>
            </w:pPr>
            <w:r w:rsidRPr="000B4E2C">
              <w:rPr>
                <w:b/>
                <w:bCs/>
                <w:i/>
                <w:color w:val="00B0F0"/>
                <w:sz w:val="22"/>
              </w:rPr>
              <w:t>p</w:t>
            </w:r>
            <w:r w:rsidRPr="000B4E2C">
              <w:rPr>
                <w:b/>
                <w:bCs/>
                <w:sz w:val="22"/>
              </w:rPr>
              <w:t xml:space="preserve"> (C/E) @ 20k</w:t>
            </w:r>
          </w:p>
        </w:tc>
        <w:tc>
          <w:tcPr>
            <w:tcW w:w="0" w:type="auto"/>
            <w:shd w:val="clear" w:color="auto" w:fill="auto"/>
            <w:hideMark/>
          </w:tcPr>
          <w:p w14:paraId="460D5B86" w14:textId="77777777" w:rsidR="0070005A" w:rsidRPr="000B4E2C" w:rsidRDefault="0070005A" w:rsidP="004871B7">
            <w:pPr>
              <w:rPr>
                <w:b/>
                <w:bCs/>
                <w:sz w:val="22"/>
              </w:rPr>
            </w:pPr>
            <w:r w:rsidRPr="000B4E2C">
              <w:rPr>
                <w:b/>
                <w:bCs/>
                <w:i/>
                <w:color w:val="00B0F0"/>
                <w:sz w:val="22"/>
              </w:rPr>
              <w:t>p</w:t>
            </w:r>
            <w:r w:rsidRPr="000B4E2C">
              <w:rPr>
                <w:b/>
                <w:bCs/>
                <w:sz w:val="22"/>
              </w:rPr>
              <w:t xml:space="preserve"> (C/E) @ 20k vs. SC</w:t>
            </w:r>
          </w:p>
        </w:tc>
      </w:tr>
      <w:tr w:rsidR="0070005A" w:rsidRPr="000B4E2C" w14:paraId="4520A857" w14:textId="77777777" w:rsidTr="000B4E2C">
        <w:trPr>
          <w:cantSplit/>
        </w:trPr>
        <w:tc>
          <w:tcPr>
            <w:tcW w:w="0" w:type="auto"/>
            <w:gridSpan w:val="9"/>
            <w:shd w:val="clear" w:color="auto" w:fill="auto"/>
          </w:tcPr>
          <w:p w14:paraId="1D724DD5" w14:textId="77777777" w:rsidR="0070005A" w:rsidRPr="000B4E2C" w:rsidRDefault="0070005A" w:rsidP="004871B7">
            <w:pPr>
              <w:rPr>
                <w:b/>
                <w:bCs/>
                <w:sz w:val="22"/>
              </w:rPr>
            </w:pPr>
            <w:r w:rsidRPr="000B4E2C">
              <w:rPr>
                <w:b/>
                <w:bCs/>
                <w:sz w:val="22"/>
                <w:lang w:eastAsia="en-GB"/>
              </w:rPr>
              <w:t>Base case 2</w:t>
            </w:r>
          </w:p>
        </w:tc>
      </w:tr>
      <w:tr w:rsidR="000B4E2C" w:rsidRPr="000B4E2C" w14:paraId="0E4EF204" w14:textId="77777777" w:rsidTr="000B4E2C">
        <w:trPr>
          <w:cantSplit/>
        </w:trPr>
        <w:tc>
          <w:tcPr>
            <w:tcW w:w="0" w:type="auto"/>
            <w:shd w:val="clear" w:color="auto" w:fill="auto"/>
          </w:tcPr>
          <w:p w14:paraId="10E6E1C8" w14:textId="77777777" w:rsidR="0070005A" w:rsidRPr="000B4E2C" w:rsidRDefault="0070005A" w:rsidP="004871B7">
            <w:pPr>
              <w:rPr>
                <w:sz w:val="22"/>
                <w:lang w:eastAsia="en-GB"/>
              </w:rPr>
            </w:pPr>
            <w:r w:rsidRPr="000B4E2C">
              <w:rPr>
                <w:sz w:val="22"/>
                <w:lang w:eastAsia="en-GB"/>
              </w:rPr>
              <w:t>Standard care (Scr)</w:t>
            </w:r>
          </w:p>
        </w:tc>
        <w:tc>
          <w:tcPr>
            <w:tcW w:w="0" w:type="auto"/>
            <w:shd w:val="clear" w:color="auto" w:fill="auto"/>
          </w:tcPr>
          <w:p w14:paraId="047076C6" w14:textId="77777777" w:rsidR="0070005A" w:rsidRPr="000B4E2C" w:rsidRDefault="0070005A" w:rsidP="004871B7">
            <w:pPr>
              <w:rPr>
                <w:sz w:val="22"/>
                <w:lang w:eastAsia="en-GB"/>
              </w:rPr>
            </w:pPr>
            <w:r w:rsidRPr="000B4E2C">
              <w:rPr>
                <w:sz w:val="22"/>
                <w:lang w:eastAsia="en-GB"/>
              </w:rPr>
              <w:t>£22,978</w:t>
            </w:r>
          </w:p>
        </w:tc>
        <w:tc>
          <w:tcPr>
            <w:tcW w:w="0" w:type="auto"/>
            <w:shd w:val="clear" w:color="auto" w:fill="auto"/>
          </w:tcPr>
          <w:p w14:paraId="6989377C" w14:textId="77777777" w:rsidR="0070005A" w:rsidRPr="000B4E2C" w:rsidRDefault="0070005A" w:rsidP="004871B7">
            <w:pPr>
              <w:rPr>
                <w:sz w:val="22"/>
                <w:lang w:eastAsia="en-GB"/>
              </w:rPr>
            </w:pPr>
            <w:r w:rsidRPr="000B4E2C">
              <w:rPr>
                <w:sz w:val="22"/>
                <w:lang w:eastAsia="en-GB"/>
              </w:rPr>
              <w:t>--</w:t>
            </w:r>
          </w:p>
        </w:tc>
        <w:tc>
          <w:tcPr>
            <w:tcW w:w="0" w:type="auto"/>
            <w:shd w:val="clear" w:color="auto" w:fill="auto"/>
          </w:tcPr>
          <w:p w14:paraId="50227AAB" w14:textId="77777777" w:rsidR="0070005A" w:rsidRPr="000B4E2C" w:rsidRDefault="0070005A" w:rsidP="004871B7">
            <w:pPr>
              <w:rPr>
                <w:sz w:val="22"/>
                <w:lang w:eastAsia="en-GB"/>
              </w:rPr>
            </w:pPr>
            <w:r w:rsidRPr="000B4E2C">
              <w:rPr>
                <w:sz w:val="22"/>
                <w:lang w:eastAsia="en-GB"/>
              </w:rPr>
              <w:t>6.07277</w:t>
            </w:r>
          </w:p>
        </w:tc>
        <w:tc>
          <w:tcPr>
            <w:tcW w:w="0" w:type="auto"/>
            <w:shd w:val="clear" w:color="auto" w:fill="auto"/>
          </w:tcPr>
          <w:p w14:paraId="55C8DE2B" w14:textId="77777777" w:rsidR="0070005A" w:rsidRPr="000B4E2C" w:rsidRDefault="0070005A" w:rsidP="004871B7">
            <w:pPr>
              <w:rPr>
                <w:sz w:val="22"/>
                <w:lang w:eastAsia="en-GB"/>
              </w:rPr>
            </w:pPr>
            <w:r w:rsidRPr="000B4E2C">
              <w:rPr>
                <w:sz w:val="22"/>
                <w:lang w:eastAsia="en-GB"/>
              </w:rPr>
              <w:t>--</w:t>
            </w:r>
          </w:p>
        </w:tc>
        <w:tc>
          <w:tcPr>
            <w:tcW w:w="0" w:type="auto"/>
            <w:shd w:val="clear" w:color="auto" w:fill="auto"/>
          </w:tcPr>
          <w:p w14:paraId="15FFEE9E" w14:textId="77777777" w:rsidR="0070005A" w:rsidRPr="000B4E2C" w:rsidRDefault="0070005A" w:rsidP="004871B7">
            <w:pPr>
              <w:rPr>
                <w:sz w:val="22"/>
                <w:lang w:eastAsia="en-GB"/>
              </w:rPr>
            </w:pPr>
            <w:r w:rsidRPr="000B4E2C">
              <w:rPr>
                <w:sz w:val="22"/>
                <w:lang w:eastAsia="en-GB"/>
              </w:rPr>
              <w:t>--</w:t>
            </w:r>
          </w:p>
        </w:tc>
        <w:tc>
          <w:tcPr>
            <w:tcW w:w="0" w:type="auto"/>
            <w:shd w:val="clear" w:color="auto" w:fill="auto"/>
          </w:tcPr>
          <w:p w14:paraId="1671D275" w14:textId="77777777" w:rsidR="0070005A" w:rsidRPr="000B4E2C" w:rsidRDefault="0070005A" w:rsidP="004871B7">
            <w:pPr>
              <w:rPr>
                <w:sz w:val="22"/>
                <w:lang w:eastAsia="en-GB"/>
              </w:rPr>
            </w:pPr>
            <w:r w:rsidRPr="000B4E2C">
              <w:rPr>
                <w:sz w:val="22"/>
                <w:lang w:eastAsia="en-GB"/>
              </w:rPr>
              <w:t>--</w:t>
            </w:r>
          </w:p>
        </w:tc>
        <w:tc>
          <w:tcPr>
            <w:tcW w:w="0" w:type="auto"/>
            <w:shd w:val="clear" w:color="auto" w:fill="auto"/>
          </w:tcPr>
          <w:p w14:paraId="27A388AE" w14:textId="77777777" w:rsidR="0070005A" w:rsidRPr="000B4E2C" w:rsidRDefault="0070005A" w:rsidP="004871B7">
            <w:pPr>
              <w:rPr>
                <w:sz w:val="22"/>
                <w:lang w:eastAsia="en-GB"/>
              </w:rPr>
            </w:pPr>
            <w:r w:rsidRPr="000B4E2C">
              <w:rPr>
                <w:sz w:val="22"/>
                <w:lang w:eastAsia="en-GB"/>
              </w:rPr>
              <w:t>64.5%</w:t>
            </w:r>
          </w:p>
        </w:tc>
        <w:tc>
          <w:tcPr>
            <w:tcW w:w="0" w:type="auto"/>
            <w:shd w:val="clear" w:color="auto" w:fill="auto"/>
          </w:tcPr>
          <w:p w14:paraId="47BF3B33" w14:textId="77777777" w:rsidR="0070005A" w:rsidRPr="000B4E2C" w:rsidRDefault="0070005A" w:rsidP="004871B7">
            <w:pPr>
              <w:rPr>
                <w:sz w:val="22"/>
                <w:lang w:eastAsia="en-GB"/>
              </w:rPr>
            </w:pPr>
            <w:r w:rsidRPr="000B4E2C">
              <w:rPr>
                <w:sz w:val="22"/>
                <w:lang w:eastAsia="en-GB"/>
              </w:rPr>
              <w:t>--</w:t>
            </w:r>
          </w:p>
        </w:tc>
      </w:tr>
      <w:tr w:rsidR="000B4E2C" w:rsidRPr="000B4E2C" w14:paraId="3CBBEF15" w14:textId="77777777" w:rsidTr="000B4E2C">
        <w:trPr>
          <w:cantSplit/>
        </w:trPr>
        <w:tc>
          <w:tcPr>
            <w:tcW w:w="0" w:type="auto"/>
            <w:shd w:val="clear" w:color="auto" w:fill="auto"/>
          </w:tcPr>
          <w:p w14:paraId="05A738CE" w14:textId="77777777" w:rsidR="0070005A" w:rsidRPr="000B4E2C" w:rsidRDefault="0070005A" w:rsidP="004871B7">
            <w:pPr>
              <w:rPr>
                <w:sz w:val="22"/>
                <w:lang w:eastAsia="en-GB"/>
              </w:rPr>
            </w:pPr>
            <w:r w:rsidRPr="000B4E2C">
              <w:rPr>
                <w:sz w:val="22"/>
                <w:lang w:eastAsia="en-GB"/>
              </w:rPr>
              <w:t>Test 1 (NephroCheck)</w:t>
            </w:r>
          </w:p>
        </w:tc>
        <w:tc>
          <w:tcPr>
            <w:tcW w:w="0" w:type="auto"/>
            <w:shd w:val="clear" w:color="auto" w:fill="auto"/>
          </w:tcPr>
          <w:p w14:paraId="7B3AF6E5" w14:textId="77777777" w:rsidR="0070005A" w:rsidRPr="000B4E2C" w:rsidRDefault="0070005A" w:rsidP="004871B7">
            <w:pPr>
              <w:rPr>
                <w:sz w:val="22"/>
                <w:lang w:eastAsia="en-GB"/>
              </w:rPr>
            </w:pPr>
            <w:r w:rsidRPr="000B4E2C">
              <w:rPr>
                <w:sz w:val="22"/>
                <w:lang w:eastAsia="en-GB"/>
              </w:rPr>
              <w:t>£23,016</w:t>
            </w:r>
          </w:p>
        </w:tc>
        <w:tc>
          <w:tcPr>
            <w:tcW w:w="0" w:type="auto"/>
            <w:shd w:val="clear" w:color="auto" w:fill="auto"/>
          </w:tcPr>
          <w:p w14:paraId="201EBB03" w14:textId="77777777" w:rsidR="0070005A" w:rsidRPr="000B4E2C" w:rsidRDefault="0070005A" w:rsidP="004871B7">
            <w:pPr>
              <w:rPr>
                <w:sz w:val="22"/>
                <w:lang w:eastAsia="en-GB"/>
              </w:rPr>
            </w:pPr>
            <w:r w:rsidRPr="000B4E2C">
              <w:rPr>
                <w:sz w:val="22"/>
                <w:lang w:eastAsia="en-GB"/>
              </w:rPr>
              <w:t>£38</w:t>
            </w:r>
          </w:p>
        </w:tc>
        <w:tc>
          <w:tcPr>
            <w:tcW w:w="0" w:type="auto"/>
            <w:shd w:val="clear" w:color="auto" w:fill="auto"/>
          </w:tcPr>
          <w:p w14:paraId="55F91377" w14:textId="77777777" w:rsidR="0070005A" w:rsidRPr="000B4E2C" w:rsidRDefault="0070005A" w:rsidP="004871B7">
            <w:pPr>
              <w:rPr>
                <w:sz w:val="22"/>
                <w:lang w:eastAsia="en-GB"/>
              </w:rPr>
            </w:pPr>
            <w:r w:rsidRPr="000B4E2C">
              <w:rPr>
                <w:sz w:val="22"/>
                <w:lang w:eastAsia="en-GB"/>
              </w:rPr>
              <w:t>6.07313</w:t>
            </w:r>
          </w:p>
        </w:tc>
        <w:tc>
          <w:tcPr>
            <w:tcW w:w="0" w:type="auto"/>
            <w:shd w:val="clear" w:color="auto" w:fill="auto"/>
          </w:tcPr>
          <w:p w14:paraId="4F6CB0F8" w14:textId="77777777" w:rsidR="0070005A" w:rsidRPr="000B4E2C" w:rsidRDefault="0070005A" w:rsidP="004871B7">
            <w:pPr>
              <w:rPr>
                <w:sz w:val="22"/>
                <w:lang w:eastAsia="en-GB"/>
              </w:rPr>
            </w:pPr>
            <w:r w:rsidRPr="000B4E2C">
              <w:rPr>
                <w:sz w:val="22"/>
                <w:lang w:eastAsia="en-GB"/>
              </w:rPr>
              <w:t>0.00036</w:t>
            </w:r>
          </w:p>
        </w:tc>
        <w:tc>
          <w:tcPr>
            <w:tcW w:w="0" w:type="auto"/>
            <w:shd w:val="clear" w:color="auto" w:fill="auto"/>
          </w:tcPr>
          <w:p w14:paraId="17CDF3C9" w14:textId="77777777" w:rsidR="0070005A" w:rsidRPr="000B4E2C" w:rsidRDefault="0070005A" w:rsidP="004871B7">
            <w:pPr>
              <w:rPr>
                <w:sz w:val="22"/>
                <w:lang w:eastAsia="en-GB"/>
              </w:rPr>
            </w:pPr>
            <w:r w:rsidRPr="000B4E2C">
              <w:rPr>
                <w:sz w:val="22"/>
                <w:lang w:eastAsia="en-GB"/>
              </w:rPr>
              <w:t>£105,965</w:t>
            </w:r>
          </w:p>
        </w:tc>
        <w:tc>
          <w:tcPr>
            <w:tcW w:w="0" w:type="auto"/>
            <w:shd w:val="clear" w:color="auto" w:fill="auto"/>
          </w:tcPr>
          <w:p w14:paraId="530E29C1" w14:textId="77777777" w:rsidR="0070005A" w:rsidRPr="000B4E2C" w:rsidRDefault="0070005A" w:rsidP="004871B7">
            <w:pPr>
              <w:rPr>
                <w:sz w:val="22"/>
                <w:lang w:eastAsia="en-GB"/>
              </w:rPr>
            </w:pPr>
            <w:r w:rsidRPr="000B4E2C">
              <w:rPr>
                <w:sz w:val="22"/>
                <w:lang w:eastAsia="en-GB"/>
              </w:rPr>
              <w:t>£105,965</w:t>
            </w:r>
          </w:p>
        </w:tc>
        <w:tc>
          <w:tcPr>
            <w:tcW w:w="0" w:type="auto"/>
            <w:shd w:val="clear" w:color="auto" w:fill="auto"/>
          </w:tcPr>
          <w:p w14:paraId="6164B2BE" w14:textId="77777777" w:rsidR="0070005A" w:rsidRPr="000B4E2C" w:rsidRDefault="0070005A" w:rsidP="004871B7">
            <w:pPr>
              <w:rPr>
                <w:sz w:val="22"/>
                <w:lang w:eastAsia="en-GB"/>
              </w:rPr>
            </w:pPr>
            <w:r w:rsidRPr="000B4E2C">
              <w:rPr>
                <w:sz w:val="22"/>
                <w:lang w:eastAsia="en-GB"/>
              </w:rPr>
              <w:t>29.7%</w:t>
            </w:r>
          </w:p>
        </w:tc>
        <w:tc>
          <w:tcPr>
            <w:tcW w:w="0" w:type="auto"/>
            <w:shd w:val="clear" w:color="auto" w:fill="auto"/>
          </w:tcPr>
          <w:p w14:paraId="6F2A16DC" w14:textId="77777777" w:rsidR="0070005A" w:rsidRPr="000B4E2C" w:rsidRDefault="0070005A" w:rsidP="004871B7">
            <w:pPr>
              <w:rPr>
                <w:sz w:val="22"/>
                <w:lang w:eastAsia="en-GB"/>
              </w:rPr>
            </w:pPr>
            <w:r w:rsidRPr="000B4E2C">
              <w:rPr>
                <w:sz w:val="22"/>
                <w:lang w:eastAsia="en-GB"/>
              </w:rPr>
              <w:t>32.0%</w:t>
            </w:r>
          </w:p>
        </w:tc>
      </w:tr>
      <w:tr w:rsidR="000B4E2C" w:rsidRPr="000B4E2C" w14:paraId="09C1E215" w14:textId="77777777" w:rsidTr="000B4E2C">
        <w:trPr>
          <w:cantSplit/>
        </w:trPr>
        <w:tc>
          <w:tcPr>
            <w:tcW w:w="0" w:type="auto"/>
            <w:shd w:val="clear" w:color="auto" w:fill="auto"/>
          </w:tcPr>
          <w:p w14:paraId="10CFC788" w14:textId="14AE040C" w:rsidR="0070005A" w:rsidRPr="000B4E2C" w:rsidRDefault="0070005A" w:rsidP="004871B7">
            <w:pPr>
              <w:rPr>
                <w:sz w:val="22"/>
                <w:lang w:eastAsia="en-GB"/>
              </w:rPr>
            </w:pPr>
            <w:r w:rsidRPr="000B4E2C">
              <w:rPr>
                <w:sz w:val="22"/>
                <w:lang w:eastAsia="en-GB"/>
              </w:rPr>
              <w:t>Test 3 (NGAL urine</w:t>
            </w:r>
            <w:r w:rsidR="000B4E2C" w:rsidRPr="000B4E2C">
              <w:rPr>
                <w:color w:val="00B0F0"/>
                <w:sz w:val="22"/>
                <w:lang w:eastAsia="en-GB"/>
              </w:rPr>
              <w:t xml:space="preserve"> – </w:t>
            </w:r>
            <w:r w:rsidRPr="000B4E2C">
              <w:rPr>
                <w:sz w:val="22"/>
                <w:lang w:eastAsia="en-GB"/>
              </w:rPr>
              <w:t>BioPorto)</w:t>
            </w:r>
          </w:p>
        </w:tc>
        <w:tc>
          <w:tcPr>
            <w:tcW w:w="0" w:type="auto"/>
            <w:shd w:val="clear" w:color="auto" w:fill="auto"/>
          </w:tcPr>
          <w:p w14:paraId="0E266A27" w14:textId="77777777" w:rsidR="0070005A" w:rsidRPr="000B4E2C" w:rsidRDefault="0070005A" w:rsidP="004871B7">
            <w:pPr>
              <w:rPr>
                <w:sz w:val="22"/>
                <w:lang w:eastAsia="en-GB"/>
              </w:rPr>
            </w:pPr>
            <w:r w:rsidRPr="000B4E2C">
              <w:rPr>
                <w:sz w:val="22"/>
                <w:lang w:eastAsia="en-GB"/>
              </w:rPr>
              <w:t>£23,049</w:t>
            </w:r>
          </w:p>
        </w:tc>
        <w:tc>
          <w:tcPr>
            <w:tcW w:w="0" w:type="auto"/>
            <w:shd w:val="clear" w:color="auto" w:fill="auto"/>
          </w:tcPr>
          <w:p w14:paraId="72C3010E"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3E0C5A57" w14:textId="77777777" w:rsidR="0070005A" w:rsidRPr="000B4E2C" w:rsidRDefault="0070005A" w:rsidP="004871B7">
            <w:pPr>
              <w:rPr>
                <w:sz w:val="22"/>
                <w:lang w:eastAsia="en-GB"/>
              </w:rPr>
            </w:pPr>
            <w:r w:rsidRPr="000B4E2C">
              <w:rPr>
                <w:sz w:val="22"/>
                <w:lang w:eastAsia="en-GB"/>
              </w:rPr>
              <w:t>6.07290</w:t>
            </w:r>
          </w:p>
        </w:tc>
        <w:tc>
          <w:tcPr>
            <w:tcW w:w="0" w:type="auto"/>
            <w:shd w:val="clear" w:color="auto" w:fill="auto"/>
          </w:tcPr>
          <w:p w14:paraId="7AF296F1"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47958580"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4E2F5358" w14:textId="77777777" w:rsidR="0070005A" w:rsidRPr="000B4E2C" w:rsidRDefault="0070005A" w:rsidP="004871B7">
            <w:pPr>
              <w:rPr>
                <w:sz w:val="22"/>
                <w:lang w:eastAsia="en-GB"/>
              </w:rPr>
            </w:pPr>
            <w:r w:rsidRPr="000B4E2C">
              <w:rPr>
                <w:sz w:val="22"/>
                <w:lang w:eastAsia="en-GB"/>
              </w:rPr>
              <w:t>£539,041</w:t>
            </w:r>
          </w:p>
        </w:tc>
        <w:tc>
          <w:tcPr>
            <w:tcW w:w="0" w:type="auto"/>
            <w:shd w:val="clear" w:color="auto" w:fill="auto"/>
          </w:tcPr>
          <w:p w14:paraId="089D3AA1" w14:textId="77777777" w:rsidR="0070005A" w:rsidRPr="000B4E2C" w:rsidRDefault="0070005A" w:rsidP="004871B7">
            <w:pPr>
              <w:rPr>
                <w:sz w:val="22"/>
                <w:lang w:eastAsia="en-GB"/>
              </w:rPr>
            </w:pPr>
            <w:r w:rsidRPr="000B4E2C">
              <w:rPr>
                <w:sz w:val="22"/>
                <w:lang w:eastAsia="en-GB"/>
              </w:rPr>
              <w:t>5.3%</w:t>
            </w:r>
          </w:p>
        </w:tc>
        <w:tc>
          <w:tcPr>
            <w:tcW w:w="0" w:type="auto"/>
            <w:shd w:val="clear" w:color="auto" w:fill="auto"/>
          </w:tcPr>
          <w:p w14:paraId="12DED5EF" w14:textId="77777777" w:rsidR="0070005A" w:rsidRPr="000B4E2C" w:rsidRDefault="0070005A" w:rsidP="004871B7">
            <w:pPr>
              <w:rPr>
                <w:sz w:val="22"/>
                <w:lang w:eastAsia="en-GB"/>
              </w:rPr>
            </w:pPr>
            <w:r w:rsidRPr="000B4E2C">
              <w:rPr>
                <w:sz w:val="22"/>
                <w:lang w:eastAsia="en-GB"/>
              </w:rPr>
              <w:t>11.0%</w:t>
            </w:r>
          </w:p>
        </w:tc>
      </w:tr>
      <w:tr w:rsidR="000B4E2C" w:rsidRPr="000B4E2C" w14:paraId="1CC1A137" w14:textId="77777777" w:rsidTr="000B4E2C">
        <w:trPr>
          <w:cantSplit/>
        </w:trPr>
        <w:tc>
          <w:tcPr>
            <w:tcW w:w="0" w:type="auto"/>
            <w:shd w:val="clear" w:color="auto" w:fill="auto"/>
          </w:tcPr>
          <w:p w14:paraId="6E0AF234" w14:textId="4B050634" w:rsidR="0070005A" w:rsidRPr="000B4E2C" w:rsidRDefault="0070005A" w:rsidP="004871B7">
            <w:pPr>
              <w:rPr>
                <w:sz w:val="22"/>
                <w:lang w:eastAsia="en-GB"/>
              </w:rPr>
            </w:pPr>
            <w:r w:rsidRPr="000B4E2C">
              <w:rPr>
                <w:sz w:val="22"/>
                <w:lang w:eastAsia="en-GB"/>
              </w:rPr>
              <w:lastRenderedPageBreak/>
              <w:t>Test 2 (NGAL plasma</w:t>
            </w:r>
            <w:r w:rsidR="000B4E2C" w:rsidRPr="000B4E2C">
              <w:rPr>
                <w:color w:val="00B0F0"/>
                <w:sz w:val="22"/>
                <w:lang w:eastAsia="en-GB"/>
              </w:rPr>
              <w:t xml:space="preserve"> – </w:t>
            </w:r>
            <w:r w:rsidRPr="000B4E2C">
              <w:rPr>
                <w:sz w:val="22"/>
                <w:lang w:eastAsia="en-GB"/>
              </w:rPr>
              <w:t>BioPorto)</w:t>
            </w:r>
          </w:p>
        </w:tc>
        <w:tc>
          <w:tcPr>
            <w:tcW w:w="0" w:type="auto"/>
            <w:shd w:val="clear" w:color="auto" w:fill="auto"/>
          </w:tcPr>
          <w:p w14:paraId="34FAA609" w14:textId="77777777" w:rsidR="0070005A" w:rsidRPr="000B4E2C" w:rsidRDefault="0070005A" w:rsidP="004871B7">
            <w:pPr>
              <w:rPr>
                <w:sz w:val="22"/>
                <w:lang w:eastAsia="en-GB"/>
              </w:rPr>
            </w:pPr>
            <w:r w:rsidRPr="000B4E2C">
              <w:rPr>
                <w:sz w:val="22"/>
                <w:lang w:eastAsia="en-GB"/>
              </w:rPr>
              <w:t>£23,064</w:t>
            </w:r>
          </w:p>
        </w:tc>
        <w:tc>
          <w:tcPr>
            <w:tcW w:w="0" w:type="auto"/>
            <w:shd w:val="clear" w:color="auto" w:fill="auto"/>
          </w:tcPr>
          <w:p w14:paraId="0EC0658A"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06041071" w14:textId="77777777" w:rsidR="0070005A" w:rsidRPr="000B4E2C" w:rsidRDefault="0070005A" w:rsidP="004871B7">
            <w:pPr>
              <w:rPr>
                <w:sz w:val="22"/>
                <w:lang w:eastAsia="en-GB"/>
              </w:rPr>
            </w:pPr>
            <w:r w:rsidRPr="000B4E2C">
              <w:rPr>
                <w:sz w:val="22"/>
                <w:lang w:eastAsia="en-GB"/>
              </w:rPr>
              <w:t>6.07290</w:t>
            </w:r>
          </w:p>
        </w:tc>
        <w:tc>
          <w:tcPr>
            <w:tcW w:w="0" w:type="auto"/>
            <w:shd w:val="clear" w:color="auto" w:fill="auto"/>
          </w:tcPr>
          <w:p w14:paraId="64F76018"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012E5688"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69BA62C4" w14:textId="77777777" w:rsidR="0070005A" w:rsidRPr="000B4E2C" w:rsidRDefault="0070005A" w:rsidP="004871B7">
            <w:pPr>
              <w:rPr>
                <w:sz w:val="22"/>
                <w:lang w:eastAsia="en-GB"/>
              </w:rPr>
            </w:pPr>
            <w:r w:rsidRPr="000B4E2C">
              <w:rPr>
                <w:sz w:val="22"/>
                <w:lang w:eastAsia="en-GB"/>
              </w:rPr>
              <w:t>£633,846</w:t>
            </w:r>
          </w:p>
        </w:tc>
        <w:tc>
          <w:tcPr>
            <w:tcW w:w="0" w:type="auto"/>
            <w:shd w:val="clear" w:color="auto" w:fill="auto"/>
          </w:tcPr>
          <w:p w14:paraId="2E6BDE5C" w14:textId="77777777" w:rsidR="0070005A" w:rsidRPr="000B4E2C" w:rsidRDefault="0070005A" w:rsidP="004871B7">
            <w:pPr>
              <w:rPr>
                <w:sz w:val="22"/>
                <w:lang w:eastAsia="en-GB"/>
              </w:rPr>
            </w:pPr>
            <w:r w:rsidRPr="000B4E2C">
              <w:rPr>
                <w:sz w:val="22"/>
                <w:lang w:eastAsia="en-GB"/>
              </w:rPr>
              <w:t>0.3%</w:t>
            </w:r>
          </w:p>
        </w:tc>
        <w:tc>
          <w:tcPr>
            <w:tcW w:w="0" w:type="auto"/>
            <w:shd w:val="clear" w:color="auto" w:fill="auto"/>
          </w:tcPr>
          <w:p w14:paraId="7B3E369A" w14:textId="77777777" w:rsidR="0070005A" w:rsidRPr="000B4E2C" w:rsidRDefault="0070005A" w:rsidP="004871B7">
            <w:pPr>
              <w:rPr>
                <w:sz w:val="22"/>
                <w:lang w:eastAsia="en-GB"/>
              </w:rPr>
            </w:pPr>
            <w:r w:rsidRPr="000B4E2C">
              <w:rPr>
                <w:sz w:val="22"/>
                <w:lang w:eastAsia="en-GB"/>
              </w:rPr>
              <w:t>7.3%</w:t>
            </w:r>
          </w:p>
        </w:tc>
      </w:tr>
      <w:tr w:rsidR="000B4E2C" w:rsidRPr="000B4E2C" w14:paraId="7D46A782" w14:textId="77777777" w:rsidTr="000B4E2C">
        <w:trPr>
          <w:cantSplit/>
        </w:trPr>
        <w:tc>
          <w:tcPr>
            <w:tcW w:w="0" w:type="auto"/>
            <w:shd w:val="clear" w:color="auto" w:fill="auto"/>
          </w:tcPr>
          <w:p w14:paraId="4B528AC7" w14:textId="17E1A74C" w:rsidR="0070005A" w:rsidRPr="000B4E2C" w:rsidRDefault="0070005A" w:rsidP="004871B7">
            <w:pPr>
              <w:rPr>
                <w:sz w:val="22"/>
                <w:lang w:eastAsia="en-GB"/>
              </w:rPr>
            </w:pPr>
            <w:r w:rsidRPr="000B4E2C">
              <w:rPr>
                <w:sz w:val="22"/>
                <w:lang w:eastAsia="en-GB"/>
              </w:rPr>
              <w:t>Test 4 (NGAL urine</w:t>
            </w:r>
            <w:r w:rsidR="000B4E2C" w:rsidRPr="000B4E2C">
              <w:rPr>
                <w:color w:val="00B0F0"/>
                <w:sz w:val="22"/>
                <w:lang w:eastAsia="en-GB"/>
              </w:rPr>
              <w:t xml:space="preserve"> – </w:t>
            </w:r>
            <w:r w:rsidRPr="000B4E2C">
              <w:rPr>
                <w:sz w:val="22"/>
                <w:lang w:eastAsia="en-GB"/>
              </w:rPr>
              <w:t>ARCHITECT)</w:t>
            </w:r>
          </w:p>
        </w:tc>
        <w:tc>
          <w:tcPr>
            <w:tcW w:w="0" w:type="auto"/>
            <w:shd w:val="clear" w:color="auto" w:fill="auto"/>
          </w:tcPr>
          <w:p w14:paraId="38A2DF4B" w14:textId="77777777" w:rsidR="0070005A" w:rsidRPr="000B4E2C" w:rsidRDefault="0070005A" w:rsidP="004871B7">
            <w:pPr>
              <w:rPr>
                <w:sz w:val="22"/>
                <w:lang w:eastAsia="en-GB"/>
              </w:rPr>
            </w:pPr>
            <w:r w:rsidRPr="000B4E2C">
              <w:rPr>
                <w:sz w:val="22"/>
                <w:lang w:eastAsia="en-GB"/>
              </w:rPr>
              <w:t>£23,065</w:t>
            </w:r>
          </w:p>
        </w:tc>
        <w:tc>
          <w:tcPr>
            <w:tcW w:w="0" w:type="auto"/>
            <w:shd w:val="clear" w:color="auto" w:fill="auto"/>
          </w:tcPr>
          <w:p w14:paraId="5B5D0268"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1A323889" w14:textId="77777777" w:rsidR="0070005A" w:rsidRPr="000B4E2C" w:rsidRDefault="0070005A" w:rsidP="004871B7">
            <w:pPr>
              <w:rPr>
                <w:sz w:val="22"/>
                <w:lang w:eastAsia="en-GB"/>
              </w:rPr>
            </w:pPr>
            <w:r w:rsidRPr="000B4E2C">
              <w:rPr>
                <w:sz w:val="22"/>
                <w:lang w:eastAsia="en-GB"/>
              </w:rPr>
              <w:t>6.07289</w:t>
            </w:r>
          </w:p>
        </w:tc>
        <w:tc>
          <w:tcPr>
            <w:tcW w:w="0" w:type="auto"/>
            <w:shd w:val="clear" w:color="auto" w:fill="auto"/>
          </w:tcPr>
          <w:p w14:paraId="13AF90B3"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514EEDF4" w14:textId="77777777" w:rsidR="0070005A" w:rsidRPr="000B4E2C" w:rsidRDefault="0070005A" w:rsidP="004871B7">
            <w:pPr>
              <w:rPr>
                <w:sz w:val="22"/>
                <w:lang w:eastAsia="en-GB"/>
              </w:rPr>
            </w:pPr>
            <w:r w:rsidRPr="000B4E2C">
              <w:rPr>
                <w:sz w:val="22"/>
                <w:lang w:eastAsia="en-GB"/>
              </w:rPr>
              <w:t>Dominated</w:t>
            </w:r>
          </w:p>
        </w:tc>
        <w:tc>
          <w:tcPr>
            <w:tcW w:w="0" w:type="auto"/>
            <w:shd w:val="clear" w:color="auto" w:fill="auto"/>
          </w:tcPr>
          <w:p w14:paraId="5C0B9C0E" w14:textId="77777777" w:rsidR="0070005A" w:rsidRPr="000B4E2C" w:rsidRDefault="0070005A" w:rsidP="004871B7">
            <w:pPr>
              <w:rPr>
                <w:sz w:val="22"/>
                <w:lang w:eastAsia="en-GB"/>
              </w:rPr>
            </w:pPr>
            <w:r w:rsidRPr="000B4E2C">
              <w:rPr>
                <w:sz w:val="22"/>
                <w:lang w:eastAsia="en-GB"/>
              </w:rPr>
              <w:t>£725,061</w:t>
            </w:r>
          </w:p>
        </w:tc>
        <w:tc>
          <w:tcPr>
            <w:tcW w:w="0" w:type="auto"/>
            <w:shd w:val="clear" w:color="auto" w:fill="auto"/>
          </w:tcPr>
          <w:p w14:paraId="446EACF0" w14:textId="77777777" w:rsidR="0070005A" w:rsidRPr="000B4E2C" w:rsidRDefault="0070005A" w:rsidP="004871B7">
            <w:pPr>
              <w:rPr>
                <w:sz w:val="22"/>
                <w:lang w:eastAsia="en-GB"/>
              </w:rPr>
            </w:pPr>
            <w:r w:rsidRPr="000B4E2C">
              <w:rPr>
                <w:sz w:val="22"/>
                <w:lang w:eastAsia="en-GB"/>
              </w:rPr>
              <w:t>0.0%</w:t>
            </w:r>
          </w:p>
        </w:tc>
        <w:tc>
          <w:tcPr>
            <w:tcW w:w="0" w:type="auto"/>
            <w:shd w:val="clear" w:color="auto" w:fill="auto"/>
          </w:tcPr>
          <w:p w14:paraId="64ED4395" w14:textId="77777777" w:rsidR="0070005A" w:rsidRPr="000B4E2C" w:rsidRDefault="0070005A" w:rsidP="004871B7">
            <w:pPr>
              <w:rPr>
                <w:sz w:val="22"/>
                <w:lang w:eastAsia="en-GB"/>
              </w:rPr>
            </w:pPr>
            <w:r w:rsidRPr="000B4E2C">
              <w:rPr>
                <w:sz w:val="22"/>
                <w:lang w:eastAsia="en-GB"/>
              </w:rPr>
              <w:t>6.3%</w:t>
            </w:r>
          </w:p>
        </w:tc>
      </w:tr>
      <w:tr w:rsidR="0070005A" w:rsidRPr="000B4E2C" w14:paraId="6432BB43" w14:textId="77777777" w:rsidTr="000B4E2C">
        <w:trPr>
          <w:cantSplit/>
        </w:trPr>
        <w:tc>
          <w:tcPr>
            <w:tcW w:w="0" w:type="auto"/>
            <w:gridSpan w:val="9"/>
            <w:shd w:val="clear" w:color="auto" w:fill="auto"/>
            <w:noWrap/>
            <w:hideMark/>
          </w:tcPr>
          <w:p w14:paraId="1A951426" w14:textId="77777777" w:rsidR="0070005A" w:rsidRPr="000B4E2C" w:rsidRDefault="0070005A" w:rsidP="004871B7">
            <w:pPr>
              <w:rPr>
                <w:b/>
                <w:bCs/>
                <w:sz w:val="22"/>
              </w:rPr>
            </w:pPr>
            <w:r w:rsidRPr="000B4E2C">
              <w:rPr>
                <w:b/>
                <w:bCs/>
                <w:sz w:val="22"/>
              </w:rPr>
              <w:t>2R. Alternative test costs for NephroCheck and NGAL (BioPorto)</w:t>
            </w:r>
          </w:p>
        </w:tc>
      </w:tr>
      <w:tr w:rsidR="000B4E2C" w:rsidRPr="000B4E2C" w14:paraId="46FD82D7" w14:textId="77777777" w:rsidTr="000B4E2C">
        <w:trPr>
          <w:cantSplit/>
        </w:trPr>
        <w:tc>
          <w:tcPr>
            <w:tcW w:w="0" w:type="auto"/>
            <w:shd w:val="clear" w:color="auto" w:fill="auto"/>
            <w:noWrap/>
            <w:hideMark/>
          </w:tcPr>
          <w:p w14:paraId="0946E1CB" w14:textId="77777777" w:rsidR="0070005A" w:rsidRPr="000B4E2C" w:rsidRDefault="0070005A" w:rsidP="004871B7">
            <w:pPr>
              <w:rPr>
                <w:sz w:val="22"/>
              </w:rPr>
            </w:pPr>
            <w:r w:rsidRPr="000B4E2C">
              <w:rPr>
                <w:sz w:val="22"/>
              </w:rPr>
              <w:t>Standard care (Scr)</w:t>
            </w:r>
          </w:p>
        </w:tc>
        <w:tc>
          <w:tcPr>
            <w:tcW w:w="0" w:type="auto"/>
            <w:shd w:val="clear" w:color="auto" w:fill="auto"/>
            <w:noWrap/>
            <w:hideMark/>
          </w:tcPr>
          <w:p w14:paraId="7F50E429" w14:textId="77777777" w:rsidR="0070005A" w:rsidRPr="000B4E2C" w:rsidRDefault="0070005A" w:rsidP="004871B7">
            <w:pPr>
              <w:rPr>
                <w:sz w:val="22"/>
              </w:rPr>
            </w:pPr>
            <w:r w:rsidRPr="000B4E2C">
              <w:rPr>
                <w:sz w:val="22"/>
              </w:rPr>
              <w:t>£22,865</w:t>
            </w:r>
          </w:p>
        </w:tc>
        <w:tc>
          <w:tcPr>
            <w:tcW w:w="0" w:type="auto"/>
            <w:shd w:val="clear" w:color="auto" w:fill="auto"/>
            <w:noWrap/>
            <w:hideMark/>
          </w:tcPr>
          <w:p w14:paraId="5D4DFAAB" w14:textId="77777777" w:rsidR="0070005A" w:rsidRPr="000B4E2C" w:rsidRDefault="0070005A" w:rsidP="004871B7">
            <w:pPr>
              <w:rPr>
                <w:sz w:val="22"/>
              </w:rPr>
            </w:pPr>
            <w:r w:rsidRPr="000B4E2C">
              <w:rPr>
                <w:sz w:val="22"/>
              </w:rPr>
              <w:t>--</w:t>
            </w:r>
          </w:p>
        </w:tc>
        <w:tc>
          <w:tcPr>
            <w:tcW w:w="0" w:type="auto"/>
            <w:shd w:val="clear" w:color="auto" w:fill="auto"/>
            <w:noWrap/>
            <w:hideMark/>
          </w:tcPr>
          <w:p w14:paraId="1396630B" w14:textId="77777777" w:rsidR="0070005A" w:rsidRPr="000B4E2C" w:rsidRDefault="0070005A" w:rsidP="004871B7">
            <w:pPr>
              <w:rPr>
                <w:sz w:val="22"/>
              </w:rPr>
            </w:pPr>
            <w:r w:rsidRPr="000B4E2C">
              <w:rPr>
                <w:sz w:val="22"/>
              </w:rPr>
              <w:t>6.07020</w:t>
            </w:r>
          </w:p>
        </w:tc>
        <w:tc>
          <w:tcPr>
            <w:tcW w:w="0" w:type="auto"/>
            <w:shd w:val="clear" w:color="auto" w:fill="auto"/>
            <w:noWrap/>
            <w:hideMark/>
          </w:tcPr>
          <w:p w14:paraId="0B624636" w14:textId="77777777" w:rsidR="0070005A" w:rsidRPr="000B4E2C" w:rsidRDefault="0070005A" w:rsidP="004871B7">
            <w:pPr>
              <w:rPr>
                <w:sz w:val="22"/>
              </w:rPr>
            </w:pPr>
            <w:r w:rsidRPr="000B4E2C">
              <w:rPr>
                <w:sz w:val="22"/>
              </w:rPr>
              <w:t>--</w:t>
            </w:r>
          </w:p>
        </w:tc>
        <w:tc>
          <w:tcPr>
            <w:tcW w:w="0" w:type="auto"/>
            <w:shd w:val="clear" w:color="auto" w:fill="auto"/>
            <w:noWrap/>
            <w:hideMark/>
          </w:tcPr>
          <w:p w14:paraId="542C3558" w14:textId="77777777" w:rsidR="0070005A" w:rsidRPr="000B4E2C" w:rsidRDefault="0070005A" w:rsidP="004871B7">
            <w:pPr>
              <w:rPr>
                <w:sz w:val="22"/>
              </w:rPr>
            </w:pPr>
            <w:r w:rsidRPr="000B4E2C">
              <w:rPr>
                <w:sz w:val="22"/>
              </w:rPr>
              <w:t>--</w:t>
            </w:r>
          </w:p>
        </w:tc>
        <w:tc>
          <w:tcPr>
            <w:tcW w:w="0" w:type="auto"/>
            <w:shd w:val="clear" w:color="auto" w:fill="auto"/>
            <w:noWrap/>
            <w:hideMark/>
          </w:tcPr>
          <w:p w14:paraId="3F0765DB" w14:textId="77777777" w:rsidR="0070005A" w:rsidRPr="000B4E2C" w:rsidRDefault="0070005A" w:rsidP="004871B7">
            <w:pPr>
              <w:rPr>
                <w:sz w:val="22"/>
              </w:rPr>
            </w:pPr>
            <w:r w:rsidRPr="000B4E2C">
              <w:rPr>
                <w:sz w:val="22"/>
              </w:rPr>
              <w:t>--</w:t>
            </w:r>
          </w:p>
        </w:tc>
        <w:tc>
          <w:tcPr>
            <w:tcW w:w="0" w:type="auto"/>
            <w:shd w:val="clear" w:color="auto" w:fill="auto"/>
            <w:noWrap/>
            <w:hideMark/>
          </w:tcPr>
          <w:p w14:paraId="19DB6A30" w14:textId="77777777" w:rsidR="0070005A" w:rsidRPr="000B4E2C" w:rsidRDefault="0070005A" w:rsidP="004871B7">
            <w:pPr>
              <w:rPr>
                <w:sz w:val="22"/>
              </w:rPr>
            </w:pPr>
            <w:r w:rsidRPr="000B4E2C">
              <w:rPr>
                <w:sz w:val="22"/>
              </w:rPr>
              <w:t>65.0%</w:t>
            </w:r>
          </w:p>
        </w:tc>
        <w:tc>
          <w:tcPr>
            <w:tcW w:w="0" w:type="auto"/>
            <w:shd w:val="clear" w:color="auto" w:fill="auto"/>
            <w:noWrap/>
            <w:hideMark/>
          </w:tcPr>
          <w:p w14:paraId="11856EEF" w14:textId="77777777" w:rsidR="0070005A" w:rsidRPr="000B4E2C" w:rsidRDefault="0070005A" w:rsidP="004871B7">
            <w:pPr>
              <w:rPr>
                <w:sz w:val="22"/>
              </w:rPr>
            </w:pPr>
            <w:r w:rsidRPr="000B4E2C">
              <w:rPr>
                <w:sz w:val="22"/>
              </w:rPr>
              <w:t>--</w:t>
            </w:r>
          </w:p>
        </w:tc>
      </w:tr>
      <w:tr w:rsidR="000B4E2C" w:rsidRPr="000B4E2C" w14:paraId="33472E1F" w14:textId="77777777" w:rsidTr="000B4E2C">
        <w:trPr>
          <w:cantSplit/>
        </w:trPr>
        <w:tc>
          <w:tcPr>
            <w:tcW w:w="0" w:type="auto"/>
            <w:shd w:val="clear" w:color="auto" w:fill="auto"/>
            <w:noWrap/>
            <w:hideMark/>
          </w:tcPr>
          <w:p w14:paraId="06915EE8" w14:textId="77777777" w:rsidR="0070005A" w:rsidRPr="000B4E2C" w:rsidRDefault="0070005A" w:rsidP="004871B7">
            <w:pPr>
              <w:rPr>
                <w:sz w:val="22"/>
              </w:rPr>
            </w:pPr>
            <w:r w:rsidRPr="000B4E2C">
              <w:rPr>
                <w:sz w:val="22"/>
              </w:rPr>
              <w:t>Test 1 (NephroCheck)</w:t>
            </w:r>
          </w:p>
        </w:tc>
        <w:tc>
          <w:tcPr>
            <w:tcW w:w="0" w:type="auto"/>
            <w:shd w:val="clear" w:color="auto" w:fill="auto"/>
            <w:noWrap/>
            <w:hideMark/>
          </w:tcPr>
          <w:p w14:paraId="11F293DF" w14:textId="77777777" w:rsidR="0070005A" w:rsidRPr="000B4E2C" w:rsidRDefault="0070005A" w:rsidP="004871B7">
            <w:pPr>
              <w:rPr>
                <w:sz w:val="22"/>
              </w:rPr>
            </w:pPr>
            <w:r w:rsidRPr="000B4E2C">
              <w:rPr>
                <w:sz w:val="22"/>
              </w:rPr>
              <w:t>£22,899</w:t>
            </w:r>
          </w:p>
        </w:tc>
        <w:tc>
          <w:tcPr>
            <w:tcW w:w="0" w:type="auto"/>
            <w:shd w:val="clear" w:color="auto" w:fill="auto"/>
            <w:noWrap/>
            <w:hideMark/>
          </w:tcPr>
          <w:p w14:paraId="221F7E39" w14:textId="77777777" w:rsidR="0070005A" w:rsidRPr="000B4E2C" w:rsidRDefault="0070005A" w:rsidP="004871B7">
            <w:pPr>
              <w:rPr>
                <w:sz w:val="22"/>
              </w:rPr>
            </w:pPr>
            <w:r w:rsidRPr="000B4E2C">
              <w:rPr>
                <w:sz w:val="22"/>
              </w:rPr>
              <w:t>£34</w:t>
            </w:r>
          </w:p>
        </w:tc>
        <w:tc>
          <w:tcPr>
            <w:tcW w:w="0" w:type="auto"/>
            <w:shd w:val="clear" w:color="auto" w:fill="auto"/>
            <w:noWrap/>
            <w:hideMark/>
          </w:tcPr>
          <w:p w14:paraId="2D3A0AA1" w14:textId="77777777" w:rsidR="0070005A" w:rsidRPr="000B4E2C" w:rsidRDefault="0070005A" w:rsidP="004871B7">
            <w:pPr>
              <w:rPr>
                <w:sz w:val="22"/>
              </w:rPr>
            </w:pPr>
            <w:r w:rsidRPr="000B4E2C">
              <w:rPr>
                <w:sz w:val="22"/>
              </w:rPr>
              <w:t>6.07055</w:t>
            </w:r>
          </w:p>
        </w:tc>
        <w:tc>
          <w:tcPr>
            <w:tcW w:w="0" w:type="auto"/>
            <w:shd w:val="clear" w:color="auto" w:fill="auto"/>
            <w:noWrap/>
            <w:hideMark/>
          </w:tcPr>
          <w:p w14:paraId="26B685A0" w14:textId="77777777" w:rsidR="0070005A" w:rsidRPr="000B4E2C" w:rsidRDefault="0070005A" w:rsidP="004871B7">
            <w:pPr>
              <w:rPr>
                <w:sz w:val="22"/>
              </w:rPr>
            </w:pPr>
            <w:r w:rsidRPr="000B4E2C">
              <w:rPr>
                <w:sz w:val="22"/>
              </w:rPr>
              <w:t>0.00035</w:t>
            </w:r>
          </w:p>
        </w:tc>
        <w:tc>
          <w:tcPr>
            <w:tcW w:w="0" w:type="auto"/>
            <w:shd w:val="clear" w:color="auto" w:fill="auto"/>
            <w:noWrap/>
            <w:hideMark/>
          </w:tcPr>
          <w:p w14:paraId="43311B60" w14:textId="77777777" w:rsidR="0070005A" w:rsidRPr="000B4E2C" w:rsidRDefault="0070005A" w:rsidP="004871B7">
            <w:pPr>
              <w:rPr>
                <w:sz w:val="22"/>
              </w:rPr>
            </w:pPr>
            <w:r w:rsidRPr="000B4E2C">
              <w:rPr>
                <w:sz w:val="22"/>
              </w:rPr>
              <w:t>£97,745</w:t>
            </w:r>
          </w:p>
        </w:tc>
        <w:tc>
          <w:tcPr>
            <w:tcW w:w="0" w:type="auto"/>
            <w:shd w:val="clear" w:color="auto" w:fill="auto"/>
            <w:noWrap/>
            <w:hideMark/>
          </w:tcPr>
          <w:p w14:paraId="4DF3F9F5" w14:textId="77777777" w:rsidR="0070005A" w:rsidRPr="000B4E2C" w:rsidRDefault="0070005A" w:rsidP="004871B7">
            <w:pPr>
              <w:rPr>
                <w:sz w:val="22"/>
              </w:rPr>
            </w:pPr>
            <w:r w:rsidRPr="000B4E2C">
              <w:rPr>
                <w:sz w:val="22"/>
              </w:rPr>
              <w:t>£97,771</w:t>
            </w:r>
          </w:p>
        </w:tc>
        <w:tc>
          <w:tcPr>
            <w:tcW w:w="0" w:type="auto"/>
            <w:shd w:val="clear" w:color="auto" w:fill="auto"/>
            <w:noWrap/>
            <w:hideMark/>
          </w:tcPr>
          <w:p w14:paraId="23C8FBCE" w14:textId="77777777" w:rsidR="0070005A" w:rsidRPr="000B4E2C" w:rsidRDefault="0070005A" w:rsidP="004871B7">
            <w:pPr>
              <w:rPr>
                <w:sz w:val="22"/>
              </w:rPr>
            </w:pPr>
            <w:r w:rsidRPr="000B4E2C">
              <w:rPr>
                <w:sz w:val="22"/>
              </w:rPr>
              <w:t>31.2%</w:t>
            </w:r>
          </w:p>
        </w:tc>
        <w:tc>
          <w:tcPr>
            <w:tcW w:w="0" w:type="auto"/>
            <w:shd w:val="clear" w:color="auto" w:fill="auto"/>
            <w:noWrap/>
            <w:hideMark/>
          </w:tcPr>
          <w:p w14:paraId="7070D278" w14:textId="77777777" w:rsidR="0070005A" w:rsidRPr="000B4E2C" w:rsidRDefault="0070005A" w:rsidP="004871B7">
            <w:pPr>
              <w:rPr>
                <w:sz w:val="22"/>
              </w:rPr>
            </w:pPr>
            <w:r w:rsidRPr="000B4E2C">
              <w:rPr>
                <w:sz w:val="22"/>
              </w:rPr>
              <w:t>33.0%</w:t>
            </w:r>
          </w:p>
        </w:tc>
      </w:tr>
      <w:tr w:rsidR="000B4E2C" w:rsidRPr="000B4E2C" w14:paraId="11B97E0C" w14:textId="77777777" w:rsidTr="000B4E2C">
        <w:trPr>
          <w:cantSplit/>
        </w:trPr>
        <w:tc>
          <w:tcPr>
            <w:tcW w:w="0" w:type="auto"/>
            <w:shd w:val="clear" w:color="auto" w:fill="auto"/>
            <w:noWrap/>
            <w:hideMark/>
          </w:tcPr>
          <w:p w14:paraId="4CC11DB9" w14:textId="7BCDA854" w:rsidR="0070005A" w:rsidRPr="000B4E2C" w:rsidRDefault="0070005A" w:rsidP="004871B7">
            <w:pPr>
              <w:rPr>
                <w:sz w:val="22"/>
              </w:rPr>
            </w:pPr>
            <w:r w:rsidRPr="000B4E2C">
              <w:rPr>
                <w:sz w:val="22"/>
              </w:rPr>
              <w:t>Test 3 (NGAL urine</w:t>
            </w:r>
            <w:r w:rsidR="000B4E2C" w:rsidRPr="000B4E2C">
              <w:rPr>
                <w:color w:val="00B0F0"/>
                <w:sz w:val="22"/>
              </w:rPr>
              <w:t xml:space="preserve"> – </w:t>
            </w:r>
            <w:r w:rsidRPr="000B4E2C">
              <w:rPr>
                <w:sz w:val="22"/>
              </w:rPr>
              <w:t>BioPorto)</w:t>
            </w:r>
          </w:p>
        </w:tc>
        <w:tc>
          <w:tcPr>
            <w:tcW w:w="0" w:type="auto"/>
            <w:shd w:val="clear" w:color="auto" w:fill="auto"/>
            <w:noWrap/>
            <w:hideMark/>
          </w:tcPr>
          <w:p w14:paraId="279E2078" w14:textId="77777777" w:rsidR="0070005A" w:rsidRPr="000B4E2C" w:rsidRDefault="0070005A" w:rsidP="004871B7">
            <w:pPr>
              <w:rPr>
                <w:sz w:val="22"/>
              </w:rPr>
            </w:pPr>
            <w:r w:rsidRPr="000B4E2C">
              <w:rPr>
                <w:sz w:val="22"/>
              </w:rPr>
              <w:t>£22,937</w:t>
            </w:r>
          </w:p>
        </w:tc>
        <w:tc>
          <w:tcPr>
            <w:tcW w:w="0" w:type="auto"/>
            <w:shd w:val="clear" w:color="auto" w:fill="auto"/>
            <w:noWrap/>
            <w:hideMark/>
          </w:tcPr>
          <w:p w14:paraId="78506266" w14:textId="77777777" w:rsidR="0070005A" w:rsidRPr="000B4E2C" w:rsidRDefault="0070005A" w:rsidP="004871B7">
            <w:pPr>
              <w:rPr>
                <w:sz w:val="22"/>
              </w:rPr>
            </w:pPr>
            <w:r w:rsidRPr="000B4E2C">
              <w:rPr>
                <w:sz w:val="22"/>
              </w:rPr>
              <w:t xml:space="preserve">Dominated </w:t>
            </w:r>
          </w:p>
        </w:tc>
        <w:tc>
          <w:tcPr>
            <w:tcW w:w="0" w:type="auto"/>
            <w:shd w:val="clear" w:color="auto" w:fill="auto"/>
            <w:noWrap/>
            <w:hideMark/>
          </w:tcPr>
          <w:p w14:paraId="3EDBD5D8" w14:textId="77777777" w:rsidR="0070005A" w:rsidRPr="000B4E2C" w:rsidRDefault="0070005A" w:rsidP="004871B7">
            <w:pPr>
              <w:rPr>
                <w:sz w:val="22"/>
              </w:rPr>
            </w:pPr>
            <w:r w:rsidRPr="000B4E2C">
              <w:rPr>
                <w:sz w:val="22"/>
              </w:rPr>
              <w:t>6.07033</w:t>
            </w:r>
          </w:p>
        </w:tc>
        <w:tc>
          <w:tcPr>
            <w:tcW w:w="0" w:type="auto"/>
            <w:shd w:val="clear" w:color="auto" w:fill="auto"/>
            <w:noWrap/>
            <w:hideMark/>
          </w:tcPr>
          <w:p w14:paraId="12A7A3CD" w14:textId="77777777" w:rsidR="0070005A" w:rsidRPr="000B4E2C" w:rsidRDefault="0070005A" w:rsidP="004871B7">
            <w:pPr>
              <w:rPr>
                <w:sz w:val="22"/>
              </w:rPr>
            </w:pPr>
            <w:r w:rsidRPr="000B4E2C">
              <w:rPr>
                <w:sz w:val="22"/>
              </w:rPr>
              <w:t xml:space="preserve">Dominated </w:t>
            </w:r>
          </w:p>
        </w:tc>
        <w:tc>
          <w:tcPr>
            <w:tcW w:w="0" w:type="auto"/>
            <w:shd w:val="clear" w:color="auto" w:fill="auto"/>
            <w:noWrap/>
            <w:hideMark/>
          </w:tcPr>
          <w:p w14:paraId="4443AB44" w14:textId="77777777" w:rsidR="0070005A" w:rsidRPr="000B4E2C" w:rsidRDefault="0070005A" w:rsidP="004871B7">
            <w:pPr>
              <w:rPr>
                <w:sz w:val="22"/>
              </w:rPr>
            </w:pPr>
            <w:r w:rsidRPr="000B4E2C">
              <w:rPr>
                <w:sz w:val="22"/>
              </w:rPr>
              <w:t xml:space="preserve">Dominated </w:t>
            </w:r>
          </w:p>
        </w:tc>
        <w:tc>
          <w:tcPr>
            <w:tcW w:w="0" w:type="auto"/>
            <w:shd w:val="clear" w:color="auto" w:fill="auto"/>
            <w:noWrap/>
            <w:hideMark/>
          </w:tcPr>
          <w:p w14:paraId="730E2797" w14:textId="77777777" w:rsidR="0070005A" w:rsidRPr="000B4E2C" w:rsidRDefault="0070005A" w:rsidP="004871B7">
            <w:pPr>
              <w:rPr>
                <w:sz w:val="22"/>
              </w:rPr>
            </w:pPr>
            <w:r w:rsidRPr="000B4E2C">
              <w:rPr>
                <w:sz w:val="22"/>
              </w:rPr>
              <w:t>£581,613</w:t>
            </w:r>
          </w:p>
        </w:tc>
        <w:tc>
          <w:tcPr>
            <w:tcW w:w="0" w:type="auto"/>
            <w:shd w:val="clear" w:color="auto" w:fill="auto"/>
            <w:noWrap/>
            <w:hideMark/>
          </w:tcPr>
          <w:p w14:paraId="0111CE89" w14:textId="77777777" w:rsidR="0070005A" w:rsidRPr="000B4E2C" w:rsidRDefault="0070005A" w:rsidP="004871B7">
            <w:pPr>
              <w:rPr>
                <w:sz w:val="22"/>
              </w:rPr>
            </w:pPr>
            <w:r w:rsidRPr="000B4E2C">
              <w:rPr>
                <w:sz w:val="22"/>
              </w:rPr>
              <w:t>3.1%</w:t>
            </w:r>
          </w:p>
        </w:tc>
        <w:tc>
          <w:tcPr>
            <w:tcW w:w="0" w:type="auto"/>
            <w:shd w:val="clear" w:color="auto" w:fill="auto"/>
            <w:noWrap/>
            <w:hideMark/>
          </w:tcPr>
          <w:p w14:paraId="232D08DB" w14:textId="77777777" w:rsidR="0070005A" w:rsidRPr="000B4E2C" w:rsidRDefault="0070005A" w:rsidP="004871B7">
            <w:pPr>
              <w:rPr>
                <w:sz w:val="22"/>
              </w:rPr>
            </w:pPr>
            <w:r w:rsidRPr="000B4E2C">
              <w:rPr>
                <w:sz w:val="22"/>
              </w:rPr>
              <w:t>9.6%</w:t>
            </w:r>
          </w:p>
        </w:tc>
      </w:tr>
      <w:tr w:rsidR="000B4E2C" w:rsidRPr="000B4E2C" w14:paraId="0BFAB648" w14:textId="77777777" w:rsidTr="000B4E2C">
        <w:trPr>
          <w:cantSplit/>
        </w:trPr>
        <w:tc>
          <w:tcPr>
            <w:tcW w:w="0" w:type="auto"/>
            <w:shd w:val="clear" w:color="auto" w:fill="auto"/>
            <w:noWrap/>
            <w:hideMark/>
          </w:tcPr>
          <w:p w14:paraId="14255217" w14:textId="1F55E052" w:rsidR="0070005A" w:rsidRPr="000B4E2C" w:rsidRDefault="0070005A" w:rsidP="004871B7">
            <w:pPr>
              <w:rPr>
                <w:sz w:val="22"/>
              </w:rPr>
            </w:pPr>
            <w:r w:rsidRPr="000B4E2C">
              <w:rPr>
                <w:sz w:val="22"/>
              </w:rPr>
              <w:t>Test 4 (NGAL urine</w:t>
            </w:r>
            <w:r w:rsidR="000B4E2C" w:rsidRPr="000B4E2C">
              <w:rPr>
                <w:color w:val="00B0F0"/>
                <w:sz w:val="22"/>
              </w:rPr>
              <w:t xml:space="preserve"> – </w:t>
            </w:r>
            <w:r w:rsidRPr="000B4E2C">
              <w:rPr>
                <w:sz w:val="22"/>
              </w:rPr>
              <w:t>ARCHITECT)</w:t>
            </w:r>
          </w:p>
        </w:tc>
        <w:tc>
          <w:tcPr>
            <w:tcW w:w="0" w:type="auto"/>
            <w:shd w:val="clear" w:color="auto" w:fill="auto"/>
            <w:noWrap/>
            <w:hideMark/>
          </w:tcPr>
          <w:p w14:paraId="76CAEF44" w14:textId="77777777" w:rsidR="0070005A" w:rsidRPr="000B4E2C" w:rsidRDefault="0070005A" w:rsidP="004871B7">
            <w:pPr>
              <w:rPr>
                <w:sz w:val="22"/>
              </w:rPr>
            </w:pPr>
            <w:r w:rsidRPr="000B4E2C">
              <w:rPr>
                <w:sz w:val="22"/>
              </w:rPr>
              <w:t>£22,951</w:t>
            </w:r>
          </w:p>
        </w:tc>
        <w:tc>
          <w:tcPr>
            <w:tcW w:w="0" w:type="auto"/>
            <w:shd w:val="clear" w:color="auto" w:fill="auto"/>
            <w:noWrap/>
            <w:hideMark/>
          </w:tcPr>
          <w:p w14:paraId="624A0105"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4C16020B" w14:textId="77777777" w:rsidR="0070005A" w:rsidRPr="000B4E2C" w:rsidRDefault="0070005A" w:rsidP="004871B7">
            <w:pPr>
              <w:rPr>
                <w:sz w:val="22"/>
              </w:rPr>
            </w:pPr>
            <w:r w:rsidRPr="000B4E2C">
              <w:rPr>
                <w:sz w:val="22"/>
              </w:rPr>
              <w:t>6.07032</w:t>
            </w:r>
          </w:p>
        </w:tc>
        <w:tc>
          <w:tcPr>
            <w:tcW w:w="0" w:type="auto"/>
            <w:shd w:val="clear" w:color="auto" w:fill="auto"/>
            <w:noWrap/>
            <w:hideMark/>
          </w:tcPr>
          <w:p w14:paraId="0359490D"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13541E2A"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1D15EBB4" w14:textId="77777777" w:rsidR="0070005A" w:rsidRPr="000B4E2C" w:rsidRDefault="0070005A" w:rsidP="004871B7">
            <w:pPr>
              <w:rPr>
                <w:sz w:val="22"/>
              </w:rPr>
            </w:pPr>
            <w:r w:rsidRPr="000B4E2C">
              <w:rPr>
                <w:sz w:val="22"/>
              </w:rPr>
              <w:t>£751,404</w:t>
            </w:r>
          </w:p>
        </w:tc>
        <w:tc>
          <w:tcPr>
            <w:tcW w:w="0" w:type="auto"/>
            <w:shd w:val="clear" w:color="auto" w:fill="auto"/>
            <w:noWrap/>
            <w:hideMark/>
          </w:tcPr>
          <w:p w14:paraId="6D0025F0" w14:textId="77777777" w:rsidR="0070005A" w:rsidRPr="000B4E2C" w:rsidRDefault="0070005A" w:rsidP="004871B7">
            <w:pPr>
              <w:rPr>
                <w:sz w:val="22"/>
              </w:rPr>
            </w:pPr>
            <w:r w:rsidRPr="000B4E2C">
              <w:rPr>
                <w:sz w:val="22"/>
              </w:rPr>
              <w:t>0.0%</w:t>
            </w:r>
          </w:p>
        </w:tc>
        <w:tc>
          <w:tcPr>
            <w:tcW w:w="0" w:type="auto"/>
            <w:shd w:val="clear" w:color="auto" w:fill="auto"/>
            <w:noWrap/>
            <w:hideMark/>
          </w:tcPr>
          <w:p w14:paraId="39BC6851" w14:textId="77777777" w:rsidR="0070005A" w:rsidRPr="000B4E2C" w:rsidRDefault="0070005A" w:rsidP="004871B7">
            <w:pPr>
              <w:rPr>
                <w:sz w:val="22"/>
              </w:rPr>
            </w:pPr>
            <w:r w:rsidRPr="000B4E2C">
              <w:rPr>
                <w:sz w:val="22"/>
              </w:rPr>
              <w:t>6.1%</w:t>
            </w:r>
          </w:p>
        </w:tc>
      </w:tr>
      <w:tr w:rsidR="000B4E2C" w:rsidRPr="000B4E2C" w14:paraId="6C00367F" w14:textId="77777777" w:rsidTr="000B4E2C">
        <w:trPr>
          <w:cantSplit/>
        </w:trPr>
        <w:tc>
          <w:tcPr>
            <w:tcW w:w="0" w:type="auto"/>
            <w:shd w:val="clear" w:color="auto" w:fill="auto"/>
            <w:noWrap/>
            <w:hideMark/>
          </w:tcPr>
          <w:p w14:paraId="2C2FAD3E" w14:textId="4AC4DD05" w:rsidR="0070005A" w:rsidRPr="000B4E2C" w:rsidRDefault="0070005A" w:rsidP="004871B7">
            <w:pPr>
              <w:rPr>
                <w:sz w:val="22"/>
              </w:rPr>
            </w:pPr>
            <w:r w:rsidRPr="000B4E2C">
              <w:rPr>
                <w:sz w:val="22"/>
              </w:rPr>
              <w:t>Test 2 (NGAL plasma</w:t>
            </w:r>
            <w:r w:rsidR="000B4E2C" w:rsidRPr="000B4E2C">
              <w:rPr>
                <w:color w:val="00B0F0"/>
                <w:sz w:val="22"/>
              </w:rPr>
              <w:t xml:space="preserve"> – </w:t>
            </w:r>
            <w:r w:rsidRPr="000B4E2C">
              <w:rPr>
                <w:sz w:val="22"/>
              </w:rPr>
              <w:t>BioPorto)</w:t>
            </w:r>
          </w:p>
        </w:tc>
        <w:tc>
          <w:tcPr>
            <w:tcW w:w="0" w:type="auto"/>
            <w:shd w:val="clear" w:color="auto" w:fill="auto"/>
            <w:noWrap/>
            <w:hideMark/>
          </w:tcPr>
          <w:p w14:paraId="3C15E922" w14:textId="77777777" w:rsidR="0070005A" w:rsidRPr="000B4E2C" w:rsidRDefault="0070005A" w:rsidP="004871B7">
            <w:pPr>
              <w:rPr>
                <w:sz w:val="22"/>
              </w:rPr>
            </w:pPr>
            <w:r w:rsidRPr="000B4E2C">
              <w:rPr>
                <w:sz w:val="22"/>
              </w:rPr>
              <w:t>£22,952</w:t>
            </w:r>
          </w:p>
        </w:tc>
        <w:tc>
          <w:tcPr>
            <w:tcW w:w="0" w:type="auto"/>
            <w:shd w:val="clear" w:color="auto" w:fill="auto"/>
            <w:noWrap/>
            <w:hideMark/>
          </w:tcPr>
          <w:p w14:paraId="2F9D8D60"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4A45756A" w14:textId="77777777" w:rsidR="0070005A" w:rsidRPr="000B4E2C" w:rsidRDefault="0070005A" w:rsidP="004871B7">
            <w:pPr>
              <w:rPr>
                <w:sz w:val="22"/>
              </w:rPr>
            </w:pPr>
            <w:r w:rsidRPr="000B4E2C">
              <w:rPr>
                <w:sz w:val="22"/>
              </w:rPr>
              <w:t>6.07033</w:t>
            </w:r>
          </w:p>
        </w:tc>
        <w:tc>
          <w:tcPr>
            <w:tcW w:w="0" w:type="auto"/>
            <w:shd w:val="clear" w:color="auto" w:fill="auto"/>
            <w:noWrap/>
            <w:hideMark/>
          </w:tcPr>
          <w:p w14:paraId="65B63FAB"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1BB56CFF"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1A233F5E" w14:textId="77777777" w:rsidR="0070005A" w:rsidRPr="000B4E2C" w:rsidRDefault="0070005A" w:rsidP="004871B7">
            <w:pPr>
              <w:rPr>
                <w:sz w:val="22"/>
              </w:rPr>
            </w:pPr>
            <w:r w:rsidRPr="000B4E2C">
              <w:rPr>
                <w:sz w:val="22"/>
              </w:rPr>
              <w:t>£686,614</w:t>
            </w:r>
          </w:p>
        </w:tc>
        <w:tc>
          <w:tcPr>
            <w:tcW w:w="0" w:type="auto"/>
            <w:shd w:val="clear" w:color="auto" w:fill="auto"/>
            <w:noWrap/>
            <w:hideMark/>
          </w:tcPr>
          <w:p w14:paraId="5542ACA0" w14:textId="77777777" w:rsidR="0070005A" w:rsidRPr="000B4E2C" w:rsidRDefault="0070005A" w:rsidP="004871B7">
            <w:pPr>
              <w:rPr>
                <w:sz w:val="22"/>
              </w:rPr>
            </w:pPr>
            <w:r w:rsidRPr="000B4E2C">
              <w:rPr>
                <w:sz w:val="22"/>
              </w:rPr>
              <w:t>0.7%</w:t>
            </w:r>
          </w:p>
        </w:tc>
        <w:tc>
          <w:tcPr>
            <w:tcW w:w="0" w:type="auto"/>
            <w:shd w:val="clear" w:color="auto" w:fill="auto"/>
            <w:noWrap/>
            <w:hideMark/>
          </w:tcPr>
          <w:p w14:paraId="79E547CB" w14:textId="77777777" w:rsidR="0070005A" w:rsidRPr="000B4E2C" w:rsidRDefault="0070005A" w:rsidP="004871B7">
            <w:pPr>
              <w:rPr>
                <w:sz w:val="22"/>
              </w:rPr>
            </w:pPr>
            <w:r w:rsidRPr="000B4E2C">
              <w:rPr>
                <w:sz w:val="22"/>
              </w:rPr>
              <w:t>7.2%</w:t>
            </w:r>
          </w:p>
        </w:tc>
      </w:tr>
      <w:tr w:rsidR="0070005A" w:rsidRPr="000B4E2C" w14:paraId="733A7D44" w14:textId="77777777" w:rsidTr="000B4E2C">
        <w:trPr>
          <w:cantSplit/>
        </w:trPr>
        <w:tc>
          <w:tcPr>
            <w:tcW w:w="0" w:type="auto"/>
            <w:gridSpan w:val="9"/>
            <w:shd w:val="clear" w:color="auto" w:fill="auto"/>
            <w:noWrap/>
            <w:hideMark/>
          </w:tcPr>
          <w:p w14:paraId="5F379ACC" w14:textId="5A922979" w:rsidR="0070005A" w:rsidRPr="000B4E2C" w:rsidRDefault="0070005A" w:rsidP="004871B7">
            <w:pPr>
              <w:rPr>
                <w:b/>
                <w:bCs/>
                <w:sz w:val="22"/>
              </w:rPr>
            </w:pPr>
            <w:r w:rsidRPr="000B4E2C">
              <w:rPr>
                <w:b/>
                <w:bCs/>
                <w:sz w:val="22"/>
              </w:rPr>
              <w:t>2S. Alternative solution for fluid assistance (Hartmann</w:t>
            </w:r>
            <w:r w:rsidR="000B4E2C" w:rsidRPr="000B4E2C">
              <w:rPr>
                <w:b/>
                <w:bCs/>
                <w:color w:val="00B0F0"/>
                <w:sz w:val="22"/>
              </w:rPr>
              <w:t>’</w:t>
            </w:r>
            <w:r w:rsidRPr="000B4E2C">
              <w:rPr>
                <w:b/>
                <w:bCs/>
                <w:sz w:val="22"/>
              </w:rPr>
              <w:t>s solution)</w:t>
            </w:r>
          </w:p>
        </w:tc>
      </w:tr>
      <w:tr w:rsidR="000B4E2C" w:rsidRPr="000B4E2C" w14:paraId="08FFB341" w14:textId="77777777" w:rsidTr="000B4E2C">
        <w:trPr>
          <w:cantSplit/>
        </w:trPr>
        <w:tc>
          <w:tcPr>
            <w:tcW w:w="0" w:type="auto"/>
            <w:shd w:val="clear" w:color="auto" w:fill="auto"/>
            <w:noWrap/>
            <w:hideMark/>
          </w:tcPr>
          <w:p w14:paraId="25E48EE5" w14:textId="77777777" w:rsidR="0070005A" w:rsidRPr="000B4E2C" w:rsidRDefault="0070005A" w:rsidP="004871B7">
            <w:pPr>
              <w:rPr>
                <w:sz w:val="22"/>
              </w:rPr>
            </w:pPr>
            <w:r w:rsidRPr="000B4E2C">
              <w:rPr>
                <w:sz w:val="22"/>
              </w:rPr>
              <w:t>Standard care (Scr)</w:t>
            </w:r>
          </w:p>
        </w:tc>
        <w:tc>
          <w:tcPr>
            <w:tcW w:w="0" w:type="auto"/>
            <w:shd w:val="clear" w:color="auto" w:fill="auto"/>
            <w:noWrap/>
            <w:hideMark/>
          </w:tcPr>
          <w:p w14:paraId="4C4A9DF7" w14:textId="77777777" w:rsidR="0070005A" w:rsidRPr="000B4E2C" w:rsidRDefault="0070005A" w:rsidP="004871B7">
            <w:pPr>
              <w:rPr>
                <w:sz w:val="22"/>
              </w:rPr>
            </w:pPr>
            <w:r w:rsidRPr="000B4E2C">
              <w:rPr>
                <w:sz w:val="22"/>
              </w:rPr>
              <w:t>£22,934</w:t>
            </w:r>
          </w:p>
        </w:tc>
        <w:tc>
          <w:tcPr>
            <w:tcW w:w="0" w:type="auto"/>
            <w:shd w:val="clear" w:color="auto" w:fill="auto"/>
            <w:noWrap/>
            <w:hideMark/>
          </w:tcPr>
          <w:p w14:paraId="659ADE1A" w14:textId="77777777" w:rsidR="0070005A" w:rsidRPr="000B4E2C" w:rsidRDefault="0070005A" w:rsidP="004871B7">
            <w:pPr>
              <w:rPr>
                <w:sz w:val="22"/>
              </w:rPr>
            </w:pPr>
            <w:r w:rsidRPr="000B4E2C">
              <w:rPr>
                <w:sz w:val="22"/>
              </w:rPr>
              <w:t>--</w:t>
            </w:r>
          </w:p>
        </w:tc>
        <w:tc>
          <w:tcPr>
            <w:tcW w:w="0" w:type="auto"/>
            <w:shd w:val="clear" w:color="auto" w:fill="auto"/>
            <w:noWrap/>
            <w:hideMark/>
          </w:tcPr>
          <w:p w14:paraId="01476F54" w14:textId="77777777" w:rsidR="0070005A" w:rsidRPr="000B4E2C" w:rsidRDefault="0070005A" w:rsidP="004871B7">
            <w:pPr>
              <w:rPr>
                <w:sz w:val="22"/>
              </w:rPr>
            </w:pPr>
            <w:r w:rsidRPr="000B4E2C">
              <w:rPr>
                <w:sz w:val="22"/>
              </w:rPr>
              <w:t>6.07636</w:t>
            </w:r>
          </w:p>
        </w:tc>
        <w:tc>
          <w:tcPr>
            <w:tcW w:w="0" w:type="auto"/>
            <w:shd w:val="clear" w:color="auto" w:fill="auto"/>
            <w:noWrap/>
            <w:hideMark/>
          </w:tcPr>
          <w:p w14:paraId="2C86A1DD" w14:textId="77777777" w:rsidR="0070005A" w:rsidRPr="000B4E2C" w:rsidRDefault="0070005A" w:rsidP="004871B7">
            <w:pPr>
              <w:rPr>
                <w:sz w:val="22"/>
              </w:rPr>
            </w:pPr>
            <w:r w:rsidRPr="000B4E2C">
              <w:rPr>
                <w:sz w:val="22"/>
              </w:rPr>
              <w:t>--</w:t>
            </w:r>
          </w:p>
        </w:tc>
        <w:tc>
          <w:tcPr>
            <w:tcW w:w="0" w:type="auto"/>
            <w:shd w:val="clear" w:color="auto" w:fill="auto"/>
            <w:noWrap/>
            <w:hideMark/>
          </w:tcPr>
          <w:p w14:paraId="43FC658A" w14:textId="77777777" w:rsidR="0070005A" w:rsidRPr="000B4E2C" w:rsidRDefault="0070005A" w:rsidP="004871B7">
            <w:pPr>
              <w:rPr>
                <w:sz w:val="22"/>
              </w:rPr>
            </w:pPr>
            <w:r w:rsidRPr="000B4E2C">
              <w:rPr>
                <w:sz w:val="22"/>
              </w:rPr>
              <w:t>--</w:t>
            </w:r>
          </w:p>
        </w:tc>
        <w:tc>
          <w:tcPr>
            <w:tcW w:w="0" w:type="auto"/>
            <w:shd w:val="clear" w:color="auto" w:fill="auto"/>
            <w:noWrap/>
            <w:hideMark/>
          </w:tcPr>
          <w:p w14:paraId="44D044B3" w14:textId="77777777" w:rsidR="0070005A" w:rsidRPr="000B4E2C" w:rsidRDefault="0070005A" w:rsidP="004871B7">
            <w:pPr>
              <w:rPr>
                <w:sz w:val="22"/>
              </w:rPr>
            </w:pPr>
            <w:r w:rsidRPr="000B4E2C">
              <w:rPr>
                <w:sz w:val="22"/>
              </w:rPr>
              <w:t>--</w:t>
            </w:r>
          </w:p>
        </w:tc>
        <w:tc>
          <w:tcPr>
            <w:tcW w:w="0" w:type="auto"/>
            <w:shd w:val="clear" w:color="auto" w:fill="auto"/>
            <w:noWrap/>
            <w:hideMark/>
          </w:tcPr>
          <w:p w14:paraId="04E855DB" w14:textId="77777777" w:rsidR="0070005A" w:rsidRPr="000B4E2C" w:rsidRDefault="0070005A" w:rsidP="004871B7">
            <w:pPr>
              <w:rPr>
                <w:sz w:val="22"/>
              </w:rPr>
            </w:pPr>
            <w:r w:rsidRPr="000B4E2C">
              <w:rPr>
                <w:sz w:val="22"/>
              </w:rPr>
              <w:t>65.5%</w:t>
            </w:r>
          </w:p>
        </w:tc>
        <w:tc>
          <w:tcPr>
            <w:tcW w:w="0" w:type="auto"/>
            <w:shd w:val="clear" w:color="auto" w:fill="auto"/>
            <w:noWrap/>
            <w:hideMark/>
          </w:tcPr>
          <w:p w14:paraId="60326954" w14:textId="77777777" w:rsidR="0070005A" w:rsidRPr="000B4E2C" w:rsidRDefault="0070005A" w:rsidP="004871B7">
            <w:pPr>
              <w:rPr>
                <w:sz w:val="22"/>
              </w:rPr>
            </w:pPr>
            <w:r w:rsidRPr="000B4E2C">
              <w:rPr>
                <w:sz w:val="22"/>
              </w:rPr>
              <w:t>--</w:t>
            </w:r>
          </w:p>
        </w:tc>
      </w:tr>
      <w:tr w:rsidR="000B4E2C" w:rsidRPr="000B4E2C" w14:paraId="7C4CA79C" w14:textId="77777777" w:rsidTr="000B4E2C">
        <w:trPr>
          <w:cantSplit/>
        </w:trPr>
        <w:tc>
          <w:tcPr>
            <w:tcW w:w="0" w:type="auto"/>
            <w:shd w:val="clear" w:color="auto" w:fill="auto"/>
            <w:noWrap/>
            <w:hideMark/>
          </w:tcPr>
          <w:p w14:paraId="548C8221" w14:textId="77777777" w:rsidR="0070005A" w:rsidRPr="000B4E2C" w:rsidRDefault="0070005A" w:rsidP="004871B7">
            <w:pPr>
              <w:rPr>
                <w:sz w:val="22"/>
              </w:rPr>
            </w:pPr>
            <w:r w:rsidRPr="000B4E2C">
              <w:rPr>
                <w:sz w:val="22"/>
              </w:rPr>
              <w:t>Test 1 (NephroCheck)</w:t>
            </w:r>
          </w:p>
        </w:tc>
        <w:tc>
          <w:tcPr>
            <w:tcW w:w="0" w:type="auto"/>
            <w:shd w:val="clear" w:color="auto" w:fill="auto"/>
            <w:noWrap/>
            <w:hideMark/>
          </w:tcPr>
          <w:p w14:paraId="2D690AB3" w14:textId="77777777" w:rsidR="0070005A" w:rsidRPr="000B4E2C" w:rsidRDefault="0070005A" w:rsidP="004871B7">
            <w:pPr>
              <w:rPr>
                <w:sz w:val="22"/>
              </w:rPr>
            </w:pPr>
            <w:r w:rsidRPr="000B4E2C">
              <w:rPr>
                <w:sz w:val="22"/>
              </w:rPr>
              <w:t>£22,977</w:t>
            </w:r>
          </w:p>
        </w:tc>
        <w:tc>
          <w:tcPr>
            <w:tcW w:w="0" w:type="auto"/>
            <w:shd w:val="clear" w:color="auto" w:fill="auto"/>
            <w:noWrap/>
            <w:hideMark/>
          </w:tcPr>
          <w:p w14:paraId="31CC3F48" w14:textId="77777777" w:rsidR="0070005A" w:rsidRPr="000B4E2C" w:rsidRDefault="0070005A" w:rsidP="004871B7">
            <w:pPr>
              <w:rPr>
                <w:sz w:val="22"/>
              </w:rPr>
            </w:pPr>
            <w:r w:rsidRPr="000B4E2C">
              <w:rPr>
                <w:sz w:val="22"/>
              </w:rPr>
              <w:t>£42</w:t>
            </w:r>
          </w:p>
        </w:tc>
        <w:tc>
          <w:tcPr>
            <w:tcW w:w="0" w:type="auto"/>
            <w:shd w:val="clear" w:color="auto" w:fill="auto"/>
            <w:noWrap/>
            <w:hideMark/>
          </w:tcPr>
          <w:p w14:paraId="03A48739" w14:textId="77777777" w:rsidR="0070005A" w:rsidRPr="000B4E2C" w:rsidRDefault="0070005A" w:rsidP="004871B7">
            <w:pPr>
              <w:rPr>
                <w:sz w:val="22"/>
              </w:rPr>
            </w:pPr>
            <w:r w:rsidRPr="000B4E2C">
              <w:rPr>
                <w:sz w:val="22"/>
              </w:rPr>
              <w:t>6.07671</w:t>
            </w:r>
          </w:p>
        </w:tc>
        <w:tc>
          <w:tcPr>
            <w:tcW w:w="0" w:type="auto"/>
            <w:shd w:val="clear" w:color="auto" w:fill="auto"/>
            <w:noWrap/>
            <w:hideMark/>
          </w:tcPr>
          <w:p w14:paraId="59E455EB" w14:textId="77777777" w:rsidR="0070005A" w:rsidRPr="000B4E2C" w:rsidRDefault="0070005A" w:rsidP="004871B7">
            <w:pPr>
              <w:rPr>
                <w:sz w:val="22"/>
              </w:rPr>
            </w:pPr>
            <w:r w:rsidRPr="000B4E2C">
              <w:rPr>
                <w:sz w:val="22"/>
              </w:rPr>
              <w:t>0.00035</w:t>
            </w:r>
          </w:p>
        </w:tc>
        <w:tc>
          <w:tcPr>
            <w:tcW w:w="0" w:type="auto"/>
            <w:shd w:val="clear" w:color="auto" w:fill="auto"/>
            <w:noWrap/>
            <w:hideMark/>
          </w:tcPr>
          <w:p w14:paraId="27C10BC3" w14:textId="77777777" w:rsidR="0070005A" w:rsidRPr="000B4E2C" w:rsidRDefault="0070005A" w:rsidP="004871B7">
            <w:pPr>
              <w:rPr>
                <w:sz w:val="22"/>
              </w:rPr>
            </w:pPr>
            <w:r w:rsidRPr="000B4E2C">
              <w:rPr>
                <w:sz w:val="22"/>
              </w:rPr>
              <w:t>£119,969</w:t>
            </w:r>
          </w:p>
        </w:tc>
        <w:tc>
          <w:tcPr>
            <w:tcW w:w="0" w:type="auto"/>
            <w:shd w:val="clear" w:color="auto" w:fill="auto"/>
            <w:noWrap/>
            <w:hideMark/>
          </w:tcPr>
          <w:p w14:paraId="33ED0731" w14:textId="77777777" w:rsidR="0070005A" w:rsidRPr="000B4E2C" w:rsidRDefault="0070005A" w:rsidP="004871B7">
            <w:pPr>
              <w:rPr>
                <w:sz w:val="22"/>
              </w:rPr>
            </w:pPr>
            <w:r w:rsidRPr="000B4E2C">
              <w:rPr>
                <w:sz w:val="22"/>
              </w:rPr>
              <w:t>£119,969</w:t>
            </w:r>
          </w:p>
        </w:tc>
        <w:tc>
          <w:tcPr>
            <w:tcW w:w="0" w:type="auto"/>
            <w:shd w:val="clear" w:color="auto" w:fill="auto"/>
            <w:noWrap/>
            <w:hideMark/>
          </w:tcPr>
          <w:p w14:paraId="2739A3FE" w14:textId="77777777" w:rsidR="0070005A" w:rsidRPr="000B4E2C" w:rsidRDefault="0070005A" w:rsidP="004871B7">
            <w:pPr>
              <w:rPr>
                <w:sz w:val="22"/>
              </w:rPr>
            </w:pPr>
            <w:r w:rsidRPr="000B4E2C">
              <w:rPr>
                <w:sz w:val="22"/>
              </w:rPr>
              <w:t>29.1%</w:t>
            </w:r>
          </w:p>
        </w:tc>
        <w:tc>
          <w:tcPr>
            <w:tcW w:w="0" w:type="auto"/>
            <w:shd w:val="clear" w:color="auto" w:fill="auto"/>
            <w:noWrap/>
            <w:hideMark/>
          </w:tcPr>
          <w:p w14:paraId="6954FBCC" w14:textId="77777777" w:rsidR="0070005A" w:rsidRPr="000B4E2C" w:rsidRDefault="0070005A" w:rsidP="004871B7">
            <w:pPr>
              <w:rPr>
                <w:sz w:val="22"/>
              </w:rPr>
            </w:pPr>
            <w:r w:rsidRPr="000B4E2C">
              <w:rPr>
                <w:sz w:val="22"/>
              </w:rPr>
              <w:t>31.1%</w:t>
            </w:r>
          </w:p>
        </w:tc>
      </w:tr>
      <w:tr w:rsidR="000B4E2C" w:rsidRPr="000B4E2C" w14:paraId="1A3AFD20" w14:textId="77777777" w:rsidTr="000B4E2C">
        <w:trPr>
          <w:cantSplit/>
        </w:trPr>
        <w:tc>
          <w:tcPr>
            <w:tcW w:w="0" w:type="auto"/>
            <w:shd w:val="clear" w:color="auto" w:fill="auto"/>
            <w:noWrap/>
            <w:hideMark/>
          </w:tcPr>
          <w:p w14:paraId="23C6F818" w14:textId="62E5F46F" w:rsidR="0070005A" w:rsidRPr="000B4E2C" w:rsidRDefault="0070005A" w:rsidP="004871B7">
            <w:pPr>
              <w:rPr>
                <w:sz w:val="22"/>
              </w:rPr>
            </w:pPr>
            <w:r w:rsidRPr="000B4E2C">
              <w:rPr>
                <w:sz w:val="22"/>
              </w:rPr>
              <w:t>Test 3 (NGAL urine</w:t>
            </w:r>
            <w:r w:rsidR="000B4E2C" w:rsidRPr="000B4E2C">
              <w:rPr>
                <w:color w:val="00B0F0"/>
                <w:sz w:val="22"/>
              </w:rPr>
              <w:t xml:space="preserve"> – </w:t>
            </w:r>
            <w:r w:rsidRPr="000B4E2C">
              <w:rPr>
                <w:sz w:val="22"/>
              </w:rPr>
              <w:t>BioPorto)</w:t>
            </w:r>
          </w:p>
        </w:tc>
        <w:tc>
          <w:tcPr>
            <w:tcW w:w="0" w:type="auto"/>
            <w:shd w:val="clear" w:color="auto" w:fill="auto"/>
            <w:noWrap/>
            <w:hideMark/>
          </w:tcPr>
          <w:p w14:paraId="23288444" w14:textId="77777777" w:rsidR="0070005A" w:rsidRPr="000B4E2C" w:rsidRDefault="0070005A" w:rsidP="004871B7">
            <w:pPr>
              <w:rPr>
                <w:sz w:val="22"/>
              </w:rPr>
            </w:pPr>
            <w:r w:rsidRPr="000B4E2C">
              <w:rPr>
                <w:sz w:val="22"/>
              </w:rPr>
              <w:t>£23,002</w:t>
            </w:r>
          </w:p>
        </w:tc>
        <w:tc>
          <w:tcPr>
            <w:tcW w:w="0" w:type="auto"/>
            <w:shd w:val="clear" w:color="auto" w:fill="auto"/>
            <w:noWrap/>
            <w:hideMark/>
          </w:tcPr>
          <w:p w14:paraId="6466EC7C"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5B8B2B56" w14:textId="77777777" w:rsidR="0070005A" w:rsidRPr="000B4E2C" w:rsidRDefault="0070005A" w:rsidP="004871B7">
            <w:pPr>
              <w:rPr>
                <w:sz w:val="22"/>
              </w:rPr>
            </w:pPr>
            <w:r w:rsidRPr="000B4E2C">
              <w:rPr>
                <w:sz w:val="22"/>
              </w:rPr>
              <w:t>6.07648</w:t>
            </w:r>
          </w:p>
        </w:tc>
        <w:tc>
          <w:tcPr>
            <w:tcW w:w="0" w:type="auto"/>
            <w:shd w:val="clear" w:color="auto" w:fill="auto"/>
            <w:noWrap/>
            <w:hideMark/>
          </w:tcPr>
          <w:p w14:paraId="050A575D"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78C64B72"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6A494B40" w14:textId="77777777" w:rsidR="0070005A" w:rsidRPr="000B4E2C" w:rsidRDefault="0070005A" w:rsidP="004871B7">
            <w:pPr>
              <w:rPr>
                <w:sz w:val="22"/>
              </w:rPr>
            </w:pPr>
            <w:r w:rsidRPr="000B4E2C">
              <w:rPr>
                <w:sz w:val="22"/>
              </w:rPr>
              <w:t>£545,923</w:t>
            </w:r>
          </w:p>
        </w:tc>
        <w:tc>
          <w:tcPr>
            <w:tcW w:w="0" w:type="auto"/>
            <w:shd w:val="clear" w:color="auto" w:fill="auto"/>
            <w:noWrap/>
            <w:hideMark/>
          </w:tcPr>
          <w:p w14:paraId="18D8B363" w14:textId="77777777" w:rsidR="0070005A" w:rsidRPr="000B4E2C" w:rsidRDefault="0070005A" w:rsidP="004871B7">
            <w:pPr>
              <w:rPr>
                <w:sz w:val="22"/>
              </w:rPr>
            </w:pPr>
            <w:r w:rsidRPr="000B4E2C">
              <w:rPr>
                <w:sz w:val="22"/>
              </w:rPr>
              <w:t>4.6%</w:t>
            </w:r>
          </w:p>
        </w:tc>
        <w:tc>
          <w:tcPr>
            <w:tcW w:w="0" w:type="auto"/>
            <w:shd w:val="clear" w:color="auto" w:fill="auto"/>
            <w:noWrap/>
            <w:hideMark/>
          </w:tcPr>
          <w:p w14:paraId="4C66AE56" w14:textId="77777777" w:rsidR="0070005A" w:rsidRPr="000B4E2C" w:rsidRDefault="0070005A" w:rsidP="004871B7">
            <w:pPr>
              <w:rPr>
                <w:sz w:val="22"/>
              </w:rPr>
            </w:pPr>
            <w:r w:rsidRPr="000B4E2C">
              <w:rPr>
                <w:sz w:val="22"/>
              </w:rPr>
              <w:t>11.3%</w:t>
            </w:r>
          </w:p>
        </w:tc>
      </w:tr>
      <w:tr w:rsidR="000B4E2C" w:rsidRPr="000B4E2C" w14:paraId="1CBCB162" w14:textId="77777777" w:rsidTr="000B4E2C">
        <w:trPr>
          <w:cantSplit/>
        </w:trPr>
        <w:tc>
          <w:tcPr>
            <w:tcW w:w="0" w:type="auto"/>
            <w:shd w:val="clear" w:color="auto" w:fill="auto"/>
            <w:noWrap/>
            <w:hideMark/>
          </w:tcPr>
          <w:p w14:paraId="640D6CF8" w14:textId="4F711F71" w:rsidR="0070005A" w:rsidRPr="000B4E2C" w:rsidRDefault="0070005A" w:rsidP="004871B7">
            <w:pPr>
              <w:rPr>
                <w:sz w:val="22"/>
              </w:rPr>
            </w:pPr>
            <w:r w:rsidRPr="000B4E2C">
              <w:rPr>
                <w:sz w:val="22"/>
              </w:rPr>
              <w:t>Test 2 (NGAL plasma</w:t>
            </w:r>
            <w:r w:rsidR="000B4E2C" w:rsidRPr="000B4E2C">
              <w:rPr>
                <w:color w:val="00B0F0"/>
                <w:sz w:val="22"/>
              </w:rPr>
              <w:t xml:space="preserve"> – </w:t>
            </w:r>
            <w:r w:rsidRPr="000B4E2C">
              <w:rPr>
                <w:sz w:val="22"/>
              </w:rPr>
              <w:t>BioPorto)</w:t>
            </w:r>
          </w:p>
        </w:tc>
        <w:tc>
          <w:tcPr>
            <w:tcW w:w="0" w:type="auto"/>
            <w:shd w:val="clear" w:color="auto" w:fill="auto"/>
            <w:noWrap/>
            <w:hideMark/>
          </w:tcPr>
          <w:p w14:paraId="721A56B5" w14:textId="77777777" w:rsidR="0070005A" w:rsidRPr="000B4E2C" w:rsidRDefault="0070005A" w:rsidP="004871B7">
            <w:pPr>
              <w:rPr>
                <w:sz w:val="22"/>
              </w:rPr>
            </w:pPr>
            <w:r w:rsidRPr="000B4E2C">
              <w:rPr>
                <w:sz w:val="22"/>
              </w:rPr>
              <w:t>£23,017</w:t>
            </w:r>
          </w:p>
        </w:tc>
        <w:tc>
          <w:tcPr>
            <w:tcW w:w="0" w:type="auto"/>
            <w:shd w:val="clear" w:color="auto" w:fill="auto"/>
            <w:noWrap/>
            <w:hideMark/>
          </w:tcPr>
          <w:p w14:paraId="777D5E2E"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1F92F171" w14:textId="77777777" w:rsidR="0070005A" w:rsidRPr="000B4E2C" w:rsidRDefault="0070005A" w:rsidP="004871B7">
            <w:pPr>
              <w:rPr>
                <w:sz w:val="22"/>
              </w:rPr>
            </w:pPr>
            <w:r w:rsidRPr="000B4E2C">
              <w:rPr>
                <w:sz w:val="22"/>
              </w:rPr>
              <w:t>6.07648</w:t>
            </w:r>
          </w:p>
        </w:tc>
        <w:tc>
          <w:tcPr>
            <w:tcW w:w="0" w:type="auto"/>
            <w:shd w:val="clear" w:color="auto" w:fill="auto"/>
            <w:noWrap/>
            <w:hideMark/>
          </w:tcPr>
          <w:p w14:paraId="634530B9"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706B1DA5"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585D271F" w14:textId="77777777" w:rsidR="0070005A" w:rsidRPr="000B4E2C" w:rsidRDefault="0070005A" w:rsidP="004871B7">
            <w:pPr>
              <w:rPr>
                <w:sz w:val="22"/>
              </w:rPr>
            </w:pPr>
            <w:r w:rsidRPr="000B4E2C">
              <w:rPr>
                <w:sz w:val="22"/>
              </w:rPr>
              <w:t>£650,943</w:t>
            </w:r>
          </w:p>
        </w:tc>
        <w:tc>
          <w:tcPr>
            <w:tcW w:w="0" w:type="auto"/>
            <w:shd w:val="clear" w:color="auto" w:fill="auto"/>
            <w:noWrap/>
            <w:hideMark/>
          </w:tcPr>
          <w:p w14:paraId="08B2A48F" w14:textId="77777777" w:rsidR="0070005A" w:rsidRPr="000B4E2C" w:rsidRDefault="0070005A" w:rsidP="004871B7">
            <w:pPr>
              <w:rPr>
                <w:sz w:val="22"/>
              </w:rPr>
            </w:pPr>
            <w:r w:rsidRPr="000B4E2C">
              <w:rPr>
                <w:sz w:val="22"/>
              </w:rPr>
              <w:t>0.8%</w:t>
            </w:r>
          </w:p>
        </w:tc>
        <w:tc>
          <w:tcPr>
            <w:tcW w:w="0" w:type="auto"/>
            <w:shd w:val="clear" w:color="auto" w:fill="auto"/>
            <w:noWrap/>
            <w:hideMark/>
          </w:tcPr>
          <w:p w14:paraId="485FC2B0" w14:textId="77777777" w:rsidR="0070005A" w:rsidRPr="000B4E2C" w:rsidRDefault="0070005A" w:rsidP="004871B7">
            <w:pPr>
              <w:rPr>
                <w:sz w:val="22"/>
              </w:rPr>
            </w:pPr>
            <w:r w:rsidRPr="000B4E2C">
              <w:rPr>
                <w:sz w:val="22"/>
              </w:rPr>
              <w:t>8.3%</w:t>
            </w:r>
          </w:p>
        </w:tc>
      </w:tr>
      <w:tr w:rsidR="000B4E2C" w:rsidRPr="000B4E2C" w14:paraId="5D6BCC42" w14:textId="77777777" w:rsidTr="000B4E2C">
        <w:trPr>
          <w:cantSplit/>
        </w:trPr>
        <w:tc>
          <w:tcPr>
            <w:tcW w:w="0" w:type="auto"/>
            <w:shd w:val="clear" w:color="auto" w:fill="auto"/>
            <w:noWrap/>
            <w:hideMark/>
          </w:tcPr>
          <w:p w14:paraId="0DEDAF1B" w14:textId="683F1AA6" w:rsidR="0070005A" w:rsidRPr="000B4E2C" w:rsidRDefault="0070005A" w:rsidP="004871B7">
            <w:pPr>
              <w:rPr>
                <w:sz w:val="22"/>
              </w:rPr>
            </w:pPr>
            <w:r w:rsidRPr="000B4E2C">
              <w:rPr>
                <w:sz w:val="22"/>
              </w:rPr>
              <w:t>Test 4 (NGAL urine</w:t>
            </w:r>
            <w:r w:rsidR="000B4E2C" w:rsidRPr="000B4E2C">
              <w:rPr>
                <w:color w:val="00B0F0"/>
                <w:sz w:val="22"/>
              </w:rPr>
              <w:t xml:space="preserve"> – </w:t>
            </w:r>
            <w:r w:rsidRPr="000B4E2C">
              <w:rPr>
                <w:sz w:val="22"/>
              </w:rPr>
              <w:t>ARCHITECT)</w:t>
            </w:r>
          </w:p>
        </w:tc>
        <w:tc>
          <w:tcPr>
            <w:tcW w:w="0" w:type="auto"/>
            <w:shd w:val="clear" w:color="auto" w:fill="auto"/>
            <w:noWrap/>
            <w:hideMark/>
          </w:tcPr>
          <w:p w14:paraId="7263629E" w14:textId="77777777" w:rsidR="0070005A" w:rsidRPr="000B4E2C" w:rsidRDefault="0070005A" w:rsidP="004871B7">
            <w:pPr>
              <w:rPr>
                <w:sz w:val="22"/>
              </w:rPr>
            </w:pPr>
            <w:r w:rsidRPr="000B4E2C">
              <w:rPr>
                <w:sz w:val="22"/>
              </w:rPr>
              <w:t>£23,019</w:t>
            </w:r>
          </w:p>
        </w:tc>
        <w:tc>
          <w:tcPr>
            <w:tcW w:w="0" w:type="auto"/>
            <w:shd w:val="clear" w:color="auto" w:fill="auto"/>
            <w:noWrap/>
            <w:hideMark/>
          </w:tcPr>
          <w:p w14:paraId="69CB2FFF"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32FD395B" w14:textId="77777777" w:rsidR="0070005A" w:rsidRPr="000B4E2C" w:rsidRDefault="0070005A" w:rsidP="004871B7">
            <w:pPr>
              <w:rPr>
                <w:sz w:val="22"/>
              </w:rPr>
            </w:pPr>
            <w:r w:rsidRPr="000B4E2C">
              <w:rPr>
                <w:sz w:val="22"/>
              </w:rPr>
              <w:t>6.07647</w:t>
            </w:r>
          </w:p>
        </w:tc>
        <w:tc>
          <w:tcPr>
            <w:tcW w:w="0" w:type="auto"/>
            <w:shd w:val="clear" w:color="auto" w:fill="auto"/>
            <w:noWrap/>
            <w:hideMark/>
          </w:tcPr>
          <w:p w14:paraId="378E2B3B"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641D41BC"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516FB831" w14:textId="77777777" w:rsidR="0070005A" w:rsidRPr="000B4E2C" w:rsidRDefault="0070005A" w:rsidP="004871B7">
            <w:pPr>
              <w:rPr>
                <w:sz w:val="22"/>
              </w:rPr>
            </w:pPr>
            <w:r w:rsidRPr="000B4E2C">
              <w:rPr>
                <w:sz w:val="22"/>
              </w:rPr>
              <w:t>£751,697</w:t>
            </w:r>
          </w:p>
        </w:tc>
        <w:tc>
          <w:tcPr>
            <w:tcW w:w="0" w:type="auto"/>
            <w:shd w:val="clear" w:color="auto" w:fill="auto"/>
            <w:noWrap/>
            <w:hideMark/>
          </w:tcPr>
          <w:p w14:paraId="45FA030C" w14:textId="77777777" w:rsidR="0070005A" w:rsidRPr="000B4E2C" w:rsidRDefault="0070005A" w:rsidP="004871B7">
            <w:pPr>
              <w:rPr>
                <w:sz w:val="22"/>
              </w:rPr>
            </w:pPr>
            <w:r w:rsidRPr="000B4E2C">
              <w:rPr>
                <w:sz w:val="22"/>
              </w:rPr>
              <w:t>0.0%</w:t>
            </w:r>
          </w:p>
        </w:tc>
        <w:tc>
          <w:tcPr>
            <w:tcW w:w="0" w:type="auto"/>
            <w:shd w:val="clear" w:color="auto" w:fill="auto"/>
            <w:noWrap/>
            <w:hideMark/>
          </w:tcPr>
          <w:p w14:paraId="2353B5A2" w14:textId="77777777" w:rsidR="0070005A" w:rsidRPr="000B4E2C" w:rsidRDefault="0070005A" w:rsidP="004871B7">
            <w:pPr>
              <w:rPr>
                <w:sz w:val="22"/>
              </w:rPr>
            </w:pPr>
            <w:r w:rsidRPr="000B4E2C">
              <w:rPr>
                <w:sz w:val="22"/>
              </w:rPr>
              <w:t>6.3%</w:t>
            </w:r>
          </w:p>
        </w:tc>
      </w:tr>
      <w:tr w:rsidR="0070005A" w:rsidRPr="000B4E2C" w14:paraId="7A8D211D" w14:textId="77777777" w:rsidTr="000B4E2C">
        <w:trPr>
          <w:cantSplit/>
        </w:trPr>
        <w:tc>
          <w:tcPr>
            <w:tcW w:w="0" w:type="auto"/>
            <w:gridSpan w:val="9"/>
            <w:shd w:val="clear" w:color="auto" w:fill="auto"/>
            <w:noWrap/>
            <w:hideMark/>
          </w:tcPr>
          <w:p w14:paraId="0B87F9F7" w14:textId="15AA6A79" w:rsidR="0070005A" w:rsidRPr="000B4E2C" w:rsidRDefault="000B4E2C" w:rsidP="004871B7">
            <w:pPr>
              <w:rPr>
                <w:b/>
                <w:bCs/>
                <w:sz w:val="22"/>
                <w:lang w:val="da-DK"/>
              </w:rPr>
            </w:pPr>
            <w:r w:rsidRPr="000B4E2C">
              <w:rPr>
                <w:b/>
                <w:bCs/>
                <w:color w:val="00B0F0"/>
                <w:sz w:val="22"/>
                <w:lang w:val="da-DK"/>
              </w:rPr>
              <w:t>2</w:t>
            </w:r>
            <w:r w:rsidRPr="000B4E2C">
              <w:rPr>
                <w:b/>
                <w:bCs/>
                <w:color w:val="00B0F0"/>
                <w:sz w:val="22"/>
                <w:lang w:val="da-DK"/>
              </w:rPr>
              <w:t> </w:t>
            </w:r>
            <w:r w:rsidRPr="000B4E2C">
              <w:rPr>
                <w:b/>
                <w:bCs/>
                <w:color w:val="00B0F0"/>
                <w:sz w:val="22"/>
                <w:lang w:val="da-DK"/>
              </w:rPr>
              <w:t>T.</w:t>
            </w:r>
            <w:r w:rsidR="0070005A" w:rsidRPr="000B4E2C">
              <w:rPr>
                <w:b/>
                <w:bCs/>
                <w:sz w:val="22"/>
                <w:lang w:val="da-DK"/>
              </w:rPr>
              <w:t xml:space="preserve"> Alternative RR parameters (Gocze</w:t>
            </w:r>
            <w:r w:rsidR="0070005A" w:rsidRPr="000B4E2C">
              <w:rPr>
                <w:b/>
                <w:bCs/>
                <w:i/>
                <w:color w:val="00B0F0"/>
                <w:sz w:val="22"/>
                <w:lang w:val="da-DK"/>
              </w:rPr>
              <w:t xml:space="preserve"> et al</w:t>
            </w:r>
            <w:r w:rsidR="0070005A" w:rsidRPr="000B4E2C">
              <w:rPr>
                <w:b/>
                <w:bCs/>
                <w:sz w:val="22"/>
                <w:lang w:val="da-DK"/>
              </w:rPr>
              <w:t>)</w:t>
            </w:r>
            <w:r w:rsidR="00622ABB" w:rsidRPr="000B4E2C">
              <w:rPr>
                <w:b/>
                <w:bCs/>
                <w:sz w:val="22"/>
                <w:vertAlign w:val="superscript"/>
                <w:lang w:val="da-DK"/>
              </w:rPr>
              <w:t>2</w:t>
            </w:r>
          </w:p>
        </w:tc>
      </w:tr>
      <w:tr w:rsidR="000B4E2C" w:rsidRPr="000B4E2C" w14:paraId="278FE60B" w14:textId="77777777" w:rsidTr="000B4E2C">
        <w:trPr>
          <w:cantSplit/>
        </w:trPr>
        <w:tc>
          <w:tcPr>
            <w:tcW w:w="0" w:type="auto"/>
            <w:shd w:val="clear" w:color="auto" w:fill="auto"/>
            <w:noWrap/>
            <w:hideMark/>
          </w:tcPr>
          <w:p w14:paraId="133C5212" w14:textId="77777777" w:rsidR="0070005A" w:rsidRPr="000B4E2C" w:rsidRDefault="0070005A" w:rsidP="004871B7">
            <w:pPr>
              <w:rPr>
                <w:sz w:val="22"/>
              </w:rPr>
            </w:pPr>
            <w:r w:rsidRPr="000B4E2C">
              <w:rPr>
                <w:sz w:val="22"/>
              </w:rPr>
              <w:t>Test 1 (NephroCheck)</w:t>
            </w:r>
          </w:p>
        </w:tc>
        <w:tc>
          <w:tcPr>
            <w:tcW w:w="0" w:type="auto"/>
            <w:shd w:val="clear" w:color="auto" w:fill="auto"/>
            <w:noWrap/>
            <w:hideMark/>
          </w:tcPr>
          <w:p w14:paraId="0C252BD3" w14:textId="77777777" w:rsidR="0070005A" w:rsidRPr="000B4E2C" w:rsidRDefault="0070005A" w:rsidP="004871B7">
            <w:pPr>
              <w:rPr>
                <w:sz w:val="22"/>
              </w:rPr>
            </w:pPr>
            <w:r w:rsidRPr="000B4E2C">
              <w:rPr>
                <w:sz w:val="22"/>
              </w:rPr>
              <w:t>£23,048</w:t>
            </w:r>
          </w:p>
        </w:tc>
        <w:tc>
          <w:tcPr>
            <w:tcW w:w="0" w:type="auto"/>
            <w:shd w:val="clear" w:color="auto" w:fill="auto"/>
            <w:noWrap/>
            <w:hideMark/>
          </w:tcPr>
          <w:p w14:paraId="090EE25F" w14:textId="77777777" w:rsidR="0070005A" w:rsidRPr="000B4E2C" w:rsidRDefault="0070005A" w:rsidP="004871B7">
            <w:pPr>
              <w:rPr>
                <w:sz w:val="22"/>
              </w:rPr>
            </w:pPr>
            <w:r w:rsidRPr="000B4E2C">
              <w:rPr>
                <w:sz w:val="22"/>
              </w:rPr>
              <w:t>--</w:t>
            </w:r>
          </w:p>
        </w:tc>
        <w:tc>
          <w:tcPr>
            <w:tcW w:w="0" w:type="auto"/>
            <w:shd w:val="clear" w:color="auto" w:fill="auto"/>
            <w:noWrap/>
            <w:hideMark/>
          </w:tcPr>
          <w:p w14:paraId="1B0F0A24" w14:textId="77777777" w:rsidR="0070005A" w:rsidRPr="000B4E2C" w:rsidRDefault="0070005A" w:rsidP="004871B7">
            <w:pPr>
              <w:rPr>
                <w:sz w:val="22"/>
              </w:rPr>
            </w:pPr>
            <w:r w:rsidRPr="000B4E2C">
              <w:rPr>
                <w:sz w:val="22"/>
              </w:rPr>
              <w:t>6.06367</w:t>
            </w:r>
          </w:p>
        </w:tc>
        <w:tc>
          <w:tcPr>
            <w:tcW w:w="0" w:type="auto"/>
            <w:shd w:val="clear" w:color="auto" w:fill="auto"/>
            <w:noWrap/>
            <w:hideMark/>
          </w:tcPr>
          <w:p w14:paraId="2B04C053" w14:textId="77777777" w:rsidR="0070005A" w:rsidRPr="000B4E2C" w:rsidRDefault="0070005A" w:rsidP="004871B7">
            <w:pPr>
              <w:rPr>
                <w:sz w:val="22"/>
              </w:rPr>
            </w:pPr>
            <w:r w:rsidRPr="000B4E2C">
              <w:rPr>
                <w:sz w:val="22"/>
              </w:rPr>
              <w:t>--</w:t>
            </w:r>
          </w:p>
        </w:tc>
        <w:tc>
          <w:tcPr>
            <w:tcW w:w="0" w:type="auto"/>
            <w:shd w:val="clear" w:color="auto" w:fill="auto"/>
            <w:noWrap/>
            <w:hideMark/>
          </w:tcPr>
          <w:p w14:paraId="7053014C" w14:textId="77777777" w:rsidR="0070005A" w:rsidRPr="000B4E2C" w:rsidRDefault="0070005A" w:rsidP="004871B7">
            <w:pPr>
              <w:rPr>
                <w:sz w:val="22"/>
              </w:rPr>
            </w:pPr>
            <w:r w:rsidRPr="000B4E2C">
              <w:rPr>
                <w:sz w:val="22"/>
              </w:rPr>
              <w:t>--</w:t>
            </w:r>
          </w:p>
        </w:tc>
        <w:tc>
          <w:tcPr>
            <w:tcW w:w="0" w:type="auto"/>
            <w:shd w:val="clear" w:color="auto" w:fill="auto"/>
            <w:noWrap/>
            <w:hideMark/>
          </w:tcPr>
          <w:p w14:paraId="3B65B5F3" w14:textId="77777777" w:rsidR="0070005A" w:rsidRPr="000B4E2C" w:rsidRDefault="0070005A" w:rsidP="004871B7">
            <w:pPr>
              <w:rPr>
                <w:sz w:val="22"/>
              </w:rPr>
            </w:pPr>
            <w:r w:rsidRPr="000B4E2C">
              <w:rPr>
                <w:sz w:val="22"/>
              </w:rPr>
              <w:t>Dominant</w:t>
            </w:r>
          </w:p>
        </w:tc>
        <w:tc>
          <w:tcPr>
            <w:tcW w:w="0" w:type="auto"/>
            <w:shd w:val="clear" w:color="auto" w:fill="auto"/>
            <w:noWrap/>
            <w:hideMark/>
          </w:tcPr>
          <w:p w14:paraId="4801F023" w14:textId="77777777" w:rsidR="0070005A" w:rsidRPr="000B4E2C" w:rsidRDefault="0070005A" w:rsidP="004871B7">
            <w:pPr>
              <w:rPr>
                <w:sz w:val="22"/>
              </w:rPr>
            </w:pPr>
            <w:r w:rsidRPr="000B4E2C">
              <w:rPr>
                <w:sz w:val="22"/>
              </w:rPr>
              <w:t>38.9%</w:t>
            </w:r>
          </w:p>
        </w:tc>
        <w:tc>
          <w:tcPr>
            <w:tcW w:w="0" w:type="auto"/>
            <w:shd w:val="clear" w:color="auto" w:fill="auto"/>
            <w:noWrap/>
            <w:hideMark/>
          </w:tcPr>
          <w:p w14:paraId="0D6645C9" w14:textId="77777777" w:rsidR="0070005A" w:rsidRPr="000B4E2C" w:rsidRDefault="0070005A" w:rsidP="004871B7">
            <w:pPr>
              <w:rPr>
                <w:sz w:val="22"/>
              </w:rPr>
            </w:pPr>
            <w:r w:rsidRPr="000B4E2C">
              <w:rPr>
                <w:sz w:val="22"/>
              </w:rPr>
              <w:t>46.9%</w:t>
            </w:r>
          </w:p>
        </w:tc>
      </w:tr>
      <w:tr w:rsidR="000B4E2C" w:rsidRPr="000B4E2C" w14:paraId="7B62BC6C" w14:textId="77777777" w:rsidTr="000B4E2C">
        <w:trPr>
          <w:cantSplit/>
        </w:trPr>
        <w:tc>
          <w:tcPr>
            <w:tcW w:w="0" w:type="auto"/>
            <w:shd w:val="clear" w:color="auto" w:fill="auto"/>
            <w:noWrap/>
            <w:hideMark/>
          </w:tcPr>
          <w:p w14:paraId="56790C69" w14:textId="77777777" w:rsidR="0070005A" w:rsidRPr="000B4E2C" w:rsidRDefault="0070005A" w:rsidP="004871B7">
            <w:pPr>
              <w:rPr>
                <w:sz w:val="22"/>
              </w:rPr>
            </w:pPr>
            <w:r w:rsidRPr="000B4E2C">
              <w:rPr>
                <w:sz w:val="22"/>
              </w:rPr>
              <w:t>Standard care (Scr)</w:t>
            </w:r>
          </w:p>
        </w:tc>
        <w:tc>
          <w:tcPr>
            <w:tcW w:w="0" w:type="auto"/>
            <w:shd w:val="clear" w:color="auto" w:fill="auto"/>
            <w:noWrap/>
            <w:hideMark/>
          </w:tcPr>
          <w:p w14:paraId="7CDDFEDE" w14:textId="77777777" w:rsidR="0070005A" w:rsidRPr="000B4E2C" w:rsidRDefault="0070005A" w:rsidP="004871B7">
            <w:pPr>
              <w:rPr>
                <w:sz w:val="22"/>
              </w:rPr>
            </w:pPr>
            <w:r w:rsidRPr="000B4E2C">
              <w:rPr>
                <w:sz w:val="22"/>
              </w:rPr>
              <w:t>£23,051</w:t>
            </w:r>
          </w:p>
        </w:tc>
        <w:tc>
          <w:tcPr>
            <w:tcW w:w="0" w:type="auto"/>
            <w:shd w:val="clear" w:color="auto" w:fill="auto"/>
            <w:noWrap/>
            <w:hideMark/>
          </w:tcPr>
          <w:p w14:paraId="6B878BF9" w14:textId="77777777" w:rsidR="0070005A" w:rsidRPr="000B4E2C" w:rsidRDefault="0070005A" w:rsidP="004871B7">
            <w:pPr>
              <w:rPr>
                <w:sz w:val="22"/>
              </w:rPr>
            </w:pPr>
            <w:r w:rsidRPr="000B4E2C">
              <w:rPr>
                <w:sz w:val="22"/>
              </w:rPr>
              <w:t xml:space="preserve">Dominated </w:t>
            </w:r>
          </w:p>
        </w:tc>
        <w:tc>
          <w:tcPr>
            <w:tcW w:w="0" w:type="auto"/>
            <w:shd w:val="clear" w:color="auto" w:fill="auto"/>
            <w:noWrap/>
            <w:hideMark/>
          </w:tcPr>
          <w:p w14:paraId="4A11BD14" w14:textId="77777777" w:rsidR="0070005A" w:rsidRPr="000B4E2C" w:rsidRDefault="0070005A" w:rsidP="004871B7">
            <w:pPr>
              <w:rPr>
                <w:sz w:val="22"/>
              </w:rPr>
            </w:pPr>
            <w:r w:rsidRPr="000B4E2C">
              <w:rPr>
                <w:sz w:val="22"/>
              </w:rPr>
              <w:t>6.06314</w:t>
            </w:r>
          </w:p>
        </w:tc>
        <w:tc>
          <w:tcPr>
            <w:tcW w:w="0" w:type="auto"/>
            <w:shd w:val="clear" w:color="auto" w:fill="auto"/>
            <w:noWrap/>
            <w:hideMark/>
          </w:tcPr>
          <w:p w14:paraId="258F7837" w14:textId="77777777" w:rsidR="0070005A" w:rsidRPr="000B4E2C" w:rsidRDefault="0070005A" w:rsidP="004871B7">
            <w:pPr>
              <w:rPr>
                <w:sz w:val="22"/>
              </w:rPr>
            </w:pPr>
            <w:r w:rsidRPr="000B4E2C">
              <w:rPr>
                <w:sz w:val="22"/>
              </w:rPr>
              <w:t xml:space="preserve">Dominated </w:t>
            </w:r>
          </w:p>
        </w:tc>
        <w:tc>
          <w:tcPr>
            <w:tcW w:w="0" w:type="auto"/>
            <w:shd w:val="clear" w:color="auto" w:fill="auto"/>
            <w:noWrap/>
            <w:hideMark/>
          </w:tcPr>
          <w:p w14:paraId="0C03A88E" w14:textId="77777777" w:rsidR="0070005A" w:rsidRPr="000B4E2C" w:rsidRDefault="0070005A" w:rsidP="004871B7">
            <w:pPr>
              <w:rPr>
                <w:sz w:val="22"/>
              </w:rPr>
            </w:pPr>
            <w:r w:rsidRPr="000B4E2C">
              <w:rPr>
                <w:sz w:val="22"/>
              </w:rPr>
              <w:t xml:space="preserve">Dominated </w:t>
            </w:r>
          </w:p>
        </w:tc>
        <w:tc>
          <w:tcPr>
            <w:tcW w:w="0" w:type="auto"/>
            <w:shd w:val="clear" w:color="auto" w:fill="auto"/>
            <w:noWrap/>
            <w:hideMark/>
          </w:tcPr>
          <w:p w14:paraId="03660982" w14:textId="77777777" w:rsidR="0070005A" w:rsidRPr="000B4E2C" w:rsidRDefault="0070005A" w:rsidP="004871B7">
            <w:pPr>
              <w:rPr>
                <w:sz w:val="22"/>
              </w:rPr>
            </w:pPr>
            <w:r w:rsidRPr="000B4E2C">
              <w:rPr>
                <w:sz w:val="22"/>
              </w:rPr>
              <w:t>--</w:t>
            </w:r>
          </w:p>
        </w:tc>
        <w:tc>
          <w:tcPr>
            <w:tcW w:w="0" w:type="auto"/>
            <w:shd w:val="clear" w:color="auto" w:fill="auto"/>
            <w:noWrap/>
            <w:hideMark/>
          </w:tcPr>
          <w:p w14:paraId="7C87835C" w14:textId="77777777" w:rsidR="0070005A" w:rsidRPr="000B4E2C" w:rsidRDefault="0070005A" w:rsidP="004871B7">
            <w:pPr>
              <w:rPr>
                <w:sz w:val="22"/>
              </w:rPr>
            </w:pPr>
            <w:r w:rsidRPr="000B4E2C">
              <w:rPr>
                <w:sz w:val="22"/>
              </w:rPr>
              <w:t>45.6%</w:t>
            </w:r>
          </w:p>
        </w:tc>
        <w:tc>
          <w:tcPr>
            <w:tcW w:w="0" w:type="auto"/>
            <w:shd w:val="clear" w:color="auto" w:fill="auto"/>
            <w:noWrap/>
            <w:hideMark/>
          </w:tcPr>
          <w:p w14:paraId="75C75708" w14:textId="77777777" w:rsidR="0070005A" w:rsidRPr="000B4E2C" w:rsidRDefault="0070005A" w:rsidP="004871B7">
            <w:pPr>
              <w:rPr>
                <w:sz w:val="22"/>
              </w:rPr>
            </w:pPr>
            <w:r w:rsidRPr="000B4E2C">
              <w:rPr>
                <w:sz w:val="22"/>
              </w:rPr>
              <w:t>--</w:t>
            </w:r>
          </w:p>
        </w:tc>
      </w:tr>
      <w:tr w:rsidR="000B4E2C" w:rsidRPr="000B4E2C" w14:paraId="3F510D25" w14:textId="77777777" w:rsidTr="000B4E2C">
        <w:trPr>
          <w:cantSplit/>
        </w:trPr>
        <w:tc>
          <w:tcPr>
            <w:tcW w:w="0" w:type="auto"/>
            <w:shd w:val="clear" w:color="auto" w:fill="auto"/>
            <w:noWrap/>
            <w:hideMark/>
          </w:tcPr>
          <w:p w14:paraId="15E37871" w14:textId="6B2B2A8E" w:rsidR="0070005A" w:rsidRPr="000B4E2C" w:rsidRDefault="0070005A" w:rsidP="004871B7">
            <w:pPr>
              <w:rPr>
                <w:sz w:val="22"/>
              </w:rPr>
            </w:pPr>
            <w:r w:rsidRPr="000B4E2C">
              <w:rPr>
                <w:sz w:val="22"/>
              </w:rPr>
              <w:t>Test 3 (NGAL urine</w:t>
            </w:r>
            <w:r w:rsidR="000B4E2C" w:rsidRPr="000B4E2C">
              <w:rPr>
                <w:color w:val="00B0F0"/>
                <w:sz w:val="22"/>
              </w:rPr>
              <w:t xml:space="preserve"> – </w:t>
            </w:r>
            <w:r w:rsidRPr="000B4E2C">
              <w:rPr>
                <w:sz w:val="22"/>
              </w:rPr>
              <w:t>BioPorto)</w:t>
            </w:r>
          </w:p>
        </w:tc>
        <w:tc>
          <w:tcPr>
            <w:tcW w:w="0" w:type="auto"/>
            <w:shd w:val="clear" w:color="auto" w:fill="auto"/>
            <w:noWrap/>
            <w:hideMark/>
          </w:tcPr>
          <w:p w14:paraId="52904E9B" w14:textId="77777777" w:rsidR="0070005A" w:rsidRPr="000B4E2C" w:rsidRDefault="0070005A" w:rsidP="004871B7">
            <w:pPr>
              <w:rPr>
                <w:sz w:val="22"/>
              </w:rPr>
            </w:pPr>
            <w:r w:rsidRPr="000B4E2C">
              <w:rPr>
                <w:sz w:val="22"/>
              </w:rPr>
              <w:t>£23,099</w:t>
            </w:r>
          </w:p>
        </w:tc>
        <w:tc>
          <w:tcPr>
            <w:tcW w:w="0" w:type="auto"/>
            <w:shd w:val="clear" w:color="auto" w:fill="auto"/>
            <w:noWrap/>
            <w:hideMark/>
          </w:tcPr>
          <w:p w14:paraId="05247C0F"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63B80691" w14:textId="77777777" w:rsidR="0070005A" w:rsidRPr="000B4E2C" w:rsidRDefault="0070005A" w:rsidP="004871B7">
            <w:pPr>
              <w:rPr>
                <w:sz w:val="22"/>
              </w:rPr>
            </w:pPr>
            <w:r w:rsidRPr="000B4E2C">
              <w:rPr>
                <w:sz w:val="22"/>
              </w:rPr>
              <w:t>6.06341</w:t>
            </w:r>
          </w:p>
        </w:tc>
        <w:tc>
          <w:tcPr>
            <w:tcW w:w="0" w:type="auto"/>
            <w:shd w:val="clear" w:color="auto" w:fill="auto"/>
            <w:noWrap/>
            <w:hideMark/>
          </w:tcPr>
          <w:p w14:paraId="25E0CE95"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3C61DECE"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11AD52EA" w14:textId="77777777" w:rsidR="0070005A" w:rsidRPr="000B4E2C" w:rsidRDefault="0070005A" w:rsidP="004871B7">
            <w:pPr>
              <w:rPr>
                <w:sz w:val="22"/>
              </w:rPr>
            </w:pPr>
            <w:r w:rsidRPr="000B4E2C">
              <w:rPr>
                <w:sz w:val="22"/>
              </w:rPr>
              <w:t>£175,838</w:t>
            </w:r>
          </w:p>
        </w:tc>
        <w:tc>
          <w:tcPr>
            <w:tcW w:w="0" w:type="auto"/>
            <w:shd w:val="clear" w:color="auto" w:fill="auto"/>
            <w:noWrap/>
            <w:hideMark/>
          </w:tcPr>
          <w:p w14:paraId="415298D3" w14:textId="77777777" w:rsidR="0070005A" w:rsidRPr="000B4E2C" w:rsidRDefault="0070005A" w:rsidP="004871B7">
            <w:pPr>
              <w:rPr>
                <w:sz w:val="22"/>
              </w:rPr>
            </w:pPr>
            <w:r w:rsidRPr="000B4E2C">
              <w:rPr>
                <w:sz w:val="22"/>
              </w:rPr>
              <w:t>12.6%</w:t>
            </w:r>
          </w:p>
        </w:tc>
        <w:tc>
          <w:tcPr>
            <w:tcW w:w="0" w:type="auto"/>
            <w:shd w:val="clear" w:color="auto" w:fill="auto"/>
            <w:noWrap/>
            <w:hideMark/>
          </w:tcPr>
          <w:p w14:paraId="18BDAAE0" w14:textId="77777777" w:rsidR="0070005A" w:rsidRPr="000B4E2C" w:rsidRDefault="0070005A" w:rsidP="004871B7">
            <w:pPr>
              <w:rPr>
                <w:sz w:val="22"/>
              </w:rPr>
            </w:pPr>
            <w:r w:rsidRPr="000B4E2C">
              <w:rPr>
                <w:sz w:val="22"/>
              </w:rPr>
              <w:t>29.5%</w:t>
            </w:r>
          </w:p>
        </w:tc>
      </w:tr>
      <w:tr w:rsidR="000B4E2C" w:rsidRPr="000B4E2C" w14:paraId="02A93CC5" w14:textId="77777777" w:rsidTr="000B4E2C">
        <w:trPr>
          <w:cantSplit/>
        </w:trPr>
        <w:tc>
          <w:tcPr>
            <w:tcW w:w="0" w:type="auto"/>
            <w:shd w:val="clear" w:color="auto" w:fill="auto"/>
            <w:noWrap/>
            <w:hideMark/>
          </w:tcPr>
          <w:p w14:paraId="23722001" w14:textId="6220C964" w:rsidR="0070005A" w:rsidRPr="000B4E2C" w:rsidRDefault="0070005A" w:rsidP="004871B7">
            <w:pPr>
              <w:rPr>
                <w:sz w:val="22"/>
              </w:rPr>
            </w:pPr>
            <w:r w:rsidRPr="000B4E2C">
              <w:rPr>
                <w:sz w:val="22"/>
              </w:rPr>
              <w:t>Test 2 (NGAL plasma</w:t>
            </w:r>
            <w:r w:rsidR="000B4E2C" w:rsidRPr="000B4E2C">
              <w:rPr>
                <w:color w:val="00B0F0"/>
                <w:sz w:val="22"/>
              </w:rPr>
              <w:t xml:space="preserve"> – </w:t>
            </w:r>
            <w:r w:rsidRPr="000B4E2C">
              <w:rPr>
                <w:sz w:val="22"/>
              </w:rPr>
              <w:t>BioPorto)</w:t>
            </w:r>
          </w:p>
        </w:tc>
        <w:tc>
          <w:tcPr>
            <w:tcW w:w="0" w:type="auto"/>
            <w:shd w:val="clear" w:color="auto" w:fill="auto"/>
            <w:noWrap/>
            <w:hideMark/>
          </w:tcPr>
          <w:p w14:paraId="6C429EDA" w14:textId="77777777" w:rsidR="0070005A" w:rsidRPr="000B4E2C" w:rsidRDefault="0070005A" w:rsidP="004871B7">
            <w:pPr>
              <w:rPr>
                <w:sz w:val="22"/>
              </w:rPr>
            </w:pPr>
            <w:r w:rsidRPr="000B4E2C">
              <w:rPr>
                <w:sz w:val="22"/>
              </w:rPr>
              <w:t>£23,115</w:t>
            </w:r>
          </w:p>
        </w:tc>
        <w:tc>
          <w:tcPr>
            <w:tcW w:w="0" w:type="auto"/>
            <w:shd w:val="clear" w:color="auto" w:fill="auto"/>
            <w:noWrap/>
            <w:hideMark/>
          </w:tcPr>
          <w:p w14:paraId="52D4FEE4"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504347AB" w14:textId="77777777" w:rsidR="0070005A" w:rsidRPr="000B4E2C" w:rsidRDefault="0070005A" w:rsidP="004871B7">
            <w:pPr>
              <w:rPr>
                <w:sz w:val="22"/>
              </w:rPr>
            </w:pPr>
            <w:r w:rsidRPr="000B4E2C">
              <w:rPr>
                <w:sz w:val="22"/>
              </w:rPr>
              <w:t>6.06342</w:t>
            </w:r>
          </w:p>
        </w:tc>
        <w:tc>
          <w:tcPr>
            <w:tcW w:w="0" w:type="auto"/>
            <w:shd w:val="clear" w:color="auto" w:fill="auto"/>
            <w:noWrap/>
            <w:hideMark/>
          </w:tcPr>
          <w:p w14:paraId="402158F7"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5A5EE082"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04D7C0D5" w14:textId="77777777" w:rsidR="0070005A" w:rsidRPr="000B4E2C" w:rsidRDefault="0070005A" w:rsidP="004871B7">
            <w:pPr>
              <w:rPr>
                <w:sz w:val="22"/>
              </w:rPr>
            </w:pPr>
            <w:r w:rsidRPr="000B4E2C">
              <w:rPr>
                <w:sz w:val="22"/>
              </w:rPr>
              <w:t>£227,728</w:t>
            </w:r>
          </w:p>
        </w:tc>
        <w:tc>
          <w:tcPr>
            <w:tcW w:w="0" w:type="auto"/>
            <w:shd w:val="clear" w:color="auto" w:fill="auto"/>
            <w:noWrap/>
            <w:hideMark/>
          </w:tcPr>
          <w:p w14:paraId="640D6A8B" w14:textId="77777777" w:rsidR="0070005A" w:rsidRPr="000B4E2C" w:rsidRDefault="0070005A" w:rsidP="004871B7">
            <w:pPr>
              <w:rPr>
                <w:sz w:val="22"/>
              </w:rPr>
            </w:pPr>
            <w:r w:rsidRPr="000B4E2C">
              <w:rPr>
                <w:sz w:val="22"/>
              </w:rPr>
              <w:t>2.9%</w:t>
            </w:r>
          </w:p>
        </w:tc>
        <w:tc>
          <w:tcPr>
            <w:tcW w:w="0" w:type="auto"/>
            <w:shd w:val="clear" w:color="auto" w:fill="auto"/>
            <w:noWrap/>
            <w:hideMark/>
          </w:tcPr>
          <w:p w14:paraId="71BD350E" w14:textId="77777777" w:rsidR="0070005A" w:rsidRPr="000B4E2C" w:rsidRDefault="0070005A" w:rsidP="004871B7">
            <w:pPr>
              <w:rPr>
                <w:sz w:val="22"/>
              </w:rPr>
            </w:pPr>
            <w:r w:rsidRPr="000B4E2C">
              <w:rPr>
                <w:sz w:val="22"/>
              </w:rPr>
              <w:t>25.1%</w:t>
            </w:r>
          </w:p>
        </w:tc>
      </w:tr>
      <w:tr w:rsidR="000B4E2C" w:rsidRPr="000B4E2C" w14:paraId="51C5039E" w14:textId="77777777" w:rsidTr="000B4E2C">
        <w:trPr>
          <w:cantSplit/>
        </w:trPr>
        <w:tc>
          <w:tcPr>
            <w:tcW w:w="0" w:type="auto"/>
            <w:shd w:val="clear" w:color="auto" w:fill="auto"/>
            <w:noWrap/>
            <w:hideMark/>
          </w:tcPr>
          <w:p w14:paraId="318D0D96" w14:textId="51835F56" w:rsidR="0070005A" w:rsidRPr="000B4E2C" w:rsidRDefault="0070005A" w:rsidP="004871B7">
            <w:pPr>
              <w:rPr>
                <w:sz w:val="22"/>
              </w:rPr>
            </w:pPr>
            <w:r w:rsidRPr="000B4E2C">
              <w:rPr>
                <w:sz w:val="22"/>
              </w:rPr>
              <w:t>Test 4 (NGAL urine</w:t>
            </w:r>
            <w:r w:rsidR="000B4E2C" w:rsidRPr="000B4E2C">
              <w:rPr>
                <w:color w:val="00B0F0"/>
                <w:sz w:val="22"/>
              </w:rPr>
              <w:t xml:space="preserve"> – </w:t>
            </w:r>
            <w:r w:rsidRPr="000B4E2C">
              <w:rPr>
                <w:sz w:val="22"/>
              </w:rPr>
              <w:t>ARCHITECT)</w:t>
            </w:r>
          </w:p>
        </w:tc>
        <w:tc>
          <w:tcPr>
            <w:tcW w:w="0" w:type="auto"/>
            <w:shd w:val="clear" w:color="auto" w:fill="auto"/>
            <w:noWrap/>
            <w:hideMark/>
          </w:tcPr>
          <w:p w14:paraId="0B4EF9EE" w14:textId="77777777" w:rsidR="0070005A" w:rsidRPr="000B4E2C" w:rsidRDefault="0070005A" w:rsidP="004871B7">
            <w:pPr>
              <w:rPr>
                <w:sz w:val="22"/>
              </w:rPr>
            </w:pPr>
            <w:r w:rsidRPr="000B4E2C">
              <w:rPr>
                <w:sz w:val="22"/>
              </w:rPr>
              <w:t>£23,118</w:t>
            </w:r>
          </w:p>
        </w:tc>
        <w:tc>
          <w:tcPr>
            <w:tcW w:w="0" w:type="auto"/>
            <w:shd w:val="clear" w:color="auto" w:fill="auto"/>
            <w:noWrap/>
            <w:hideMark/>
          </w:tcPr>
          <w:p w14:paraId="6FD6E00C"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215E1C3B" w14:textId="77777777" w:rsidR="0070005A" w:rsidRPr="000B4E2C" w:rsidRDefault="0070005A" w:rsidP="004871B7">
            <w:pPr>
              <w:rPr>
                <w:sz w:val="22"/>
              </w:rPr>
            </w:pPr>
            <w:r w:rsidRPr="000B4E2C">
              <w:rPr>
                <w:sz w:val="22"/>
              </w:rPr>
              <w:t>6.06339</w:t>
            </w:r>
          </w:p>
        </w:tc>
        <w:tc>
          <w:tcPr>
            <w:tcW w:w="0" w:type="auto"/>
            <w:shd w:val="clear" w:color="auto" w:fill="auto"/>
            <w:noWrap/>
            <w:hideMark/>
          </w:tcPr>
          <w:p w14:paraId="326DBE41"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37288DA5" w14:textId="77777777" w:rsidR="0070005A" w:rsidRPr="000B4E2C" w:rsidRDefault="0070005A" w:rsidP="004871B7">
            <w:pPr>
              <w:rPr>
                <w:sz w:val="22"/>
              </w:rPr>
            </w:pPr>
            <w:r w:rsidRPr="000B4E2C">
              <w:rPr>
                <w:sz w:val="22"/>
              </w:rPr>
              <w:t>Dominated</w:t>
            </w:r>
          </w:p>
        </w:tc>
        <w:tc>
          <w:tcPr>
            <w:tcW w:w="0" w:type="auto"/>
            <w:shd w:val="clear" w:color="auto" w:fill="auto"/>
            <w:noWrap/>
            <w:hideMark/>
          </w:tcPr>
          <w:p w14:paraId="29CEB81A" w14:textId="77777777" w:rsidR="0070005A" w:rsidRPr="000B4E2C" w:rsidRDefault="0070005A" w:rsidP="004871B7">
            <w:pPr>
              <w:rPr>
                <w:sz w:val="22"/>
              </w:rPr>
            </w:pPr>
            <w:r w:rsidRPr="000B4E2C">
              <w:rPr>
                <w:sz w:val="22"/>
              </w:rPr>
              <w:t>£268,527</w:t>
            </w:r>
          </w:p>
        </w:tc>
        <w:tc>
          <w:tcPr>
            <w:tcW w:w="0" w:type="auto"/>
            <w:shd w:val="clear" w:color="auto" w:fill="auto"/>
            <w:noWrap/>
            <w:hideMark/>
          </w:tcPr>
          <w:p w14:paraId="7A798A05" w14:textId="77777777" w:rsidR="0070005A" w:rsidRPr="000B4E2C" w:rsidRDefault="0070005A" w:rsidP="004871B7">
            <w:pPr>
              <w:rPr>
                <w:sz w:val="22"/>
              </w:rPr>
            </w:pPr>
            <w:r w:rsidRPr="000B4E2C">
              <w:rPr>
                <w:sz w:val="22"/>
              </w:rPr>
              <w:t>0.0%</w:t>
            </w:r>
          </w:p>
        </w:tc>
        <w:tc>
          <w:tcPr>
            <w:tcW w:w="0" w:type="auto"/>
            <w:shd w:val="clear" w:color="auto" w:fill="auto"/>
            <w:noWrap/>
            <w:hideMark/>
          </w:tcPr>
          <w:p w14:paraId="23B0D416" w14:textId="77777777" w:rsidR="0070005A" w:rsidRPr="000B4E2C" w:rsidRDefault="0070005A" w:rsidP="004871B7">
            <w:pPr>
              <w:rPr>
                <w:sz w:val="22"/>
              </w:rPr>
            </w:pPr>
            <w:r w:rsidRPr="000B4E2C">
              <w:rPr>
                <w:sz w:val="22"/>
              </w:rPr>
              <w:t>20.9%</w:t>
            </w:r>
          </w:p>
        </w:tc>
      </w:tr>
    </w:tbl>
    <w:p w14:paraId="1B3E5D63" w14:textId="77777777" w:rsidR="000B4E2C" w:rsidRPr="000B4E2C" w:rsidRDefault="000B4E2C" w:rsidP="0070005A"/>
    <w:p w14:paraId="1ED31A68" w14:textId="341D71C7" w:rsidR="0070005A" w:rsidRPr="000B4E2C" w:rsidRDefault="0070005A" w:rsidP="0070005A">
      <w:pPr>
        <w:rPr>
          <w:b/>
          <w:szCs w:val="24"/>
        </w:rPr>
      </w:pPr>
      <w:r w:rsidRPr="000B4E2C">
        <w:rPr>
          <w:b/>
          <w:szCs w:val="24"/>
        </w:rPr>
        <w:t>R</w:t>
      </w:r>
      <w:r w:rsidR="00622ABB" w:rsidRPr="000B4E2C">
        <w:rPr>
          <w:b/>
          <w:szCs w:val="24"/>
        </w:rPr>
        <w:t>eferences</w:t>
      </w:r>
    </w:p>
    <w:p w14:paraId="23A8D0EA" w14:textId="77777777" w:rsidR="0070005A" w:rsidRPr="000B4E2C" w:rsidRDefault="0070005A" w:rsidP="0070005A">
      <w:pPr>
        <w:pStyle w:val="ListParagraph"/>
        <w:numPr>
          <w:ilvl w:val="0"/>
          <w:numId w:val="51"/>
        </w:numPr>
        <w:spacing w:after="160"/>
        <w:rPr>
          <w:sz w:val="22"/>
          <w:highlight w:val="green"/>
          <w:lang w:val="da-DK"/>
        </w:rPr>
      </w:pPr>
      <w:r w:rsidRPr="000B4E2C">
        <w:rPr>
          <w:sz w:val="22"/>
          <w:highlight w:val="green"/>
          <w:lang w:val="da-DK"/>
        </w:rPr>
        <w:t xml:space="preserve">Meersch M, Schmidt C, Hoffmeier A, et al. </w:t>
      </w:r>
      <w:r w:rsidRPr="000B4E2C">
        <w:rPr>
          <w:sz w:val="22"/>
          <w:highlight w:val="green"/>
        </w:rPr>
        <w:t xml:space="preserve">Prevention of cardiac surgery-associated AKI by implementing the KDIGO guidelines in high risk patients identified by biomarkers: the PrevAKI randomized controlled trial. </w:t>
      </w:r>
      <w:r w:rsidRPr="000B4E2C">
        <w:rPr>
          <w:i/>
          <w:sz w:val="22"/>
          <w:highlight w:val="green"/>
          <w:lang w:val="da-DK"/>
        </w:rPr>
        <w:t>Intensive Care Med</w:t>
      </w:r>
      <w:r w:rsidRPr="000B4E2C">
        <w:rPr>
          <w:sz w:val="22"/>
          <w:highlight w:val="green"/>
          <w:lang w:val="da-DK"/>
        </w:rPr>
        <w:t xml:space="preserve"> 2017; 43(11), 1551-61.</w:t>
      </w:r>
    </w:p>
    <w:p w14:paraId="1E635F47" w14:textId="77777777" w:rsidR="0070005A" w:rsidRPr="000B4E2C" w:rsidRDefault="0070005A" w:rsidP="0070005A">
      <w:pPr>
        <w:pStyle w:val="ListParagraph"/>
        <w:numPr>
          <w:ilvl w:val="0"/>
          <w:numId w:val="51"/>
        </w:numPr>
        <w:spacing w:after="160"/>
        <w:rPr>
          <w:sz w:val="22"/>
          <w:highlight w:val="green"/>
        </w:rPr>
      </w:pPr>
      <w:r w:rsidRPr="000B4E2C">
        <w:rPr>
          <w:sz w:val="22"/>
          <w:highlight w:val="green"/>
          <w:lang w:val="da-DK"/>
        </w:rPr>
        <w:t xml:space="preserve">Gocze I, Jauch D, Gotz M, et al. </w:t>
      </w:r>
      <w:r w:rsidRPr="000B4E2C">
        <w:rPr>
          <w:sz w:val="22"/>
          <w:highlight w:val="green"/>
        </w:rPr>
        <w:t xml:space="preserve">Biomarker-guided Intervention to Prevent Acute Kidney Injury after Major Surgery. </w:t>
      </w:r>
      <w:r w:rsidRPr="000B4E2C">
        <w:rPr>
          <w:i/>
          <w:sz w:val="22"/>
          <w:highlight w:val="green"/>
        </w:rPr>
        <w:t>Ann Surg</w:t>
      </w:r>
      <w:r w:rsidRPr="000B4E2C">
        <w:rPr>
          <w:sz w:val="22"/>
          <w:highlight w:val="green"/>
        </w:rPr>
        <w:t xml:space="preserve"> 2018; 267(6), 1013-20.</w:t>
      </w:r>
    </w:p>
    <w:p w14:paraId="42915E6E" w14:textId="77777777" w:rsidR="000B4E2C" w:rsidRPr="000B4E2C" w:rsidRDefault="000B4E2C" w:rsidP="0070005A">
      <w:pPr>
        <w:rPr>
          <w:szCs w:val="24"/>
        </w:rPr>
      </w:pPr>
    </w:p>
    <w:p w14:paraId="369B4A91" w14:textId="24E6A0DE" w:rsidR="00B76BCE" w:rsidRPr="000B4E2C" w:rsidRDefault="00B76BCE" w:rsidP="00B76BCE"/>
    <w:sectPr w:rsidR="00B76BCE" w:rsidRPr="000B4E2C" w:rsidSect="00FC10E6">
      <w:footerReference w:type="default" r:id="rId14"/>
      <w:footerReference w:type="first" r:id="rId15"/>
      <w:pgSz w:w="11906" w:h="16838" w:code="9"/>
      <w:pgMar w:top="1440" w:right="1797" w:bottom="1440" w:left="179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Ross Stewart" w:date="2020-12-11T15:02:00Z" w:initials="RS">
    <w:p w14:paraId="0448DA6B" w14:textId="77777777" w:rsidR="00BB4DF5" w:rsidRDefault="00BB4DF5">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53452587" w14:textId="79EFF7A2" w:rsidR="00BB4DF5" w:rsidRDefault="00BB4DF5">
      <w:pPr>
        <w:pStyle w:val="CommentText"/>
      </w:pPr>
      <w:r>
        <w:t>If copyright permission is required for any reproduced material from your dual publications, please seek this as early as possible to avoid any delays.</w:t>
      </w:r>
    </w:p>
  </w:comment>
  <w:comment w:id="1" w:author="Ross Stewart" w:date="2020-12-11T15:02:00Z" w:initials="RS">
    <w:p w14:paraId="1830D9E6" w14:textId="77777777" w:rsidR="00BB4DF5" w:rsidRDefault="00BB4DF5">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05FC0DF9" w14:textId="3F1079FC" w:rsidR="00BB4DF5" w:rsidRDefault="00BB4DF5">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Ross Stewart" w:date="2020-12-11T15:02:00Z" w:initials="RS">
    <w:p w14:paraId="7EA36AC5" w14:textId="1B58B23C" w:rsidR="00BB4DF5" w:rsidRDefault="00BB4DF5" w:rsidP="001F4F29">
      <w:pPr>
        <w:rPr>
          <w:sz w:val="22"/>
          <w:lang w:val="en-GB"/>
        </w:rPr>
      </w:pPr>
      <w:r>
        <w:rPr>
          <w:rStyle w:val="CommentReference"/>
        </w:rPr>
        <w:annotationRef/>
      </w:r>
      <w:r>
        <w:rPr>
          <w:sz w:val="22"/>
          <w:lang w:val="en-GB"/>
        </w:rPr>
        <w:t>The following text has been removed from the report; the appropriate copyright statements will be added as standard; OK?</w:t>
      </w:r>
    </w:p>
    <w:p w14:paraId="73D0D7F7" w14:textId="77777777" w:rsidR="00BB4DF5" w:rsidRDefault="00BB4DF5" w:rsidP="001F4F29">
      <w:pPr>
        <w:rPr>
          <w:sz w:val="22"/>
          <w:lang w:val="en-GB"/>
        </w:rPr>
      </w:pPr>
    </w:p>
    <w:p w14:paraId="762491C9" w14:textId="5E440DC3" w:rsidR="00BB4DF5" w:rsidRPr="001F4F29" w:rsidRDefault="00BB4DF5" w:rsidP="001F4F29">
      <w:pPr>
        <w:rPr>
          <w:sz w:val="22"/>
        </w:rPr>
      </w:pPr>
      <w:r w:rsidRPr="00175E08">
        <w:rPr>
          <w:sz w:val="22"/>
          <w:lang w:val="en-GB"/>
        </w:rPr>
        <w:t>Copyright belongs to University of Aberdeen HTA Group, unless otherwise stated.</w:t>
      </w:r>
    </w:p>
  </w:comment>
  <w:comment w:id="3" w:author="Ross Stewart" w:date="2020-12-11T14:45:00Z" w:initials="RS">
    <w:p w14:paraId="399B8059" w14:textId="77777777" w:rsidR="00BB4DF5" w:rsidRDefault="00BB4DF5" w:rsidP="003B49F2">
      <w:pPr>
        <w:pStyle w:val="CommentText"/>
      </w:pPr>
      <w:r>
        <w:rPr>
          <w:rStyle w:val="CommentReference"/>
        </w:rPr>
        <w:annotationRef/>
      </w:r>
      <w:r>
        <w:t>Please provide date range of committee membership (e.g. 2016 to present).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452587" w15:done="0"/>
  <w15:commentEx w15:paraId="05FC0DF9" w15:done="0"/>
  <w15:commentEx w15:paraId="762491C9" w15:done="0"/>
  <w15:commentEx w15:paraId="399B80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E0886" w16cex:dateUtc="2020-12-11T15:02:00Z"/>
  <w16cex:commentExtensible w16cex:durableId="237E088A" w16cex:dateUtc="2020-12-11T15:02:00Z"/>
  <w16cex:commentExtensible w16cex:durableId="237E088E" w16cex:dateUtc="2020-12-11T15:02:00Z"/>
  <w16cex:commentExtensible w16cex:durableId="237E049F" w16cex:dateUtc="2020-12-11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452587" w16cid:durableId="237E0886"/>
  <w16cid:commentId w16cid:paraId="05FC0DF9" w16cid:durableId="237E088A"/>
  <w16cid:commentId w16cid:paraId="762491C9" w16cid:durableId="237E088E"/>
  <w16cid:commentId w16cid:paraId="399B8059" w16cid:durableId="237E04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2677A" w14:textId="77777777" w:rsidR="00BD5213" w:rsidRDefault="00BD5213">
      <w:r>
        <w:separator/>
      </w:r>
    </w:p>
  </w:endnote>
  <w:endnote w:type="continuationSeparator" w:id="0">
    <w:p w14:paraId="3B18911A" w14:textId="77777777" w:rsidR="00BD5213" w:rsidRDefault="00BD5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Lato Black">
    <w:altName w:val="Lato Bla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B0604020202020204"/>
    <w:charset w:val="00"/>
    <w:family w:val="swiss"/>
    <w:pitch w:val="variable"/>
    <w:sig w:usb0="E10002FF" w:usb1="5000ECFF" w:usb2="00000021" w:usb3="00000000" w:csb0="0000019F" w:csb1="00000000"/>
  </w:font>
  <w:font w:name="Lato Medium">
    <w:altName w:val="Lato Med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40503050201020203"/>
    <w:charset w:val="00"/>
    <w:family w:val="roman"/>
    <w:pitch w:val="variable"/>
    <w:sig w:usb0="60000287" w:usb1="00000001" w:usb2="00000000" w:usb3="00000000" w:csb0="0000019F" w:csb1="00000000"/>
  </w:font>
  <w:font w:name="Lato Semibold">
    <w:altName w:val="Lato Semibold"/>
    <w:panose1 w:val="020B0604020202020204"/>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AdvTTd877c31c+22">
    <w:altName w:val="Malgun Gothic Semilight"/>
    <w:panose1 w:val="020B0604020202020204"/>
    <w:charset w:val="86"/>
    <w:family w:val="auto"/>
    <w:notTrueType/>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Sabon-Roman">
    <w:altName w:val="Cambria"/>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8D94C" w14:textId="2BFCDB39" w:rsidR="00BB4DF5" w:rsidRDefault="00BB4DF5">
    <w:pPr>
      <w:pStyle w:val="Footer"/>
      <w:jc w:val="center"/>
    </w:pPr>
  </w:p>
  <w:p w14:paraId="25A52B40" w14:textId="77777777" w:rsidR="00BB4DF5" w:rsidRDefault="00BB4D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6D9FA" w14:textId="77777777" w:rsidR="00BB4DF5" w:rsidRDefault="00BB4DF5">
    <w:pPr>
      <w:pStyle w:val="Footer"/>
      <w:jc w:val="center"/>
    </w:pPr>
  </w:p>
  <w:p w14:paraId="654522F6" w14:textId="77777777" w:rsidR="00BB4DF5" w:rsidRDefault="00BB4D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587338"/>
      <w:docPartObj>
        <w:docPartGallery w:val="Page Numbers (Bottom of Page)"/>
        <w:docPartUnique/>
      </w:docPartObj>
    </w:sdtPr>
    <w:sdtEndPr>
      <w:rPr>
        <w:noProof/>
      </w:rPr>
    </w:sdtEndPr>
    <w:sdtContent>
      <w:p w14:paraId="4A1CFF80" w14:textId="13C55881" w:rsidR="00BB4DF5" w:rsidRDefault="00BB4DF5">
        <w:pPr>
          <w:pStyle w:val="Footer"/>
          <w:jc w:val="center"/>
        </w:pPr>
        <w:r>
          <w:fldChar w:fldCharType="begin"/>
        </w:r>
        <w:r>
          <w:instrText xml:space="preserve"> PAGE   \* MERGEFORMAT </w:instrText>
        </w:r>
        <w:r>
          <w:fldChar w:fldCharType="separate"/>
        </w:r>
        <w:r>
          <w:rPr>
            <w:noProof/>
          </w:rPr>
          <w:t>402</w:t>
        </w:r>
        <w:r>
          <w:rPr>
            <w:noProof/>
          </w:rPr>
          <w:fldChar w:fldCharType="end"/>
        </w:r>
      </w:p>
    </w:sdtContent>
  </w:sdt>
  <w:p w14:paraId="5582B89A" w14:textId="77777777" w:rsidR="00BB4DF5" w:rsidRDefault="00BB4D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485D5" w14:textId="77777777" w:rsidR="00BB4DF5" w:rsidRDefault="00BB4DF5">
    <w:pPr>
      <w:pStyle w:val="Footer"/>
      <w:jc w:val="center"/>
    </w:pPr>
  </w:p>
  <w:p w14:paraId="2C0F0031" w14:textId="77777777" w:rsidR="00BB4DF5" w:rsidRDefault="00BB4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10904" w14:textId="77777777" w:rsidR="00BD5213" w:rsidRDefault="00BD5213">
      <w:r>
        <w:separator/>
      </w:r>
    </w:p>
  </w:footnote>
  <w:footnote w:type="continuationSeparator" w:id="0">
    <w:p w14:paraId="4640D775" w14:textId="77777777" w:rsidR="00BD5213" w:rsidRDefault="00BD5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13C83"/>
    <w:multiLevelType w:val="hybridMultilevel"/>
    <w:tmpl w:val="6A20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63CAE"/>
    <w:multiLevelType w:val="multilevel"/>
    <w:tmpl w:val="44DE76C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9E6B90"/>
    <w:multiLevelType w:val="hybridMultilevel"/>
    <w:tmpl w:val="3DF67B98"/>
    <w:lvl w:ilvl="0" w:tplc="9EF6AF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012E5A"/>
    <w:multiLevelType w:val="hybridMultilevel"/>
    <w:tmpl w:val="D0BEC5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F108E6"/>
    <w:multiLevelType w:val="hybridMultilevel"/>
    <w:tmpl w:val="0F904286"/>
    <w:lvl w:ilvl="0" w:tplc="2E6EBE5A">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AD4CCB"/>
    <w:multiLevelType w:val="hybridMultilevel"/>
    <w:tmpl w:val="75C0A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F522CD"/>
    <w:multiLevelType w:val="hybridMultilevel"/>
    <w:tmpl w:val="0C64D0CE"/>
    <w:lvl w:ilvl="0" w:tplc="A49ED62C">
      <w:start w:val="1"/>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EEF19A8"/>
    <w:multiLevelType w:val="hybridMultilevel"/>
    <w:tmpl w:val="5E3EF556"/>
    <w:lvl w:ilvl="0" w:tplc="720483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620048"/>
    <w:multiLevelType w:val="hybridMultilevel"/>
    <w:tmpl w:val="D31094F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764B6"/>
    <w:multiLevelType w:val="hybridMultilevel"/>
    <w:tmpl w:val="DBA87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5C494A"/>
    <w:multiLevelType w:val="hybridMultilevel"/>
    <w:tmpl w:val="B83E9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D60889"/>
    <w:multiLevelType w:val="hybridMultilevel"/>
    <w:tmpl w:val="A9B28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C37B97"/>
    <w:multiLevelType w:val="hybridMultilevel"/>
    <w:tmpl w:val="4A449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716826"/>
    <w:multiLevelType w:val="hybridMultilevel"/>
    <w:tmpl w:val="AC002DCE"/>
    <w:lvl w:ilvl="0" w:tplc="A0987E5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581DA1"/>
    <w:multiLevelType w:val="hybridMultilevel"/>
    <w:tmpl w:val="386E603E"/>
    <w:lvl w:ilvl="0" w:tplc="2E6EBE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086B74"/>
    <w:multiLevelType w:val="hybridMultilevel"/>
    <w:tmpl w:val="307666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D67A60"/>
    <w:multiLevelType w:val="hybridMultilevel"/>
    <w:tmpl w:val="0EF06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9F0F8B"/>
    <w:multiLevelType w:val="hybridMultilevel"/>
    <w:tmpl w:val="00C25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661393"/>
    <w:multiLevelType w:val="hybridMultilevel"/>
    <w:tmpl w:val="53347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8C008B"/>
    <w:multiLevelType w:val="hybridMultilevel"/>
    <w:tmpl w:val="00B43F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2E040BAA"/>
    <w:multiLevelType w:val="hybridMultilevel"/>
    <w:tmpl w:val="31283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6552A5"/>
    <w:multiLevelType w:val="hybridMultilevel"/>
    <w:tmpl w:val="72D85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1508A1"/>
    <w:multiLevelType w:val="multilevel"/>
    <w:tmpl w:val="E5300A2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49A292D"/>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5274668"/>
    <w:multiLevelType w:val="hybridMultilevel"/>
    <w:tmpl w:val="18A252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AEB7B28"/>
    <w:multiLevelType w:val="hybridMultilevel"/>
    <w:tmpl w:val="ED94E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C175ED"/>
    <w:multiLevelType w:val="hybridMultilevel"/>
    <w:tmpl w:val="AD5E6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0B3A55"/>
    <w:multiLevelType w:val="hybridMultilevel"/>
    <w:tmpl w:val="CA4EB2B2"/>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1552D3D"/>
    <w:multiLevelType w:val="hybridMultilevel"/>
    <w:tmpl w:val="4C749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A23027"/>
    <w:multiLevelType w:val="hybridMultilevel"/>
    <w:tmpl w:val="1AF81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9038AC"/>
    <w:multiLevelType w:val="hybridMultilevel"/>
    <w:tmpl w:val="D1D45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C4430D"/>
    <w:multiLevelType w:val="hybridMultilevel"/>
    <w:tmpl w:val="0A303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063CCA"/>
    <w:multiLevelType w:val="hybridMultilevel"/>
    <w:tmpl w:val="25243BF2"/>
    <w:lvl w:ilvl="0" w:tplc="08090001">
      <w:start w:val="1"/>
      <w:numFmt w:val="bullet"/>
      <w:lvlText w:val=""/>
      <w:lvlJc w:val="left"/>
      <w:pPr>
        <w:ind w:left="720" w:hanging="360"/>
      </w:pPr>
      <w:rPr>
        <w:rFonts w:ascii="Symbol" w:hAnsi="Symbol" w:hint="default"/>
      </w:rPr>
    </w:lvl>
    <w:lvl w:ilvl="1" w:tplc="0D76D254">
      <w:numFmt w:val="bullet"/>
      <w:lvlText w:val="•"/>
      <w:lvlJc w:val="left"/>
      <w:pPr>
        <w:ind w:left="1800" w:hanging="72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893F2E"/>
    <w:multiLevelType w:val="hybridMultilevel"/>
    <w:tmpl w:val="2BB05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B77677A"/>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2432CE5"/>
    <w:multiLevelType w:val="hybridMultilevel"/>
    <w:tmpl w:val="017C5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D038D5"/>
    <w:multiLevelType w:val="hybridMultilevel"/>
    <w:tmpl w:val="1E7CE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5852196"/>
    <w:multiLevelType w:val="hybridMultilevel"/>
    <w:tmpl w:val="4CE0B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935C73"/>
    <w:multiLevelType w:val="hybridMultilevel"/>
    <w:tmpl w:val="C39A9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8370665"/>
    <w:multiLevelType w:val="hybridMultilevel"/>
    <w:tmpl w:val="13562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D24051"/>
    <w:multiLevelType w:val="hybridMultilevel"/>
    <w:tmpl w:val="4BD6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AEB3F71"/>
    <w:multiLevelType w:val="hybridMultilevel"/>
    <w:tmpl w:val="1D9E8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C59037B"/>
    <w:multiLevelType w:val="hybridMultilevel"/>
    <w:tmpl w:val="8E062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F0479CB"/>
    <w:multiLevelType w:val="hybridMultilevel"/>
    <w:tmpl w:val="678E1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348085B"/>
    <w:multiLevelType w:val="hybridMultilevel"/>
    <w:tmpl w:val="14F20B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3E815A5"/>
    <w:multiLevelType w:val="hybridMultilevel"/>
    <w:tmpl w:val="3920E27C"/>
    <w:lvl w:ilvl="0" w:tplc="0809000F">
      <w:start w:val="1"/>
      <w:numFmt w:val="decimal"/>
      <w:lvlText w:val="%1."/>
      <w:lvlJc w:val="left"/>
      <w:pPr>
        <w:ind w:left="720" w:hanging="360"/>
      </w:pPr>
      <w:rPr>
        <w:rFonts w:hint="default"/>
      </w:rPr>
    </w:lvl>
    <w:lvl w:ilvl="1" w:tplc="0D76D254">
      <w:numFmt w:val="bullet"/>
      <w:lvlText w:val="•"/>
      <w:lvlJc w:val="left"/>
      <w:pPr>
        <w:ind w:left="1800" w:hanging="72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5400A86"/>
    <w:multiLevelType w:val="hybridMultilevel"/>
    <w:tmpl w:val="F16A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CD5596"/>
    <w:multiLevelType w:val="hybridMultilevel"/>
    <w:tmpl w:val="68CCD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E7955BB"/>
    <w:multiLevelType w:val="hybridMultilevel"/>
    <w:tmpl w:val="727A2BF0"/>
    <w:lvl w:ilvl="0" w:tplc="69BA638A">
      <w:start w:val="1"/>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4DB424C"/>
    <w:multiLevelType w:val="hybridMultilevel"/>
    <w:tmpl w:val="2E5CE1FC"/>
    <w:lvl w:ilvl="0" w:tplc="08090001">
      <w:start w:val="1"/>
      <w:numFmt w:val="bullet"/>
      <w:lvlText w:val=""/>
      <w:lvlJc w:val="left"/>
      <w:pPr>
        <w:tabs>
          <w:tab w:val="num" w:pos="720"/>
        </w:tabs>
        <w:ind w:left="720" w:hanging="720"/>
      </w:pPr>
      <w:rPr>
        <w:rFonts w:ascii="Symbol" w:hAnsi="Symbol"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0" w15:restartNumberingAfterBreak="0">
    <w:nsid w:val="7A183CB4"/>
    <w:multiLevelType w:val="hybridMultilevel"/>
    <w:tmpl w:val="1826E0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FB93AF9"/>
    <w:multiLevelType w:val="hybridMultilevel"/>
    <w:tmpl w:val="435220E8"/>
    <w:lvl w:ilvl="0" w:tplc="69BA638A">
      <w:start w:val="1"/>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9"/>
  </w:num>
  <w:num w:numId="2">
    <w:abstractNumId w:val="20"/>
  </w:num>
  <w:num w:numId="3">
    <w:abstractNumId w:val="38"/>
  </w:num>
  <w:num w:numId="4">
    <w:abstractNumId w:val="10"/>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2"/>
  </w:num>
  <w:num w:numId="9">
    <w:abstractNumId w:val="22"/>
  </w:num>
  <w:num w:numId="10">
    <w:abstractNumId w:val="23"/>
  </w:num>
  <w:num w:numId="11">
    <w:abstractNumId w:val="34"/>
  </w:num>
  <w:num w:numId="12">
    <w:abstractNumId w:val="13"/>
  </w:num>
  <w:num w:numId="13">
    <w:abstractNumId w:val="32"/>
  </w:num>
  <w:num w:numId="14">
    <w:abstractNumId w:val="36"/>
  </w:num>
  <w:num w:numId="15">
    <w:abstractNumId w:val="45"/>
  </w:num>
  <w:num w:numId="16">
    <w:abstractNumId w:val="8"/>
  </w:num>
  <w:num w:numId="17">
    <w:abstractNumId w:val="15"/>
  </w:num>
  <w:num w:numId="18">
    <w:abstractNumId w:val="33"/>
  </w:num>
  <w:num w:numId="19">
    <w:abstractNumId w:val="5"/>
  </w:num>
  <w:num w:numId="20">
    <w:abstractNumId w:val="47"/>
  </w:num>
  <w:num w:numId="21">
    <w:abstractNumId w:val="12"/>
  </w:num>
  <w:num w:numId="22">
    <w:abstractNumId w:val="37"/>
  </w:num>
  <w:num w:numId="23">
    <w:abstractNumId w:val="21"/>
  </w:num>
  <w:num w:numId="24">
    <w:abstractNumId w:val="26"/>
  </w:num>
  <w:num w:numId="25">
    <w:abstractNumId w:val="42"/>
  </w:num>
  <w:num w:numId="26">
    <w:abstractNumId w:val="44"/>
  </w:num>
  <w:num w:numId="27">
    <w:abstractNumId w:val="39"/>
  </w:num>
  <w:num w:numId="28">
    <w:abstractNumId w:val="30"/>
  </w:num>
  <w:num w:numId="29">
    <w:abstractNumId w:val="17"/>
  </w:num>
  <w:num w:numId="30">
    <w:abstractNumId w:val="35"/>
  </w:num>
  <w:num w:numId="31">
    <w:abstractNumId w:val="18"/>
  </w:num>
  <w:num w:numId="32">
    <w:abstractNumId w:val="19"/>
  </w:num>
  <w:num w:numId="33">
    <w:abstractNumId w:val="41"/>
  </w:num>
  <w:num w:numId="34">
    <w:abstractNumId w:val="11"/>
  </w:num>
  <w:num w:numId="35">
    <w:abstractNumId w:val="31"/>
  </w:num>
  <w:num w:numId="36">
    <w:abstractNumId w:val="29"/>
  </w:num>
  <w:num w:numId="37">
    <w:abstractNumId w:val="51"/>
  </w:num>
  <w:num w:numId="38">
    <w:abstractNumId w:val="48"/>
  </w:num>
  <w:num w:numId="39">
    <w:abstractNumId w:val="6"/>
  </w:num>
  <w:num w:numId="40">
    <w:abstractNumId w:val="25"/>
  </w:num>
  <w:num w:numId="41">
    <w:abstractNumId w:val="50"/>
  </w:num>
  <w:num w:numId="42">
    <w:abstractNumId w:val="9"/>
  </w:num>
  <w:num w:numId="43">
    <w:abstractNumId w:val="16"/>
  </w:num>
  <w:num w:numId="44">
    <w:abstractNumId w:val="0"/>
  </w:num>
  <w:num w:numId="45">
    <w:abstractNumId w:val="28"/>
  </w:num>
  <w:num w:numId="46">
    <w:abstractNumId w:val="40"/>
  </w:num>
  <w:num w:numId="47">
    <w:abstractNumId w:val="14"/>
  </w:num>
  <w:num w:numId="48">
    <w:abstractNumId w:val="4"/>
  </w:num>
  <w:num w:numId="49">
    <w:abstractNumId w:val="3"/>
  </w:num>
  <w:num w:numId="50">
    <w:abstractNumId w:val="46"/>
  </w:num>
  <w:num w:numId="51">
    <w:abstractNumId w:val="24"/>
  </w:num>
  <w:num w:numId="52">
    <w:abstractNumId w:val="27"/>
  </w:num>
  <w:num w:numId="53">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NICE&lt;/Style&gt;&lt;LeftDelim&gt;{&lt;/LeftDelim&gt;&lt;RightDelim&gt;}&lt;/RightDelim&gt;&lt;FontName&gt;Times New Roman&lt;/FontName&gt;&lt;FontSize&gt;12&lt;/FontSize&gt;&lt;ReflistTitle&gt;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px0wpvr9sf0r5efppxveexjwx2e52ffardr&quot;&gt;NC-NGAL references&lt;record-ids&gt;&lt;item&gt;1&lt;/item&gt;&lt;item&gt;2&lt;/item&gt;&lt;item&gt;3&lt;/item&gt;&lt;item&gt;4&lt;/item&gt;&lt;item&gt;5&lt;/item&gt;&lt;item&gt;6&lt;/item&gt;&lt;item&gt;7&lt;/item&gt;&lt;item&gt;9&lt;/item&gt;&lt;item&gt;11&lt;/item&gt;&lt;item&gt;12&lt;/item&gt;&lt;item&gt;13&lt;/item&gt;&lt;item&gt;14&lt;/item&gt;&lt;item&gt;15&lt;/item&gt;&lt;item&gt;16&lt;/item&gt;&lt;item&gt;17&lt;/item&gt;&lt;item&gt;19&lt;/item&gt;&lt;item&gt;20&lt;/item&gt;&lt;item&gt;22&lt;/item&gt;&lt;item&gt;25&lt;/item&gt;&lt;item&gt;26&lt;/item&gt;&lt;item&gt;27&lt;/item&gt;&lt;item&gt;28&lt;/item&gt;&lt;item&gt;29&lt;/item&gt;&lt;item&gt;30&lt;/item&gt;&lt;item&gt;31&lt;/item&gt;&lt;item&gt;32&lt;/item&gt;&lt;item&gt;33&lt;/item&gt;&lt;item&gt;34&lt;/item&gt;&lt;item&gt;35&lt;/item&gt;&lt;item&gt;37&lt;/item&gt;&lt;item&gt;38&lt;/item&gt;&lt;item&gt;39&lt;/item&gt;&lt;item&gt;40&lt;/item&gt;&lt;item&gt;41&lt;/item&gt;&lt;item&gt;42&lt;/item&gt;&lt;item&gt;43&lt;/item&gt;&lt;item&gt;44&lt;/item&gt;&lt;item&gt;45&lt;/item&gt;&lt;item&gt;46&lt;/item&gt;&lt;item&gt;47&lt;/item&gt;&lt;item&gt;48&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30&lt;/item&gt;&lt;item&gt;132&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57&lt;/item&gt;&lt;item&gt;158&lt;/item&gt;&lt;item&gt;162&lt;/item&gt;&lt;item&gt;164&lt;/item&gt;&lt;item&gt;165&lt;/item&gt;&lt;item&gt;167&lt;/item&gt;&lt;item&gt;168&lt;/item&gt;&lt;item&gt;169&lt;/item&gt;&lt;item&gt;170&lt;/item&gt;&lt;item&gt;171&lt;/item&gt;&lt;item&gt;172&lt;/item&gt;&lt;item&gt;173&lt;/item&gt;&lt;item&gt;174&lt;/item&gt;&lt;item&gt;175&lt;/item&gt;&lt;item&gt;176&lt;/item&gt;&lt;item&gt;177&lt;/item&gt;&lt;item&gt;178&lt;/item&gt;&lt;item&gt;179&lt;/item&gt;&lt;item&gt;180&lt;/item&gt;&lt;item&gt;182&lt;/item&gt;&lt;item&gt;183&lt;/item&gt;&lt;/record-ids&gt;&lt;/item&gt;&lt;/Libraries&gt;"/>
  </w:docVars>
  <w:rsids>
    <w:rsidRoot w:val="00A848A9"/>
    <w:rsid w:val="0000222F"/>
    <w:rsid w:val="00002651"/>
    <w:rsid w:val="000046A7"/>
    <w:rsid w:val="000110AB"/>
    <w:rsid w:val="0001315C"/>
    <w:rsid w:val="00015CA7"/>
    <w:rsid w:val="00020172"/>
    <w:rsid w:val="00024FA4"/>
    <w:rsid w:val="00025294"/>
    <w:rsid w:val="00030D0C"/>
    <w:rsid w:val="00030F6A"/>
    <w:rsid w:val="0003137C"/>
    <w:rsid w:val="000316C4"/>
    <w:rsid w:val="00033B8D"/>
    <w:rsid w:val="00036AD7"/>
    <w:rsid w:val="00043CF2"/>
    <w:rsid w:val="00045521"/>
    <w:rsid w:val="0004563F"/>
    <w:rsid w:val="000469DB"/>
    <w:rsid w:val="0005081A"/>
    <w:rsid w:val="00061219"/>
    <w:rsid w:val="00062985"/>
    <w:rsid w:val="000654C5"/>
    <w:rsid w:val="00072244"/>
    <w:rsid w:val="0007414A"/>
    <w:rsid w:val="000742A1"/>
    <w:rsid w:val="0007483B"/>
    <w:rsid w:val="000830D9"/>
    <w:rsid w:val="0008583B"/>
    <w:rsid w:val="00094C62"/>
    <w:rsid w:val="0009504C"/>
    <w:rsid w:val="0009790D"/>
    <w:rsid w:val="000A0923"/>
    <w:rsid w:val="000A4750"/>
    <w:rsid w:val="000B3036"/>
    <w:rsid w:val="000B4E2C"/>
    <w:rsid w:val="000B6CEF"/>
    <w:rsid w:val="000B78CA"/>
    <w:rsid w:val="000C0469"/>
    <w:rsid w:val="000C2218"/>
    <w:rsid w:val="000C58E8"/>
    <w:rsid w:val="000D2595"/>
    <w:rsid w:val="000F0268"/>
    <w:rsid w:val="000F3B13"/>
    <w:rsid w:val="000F3FFB"/>
    <w:rsid w:val="000F5A3C"/>
    <w:rsid w:val="000F5A3F"/>
    <w:rsid w:val="00101B12"/>
    <w:rsid w:val="00103119"/>
    <w:rsid w:val="001126EB"/>
    <w:rsid w:val="0011315A"/>
    <w:rsid w:val="0012380C"/>
    <w:rsid w:val="00134368"/>
    <w:rsid w:val="00143577"/>
    <w:rsid w:val="001465A3"/>
    <w:rsid w:val="001544BB"/>
    <w:rsid w:val="00156F10"/>
    <w:rsid w:val="001611A3"/>
    <w:rsid w:val="00171E92"/>
    <w:rsid w:val="00177EC5"/>
    <w:rsid w:val="00185B5A"/>
    <w:rsid w:val="0019057B"/>
    <w:rsid w:val="001912EF"/>
    <w:rsid w:val="001B052F"/>
    <w:rsid w:val="001B6F61"/>
    <w:rsid w:val="001B7983"/>
    <w:rsid w:val="001C0A1E"/>
    <w:rsid w:val="001C2548"/>
    <w:rsid w:val="001C4BC3"/>
    <w:rsid w:val="001D38B3"/>
    <w:rsid w:val="001E605D"/>
    <w:rsid w:val="001E6FBC"/>
    <w:rsid w:val="001F2138"/>
    <w:rsid w:val="001F2FC9"/>
    <w:rsid w:val="001F382C"/>
    <w:rsid w:val="001F3DCC"/>
    <w:rsid w:val="001F4F29"/>
    <w:rsid w:val="002009F0"/>
    <w:rsid w:val="002039D4"/>
    <w:rsid w:val="00204569"/>
    <w:rsid w:val="00204EE2"/>
    <w:rsid w:val="00223331"/>
    <w:rsid w:val="00225DEC"/>
    <w:rsid w:val="002379AC"/>
    <w:rsid w:val="00242F94"/>
    <w:rsid w:val="00245940"/>
    <w:rsid w:val="00251012"/>
    <w:rsid w:val="00257003"/>
    <w:rsid w:val="00257E97"/>
    <w:rsid w:val="002602EB"/>
    <w:rsid w:val="00262B58"/>
    <w:rsid w:val="00267A10"/>
    <w:rsid w:val="00267B97"/>
    <w:rsid w:val="002706CD"/>
    <w:rsid w:val="002743EA"/>
    <w:rsid w:val="002755D6"/>
    <w:rsid w:val="00280A97"/>
    <w:rsid w:val="00285B72"/>
    <w:rsid w:val="00294F3C"/>
    <w:rsid w:val="00296A62"/>
    <w:rsid w:val="002A695F"/>
    <w:rsid w:val="002C30F6"/>
    <w:rsid w:val="002C3B66"/>
    <w:rsid w:val="002C682A"/>
    <w:rsid w:val="002C6B24"/>
    <w:rsid w:val="002D0D23"/>
    <w:rsid w:val="002D1880"/>
    <w:rsid w:val="002D1F3B"/>
    <w:rsid w:val="002E0EAA"/>
    <w:rsid w:val="002E16C7"/>
    <w:rsid w:val="002E3C93"/>
    <w:rsid w:val="002F0133"/>
    <w:rsid w:val="002F738C"/>
    <w:rsid w:val="00301F5F"/>
    <w:rsid w:val="0030796C"/>
    <w:rsid w:val="00313EF3"/>
    <w:rsid w:val="00321FB1"/>
    <w:rsid w:val="003226A3"/>
    <w:rsid w:val="00326B18"/>
    <w:rsid w:val="00340650"/>
    <w:rsid w:val="00341062"/>
    <w:rsid w:val="00342382"/>
    <w:rsid w:val="00342F29"/>
    <w:rsid w:val="003462FA"/>
    <w:rsid w:val="003463EF"/>
    <w:rsid w:val="00346C35"/>
    <w:rsid w:val="003508E0"/>
    <w:rsid w:val="00352C30"/>
    <w:rsid w:val="00363697"/>
    <w:rsid w:val="00366222"/>
    <w:rsid w:val="0038111F"/>
    <w:rsid w:val="0039645C"/>
    <w:rsid w:val="003A19AA"/>
    <w:rsid w:val="003A3AB3"/>
    <w:rsid w:val="003A7757"/>
    <w:rsid w:val="003B30A2"/>
    <w:rsid w:val="003B362B"/>
    <w:rsid w:val="003B49F2"/>
    <w:rsid w:val="003B644E"/>
    <w:rsid w:val="003C263D"/>
    <w:rsid w:val="003C3033"/>
    <w:rsid w:val="003C3A7E"/>
    <w:rsid w:val="003C425C"/>
    <w:rsid w:val="003D04B9"/>
    <w:rsid w:val="003D4032"/>
    <w:rsid w:val="003D5457"/>
    <w:rsid w:val="003E51EC"/>
    <w:rsid w:val="003E79A6"/>
    <w:rsid w:val="003E7E83"/>
    <w:rsid w:val="003F25F4"/>
    <w:rsid w:val="003F3D25"/>
    <w:rsid w:val="003F5651"/>
    <w:rsid w:val="003F784F"/>
    <w:rsid w:val="00401D1F"/>
    <w:rsid w:val="00403D2C"/>
    <w:rsid w:val="00410149"/>
    <w:rsid w:val="004152CF"/>
    <w:rsid w:val="004239CD"/>
    <w:rsid w:val="00427155"/>
    <w:rsid w:val="00427C79"/>
    <w:rsid w:val="00432CCE"/>
    <w:rsid w:val="004349A8"/>
    <w:rsid w:val="00434C8B"/>
    <w:rsid w:val="00434FB3"/>
    <w:rsid w:val="00437EBF"/>
    <w:rsid w:val="00443B5F"/>
    <w:rsid w:val="00452C8A"/>
    <w:rsid w:val="00453178"/>
    <w:rsid w:val="0045468A"/>
    <w:rsid w:val="004579C0"/>
    <w:rsid w:val="00461B4D"/>
    <w:rsid w:val="00472638"/>
    <w:rsid w:val="00476B9E"/>
    <w:rsid w:val="00482559"/>
    <w:rsid w:val="00483CA6"/>
    <w:rsid w:val="00484AA7"/>
    <w:rsid w:val="004871B7"/>
    <w:rsid w:val="00495DB0"/>
    <w:rsid w:val="004A028C"/>
    <w:rsid w:val="004A28AE"/>
    <w:rsid w:val="004A3159"/>
    <w:rsid w:val="004A38D7"/>
    <w:rsid w:val="004C26B5"/>
    <w:rsid w:val="004C298F"/>
    <w:rsid w:val="004C4AA0"/>
    <w:rsid w:val="004D1A51"/>
    <w:rsid w:val="004D40DE"/>
    <w:rsid w:val="004E5C8A"/>
    <w:rsid w:val="004E61F7"/>
    <w:rsid w:val="004F34A9"/>
    <w:rsid w:val="004F40D7"/>
    <w:rsid w:val="00502DAD"/>
    <w:rsid w:val="00505277"/>
    <w:rsid w:val="0050641B"/>
    <w:rsid w:val="00510A3C"/>
    <w:rsid w:val="005136B1"/>
    <w:rsid w:val="00516AC4"/>
    <w:rsid w:val="00516B20"/>
    <w:rsid w:val="005210A2"/>
    <w:rsid w:val="00523940"/>
    <w:rsid w:val="00530D34"/>
    <w:rsid w:val="00531EA9"/>
    <w:rsid w:val="00533B8F"/>
    <w:rsid w:val="005463E7"/>
    <w:rsid w:val="00550B0A"/>
    <w:rsid w:val="005527A4"/>
    <w:rsid w:val="00567C55"/>
    <w:rsid w:val="00573805"/>
    <w:rsid w:val="005815A7"/>
    <w:rsid w:val="00591368"/>
    <w:rsid w:val="00593545"/>
    <w:rsid w:val="00596A1F"/>
    <w:rsid w:val="005A224F"/>
    <w:rsid w:val="005A79D1"/>
    <w:rsid w:val="005B04C0"/>
    <w:rsid w:val="005B445E"/>
    <w:rsid w:val="005B5026"/>
    <w:rsid w:val="005B5149"/>
    <w:rsid w:val="005D7421"/>
    <w:rsid w:val="005F0920"/>
    <w:rsid w:val="006007BD"/>
    <w:rsid w:val="00600F37"/>
    <w:rsid w:val="0061334D"/>
    <w:rsid w:val="0061471A"/>
    <w:rsid w:val="00614D98"/>
    <w:rsid w:val="00614DA2"/>
    <w:rsid w:val="00616289"/>
    <w:rsid w:val="00622ABB"/>
    <w:rsid w:val="006231E9"/>
    <w:rsid w:val="00631042"/>
    <w:rsid w:val="00631605"/>
    <w:rsid w:val="0063376A"/>
    <w:rsid w:val="006338B4"/>
    <w:rsid w:val="00634CAC"/>
    <w:rsid w:val="006376D0"/>
    <w:rsid w:val="006378B8"/>
    <w:rsid w:val="0065464C"/>
    <w:rsid w:val="00655D91"/>
    <w:rsid w:val="00661D40"/>
    <w:rsid w:val="00662290"/>
    <w:rsid w:val="00666CB6"/>
    <w:rsid w:val="006709B8"/>
    <w:rsid w:val="00674909"/>
    <w:rsid w:val="0068147D"/>
    <w:rsid w:val="006822BE"/>
    <w:rsid w:val="0068360D"/>
    <w:rsid w:val="0068497C"/>
    <w:rsid w:val="006917A4"/>
    <w:rsid w:val="006944C2"/>
    <w:rsid w:val="00696A6E"/>
    <w:rsid w:val="006977BF"/>
    <w:rsid w:val="006A04AA"/>
    <w:rsid w:val="006A482C"/>
    <w:rsid w:val="006A5CD9"/>
    <w:rsid w:val="006A6B08"/>
    <w:rsid w:val="006B0BE7"/>
    <w:rsid w:val="006B2E5F"/>
    <w:rsid w:val="006B3144"/>
    <w:rsid w:val="006B3CD2"/>
    <w:rsid w:val="006B6F7E"/>
    <w:rsid w:val="006C01E1"/>
    <w:rsid w:val="006D0F1F"/>
    <w:rsid w:val="006D288B"/>
    <w:rsid w:val="006E17CA"/>
    <w:rsid w:val="006E1EE5"/>
    <w:rsid w:val="006F2ECD"/>
    <w:rsid w:val="006F5B2E"/>
    <w:rsid w:val="0070005A"/>
    <w:rsid w:val="007024D7"/>
    <w:rsid w:val="0071011B"/>
    <w:rsid w:val="00711666"/>
    <w:rsid w:val="00713440"/>
    <w:rsid w:val="007176E6"/>
    <w:rsid w:val="00717AEB"/>
    <w:rsid w:val="00720610"/>
    <w:rsid w:val="0072128A"/>
    <w:rsid w:val="00723580"/>
    <w:rsid w:val="00726816"/>
    <w:rsid w:val="007332C4"/>
    <w:rsid w:val="0073352C"/>
    <w:rsid w:val="0074098F"/>
    <w:rsid w:val="00746118"/>
    <w:rsid w:val="007528C5"/>
    <w:rsid w:val="0075366C"/>
    <w:rsid w:val="00755DE2"/>
    <w:rsid w:val="0075610C"/>
    <w:rsid w:val="007624A2"/>
    <w:rsid w:val="00762786"/>
    <w:rsid w:val="0076344F"/>
    <w:rsid w:val="00767E17"/>
    <w:rsid w:val="007732DB"/>
    <w:rsid w:val="00774FBB"/>
    <w:rsid w:val="00781961"/>
    <w:rsid w:val="007836C4"/>
    <w:rsid w:val="007852C2"/>
    <w:rsid w:val="00785F13"/>
    <w:rsid w:val="007959A7"/>
    <w:rsid w:val="007A0354"/>
    <w:rsid w:val="007A6BF6"/>
    <w:rsid w:val="007B43B0"/>
    <w:rsid w:val="007B735E"/>
    <w:rsid w:val="007C05F3"/>
    <w:rsid w:val="007C05FF"/>
    <w:rsid w:val="007C1AD1"/>
    <w:rsid w:val="007C27B4"/>
    <w:rsid w:val="007C3380"/>
    <w:rsid w:val="007D5F15"/>
    <w:rsid w:val="007D66AB"/>
    <w:rsid w:val="007E39C0"/>
    <w:rsid w:val="007E402A"/>
    <w:rsid w:val="00805EBA"/>
    <w:rsid w:val="00806C16"/>
    <w:rsid w:val="00817B74"/>
    <w:rsid w:val="00820E1E"/>
    <w:rsid w:val="00826CAC"/>
    <w:rsid w:val="00830A1F"/>
    <w:rsid w:val="00831096"/>
    <w:rsid w:val="00834474"/>
    <w:rsid w:val="00841D0F"/>
    <w:rsid w:val="00845C85"/>
    <w:rsid w:val="00847BDF"/>
    <w:rsid w:val="008523B9"/>
    <w:rsid w:val="008525B6"/>
    <w:rsid w:val="008529FB"/>
    <w:rsid w:val="00853949"/>
    <w:rsid w:val="0085574F"/>
    <w:rsid w:val="0085680F"/>
    <w:rsid w:val="00861231"/>
    <w:rsid w:val="00871D87"/>
    <w:rsid w:val="008744F1"/>
    <w:rsid w:val="0087766B"/>
    <w:rsid w:val="00881500"/>
    <w:rsid w:val="00885308"/>
    <w:rsid w:val="00895AA4"/>
    <w:rsid w:val="00897A66"/>
    <w:rsid w:val="008A52F2"/>
    <w:rsid w:val="008A7464"/>
    <w:rsid w:val="008B3A0A"/>
    <w:rsid w:val="008B4D3C"/>
    <w:rsid w:val="008C02FE"/>
    <w:rsid w:val="008C1319"/>
    <w:rsid w:val="008C35EE"/>
    <w:rsid w:val="008C4EA4"/>
    <w:rsid w:val="008D3C41"/>
    <w:rsid w:val="008E1F64"/>
    <w:rsid w:val="008E4B78"/>
    <w:rsid w:val="008E673A"/>
    <w:rsid w:val="008F22B0"/>
    <w:rsid w:val="008F24FA"/>
    <w:rsid w:val="008F6EC3"/>
    <w:rsid w:val="009055D4"/>
    <w:rsid w:val="00912DFE"/>
    <w:rsid w:val="00915A47"/>
    <w:rsid w:val="00921CD7"/>
    <w:rsid w:val="0093066C"/>
    <w:rsid w:val="009318FE"/>
    <w:rsid w:val="00932166"/>
    <w:rsid w:val="0093249C"/>
    <w:rsid w:val="0093324C"/>
    <w:rsid w:val="00940C17"/>
    <w:rsid w:val="00941F1B"/>
    <w:rsid w:val="009427C9"/>
    <w:rsid w:val="00943DC3"/>
    <w:rsid w:val="00943DC5"/>
    <w:rsid w:val="00953023"/>
    <w:rsid w:val="009552A0"/>
    <w:rsid w:val="00974851"/>
    <w:rsid w:val="00987643"/>
    <w:rsid w:val="00993E1C"/>
    <w:rsid w:val="009A2811"/>
    <w:rsid w:val="009A40DE"/>
    <w:rsid w:val="009A4143"/>
    <w:rsid w:val="009B0C5A"/>
    <w:rsid w:val="009C0428"/>
    <w:rsid w:val="009C1970"/>
    <w:rsid w:val="009D06C2"/>
    <w:rsid w:val="009D4A61"/>
    <w:rsid w:val="009D7F5A"/>
    <w:rsid w:val="009E50D4"/>
    <w:rsid w:val="009F33FC"/>
    <w:rsid w:val="009F4EAE"/>
    <w:rsid w:val="009F4EF4"/>
    <w:rsid w:val="009F721C"/>
    <w:rsid w:val="009F72FB"/>
    <w:rsid w:val="009F7D37"/>
    <w:rsid w:val="00A0284C"/>
    <w:rsid w:val="00A07828"/>
    <w:rsid w:val="00A14183"/>
    <w:rsid w:val="00A14E87"/>
    <w:rsid w:val="00A22BA8"/>
    <w:rsid w:val="00A32616"/>
    <w:rsid w:val="00A417B8"/>
    <w:rsid w:val="00A43645"/>
    <w:rsid w:val="00A444C8"/>
    <w:rsid w:val="00A529E0"/>
    <w:rsid w:val="00A6196B"/>
    <w:rsid w:val="00A6229F"/>
    <w:rsid w:val="00A62C0A"/>
    <w:rsid w:val="00A74938"/>
    <w:rsid w:val="00A74FFA"/>
    <w:rsid w:val="00A8051F"/>
    <w:rsid w:val="00A848A9"/>
    <w:rsid w:val="00A8731E"/>
    <w:rsid w:val="00A908B8"/>
    <w:rsid w:val="00A933D8"/>
    <w:rsid w:val="00A96F4F"/>
    <w:rsid w:val="00AA21DD"/>
    <w:rsid w:val="00AA5349"/>
    <w:rsid w:val="00AA6321"/>
    <w:rsid w:val="00AA6E5B"/>
    <w:rsid w:val="00AA702E"/>
    <w:rsid w:val="00AA7F6D"/>
    <w:rsid w:val="00AB2CB0"/>
    <w:rsid w:val="00AB49C4"/>
    <w:rsid w:val="00AB5980"/>
    <w:rsid w:val="00AD2F8D"/>
    <w:rsid w:val="00AD3DB2"/>
    <w:rsid w:val="00AD4C87"/>
    <w:rsid w:val="00AD673E"/>
    <w:rsid w:val="00AD695B"/>
    <w:rsid w:val="00AE1E31"/>
    <w:rsid w:val="00AF049A"/>
    <w:rsid w:val="00AF24CB"/>
    <w:rsid w:val="00AF4162"/>
    <w:rsid w:val="00B01B7D"/>
    <w:rsid w:val="00B10631"/>
    <w:rsid w:val="00B135BD"/>
    <w:rsid w:val="00B14605"/>
    <w:rsid w:val="00B17949"/>
    <w:rsid w:val="00B17A70"/>
    <w:rsid w:val="00B224FE"/>
    <w:rsid w:val="00B23104"/>
    <w:rsid w:val="00B2568A"/>
    <w:rsid w:val="00B274E0"/>
    <w:rsid w:val="00B27993"/>
    <w:rsid w:val="00B27D0F"/>
    <w:rsid w:val="00B27E9E"/>
    <w:rsid w:val="00B33414"/>
    <w:rsid w:val="00B36483"/>
    <w:rsid w:val="00B370F0"/>
    <w:rsid w:val="00B37AE9"/>
    <w:rsid w:val="00B40EDB"/>
    <w:rsid w:val="00B414A5"/>
    <w:rsid w:val="00B46730"/>
    <w:rsid w:val="00B46A2E"/>
    <w:rsid w:val="00B50117"/>
    <w:rsid w:val="00B528A2"/>
    <w:rsid w:val="00B5603B"/>
    <w:rsid w:val="00B56CE1"/>
    <w:rsid w:val="00B572CD"/>
    <w:rsid w:val="00B6110B"/>
    <w:rsid w:val="00B627F4"/>
    <w:rsid w:val="00B71286"/>
    <w:rsid w:val="00B73D2F"/>
    <w:rsid w:val="00B76BCE"/>
    <w:rsid w:val="00B800AC"/>
    <w:rsid w:val="00B81225"/>
    <w:rsid w:val="00B81B0C"/>
    <w:rsid w:val="00B84C32"/>
    <w:rsid w:val="00B90472"/>
    <w:rsid w:val="00B91B82"/>
    <w:rsid w:val="00B93103"/>
    <w:rsid w:val="00B95DF3"/>
    <w:rsid w:val="00B9602B"/>
    <w:rsid w:val="00B97541"/>
    <w:rsid w:val="00BA629F"/>
    <w:rsid w:val="00BB1EDE"/>
    <w:rsid w:val="00BB480B"/>
    <w:rsid w:val="00BB4DF5"/>
    <w:rsid w:val="00BC240F"/>
    <w:rsid w:val="00BC4E83"/>
    <w:rsid w:val="00BD3919"/>
    <w:rsid w:val="00BD42F4"/>
    <w:rsid w:val="00BD483B"/>
    <w:rsid w:val="00BD5213"/>
    <w:rsid w:val="00BE2CD3"/>
    <w:rsid w:val="00BE38C1"/>
    <w:rsid w:val="00BE45CA"/>
    <w:rsid w:val="00BE6AF1"/>
    <w:rsid w:val="00BF3662"/>
    <w:rsid w:val="00BF4CCD"/>
    <w:rsid w:val="00C062AF"/>
    <w:rsid w:val="00C113CF"/>
    <w:rsid w:val="00C12838"/>
    <w:rsid w:val="00C15CAC"/>
    <w:rsid w:val="00C17D9F"/>
    <w:rsid w:val="00C21737"/>
    <w:rsid w:val="00C22335"/>
    <w:rsid w:val="00C24A4A"/>
    <w:rsid w:val="00C24E77"/>
    <w:rsid w:val="00C26E92"/>
    <w:rsid w:val="00C279F2"/>
    <w:rsid w:val="00C37367"/>
    <w:rsid w:val="00C44EB9"/>
    <w:rsid w:val="00C44F99"/>
    <w:rsid w:val="00C4605A"/>
    <w:rsid w:val="00C5156C"/>
    <w:rsid w:val="00C5368E"/>
    <w:rsid w:val="00C55003"/>
    <w:rsid w:val="00C63E34"/>
    <w:rsid w:val="00C701CD"/>
    <w:rsid w:val="00C727CA"/>
    <w:rsid w:val="00C81F74"/>
    <w:rsid w:val="00C828B0"/>
    <w:rsid w:val="00C87145"/>
    <w:rsid w:val="00C956B7"/>
    <w:rsid w:val="00CA29E9"/>
    <w:rsid w:val="00CA417E"/>
    <w:rsid w:val="00CA6E92"/>
    <w:rsid w:val="00CA7F90"/>
    <w:rsid w:val="00CB283D"/>
    <w:rsid w:val="00CB4816"/>
    <w:rsid w:val="00CB6496"/>
    <w:rsid w:val="00CC1B26"/>
    <w:rsid w:val="00CC1DED"/>
    <w:rsid w:val="00CC520C"/>
    <w:rsid w:val="00CC57D1"/>
    <w:rsid w:val="00CD6078"/>
    <w:rsid w:val="00CD615E"/>
    <w:rsid w:val="00CD6C0D"/>
    <w:rsid w:val="00CE2A14"/>
    <w:rsid w:val="00CE4478"/>
    <w:rsid w:val="00CF3D22"/>
    <w:rsid w:val="00CF3F49"/>
    <w:rsid w:val="00D0232B"/>
    <w:rsid w:val="00D047D7"/>
    <w:rsid w:val="00D12E18"/>
    <w:rsid w:val="00D15A14"/>
    <w:rsid w:val="00D16441"/>
    <w:rsid w:val="00D22969"/>
    <w:rsid w:val="00D22DC8"/>
    <w:rsid w:val="00D23CB9"/>
    <w:rsid w:val="00D25046"/>
    <w:rsid w:val="00D44BA9"/>
    <w:rsid w:val="00D47CDB"/>
    <w:rsid w:val="00D57D49"/>
    <w:rsid w:val="00D62840"/>
    <w:rsid w:val="00D64893"/>
    <w:rsid w:val="00D656EC"/>
    <w:rsid w:val="00D828CF"/>
    <w:rsid w:val="00D83058"/>
    <w:rsid w:val="00D86352"/>
    <w:rsid w:val="00D937BD"/>
    <w:rsid w:val="00DA293A"/>
    <w:rsid w:val="00DA44F0"/>
    <w:rsid w:val="00DA723F"/>
    <w:rsid w:val="00DB3195"/>
    <w:rsid w:val="00DB7447"/>
    <w:rsid w:val="00DC1255"/>
    <w:rsid w:val="00DC4196"/>
    <w:rsid w:val="00DD3066"/>
    <w:rsid w:val="00DE11B9"/>
    <w:rsid w:val="00DF0603"/>
    <w:rsid w:val="00DF5680"/>
    <w:rsid w:val="00E02C65"/>
    <w:rsid w:val="00E11CE8"/>
    <w:rsid w:val="00E215D3"/>
    <w:rsid w:val="00E42462"/>
    <w:rsid w:val="00E454F6"/>
    <w:rsid w:val="00E51088"/>
    <w:rsid w:val="00E511F0"/>
    <w:rsid w:val="00E5231B"/>
    <w:rsid w:val="00E5352B"/>
    <w:rsid w:val="00E537DF"/>
    <w:rsid w:val="00E554D9"/>
    <w:rsid w:val="00E559D2"/>
    <w:rsid w:val="00E60748"/>
    <w:rsid w:val="00E62483"/>
    <w:rsid w:val="00E67D31"/>
    <w:rsid w:val="00E70E38"/>
    <w:rsid w:val="00E81191"/>
    <w:rsid w:val="00E83A16"/>
    <w:rsid w:val="00E85594"/>
    <w:rsid w:val="00E907C2"/>
    <w:rsid w:val="00E91726"/>
    <w:rsid w:val="00E92166"/>
    <w:rsid w:val="00E932DA"/>
    <w:rsid w:val="00E96B3A"/>
    <w:rsid w:val="00E970AD"/>
    <w:rsid w:val="00EA3523"/>
    <w:rsid w:val="00EA71BC"/>
    <w:rsid w:val="00EB0DDD"/>
    <w:rsid w:val="00EB7AB1"/>
    <w:rsid w:val="00EB7CBD"/>
    <w:rsid w:val="00EE058E"/>
    <w:rsid w:val="00F00233"/>
    <w:rsid w:val="00F02D65"/>
    <w:rsid w:val="00F05673"/>
    <w:rsid w:val="00F13AA0"/>
    <w:rsid w:val="00F220C1"/>
    <w:rsid w:val="00F223BF"/>
    <w:rsid w:val="00F37C13"/>
    <w:rsid w:val="00F4123A"/>
    <w:rsid w:val="00F43D1A"/>
    <w:rsid w:val="00F45034"/>
    <w:rsid w:val="00F46AF1"/>
    <w:rsid w:val="00F46B31"/>
    <w:rsid w:val="00F471F5"/>
    <w:rsid w:val="00F504A7"/>
    <w:rsid w:val="00F54F2F"/>
    <w:rsid w:val="00F6171C"/>
    <w:rsid w:val="00F63661"/>
    <w:rsid w:val="00F71161"/>
    <w:rsid w:val="00F71E60"/>
    <w:rsid w:val="00F727EF"/>
    <w:rsid w:val="00F751C8"/>
    <w:rsid w:val="00F776C6"/>
    <w:rsid w:val="00F83015"/>
    <w:rsid w:val="00F9393E"/>
    <w:rsid w:val="00F9449A"/>
    <w:rsid w:val="00F97C5D"/>
    <w:rsid w:val="00FA495A"/>
    <w:rsid w:val="00FA619F"/>
    <w:rsid w:val="00FA7B17"/>
    <w:rsid w:val="00FA7D17"/>
    <w:rsid w:val="00FB0351"/>
    <w:rsid w:val="00FB077C"/>
    <w:rsid w:val="00FB6AC2"/>
    <w:rsid w:val="00FB7E6C"/>
    <w:rsid w:val="00FC10E6"/>
    <w:rsid w:val="00FC59D4"/>
    <w:rsid w:val="00FD4713"/>
    <w:rsid w:val="00FE232C"/>
    <w:rsid w:val="00FE434D"/>
    <w:rsid w:val="00FF5560"/>
    <w:rsid w:val="00FF5E79"/>
    <w:rsid w:val="00FF69B2"/>
    <w:rsid w:val="00FF708D"/>
    <w:rsid w:val="00FF7FE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33BB69"/>
  <w15:docId w15:val="{E341C002-D115-4D83-8745-A965ECA5E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078"/>
    <w:pPr>
      <w:spacing w:after="0" w:line="240" w:lineRule="auto"/>
    </w:pPr>
    <w:rPr>
      <w:rFonts w:ascii="Times New Roman" w:eastAsia="Times New Roman" w:hAnsi="Times New Roman" w:cs="Times New Roman"/>
      <w:sz w:val="20"/>
      <w:szCs w:val="20"/>
      <w:lang w:val="en-US"/>
    </w:rPr>
  </w:style>
  <w:style w:type="paragraph" w:styleId="Heading1">
    <w:name w:val="heading 1"/>
    <w:aliases w:val="Chpt Heading 1"/>
    <w:basedOn w:val="Normal"/>
    <w:next w:val="Normal"/>
    <w:link w:val="Heading1Char"/>
    <w:uiPriority w:val="9"/>
    <w:qFormat/>
    <w:rsid w:val="009D06C2"/>
    <w:pPr>
      <w:keepNext/>
      <w:outlineLvl w:val="0"/>
    </w:pPr>
    <w:rPr>
      <w:rFonts w:eastAsiaTheme="minorHAnsi" w:cs="Arial"/>
      <w:b/>
      <w:bCs/>
      <w:kern w:val="32"/>
      <w:sz w:val="28"/>
      <w:szCs w:val="32"/>
      <w:lang w:val="en-GB" w:eastAsia="en-GB"/>
    </w:rPr>
  </w:style>
  <w:style w:type="paragraph" w:styleId="Heading2">
    <w:name w:val="heading 2"/>
    <w:basedOn w:val="Normal"/>
    <w:next w:val="Normal"/>
    <w:link w:val="Heading2Char"/>
    <w:uiPriority w:val="9"/>
    <w:qFormat/>
    <w:rsid w:val="00C15CAC"/>
    <w:pPr>
      <w:keepNext/>
      <w:outlineLvl w:val="1"/>
    </w:pPr>
    <w:rPr>
      <w:rFonts w:eastAsiaTheme="minorHAnsi" w:cs="Arial"/>
      <w:b/>
      <w:bCs/>
      <w:iCs/>
      <w:szCs w:val="28"/>
      <w:lang w:val="en-GB" w:eastAsia="en-GB"/>
    </w:rPr>
  </w:style>
  <w:style w:type="paragraph" w:styleId="Heading3">
    <w:name w:val="heading 3"/>
    <w:basedOn w:val="Normal"/>
    <w:next w:val="Normal"/>
    <w:link w:val="Heading3Char"/>
    <w:uiPriority w:val="9"/>
    <w:unhideWhenUsed/>
    <w:qFormat/>
    <w:rsid w:val="00C15CAC"/>
    <w:pPr>
      <w:keepNext/>
      <w:outlineLvl w:val="2"/>
    </w:pPr>
    <w:rPr>
      <w:rFonts w:eastAsiaTheme="majorEastAsia" w:cstheme="majorBidi"/>
      <w:b/>
      <w:bCs/>
      <w:i/>
      <w:szCs w:val="26"/>
      <w:lang w:val="en-GB" w:eastAsia="en-GB"/>
    </w:rPr>
  </w:style>
  <w:style w:type="paragraph" w:styleId="Heading4">
    <w:name w:val="heading 4"/>
    <w:basedOn w:val="Normal"/>
    <w:next w:val="Normal"/>
    <w:link w:val="Heading4Char"/>
    <w:uiPriority w:val="9"/>
    <w:unhideWhenUsed/>
    <w:qFormat/>
    <w:rsid w:val="009D06C2"/>
    <w:pPr>
      <w:keepNext/>
      <w:keepLines/>
      <w:outlineLvl w:val="3"/>
    </w:pPr>
    <w:rPr>
      <w:rFonts w:eastAsiaTheme="majorEastAsia" w:cstheme="majorBidi"/>
      <w:bCs/>
      <w:i/>
      <w:iCs/>
    </w:rPr>
  </w:style>
  <w:style w:type="paragraph" w:styleId="Heading5">
    <w:name w:val="heading 5"/>
    <w:basedOn w:val="Normal"/>
    <w:next w:val="Normal"/>
    <w:link w:val="Heading5Char"/>
    <w:uiPriority w:val="9"/>
    <w:unhideWhenUsed/>
    <w:qFormat/>
    <w:rsid w:val="004152CF"/>
    <w:pPr>
      <w:keepNext/>
      <w:keepLines/>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251012"/>
    <w:pPr>
      <w:keepNext/>
      <w:keepLines/>
      <w:numPr>
        <w:ilvl w:val="5"/>
        <w:numId w:val="10"/>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51012"/>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51012"/>
    <w:pPr>
      <w:keepNext/>
      <w:keepLines/>
      <w:numPr>
        <w:ilvl w:val="7"/>
        <w:numId w:val="10"/>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251012"/>
    <w:pPr>
      <w:keepNext/>
      <w:keepLines/>
      <w:numPr>
        <w:ilvl w:val="8"/>
        <w:numId w:val="10"/>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pt Heading 1 Char"/>
    <w:basedOn w:val="DefaultParagraphFont"/>
    <w:link w:val="Heading1"/>
    <w:uiPriority w:val="9"/>
    <w:rsid w:val="009D06C2"/>
    <w:rPr>
      <w:rFonts w:ascii="Times New Roman" w:hAnsi="Times New Roman" w:cs="Arial"/>
      <w:b/>
      <w:bCs/>
      <w:kern w:val="32"/>
      <w:sz w:val="28"/>
      <w:szCs w:val="32"/>
      <w:lang w:eastAsia="en-GB"/>
    </w:rPr>
  </w:style>
  <w:style w:type="character" w:customStyle="1" w:styleId="Heading2Char">
    <w:name w:val="Heading 2 Char"/>
    <w:basedOn w:val="DefaultParagraphFont"/>
    <w:link w:val="Heading2"/>
    <w:uiPriority w:val="9"/>
    <w:rsid w:val="00C15CAC"/>
    <w:rPr>
      <w:rFonts w:ascii="Times New Roman" w:hAnsi="Times New Roman" w:cs="Arial"/>
      <w:b/>
      <w:bCs/>
      <w:iCs/>
      <w:sz w:val="24"/>
      <w:szCs w:val="28"/>
      <w:lang w:eastAsia="en-GB"/>
    </w:rPr>
  </w:style>
  <w:style w:type="character" w:customStyle="1" w:styleId="Heading3Char">
    <w:name w:val="Heading 3 Char"/>
    <w:basedOn w:val="DefaultParagraphFont"/>
    <w:link w:val="Heading3"/>
    <w:uiPriority w:val="9"/>
    <w:rsid w:val="00C15CAC"/>
    <w:rPr>
      <w:rFonts w:ascii="Times New Roman" w:eastAsiaTheme="majorEastAsia" w:hAnsi="Times New Roman" w:cstheme="majorBidi"/>
      <w:b/>
      <w:bCs/>
      <w:i/>
      <w:sz w:val="24"/>
      <w:szCs w:val="26"/>
      <w:lang w:eastAsia="en-GB"/>
    </w:rPr>
  </w:style>
  <w:style w:type="paragraph" w:customStyle="1" w:styleId="Default">
    <w:name w:val="Default"/>
    <w:link w:val="DefaultChar"/>
    <w:uiPriority w:val="99"/>
    <w:rsid w:val="00313E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E537DF"/>
    <w:pPr>
      <w:ind w:left="720"/>
      <w:contextualSpacing/>
    </w:pPr>
  </w:style>
  <w:style w:type="character" w:styleId="CommentReference">
    <w:name w:val="annotation reference"/>
    <w:basedOn w:val="DefaultParagraphFont"/>
    <w:uiPriority w:val="99"/>
    <w:semiHidden/>
    <w:unhideWhenUsed/>
    <w:rsid w:val="008F6EC3"/>
    <w:rPr>
      <w:sz w:val="16"/>
      <w:szCs w:val="16"/>
    </w:rPr>
  </w:style>
  <w:style w:type="paragraph" w:styleId="CommentText">
    <w:name w:val="annotation text"/>
    <w:basedOn w:val="Normal"/>
    <w:link w:val="CommentTextChar"/>
    <w:uiPriority w:val="99"/>
    <w:unhideWhenUsed/>
    <w:rsid w:val="008F6EC3"/>
  </w:style>
  <w:style w:type="character" w:customStyle="1" w:styleId="CommentTextChar">
    <w:name w:val="Comment Text Char"/>
    <w:basedOn w:val="DefaultParagraphFont"/>
    <w:link w:val="CommentText"/>
    <w:uiPriority w:val="99"/>
    <w:rsid w:val="008F6EC3"/>
    <w:rPr>
      <w:rFonts w:ascii="Times New Roman" w:eastAsiaTheme="minorEastAsia" w:hAnsi="Times New Roman"/>
      <w:sz w:val="20"/>
      <w:szCs w:val="20"/>
      <w:lang w:val="en-US" w:bidi="en-US"/>
    </w:rPr>
  </w:style>
  <w:style w:type="paragraph" w:styleId="CommentSubject">
    <w:name w:val="annotation subject"/>
    <w:basedOn w:val="CommentText"/>
    <w:next w:val="CommentText"/>
    <w:link w:val="CommentSubjectChar"/>
    <w:uiPriority w:val="99"/>
    <w:semiHidden/>
    <w:unhideWhenUsed/>
    <w:rsid w:val="008F6EC3"/>
    <w:rPr>
      <w:b/>
      <w:bCs/>
    </w:rPr>
  </w:style>
  <w:style w:type="character" w:customStyle="1" w:styleId="CommentSubjectChar">
    <w:name w:val="Comment Subject Char"/>
    <w:basedOn w:val="CommentTextChar"/>
    <w:link w:val="CommentSubject"/>
    <w:uiPriority w:val="99"/>
    <w:semiHidden/>
    <w:rsid w:val="008F6EC3"/>
    <w:rPr>
      <w:rFonts w:ascii="Times New Roman" w:eastAsiaTheme="minorEastAsia" w:hAnsi="Times New Roman"/>
      <w:b/>
      <w:bCs/>
      <w:sz w:val="20"/>
      <w:szCs w:val="20"/>
      <w:lang w:val="en-US" w:bidi="en-US"/>
    </w:rPr>
  </w:style>
  <w:style w:type="paragraph" w:styleId="BalloonText">
    <w:name w:val="Balloon Text"/>
    <w:basedOn w:val="Normal"/>
    <w:link w:val="BalloonTextChar"/>
    <w:uiPriority w:val="99"/>
    <w:rsid w:val="00CD6078"/>
    <w:rPr>
      <w:sz w:val="18"/>
      <w:szCs w:val="18"/>
    </w:rPr>
  </w:style>
  <w:style w:type="character" w:customStyle="1" w:styleId="BalloonTextChar">
    <w:name w:val="Balloon Text Char"/>
    <w:basedOn w:val="DefaultParagraphFont"/>
    <w:link w:val="BalloonText"/>
    <w:uiPriority w:val="99"/>
    <w:rsid w:val="00CD6078"/>
    <w:rPr>
      <w:rFonts w:ascii="Times New Roman" w:eastAsia="Times New Roman" w:hAnsi="Times New Roman" w:cs="Times New Roman"/>
      <w:sz w:val="18"/>
      <w:szCs w:val="18"/>
      <w:lang w:val="en-US"/>
    </w:rPr>
  </w:style>
  <w:style w:type="character" w:customStyle="1" w:styleId="Heading4Char">
    <w:name w:val="Heading 4 Char"/>
    <w:basedOn w:val="DefaultParagraphFont"/>
    <w:link w:val="Heading4"/>
    <w:uiPriority w:val="9"/>
    <w:rsid w:val="009D06C2"/>
    <w:rPr>
      <w:rFonts w:ascii="Times New Roman" w:eastAsiaTheme="majorEastAsia" w:hAnsi="Times New Roman" w:cstheme="majorBidi"/>
      <w:bCs/>
      <w:i/>
      <w:iCs/>
      <w:sz w:val="24"/>
      <w:lang w:val="en-US" w:bidi="en-US"/>
    </w:rPr>
  </w:style>
  <w:style w:type="table" w:styleId="TableGrid">
    <w:name w:val="Table Grid"/>
    <w:basedOn w:val="TableNormal"/>
    <w:uiPriority w:val="39"/>
    <w:rsid w:val="00830A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nonumbertobelisted">
    <w:name w:val="Heading 1 no number to be listed"/>
    <w:basedOn w:val="Normal"/>
    <w:next w:val="Heading1"/>
    <w:qFormat/>
    <w:rsid w:val="00A848A9"/>
    <w:pPr>
      <w:outlineLvl w:val="0"/>
    </w:pPr>
    <w:rPr>
      <w:b/>
      <w:lang w:val="en-GB" w:eastAsia="en-GB"/>
    </w:rPr>
  </w:style>
  <w:style w:type="paragraph" w:customStyle="1" w:styleId="MainHeading1notforlist">
    <w:name w:val="Main Heading 1 not for list"/>
    <w:basedOn w:val="Normal"/>
    <w:next w:val="Heading1"/>
    <w:qFormat/>
    <w:rsid w:val="00251012"/>
    <w:pPr>
      <w:outlineLvl w:val="0"/>
    </w:pPr>
    <w:rPr>
      <w:b/>
      <w:sz w:val="28"/>
      <w:lang w:val="en-GB" w:eastAsia="en-GB"/>
    </w:rPr>
  </w:style>
  <w:style w:type="character" w:customStyle="1" w:styleId="Heading5Char">
    <w:name w:val="Heading 5 Char"/>
    <w:basedOn w:val="DefaultParagraphFont"/>
    <w:link w:val="Heading5"/>
    <w:uiPriority w:val="9"/>
    <w:rsid w:val="004152CF"/>
    <w:rPr>
      <w:rFonts w:ascii="Times New Roman" w:eastAsiaTheme="majorEastAsia" w:hAnsi="Times New Roman" w:cstheme="majorBidi"/>
      <w:b/>
      <w:sz w:val="24"/>
      <w:lang w:val="en-US" w:bidi="en-US"/>
    </w:rPr>
  </w:style>
  <w:style w:type="character" w:customStyle="1" w:styleId="Heading6Char">
    <w:name w:val="Heading 6 Char"/>
    <w:basedOn w:val="DefaultParagraphFont"/>
    <w:link w:val="Heading6"/>
    <w:uiPriority w:val="9"/>
    <w:semiHidden/>
    <w:rsid w:val="00251012"/>
    <w:rPr>
      <w:rFonts w:asciiTheme="majorHAnsi" w:eastAsiaTheme="majorEastAsia" w:hAnsiTheme="majorHAnsi" w:cstheme="majorBidi"/>
      <w:i/>
      <w:iCs/>
      <w:color w:val="243F60" w:themeColor="accent1" w:themeShade="7F"/>
      <w:sz w:val="24"/>
      <w:lang w:val="en-US" w:bidi="en-US"/>
    </w:rPr>
  </w:style>
  <w:style w:type="character" w:customStyle="1" w:styleId="Heading7Char">
    <w:name w:val="Heading 7 Char"/>
    <w:basedOn w:val="DefaultParagraphFont"/>
    <w:link w:val="Heading7"/>
    <w:uiPriority w:val="9"/>
    <w:semiHidden/>
    <w:rsid w:val="00251012"/>
    <w:rPr>
      <w:rFonts w:asciiTheme="majorHAnsi" w:eastAsiaTheme="majorEastAsia" w:hAnsiTheme="majorHAnsi" w:cstheme="majorBidi"/>
      <w:i/>
      <w:iCs/>
      <w:color w:val="404040" w:themeColor="text1" w:themeTint="BF"/>
      <w:sz w:val="24"/>
      <w:lang w:val="en-US" w:bidi="en-US"/>
    </w:rPr>
  </w:style>
  <w:style w:type="character" w:customStyle="1" w:styleId="Heading8Char">
    <w:name w:val="Heading 8 Char"/>
    <w:basedOn w:val="DefaultParagraphFont"/>
    <w:link w:val="Heading8"/>
    <w:uiPriority w:val="9"/>
    <w:semiHidden/>
    <w:rsid w:val="00251012"/>
    <w:rPr>
      <w:rFonts w:asciiTheme="majorHAnsi" w:eastAsiaTheme="majorEastAsia" w:hAnsiTheme="majorHAnsi" w:cstheme="majorBidi"/>
      <w:color w:val="404040" w:themeColor="text1" w:themeTint="BF"/>
      <w:sz w:val="20"/>
      <w:szCs w:val="20"/>
      <w:lang w:val="en-US" w:bidi="en-US"/>
    </w:rPr>
  </w:style>
  <w:style w:type="character" w:customStyle="1" w:styleId="Heading9Char">
    <w:name w:val="Heading 9 Char"/>
    <w:basedOn w:val="DefaultParagraphFont"/>
    <w:link w:val="Heading9"/>
    <w:uiPriority w:val="9"/>
    <w:semiHidden/>
    <w:rsid w:val="00251012"/>
    <w:rPr>
      <w:rFonts w:asciiTheme="majorHAnsi" w:eastAsiaTheme="majorEastAsia" w:hAnsiTheme="majorHAnsi" w:cstheme="majorBidi"/>
      <w:i/>
      <w:iCs/>
      <w:color w:val="404040" w:themeColor="text1" w:themeTint="BF"/>
      <w:sz w:val="20"/>
      <w:szCs w:val="20"/>
      <w:lang w:val="en-US" w:bidi="en-US"/>
    </w:rPr>
  </w:style>
  <w:style w:type="paragraph" w:styleId="TOC1">
    <w:name w:val="toc 1"/>
    <w:basedOn w:val="Normal"/>
    <w:next w:val="Normal"/>
    <w:autoRedefine/>
    <w:uiPriority w:val="39"/>
    <w:unhideWhenUsed/>
    <w:rsid w:val="003462FA"/>
    <w:pPr>
      <w:spacing w:after="100" w:line="480" w:lineRule="auto"/>
    </w:pPr>
    <w:rPr>
      <w:b/>
      <w:sz w:val="28"/>
    </w:rPr>
  </w:style>
  <w:style w:type="paragraph" w:styleId="TOC2">
    <w:name w:val="toc 2"/>
    <w:basedOn w:val="Normal"/>
    <w:next w:val="Normal"/>
    <w:autoRedefine/>
    <w:uiPriority w:val="39"/>
    <w:unhideWhenUsed/>
    <w:rsid w:val="003462FA"/>
    <w:pPr>
      <w:spacing w:after="100" w:line="480" w:lineRule="auto"/>
      <w:ind w:left="240"/>
    </w:pPr>
    <w:rPr>
      <w:b/>
    </w:rPr>
  </w:style>
  <w:style w:type="paragraph" w:styleId="TOC3">
    <w:name w:val="toc 3"/>
    <w:basedOn w:val="Normal"/>
    <w:next w:val="Normal"/>
    <w:autoRedefine/>
    <w:uiPriority w:val="39"/>
    <w:unhideWhenUsed/>
    <w:rsid w:val="003462FA"/>
    <w:pPr>
      <w:spacing w:after="100" w:line="480" w:lineRule="auto"/>
      <w:ind w:left="480"/>
    </w:pPr>
    <w:rPr>
      <w:i/>
    </w:rPr>
  </w:style>
  <w:style w:type="paragraph" w:styleId="Title">
    <w:name w:val="Title"/>
    <w:basedOn w:val="Normal"/>
    <w:next w:val="Normal"/>
    <w:link w:val="TitleChar"/>
    <w:uiPriority w:val="10"/>
    <w:rsid w:val="00A848A9"/>
    <w:pPr>
      <w:contextualSpacing/>
    </w:pPr>
    <w:rPr>
      <w:rFonts w:eastAsiaTheme="majorEastAsia" w:cstheme="majorBidi"/>
      <w:b/>
      <w:color w:val="000000" w:themeColor="text1"/>
      <w:spacing w:val="5"/>
      <w:kern w:val="28"/>
      <w:sz w:val="28"/>
      <w:szCs w:val="52"/>
    </w:rPr>
  </w:style>
  <w:style w:type="character" w:customStyle="1" w:styleId="TitleChar">
    <w:name w:val="Title Char"/>
    <w:basedOn w:val="DefaultParagraphFont"/>
    <w:link w:val="Title"/>
    <w:uiPriority w:val="10"/>
    <w:rsid w:val="00A848A9"/>
    <w:rPr>
      <w:rFonts w:ascii="Times New Roman" w:eastAsiaTheme="majorEastAsia" w:hAnsi="Times New Roman" w:cstheme="majorBidi"/>
      <w:b/>
      <w:color w:val="000000" w:themeColor="text1"/>
      <w:spacing w:val="5"/>
      <w:kern w:val="28"/>
      <w:sz w:val="28"/>
      <w:szCs w:val="52"/>
      <w:lang w:val="en-US" w:bidi="en-US"/>
    </w:rPr>
  </w:style>
  <w:style w:type="character" w:styleId="IntenseEmphasis">
    <w:name w:val="Intense Emphasis"/>
    <w:basedOn w:val="DefaultParagraphFont"/>
    <w:uiPriority w:val="21"/>
    <w:rsid w:val="00326B18"/>
    <w:rPr>
      <w:b/>
      <w:bCs/>
      <w:i/>
      <w:iCs/>
      <w:color w:val="4F81BD" w:themeColor="accent1"/>
    </w:rPr>
  </w:style>
  <w:style w:type="paragraph" w:styleId="TOC4">
    <w:name w:val="toc 4"/>
    <w:basedOn w:val="Normal"/>
    <w:next w:val="Normal"/>
    <w:autoRedefine/>
    <w:uiPriority w:val="39"/>
    <w:unhideWhenUsed/>
    <w:rsid w:val="002F0133"/>
    <w:pPr>
      <w:spacing w:after="100"/>
      <w:ind w:left="720"/>
    </w:pPr>
  </w:style>
  <w:style w:type="paragraph" w:customStyle="1" w:styleId="Head1nonumberingtobelisted">
    <w:name w:val="Head1 no numbering to be listed"/>
    <w:basedOn w:val="Normal"/>
    <w:next w:val="Heading1"/>
    <w:qFormat/>
    <w:rsid w:val="002F0133"/>
    <w:pPr>
      <w:outlineLvl w:val="0"/>
    </w:pPr>
    <w:rPr>
      <w:b/>
      <w:sz w:val="28"/>
      <w:lang w:val="en-GB" w:eastAsia="en-GB"/>
    </w:rPr>
  </w:style>
  <w:style w:type="paragraph" w:styleId="Header">
    <w:name w:val="header"/>
    <w:basedOn w:val="Normal"/>
    <w:link w:val="HeaderChar"/>
    <w:uiPriority w:val="99"/>
    <w:unhideWhenUsed/>
    <w:rsid w:val="002F0133"/>
    <w:pPr>
      <w:tabs>
        <w:tab w:val="center" w:pos="4513"/>
        <w:tab w:val="right" w:pos="9026"/>
      </w:tabs>
    </w:pPr>
  </w:style>
  <w:style w:type="character" w:customStyle="1" w:styleId="HeaderChar">
    <w:name w:val="Header Char"/>
    <w:basedOn w:val="DefaultParagraphFont"/>
    <w:link w:val="Header"/>
    <w:uiPriority w:val="99"/>
    <w:rsid w:val="002F0133"/>
    <w:rPr>
      <w:rFonts w:ascii="Times New Roman" w:eastAsiaTheme="minorEastAsia" w:hAnsi="Times New Roman"/>
      <w:sz w:val="24"/>
      <w:lang w:val="en-US" w:bidi="en-US"/>
    </w:rPr>
  </w:style>
  <w:style w:type="paragraph" w:styleId="Footer">
    <w:name w:val="footer"/>
    <w:basedOn w:val="Normal"/>
    <w:link w:val="FooterChar"/>
    <w:uiPriority w:val="99"/>
    <w:unhideWhenUsed/>
    <w:rsid w:val="002F0133"/>
    <w:pPr>
      <w:tabs>
        <w:tab w:val="center" w:pos="4513"/>
        <w:tab w:val="right" w:pos="9026"/>
      </w:tabs>
    </w:pPr>
  </w:style>
  <w:style w:type="character" w:customStyle="1" w:styleId="FooterChar">
    <w:name w:val="Footer Char"/>
    <w:basedOn w:val="DefaultParagraphFont"/>
    <w:link w:val="Footer"/>
    <w:uiPriority w:val="99"/>
    <w:rsid w:val="002F0133"/>
    <w:rPr>
      <w:rFonts w:ascii="Times New Roman" w:eastAsiaTheme="minorEastAsia" w:hAnsi="Times New Roman"/>
      <w:sz w:val="24"/>
      <w:lang w:val="en-US" w:bidi="en-US"/>
    </w:rPr>
  </w:style>
  <w:style w:type="paragraph" w:customStyle="1" w:styleId="Head1notforlist">
    <w:name w:val="Head1 not for list"/>
    <w:basedOn w:val="Normal"/>
    <w:qFormat/>
    <w:rsid w:val="002F0133"/>
    <w:rPr>
      <w:b/>
      <w:sz w:val="28"/>
      <w:lang w:val="en-GB" w:eastAsia="en-GB"/>
    </w:rPr>
  </w:style>
  <w:style w:type="character" w:styleId="Emphasis">
    <w:name w:val="Emphasis"/>
    <w:basedOn w:val="DefaultParagraphFont"/>
    <w:uiPriority w:val="20"/>
    <w:rsid w:val="002F0133"/>
    <w:rPr>
      <w:i/>
      <w:iCs/>
    </w:rPr>
  </w:style>
  <w:style w:type="paragraph" w:styleId="FootnoteText">
    <w:name w:val="footnote text"/>
    <w:basedOn w:val="Normal"/>
    <w:link w:val="FootnoteTextChar"/>
    <w:uiPriority w:val="99"/>
    <w:rsid w:val="002F0133"/>
    <w:rPr>
      <w:lang w:val="en-GB" w:eastAsia="en-GB"/>
    </w:rPr>
  </w:style>
  <w:style w:type="character" w:customStyle="1" w:styleId="FootnoteTextChar">
    <w:name w:val="Footnote Text Char"/>
    <w:basedOn w:val="DefaultParagraphFont"/>
    <w:link w:val="FootnoteText"/>
    <w:uiPriority w:val="99"/>
    <w:rsid w:val="002F0133"/>
    <w:rPr>
      <w:rFonts w:ascii="Times New Roman" w:eastAsia="Times New Roman" w:hAnsi="Times New Roman" w:cs="Times New Roman"/>
      <w:sz w:val="20"/>
      <w:szCs w:val="20"/>
      <w:lang w:eastAsia="en-GB"/>
    </w:rPr>
  </w:style>
  <w:style w:type="character" w:styleId="Hyperlink">
    <w:name w:val="Hyperlink"/>
    <w:basedOn w:val="DefaultParagraphFont"/>
    <w:uiPriority w:val="99"/>
    <w:unhideWhenUsed/>
    <w:rsid w:val="002F0133"/>
    <w:rPr>
      <w:color w:val="0000FF" w:themeColor="hyperlink"/>
      <w:u w:val="single"/>
    </w:rPr>
  </w:style>
  <w:style w:type="table" w:customStyle="1" w:styleId="TableGrid1">
    <w:name w:val="Table Grid1"/>
    <w:basedOn w:val="TableNormal"/>
    <w:next w:val="TableGrid"/>
    <w:rsid w:val="002F0133"/>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2">
    <w:name w:val="Table Grid2"/>
    <w:basedOn w:val="TableNormal"/>
    <w:next w:val="TableGrid"/>
    <w:rsid w:val="002F0133"/>
    <w:pPr>
      <w:spacing w:before="40" w:after="40" w:line="240" w:lineRule="auto"/>
    </w:pPr>
    <w:rPr>
      <w:rFonts w:ascii="Times New Roman" w:eastAsiaTheme="minorEastAsia"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paragraph" w:customStyle="1" w:styleId="EndNoteBibliography">
    <w:name w:val="EndNote Bibliography"/>
    <w:basedOn w:val="Normal"/>
    <w:link w:val="EndNoteBibliographyChar"/>
    <w:rsid w:val="002F0133"/>
    <w:pPr>
      <w:jc w:val="both"/>
    </w:pPr>
    <w:rPr>
      <w:rFonts w:eastAsiaTheme="minorHAnsi"/>
      <w:noProof/>
    </w:rPr>
  </w:style>
  <w:style w:type="character" w:customStyle="1" w:styleId="EndNoteBibliographyChar">
    <w:name w:val="EndNote Bibliography Char"/>
    <w:basedOn w:val="DefaultParagraphFont"/>
    <w:link w:val="EndNoteBibliography"/>
    <w:rsid w:val="002F0133"/>
    <w:rPr>
      <w:rFonts w:ascii="Times New Roman" w:hAnsi="Times New Roman" w:cs="Times New Roman"/>
      <w:noProof/>
      <w:sz w:val="24"/>
      <w:lang w:val="en-US"/>
    </w:rPr>
  </w:style>
  <w:style w:type="character" w:customStyle="1" w:styleId="UnresolvedMention1">
    <w:name w:val="Unresolved Mention1"/>
    <w:basedOn w:val="DefaultParagraphFont"/>
    <w:uiPriority w:val="99"/>
    <w:semiHidden/>
    <w:unhideWhenUsed/>
    <w:rsid w:val="002F0133"/>
    <w:rPr>
      <w:color w:val="808080"/>
      <w:shd w:val="clear" w:color="auto" w:fill="E6E6E6"/>
    </w:rPr>
  </w:style>
  <w:style w:type="paragraph" w:styleId="Revision">
    <w:name w:val="Revision"/>
    <w:hidden/>
    <w:uiPriority w:val="99"/>
    <w:semiHidden/>
    <w:rsid w:val="002F0133"/>
    <w:pPr>
      <w:spacing w:after="0" w:line="240" w:lineRule="auto"/>
    </w:pPr>
    <w:rPr>
      <w:rFonts w:ascii="Times New Roman" w:hAnsi="Times New Roman"/>
      <w:sz w:val="24"/>
    </w:rPr>
  </w:style>
  <w:style w:type="paragraph" w:customStyle="1" w:styleId="NoSpacing1">
    <w:name w:val="No Spacing1"/>
    <w:next w:val="NoSpacing"/>
    <w:uiPriority w:val="1"/>
    <w:qFormat/>
    <w:rsid w:val="002F0133"/>
    <w:pPr>
      <w:spacing w:after="0" w:line="240" w:lineRule="auto"/>
    </w:pPr>
  </w:style>
  <w:style w:type="paragraph" w:styleId="NoSpacing">
    <w:name w:val="No Spacing"/>
    <w:uiPriority w:val="1"/>
    <w:qFormat/>
    <w:rsid w:val="002F0133"/>
    <w:pPr>
      <w:spacing w:after="0" w:line="240" w:lineRule="auto"/>
    </w:pPr>
    <w:rPr>
      <w:rFonts w:ascii="Times New Roman" w:hAnsi="Times New Roman"/>
      <w:sz w:val="24"/>
    </w:rPr>
  </w:style>
  <w:style w:type="character" w:customStyle="1" w:styleId="DefaultChar">
    <w:name w:val="Default Char"/>
    <w:basedOn w:val="DefaultParagraphFont"/>
    <w:link w:val="Default"/>
    <w:uiPriority w:val="99"/>
    <w:rsid w:val="002F0133"/>
    <w:rPr>
      <w:rFonts w:ascii="Arial" w:hAnsi="Arial" w:cs="Arial"/>
      <w:color w:val="000000"/>
      <w:sz w:val="24"/>
      <w:szCs w:val="24"/>
    </w:rPr>
  </w:style>
  <w:style w:type="character" w:styleId="FollowedHyperlink">
    <w:name w:val="FollowedHyperlink"/>
    <w:basedOn w:val="DefaultParagraphFont"/>
    <w:uiPriority w:val="99"/>
    <w:semiHidden/>
    <w:unhideWhenUsed/>
    <w:rsid w:val="002F0133"/>
    <w:rPr>
      <w:color w:val="800080" w:themeColor="followedHyperlink"/>
      <w:u w:val="single"/>
    </w:rPr>
  </w:style>
  <w:style w:type="character" w:customStyle="1" w:styleId="UnresolvedMention2">
    <w:name w:val="Unresolved Mention2"/>
    <w:basedOn w:val="DefaultParagraphFont"/>
    <w:uiPriority w:val="99"/>
    <w:semiHidden/>
    <w:unhideWhenUsed/>
    <w:rsid w:val="002F0133"/>
    <w:rPr>
      <w:color w:val="605E5C"/>
      <w:shd w:val="clear" w:color="auto" w:fill="E1DFDD"/>
    </w:rPr>
  </w:style>
  <w:style w:type="numbering" w:customStyle="1" w:styleId="NoList1">
    <w:name w:val="No List1"/>
    <w:next w:val="NoList"/>
    <w:uiPriority w:val="99"/>
    <w:semiHidden/>
    <w:unhideWhenUsed/>
    <w:rsid w:val="002F0133"/>
  </w:style>
  <w:style w:type="paragraph" w:customStyle="1" w:styleId="msonormal0">
    <w:name w:val="msonormal"/>
    <w:basedOn w:val="Normal"/>
    <w:rsid w:val="002F0133"/>
    <w:pPr>
      <w:spacing w:before="100" w:beforeAutospacing="1" w:after="100" w:afterAutospacing="1"/>
    </w:pPr>
    <w:rPr>
      <w:szCs w:val="24"/>
      <w:lang w:val="en-GB" w:eastAsia="en-GB"/>
    </w:rPr>
  </w:style>
  <w:style w:type="paragraph" w:customStyle="1" w:styleId="font0">
    <w:name w:val="font0"/>
    <w:basedOn w:val="Normal"/>
    <w:rsid w:val="002F0133"/>
    <w:pPr>
      <w:spacing w:before="100" w:beforeAutospacing="1" w:after="100" w:afterAutospacing="1"/>
    </w:pPr>
    <w:rPr>
      <w:rFonts w:ascii="Calibri" w:hAnsi="Calibri" w:cs="Calibri"/>
      <w:color w:val="000000"/>
      <w:sz w:val="22"/>
      <w:lang w:val="en-GB" w:eastAsia="en-GB"/>
    </w:rPr>
  </w:style>
  <w:style w:type="paragraph" w:customStyle="1" w:styleId="font5">
    <w:name w:val="font5"/>
    <w:basedOn w:val="Normal"/>
    <w:rsid w:val="002F0133"/>
    <w:pPr>
      <w:spacing w:before="100" w:beforeAutospacing="1" w:after="100" w:afterAutospacing="1"/>
    </w:pPr>
    <w:rPr>
      <w:rFonts w:ascii="Calibri" w:hAnsi="Calibri" w:cs="Calibri"/>
      <w:sz w:val="22"/>
      <w:lang w:val="en-GB" w:eastAsia="en-GB"/>
    </w:rPr>
  </w:style>
  <w:style w:type="paragraph" w:customStyle="1" w:styleId="font6">
    <w:name w:val="font6"/>
    <w:basedOn w:val="Normal"/>
    <w:rsid w:val="002F0133"/>
    <w:pPr>
      <w:spacing w:before="100" w:beforeAutospacing="1" w:after="100" w:afterAutospacing="1"/>
    </w:pPr>
    <w:rPr>
      <w:rFonts w:ascii="Calibri" w:hAnsi="Calibri" w:cs="Calibri"/>
      <w:color w:val="000000"/>
      <w:sz w:val="22"/>
      <w:lang w:val="en-GB" w:eastAsia="en-GB"/>
    </w:rPr>
  </w:style>
  <w:style w:type="paragraph" w:customStyle="1" w:styleId="font7">
    <w:name w:val="font7"/>
    <w:basedOn w:val="Normal"/>
    <w:rsid w:val="002F0133"/>
    <w:pPr>
      <w:spacing w:before="100" w:beforeAutospacing="1" w:after="100" w:afterAutospacing="1"/>
    </w:pPr>
    <w:rPr>
      <w:rFonts w:ascii="Calibri" w:hAnsi="Calibri" w:cs="Calibri"/>
      <w:b/>
      <w:bCs/>
      <w:sz w:val="22"/>
      <w:lang w:val="en-GB" w:eastAsia="en-GB"/>
    </w:rPr>
  </w:style>
  <w:style w:type="paragraph" w:customStyle="1" w:styleId="font8">
    <w:name w:val="font8"/>
    <w:basedOn w:val="Normal"/>
    <w:rsid w:val="002F0133"/>
    <w:pPr>
      <w:spacing w:before="100" w:beforeAutospacing="1" w:after="100" w:afterAutospacing="1"/>
    </w:pPr>
    <w:rPr>
      <w:rFonts w:ascii="Calibri" w:hAnsi="Calibri" w:cs="Calibri"/>
      <w:b/>
      <w:bCs/>
      <w:i/>
      <w:iCs/>
      <w:sz w:val="22"/>
      <w:u w:val="single"/>
      <w:lang w:val="en-GB" w:eastAsia="en-GB"/>
    </w:rPr>
  </w:style>
  <w:style w:type="paragraph" w:customStyle="1" w:styleId="font9">
    <w:name w:val="font9"/>
    <w:basedOn w:val="Normal"/>
    <w:rsid w:val="002F0133"/>
    <w:pPr>
      <w:spacing w:before="100" w:beforeAutospacing="1" w:after="100" w:afterAutospacing="1"/>
    </w:pPr>
    <w:rPr>
      <w:rFonts w:ascii="Calibri" w:hAnsi="Calibri" w:cs="Calibri"/>
      <w:sz w:val="22"/>
      <w:lang w:val="en-GB" w:eastAsia="en-GB"/>
    </w:rPr>
  </w:style>
  <w:style w:type="paragraph" w:customStyle="1" w:styleId="xl63">
    <w:name w:val="xl63"/>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64">
    <w:name w:val="xl64"/>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65">
    <w:name w:val="xl65"/>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paragraph" w:customStyle="1" w:styleId="xl66">
    <w:name w:val="xl66"/>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67">
    <w:name w:val="xl67"/>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68">
    <w:name w:val="xl68"/>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69">
    <w:name w:val="xl69"/>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70">
    <w:name w:val="xl70"/>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71">
    <w:name w:val="xl71"/>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n-GB" w:eastAsia="en-GB"/>
    </w:rPr>
  </w:style>
  <w:style w:type="paragraph" w:customStyle="1" w:styleId="xl72">
    <w:name w:val="xl72"/>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73">
    <w:name w:val="xl73"/>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n-GB" w:eastAsia="en-GB"/>
    </w:rPr>
  </w:style>
  <w:style w:type="paragraph" w:customStyle="1" w:styleId="xl74">
    <w:name w:val="xl74"/>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paragraph" w:customStyle="1" w:styleId="xl75">
    <w:name w:val="xl75"/>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76">
    <w:name w:val="xl76"/>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en-GB" w:eastAsia="en-GB"/>
    </w:rPr>
  </w:style>
  <w:style w:type="paragraph" w:customStyle="1" w:styleId="xl77">
    <w:name w:val="xl77"/>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lang w:val="en-GB" w:eastAsia="en-GB"/>
    </w:rPr>
  </w:style>
  <w:style w:type="paragraph" w:customStyle="1" w:styleId="xl78">
    <w:name w:val="xl78"/>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en-GB" w:eastAsia="en-GB"/>
    </w:rPr>
  </w:style>
  <w:style w:type="paragraph" w:customStyle="1" w:styleId="xl79">
    <w:name w:val="xl79"/>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80">
    <w:name w:val="xl80"/>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81">
    <w:name w:val="xl81"/>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n-GB" w:eastAsia="en-GB"/>
    </w:rPr>
  </w:style>
  <w:style w:type="paragraph" w:customStyle="1" w:styleId="xl82">
    <w:name w:val="xl82"/>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character" w:customStyle="1" w:styleId="UnresolvedMention3">
    <w:name w:val="Unresolved Mention3"/>
    <w:basedOn w:val="DefaultParagraphFont"/>
    <w:uiPriority w:val="99"/>
    <w:semiHidden/>
    <w:unhideWhenUsed/>
    <w:rsid w:val="002F0133"/>
    <w:rPr>
      <w:color w:val="605E5C"/>
      <w:shd w:val="clear" w:color="auto" w:fill="E1DFDD"/>
    </w:rPr>
  </w:style>
  <w:style w:type="character" w:customStyle="1" w:styleId="UnresolvedMention4">
    <w:name w:val="Unresolved Mention4"/>
    <w:basedOn w:val="DefaultParagraphFont"/>
    <w:uiPriority w:val="99"/>
    <w:semiHidden/>
    <w:unhideWhenUsed/>
    <w:rsid w:val="002F0133"/>
    <w:rPr>
      <w:color w:val="605E5C"/>
      <w:shd w:val="clear" w:color="auto" w:fill="E1DFDD"/>
    </w:rPr>
  </w:style>
  <w:style w:type="paragraph" w:customStyle="1" w:styleId="EndNoteBibliographyTitle">
    <w:name w:val="EndNote Bibliography Title"/>
    <w:basedOn w:val="Normal"/>
    <w:link w:val="EndNoteBibliographyTitleChar"/>
    <w:rsid w:val="00781961"/>
    <w:pPr>
      <w:jc w:val="center"/>
    </w:pPr>
    <w:rPr>
      <w:noProof/>
    </w:rPr>
  </w:style>
  <w:style w:type="character" w:customStyle="1" w:styleId="EndNoteBibliographyTitleChar">
    <w:name w:val="EndNote Bibliography Title Char"/>
    <w:basedOn w:val="DefaultParagraphFont"/>
    <w:link w:val="EndNoteBibliographyTitle"/>
    <w:rsid w:val="00781961"/>
    <w:rPr>
      <w:rFonts w:ascii="Times New Roman" w:eastAsiaTheme="minorEastAsia" w:hAnsi="Times New Roman" w:cs="Times New Roman"/>
      <w:noProof/>
      <w:sz w:val="24"/>
      <w:lang w:val="en-US" w:bidi="en-US"/>
    </w:rPr>
  </w:style>
  <w:style w:type="character" w:customStyle="1" w:styleId="UnresolvedMention5">
    <w:name w:val="Unresolved Mention5"/>
    <w:basedOn w:val="DefaultParagraphFont"/>
    <w:uiPriority w:val="99"/>
    <w:semiHidden/>
    <w:unhideWhenUsed/>
    <w:rsid w:val="00AB5980"/>
    <w:rPr>
      <w:color w:val="605E5C"/>
      <w:shd w:val="clear" w:color="auto" w:fill="E1DFDD"/>
    </w:rPr>
  </w:style>
  <w:style w:type="character" w:customStyle="1" w:styleId="UnresolvedMention6">
    <w:name w:val="Unresolved Mention6"/>
    <w:basedOn w:val="DefaultParagraphFont"/>
    <w:uiPriority w:val="99"/>
    <w:semiHidden/>
    <w:unhideWhenUsed/>
    <w:rsid w:val="005B5026"/>
    <w:rPr>
      <w:color w:val="605E5C"/>
      <w:shd w:val="clear" w:color="auto" w:fill="E1DFDD"/>
    </w:rPr>
  </w:style>
  <w:style w:type="paragraph" w:styleId="Caption">
    <w:name w:val="caption"/>
    <w:basedOn w:val="Normal"/>
    <w:next w:val="Normal"/>
    <w:uiPriority w:val="35"/>
    <w:semiHidden/>
    <w:unhideWhenUsed/>
    <w:qFormat/>
    <w:rsid w:val="00FB077C"/>
    <w:pPr>
      <w:spacing w:after="200"/>
    </w:pPr>
    <w:rPr>
      <w:rFonts w:eastAsiaTheme="minorHAnsi"/>
      <w:i/>
      <w:iCs/>
      <w:color w:val="1F497D" w:themeColor="text2"/>
      <w:sz w:val="18"/>
      <w:szCs w:val="18"/>
      <w:lang w:val="en-GB"/>
    </w:rPr>
  </w:style>
  <w:style w:type="character" w:customStyle="1" w:styleId="UnresolvedMention7">
    <w:name w:val="Unresolved Mention7"/>
    <w:basedOn w:val="DefaultParagraphFont"/>
    <w:uiPriority w:val="99"/>
    <w:semiHidden/>
    <w:unhideWhenUsed/>
    <w:rsid w:val="00280A97"/>
    <w:rPr>
      <w:color w:val="605E5C"/>
      <w:shd w:val="clear" w:color="auto" w:fill="E1DFDD"/>
    </w:rPr>
  </w:style>
  <w:style w:type="character" w:customStyle="1" w:styleId="UnresolvedMention70">
    <w:name w:val="Unresolved Mention7"/>
    <w:basedOn w:val="DefaultParagraphFont"/>
    <w:uiPriority w:val="99"/>
    <w:semiHidden/>
    <w:unhideWhenUsed/>
    <w:rsid w:val="00F471F5"/>
    <w:rPr>
      <w:color w:val="605E5C"/>
      <w:shd w:val="clear" w:color="auto" w:fill="E1DFDD"/>
    </w:rPr>
  </w:style>
  <w:style w:type="paragraph" w:customStyle="1" w:styleId="11MaintitlePrelimsPrelimsstyles">
    <w:name w:val="1.1 Main title (Prelims) (Prelims styles)"/>
    <w:basedOn w:val="Normal"/>
    <w:next w:val="BasicParagraph"/>
    <w:uiPriority w:val="99"/>
    <w:rsid w:val="00CD6078"/>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CD6078"/>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CD6078"/>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CD6078"/>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CD6078"/>
    <w:rPr>
      <w:rFonts w:cs="Humanist777BT-RomanB"/>
    </w:rPr>
  </w:style>
  <w:style w:type="paragraph" w:customStyle="1" w:styleId="161TitlepagecompetinginterestsPrelimsstyles">
    <w:name w:val="1.61 Title page competing interests (Prelims styles)"/>
    <w:basedOn w:val="16TitlepagetextPrelimsPrelimsstyles"/>
    <w:uiPriority w:val="99"/>
    <w:rsid w:val="00CD6078"/>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CD6078"/>
    <w:pPr>
      <w:spacing w:after="60"/>
      <w:ind w:left="0" w:firstLine="0"/>
    </w:pPr>
  </w:style>
  <w:style w:type="paragraph" w:customStyle="1" w:styleId="18TitlepagedoiPrelimsPrelimsstyles">
    <w:name w:val="1.8 Title page doi (Prelims) (Prelims styles)"/>
    <w:basedOn w:val="17TitlepagepubdatePrelimsPrelimsstyles"/>
    <w:uiPriority w:val="99"/>
    <w:rsid w:val="00CD6078"/>
    <w:pPr>
      <w:spacing w:after="0" w:line="240" w:lineRule="atLeast"/>
    </w:pPr>
    <w:rPr>
      <w:sz w:val="20"/>
      <w:szCs w:val="20"/>
    </w:rPr>
  </w:style>
  <w:style w:type="paragraph" w:customStyle="1" w:styleId="151AbstracttitlePrelimsPrelimsstyles">
    <w:name w:val="1.51 Abstract title (Prelims) (Prelims styles)"/>
    <w:basedOn w:val="Normal"/>
    <w:uiPriority w:val="99"/>
    <w:rsid w:val="00CD6078"/>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CD6078"/>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CD6078"/>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CD6078"/>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CD6078"/>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CD6078"/>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CD6078"/>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CD6078"/>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CD6078"/>
    <w:pPr>
      <w:spacing w:after="130"/>
      <w:ind w:left="960" w:hanging="960"/>
    </w:pPr>
  </w:style>
  <w:style w:type="paragraph" w:customStyle="1" w:styleId="192AbbreviationslistnotesPrelimsstyles">
    <w:name w:val="1.92 Abbreviations list notes (Prelims styles)"/>
    <w:basedOn w:val="602TextfoTextstylesTextstyles"/>
    <w:uiPriority w:val="99"/>
    <w:rsid w:val="00CD6078"/>
    <w:pPr>
      <w:pageBreakBefore/>
      <w:spacing w:before="260" w:after="0"/>
    </w:pPr>
  </w:style>
  <w:style w:type="paragraph" w:customStyle="1" w:styleId="21ContributortextPrelimsPrelimsstyles">
    <w:name w:val="2.1 Contributor text (Prelims) (Prelims styles)"/>
    <w:basedOn w:val="16TitlepagetextPrelimsPrelimsstyles"/>
    <w:uiPriority w:val="99"/>
    <w:rsid w:val="00CD6078"/>
    <w:pPr>
      <w:spacing w:after="280"/>
      <w:ind w:left="240" w:hanging="240"/>
    </w:pPr>
  </w:style>
  <w:style w:type="paragraph" w:customStyle="1" w:styleId="51AAheadHeadingstyles">
    <w:name w:val="5.1 AA head (Heading styles)"/>
    <w:basedOn w:val="52AheadHeadingsHeadingstyles"/>
    <w:next w:val="52AheadHeadingsHeadingstyles"/>
    <w:uiPriority w:val="99"/>
    <w:rsid w:val="00CD6078"/>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CD6078"/>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CD6078"/>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CD6078"/>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CD6078"/>
    <w:pPr>
      <w:outlineLvl w:val="4"/>
    </w:pPr>
    <w:rPr>
      <w:rFonts w:cs="Humanist777BT-ItalicB"/>
      <w:i/>
      <w:iCs/>
    </w:rPr>
  </w:style>
  <w:style w:type="paragraph" w:customStyle="1" w:styleId="56EheadHeadingsHeadingstyles">
    <w:name w:val="5.6 E head (Headings) (Heading styles)"/>
    <w:basedOn w:val="602TextfoTextstylesTextstyles"/>
    <w:uiPriority w:val="99"/>
    <w:rsid w:val="00CD6078"/>
  </w:style>
  <w:style w:type="paragraph" w:customStyle="1" w:styleId="57FheadHeadingsHeadingstyles">
    <w:name w:val="5.7 F head (Headings) (Heading styles)"/>
    <w:basedOn w:val="56EheadHeadingsHeadingstyles"/>
    <w:uiPriority w:val="99"/>
    <w:rsid w:val="00CD6078"/>
    <w:rPr>
      <w:i/>
      <w:iCs/>
    </w:rPr>
  </w:style>
  <w:style w:type="paragraph" w:customStyle="1" w:styleId="601TextdropcapTextstylesTextstyles">
    <w:name w:val="6.01 Text (drop cap) (Text styles) (Text styles)"/>
    <w:basedOn w:val="602TextfoTextstylesTextstyles"/>
    <w:next w:val="602TextfoTextstylesTextstyles"/>
    <w:uiPriority w:val="99"/>
    <w:rsid w:val="00CD6078"/>
  </w:style>
  <w:style w:type="paragraph" w:customStyle="1" w:styleId="611BulletlistTextstyles">
    <w:name w:val="6.11 Bullet list (Text styles)"/>
    <w:basedOn w:val="602TextfoTextstylesTextstyles"/>
    <w:next w:val="602TextfoTextstylesTextstyles"/>
    <w:uiPriority w:val="99"/>
    <w:rsid w:val="00CD6078"/>
    <w:pPr>
      <w:spacing w:after="0"/>
      <w:ind w:left="357"/>
    </w:pPr>
  </w:style>
  <w:style w:type="paragraph" w:customStyle="1" w:styleId="612Textbulletlist2ndparaTextstyles">
    <w:name w:val="6.12 Text (bullet list 2nd para) (Text styles)"/>
    <w:basedOn w:val="611BulletlistTextstyles"/>
    <w:uiPriority w:val="99"/>
    <w:rsid w:val="00CD6078"/>
  </w:style>
  <w:style w:type="paragraph" w:customStyle="1" w:styleId="614TextbulletlistlastTextstylesTextstyles">
    <w:name w:val="6.14 Text (bullet list last) (Text styles) (Text styles)"/>
    <w:basedOn w:val="611BulletlistTextstyles"/>
    <w:uiPriority w:val="99"/>
    <w:rsid w:val="00CD6078"/>
    <w:pPr>
      <w:spacing w:after="260"/>
    </w:pPr>
  </w:style>
  <w:style w:type="paragraph" w:customStyle="1" w:styleId="613TextsubbulletlistTextstylesTextstyles">
    <w:name w:val="6.13 Text (sub bullet list) (Text styles) (Text styles)"/>
    <w:basedOn w:val="602TextfoTextstylesTextstyles"/>
    <w:uiPriority w:val="99"/>
    <w:rsid w:val="00CD6078"/>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CD6078"/>
    <w:pPr>
      <w:spacing w:after="260"/>
    </w:pPr>
  </w:style>
  <w:style w:type="paragraph" w:customStyle="1" w:styleId="615TextsubsubbulletlistTextstylesTextstyles">
    <w:name w:val="6.15 Text (sub sub bullet list) (Text styles) (Text styles)"/>
    <w:basedOn w:val="613TextsubbulletlistTextstylesTextstyles"/>
    <w:uiPriority w:val="99"/>
    <w:rsid w:val="00CD6078"/>
    <w:pPr>
      <w:ind w:left="1080"/>
    </w:pPr>
  </w:style>
  <w:style w:type="paragraph" w:customStyle="1" w:styleId="617TextsubsubbulletlistlastTextstylesTextstyles">
    <w:name w:val="6.17 Text (sub sub bullet list last) (Text styles) (Text styles)"/>
    <w:basedOn w:val="613TextsubbulletlistTextstylesTextstyles"/>
    <w:uiPriority w:val="99"/>
    <w:rsid w:val="00CD6078"/>
    <w:pPr>
      <w:spacing w:after="260"/>
      <w:ind w:left="1080"/>
    </w:pPr>
  </w:style>
  <w:style w:type="paragraph" w:customStyle="1" w:styleId="621TextnumberedlistTextstylesTextstyles">
    <w:name w:val="6.21 Text (numbered list) (Text styles) (Text styles)"/>
    <w:basedOn w:val="602TextfoTextstylesTextstyles"/>
    <w:uiPriority w:val="99"/>
    <w:rsid w:val="00CD6078"/>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CD6078"/>
    <w:pPr>
      <w:ind w:left="360"/>
    </w:pPr>
  </w:style>
  <w:style w:type="paragraph" w:customStyle="1" w:styleId="6211TextnumberedlistlastTextstylesTextstyles">
    <w:name w:val="6.211 Text (numbered list last) (Text styles) (Text styles)"/>
    <w:basedOn w:val="621TextnumberedlistTextstylesTextstyles"/>
    <w:uiPriority w:val="99"/>
    <w:rsid w:val="00CD6078"/>
    <w:pPr>
      <w:spacing w:after="260"/>
    </w:pPr>
  </w:style>
  <w:style w:type="paragraph" w:customStyle="1" w:styleId="623TextsubnumberedlistTextstylesTextstyles">
    <w:name w:val="6.23 Text (sub numbered list) (Text styles) (Text styles)"/>
    <w:basedOn w:val="621TextnumberedlistTextstylesTextstyles"/>
    <w:uiPriority w:val="99"/>
    <w:rsid w:val="00CD6078"/>
    <w:pPr>
      <w:ind w:left="360"/>
    </w:pPr>
  </w:style>
  <w:style w:type="paragraph" w:customStyle="1" w:styleId="626TextalphalistTextstyles">
    <w:name w:val="6.26 Text (alpha list) (Text styles)"/>
    <w:basedOn w:val="621TextnumberedlistTextstylesTextstyles"/>
    <w:uiPriority w:val="99"/>
    <w:rsid w:val="00CD6078"/>
    <w:pPr>
      <w:tabs>
        <w:tab w:val="clear" w:pos="0"/>
        <w:tab w:val="left" w:pos="360"/>
      </w:tabs>
    </w:pPr>
  </w:style>
  <w:style w:type="paragraph" w:customStyle="1" w:styleId="627TextsubalphalistTextstyles">
    <w:name w:val="6.27 Text (sub alpha list) (Text styles)"/>
    <w:basedOn w:val="626TextalphalistTextstyles"/>
    <w:uiPriority w:val="99"/>
    <w:rsid w:val="00CD6078"/>
    <w:pPr>
      <w:ind w:left="360"/>
    </w:pPr>
  </w:style>
  <w:style w:type="paragraph" w:customStyle="1" w:styleId="628TextalphalistlastTextstyles">
    <w:name w:val="6.28 Text (alpha list last) (Text styles)"/>
    <w:basedOn w:val="626TextalphalistTextstyles"/>
    <w:next w:val="602TextfoTextstylesTextstyles"/>
    <w:uiPriority w:val="99"/>
    <w:rsid w:val="00CD6078"/>
    <w:pPr>
      <w:spacing w:after="240"/>
    </w:pPr>
  </w:style>
  <w:style w:type="paragraph" w:customStyle="1" w:styleId="644TextquoteTextstylesTextstyles">
    <w:name w:val="6.44 Text (quote) (Text styles) (Text styles)"/>
    <w:basedOn w:val="602TextfoTextstylesTextstyles"/>
    <w:uiPriority w:val="99"/>
    <w:rsid w:val="00CD6078"/>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CD6078"/>
  </w:style>
  <w:style w:type="paragraph" w:customStyle="1" w:styleId="632TextequationTextstylesTextstyles">
    <w:name w:val="6.32 Text (equation) (Text styles) (Text styles)"/>
    <w:basedOn w:val="602TextfoTextstylesTextstyles"/>
    <w:uiPriority w:val="99"/>
    <w:rsid w:val="00CD6078"/>
    <w:pPr>
      <w:tabs>
        <w:tab w:val="right" w:pos="9120"/>
      </w:tabs>
      <w:ind w:left="240"/>
    </w:pPr>
  </w:style>
  <w:style w:type="paragraph" w:customStyle="1" w:styleId="645TextquotewithsourceTextstyles">
    <w:name w:val="6.45 Text (quote with source) (Text styles)"/>
    <w:basedOn w:val="644TextquoteTextstylesTextstyles"/>
    <w:uiPriority w:val="99"/>
    <w:rsid w:val="00CD6078"/>
    <w:pPr>
      <w:spacing w:after="0"/>
    </w:pPr>
  </w:style>
  <w:style w:type="paragraph" w:customStyle="1" w:styleId="646TextquotesourceTextstylesTextstyles">
    <w:name w:val="6.46 Text (quote source) (Text styles) (Text styles)"/>
    <w:basedOn w:val="644TextquoteTextstylesTextstyles"/>
    <w:uiPriority w:val="99"/>
    <w:rsid w:val="00CD6078"/>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CD6078"/>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CD6078"/>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CD6078"/>
    <w:pPr>
      <w:spacing w:after="130"/>
      <w:ind w:left="600" w:hanging="120"/>
    </w:pPr>
  </w:style>
  <w:style w:type="paragraph" w:customStyle="1" w:styleId="690EndnoteTextstylesTextstyles">
    <w:name w:val="6.90 Endnote (Text styles) (Text styles)"/>
    <w:basedOn w:val="602TextfoTextstylesTextstyles"/>
    <w:uiPriority w:val="99"/>
    <w:rsid w:val="00CD6078"/>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CD6078"/>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CD6078"/>
    <w:rPr>
      <w:bCs/>
    </w:rPr>
  </w:style>
  <w:style w:type="paragraph" w:customStyle="1" w:styleId="72TabletextTablesTableFigureBoxstyles">
    <w:name w:val="7.2 Table text (Tables) (Table/Figure/Box styles)"/>
    <w:basedOn w:val="Normal"/>
    <w:uiPriority w:val="99"/>
    <w:rsid w:val="00CD6078"/>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CD6078"/>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CD6078"/>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CD6078"/>
  </w:style>
  <w:style w:type="paragraph" w:customStyle="1" w:styleId="710TableheadTablesTableFigureBoxstyles">
    <w:name w:val="7.10 Table head (Tables) (Table/Figure/Box styles)"/>
    <w:basedOn w:val="72TabletextTablesTableFigureBoxstyles"/>
    <w:next w:val="72TabletextTablesTableFigureBoxstyles"/>
    <w:uiPriority w:val="99"/>
    <w:rsid w:val="00CD6078"/>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CD6078"/>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CD6078"/>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CD6078"/>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CD6078"/>
    <w:rPr>
      <w:rFonts w:cs="Humanist777BT-ItalicB"/>
      <w:bCs w:val="0"/>
      <w:i/>
    </w:rPr>
  </w:style>
  <w:style w:type="paragraph" w:customStyle="1" w:styleId="92BoxtextBoxesTableFigureBoxstyles">
    <w:name w:val="9.2 Box text (Boxes) (Table/Figure/Box styles)"/>
    <w:basedOn w:val="72TabletextTablesTableFigureBoxstyles"/>
    <w:uiPriority w:val="99"/>
    <w:rsid w:val="00CD6078"/>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CD6078"/>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CD6078"/>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CD6078"/>
    <w:pPr>
      <w:spacing w:after="120"/>
    </w:pPr>
  </w:style>
  <w:style w:type="paragraph" w:customStyle="1" w:styleId="922BoxbulletlistBoxesTableFigureBoxstyles">
    <w:name w:val="9.22 Box bullet list (Boxes) (Table/Figure/Box styles)"/>
    <w:basedOn w:val="921BoxnumberedlistBoxesTableFigureBoxstyles"/>
    <w:uiPriority w:val="99"/>
    <w:rsid w:val="00CD6078"/>
    <w:pPr>
      <w:ind w:hanging="240"/>
    </w:pPr>
  </w:style>
  <w:style w:type="paragraph" w:customStyle="1" w:styleId="925BoxbulletlistlastBoxesTableFigureBoxstyles">
    <w:name w:val="9.25 Box bullet list last (Boxes) (Table/Figure/Box styles)"/>
    <w:basedOn w:val="921BoxnumberedlistBoxesTableFigureBoxstyles"/>
    <w:uiPriority w:val="99"/>
    <w:rsid w:val="00CD6078"/>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CD6078"/>
  </w:style>
  <w:style w:type="paragraph" w:customStyle="1" w:styleId="926BoxalphalistlastBoxesTableFigureBoxstyles">
    <w:name w:val="9.26 Box alpha list last (Boxes) (Table/Figure/Box styles)"/>
    <w:basedOn w:val="921BoxnumberedlistBoxesTableFigureBoxstyles"/>
    <w:uiPriority w:val="99"/>
    <w:rsid w:val="00CD6078"/>
    <w:pPr>
      <w:spacing w:after="120"/>
    </w:pPr>
  </w:style>
  <w:style w:type="paragraph" w:customStyle="1" w:styleId="927BoxquoteBoxesTableFigureBoxstyles">
    <w:name w:val="9.27 Box quote (Boxes) (Table/Figure/Box styles)"/>
    <w:basedOn w:val="92BoxtextBoxesTableFigureBoxstyles"/>
    <w:uiPriority w:val="99"/>
    <w:rsid w:val="00CD6078"/>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CD6078"/>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CD6078"/>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CD6078"/>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CD6078"/>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CD6078"/>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CD6078"/>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CD6078"/>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CD6078"/>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CD6078"/>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CD6078"/>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CD6078"/>
    <w:pPr>
      <w:ind w:left="240"/>
    </w:pPr>
  </w:style>
  <w:style w:type="paragraph" w:customStyle="1" w:styleId="75TablenotesTablesTableFigureBoxstyles">
    <w:name w:val="7.5 Table (notes) (Tables) (Table/Figure/Box styles)"/>
    <w:basedOn w:val="74TablenotesheadingTablesTableFigureBoxstyles"/>
    <w:uiPriority w:val="99"/>
    <w:rsid w:val="00CD6078"/>
    <w:pPr>
      <w:spacing w:before="0"/>
      <w:ind w:left="198" w:hanging="198"/>
    </w:pPr>
    <w:rPr>
      <w:rFonts w:ascii="Lato" w:hAnsi="Lato" w:cs="Humanist777BT-LightB"/>
      <w:b w:val="0"/>
    </w:rPr>
  </w:style>
  <w:style w:type="paragraph" w:customStyle="1" w:styleId="BasicParagraph">
    <w:name w:val="[Basic Paragraph]"/>
    <w:basedOn w:val="Normal"/>
    <w:uiPriority w:val="99"/>
    <w:rsid w:val="00CD6078"/>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CD6078"/>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CD6078"/>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CD6078"/>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CD6078"/>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CD6078"/>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CD6078"/>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CD6078"/>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CD6078"/>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CD6078"/>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CD6078"/>
    <w:pPr>
      <w:spacing w:after="260"/>
      <w:ind w:left="360"/>
    </w:pPr>
  </w:style>
  <w:style w:type="paragraph" w:customStyle="1" w:styleId="634TextsubalphalistlastTextstyles">
    <w:name w:val="6.34 Text (sub alpha list last) (Text styles)"/>
    <w:basedOn w:val="626TextalphalistTextstyles"/>
    <w:uiPriority w:val="99"/>
    <w:rsid w:val="00CD6078"/>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CD6078"/>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CD6078"/>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CD6078"/>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CD6078"/>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CD6078"/>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CD6078"/>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CD6078"/>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CD6078"/>
  </w:style>
  <w:style w:type="paragraph" w:customStyle="1" w:styleId="636TextsubsubnumberedlistlastTextstylesTextstyles">
    <w:name w:val="6.36 Text (sub sub numbered list last) (Text styles) (Text styles)"/>
    <w:basedOn w:val="613TextsubbulletlistTextstylesTextstyles"/>
    <w:uiPriority w:val="99"/>
    <w:rsid w:val="00CD6078"/>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CD6078"/>
    <w:pPr>
      <w:ind w:left="402"/>
    </w:pPr>
  </w:style>
  <w:style w:type="paragraph" w:customStyle="1" w:styleId="6121Textbulletlist2ndparalastTextstyles">
    <w:name w:val="6.121 Text (bullet list 2nd para last) (Text styles)"/>
    <w:basedOn w:val="612Textbulletlist2ndparaTextstyles"/>
    <w:uiPriority w:val="99"/>
    <w:rsid w:val="00CD6078"/>
    <w:pPr>
      <w:spacing w:after="260"/>
    </w:pPr>
  </w:style>
  <w:style w:type="paragraph" w:customStyle="1" w:styleId="6131TextsubbulletlistsolidTextstylesTextstyles">
    <w:name w:val="6.131 Text (sub bullet list solid) (Text styles) (Text styles)"/>
    <w:basedOn w:val="613TextsubbulletlistTextstylesTextstyles"/>
    <w:uiPriority w:val="99"/>
    <w:rsid w:val="00CD6078"/>
  </w:style>
  <w:style w:type="paragraph" w:customStyle="1" w:styleId="6161TextsubbulletlistsolidlastTextstyles">
    <w:name w:val="6.161 Text (sub bullet list solid last) (Text styles)"/>
    <w:basedOn w:val="616TextsubbulletlistlastTextstylesTextstyles"/>
    <w:uiPriority w:val="99"/>
    <w:rsid w:val="00CD6078"/>
  </w:style>
  <w:style w:type="paragraph" w:customStyle="1" w:styleId="713TablesubheadCTablesTableFigureBoxstyles">
    <w:name w:val="7.13 Table subhead C (Tables) (Table/Figure/Box styles)"/>
    <w:basedOn w:val="712TablesubheadBTablesTableFigureBoxstyles"/>
    <w:uiPriority w:val="99"/>
    <w:rsid w:val="00CD6078"/>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CD6078"/>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CD6078"/>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CD6078"/>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CD6078"/>
    <w:pPr>
      <w:spacing w:after="0"/>
    </w:pPr>
  </w:style>
  <w:style w:type="paragraph" w:customStyle="1" w:styleId="9271BoxquotewithsourceTableFigureBoxstyles">
    <w:name w:val="9.271 Box quote with source (Table/Figure/Box styles)"/>
    <w:basedOn w:val="927BoxquoteBoxesTableFigureBoxstyles"/>
    <w:uiPriority w:val="99"/>
    <w:rsid w:val="00CD6078"/>
    <w:pPr>
      <w:spacing w:after="0"/>
    </w:pPr>
  </w:style>
  <w:style w:type="paragraph" w:customStyle="1" w:styleId="6116Quoteasabulletlistitem-sourceTextstyles">
    <w:name w:val="6.116 Quote as a bullet list item - source (Text styles)"/>
    <w:basedOn w:val="Normal"/>
    <w:uiPriority w:val="99"/>
    <w:rsid w:val="00CD6078"/>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CD6078"/>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CD6078"/>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CD6078"/>
    <w:pPr>
      <w:spacing w:after="260"/>
    </w:pPr>
  </w:style>
  <w:style w:type="paragraph" w:customStyle="1" w:styleId="Normal0">
    <w:name w:val="[Normal]"/>
    <w:rsid w:val="00CD6078"/>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CD6078"/>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CD6078"/>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CD6078"/>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CD6078"/>
    <w:pPr>
      <w:ind w:left="720"/>
    </w:pPr>
  </w:style>
  <w:style w:type="paragraph" w:customStyle="1" w:styleId="58GHeadHeadingsHeadingstyles">
    <w:name w:val="5.8 G Head (Headings) (Heading styles)"/>
    <w:basedOn w:val="57FheadHeadingsHeadingstyles"/>
    <w:uiPriority w:val="99"/>
    <w:rsid w:val="00CD6078"/>
    <w:rPr>
      <w:i w:val="0"/>
      <w:iCs w:val="0"/>
    </w:rPr>
  </w:style>
  <w:style w:type="paragraph" w:customStyle="1" w:styleId="6212QuoteasanumberedlistitemTextstyles">
    <w:name w:val="6.212 Quote as a numbered list item (Text styles)"/>
    <w:basedOn w:val="621TextnumberedlistTextstylesTextstyles"/>
    <w:uiPriority w:val="99"/>
    <w:rsid w:val="00CD6078"/>
    <w:rPr>
      <w:i/>
    </w:rPr>
  </w:style>
  <w:style w:type="paragraph" w:customStyle="1" w:styleId="625TextsimplelistTextstyles">
    <w:name w:val="6.25 Text (simple list) (Text styles)"/>
    <w:basedOn w:val="626TextalphalistTextstyles"/>
    <w:uiPriority w:val="99"/>
    <w:rsid w:val="00CD6078"/>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CD6078"/>
    <w:pPr>
      <w:ind w:left="360" w:hanging="120"/>
    </w:pPr>
    <w:rPr>
      <w:lang w:eastAsia="en-GB"/>
    </w:rPr>
  </w:style>
  <w:style w:type="paragraph" w:customStyle="1" w:styleId="647TextquotedbulletlistTextstyles">
    <w:name w:val="6.47 Text (quoted bullet list) (Text styles)"/>
    <w:basedOn w:val="644TextquoteTextstylesTextstyles"/>
    <w:uiPriority w:val="99"/>
    <w:rsid w:val="00CD6078"/>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CD6078"/>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CD6078"/>
    <w:pPr>
      <w:spacing w:after="260"/>
    </w:pPr>
  </w:style>
  <w:style w:type="paragraph" w:customStyle="1" w:styleId="648TextquotedbulletlistlastTextstyles">
    <w:name w:val="6.48 Text (quoted bullet list last) (Text styles)"/>
    <w:basedOn w:val="647TextquotedbulletlistTextstyles"/>
    <w:uiPriority w:val="99"/>
    <w:rsid w:val="00CD6078"/>
    <w:pPr>
      <w:spacing w:after="260"/>
    </w:pPr>
  </w:style>
  <w:style w:type="paragraph" w:customStyle="1" w:styleId="642TextquotednumberedlistTextstyles">
    <w:name w:val="6.42 Text (quoted numbered list) (Text styles)"/>
    <w:basedOn w:val="647TextquotedbulletlistTextstyles"/>
    <w:uiPriority w:val="99"/>
    <w:rsid w:val="00CD6078"/>
  </w:style>
  <w:style w:type="paragraph" w:customStyle="1" w:styleId="643TextquotednumberedlistlastTextstyles">
    <w:name w:val="6.43 Text (quoted numbered list last) (Text styles)"/>
    <w:basedOn w:val="642TextquotednumberedlistTextstyles"/>
    <w:uiPriority w:val="99"/>
    <w:rsid w:val="00CD6078"/>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CD6078"/>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CD6078"/>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CD6078"/>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CD6078"/>
  </w:style>
  <w:style w:type="paragraph" w:customStyle="1" w:styleId="7531TablenotessubalphalistTablesTableFigureBoxstyles">
    <w:name w:val="7.531 Table notes sub alpha list (Tables) (Table/Figure/Box styles)"/>
    <w:basedOn w:val="752TablenotesnumberedlistTablesTableFigureBoxstyles"/>
    <w:uiPriority w:val="99"/>
    <w:rsid w:val="00CD6078"/>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CD6078"/>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CD6078"/>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CD6078"/>
  </w:style>
  <w:style w:type="paragraph" w:customStyle="1" w:styleId="9521BoxnotessubnumberedlistBoxesTableFigureBoxstyles">
    <w:name w:val="9.521 Box notes sub numbered list (Boxes) (Table/Figure/Box styles)"/>
    <w:basedOn w:val="951BoxnotesbulletlistBoxesTableFigureBoxstyles"/>
    <w:uiPriority w:val="99"/>
    <w:rsid w:val="00CD6078"/>
    <w:pPr>
      <w:ind w:left="606"/>
    </w:pPr>
  </w:style>
  <w:style w:type="paragraph" w:customStyle="1" w:styleId="953BoxnotesalphalistBoxesTableFigureBoxstyles">
    <w:name w:val="9.53 Box notes alpha list (Boxes) (Table/Figure/Box styles)"/>
    <w:basedOn w:val="952BoxnotesnumberedlistBoxesTableFigureBoxstyles"/>
    <w:uiPriority w:val="99"/>
    <w:rsid w:val="00CD6078"/>
  </w:style>
  <w:style w:type="paragraph" w:customStyle="1" w:styleId="9531BoxnotessubalphalistBoxesTableFigureBoxstyles">
    <w:name w:val="9.531 Box notes sub alpha list (Boxes) (Table/Figure/Box styles)"/>
    <w:basedOn w:val="952BoxnotesnumberedlistBoxesTableFigureBoxstyles"/>
    <w:uiPriority w:val="99"/>
    <w:rsid w:val="00CD6078"/>
    <w:pPr>
      <w:ind w:left="606"/>
    </w:pPr>
  </w:style>
  <w:style w:type="paragraph" w:customStyle="1" w:styleId="6132TextsubbulletlistnumberedTextstyles">
    <w:name w:val="6.132 Text (sub bullet list numbered) (Text styles)"/>
    <w:basedOn w:val="613TextsubbulletlistTextstylesTextstyles"/>
    <w:uiPriority w:val="99"/>
    <w:rsid w:val="00CD6078"/>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CD6078"/>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CD6078"/>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CD6078"/>
    <w:pPr>
      <w:spacing w:after="120"/>
    </w:pPr>
  </w:style>
  <w:style w:type="paragraph" w:customStyle="1" w:styleId="ToCchaptertitleToCstyles">
    <w:name w:val="ToC chapter title (ToC styles)"/>
    <w:basedOn w:val="Normal"/>
    <w:uiPriority w:val="99"/>
    <w:rsid w:val="00CD6078"/>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CD6078"/>
    <w:rPr>
      <w:rFonts w:ascii="Lato Black" w:hAnsi="Lato Black" w:cs="Lato Black"/>
    </w:rPr>
  </w:style>
  <w:style w:type="paragraph" w:customStyle="1" w:styleId="ToCAAheadToCstyles">
    <w:name w:val="ToC AA head (ToC styles)"/>
    <w:basedOn w:val="ToCchaptertitleToCstyles"/>
    <w:uiPriority w:val="99"/>
    <w:rsid w:val="00CD6078"/>
    <w:pPr>
      <w:spacing w:before="0"/>
    </w:pPr>
    <w:rPr>
      <w:rFonts w:ascii="Lato Medium" w:hAnsi="Lato Medium" w:cs="Lato Medium"/>
    </w:rPr>
  </w:style>
  <w:style w:type="paragraph" w:customStyle="1" w:styleId="ToCAheadToCstyles">
    <w:name w:val="ToC A head (ToC styles)"/>
    <w:basedOn w:val="ToCchaptertitleToCstyles"/>
    <w:uiPriority w:val="99"/>
    <w:rsid w:val="00CD6078"/>
    <w:pPr>
      <w:spacing w:before="0"/>
    </w:pPr>
  </w:style>
  <w:style w:type="paragraph" w:customStyle="1" w:styleId="ToCappendixToCstyles">
    <w:name w:val="ToC appendix (ToC styles)"/>
    <w:basedOn w:val="ToCchaptertitleToCstyles"/>
    <w:uiPriority w:val="99"/>
    <w:rsid w:val="00CD6078"/>
  </w:style>
  <w:style w:type="paragraph" w:customStyle="1" w:styleId="6214QuoteasanumberedlistitemsourceTextstyles">
    <w:name w:val="6.214 Quote as a numbered list item – source (Text styles)"/>
    <w:basedOn w:val="6121Textbulletlist2ndparalastTextstyles"/>
    <w:uiPriority w:val="99"/>
    <w:rsid w:val="00CD6078"/>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CD6078"/>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CD6078"/>
    <w:pPr>
      <w:spacing w:after="120"/>
    </w:pPr>
  </w:style>
  <w:style w:type="paragraph" w:customStyle="1" w:styleId="9274BoxquotesubbulletlistTableFigureBoxstyles">
    <w:name w:val="9.274 Box quote sub bullet list (Table/Figure/Box styles)"/>
    <w:basedOn w:val="9272BoxquotebulletlistTableFigureBoxstyles"/>
    <w:uiPriority w:val="99"/>
    <w:rsid w:val="00CD6078"/>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CD6078"/>
    <w:pPr>
      <w:spacing w:after="120"/>
    </w:pPr>
  </w:style>
  <w:style w:type="paragraph" w:customStyle="1" w:styleId="9276BoxquotenumberedlistTableFigureBoxstyles">
    <w:name w:val="9.276 Box quote numbered list (Table/Figure/Box styles)"/>
    <w:basedOn w:val="9272BoxquotebulletlistTableFigureBoxstyles"/>
    <w:uiPriority w:val="99"/>
    <w:rsid w:val="00CD6078"/>
  </w:style>
  <w:style w:type="paragraph" w:customStyle="1" w:styleId="9277BoxquotenumberedlistlastTableFigureBoxstyles">
    <w:name w:val="9.277 Box quote numbered list last  (Table/Figure/Box styles)"/>
    <w:basedOn w:val="9276BoxquotenumberedlistTableFigureBoxstyles"/>
    <w:uiPriority w:val="99"/>
    <w:rsid w:val="00CD6078"/>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CD6078"/>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CD6078"/>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17866">
      <w:bodyDiv w:val="1"/>
      <w:marLeft w:val="0"/>
      <w:marRight w:val="0"/>
      <w:marTop w:val="0"/>
      <w:marBottom w:val="0"/>
      <w:divBdr>
        <w:top w:val="none" w:sz="0" w:space="0" w:color="auto"/>
        <w:left w:val="none" w:sz="0" w:space="0" w:color="auto"/>
        <w:bottom w:val="none" w:sz="0" w:space="0" w:color="auto"/>
        <w:right w:val="none" w:sz="0" w:space="0" w:color="auto"/>
      </w:divBdr>
    </w:div>
    <w:div w:id="33577812">
      <w:bodyDiv w:val="1"/>
      <w:marLeft w:val="0"/>
      <w:marRight w:val="0"/>
      <w:marTop w:val="0"/>
      <w:marBottom w:val="0"/>
      <w:divBdr>
        <w:top w:val="none" w:sz="0" w:space="0" w:color="auto"/>
        <w:left w:val="none" w:sz="0" w:space="0" w:color="auto"/>
        <w:bottom w:val="none" w:sz="0" w:space="0" w:color="auto"/>
        <w:right w:val="none" w:sz="0" w:space="0" w:color="auto"/>
      </w:divBdr>
    </w:div>
    <w:div w:id="153420118">
      <w:bodyDiv w:val="1"/>
      <w:marLeft w:val="0"/>
      <w:marRight w:val="0"/>
      <w:marTop w:val="0"/>
      <w:marBottom w:val="0"/>
      <w:divBdr>
        <w:top w:val="none" w:sz="0" w:space="0" w:color="auto"/>
        <w:left w:val="none" w:sz="0" w:space="0" w:color="auto"/>
        <w:bottom w:val="none" w:sz="0" w:space="0" w:color="auto"/>
        <w:right w:val="none" w:sz="0" w:space="0" w:color="auto"/>
      </w:divBdr>
    </w:div>
    <w:div w:id="383220407">
      <w:bodyDiv w:val="1"/>
      <w:marLeft w:val="0"/>
      <w:marRight w:val="0"/>
      <w:marTop w:val="0"/>
      <w:marBottom w:val="0"/>
      <w:divBdr>
        <w:top w:val="none" w:sz="0" w:space="0" w:color="auto"/>
        <w:left w:val="none" w:sz="0" w:space="0" w:color="auto"/>
        <w:bottom w:val="none" w:sz="0" w:space="0" w:color="auto"/>
        <w:right w:val="none" w:sz="0" w:space="0" w:color="auto"/>
      </w:divBdr>
    </w:div>
    <w:div w:id="391805488">
      <w:bodyDiv w:val="1"/>
      <w:marLeft w:val="0"/>
      <w:marRight w:val="0"/>
      <w:marTop w:val="0"/>
      <w:marBottom w:val="0"/>
      <w:divBdr>
        <w:top w:val="none" w:sz="0" w:space="0" w:color="auto"/>
        <w:left w:val="none" w:sz="0" w:space="0" w:color="auto"/>
        <w:bottom w:val="none" w:sz="0" w:space="0" w:color="auto"/>
        <w:right w:val="none" w:sz="0" w:space="0" w:color="auto"/>
      </w:divBdr>
    </w:div>
    <w:div w:id="633801777">
      <w:bodyDiv w:val="1"/>
      <w:marLeft w:val="0"/>
      <w:marRight w:val="0"/>
      <w:marTop w:val="0"/>
      <w:marBottom w:val="0"/>
      <w:divBdr>
        <w:top w:val="none" w:sz="0" w:space="0" w:color="auto"/>
        <w:left w:val="none" w:sz="0" w:space="0" w:color="auto"/>
        <w:bottom w:val="none" w:sz="0" w:space="0" w:color="auto"/>
        <w:right w:val="none" w:sz="0" w:space="0" w:color="auto"/>
      </w:divBdr>
    </w:div>
    <w:div w:id="969096351">
      <w:bodyDiv w:val="1"/>
      <w:marLeft w:val="0"/>
      <w:marRight w:val="0"/>
      <w:marTop w:val="0"/>
      <w:marBottom w:val="0"/>
      <w:divBdr>
        <w:top w:val="none" w:sz="0" w:space="0" w:color="auto"/>
        <w:left w:val="none" w:sz="0" w:space="0" w:color="auto"/>
        <w:bottom w:val="none" w:sz="0" w:space="0" w:color="auto"/>
        <w:right w:val="none" w:sz="0" w:space="0" w:color="auto"/>
      </w:divBdr>
    </w:div>
    <w:div w:id="1502697587">
      <w:bodyDiv w:val="1"/>
      <w:marLeft w:val="0"/>
      <w:marRight w:val="0"/>
      <w:marTop w:val="0"/>
      <w:marBottom w:val="0"/>
      <w:divBdr>
        <w:top w:val="none" w:sz="0" w:space="0" w:color="auto"/>
        <w:left w:val="none" w:sz="0" w:space="0" w:color="auto"/>
        <w:bottom w:val="none" w:sz="0" w:space="0" w:color="auto"/>
        <w:right w:val="none" w:sz="0" w:space="0" w:color="auto"/>
      </w:divBdr>
    </w:div>
    <w:div w:id="1709377165">
      <w:bodyDiv w:val="1"/>
      <w:marLeft w:val="0"/>
      <w:marRight w:val="0"/>
      <w:marTop w:val="0"/>
      <w:marBottom w:val="0"/>
      <w:divBdr>
        <w:top w:val="none" w:sz="0" w:space="0" w:color="auto"/>
        <w:left w:val="none" w:sz="0" w:space="0" w:color="auto"/>
        <w:bottom w:val="none" w:sz="0" w:space="0" w:color="auto"/>
        <w:right w:val="none" w:sz="0" w:space="0" w:color="auto"/>
      </w:divBdr>
    </w:div>
    <w:div w:id="1713457971">
      <w:bodyDiv w:val="1"/>
      <w:marLeft w:val="0"/>
      <w:marRight w:val="0"/>
      <w:marTop w:val="0"/>
      <w:marBottom w:val="0"/>
      <w:divBdr>
        <w:top w:val="none" w:sz="0" w:space="0" w:color="auto"/>
        <w:left w:val="none" w:sz="0" w:space="0" w:color="auto"/>
        <w:bottom w:val="none" w:sz="0" w:space="0" w:color="auto"/>
        <w:right w:val="none" w:sz="0" w:space="0" w:color="auto"/>
      </w:divBdr>
    </w:div>
    <w:div w:id="1759525025">
      <w:bodyDiv w:val="1"/>
      <w:marLeft w:val="0"/>
      <w:marRight w:val="0"/>
      <w:marTop w:val="0"/>
      <w:marBottom w:val="0"/>
      <w:divBdr>
        <w:top w:val="none" w:sz="0" w:space="0" w:color="auto"/>
        <w:left w:val="none" w:sz="0" w:space="0" w:color="auto"/>
        <w:bottom w:val="none" w:sz="0" w:space="0" w:color="auto"/>
        <w:right w:val="none" w:sz="0" w:space="0" w:color="auto"/>
      </w:divBdr>
    </w:div>
    <w:div w:id="1936862839">
      <w:bodyDiv w:val="1"/>
      <w:marLeft w:val="0"/>
      <w:marRight w:val="0"/>
      <w:marTop w:val="0"/>
      <w:marBottom w:val="0"/>
      <w:divBdr>
        <w:top w:val="none" w:sz="0" w:space="0" w:color="auto"/>
        <w:left w:val="none" w:sz="0" w:space="0" w:color="auto"/>
        <w:bottom w:val="none" w:sz="0" w:space="0" w:color="auto"/>
        <w:right w:val="none" w:sz="0" w:space="0" w:color="auto"/>
      </w:divBdr>
    </w:div>
    <w:div w:id="1966227909">
      <w:bodyDiv w:val="1"/>
      <w:marLeft w:val="0"/>
      <w:marRight w:val="0"/>
      <w:marTop w:val="0"/>
      <w:marBottom w:val="0"/>
      <w:divBdr>
        <w:top w:val="none" w:sz="0" w:space="0" w:color="auto"/>
        <w:left w:val="none" w:sz="0" w:space="0" w:color="auto"/>
        <w:bottom w:val="none" w:sz="0" w:space="0" w:color="auto"/>
        <w:right w:val="none" w:sz="0" w:space="0" w:color="auto"/>
      </w:divBdr>
    </w:div>
    <w:div w:id="2051294938">
      <w:bodyDiv w:val="1"/>
      <w:marLeft w:val="0"/>
      <w:marRight w:val="0"/>
      <w:marTop w:val="0"/>
      <w:marBottom w:val="0"/>
      <w:divBdr>
        <w:top w:val="none" w:sz="0" w:space="0" w:color="auto"/>
        <w:left w:val="none" w:sz="0" w:space="0" w:color="auto"/>
        <w:bottom w:val="none" w:sz="0" w:space="0" w:color="auto"/>
        <w:right w:val="none" w:sz="0" w:space="0" w:color="auto"/>
      </w:divBdr>
    </w:div>
    <w:div w:id="205653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4.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3CC79-419C-45F6-AB33-3EE3F91E8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255</Pages>
  <Words>107710</Words>
  <Characters>613951</Characters>
  <Application>Microsoft Office Word</Application>
  <DocSecurity>0</DocSecurity>
  <Lines>5116</Lines>
  <Paragraphs>1440</Paragraphs>
  <ScaleCrop>false</ScaleCrop>
  <HeadingPairs>
    <vt:vector size="2" baseType="variant">
      <vt:variant>
        <vt:lpstr>Title</vt:lpstr>
      </vt:variant>
      <vt:variant>
        <vt:i4>1</vt:i4>
      </vt:variant>
    </vt:vector>
  </HeadingPairs>
  <TitlesOfParts>
    <vt:vector size="1" baseType="lpstr">
      <vt:lpstr/>
    </vt:vector>
  </TitlesOfParts>
  <Company>University of Aberdeen</Company>
  <LinksUpToDate>false</LinksUpToDate>
  <CharactersWithSpaces>720221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hsu071</dc:creator>
  <cp:keywords/>
  <dc:description/>
  <cp:lastModifiedBy>Ross Stewart</cp:lastModifiedBy>
  <cp:revision>3</cp:revision>
  <dcterms:created xsi:type="dcterms:W3CDTF">2020-12-11T16:41:00Z</dcterms:created>
  <dcterms:modified xsi:type="dcterms:W3CDTF">2020-12-11T16:58:00Z</dcterms:modified>
</cp:coreProperties>
</file>